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7B62" w14:textId="1B853744" w:rsidR="00867569" w:rsidRDefault="007F6239" w:rsidP="00E42E00">
      <w:pPr>
        <w:pStyle w:val="Datum"/>
      </w:pPr>
      <w:r>
        <w:t>2</w:t>
      </w:r>
      <w:r w:rsidR="009168C2">
        <w:t>2</w:t>
      </w:r>
      <w:r w:rsidR="00F03815">
        <w:t>. </w:t>
      </w:r>
      <w:r w:rsidR="009168C2">
        <w:t>října</w:t>
      </w:r>
      <w:r>
        <w:t xml:space="preserve"> 2020</w:t>
      </w:r>
    </w:p>
    <w:p w14:paraId="0B263346" w14:textId="4B40C37F" w:rsidR="00867569" w:rsidRPr="00A56C80" w:rsidRDefault="000B7652" w:rsidP="00A56C80">
      <w:pPr>
        <w:pStyle w:val="Nzev"/>
      </w:pPr>
      <w:r>
        <w:t>Analýza sektorových účtů</w:t>
      </w:r>
      <w:r w:rsidR="00FF04D9">
        <w:t> </w:t>
      </w:r>
      <w:r w:rsidR="00FB7E0F">
        <w:t>–</w:t>
      </w:r>
      <w:r w:rsidR="00FF04D9">
        <w:t xml:space="preserve"> </w:t>
      </w:r>
      <w:r w:rsidR="009168C2">
        <w:t>2</w:t>
      </w:r>
      <w:r>
        <w:t>.</w:t>
      </w:r>
      <w:r w:rsidR="00F03815">
        <w:t> čtvrtlet</w:t>
      </w:r>
      <w:r>
        <w:t>í 2020</w:t>
      </w:r>
    </w:p>
    <w:p w14:paraId="194DC2E2" w14:textId="47060B5B" w:rsidR="00FA3D9D" w:rsidRPr="005F7379" w:rsidRDefault="005F7379" w:rsidP="009F5F23">
      <w:pPr>
        <w:pStyle w:val="Perex"/>
      </w:pPr>
      <w:r w:rsidRPr="005F7379">
        <w:t>Ve 2.</w:t>
      </w:r>
      <w:r w:rsidR="009544CC">
        <w:t> čtvrtlet</w:t>
      </w:r>
      <w:r w:rsidRPr="005F7379">
        <w:t xml:space="preserve">í se plně projevila opatření </w:t>
      </w:r>
      <w:r>
        <w:t xml:space="preserve">proti šíření </w:t>
      </w:r>
      <w:proofErr w:type="spellStart"/>
      <w:r>
        <w:t>koronaviru</w:t>
      </w:r>
      <w:proofErr w:type="spellEnd"/>
      <w:r>
        <w:t xml:space="preserve">. </w:t>
      </w:r>
      <w:r w:rsidRPr="008D3BE8">
        <w:t xml:space="preserve">Sektor nefinančních podniků výrazně zasáhlo omezení výroby </w:t>
      </w:r>
      <w:r w:rsidR="009544CC" w:rsidRPr="008D3BE8">
        <w:t>i </w:t>
      </w:r>
      <w:r w:rsidRPr="008D3BE8">
        <w:t xml:space="preserve">provozu velké části maloobchodu </w:t>
      </w:r>
      <w:r w:rsidR="009544CC" w:rsidRPr="008D3BE8">
        <w:t>a </w:t>
      </w:r>
      <w:r w:rsidRPr="008D3BE8">
        <w:t xml:space="preserve">služeb. </w:t>
      </w:r>
      <w:r>
        <w:t xml:space="preserve">Domácnosti byly zasaženy zejména poklesem příjmů ze zaměstnání. </w:t>
      </w:r>
      <w:r w:rsidR="00B16369">
        <w:t>Hospodaření s</w:t>
      </w:r>
      <w:r>
        <w:t>ektor</w:t>
      </w:r>
      <w:r w:rsidR="00B16369">
        <w:t>u</w:t>
      </w:r>
      <w:r>
        <w:t xml:space="preserve"> vládních institucí v</w:t>
      </w:r>
      <w:r w:rsidR="00B16369">
        <w:t xml:space="preserve"> souvislosti se situací skončilo ve výrazném deficitu. Důvodem byl prudký nárůst výdajů na sociální dávky </w:t>
      </w:r>
      <w:r w:rsidR="009544CC">
        <w:t>i </w:t>
      </w:r>
      <w:r w:rsidR="00B16369">
        <w:t>transferů souvisejících s pomocí podnikatelům.</w:t>
      </w:r>
    </w:p>
    <w:p w14:paraId="47417200" w14:textId="7CA99670" w:rsidR="008F35E4" w:rsidRDefault="008F35E4" w:rsidP="008F35E4">
      <w:pPr>
        <w:pStyle w:val="Nadpis1"/>
      </w:pPr>
      <w:r>
        <w:t>Nefinanční podniky</w:t>
      </w:r>
    </w:p>
    <w:p w14:paraId="10FD3FB3" w14:textId="0307B775" w:rsidR="008F35E4" w:rsidRDefault="005A0668" w:rsidP="00293514">
      <w:pPr>
        <w:spacing w:after="240"/>
      </w:pPr>
      <w:r>
        <w:t>Výjimečná situace ve 2.</w:t>
      </w:r>
      <w:r w:rsidR="009544CC">
        <w:t> čtvrtlet</w:t>
      </w:r>
      <w:r>
        <w:t xml:space="preserve">í 2020 výrazně zasáhla do výsledků nefinančních podniků (NP). Omezení ekonomického provozu vyvolaná nařízeními vlády </w:t>
      </w:r>
      <w:r w:rsidR="009544CC">
        <w:t>i </w:t>
      </w:r>
      <w:r>
        <w:t xml:space="preserve">poklesem poptávky vedla k meziročnímu propadu hrubé přidané hodnoty (HPH) </w:t>
      </w:r>
      <w:r w:rsidR="00377ED2">
        <w:t>NP</w:t>
      </w:r>
      <w:r>
        <w:t xml:space="preserve"> </w:t>
      </w:r>
      <w:r w:rsidR="009544CC">
        <w:t>o </w:t>
      </w:r>
      <w:r>
        <w:t>77,6</w:t>
      </w:r>
      <w:r w:rsidR="00CF1CFF">
        <w:t> mld.</w:t>
      </w:r>
      <w:r>
        <w:t xml:space="preserve"> korun</w:t>
      </w:r>
      <w:r>
        <w:rPr>
          <w:rStyle w:val="Znakapoznpodarou"/>
        </w:rPr>
        <w:footnoteReference w:id="1"/>
      </w:r>
      <w:r>
        <w:t xml:space="preserve"> na 733,6</w:t>
      </w:r>
      <w:r w:rsidR="00CF1CFF">
        <w:t> mld.</w:t>
      </w:r>
      <w:r>
        <w:t xml:space="preserve"> </w:t>
      </w:r>
      <w:r w:rsidR="002472F5">
        <w:t xml:space="preserve">Šlo </w:t>
      </w:r>
      <w:r w:rsidR="009544CC">
        <w:t>o </w:t>
      </w:r>
      <w:r w:rsidR="002472F5">
        <w:t>první nominální pokles HPH od 1.</w:t>
      </w:r>
      <w:r w:rsidR="009544CC">
        <w:t> čtvrtlet</w:t>
      </w:r>
      <w:r w:rsidR="002472F5">
        <w:t xml:space="preserve">í 2013. </w:t>
      </w:r>
      <w:r w:rsidR="00377ED2">
        <w:t>Přitom d</w:t>
      </w:r>
      <w:r w:rsidR="001A532E">
        <w:t xml:space="preserve">ále zrychloval růst cenové hladiny, což mělo za následek hluboký </w:t>
      </w:r>
      <w:r w:rsidR="002472F5">
        <w:t xml:space="preserve">meziroční </w:t>
      </w:r>
      <w:r w:rsidR="001A532E">
        <w:t>reálný pokles HPH</w:t>
      </w:r>
      <w:r w:rsidR="002472F5">
        <w:t xml:space="preserve"> </w:t>
      </w:r>
      <w:r w:rsidR="009544CC">
        <w:t>o </w:t>
      </w:r>
      <w:r w:rsidR="002472F5">
        <w:t>13,6</w:t>
      </w:r>
      <w:r w:rsidR="00CF1CFF">
        <w:t> %</w:t>
      </w:r>
      <w:r w:rsidR="001A532E" w:rsidRPr="00837B9D">
        <w:rPr>
          <w:rStyle w:val="Znakapoznpodarou"/>
          <w:spacing w:val="-2"/>
        </w:rPr>
        <w:footnoteReference w:id="2"/>
      </w:r>
      <w:r w:rsidR="002472F5">
        <w:t xml:space="preserve">. </w:t>
      </w:r>
      <w:r w:rsidR="00917CA6">
        <w:t>Meziroční pokles celkové zaměstnanosti v sektoru</w:t>
      </w:r>
      <w:r w:rsidR="00917CA6">
        <w:rPr>
          <w:rStyle w:val="Znakapoznpodarou"/>
        </w:rPr>
        <w:footnoteReference w:id="3"/>
      </w:r>
      <w:r w:rsidR="00917CA6">
        <w:t xml:space="preserve"> se dále prohloubil na 1,4</w:t>
      </w:r>
      <w:r w:rsidR="00CF1CFF">
        <w:t> %</w:t>
      </w:r>
      <w:r w:rsidR="00917CA6">
        <w:t xml:space="preserve">. Šlo </w:t>
      </w:r>
      <w:r w:rsidR="009544CC">
        <w:t>o </w:t>
      </w:r>
      <w:r w:rsidR="00917CA6">
        <w:t>nejvyšší propad od 2.</w:t>
      </w:r>
      <w:r w:rsidR="009544CC">
        <w:t> kvartál</w:t>
      </w:r>
      <w:r w:rsidR="00917CA6">
        <w:t>u 2010.</w:t>
      </w:r>
    </w:p>
    <w:p w14:paraId="32029CE9" w14:textId="667D76D0" w:rsidR="009544CC" w:rsidRDefault="00F91C80" w:rsidP="009F5F23">
      <w:pPr>
        <w:spacing w:after="240"/>
      </w:pPr>
      <w:r>
        <w:t>Objem náhrad zaměstnancům, které NP ve 2.</w:t>
      </w:r>
      <w:r w:rsidR="009544CC">
        <w:t> čtvrtlet</w:t>
      </w:r>
      <w:r>
        <w:t>í vyplatily, dosáhl 430,0</w:t>
      </w:r>
      <w:r w:rsidR="00CF1CFF">
        <w:t> mld.</w:t>
      </w:r>
      <w:r>
        <w:t xml:space="preserve"> korun </w:t>
      </w:r>
      <w:r w:rsidR="009544CC">
        <w:t>a </w:t>
      </w:r>
      <w:r>
        <w:t xml:space="preserve">meziročně se snížil </w:t>
      </w:r>
      <w:r w:rsidR="009544CC">
        <w:t>o </w:t>
      </w:r>
      <w:r>
        <w:t>22,2</w:t>
      </w:r>
      <w:r w:rsidR="00CF1CFF">
        <w:t> </w:t>
      </w:r>
      <w:proofErr w:type="gramStart"/>
      <w:r w:rsidR="00CF1CFF">
        <w:t>mld.</w:t>
      </w:r>
      <w:r>
        <w:t xml:space="preserve"> (</w:t>
      </w:r>
      <w:r w:rsidR="009544CC">
        <w:t>–</w:t>
      </w:r>
      <w:r>
        <w:t>4,9</w:t>
      </w:r>
      <w:proofErr w:type="gramEnd"/>
      <w:r w:rsidR="00CF1CFF">
        <w:t> %</w:t>
      </w:r>
      <w:r>
        <w:t>).</w:t>
      </w:r>
      <w:r w:rsidR="00265A44">
        <w:t xml:space="preserve"> Naposledy přitom meziročně klesal objem vyplacených prostředků v 1.</w:t>
      </w:r>
      <w:r w:rsidR="009544CC">
        <w:t> čtvrtlet</w:t>
      </w:r>
      <w:r w:rsidR="00265A44">
        <w:t>í 2010.</w:t>
      </w:r>
      <w:r w:rsidR="000F11C8">
        <w:t xml:space="preserve"> Náhrady dosahovaly </w:t>
      </w:r>
      <w:r w:rsidR="0070033F">
        <w:t>58,6</w:t>
      </w:r>
      <w:r w:rsidR="00CF1CFF" w:rsidRPr="0070033F">
        <w:t> %</w:t>
      </w:r>
      <w:r w:rsidR="000F11C8">
        <w:t xml:space="preserve"> HPH vytvořené nefinančními podniky, meziročně </w:t>
      </w:r>
      <w:r w:rsidR="009544CC">
        <w:t>o </w:t>
      </w:r>
      <w:r w:rsidR="0070033F">
        <w:t>2,9</w:t>
      </w:r>
      <w:r w:rsidR="00CF1CFF" w:rsidRPr="0070033F">
        <w:t> p. b.</w:t>
      </w:r>
      <w:r w:rsidR="000F11C8" w:rsidRPr="0070033F">
        <w:t xml:space="preserve"> </w:t>
      </w:r>
      <w:proofErr w:type="gramStart"/>
      <w:r w:rsidR="000F11C8" w:rsidRPr="0070033F">
        <w:t>více</w:t>
      </w:r>
      <w:proofErr w:type="gramEnd"/>
      <w:r w:rsidR="000F11C8">
        <w:t xml:space="preserve">. </w:t>
      </w:r>
      <w:r w:rsidR="00917CA6">
        <w:t xml:space="preserve">Podrobnější pohled odhaluje, že relativně mírný pokles objemu náhrad zaměstnancům byl způsoben navýšením zaplacených sociálních příspěvků zaměstnavatelů </w:t>
      </w:r>
      <w:r w:rsidR="009544CC">
        <w:t>o </w:t>
      </w:r>
      <w:r w:rsidR="00917CA6">
        <w:t>11,0</w:t>
      </w:r>
      <w:r w:rsidR="00CF1CFF">
        <w:t> %</w:t>
      </w:r>
      <w:r w:rsidR="00917CA6">
        <w:t xml:space="preserve">. Tato položka zahrnuje prostředky vyplacené v programu Antivirus. Meziroční pokles objemu vyplacených mezd </w:t>
      </w:r>
      <w:r w:rsidR="009544CC">
        <w:t>a </w:t>
      </w:r>
      <w:r w:rsidR="00917CA6">
        <w:t>platů naproti tomu dosáhl 9,8</w:t>
      </w:r>
      <w:r w:rsidR="00CF1CFF">
        <w:t> %</w:t>
      </w:r>
      <w:r w:rsidR="00917CA6">
        <w:t xml:space="preserve">. </w:t>
      </w:r>
      <w:r w:rsidR="005D0714">
        <w:t>Speciální programy vládní podpory v </w:t>
      </w:r>
      <w:proofErr w:type="spellStart"/>
      <w:r w:rsidR="005D0714">
        <w:t>koronavirové</w:t>
      </w:r>
      <w:proofErr w:type="spellEnd"/>
      <w:r w:rsidR="005D0714">
        <w:t xml:space="preserve"> krizi stály za n</w:t>
      </w:r>
      <w:r w:rsidR="00EE227D">
        <w:t>etypicky vysok</w:t>
      </w:r>
      <w:r w:rsidR="005D0714">
        <w:t>ou hodnotou</w:t>
      </w:r>
      <w:r w:rsidR="00EE227D">
        <w:t xml:space="preserve"> položk</w:t>
      </w:r>
      <w:r w:rsidR="005D0714">
        <w:t>y</w:t>
      </w:r>
      <w:r w:rsidR="00EE227D">
        <w:t xml:space="preserve"> dotací na výrobu (22,8</w:t>
      </w:r>
      <w:r w:rsidR="00CF1CFF">
        <w:t> mld.</w:t>
      </w:r>
      <w:r w:rsidR="00EE227D">
        <w:t xml:space="preserve"> korun</w:t>
      </w:r>
      <w:r w:rsidR="005D0714">
        <w:t xml:space="preserve"> ve 2.</w:t>
      </w:r>
      <w:r w:rsidR="009544CC">
        <w:t> čtvrtlet</w:t>
      </w:r>
      <w:r w:rsidR="005D0714">
        <w:t>í</w:t>
      </w:r>
      <w:r w:rsidR="00EE227D">
        <w:t>)</w:t>
      </w:r>
      <w:r w:rsidR="005D0714">
        <w:t>.</w:t>
      </w:r>
      <w:r w:rsidR="005D0714" w:rsidRPr="005D0714">
        <w:t xml:space="preserve"> </w:t>
      </w:r>
      <w:r w:rsidR="005D0714">
        <w:t>Meziroční nárůst činil 14,0</w:t>
      </w:r>
      <w:r w:rsidR="00CF1CFF">
        <w:t> mld.</w:t>
      </w:r>
      <w:r w:rsidR="005D0714">
        <w:t xml:space="preserve"> korun </w:t>
      </w:r>
      <w:r w:rsidR="009544CC">
        <w:t>a </w:t>
      </w:r>
      <w:r w:rsidR="00377ED2">
        <w:t>celkový</w:t>
      </w:r>
      <w:r w:rsidR="005D0714">
        <w:t xml:space="preserve"> objem vyplacených dotací byl nejvyšší zaznamenaný v celé časové řadě</w:t>
      </w:r>
      <w:r w:rsidR="00EE227D">
        <w:rPr>
          <w:rStyle w:val="Znakapoznpodarou"/>
        </w:rPr>
        <w:footnoteReference w:id="4"/>
      </w:r>
      <w:r w:rsidR="005D0714">
        <w:t>.</w:t>
      </w:r>
    </w:p>
    <w:p w14:paraId="25C411FC" w14:textId="1E39FF44" w:rsidR="00BE0028" w:rsidRDefault="00917CA6" w:rsidP="009F5F23">
      <w:pPr>
        <w:spacing w:after="240"/>
      </w:pPr>
      <w:r>
        <w:t>V</w:t>
      </w:r>
      <w:r w:rsidR="00C51B65">
        <w:t xml:space="preserve">ýsledný propad hrubého provozního přebytku </w:t>
      </w:r>
      <w:r w:rsidR="00A233AA">
        <w:t>NP ve 2.</w:t>
      </w:r>
      <w:r w:rsidR="009544CC">
        <w:t> čtvrtlet</w:t>
      </w:r>
      <w:r w:rsidR="00A233AA">
        <w:t xml:space="preserve">í </w:t>
      </w:r>
      <w:r w:rsidR="00C51B65">
        <w:t>činil 41,7</w:t>
      </w:r>
      <w:r w:rsidR="00CF1CFF">
        <w:t> mld.</w:t>
      </w:r>
      <w:r w:rsidR="00C51B65">
        <w:t xml:space="preserve"> korun </w:t>
      </w:r>
      <w:r w:rsidR="009544CC">
        <w:t>a </w:t>
      </w:r>
      <w:r w:rsidR="00C51B65">
        <w:t xml:space="preserve">přebytek </w:t>
      </w:r>
      <w:r w:rsidR="00A233AA">
        <w:t>dosáhl</w:t>
      </w:r>
      <w:r w:rsidR="009950AF">
        <w:t xml:space="preserve"> 319,7</w:t>
      </w:r>
      <w:r w:rsidR="00CF1CFF">
        <w:t> mld.</w:t>
      </w:r>
      <w:r w:rsidR="00C51B65">
        <w:t xml:space="preserve"> </w:t>
      </w:r>
      <w:r>
        <w:t>Míra</w:t>
      </w:r>
      <w:r w:rsidRPr="00917CA6">
        <w:t xml:space="preserve"> </w:t>
      </w:r>
      <w:r>
        <w:t>zisku nefinančních podniků</w:t>
      </w:r>
      <w:r w:rsidRPr="00837B9D">
        <w:rPr>
          <w:rStyle w:val="Znakapoznpodarou"/>
        </w:rPr>
        <w:footnoteReference w:id="5"/>
      </w:r>
      <w:r>
        <w:t xml:space="preserve"> </w:t>
      </w:r>
      <w:r w:rsidR="005B0A5A">
        <w:t>ve 2.</w:t>
      </w:r>
      <w:r w:rsidR="009544CC">
        <w:t> čtvrtlet</w:t>
      </w:r>
      <w:r w:rsidR="005B0A5A">
        <w:t xml:space="preserve">í </w:t>
      </w:r>
      <w:r w:rsidR="00C51B65">
        <w:t>dosáhla 42,9</w:t>
      </w:r>
      <w:r w:rsidR="00CF1CFF">
        <w:t> %</w:t>
      </w:r>
      <w:r w:rsidR="00C51B65">
        <w:t xml:space="preserve"> (sezónně očištěno) </w:t>
      </w:r>
      <w:r w:rsidR="009544CC">
        <w:t>a </w:t>
      </w:r>
      <w:proofErr w:type="spellStart"/>
      <w:r w:rsidR="00C51B65">
        <w:t>mezičtvrtletně</w:t>
      </w:r>
      <w:proofErr w:type="spellEnd"/>
      <w:r w:rsidR="00C51B65">
        <w:t xml:space="preserve"> se snížila </w:t>
      </w:r>
      <w:r w:rsidR="009544CC">
        <w:t>o </w:t>
      </w:r>
      <w:r w:rsidR="00C51B65">
        <w:t>1,1</w:t>
      </w:r>
      <w:r w:rsidR="00CF1CFF">
        <w:t> p. b.</w:t>
      </w:r>
      <w:r w:rsidR="005B0A5A">
        <w:t xml:space="preserve"> </w:t>
      </w:r>
      <w:r w:rsidR="00377ED2">
        <w:t>Ukazatel měl v posledních letech sestupnou tendenci, která se v minulém roce zmírňovala. Vý</w:t>
      </w:r>
      <w:r w:rsidR="005B0A5A">
        <w:t>razný</w:t>
      </w:r>
      <w:r w:rsidR="00377ED2">
        <w:t xml:space="preserve"> mezičtvrtletní pokles</w:t>
      </w:r>
      <w:r w:rsidR="005B0A5A">
        <w:t>,</w:t>
      </w:r>
      <w:r w:rsidR="00377ED2">
        <w:t xml:space="preserve"> který byl ve 2.</w:t>
      </w:r>
      <w:r w:rsidR="009544CC">
        <w:t> kvartál</w:t>
      </w:r>
      <w:r w:rsidR="00377ED2">
        <w:t xml:space="preserve">u zaznamenán, spíše </w:t>
      </w:r>
      <w:r w:rsidR="005B0A5A">
        <w:t>souvisí se specifickou situací, ve které se podniky nacházely</w:t>
      </w:r>
      <w:r w:rsidR="00377ED2">
        <w:t xml:space="preserve">. </w:t>
      </w:r>
      <w:r w:rsidR="005B0A5A">
        <w:t xml:space="preserve">Meziroční pokles míry zisku (sezónně neočištěné) dosáhl </w:t>
      </w:r>
      <w:r w:rsidR="002956A8">
        <w:t>1,0</w:t>
      </w:r>
      <w:r w:rsidR="00CF1CFF">
        <w:t> p. b.</w:t>
      </w:r>
    </w:p>
    <w:p w14:paraId="6DF2AB71" w14:textId="77777777" w:rsidR="000B7652" w:rsidRDefault="007F6239" w:rsidP="000B7652">
      <w:pPr>
        <w:pStyle w:val="TabulkaGraf"/>
      </w:pPr>
      <w:r w:rsidRPr="00A244F9">
        <w:lastRenderedPageBreak/>
        <w:t>G</w:t>
      </w:r>
      <w:r w:rsidR="002E6F00">
        <w:t>raf </w:t>
      </w:r>
      <w:r w:rsidRPr="00A244F9">
        <w:t>1: Meziroční</w:t>
      </w:r>
      <w:r>
        <w:t xml:space="preserve"> </w:t>
      </w:r>
      <w:r w:rsidRPr="000B7652">
        <w:t>nominální</w:t>
      </w:r>
      <w:r w:rsidRPr="00A244F9">
        <w:t xml:space="preserve"> </w:t>
      </w:r>
      <w:r>
        <w:t>pří</w:t>
      </w:r>
      <w:r w:rsidRPr="00A244F9">
        <w:t>růst</w:t>
      </w:r>
      <w:r>
        <w:t>ek</w:t>
      </w:r>
      <w:r w:rsidRPr="00A244F9">
        <w:t xml:space="preserve"> HPH </w:t>
      </w:r>
      <w:r w:rsidR="00F03815" w:rsidRPr="00A244F9">
        <w:t>a</w:t>
      </w:r>
      <w:r w:rsidR="00F03815">
        <w:t> </w:t>
      </w:r>
      <w:r w:rsidRPr="00A244F9">
        <w:t>náhrad zaměstnancům (v</w:t>
      </w:r>
      <w:r w:rsidR="00840938">
        <w:t> mld.</w:t>
      </w:r>
      <w:r w:rsidRPr="00A244F9">
        <w:t xml:space="preserve"> korun), míra zisku (sezónně očištěno, v</w:t>
      </w:r>
      <w:r w:rsidR="00840938">
        <w:t> %</w:t>
      </w:r>
      <w:r w:rsidRPr="00A244F9">
        <w:t>)</w:t>
      </w:r>
    </w:p>
    <w:p w14:paraId="11A7F60E" w14:textId="338FCF81" w:rsidR="007F6239" w:rsidRDefault="005C1BB9" w:rsidP="000B7652">
      <w:pPr>
        <w:pStyle w:val="TabulkaGraf"/>
        <w:jc w:val="center"/>
        <w:rPr>
          <w:rFonts w:cs="Arial"/>
          <w:b w:val="0"/>
          <w:szCs w:val="20"/>
        </w:rPr>
      </w:pPr>
      <w:r>
        <w:rPr>
          <w:noProof/>
          <w:lang w:eastAsia="cs-CZ"/>
        </w:rPr>
        <w:drawing>
          <wp:inline distT="0" distB="0" distL="0" distR="0" wp14:anchorId="759A1495" wp14:editId="2F186227">
            <wp:extent cx="4737600" cy="3060000"/>
            <wp:effectExtent l="0" t="0" r="635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972F0E" w14:textId="77777777" w:rsidR="00941335" w:rsidRPr="00941335" w:rsidRDefault="00941335" w:rsidP="00BE0028">
      <w:pPr>
        <w:spacing w:after="240"/>
      </w:pPr>
      <w:r>
        <w:t>Zdroj: ČSÚ, národní účty</w:t>
      </w:r>
    </w:p>
    <w:p w14:paraId="3A9F46A3" w14:textId="2625CDC8" w:rsidR="002E4CA7" w:rsidRDefault="00CA2A0A" w:rsidP="002E4CA7">
      <w:pPr>
        <w:spacing w:after="240"/>
      </w:pPr>
      <w:r>
        <w:t xml:space="preserve">Saldo důchodů z vlastnictví </w:t>
      </w:r>
      <w:r w:rsidR="00C0500E">
        <w:t xml:space="preserve">NP </w:t>
      </w:r>
      <w:r>
        <w:t>ve 2.</w:t>
      </w:r>
      <w:r w:rsidR="009544CC">
        <w:t> čtvrtlet</w:t>
      </w:r>
      <w:r>
        <w:t xml:space="preserve">í </w:t>
      </w:r>
      <w:r w:rsidR="00C0500E">
        <w:t>dosáhlo deficitu 136,5</w:t>
      </w:r>
      <w:r w:rsidR="00CF1CFF">
        <w:t> mld.</w:t>
      </w:r>
      <w:r w:rsidR="00C0500E">
        <w:t xml:space="preserve"> korun. Deficit se meziročně zmírnil </w:t>
      </w:r>
      <w:r w:rsidR="009544CC">
        <w:t>o </w:t>
      </w:r>
      <w:r w:rsidR="00C0500E">
        <w:t>10,7</w:t>
      </w:r>
      <w:r w:rsidR="00CF1CFF">
        <w:t> mld.</w:t>
      </w:r>
      <w:r w:rsidR="00C0500E">
        <w:t>, zejména kvůli poklesu prostředků na straně užití, především reinvestovaných zisků z přímých zahraničních investic (</w:t>
      </w:r>
      <w:r w:rsidR="009544CC">
        <w:t>o </w:t>
      </w:r>
      <w:r w:rsidR="00C0500E">
        <w:t>23,6</w:t>
      </w:r>
      <w:r w:rsidR="00CF1CFF">
        <w:t> mld.</w:t>
      </w:r>
      <w:r w:rsidR="00C0500E">
        <w:t xml:space="preserve">). Naopak objem rozdělovaných důchodů společností se meziročně zvýšil </w:t>
      </w:r>
      <w:r w:rsidR="009544CC">
        <w:t>o </w:t>
      </w:r>
      <w:r w:rsidR="00C0500E">
        <w:t>9,3</w:t>
      </w:r>
      <w:r w:rsidR="00CF1CFF">
        <w:t> mld.</w:t>
      </w:r>
      <w:r w:rsidR="00C0500E">
        <w:t xml:space="preserve"> korun.</w:t>
      </w:r>
      <w:r w:rsidR="0022766F">
        <w:t xml:space="preserve"> Záporné saldo druhotných důchodů se ve 2.</w:t>
      </w:r>
      <w:r w:rsidR="009544CC">
        <w:t> čtvrtlet</w:t>
      </w:r>
      <w:r w:rsidR="0022766F">
        <w:t xml:space="preserve">í meziročně zmírnilo </w:t>
      </w:r>
      <w:r w:rsidR="009544CC">
        <w:t>o </w:t>
      </w:r>
      <w:r w:rsidR="0022766F">
        <w:t>7,2</w:t>
      </w:r>
      <w:r w:rsidR="00CF1CFF">
        <w:t> mld.</w:t>
      </w:r>
      <w:r w:rsidR="0022766F">
        <w:t xml:space="preserve"> korun na 32,5</w:t>
      </w:r>
      <w:r w:rsidR="00CF1CFF">
        <w:t> mld.</w:t>
      </w:r>
      <w:r w:rsidR="0022766F">
        <w:t xml:space="preserve"> </w:t>
      </w:r>
      <w:r w:rsidR="008E15B5">
        <w:t xml:space="preserve">Snížení deficitu bylo způsobeno zejména meziročně nižším objemem zaplacených běžných daní z důchodů </w:t>
      </w:r>
      <w:r w:rsidR="009544CC">
        <w:t>a </w:t>
      </w:r>
      <w:r w:rsidR="008E15B5">
        <w:t xml:space="preserve">jmění (pokles </w:t>
      </w:r>
      <w:r w:rsidR="009544CC">
        <w:t>o </w:t>
      </w:r>
      <w:r w:rsidR="008E15B5">
        <w:t>7,3</w:t>
      </w:r>
      <w:r w:rsidR="00CF1CFF">
        <w:t> mld.</w:t>
      </w:r>
      <w:r w:rsidR="008E15B5">
        <w:t>).</w:t>
      </w:r>
      <w:r w:rsidR="00F73A45">
        <w:t xml:space="preserve"> Hrubé úspory nefinančních podniků ve 2.</w:t>
      </w:r>
      <w:r w:rsidR="009544CC">
        <w:t> čtvrtlet</w:t>
      </w:r>
      <w:r w:rsidR="00F73A45">
        <w:t>í dosáhly 150,7</w:t>
      </w:r>
      <w:r w:rsidR="00CF1CFF">
        <w:t> mld.</w:t>
      </w:r>
      <w:r w:rsidR="00F73A45">
        <w:t xml:space="preserve"> korun </w:t>
      </w:r>
      <w:r w:rsidR="009544CC">
        <w:t>a </w:t>
      </w:r>
      <w:r w:rsidR="00F73A45">
        <w:t xml:space="preserve">meziročně se propadly </w:t>
      </w:r>
      <w:r w:rsidR="009544CC">
        <w:t>o </w:t>
      </w:r>
      <w:r w:rsidR="00F73A45">
        <w:t>23,8</w:t>
      </w:r>
      <w:r w:rsidR="00CF1CFF">
        <w:t> mld.</w:t>
      </w:r>
      <w:r w:rsidR="00F73A45">
        <w:t xml:space="preserve"> Míra úspor NP</w:t>
      </w:r>
      <w:r w:rsidR="00F73A45" w:rsidRPr="00837B9D">
        <w:rPr>
          <w:rStyle w:val="Znakapoznpodarou"/>
        </w:rPr>
        <w:footnoteReference w:id="6"/>
      </w:r>
      <w:r w:rsidR="00F73A45">
        <w:t xml:space="preserve"> tak meziročně klesla </w:t>
      </w:r>
      <w:r w:rsidR="009544CC">
        <w:t>o </w:t>
      </w:r>
      <w:r w:rsidR="00F73A45">
        <w:t xml:space="preserve">1,0 p. b. </w:t>
      </w:r>
      <w:proofErr w:type="gramStart"/>
      <w:r w:rsidR="00F73A45">
        <w:t>na</w:t>
      </w:r>
      <w:proofErr w:type="gramEnd"/>
      <w:r w:rsidR="00F73A45">
        <w:t xml:space="preserve"> 20,5</w:t>
      </w:r>
      <w:r w:rsidR="00CF1CFF">
        <w:t> %</w:t>
      </w:r>
      <w:r w:rsidR="00F73A45">
        <w:t>.</w:t>
      </w:r>
    </w:p>
    <w:p w14:paraId="24B39A49" w14:textId="77777777" w:rsidR="009544CC" w:rsidRDefault="002956A8" w:rsidP="002956A8">
      <w:r>
        <w:t>Nefinanční podniky ve 2.</w:t>
      </w:r>
      <w:r w:rsidR="009544CC">
        <w:t> čtvrtlet</w:t>
      </w:r>
      <w:r>
        <w:t>í obdržely 6,7</w:t>
      </w:r>
      <w:r w:rsidR="00CF1CFF">
        <w:t> mld.</w:t>
      </w:r>
      <w:r>
        <w:t xml:space="preserve"> korun ve formě kapitálových transferů (</w:t>
      </w:r>
      <w:r w:rsidR="009544CC">
        <w:t>z </w:t>
      </w:r>
      <w:r>
        <w:t>toho 5,9</w:t>
      </w:r>
      <w:r w:rsidR="00CF1CFF">
        <w:t> mld.</w:t>
      </w:r>
      <w:r>
        <w:t xml:space="preserve"> jako investiční dotace). </w:t>
      </w:r>
      <w:r w:rsidR="009D0BD5">
        <w:t>Podobně jako v 1.</w:t>
      </w:r>
      <w:r w:rsidR="009544CC">
        <w:t> čtvrtlet</w:t>
      </w:r>
      <w:r w:rsidR="009D0BD5">
        <w:t xml:space="preserve">í </w:t>
      </w:r>
      <w:r>
        <w:t xml:space="preserve">ale </w:t>
      </w:r>
      <w:r w:rsidR="009D0BD5">
        <w:t xml:space="preserve">negativní ekonomický vývoj vedl </w:t>
      </w:r>
      <w:r>
        <w:t xml:space="preserve">NP </w:t>
      </w:r>
      <w:r w:rsidR="009D0BD5">
        <w:t>k omezení investičních výdajů. Výdaje NP na tvorbu hrubého fixního kapitálu tak ve 2.</w:t>
      </w:r>
      <w:r w:rsidR="009544CC">
        <w:t> čtvrtlet</w:t>
      </w:r>
      <w:r w:rsidR="009D0BD5">
        <w:t xml:space="preserve">í dosáhly 209,3 mld. korun </w:t>
      </w:r>
      <w:r w:rsidR="009544CC">
        <w:t>a </w:t>
      </w:r>
      <w:r w:rsidR="009D0BD5">
        <w:t xml:space="preserve">meziročně klesly </w:t>
      </w:r>
      <w:r w:rsidR="009544CC">
        <w:t>o </w:t>
      </w:r>
      <w:r w:rsidR="009D0BD5">
        <w:t>10,8</w:t>
      </w:r>
      <w:r w:rsidR="00CF1CFF">
        <w:t> mld.</w:t>
      </w:r>
      <w:r w:rsidR="009D0BD5">
        <w:t xml:space="preserve"> Šlo </w:t>
      </w:r>
      <w:r w:rsidR="009544CC">
        <w:t>o </w:t>
      </w:r>
      <w:r w:rsidR="009D0BD5">
        <w:t>nejnižší úroveň investic ve 2.</w:t>
      </w:r>
      <w:r w:rsidR="009544CC">
        <w:t> čtvrtlet</w:t>
      </w:r>
      <w:r w:rsidR="009D0BD5">
        <w:t>í od roku 2017.</w:t>
      </w:r>
      <w:r w:rsidR="0087060D">
        <w:t xml:space="preserve"> Podle sezónně očištěných údajů se ale výdaje NP na tvorbu hrubého fixního kapitálu </w:t>
      </w:r>
      <w:proofErr w:type="spellStart"/>
      <w:r w:rsidR="0087060D">
        <w:t>mezičtvrtletně</w:t>
      </w:r>
      <w:proofErr w:type="spellEnd"/>
      <w:r w:rsidR="0087060D">
        <w:t xml:space="preserve"> mírně zvýšily.</w:t>
      </w:r>
      <w:r>
        <w:t xml:space="preserve"> Míra investic</w:t>
      </w:r>
      <w:r w:rsidRPr="00837B9D">
        <w:rPr>
          <w:rStyle w:val="Znakapoznpodarou"/>
        </w:rPr>
        <w:footnoteReference w:id="7"/>
      </w:r>
      <w:r>
        <w:t xml:space="preserve"> dosáhla 29,2</w:t>
      </w:r>
      <w:r w:rsidR="00CF1CFF">
        <w:t> %</w:t>
      </w:r>
      <w:r>
        <w:t xml:space="preserve"> (sezónně očištěno) </w:t>
      </w:r>
      <w:r w:rsidR="009544CC">
        <w:t>a </w:t>
      </w:r>
      <w:proofErr w:type="spellStart"/>
      <w:r>
        <w:t>mezičtvrtletně</w:t>
      </w:r>
      <w:proofErr w:type="spellEnd"/>
      <w:r>
        <w:t xml:space="preserve"> se zvýšila </w:t>
      </w:r>
      <w:r w:rsidR="009544CC">
        <w:t>o </w:t>
      </w:r>
      <w:r>
        <w:t>2,3</w:t>
      </w:r>
      <w:r w:rsidR="00CF1CFF">
        <w:t> p. b.</w:t>
      </w:r>
      <w:r>
        <w:t xml:space="preserve"> Meziročně se míra investic (neočištěná) zvýšila </w:t>
      </w:r>
      <w:r w:rsidR="009544CC">
        <w:t>o </w:t>
      </w:r>
      <w:r>
        <w:t>1,</w:t>
      </w:r>
      <w:r w:rsidR="009544CC">
        <w:t>4 </w:t>
      </w:r>
      <w:r>
        <w:t>p. b.</w:t>
      </w:r>
    </w:p>
    <w:p w14:paraId="6E07564A" w14:textId="294A5BE1" w:rsidR="002956A8" w:rsidRPr="00293514" w:rsidRDefault="002956A8" w:rsidP="00C65FAA">
      <w:pPr>
        <w:pStyle w:val="TabulkaGraf"/>
        <w:rPr>
          <w:b w:val="0"/>
          <w:bCs w:val="0"/>
        </w:rPr>
      </w:pPr>
    </w:p>
    <w:p w14:paraId="551D4C2E" w14:textId="01DBF309" w:rsidR="0050641C" w:rsidRDefault="0050641C" w:rsidP="00C65FAA">
      <w:pPr>
        <w:pStyle w:val="TabulkaGraf"/>
      </w:pPr>
      <w:r w:rsidRPr="00A244F9">
        <w:lastRenderedPageBreak/>
        <w:t>G</w:t>
      </w:r>
      <w:r w:rsidR="002E6F00">
        <w:t>raf </w:t>
      </w:r>
      <w:r w:rsidRPr="00A244F9">
        <w:t xml:space="preserve">2: Meziroční </w:t>
      </w:r>
      <w:r>
        <w:t xml:space="preserve">nominální </w:t>
      </w:r>
      <w:r w:rsidRPr="00A244F9">
        <w:t>přírůstek tvorby hrubého fixního kapitálu (v</w:t>
      </w:r>
      <w:r w:rsidR="00840938">
        <w:t> mld.</w:t>
      </w:r>
      <w:r w:rsidRPr="00A244F9">
        <w:t xml:space="preserve"> korun) </w:t>
      </w:r>
      <w:r w:rsidR="00F03815" w:rsidRPr="00A244F9">
        <w:t>a</w:t>
      </w:r>
      <w:r w:rsidR="00F03815">
        <w:t> </w:t>
      </w:r>
      <w:r w:rsidRPr="00A244F9">
        <w:t>míra investic (sezónně očištěno, v</w:t>
      </w:r>
      <w:r w:rsidR="00840938">
        <w:t> %</w:t>
      </w:r>
      <w:r w:rsidRPr="00A244F9">
        <w:t>)</w:t>
      </w:r>
    </w:p>
    <w:p w14:paraId="60006B1C" w14:textId="504B12C2" w:rsidR="007F6239" w:rsidRDefault="000171C5" w:rsidP="00941335">
      <w:pPr>
        <w:jc w:val="center"/>
      </w:pPr>
      <w:r>
        <w:rPr>
          <w:noProof/>
          <w:lang w:eastAsia="cs-CZ"/>
        </w:rPr>
        <w:drawing>
          <wp:inline distT="0" distB="0" distL="0" distR="0" wp14:anchorId="05E63A29" wp14:editId="6B1B8DEA">
            <wp:extent cx="4737600" cy="3060000"/>
            <wp:effectExtent l="0" t="0" r="6350" b="762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B19E851" w14:textId="77777777" w:rsidR="00941335" w:rsidRPr="00941335" w:rsidRDefault="00941335" w:rsidP="00941335">
      <w:pPr>
        <w:spacing w:after="240"/>
      </w:pPr>
      <w:r>
        <w:t>Zdroj: ČSÚ, národní účty</w:t>
      </w:r>
    </w:p>
    <w:p w14:paraId="7BF2286A" w14:textId="77777777" w:rsidR="00F50CEF" w:rsidRDefault="00F50CEF" w:rsidP="006052D8">
      <w:pPr>
        <w:pStyle w:val="Nadpis1"/>
      </w:pPr>
      <w:r>
        <w:t>Vládní instituce</w:t>
      </w:r>
    </w:p>
    <w:p w14:paraId="47BC2643" w14:textId="72D80B65" w:rsidR="009544CC" w:rsidRDefault="008D2561" w:rsidP="00D80F3C">
      <w:pPr>
        <w:spacing w:after="240"/>
      </w:pPr>
      <w:r>
        <w:t>Celkový deficit hospodaření vládních institucí dosáhl ve 2.</w:t>
      </w:r>
      <w:r w:rsidR="009544CC">
        <w:t> čtvrtlet</w:t>
      </w:r>
      <w:r>
        <w:t>í 100,4</w:t>
      </w:r>
      <w:r w:rsidR="00CF1CFF">
        <w:t> mld.</w:t>
      </w:r>
      <w:r>
        <w:t xml:space="preserve"> korun</w:t>
      </w:r>
      <w:r w:rsidR="00093BCB">
        <w:t xml:space="preserve"> </w:t>
      </w:r>
      <w:r w:rsidR="009544CC">
        <w:t>a </w:t>
      </w:r>
      <w:r w:rsidR="00093BCB">
        <w:t xml:space="preserve">meziročně se zhoršil </w:t>
      </w:r>
      <w:r w:rsidR="009544CC">
        <w:t>o </w:t>
      </w:r>
      <w:r w:rsidR="00093BCB">
        <w:t>126,2</w:t>
      </w:r>
      <w:r w:rsidR="00CF1CFF">
        <w:t> mld.</w:t>
      </w:r>
      <w:r w:rsidR="00093BCB">
        <w:t xml:space="preserve"> (</w:t>
      </w:r>
      <w:r w:rsidR="00CF707A">
        <w:t>v</w:t>
      </w:r>
      <w:r w:rsidR="00093BCB">
        <w:t>e 2.</w:t>
      </w:r>
      <w:r w:rsidR="009544CC">
        <w:t> čtvrtlet</w:t>
      </w:r>
      <w:r w:rsidR="00093BCB">
        <w:t xml:space="preserve">í </w:t>
      </w:r>
      <w:r w:rsidR="00CF707A">
        <w:t>2019 bylo hospodaření v přebytku 25,8</w:t>
      </w:r>
      <w:r w:rsidR="00CF1CFF">
        <w:t> mld.</w:t>
      </w:r>
      <w:r w:rsidR="00CF707A">
        <w:t xml:space="preserve"> </w:t>
      </w:r>
      <w:r w:rsidR="009544CC">
        <w:t>a </w:t>
      </w:r>
      <w:r w:rsidR="00CF707A">
        <w:t>2.</w:t>
      </w:r>
      <w:r w:rsidR="009544CC">
        <w:t> kvartál</w:t>
      </w:r>
      <w:r w:rsidR="00CF707A">
        <w:t xml:space="preserve"> </w:t>
      </w:r>
      <w:r w:rsidR="00327644">
        <w:t>měl</w:t>
      </w:r>
      <w:r w:rsidR="00CF707A">
        <w:t xml:space="preserve"> v minulých letech </w:t>
      </w:r>
      <w:r w:rsidR="00327644">
        <w:t>vždy nejvyšší přebytek</w:t>
      </w:r>
      <w:r w:rsidR="00093BCB">
        <w:t>).</w:t>
      </w:r>
      <w:r w:rsidR="00CF707A">
        <w:t xml:space="preserve"> Podobně jako v 1.</w:t>
      </w:r>
      <w:r w:rsidR="009544CC">
        <w:t> čtvrtlet</w:t>
      </w:r>
      <w:r w:rsidR="00CF707A">
        <w:t xml:space="preserve">í se zvětšoval rozdíl mezi dynamikou příjmů </w:t>
      </w:r>
      <w:r w:rsidR="009544CC">
        <w:t>a </w:t>
      </w:r>
      <w:r w:rsidR="00CF707A">
        <w:t xml:space="preserve">výdajů. Výdaje vládních institucí se meziročně zvýšily </w:t>
      </w:r>
      <w:r w:rsidR="009544CC">
        <w:t>o </w:t>
      </w:r>
      <w:r w:rsidR="00CF707A">
        <w:t>82,1</w:t>
      </w:r>
      <w:r w:rsidR="00CF1CFF">
        <w:t> mld.</w:t>
      </w:r>
      <w:r w:rsidR="00CF707A">
        <w:t xml:space="preserve"> korun (14,0</w:t>
      </w:r>
      <w:r w:rsidR="00CF1CFF">
        <w:t> %</w:t>
      </w:r>
      <w:r w:rsidR="00CF707A">
        <w:t xml:space="preserve">) </w:t>
      </w:r>
      <w:r w:rsidR="009544CC">
        <w:t>a </w:t>
      </w:r>
      <w:r w:rsidR="00CF707A">
        <w:t xml:space="preserve">příjmy se naopak propadly </w:t>
      </w:r>
      <w:r w:rsidR="009544CC">
        <w:t>o </w:t>
      </w:r>
      <w:r w:rsidR="00CF707A">
        <w:t>44,1</w:t>
      </w:r>
      <w:r w:rsidR="00CF1CFF">
        <w:t> </w:t>
      </w:r>
      <w:proofErr w:type="gramStart"/>
      <w:r w:rsidR="00CF1CFF">
        <w:t>mld.</w:t>
      </w:r>
      <w:r w:rsidR="00CF707A">
        <w:t xml:space="preserve"> (</w:t>
      </w:r>
      <w:r w:rsidR="009544CC">
        <w:t>–</w:t>
      </w:r>
      <w:r w:rsidR="00CF707A">
        <w:t>7,2</w:t>
      </w:r>
      <w:proofErr w:type="gramEnd"/>
      <w:r w:rsidR="00CF1CFF">
        <w:t> %</w:t>
      </w:r>
      <w:r w:rsidR="00CF707A">
        <w:t>).</w:t>
      </w:r>
    </w:p>
    <w:p w14:paraId="6BC8E45D" w14:textId="05FD8B08" w:rsidR="00C36AD6" w:rsidRDefault="00C26D85" w:rsidP="00D80F3C">
      <w:pPr>
        <w:spacing w:after="240"/>
      </w:pPr>
      <w:r>
        <w:t>Celkový objem příjmů vládních institucí dosáhl 570,0</w:t>
      </w:r>
      <w:r w:rsidR="00CF1CFF">
        <w:t> mld.</w:t>
      </w:r>
      <w:r>
        <w:t xml:space="preserve"> korun. Meziročně klesaly téměř všechny zdroje příjmů sektoru, zejména ty váhově nejvýznamnější, tedy daně </w:t>
      </w:r>
      <w:r w:rsidR="009544CC">
        <w:t>a </w:t>
      </w:r>
      <w:r>
        <w:t xml:space="preserve">sociální příspěvky. </w:t>
      </w:r>
      <w:r w:rsidR="000207B9">
        <w:t>Ty byly zasaženy propadem celkové ekonomické produkce, ale rovněž některými protikrizovými opatřeními (</w:t>
      </w:r>
      <w:r w:rsidR="00327644">
        <w:t xml:space="preserve">např. </w:t>
      </w:r>
      <w:r w:rsidR="000207B9">
        <w:t xml:space="preserve">prominutí minimálních záloh na sociálním </w:t>
      </w:r>
      <w:r w:rsidR="009544CC">
        <w:t>a </w:t>
      </w:r>
      <w:r w:rsidR="000207B9">
        <w:t>zdravotním pojištění</w:t>
      </w:r>
      <w:r w:rsidR="004E7E1E" w:rsidRPr="004E7E1E">
        <w:t xml:space="preserve"> </w:t>
      </w:r>
      <w:r w:rsidR="004E7E1E">
        <w:t>pro OSVČ</w:t>
      </w:r>
      <w:r w:rsidR="000207B9">
        <w:t xml:space="preserve">). </w:t>
      </w:r>
      <w:r w:rsidR="00CE1C49">
        <w:t>Meziroční pokles příjmů ve 2.</w:t>
      </w:r>
      <w:r w:rsidR="009544CC">
        <w:t> čtvrtlet</w:t>
      </w:r>
      <w:r w:rsidR="00CE1C49">
        <w:t xml:space="preserve">í 2020 byl </w:t>
      </w:r>
      <w:r w:rsidR="0071669A">
        <w:t xml:space="preserve">tak </w:t>
      </w:r>
      <w:r w:rsidR="00CE1C49">
        <w:t>největší od 3.</w:t>
      </w:r>
      <w:r w:rsidR="009544CC">
        <w:t> kvartál</w:t>
      </w:r>
      <w:r w:rsidR="00CE1C49">
        <w:t>u 2009.</w:t>
      </w:r>
      <w:r w:rsidR="00CF1CFF">
        <w:t xml:space="preserve"> </w:t>
      </w:r>
      <w:r>
        <w:t xml:space="preserve">Nejvýraznější propad nastal </w:t>
      </w:r>
      <w:r w:rsidR="009544CC">
        <w:t>u </w:t>
      </w:r>
      <w:r>
        <w:t>přijatých běžných daní z </w:t>
      </w:r>
      <w:r w:rsidR="001578BA">
        <w:t xml:space="preserve">důchodů </w:t>
      </w:r>
      <w:r w:rsidR="009544CC">
        <w:t>a </w:t>
      </w:r>
      <w:proofErr w:type="gramStart"/>
      <w:r>
        <w:t>jmění (</w:t>
      </w:r>
      <w:r w:rsidR="009544CC">
        <w:t>–</w:t>
      </w:r>
      <w:r>
        <w:t>27,1</w:t>
      </w:r>
      <w:proofErr w:type="gramEnd"/>
      <w:r w:rsidR="00CF1CFF">
        <w:t> mld.</w:t>
      </w:r>
      <w:r>
        <w:t xml:space="preserve"> korun)</w:t>
      </w:r>
      <w:r w:rsidR="00AA4ECF">
        <w:t xml:space="preserve">, daní z výroby </w:t>
      </w:r>
      <w:r w:rsidR="009544CC">
        <w:t>a </w:t>
      </w:r>
      <w:r w:rsidR="00AA4ECF">
        <w:t>dovozu (</w:t>
      </w:r>
      <w:r w:rsidR="009544CC">
        <w:t>–</w:t>
      </w:r>
      <w:r w:rsidR="00AA4ECF">
        <w:t>14,8</w:t>
      </w:r>
      <w:r w:rsidR="00CF1CFF">
        <w:t> mld.</w:t>
      </w:r>
      <w:r w:rsidR="00AA4ECF">
        <w:t xml:space="preserve">) </w:t>
      </w:r>
      <w:r w:rsidR="009544CC">
        <w:t>a </w:t>
      </w:r>
      <w:r w:rsidR="00AA4ECF">
        <w:t>čistých sociálních příspěvků (</w:t>
      </w:r>
      <w:r w:rsidR="009544CC">
        <w:t>–</w:t>
      </w:r>
      <w:r w:rsidR="00AA4ECF">
        <w:t>6,3</w:t>
      </w:r>
      <w:r w:rsidR="00CF1CFF">
        <w:t> mld.</w:t>
      </w:r>
      <w:r w:rsidR="00FF3DA2">
        <w:t>, první pokles od 1.</w:t>
      </w:r>
      <w:r w:rsidR="009544CC">
        <w:t> čtvrtlet</w:t>
      </w:r>
      <w:r w:rsidR="00FF3DA2">
        <w:t>í 2010</w:t>
      </w:r>
      <w:r w:rsidR="00AA4ECF">
        <w:t xml:space="preserve">). Poměrně výrazně zasáhla situace také do hodnoty tržní produkce </w:t>
      </w:r>
      <w:r w:rsidR="009544CC">
        <w:t>a </w:t>
      </w:r>
      <w:r w:rsidR="00AA4ECF">
        <w:t xml:space="preserve">produkce pro vlastní užití </w:t>
      </w:r>
      <w:r w:rsidR="00CE1C49">
        <w:t xml:space="preserve">samotných vládních </w:t>
      </w:r>
      <w:proofErr w:type="gramStart"/>
      <w:r w:rsidR="00CE1C49">
        <w:t xml:space="preserve">institucí </w:t>
      </w:r>
      <w:r w:rsidR="00AA4ECF">
        <w:t>(</w:t>
      </w:r>
      <w:r w:rsidR="009544CC">
        <w:t>–</w:t>
      </w:r>
      <w:r w:rsidR="00AA4ECF">
        <w:t>6,3</w:t>
      </w:r>
      <w:proofErr w:type="gramEnd"/>
      <w:r w:rsidR="00CF1CFF">
        <w:t> mld.</w:t>
      </w:r>
      <w:r w:rsidR="00AA4ECF">
        <w:t xml:space="preserve"> korun). Meziroční růst zaznamenaly přijaté důchody z vlastnictví (+6,8</w:t>
      </w:r>
      <w:r w:rsidR="00CE1C49">
        <w:t> </w:t>
      </w:r>
      <w:r w:rsidR="00AA4ECF">
        <w:t xml:space="preserve">mld. korun) </w:t>
      </w:r>
      <w:r w:rsidR="009544CC">
        <w:t>a </w:t>
      </w:r>
      <w:r w:rsidR="00AA4ECF">
        <w:t>rovněž kapitálové transfery (+4,7</w:t>
      </w:r>
      <w:r w:rsidR="00CF1CFF">
        <w:t> mld.</w:t>
      </w:r>
      <w:r w:rsidR="00AA4ECF">
        <w:t>).</w:t>
      </w:r>
    </w:p>
    <w:p w14:paraId="0DC83F27" w14:textId="3AEDE1F0" w:rsidR="00CE1C49" w:rsidRDefault="006B610C" w:rsidP="00961ECD">
      <w:pPr>
        <w:spacing w:after="240"/>
      </w:pPr>
      <w:r>
        <w:t>Výdaje</w:t>
      </w:r>
      <w:r w:rsidR="0071669A">
        <w:t xml:space="preserve"> vládních institucí ve 2.</w:t>
      </w:r>
      <w:r w:rsidR="009544CC">
        <w:t> čtvrtlet</w:t>
      </w:r>
      <w:r w:rsidR="0071669A">
        <w:t>í dosáhly 670,4</w:t>
      </w:r>
      <w:r w:rsidR="00CF1CFF">
        <w:t> mld.</w:t>
      </w:r>
      <w:r w:rsidR="0071669A">
        <w:t xml:space="preserve"> korun. </w:t>
      </w:r>
      <w:r w:rsidR="00A15C6C">
        <w:t xml:space="preserve">Na jejich dynamice se již výrazně podepsala reakce sektoru na </w:t>
      </w:r>
      <w:proofErr w:type="spellStart"/>
      <w:r w:rsidR="00A15C6C">
        <w:t>koronavirovou</w:t>
      </w:r>
      <w:proofErr w:type="spellEnd"/>
      <w:r w:rsidR="00A15C6C">
        <w:t xml:space="preserve"> krizi. </w:t>
      </w:r>
      <w:r w:rsidR="001D7686">
        <w:t xml:space="preserve">Dále pokračoval </w:t>
      </w:r>
      <w:r w:rsidR="00327644">
        <w:t>silný</w:t>
      </w:r>
      <w:r w:rsidR="001D7686">
        <w:t xml:space="preserve"> růst výdajů na sociální dávky </w:t>
      </w:r>
      <w:r w:rsidR="009544CC">
        <w:t>a </w:t>
      </w:r>
      <w:r w:rsidR="001D7686">
        <w:t xml:space="preserve">naturální sociální transfery (meziroční nárůst </w:t>
      </w:r>
      <w:r w:rsidR="009544CC">
        <w:t>o </w:t>
      </w:r>
      <w:r w:rsidR="001D7686">
        <w:t>30,0</w:t>
      </w:r>
      <w:r w:rsidR="00CF1CFF">
        <w:t> mld.</w:t>
      </w:r>
      <w:r w:rsidR="001D7686">
        <w:t xml:space="preserve"> korun).</w:t>
      </w:r>
      <w:r w:rsidR="00222071">
        <w:t xml:space="preserve"> K navýšení starobních důchodů, které ovlivnilo již 1.</w:t>
      </w:r>
      <w:r w:rsidR="009544CC">
        <w:t> čtvrtlet</w:t>
      </w:r>
      <w:r w:rsidR="00222071">
        <w:t xml:space="preserve">í, se přidal vyšší objem plateb za ošetřovné pro zaměstnance </w:t>
      </w:r>
      <w:r w:rsidR="009544CC">
        <w:t>a </w:t>
      </w:r>
      <w:r w:rsidR="00222071">
        <w:t xml:space="preserve">OSVČ </w:t>
      </w:r>
      <w:r w:rsidR="009544CC">
        <w:t>a </w:t>
      </w:r>
      <w:r w:rsidR="00222071">
        <w:t>rovněž vyšší platby za státní pojištěnce.</w:t>
      </w:r>
      <w:r w:rsidR="00B435ED">
        <w:t xml:space="preserve"> Silné meziroční navýšení proběhlo rovněž </w:t>
      </w:r>
      <w:r w:rsidR="009544CC">
        <w:lastRenderedPageBreak/>
        <w:t>u </w:t>
      </w:r>
      <w:r w:rsidR="00B435ED">
        <w:t>kapitálových transferů</w:t>
      </w:r>
      <w:r w:rsidR="00B435ED">
        <w:rPr>
          <w:rStyle w:val="Znakapoznpodarou"/>
        </w:rPr>
        <w:footnoteReference w:id="8"/>
      </w:r>
      <w:r w:rsidR="00B435ED">
        <w:t xml:space="preserve"> (+18,4</w:t>
      </w:r>
      <w:r w:rsidR="00CF1CFF">
        <w:t> mld.</w:t>
      </w:r>
      <w:r w:rsidR="00B435ED">
        <w:t xml:space="preserve"> korun)</w:t>
      </w:r>
      <w:r w:rsidR="00016AA5">
        <w:t xml:space="preserve"> </w:t>
      </w:r>
      <w:r w:rsidR="009544CC">
        <w:t>a </w:t>
      </w:r>
      <w:r w:rsidR="00016AA5">
        <w:t>dotací (+17,1</w:t>
      </w:r>
      <w:r w:rsidR="00CF1CFF">
        <w:t> mld.</w:t>
      </w:r>
      <w:r w:rsidR="00016AA5">
        <w:t>, již zmíněn</w:t>
      </w:r>
      <w:r w:rsidR="00EE5E89">
        <w:t>ý</w:t>
      </w:r>
      <w:r w:rsidR="00016AA5">
        <w:t xml:space="preserve"> program Antivirus).</w:t>
      </w:r>
      <w:r w:rsidR="00A961DA">
        <w:t xml:space="preserve"> </w:t>
      </w:r>
      <w:r w:rsidR="006370C9">
        <w:t>Ve srovnání s těmito položkami tak byl spíše v pozadí přírůstek objemu vyplacených náhrad zaměstnancům (+8,0</w:t>
      </w:r>
      <w:r w:rsidR="00CF1CFF">
        <w:t> mld.</w:t>
      </w:r>
      <w:r w:rsidR="006370C9">
        <w:t xml:space="preserve"> korun).</w:t>
      </w:r>
      <w:r w:rsidR="00247354">
        <w:t xml:space="preserve"> Šlo </w:t>
      </w:r>
      <w:r w:rsidR="009544CC">
        <w:t>o </w:t>
      </w:r>
      <w:r w:rsidR="00247354">
        <w:t>nejnižší nárůst od 3.</w:t>
      </w:r>
      <w:r w:rsidR="009544CC">
        <w:t> čtvrtlet</w:t>
      </w:r>
      <w:r w:rsidR="00247354">
        <w:t>í 2016.</w:t>
      </w:r>
      <w:r w:rsidR="00B365F7">
        <w:t xml:space="preserve"> Ostatní běžné transfery se meziročně zvýšily </w:t>
      </w:r>
      <w:r w:rsidR="009544CC">
        <w:t>o </w:t>
      </w:r>
      <w:r w:rsidR="00B365F7">
        <w:t>4,8</w:t>
      </w:r>
      <w:r w:rsidR="00CF1CFF">
        <w:t> mld.</w:t>
      </w:r>
      <w:r w:rsidR="00B365F7">
        <w:t xml:space="preserve"> korun. Poměrně nízký zůstal přírůstek investiční aktivity. Výdaje na tvorbu hrubého fixního kapitálu se meziročně navýšily </w:t>
      </w:r>
      <w:r w:rsidR="009544CC">
        <w:t>o </w:t>
      </w:r>
      <w:r w:rsidR="00B365F7">
        <w:t>3,6</w:t>
      </w:r>
      <w:r w:rsidR="00CF1CFF">
        <w:t> mld.</w:t>
      </w:r>
      <w:r w:rsidR="00B365F7">
        <w:t xml:space="preserve"> korun.</w:t>
      </w:r>
    </w:p>
    <w:p w14:paraId="6BDFBC0A" w14:textId="77777777" w:rsidR="00C65FAA" w:rsidRPr="00837B9D" w:rsidRDefault="00C65FAA" w:rsidP="00C65FAA">
      <w:pPr>
        <w:pStyle w:val="TabulkaGraf"/>
      </w:pPr>
      <w:r>
        <w:t>G</w:t>
      </w:r>
      <w:r w:rsidR="002E6F00">
        <w:t>raf </w:t>
      </w:r>
      <w:r>
        <w:t xml:space="preserve">3: Saldo hospodaření vládních institucí </w:t>
      </w:r>
      <w:r w:rsidRPr="00D842AF">
        <w:t>(v</w:t>
      </w:r>
      <w:r w:rsidR="00840938">
        <w:t> mld.</w:t>
      </w:r>
      <w:r w:rsidRPr="00D842AF">
        <w:t xml:space="preserve"> korun)</w:t>
      </w:r>
    </w:p>
    <w:p w14:paraId="013DB62F" w14:textId="7F13E59C" w:rsidR="00E52B7F" w:rsidRDefault="009A38F9" w:rsidP="00941335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5C615448" wp14:editId="086C6525">
            <wp:extent cx="4737600" cy="3060000"/>
            <wp:effectExtent l="0" t="0" r="6350" b="762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82E7F1" w14:textId="77777777" w:rsidR="00941335" w:rsidRPr="00941335" w:rsidRDefault="00941335" w:rsidP="00941335">
      <w:pPr>
        <w:spacing w:after="240"/>
      </w:pPr>
      <w:r>
        <w:t>Zdroj: ČSÚ, národní účty</w:t>
      </w:r>
    </w:p>
    <w:p w14:paraId="760EDD13" w14:textId="51E966FD" w:rsidR="009E0621" w:rsidRDefault="00092C15" w:rsidP="00DB4E76">
      <w:pPr>
        <w:spacing w:after="240"/>
      </w:pPr>
      <w:r>
        <w:t xml:space="preserve">Většina z prudkého růstu výdajů v souvislosti se současnou situací připadla na </w:t>
      </w:r>
      <w:proofErr w:type="spellStart"/>
      <w:r>
        <w:t>subsektor</w:t>
      </w:r>
      <w:proofErr w:type="spellEnd"/>
      <w:r>
        <w:t xml:space="preserve"> ústředních vládních institucí, který tak skončil v hlubokém deficitu </w:t>
      </w:r>
      <w:r w:rsidR="00101622">
        <w:t>116,0</w:t>
      </w:r>
      <w:r w:rsidR="00CF1CFF">
        <w:t> mld.</w:t>
      </w:r>
      <w:r>
        <w:t xml:space="preserve"> korun</w:t>
      </w:r>
      <w:r w:rsidR="008D5298">
        <w:t xml:space="preserve"> (nejhorší zaznamenaný výsledek)</w:t>
      </w:r>
      <w:r>
        <w:t>.</w:t>
      </w:r>
      <w:r w:rsidR="00101622">
        <w:t xml:space="preserve"> Záporné saldo se meziročně prohloubilo </w:t>
      </w:r>
      <w:r w:rsidR="009544CC">
        <w:t>o </w:t>
      </w:r>
      <w:r w:rsidR="00101622">
        <w:t>109,0</w:t>
      </w:r>
      <w:r w:rsidR="00CF1CFF">
        <w:t> mld.</w:t>
      </w:r>
      <w:r w:rsidR="008D5298">
        <w:t xml:space="preserve"> Výdaje ústředních vládních institucí se masivně meziročně zvýšily </w:t>
      </w:r>
      <w:r w:rsidR="009544CC">
        <w:t>o </w:t>
      </w:r>
      <w:r w:rsidR="008D5298">
        <w:t>81,0</w:t>
      </w:r>
      <w:r w:rsidR="00CF1CFF">
        <w:t> mld.</w:t>
      </w:r>
      <w:r w:rsidR="008D5298">
        <w:t xml:space="preserve"> korun (18,4</w:t>
      </w:r>
      <w:r w:rsidR="00CF1CFF">
        <w:t> %</w:t>
      </w:r>
      <w:r w:rsidR="00E9349A">
        <w:t>)</w:t>
      </w:r>
      <w:r w:rsidR="008D5298">
        <w:t>, především kvůli sociálním dávkám</w:t>
      </w:r>
      <w:r w:rsidR="009E0621">
        <w:t xml:space="preserve"> (+28,8</w:t>
      </w:r>
      <w:r w:rsidR="00CF1CFF">
        <w:t> mld.</w:t>
      </w:r>
      <w:r w:rsidR="009E0621">
        <w:t xml:space="preserve"> korun)</w:t>
      </w:r>
      <w:r w:rsidR="008D5298">
        <w:t>, dotacím</w:t>
      </w:r>
      <w:r w:rsidR="009E0621">
        <w:t xml:space="preserve"> (+15,7</w:t>
      </w:r>
      <w:r w:rsidR="00CF1CFF">
        <w:t> mld.</w:t>
      </w:r>
      <w:r w:rsidR="009E0621">
        <w:t>)</w:t>
      </w:r>
      <w:r w:rsidR="008D5298">
        <w:t xml:space="preserve"> </w:t>
      </w:r>
      <w:r w:rsidR="009544CC">
        <w:t>a </w:t>
      </w:r>
      <w:r w:rsidR="008D5298">
        <w:t xml:space="preserve">kapitálovým transferům. Na straně příjmů došlo k propadu </w:t>
      </w:r>
      <w:r w:rsidR="009544CC">
        <w:t>o </w:t>
      </w:r>
      <w:r w:rsidR="008D5298">
        <w:t xml:space="preserve">28,0 mld. </w:t>
      </w:r>
      <w:r w:rsidR="009E0621">
        <w:t xml:space="preserve">korun </w:t>
      </w:r>
      <w:r w:rsidR="008D5298">
        <w:t>(6,5</w:t>
      </w:r>
      <w:r w:rsidR="00CF1CFF">
        <w:t> %</w:t>
      </w:r>
      <w:r w:rsidR="008D5298">
        <w:t xml:space="preserve">). Příjmy </w:t>
      </w:r>
      <w:proofErr w:type="spellStart"/>
      <w:r w:rsidR="008D5298">
        <w:t>subsektoru</w:t>
      </w:r>
      <w:proofErr w:type="spellEnd"/>
      <w:r w:rsidR="008D5298">
        <w:t xml:space="preserve"> trpěly zejména propadem přijatých běžných daní z důchodů </w:t>
      </w:r>
      <w:r w:rsidR="009544CC">
        <w:t>a </w:t>
      </w:r>
      <w:proofErr w:type="gramStart"/>
      <w:r w:rsidR="008D5298">
        <w:t xml:space="preserve">jmění </w:t>
      </w:r>
      <w:r w:rsidR="009E0621">
        <w:t>(</w:t>
      </w:r>
      <w:r w:rsidR="009544CC">
        <w:t>–</w:t>
      </w:r>
      <w:r w:rsidR="009E0621">
        <w:t>18,5</w:t>
      </w:r>
      <w:proofErr w:type="gramEnd"/>
      <w:r w:rsidR="00CF1CFF">
        <w:t> mld.</w:t>
      </w:r>
      <w:r w:rsidR="009E0621">
        <w:t xml:space="preserve">) </w:t>
      </w:r>
      <w:r w:rsidR="009544CC">
        <w:t>a </w:t>
      </w:r>
      <w:r w:rsidR="008D5298">
        <w:t xml:space="preserve">daní z výroby </w:t>
      </w:r>
      <w:r w:rsidR="009544CC">
        <w:t>a </w:t>
      </w:r>
      <w:r w:rsidR="008D5298">
        <w:t>dovozu</w:t>
      </w:r>
      <w:r w:rsidR="009E0621">
        <w:t xml:space="preserve"> (</w:t>
      </w:r>
      <w:r w:rsidR="009544CC">
        <w:t>–</w:t>
      </w:r>
      <w:r w:rsidR="009E0621">
        <w:t>11,3</w:t>
      </w:r>
      <w:r w:rsidR="00CF1CFF">
        <w:t> mld.</w:t>
      </w:r>
      <w:r w:rsidR="009E0621">
        <w:t>)</w:t>
      </w:r>
      <w:r w:rsidR="008D5298">
        <w:t>, ale rovněž poklesem čistých sociálních příspěvků</w:t>
      </w:r>
      <w:r w:rsidR="009E0621">
        <w:t xml:space="preserve"> (</w:t>
      </w:r>
      <w:r w:rsidR="009544CC">
        <w:t>–</w:t>
      </w:r>
      <w:r w:rsidR="009E0621">
        <w:t>6,6</w:t>
      </w:r>
      <w:r w:rsidR="00CF1CFF">
        <w:t> mld.</w:t>
      </w:r>
      <w:r w:rsidR="009E0621">
        <w:t>)</w:t>
      </w:r>
      <w:r w:rsidR="008D5298">
        <w:t>.</w:t>
      </w:r>
    </w:p>
    <w:p w14:paraId="63BAD655" w14:textId="7DF490D2" w:rsidR="00991E8D" w:rsidRDefault="00A63DD4" w:rsidP="00DB4E76">
      <w:pPr>
        <w:spacing w:after="240"/>
      </w:pPr>
      <w:r>
        <w:t>Hospodaření m</w:t>
      </w:r>
      <w:r w:rsidR="009E0621">
        <w:t>ístní</w:t>
      </w:r>
      <w:r>
        <w:t>ch</w:t>
      </w:r>
      <w:r w:rsidR="009E0621">
        <w:t xml:space="preserve"> vládní</w:t>
      </w:r>
      <w:r>
        <w:t>ch</w:t>
      </w:r>
      <w:r w:rsidR="009E0621">
        <w:t xml:space="preserve"> instituc</w:t>
      </w:r>
      <w:r>
        <w:t>í ve 2.</w:t>
      </w:r>
      <w:r w:rsidR="009544CC">
        <w:t> čtvrtlet</w:t>
      </w:r>
      <w:r>
        <w:t xml:space="preserve">í setrvalo v přebytku </w:t>
      </w:r>
      <w:r w:rsidR="00EF0152">
        <w:t>14,8</w:t>
      </w:r>
      <w:r w:rsidR="00CF1CFF">
        <w:t> mld.</w:t>
      </w:r>
      <w:r w:rsidR="00EF0152">
        <w:t xml:space="preserve"> korun. Ten se meziročně snížil </w:t>
      </w:r>
      <w:r w:rsidR="009544CC">
        <w:t>o </w:t>
      </w:r>
      <w:r w:rsidR="00EF0152">
        <w:t>13,2</w:t>
      </w:r>
      <w:r w:rsidR="00CF1CFF">
        <w:t> mld.</w:t>
      </w:r>
      <w:r w:rsidR="00EF0152">
        <w:t xml:space="preserve"> Podobně jako v případě ústředních vládních institucí narostly </w:t>
      </w:r>
      <w:r w:rsidR="00CC410E">
        <w:t xml:space="preserve">i jim </w:t>
      </w:r>
      <w:r w:rsidR="00EF0152">
        <w:t>výdaje (+10,3</w:t>
      </w:r>
      <w:r w:rsidR="00CF1CFF">
        <w:t> mld.</w:t>
      </w:r>
      <w:r w:rsidR="00EF0152">
        <w:t xml:space="preserve">) za současné redukce </w:t>
      </w:r>
      <w:proofErr w:type="gramStart"/>
      <w:r w:rsidR="00EF0152">
        <w:t>příjmů (</w:t>
      </w:r>
      <w:r w:rsidR="009544CC">
        <w:t>–</w:t>
      </w:r>
      <w:r w:rsidR="00EF0152">
        <w:t>2,8</w:t>
      </w:r>
      <w:proofErr w:type="gramEnd"/>
      <w:r w:rsidR="00CF1CFF">
        <w:t> mld.</w:t>
      </w:r>
      <w:r w:rsidR="00EF0152">
        <w:t>).</w:t>
      </w:r>
      <w:r w:rsidR="00FD3187">
        <w:t xml:space="preserve"> Na straně výdajů rostly především náhrady zaměstnancům (+5,6</w:t>
      </w:r>
      <w:r w:rsidR="00CF1CFF">
        <w:t> mld.</w:t>
      </w:r>
      <w:r w:rsidR="00FD3187">
        <w:t xml:space="preserve"> korun). Klesaly</w:t>
      </w:r>
      <w:r w:rsidR="009B4969">
        <w:t xml:space="preserve"> zejména</w:t>
      </w:r>
      <w:r w:rsidR="00FD3187">
        <w:t xml:space="preserve"> příjmy z</w:t>
      </w:r>
      <w:r w:rsidR="009B4969">
        <w:t xml:space="preserve"> běžných daní z důchodů </w:t>
      </w:r>
      <w:r w:rsidR="009544CC">
        <w:t>a </w:t>
      </w:r>
      <w:proofErr w:type="gramStart"/>
      <w:r w:rsidR="009B4969">
        <w:t>jmění (</w:t>
      </w:r>
      <w:r w:rsidR="009544CC">
        <w:t>–</w:t>
      </w:r>
      <w:r w:rsidR="009B4969">
        <w:t>8,7</w:t>
      </w:r>
      <w:proofErr w:type="gramEnd"/>
      <w:r w:rsidR="009B4969">
        <w:t> mld. korun),</w:t>
      </w:r>
      <w:r w:rsidR="005024A7">
        <w:t xml:space="preserve"> </w:t>
      </w:r>
      <w:r w:rsidR="00FD3187">
        <w:t xml:space="preserve">tržní produkce </w:t>
      </w:r>
      <w:r w:rsidR="009544CC">
        <w:t>a </w:t>
      </w:r>
      <w:r w:rsidR="00FD3187">
        <w:t>produkce pro vlastní užití (</w:t>
      </w:r>
      <w:r w:rsidR="009544CC">
        <w:t>–</w:t>
      </w:r>
      <w:r w:rsidR="00FD3187">
        <w:t>3,9</w:t>
      </w:r>
      <w:r w:rsidR="00CF1CFF">
        <w:t> mld.</w:t>
      </w:r>
      <w:r w:rsidR="00FD3187">
        <w:t>)</w:t>
      </w:r>
      <w:r w:rsidR="00327644">
        <w:t xml:space="preserve"> a</w:t>
      </w:r>
      <w:r w:rsidR="00FD3187">
        <w:t xml:space="preserve"> daní z výroby </w:t>
      </w:r>
      <w:r w:rsidR="009544CC">
        <w:t>a </w:t>
      </w:r>
      <w:r w:rsidR="00FD3187">
        <w:t>dovozu (</w:t>
      </w:r>
      <w:r w:rsidR="009544CC">
        <w:t>–</w:t>
      </w:r>
      <w:r w:rsidR="00FD3187">
        <w:t>3,7</w:t>
      </w:r>
      <w:r w:rsidR="00CF1CFF">
        <w:t> mld.</w:t>
      </w:r>
      <w:r w:rsidR="00FD3187">
        <w:t>)</w:t>
      </w:r>
      <w:r w:rsidR="009B4969">
        <w:t>.</w:t>
      </w:r>
      <w:r w:rsidR="00FD3187">
        <w:t xml:space="preserve"> </w:t>
      </w:r>
      <w:r w:rsidR="009B4969">
        <w:t xml:space="preserve">Na druhé straně obdržely místní vládní instituce meziročně </w:t>
      </w:r>
      <w:r w:rsidR="009544CC">
        <w:t>o </w:t>
      </w:r>
      <w:r w:rsidR="009B4969">
        <w:t>11,6</w:t>
      </w:r>
      <w:r w:rsidR="00CF1CFF">
        <w:t> mld.</w:t>
      </w:r>
      <w:r w:rsidR="009B4969">
        <w:t xml:space="preserve"> korun více ve formě ostatních běžných transferů. Fondy sociální</w:t>
      </w:r>
      <w:r w:rsidR="00D80F3C">
        <w:t xml:space="preserve">ho zabezpečení (zdravotní </w:t>
      </w:r>
      <w:r w:rsidR="00D80F3C">
        <w:lastRenderedPageBreak/>
        <w:t>pojišťovny) v</w:t>
      </w:r>
      <w:r w:rsidR="009B4969">
        <w:t>e</w:t>
      </w:r>
      <w:r w:rsidR="005024A7">
        <w:t xml:space="preserve"> </w:t>
      </w:r>
      <w:r w:rsidR="009B4969">
        <w:t>2</w:t>
      </w:r>
      <w:r w:rsidR="00D80F3C">
        <w:t>.</w:t>
      </w:r>
      <w:r w:rsidR="00F03815">
        <w:t> čtvrtlet</w:t>
      </w:r>
      <w:r w:rsidR="00D80F3C">
        <w:t>í skončily v</w:t>
      </w:r>
      <w:r w:rsidR="00DE0ACA">
        <w:t> mírném přebytku 0,9</w:t>
      </w:r>
      <w:r w:rsidR="00CF1CFF">
        <w:t> mld.</w:t>
      </w:r>
      <w:r w:rsidR="00DE0ACA">
        <w:t xml:space="preserve"> korun. Ten se meziročně snížil </w:t>
      </w:r>
      <w:r w:rsidR="009544CC">
        <w:t>o </w:t>
      </w:r>
      <w:r w:rsidR="00DE0ACA">
        <w:t>3,9</w:t>
      </w:r>
      <w:r w:rsidR="00CF1CFF">
        <w:t> mld.</w:t>
      </w:r>
      <w:r w:rsidR="00DE0ACA">
        <w:t xml:space="preserve"> korun. Poprvé od 3.</w:t>
      </w:r>
      <w:r w:rsidR="009544CC">
        <w:t> čtvrtlet</w:t>
      </w:r>
      <w:r w:rsidR="00DE0ACA">
        <w:t xml:space="preserve">í 2015 drobně meziročně poklesly příjmy </w:t>
      </w:r>
      <w:proofErr w:type="spellStart"/>
      <w:r w:rsidR="00DE0ACA">
        <w:t>subsektoru</w:t>
      </w:r>
      <w:proofErr w:type="spellEnd"/>
      <w:r w:rsidR="00DE0ACA">
        <w:t>, výdaje se zvyšovaly mírněji než v předchozích čtvrtletích.</w:t>
      </w:r>
    </w:p>
    <w:p w14:paraId="6C4F4887" w14:textId="2A64BFE0" w:rsidR="009544CC" w:rsidRDefault="00991E8D" w:rsidP="00DB4E76">
      <w:pPr>
        <w:spacing w:after="240"/>
      </w:pPr>
      <w:r>
        <w:t>Dluh</w:t>
      </w:r>
      <w:r w:rsidR="00D86734">
        <w:t xml:space="preserve"> sektoru vládních institucí na konci 2.</w:t>
      </w:r>
      <w:r w:rsidR="009544CC">
        <w:t> čtvrtlet</w:t>
      </w:r>
      <w:r w:rsidR="00D86734">
        <w:t>í dosahoval 2 263,5</w:t>
      </w:r>
      <w:r w:rsidR="00CF1CFF">
        <w:t> mld.</w:t>
      </w:r>
      <w:r w:rsidR="00D86734">
        <w:t xml:space="preserve"> korun</w:t>
      </w:r>
      <w:r w:rsidR="00846BC4">
        <w:rPr>
          <w:rStyle w:val="Znakapoznpodarou"/>
        </w:rPr>
        <w:footnoteReference w:id="9"/>
      </w:r>
      <w:r w:rsidR="00D86734">
        <w:t xml:space="preserve">. To představuje meziroční nárůst </w:t>
      </w:r>
      <w:r w:rsidR="009544CC">
        <w:t>o </w:t>
      </w:r>
      <w:r w:rsidR="00D86734">
        <w:t>446,</w:t>
      </w:r>
      <w:r w:rsidR="009544CC">
        <w:t>9 </w:t>
      </w:r>
      <w:r w:rsidR="00D86734">
        <w:t>mld</w:t>
      </w:r>
      <w:r w:rsidR="005024A7">
        <w:t>.</w:t>
      </w:r>
      <w:r w:rsidR="009A5942">
        <w:t xml:space="preserve"> </w:t>
      </w:r>
      <w:r w:rsidR="009544CC">
        <w:t>a </w:t>
      </w:r>
      <w:r w:rsidR="009A5942">
        <w:t xml:space="preserve">jde </w:t>
      </w:r>
      <w:r w:rsidR="009544CC">
        <w:t>o </w:t>
      </w:r>
      <w:r w:rsidR="009A5942">
        <w:t>hodnotu výrazně převyšující nárůsty v</w:t>
      </w:r>
      <w:r w:rsidR="00327644">
        <w:t xml:space="preserve"> rámci</w:t>
      </w:r>
      <w:r w:rsidR="009A5942">
        <w:t> předchozích kriz</w:t>
      </w:r>
      <w:r w:rsidR="00327644">
        <w:t>í</w:t>
      </w:r>
      <w:r w:rsidR="009A5942">
        <w:rPr>
          <w:rStyle w:val="Znakapoznpodarou"/>
        </w:rPr>
        <w:footnoteReference w:id="10"/>
      </w:r>
      <w:r w:rsidR="00D86734">
        <w:t>. Naprostou většinu z tohoto nárůstu tvořily dluhové cenné papíry (433,7</w:t>
      </w:r>
      <w:r w:rsidR="00CF1CFF">
        <w:t> mld.</w:t>
      </w:r>
      <w:r w:rsidR="00D86734">
        <w:t xml:space="preserve"> korun), z toho hodnota dlouhodobých dluhopisů v dluhovém portfoliu narostla </w:t>
      </w:r>
      <w:r w:rsidR="009544CC">
        <w:t>o </w:t>
      </w:r>
      <w:r w:rsidR="00D86734">
        <w:t>303,3</w:t>
      </w:r>
      <w:r w:rsidR="00CF1CFF">
        <w:t> mld.</w:t>
      </w:r>
      <w:r w:rsidR="00D86734">
        <w:t xml:space="preserve"> </w:t>
      </w:r>
      <w:r w:rsidR="009544CC">
        <w:t>a </w:t>
      </w:r>
      <w:r w:rsidR="00D86734">
        <w:t xml:space="preserve">krátkodobých </w:t>
      </w:r>
      <w:r w:rsidR="009544CC">
        <w:t>o </w:t>
      </w:r>
      <w:r w:rsidR="00D86734">
        <w:t>130,3</w:t>
      </w:r>
      <w:r w:rsidR="00CF1CFF">
        <w:t> mld.</w:t>
      </w:r>
      <w:r w:rsidR="00846BC4">
        <w:t xml:space="preserve"> Ve srovnání s celkovým růstem dluhu pak byly relativně nízké přírůstky oběživa </w:t>
      </w:r>
      <w:r w:rsidR="009544CC">
        <w:t>a </w:t>
      </w:r>
      <w:r w:rsidR="00846BC4">
        <w:t>vkladů (4,9</w:t>
      </w:r>
      <w:r w:rsidR="00CF1CFF">
        <w:t> mld.</w:t>
      </w:r>
      <w:r w:rsidR="00846BC4">
        <w:t xml:space="preserve"> korun) </w:t>
      </w:r>
      <w:r w:rsidR="009544CC">
        <w:t>i </w:t>
      </w:r>
      <w:r w:rsidR="00846BC4">
        <w:t>půjček (8,3</w:t>
      </w:r>
      <w:r w:rsidR="00CF1CFF">
        <w:t> mld.</w:t>
      </w:r>
      <w:r w:rsidR="00846BC4">
        <w:t>).</w:t>
      </w:r>
    </w:p>
    <w:p w14:paraId="009C422D" w14:textId="1814AD76" w:rsidR="00C65FAA" w:rsidRDefault="00C65FAA" w:rsidP="00E52B7F">
      <w:pPr>
        <w:pStyle w:val="TabulkaGraf"/>
      </w:pPr>
      <w:r>
        <w:t>G</w:t>
      </w:r>
      <w:r w:rsidR="002E6F00">
        <w:t>raf </w:t>
      </w:r>
      <w:r>
        <w:t xml:space="preserve">4: Dluh sektoru vládních institucí </w:t>
      </w:r>
      <w:r w:rsidR="00F03815">
        <w:t>a </w:t>
      </w:r>
      <w:r>
        <w:t xml:space="preserve">jeho struktura </w:t>
      </w:r>
      <w:r w:rsidRPr="00D71231">
        <w:t>(meziroční změna v mld. korun)</w:t>
      </w:r>
    </w:p>
    <w:p w14:paraId="05A35859" w14:textId="279FEB2E" w:rsidR="00656A12" w:rsidRDefault="00D86734" w:rsidP="00941335">
      <w:pPr>
        <w:jc w:val="center"/>
      </w:pPr>
      <w:r>
        <w:rPr>
          <w:noProof/>
          <w:lang w:eastAsia="cs-CZ"/>
        </w:rPr>
        <w:drawing>
          <wp:inline distT="0" distB="0" distL="0" distR="0" wp14:anchorId="79C51CD7" wp14:editId="3725325C">
            <wp:extent cx="4737600" cy="3060000"/>
            <wp:effectExtent l="0" t="0" r="6350" b="762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8107F2" w14:textId="77777777" w:rsidR="00941335" w:rsidRDefault="00941335" w:rsidP="00941335">
      <w:pPr>
        <w:spacing w:after="240"/>
      </w:pPr>
      <w:r>
        <w:t>Zdroj: ČSÚ, národní účty</w:t>
      </w:r>
    </w:p>
    <w:p w14:paraId="7A77035A" w14:textId="77777777" w:rsidR="00F81F79" w:rsidRDefault="00F81F79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14:paraId="7F1AAFC6" w14:textId="4B0E5B23" w:rsidR="00F50CEF" w:rsidRDefault="00F50CEF" w:rsidP="00656A12">
      <w:pPr>
        <w:pStyle w:val="Nadpis1"/>
      </w:pPr>
      <w:r>
        <w:lastRenderedPageBreak/>
        <w:t>Domácnosti</w:t>
      </w:r>
    </w:p>
    <w:p w14:paraId="2DEAE9E0" w14:textId="77E1637B" w:rsidR="009544CC" w:rsidRDefault="008F0222" w:rsidP="001578BA">
      <w:pPr>
        <w:spacing w:after="240"/>
      </w:pPr>
      <w:r>
        <w:t>Hrubý disponibilní důchod (HDD) domácností ve 2.</w:t>
      </w:r>
      <w:r w:rsidR="009544CC">
        <w:t> čtvrtlet</w:t>
      </w:r>
      <w:r>
        <w:t>í dosáhl 767,6</w:t>
      </w:r>
      <w:r w:rsidR="00CF1CFF">
        <w:t> mld.</w:t>
      </w:r>
      <w:r>
        <w:t xml:space="preserve"> korun </w:t>
      </w:r>
      <w:r w:rsidR="009544CC">
        <w:t>a </w:t>
      </w:r>
      <w:r>
        <w:t xml:space="preserve">meziročně se zvýšil </w:t>
      </w:r>
      <w:r w:rsidR="009544CC">
        <w:t>o </w:t>
      </w:r>
      <w:r>
        <w:t>27,5</w:t>
      </w:r>
      <w:r w:rsidR="00CF1CFF">
        <w:t> mld.</w:t>
      </w:r>
      <w:r>
        <w:t xml:space="preserve"> (3,7</w:t>
      </w:r>
      <w:r w:rsidR="00CF1CFF">
        <w:t> %</w:t>
      </w:r>
      <w:r>
        <w:t xml:space="preserve">). Na první pohled tak sektor domácností nevykazoval takové ztráty jako zbytek ekonomiky. Nominální meziroční přírůstek HDD však výrazně oslabil </w:t>
      </w:r>
      <w:r w:rsidR="009544CC">
        <w:t>a </w:t>
      </w:r>
      <w:r>
        <w:t>byl nejnižší od 3.</w:t>
      </w:r>
      <w:r w:rsidR="009544CC">
        <w:t> čtvrtlet</w:t>
      </w:r>
      <w:r>
        <w:t>í 2016. Vzhledem k poměrně silnému růstu cenové hladiny reáln</w:t>
      </w:r>
      <w:r w:rsidR="00D875B2">
        <w:t>é meziroční</w:t>
      </w:r>
      <w:r>
        <w:t xml:space="preserve"> navýšení příjmů</w:t>
      </w:r>
      <w:r w:rsidR="00D875B2">
        <w:t xml:space="preserve"> </w:t>
      </w:r>
      <w:r w:rsidR="00D875B2" w:rsidRPr="0070033F">
        <w:t xml:space="preserve">domácností </w:t>
      </w:r>
      <w:r w:rsidR="00327644" w:rsidRPr="0070033F">
        <w:t>činilo</w:t>
      </w:r>
      <w:r w:rsidR="0070033F" w:rsidRPr="0070033F">
        <w:t xml:space="preserve"> </w:t>
      </w:r>
      <w:r w:rsidRPr="0070033F">
        <w:t>pouhých</w:t>
      </w:r>
      <w:r>
        <w:t xml:space="preserve"> 0,5</w:t>
      </w:r>
      <w:r w:rsidR="00CF1CFF">
        <w:t> %</w:t>
      </w:r>
      <w:r w:rsidR="00D875B2" w:rsidRPr="00837B9D">
        <w:rPr>
          <w:rStyle w:val="Znakapoznpodarou"/>
        </w:rPr>
        <w:footnoteReference w:id="11"/>
      </w:r>
      <w:r>
        <w:t>.</w:t>
      </w:r>
    </w:p>
    <w:p w14:paraId="739E869A" w14:textId="7A1F0CC0" w:rsidR="00C42CB8" w:rsidRDefault="00F515A6" w:rsidP="00CB19EA">
      <w:pPr>
        <w:spacing w:after="240"/>
      </w:pPr>
      <w:r>
        <w:t xml:space="preserve">Podrobnější pohled na </w:t>
      </w:r>
      <w:r w:rsidR="00AE59AB">
        <w:t>strukturu HDD</w:t>
      </w:r>
      <w:r>
        <w:t xml:space="preserve"> odhaluj</w:t>
      </w:r>
      <w:r w:rsidR="00AE59AB">
        <w:t>e</w:t>
      </w:r>
      <w:r>
        <w:t xml:space="preserve"> zlom ve 2.</w:t>
      </w:r>
      <w:r w:rsidR="009544CC">
        <w:t> čtvrtlet</w:t>
      </w:r>
      <w:r>
        <w:t xml:space="preserve">í. </w:t>
      </w:r>
      <w:r w:rsidR="00AE59AB">
        <w:t>Obdržené n</w:t>
      </w:r>
      <w:r>
        <w:t>áhrad</w:t>
      </w:r>
      <w:r w:rsidR="00AE59AB">
        <w:t>y</w:t>
      </w:r>
      <w:r>
        <w:t xml:space="preserve"> zaměstnancům, k</w:t>
      </w:r>
      <w:r w:rsidR="00AE59AB">
        <w:t>teré jsou pro české domácnosti hlavním zdrojem příjmů, poprvé od 1.</w:t>
      </w:r>
      <w:r w:rsidR="009544CC">
        <w:t> čtvrtlet</w:t>
      </w:r>
      <w:r w:rsidR="00AE59AB">
        <w:t xml:space="preserve">í 2010 meziročně klesly. Jejich celkový objem se snížil </w:t>
      </w:r>
      <w:r w:rsidR="009544CC">
        <w:t>o </w:t>
      </w:r>
      <w:r w:rsidR="00AE59AB">
        <w:t>15,8</w:t>
      </w:r>
      <w:r w:rsidR="00CF1CFF">
        <w:t> mld.</w:t>
      </w:r>
      <w:r w:rsidR="00AE59AB">
        <w:t xml:space="preserve"> korun na 628,5</w:t>
      </w:r>
      <w:r w:rsidR="00CF1CFF">
        <w:t> mld.</w:t>
      </w:r>
      <w:r w:rsidR="00A0458C">
        <w:t xml:space="preserve"> Z toho ale mzdy </w:t>
      </w:r>
      <w:r w:rsidR="009544CC">
        <w:t>a </w:t>
      </w:r>
      <w:r w:rsidR="00A0458C">
        <w:t xml:space="preserve">platy meziročně klesly </w:t>
      </w:r>
      <w:r w:rsidR="009544CC">
        <w:t>o </w:t>
      </w:r>
      <w:r w:rsidR="00A0458C">
        <w:t>30,5</w:t>
      </w:r>
      <w:r w:rsidR="00CF1CFF">
        <w:t> mld.</w:t>
      </w:r>
      <w:r w:rsidR="00A0458C">
        <w:t xml:space="preserve"> korun, zatímco sociální příspěvky zaměstnavatelů narostly </w:t>
      </w:r>
      <w:r w:rsidR="009544CC">
        <w:t>o </w:t>
      </w:r>
      <w:r w:rsidR="00A0458C">
        <w:t>14,8</w:t>
      </w:r>
      <w:r w:rsidR="00CF1CFF">
        <w:t> mld.</w:t>
      </w:r>
      <w:r w:rsidR="00A0458C">
        <w:rPr>
          <w:rStyle w:val="Znakapoznpodarou"/>
        </w:rPr>
        <w:footnoteReference w:id="12"/>
      </w:r>
      <w:r w:rsidR="00FE0C2F">
        <w:t xml:space="preserve"> </w:t>
      </w:r>
      <w:r w:rsidR="00D26769" w:rsidRPr="00E45F8D">
        <w:t>Reálný meziroční pokles náhrad zaměstnancům ve 2.</w:t>
      </w:r>
      <w:r w:rsidR="009544CC" w:rsidRPr="00E45F8D">
        <w:t> čtvrtlet</w:t>
      </w:r>
      <w:r w:rsidR="00D26769" w:rsidRPr="00E45F8D">
        <w:t>í činil 5,5</w:t>
      </w:r>
      <w:r w:rsidR="00CF1CFF" w:rsidRPr="00E45F8D">
        <w:t> %</w:t>
      </w:r>
      <w:r w:rsidR="002805A9" w:rsidRPr="00E45F8D">
        <w:t xml:space="preserve">, z toho propad mezd </w:t>
      </w:r>
      <w:r w:rsidR="009544CC" w:rsidRPr="00E45F8D">
        <w:t>a </w:t>
      </w:r>
      <w:r w:rsidR="002805A9" w:rsidRPr="00E45F8D">
        <w:t>platů byl 9,1</w:t>
      </w:r>
      <w:r w:rsidR="00CF1CFF" w:rsidRPr="00E45F8D">
        <w:t> %</w:t>
      </w:r>
      <w:r w:rsidR="00D26769" w:rsidRPr="00E45F8D">
        <w:t>.</w:t>
      </w:r>
      <w:r w:rsidR="002805A9" w:rsidRPr="00E45F8D">
        <w:t xml:space="preserve"> </w:t>
      </w:r>
      <w:r w:rsidR="00CF27B5" w:rsidRPr="00E45F8D">
        <w:t>Situaci</w:t>
      </w:r>
      <w:r w:rsidR="00CF27B5">
        <w:t xml:space="preserve"> podnikatelů zařazených do sektoru domácností dokládá výrazný meziroční pokles hrubého smíšeného důchodu</w:t>
      </w:r>
      <w:r w:rsidR="00CF27B5">
        <w:rPr>
          <w:rStyle w:val="Znakapoznpodarou"/>
        </w:rPr>
        <w:footnoteReference w:id="13"/>
      </w:r>
      <w:r w:rsidR="00CF27B5">
        <w:t xml:space="preserve"> </w:t>
      </w:r>
      <w:r w:rsidR="009544CC">
        <w:t>o </w:t>
      </w:r>
      <w:r w:rsidR="00CF27B5">
        <w:t>15,7</w:t>
      </w:r>
      <w:r w:rsidR="00CF1CFF">
        <w:t> mld.</w:t>
      </w:r>
      <w:r w:rsidR="00CF27B5">
        <w:t xml:space="preserve"> korun na 120,5 mld. Naopak h</w:t>
      </w:r>
      <w:r w:rsidR="002805A9">
        <w:t>rubý provozní přebytek</w:t>
      </w:r>
      <w:r w:rsidR="002805A9">
        <w:rPr>
          <w:rStyle w:val="Znakapoznpodarou"/>
        </w:rPr>
        <w:footnoteReference w:id="14"/>
      </w:r>
      <w:r w:rsidR="00CF27B5">
        <w:t xml:space="preserve"> ve 2.</w:t>
      </w:r>
      <w:r w:rsidR="009544CC">
        <w:t> čtvrtlet</w:t>
      </w:r>
      <w:r w:rsidR="00CF27B5">
        <w:t>í dále meziročně rostl. Navýšení dosáhlo 6,7</w:t>
      </w:r>
      <w:r w:rsidR="00CF1CFF">
        <w:t> mld.</w:t>
      </w:r>
      <w:r w:rsidR="00CF27B5">
        <w:t xml:space="preserve"> korun. Nadále se tak projevoval</w:t>
      </w:r>
      <w:r w:rsidR="0007050D">
        <w:t xml:space="preserve"> </w:t>
      </w:r>
      <w:r w:rsidR="00CB19EA">
        <w:t xml:space="preserve">růst cen nemovitostí </w:t>
      </w:r>
      <w:r w:rsidR="00F03815">
        <w:t>a </w:t>
      </w:r>
      <w:r w:rsidR="00CB19EA">
        <w:t>růst cen nájemného z bytů, které ovlivňují imputované nájemné</w:t>
      </w:r>
      <w:r w:rsidR="0007050D">
        <w:t>.</w:t>
      </w:r>
      <w:r w:rsidR="00C42CB8">
        <w:t xml:space="preserve"> Mírný přírůstek mělo saldo důchodů z vlastnictví, které se meziročně zvýšilo </w:t>
      </w:r>
      <w:r w:rsidR="009544CC">
        <w:t>o </w:t>
      </w:r>
      <w:r w:rsidR="00C42CB8">
        <w:t>4,3</w:t>
      </w:r>
      <w:r w:rsidR="00CF1CFF">
        <w:t> mld.</w:t>
      </w:r>
      <w:r w:rsidR="00C42CB8">
        <w:t xml:space="preserve"> korun na 39,2</w:t>
      </w:r>
      <w:r w:rsidR="00CF1CFF">
        <w:t> mld.</w:t>
      </w:r>
    </w:p>
    <w:p w14:paraId="552BBF77" w14:textId="2862D6D4" w:rsidR="00C42CB8" w:rsidRDefault="001F1D88" w:rsidP="00CB19EA">
      <w:pPr>
        <w:spacing w:after="240"/>
      </w:pPr>
      <w:r>
        <w:t xml:space="preserve">Saldo druhotného rozdělení skončilo opět v deficitu, ten se ale meziročně prudce zmírnil </w:t>
      </w:r>
      <w:r w:rsidR="009544CC" w:rsidRPr="00E45F8D">
        <w:t>o </w:t>
      </w:r>
      <w:r w:rsidRPr="00E45F8D">
        <w:t>47,9 mld. korun na 100,8</w:t>
      </w:r>
      <w:r w:rsidR="00CF1CFF" w:rsidRPr="00E45F8D">
        <w:t> mld.</w:t>
      </w:r>
      <w:r w:rsidR="000D3E4F" w:rsidRPr="00E45F8D">
        <w:t xml:space="preserve"> </w:t>
      </w:r>
      <w:r w:rsidR="00E014D6" w:rsidRPr="00E45F8D">
        <w:t>Jde</w:t>
      </w:r>
      <w:r w:rsidR="00E014D6">
        <w:t xml:space="preserve"> </w:t>
      </w:r>
      <w:r w:rsidR="009544CC">
        <w:t>o </w:t>
      </w:r>
      <w:r w:rsidR="00E014D6">
        <w:t>nejnižší deficit od 1.</w:t>
      </w:r>
      <w:r w:rsidR="009544CC">
        <w:t> kvartál</w:t>
      </w:r>
      <w:r w:rsidR="00E014D6">
        <w:t xml:space="preserve">u 2017 </w:t>
      </w:r>
      <w:r w:rsidR="009544CC">
        <w:t>a </w:t>
      </w:r>
      <w:r w:rsidR="00E014D6">
        <w:t xml:space="preserve">rovněž </w:t>
      </w:r>
      <w:r w:rsidR="009544CC">
        <w:t>o </w:t>
      </w:r>
      <w:r w:rsidR="00E014D6">
        <w:t>jeho nejmasivnější zaznamenané zmírnění (předchozí největší zmírnění se odehrálo ve 3.</w:t>
      </w:r>
      <w:r w:rsidR="009544CC">
        <w:t> čtvrtlet</w:t>
      </w:r>
      <w:r w:rsidR="00E014D6">
        <w:t xml:space="preserve">í 2009 </w:t>
      </w:r>
      <w:r w:rsidR="009544CC">
        <w:t>a </w:t>
      </w:r>
      <w:r w:rsidR="00E014D6">
        <w:t>činilo 32,6</w:t>
      </w:r>
      <w:r w:rsidR="00CF1CFF">
        <w:t> mld.</w:t>
      </w:r>
      <w:r w:rsidR="00E014D6">
        <w:t xml:space="preserve"> korun). </w:t>
      </w:r>
      <w:r w:rsidR="000D3E4F" w:rsidRPr="0070033F">
        <w:t xml:space="preserve">Na straně zdrojů prudce meziročně vzrostl objem sociálních </w:t>
      </w:r>
      <w:r w:rsidR="0070033F" w:rsidRPr="0070033F">
        <w:t xml:space="preserve">příspěvků a </w:t>
      </w:r>
      <w:r w:rsidR="000D3E4F" w:rsidRPr="0070033F">
        <w:t>dávek obdržených domácnostmi (</w:t>
      </w:r>
      <w:r w:rsidR="009544CC" w:rsidRPr="0070033F">
        <w:t>o </w:t>
      </w:r>
      <w:r w:rsidR="000D3E4F" w:rsidRPr="0070033F">
        <w:t>45,5</w:t>
      </w:r>
      <w:r w:rsidR="00CF1CFF" w:rsidRPr="0070033F">
        <w:t> mld.</w:t>
      </w:r>
      <w:r w:rsidR="000D3E4F" w:rsidRPr="0070033F">
        <w:t xml:space="preserve"> korun)</w:t>
      </w:r>
      <w:r w:rsidR="00E014D6" w:rsidRPr="0070033F">
        <w:t xml:space="preserve">. Naopak </w:t>
      </w:r>
      <w:r w:rsidR="009544CC" w:rsidRPr="0070033F">
        <w:t>o </w:t>
      </w:r>
      <w:r w:rsidR="00E014D6" w:rsidRPr="0070033F">
        <w:t>14,3</w:t>
      </w:r>
      <w:r w:rsidR="00CF1CFF" w:rsidRPr="0070033F">
        <w:t> mld.</w:t>
      </w:r>
      <w:r w:rsidR="00E014D6" w:rsidRPr="0070033F">
        <w:t xml:space="preserve"> se snížil objem ostatních běžných transferů. Ke zmírnění záporného salda druhotn</w:t>
      </w:r>
      <w:r w:rsidR="00DC4DBF" w:rsidRPr="0070033F">
        <w:t>ého rozdělení</w:t>
      </w:r>
      <w:r w:rsidR="00E014D6" w:rsidRPr="0070033F">
        <w:t xml:space="preserve"> přispěl propad odvedených běžných daní z důchodů </w:t>
      </w:r>
      <w:r w:rsidR="009544CC" w:rsidRPr="0070033F">
        <w:t>a </w:t>
      </w:r>
      <w:r w:rsidR="00E014D6" w:rsidRPr="0070033F">
        <w:t xml:space="preserve">jmění </w:t>
      </w:r>
      <w:r w:rsidR="009544CC" w:rsidRPr="0070033F">
        <w:t>o </w:t>
      </w:r>
      <w:r w:rsidR="00E014D6" w:rsidRPr="0070033F">
        <w:t>13,2</w:t>
      </w:r>
      <w:r w:rsidR="00CF1CFF" w:rsidRPr="0070033F">
        <w:t> mld.</w:t>
      </w:r>
      <w:r w:rsidR="00E014D6" w:rsidRPr="0070033F">
        <w:t xml:space="preserve"> korun </w:t>
      </w:r>
      <w:r w:rsidR="009544CC" w:rsidRPr="0070033F">
        <w:t>a </w:t>
      </w:r>
      <w:r w:rsidR="00E014D6" w:rsidRPr="0070033F">
        <w:t xml:space="preserve">rovněž pokles odvedených ostatních běžných transferů. </w:t>
      </w:r>
      <w:r w:rsidR="00DC4DBF" w:rsidRPr="0070033F">
        <w:t>Objem sociálních příspěvků</w:t>
      </w:r>
      <w:r w:rsidR="0070033F" w:rsidRPr="0070033F">
        <w:t xml:space="preserve"> a dávek</w:t>
      </w:r>
      <w:r w:rsidR="00DC4DBF" w:rsidRPr="0070033F">
        <w:t xml:space="preserve"> odvedených domácnostmi se meziročně zvýšil </w:t>
      </w:r>
      <w:r w:rsidR="009544CC" w:rsidRPr="0070033F">
        <w:t>o </w:t>
      </w:r>
      <w:r w:rsidR="00DC4DBF" w:rsidRPr="0070033F">
        <w:t>10,3</w:t>
      </w:r>
      <w:r w:rsidR="00CF1CFF" w:rsidRPr="0070033F">
        <w:t> mld.</w:t>
      </w:r>
      <w:r w:rsidR="00DC4DBF" w:rsidRPr="0070033F">
        <w:t xml:space="preserve"> korun.</w:t>
      </w:r>
    </w:p>
    <w:p w14:paraId="30050E44" w14:textId="14390B54" w:rsidR="009544CC" w:rsidRDefault="001C21F4" w:rsidP="00F81F79">
      <w:pPr>
        <w:spacing w:after="240"/>
      </w:pPr>
      <w:r>
        <w:t xml:space="preserve">Výdaje na konečnou spotřebu domácností </w:t>
      </w:r>
      <w:r w:rsidR="0078195F">
        <w:t xml:space="preserve">se </w:t>
      </w:r>
      <w:r>
        <w:t>ve 2.</w:t>
      </w:r>
      <w:r w:rsidR="009544CC">
        <w:t> čtvrtlet</w:t>
      </w:r>
      <w:r>
        <w:t xml:space="preserve">í meziročně snížily </w:t>
      </w:r>
      <w:r w:rsidR="009544CC">
        <w:t>o </w:t>
      </w:r>
      <w:r>
        <w:t>29,6</w:t>
      </w:r>
      <w:r w:rsidR="00CF1CFF">
        <w:t> mld.</w:t>
      </w:r>
      <w:r>
        <w:t xml:space="preserve"> korun na 635,5</w:t>
      </w:r>
      <w:r w:rsidR="00CF1CFF">
        <w:t> mld.</w:t>
      </w:r>
      <w:r>
        <w:t xml:space="preserve"> Šlo </w:t>
      </w:r>
      <w:r w:rsidR="009544CC">
        <w:t>o </w:t>
      </w:r>
      <w:r>
        <w:t xml:space="preserve">první nominální pokles od </w:t>
      </w:r>
      <w:r w:rsidR="00E316C8">
        <w:t>4.</w:t>
      </w:r>
      <w:r w:rsidR="009544CC">
        <w:t> kvartál</w:t>
      </w:r>
      <w:r w:rsidR="00E316C8">
        <w:t xml:space="preserve">u 2009. </w:t>
      </w:r>
      <w:r w:rsidR="00C7577F">
        <w:t xml:space="preserve">Hodnota statků </w:t>
      </w:r>
      <w:r w:rsidR="009544CC">
        <w:t>a </w:t>
      </w:r>
      <w:r w:rsidR="00C7577F">
        <w:t>služeb spotřebovaných domácnostmi v podobě naturálních sociálních transferů ve 2.</w:t>
      </w:r>
      <w:r w:rsidR="009544CC">
        <w:t> čtvrtlet</w:t>
      </w:r>
      <w:r w:rsidR="00C7577F">
        <w:t xml:space="preserve">í stoupla </w:t>
      </w:r>
      <w:r w:rsidR="009544CC">
        <w:t>o </w:t>
      </w:r>
      <w:r w:rsidR="00C7577F">
        <w:t>8,4</w:t>
      </w:r>
      <w:r w:rsidR="00CF1CFF">
        <w:t> mld.</w:t>
      </w:r>
      <w:r w:rsidR="00C7577F">
        <w:t xml:space="preserve"> korun na 171,9</w:t>
      </w:r>
      <w:r w:rsidR="00CF1CFF">
        <w:t> mld.</w:t>
      </w:r>
      <w:r w:rsidR="00C7577F">
        <w:t xml:space="preserve"> To je výrazně slabší růst než v posledních </w:t>
      </w:r>
      <w:r w:rsidR="00036709">
        <w:t xml:space="preserve">dvou </w:t>
      </w:r>
      <w:r w:rsidR="009544CC">
        <w:t>a </w:t>
      </w:r>
      <w:r w:rsidR="00C7577F">
        <w:t>půl letech.</w:t>
      </w:r>
    </w:p>
    <w:p w14:paraId="40051DC3" w14:textId="6DCBAFDF" w:rsidR="009544CC" w:rsidRDefault="00E316C8" w:rsidP="00F81F79">
      <w:pPr>
        <w:spacing w:after="240"/>
      </w:pPr>
      <w:r>
        <w:t xml:space="preserve">Domácnosti samozřejmě změnily své spotřební </w:t>
      </w:r>
      <w:r w:rsidR="00327644">
        <w:t>chování</w:t>
      </w:r>
      <w:r>
        <w:t xml:space="preserve"> kvůli nižším příjmům </w:t>
      </w:r>
      <w:r w:rsidR="009544CC">
        <w:t>i </w:t>
      </w:r>
      <w:r>
        <w:t>nejistotě</w:t>
      </w:r>
      <w:r w:rsidR="00437B90">
        <w:t xml:space="preserve"> ohledně dalšího vývoje</w:t>
      </w:r>
      <w:r>
        <w:t xml:space="preserve">. Jako hlavní důvod propadu </w:t>
      </w:r>
      <w:r w:rsidR="005A7AC3">
        <w:t xml:space="preserve">spotřeby </w:t>
      </w:r>
      <w:r w:rsidR="0078195F">
        <w:t xml:space="preserve">lze </w:t>
      </w:r>
      <w:r>
        <w:t xml:space="preserve">ale vnímat uzavření části maloobchodních prodejen </w:t>
      </w:r>
      <w:r w:rsidR="009544CC">
        <w:t>i </w:t>
      </w:r>
      <w:r>
        <w:t xml:space="preserve">provozoven služeb, což </w:t>
      </w:r>
      <w:r w:rsidR="00327644">
        <w:t xml:space="preserve">objektivně </w:t>
      </w:r>
      <w:r>
        <w:t xml:space="preserve">znemožnilo domácnostem utrácet. Touto optikou je pak nutné nahlížet </w:t>
      </w:r>
      <w:r w:rsidR="009544CC">
        <w:t>i </w:t>
      </w:r>
      <w:r>
        <w:t>na</w:t>
      </w:r>
      <w:r w:rsidR="00C7577F">
        <w:t xml:space="preserve"> dynamiku hrubých úspor. Ty se meziročně zvýšily </w:t>
      </w:r>
      <w:r w:rsidR="009544CC">
        <w:lastRenderedPageBreak/>
        <w:t>o </w:t>
      </w:r>
      <w:r w:rsidR="00437B90">
        <w:t>57,2</w:t>
      </w:r>
      <w:r w:rsidR="005A7AC3">
        <w:t> </w:t>
      </w:r>
      <w:r w:rsidR="00437B90">
        <w:t xml:space="preserve">mld. korun </w:t>
      </w:r>
      <w:r w:rsidR="009544CC">
        <w:t>a </w:t>
      </w:r>
      <w:r w:rsidR="00437B90">
        <w:t>dosáhly 141,2</w:t>
      </w:r>
      <w:r w:rsidR="00CF1CFF">
        <w:t> mld.</w:t>
      </w:r>
      <w:r w:rsidR="00437B90">
        <w:t xml:space="preserve"> To je nejvyšší zaznamenaná hodnota v historii. Adekvátně se také zvýšila </w:t>
      </w:r>
      <w:r>
        <w:t>mír</w:t>
      </w:r>
      <w:r w:rsidR="00437B90">
        <w:t>a</w:t>
      </w:r>
      <w:r>
        <w:t xml:space="preserve"> úspor</w:t>
      </w:r>
      <w:r w:rsidR="00C7577F">
        <w:rPr>
          <w:rStyle w:val="Znakapoznpodarou"/>
        </w:rPr>
        <w:footnoteReference w:id="15"/>
      </w:r>
      <w:r>
        <w:t xml:space="preserve">. </w:t>
      </w:r>
      <w:r w:rsidR="00C7577F">
        <w:t>Ta ve 2.</w:t>
      </w:r>
      <w:r w:rsidR="00437B90">
        <w:t> </w:t>
      </w:r>
      <w:r w:rsidR="00C7577F">
        <w:t>čtvrtletí dosáhla</w:t>
      </w:r>
      <w:r w:rsidR="00437B90">
        <w:t xml:space="preserve"> 18,5</w:t>
      </w:r>
      <w:r w:rsidR="00CF1CFF">
        <w:t> %</w:t>
      </w:r>
      <w:r w:rsidR="00437B90">
        <w:t xml:space="preserve"> (sezónně očištěno) </w:t>
      </w:r>
      <w:r w:rsidR="009544CC">
        <w:t>a </w:t>
      </w:r>
      <w:proofErr w:type="spellStart"/>
      <w:r w:rsidR="00437B90">
        <w:t>mezičtvrtletně</w:t>
      </w:r>
      <w:proofErr w:type="spellEnd"/>
      <w:r w:rsidR="00437B90">
        <w:t xml:space="preserve"> </w:t>
      </w:r>
      <w:r w:rsidR="00754742">
        <w:t>vzrostla</w:t>
      </w:r>
      <w:r w:rsidR="00437B90">
        <w:t xml:space="preserve"> </w:t>
      </w:r>
      <w:r w:rsidR="009544CC">
        <w:t>o </w:t>
      </w:r>
      <w:r w:rsidR="00437B90">
        <w:t>5,3</w:t>
      </w:r>
      <w:r w:rsidR="00754742">
        <w:t> </w:t>
      </w:r>
      <w:r w:rsidR="00437B90">
        <w:t>p.</w:t>
      </w:r>
      <w:r w:rsidR="0078195F">
        <w:t> </w:t>
      </w:r>
      <w:r w:rsidR="00437B90">
        <w:t>b. Meziroční přírůstek (neočištěný)</w:t>
      </w:r>
      <w:r w:rsidR="00754742">
        <w:t xml:space="preserve"> činil 7</w:t>
      </w:r>
      <w:r w:rsidR="00036709">
        <w:t>,</w:t>
      </w:r>
      <w:r w:rsidR="00754742">
        <w:t>0</w:t>
      </w:r>
      <w:r w:rsidR="00CF1CFF">
        <w:t> p. b.</w:t>
      </w:r>
    </w:p>
    <w:p w14:paraId="606D7648" w14:textId="25C68562" w:rsidR="00F81F79" w:rsidRDefault="00754742" w:rsidP="00F81F79">
      <w:pPr>
        <w:spacing w:after="240"/>
      </w:pPr>
      <w:r>
        <w:t xml:space="preserve">Domácnosti </w:t>
      </w:r>
      <w:r w:rsidR="00A74120">
        <w:t xml:space="preserve">(zejména drobní podnikatelé) </w:t>
      </w:r>
      <w:r>
        <w:t>ve 2.</w:t>
      </w:r>
      <w:r w:rsidR="009544CC">
        <w:t> čtvrtlet</w:t>
      </w:r>
      <w:r>
        <w:t>í mimořádně obdržely 28,6</w:t>
      </w:r>
      <w:r w:rsidR="00CF1CFF">
        <w:t> mld.</w:t>
      </w:r>
      <w:r>
        <w:t xml:space="preserve"> korun ve formě kapitálových transferů. Z toho 5,6</w:t>
      </w:r>
      <w:r w:rsidR="00CF1CFF">
        <w:t> mld.</w:t>
      </w:r>
      <w:r>
        <w:t xml:space="preserve"> byly investiční dotace, což nijak nevybočuje z průměru ve stejném období v předchozích letech. Ostatní kapitálové transfery ale prudce vzrostly na 22,9</w:t>
      </w:r>
      <w:r w:rsidR="00CF1CFF">
        <w:t> mld.</w:t>
      </w:r>
      <w:r>
        <w:t xml:space="preserve"> korun (</w:t>
      </w:r>
      <w:r w:rsidR="00A74120">
        <w:t xml:space="preserve">zahrnovaly vyplacený </w:t>
      </w:r>
      <w:r>
        <w:t>kompenzační bonus OSVČ</w:t>
      </w:r>
      <w:r w:rsidR="0078195F">
        <w:t>;</w:t>
      </w:r>
      <w:r>
        <w:t xml:space="preserve"> pro srovnání</w:t>
      </w:r>
      <w:r w:rsidR="0078195F">
        <w:t> </w:t>
      </w:r>
      <w:r>
        <w:t>– ve 2.</w:t>
      </w:r>
      <w:r w:rsidR="009544CC">
        <w:t> čtvrtlet</w:t>
      </w:r>
      <w:r>
        <w:t>í 2019 tato položka dosahovala 66</w:t>
      </w:r>
      <w:r w:rsidR="009544CC">
        <w:t>5 </w:t>
      </w:r>
      <w:r>
        <w:t>milionů).</w:t>
      </w:r>
      <w:r w:rsidR="00A74120">
        <w:t xml:space="preserve"> Investiční aktivita domácností</w:t>
      </w:r>
      <w:r w:rsidR="00C96221">
        <w:t xml:space="preserve"> meziročně klesla </w:t>
      </w:r>
      <w:r w:rsidR="009544CC">
        <w:t>o </w:t>
      </w:r>
      <w:r w:rsidR="00C96221">
        <w:t>2,3</w:t>
      </w:r>
      <w:r w:rsidR="00CF1CFF">
        <w:t> mld.</w:t>
      </w:r>
      <w:r w:rsidR="00C96221">
        <w:t xml:space="preserve"> korun na 62,8</w:t>
      </w:r>
      <w:r w:rsidR="00CF1CFF">
        <w:t> mld.</w:t>
      </w:r>
      <w:r w:rsidR="00C96221">
        <w:t xml:space="preserve"> </w:t>
      </w:r>
      <w:r w:rsidR="00F81F79">
        <w:t>Míra investic</w:t>
      </w:r>
      <w:r w:rsidR="00F81F79">
        <w:rPr>
          <w:rStyle w:val="Znakapoznpodarou"/>
        </w:rPr>
        <w:footnoteReference w:id="16"/>
      </w:r>
      <w:r w:rsidR="00F81F79">
        <w:t xml:space="preserve"> (sezónně očištěná) </w:t>
      </w:r>
      <w:proofErr w:type="spellStart"/>
      <w:r w:rsidR="00F81F79">
        <w:t>mezičtvrtletně</w:t>
      </w:r>
      <w:proofErr w:type="spellEnd"/>
      <w:r w:rsidR="00F81F79">
        <w:t xml:space="preserve"> m</w:t>
      </w:r>
      <w:r w:rsidR="00C96221">
        <w:t xml:space="preserve">írně poklesla o 0,1 p. b. </w:t>
      </w:r>
      <w:proofErr w:type="gramStart"/>
      <w:r w:rsidR="00C96221">
        <w:t>na</w:t>
      </w:r>
      <w:proofErr w:type="gramEnd"/>
      <w:r w:rsidR="00C96221">
        <w:t xml:space="preserve"> 9,2</w:t>
      </w:r>
      <w:r w:rsidR="00F81F79">
        <w:t> %. Meziroční posun (neočištěný) dolů dosáhl 0,</w:t>
      </w:r>
      <w:r w:rsidR="00C96221">
        <w:t>6</w:t>
      </w:r>
      <w:r w:rsidR="00F81F79">
        <w:t> p. b.</w:t>
      </w:r>
    </w:p>
    <w:p w14:paraId="6C1E180C" w14:textId="615A5AD5" w:rsidR="004C52C6" w:rsidRDefault="00F81F79" w:rsidP="004C52C6">
      <w:pPr>
        <w:pStyle w:val="TabulkaGraf"/>
      </w:pPr>
      <w:r>
        <w:t>G</w:t>
      </w:r>
      <w:r w:rsidR="002E6F00">
        <w:t>raf </w:t>
      </w:r>
      <w:r w:rsidR="004C52C6">
        <w:t xml:space="preserve">5: Meziroční změna výdajů na tvorbu hrubého fixního kapitálu </w:t>
      </w:r>
      <w:r w:rsidR="004C52C6" w:rsidRPr="00C46C9B">
        <w:t>(mld. korun)</w:t>
      </w:r>
      <w:r w:rsidR="004C52C6">
        <w:t xml:space="preserve"> </w:t>
      </w:r>
      <w:r w:rsidR="00F03815">
        <w:t>a </w:t>
      </w:r>
      <w:r w:rsidR="004C52C6">
        <w:t xml:space="preserve">míra úspor </w:t>
      </w:r>
      <w:r w:rsidR="00F03815">
        <w:t>a </w:t>
      </w:r>
      <w:r w:rsidR="004C52C6">
        <w:t xml:space="preserve">míra investic sektoru domácností </w:t>
      </w:r>
      <w:r w:rsidR="004C52C6" w:rsidRPr="00BB176A">
        <w:t>(v</w:t>
      </w:r>
      <w:r w:rsidR="00840938">
        <w:t> %</w:t>
      </w:r>
      <w:r w:rsidR="004C52C6">
        <w:t>, sezónně očištěno</w:t>
      </w:r>
      <w:r w:rsidR="004C52C6" w:rsidRPr="00BB176A">
        <w:t>)</w:t>
      </w:r>
    </w:p>
    <w:p w14:paraId="598D7247" w14:textId="22D2F5DA" w:rsidR="004C52C6" w:rsidRDefault="00203B05" w:rsidP="004C52C6">
      <w:pPr>
        <w:jc w:val="center"/>
      </w:pPr>
      <w:r>
        <w:rPr>
          <w:noProof/>
          <w:lang w:eastAsia="cs-CZ"/>
        </w:rPr>
        <w:drawing>
          <wp:inline distT="0" distB="0" distL="0" distR="0" wp14:anchorId="00C58D51" wp14:editId="49A3E8CC">
            <wp:extent cx="4737600" cy="3060000"/>
            <wp:effectExtent l="0" t="0" r="6350" b="762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65F99E" w14:textId="17C3E82E" w:rsidR="00197A07" w:rsidRDefault="00941335" w:rsidP="00941335">
      <w:pPr>
        <w:spacing w:after="240"/>
      </w:pPr>
      <w:r>
        <w:t>Zdroj: ČSÚ, národní účty</w:t>
      </w:r>
    </w:p>
    <w:p w14:paraId="51AEDBD7" w14:textId="77777777" w:rsidR="00197A07" w:rsidRDefault="00197A07">
      <w:pPr>
        <w:spacing w:line="240" w:lineRule="auto"/>
        <w:jc w:val="left"/>
      </w:pPr>
      <w:r>
        <w:br w:type="page"/>
      </w:r>
    </w:p>
    <w:p w14:paraId="71BB4AD3" w14:textId="77777777" w:rsidR="00F50CEF" w:rsidRDefault="00F50CEF" w:rsidP="00F50CEF">
      <w:pPr>
        <w:pStyle w:val="Nadpis1"/>
      </w:pPr>
      <w:r>
        <w:lastRenderedPageBreak/>
        <w:t>Finanční vztahy s</w:t>
      </w:r>
      <w:r w:rsidR="00614585">
        <w:t> </w:t>
      </w:r>
      <w:r>
        <w:t>nerezidenty</w:t>
      </w:r>
    </w:p>
    <w:p w14:paraId="7EB12994" w14:textId="76C574B2" w:rsidR="008F7E5F" w:rsidRDefault="00982C53" w:rsidP="00C63561">
      <w:pPr>
        <w:spacing w:after="240"/>
      </w:pPr>
      <w:r>
        <w:t>Ekonomický pokles ve 2.</w:t>
      </w:r>
      <w:r w:rsidR="009544CC">
        <w:t> čtvrtlet</w:t>
      </w:r>
      <w:r>
        <w:t xml:space="preserve">í byl těsně propojen s celkovým zpomalením zahraničního obchodu. Kladné saldo zahraničního obchodu se tak meziročně prudce zhoršilo </w:t>
      </w:r>
      <w:r w:rsidR="009544CC">
        <w:t>o </w:t>
      </w:r>
      <w:r>
        <w:t>57,0</w:t>
      </w:r>
      <w:r w:rsidR="00CF1CFF">
        <w:t> mld.</w:t>
      </w:r>
      <w:r>
        <w:t xml:space="preserve"> korun na 59,8</w:t>
      </w:r>
      <w:r w:rsidR="00CF1CFF">
        <w:t> mld.</w:t>
      </w:r>
      <w:r>
        <w:t xml:space="preserve"> J</w:t>
      </w:r>
      <w:r w:rsidR="0038007D">
        <w:t>d</w:t>
      </w:r>
      <w:r>
        <w:t xml:space="preserve">e </w:t>
      </w:r>
      <w:r w:rsidR="009544CC">
        <w:t>o </w:t>
      </w:r>
      <w:r>
        <w:t>nejhorší výsledek za 2.</w:t>
      </w:r>
      <w:r w:rsidR="009544CC">
        <w:t> čtvrtlet</w:t>
      </w:r>
      <w:r>
        <w:t>í od roku 2012. Zasaženy byly obě strany zahraničního obchodu, protože domácí export je poměrně dovozně náročný. Silněji se ale propadl vývoz (o 240,8 mld. korun na 853,4</w:t>
      </w:r>
      <w:r w:rsidR="00CF1CFF">
        <w:t> mld.</w:t>
      </w:r>
      <w:r>
        <w:t xml:space="preserve">) než </w:t>
      </w:r>
      <w:proofErr w:type="gramStart"/>
      <w:r>
        <w:t>dovoz (</w:t>
      </w:r>
      <w:r w:rsidR="009544CC">
        <w:t>–</w:t>
      </w:r>
      <w:r>
        <w:t>183,7</w:t>
      </w:r>
      <w:proofErr w:type="gramEnd"/>
      <w:r w:rsidR="00CF1CFF">
        <w:t> mld.</w:t>
      </w:r>
      <w:r>
        <w:t>).</w:t>
      </w:r>
    </w:p>
    <w:p w14:paraId="6590D37E" w14:textId="77777777" w:rsidR="009544CC" w:rsidRDefault="000B7488" w:rsidP="00C63561">
      <w:pPr>
        <w:spacing w:after="240"/>
      </w:pPr>
      <w:r>
        <w:t>Důchody z vlastnictví, které ve 2.</w:t>
      </w:r>
      <w:r w:rsidR="009544CC">
        <w:t> čtvrtlet</w:t>
      </w:r>
      <w:r>
        <w:t>í připadly nerezidentům</w:t>
      </w:r>
      <w:r>
        <w:rPr>
          <w:rStyle w:val="Znakapoznpodarou"/>
        </w:rPr>
        <w:footnoteReference w:id="17"/>
      </w:r>
      <w:r>
        <w:t>, dosáhly 115,5</w:t>
      </w:r>
      <w:r w:rsidR="00CF1CFF">
        <w:t> mld.</w:t>
      </w:r>
      <w:r>
        <w:t xml:space="preserve"> korun </w:t>
      </w:r>
      <w:r w:rsidR="009544CC">
        <w:t>a </w:t>
      </w:r>
      <w:r>
        <w:t xml:space="preserve">meziročně se jejich objem propadl </w:t>
      </w:r>
      <w:r w:rsidR="009544CC">
        <w:t>o </w:t>
      </w:r>
      <w:r>
        <w:t>94,7</w:t>
      </w:r>
      <w:r w:rsidR="00CF1CFF">
        <w:t> mld.</w:t>
      </w:r>
      <w:r>
        <w:t xml:space="preserve"> korun. Klesaly rozdělované důchody </w:t>
      </w:r>
      <w:proofErr w:type="gramStart"/>
      <w:r>
        <w:t>společností (</w:t>
      </w:r>
      <w:r w:rsidR="009544CC">
        <w:t>–</w:t>
      </w:r>
      <w:r>
        <w:t>34,9</w:t>
      </w:r>
      <w:proofErr w:type="gramEnd"/>
      <w:r w:rsidR="00CF1CFF">
        <w:t> mld.</w:t>
      </w:r>
      <w:r>
        <w:t xml:space="preserve">) </w:t>
      </w:r>
      <w:r w:rsidR="009544CC">
        <w:t>i </w:t>
      </w:r>
      <w:r>
        <w:t>reinvestice (</w:t>
      </w:r>
      <w:r w:rsidR="009544CC">
        <w:t>–</w:t>
      </w:r>
      <w:r>
        <w:t>57,1</w:t>
      </w:r>
      <w:r w:rsidR="00CF1CFF">
        <w:t> mld.</w:t>
      </w:r>
      <w:r>
        <w:t xml:space="preserve">). Poprvé od konce roku 2017 se snížil </w:t>
      </w:r>
      <w:r w:rsidR="009544CC">
        <w:t>i </w:t>
      </w:r>
      <w:r>
        <w:t xml:space="preserve">objem úroků příslušejících </w:t>
      </w:r>
      <w:proofErr w:type="gramStart"/>
      <w:r>
        <w:t>nerezidentům (</w:t>
      </w:r>
      <w:r w:rsidR="009544CC">
        <w:t>–</w:t>
      </w:r>
      <w:r>
        <w:t>2,7</w:t>
      </w:r>
      <w:proofErr w:type="gramEnd"/>
      <w:r w:rsidR="00CF1CFF">
        <w:t> mld.</w:t>
      </w:r>
      <w:r>
        <w:t xml:space="preserve"> korun). Domácí investoři zažívali rovněž pokles příjmů ze svých zahraničních investic, nešlo ale </w:t>
      </w:r>
      <w:r w:rsidR="009544CC">
        <w:t>o </w:t>
      </w:r>
      <w:r>
        <w:t xml:space="preserve">tak dramatický propad. </w:t>
      </w:r>
      <w:r w:rsidR="00A65A70">
        <w:t>Důchody z vlastnictví v zahraničí se ve 2.</w:t>
      </w:r>
      <w:r w:rsidR="009544CC">
        <w:t> čtvrtlet</w:t>
      </w:r>
      <w:r w:rsidR="00A65A70">
        <w:t xml:space="preserve">í meziročně snížily </w:t>
      </w:r>
      <w:r w:rsidR="009544CC">
        <w:t>o </w:t>
      </w:r>
      <w:r w:rsidR="00A65A70">
        <w:t>2,8</w:t>
      </w:r>
      <w:r w:rsidR="00CF1CFF">
        <w:t> mld.</w:t>
      </w:r>
      <w:r w:rsidR="00A65A70">
        <w:t xml:space="preserve"> korun na 41,9</w:t>
      </w:r>
      <w:r w:rsidR="00CF1CFF">
        <w:t> mld.</w:t>
      </w:r>
      <w:r w:rsidR="00A65A70">
        <w:t xml:space="preserve"> Čistý odliv důchodů z vlastnictví dosáhl 73,6</w:t>
      </w:r>
      <w:r w:rsidR="00CF1CFF">
        <w:t> mld.</w:t>
      </w:r>
      <w:r w:rsidR="00A65A70">
        <w:t xml:space="preserve"> korun </w:t>
      </w:r>
      <w:r w:rsidR="009544CC">
        <w:t>a </w:t>
      </w:r>
      <w:r w:rsidR="00A65A70">
        <w:t xml:space="preserve">meziročně se snížil </w:t>
      </w:r>
      <w:r w:rsidR="009544CC">
        <w:t>o </w:t>
      </w:r>
      <w:r w:rsidR="00A65A70">
        <w:t>91,8</w:t>
      </w:r>
      <w:r w:rsidR="00CF1CFF">
        <w:t> mld.</w:t>
      </w:r>
      <w:r w:rsidR="00A65A70">
        <w:t xml:space="preserve"> korun.</w:t>
      </w:r>
    </w:p>
    <w:p w14:paraId="7CC0DD99" w14:textId="66BF4E57" w:rsidR="00667E3D" w:rsidRDefault="00667E3D" w:rsidP="00C63561">
      <w:pPr>
        <w:spacing w:after="240"/>
      </w:pPr>
      <w:r>
        <w:t>D</w:t>
      </w:r>
      <w:r w:rsidR="00CB19EA">
        <w:t xml:space="preserve">o domácí ekonomiky ze zahraničí přiteklo </w:t>
      </w:r>
      <w:r>
        <w:t>ve 2.</w:t>
      </w:r>
      <w:r w:rsidR="009544CC">
        <w:t> čtvrtlet</w:t>
      </w:r>
      <w:r>
        <w:t xml:space="preserve">í </w:t>
      </w:r>
      <w:r w:rsidR="00CB19EA">
        <w:t>1</w:t>
      </w:r>
      <w:r>
        <w:t>8,8</w:t>
      </w:r>
      <w:r w:rsidR="00F03815">
        <w:t> mld.</w:t>
      </w:r>
      <w:r w:rsidR="00CB19EA">
        <w:t xml:space="preserve"> korun ve formě náhrad zaměstnancům (meziročně </w:t>
      </w:r>
      <w:r w:rsidR="00F03815">
        <w:t>o </w:t>
      </w:r>
      <w:r>
        <w:t>2,2</w:t>
      </w:r>
      <w:r w:rsidR="00F03815">
        <w:t> mld.</w:t>
      </w:r>
      <w:r w:rsidR="00CB19EA">
        <w:t xml:space="preserve"> korun více). </w:t>
      </w:r>
      <w:r w:rsidR="009544CC">
        <w:t>O </w:t>
      </w:r>
      <w:r>
        <w:t>1,9</w:t>
      </w:r>
      <w:r w:rsidR="00CF1CFF">
        <w:t> mld.</w:t>
      </w:r>
      <w:r>
        <w:t xml:space="preserve"> se navýšil </w:t>
      </w:r>
      <w:r w:rsidR="00931B1D">
        <w:t xml:space="preserve">také </w:t>
      </w:r>
      <w:r>
        <w:t>objem náhrad vyplacených do zahraničí (na celkovou hodnotu 14,6</w:t>
      </w:r>
      <w:r w:rsidR="00CF1CFF">
        <w:t> mld.</w:t>
      </w:r>
      <w:r>
        <w:t xml:space="preserve"> korun). </w:t>
      </w:r>
      <w:r w:rsidR="00931B1D">
        <w:t xml:space="preserve">Ani ostatní položky v rozvaze zatím nebyly krizí významněji zasaženy. </w:t>
      </w:r>
      <w:r>
        <w:t xml:space="preserve">Do zahraničí </w:t>
      </w:r>
      <w:r w:rsidR="0038007D">
        <w:t xml:space="preserve">byly vyplaceny </w:t>
      </w:r>
      <w:r>
        <w:t>2,0</w:t>
      </w:r>
      <w:r w:rsidR="00CF1CFF">
        <w:t> mld.</w:t>
      </w:r>
      <w:r>
        <w:t xml:space="preserve"> korun ve formě daní z výroby </w:t>
      </w:r>
      <w:r w:rsidR="009544CC">
        <w:t>a </w:t>
      </w:r>
      <w:r>
        <w:t>dovozu</w:t>
      </w:r>
      <w:r w:rsidR="00931B1D">
        <w:t xml:space="preserve"> </w:t>
      </w:r>
      <w:r w:rsidR="009544CC">
        <w:t>a </w:t>
      </w:r>
      <w:r w:rsidR="00931B1D">
        <w:t>domácí ekonomika obdržela 4,0</w:t>
      </w:r>
      <w:r w:rsidR="00CF1CFF">
        <w:t> mld.</w:t>
      </w:r>
      <w:r w:rsidR="00931B1D">
        <w:t xml:space="preserve"> korun jako dotace. Celkové saldo prvotních důchodů skončilo v deficitu 67,4</w:t>
      </w:r>
      <w:r w:rsidR="00CF1CFF">
        <w:t> mld.</w:t>
      </w:r>
      <w:r w:rsidR="00931B1D">
        <w:t xml:space="preserve"> korun. Deficit se přitom zmírnil </w:t>
      </w:r>
      <w:r w:rsidR="009544CC">
        <w:t>o </w:t>
      </w:r>
      <w:r w:rsidR="00931B1D">
        <w:t>92,8</w:t>
      </w:r>
      <w:r w:rsidR="00CF1CFF">
        <w:t> mld.</w:t>
      </w:r>
    </w:p>
    <w:p w14:paraId="15A79882" w14:textId="58B055D7" w:rsidR="00F81F79" w:rsidRDefault="00931B1D" w:rsidP="00CB19EA">
      <w:pPr>
        <w:spacing w:after="240"/>
      </w:pPr>
      <w:r>
        <w:t>Také s</w:t>
      </w:r>
      <w:r w:rsidR="00CB19EA">
        <w:t xml:space="preserve">aldo druhotného rozdělení </w:t>
      </w:r>
      <w:r>
        <w:t>skončilo v deficitu (21,7</w:t>
      </w:r>
      <w:r w:rsidR="00CF1CFF">
        <w:t> mld.</w:t>
      </w:r>
      <w:r>
        <w:t xml:space="preserve"> korun). </w:t>
      </w:r>
      <w:r w:rsidR="00AF66FA">
        <w:t xml:space="preserve">Ten se meziročně prohloubil </w:t>
      </w:r>
      <w:r w:rsidR="009544CC">
        <w:t>o </w:t>
      </w:r>
      <w:r w:rsidR="00AF66FA">
        <w:t>10,7</w:t>
      </w:r>
      <w:r w:rsidR="00CF1CFF">
        <w:t> mld.</w:t>
      </w:r>
      <w:r w:rsidR="00AF66FA">
        <w:t xml:space="preserve"> Saldo běžných transakcí rezidentů s nerezidenty tak bylo záporné </w:t>
      </w:r>
      <w:r w:rsidR="009544CC">
        <w:t>a </w:t>
      </w:r>
      <w:r w:rsidR="00AF66FA">
        <w:t>činilo 29,3</w:t>
      </w:r>
      <w:r w:rsidR="00CF1CFF">
        <w:t> mld.</w:t>
      </w:r>
      <w:r w:rsidR="00AF66FA">
        <w:t xml:space="preserve"> korun</w:t>
      </w:r>
      <w:r w:rsidR="006A50B6">
        <w:t xml:space="preserve">, meziročně se ale zmírnilo </w:t>
      </w:r>
      <w:r w:rsidR="009544CC">
        <w:t>o </w:t>
      </w:r>
      <w:r w:rsidR="006A50B6">
        <w:t>25,0</w:t>
      </w:r>
      <w:r w:rsidR="00CF1CFF">
        <w:t> mld.</w:t>
      </w:r>
      <w:r w:rsidR="00AF66FA">
        <w:t xml:space="preserve"> Ze zahraničí do domácí ekonomiky přiteklo 20,5</w:t>
      </w:r>
      <w:r w:rsidR="00CF1CFF">
        <w:t> mld.</w:t>
      </w:r>
      <w:r w:rsidR="00AF66FA">
        <w:t xml:space="preserve"> korun ve formě kapitálových transferů (meziroční navýšení </w:t>
      </w:r>
      <w:r w:rsidR="009544CC">
        <w:t>o </w:t>
      </w:r>
      <w:r w:rsidR="00AF66FA">
        <w:t>5,8</w:t>
      </w:r>
      <w:r w:rsidR="00CF1CFF">
        <w:t> mld.</w:t>
      </w:r>
      <w:r w:rsidR="00AF66FA">
        <w:t>)</w:t>
      </w:r>
      <w:r w:rsidR="006A50B6">
        <w:t>, z toho 20,0</w:t>
      </w:r>
      <w:r w:rsidR="00CF1CFF">
        <w:t> mld.</w:t>
      </w:r>
      <w:r w:rsidR="006A50B6">
        <w:t xml:space="preserve"> představovaly investiční dotace. Čisté výpůjčky tak dosáhly 8,8</w:t>
      </w:r>
      <w:r w:rsidR="00CF1CFF">
        <w:t> mld.</w:t>
      </w:r>
      <w:r w:rsidR="006A50B6">
        <w:t xml:space="preserve"> korun</w:t>
      </w:r>
      <w:r w:rsidR="00CB1D8D">
        <w:t xml:space="preserve">, což bylo meziročně </w:t>
      </w:r>
      <w:r w:rsidR="009544CC">
        <w:t>o </w:t>
      </w:r>
      <w:r w:rsidR="00CB1D8D">
        <w:t>35,4</w:t>
      </w:r>
      <w:r w:rsidR="00CF1CFF">
        <w:t> mld.</w:t>
      </w:r>
      <w:r w:rsidR="00CB1D8D">
        <w:t xml:space="preserve"> méně.</w:t>
      </w:r>
    </w:p>
    <w:p w14:paraId="60D3F50D" w14:textId="3E6CE6D0" w:rsidR="00F81F79" w:rsidRDefault="00F81F79" w:rsidP="00CB19EA">
      <w:pPr>
        <w:spacing w:after="240"/>
      </w:pPr>
    </w:p>
    <w:p w14:paraId="72DF9366" w14:textId="77777777" w:rsidR="00F81F79" w:rsidRDefault="00F81F79" w:rsidP="00CB19EA">
      <w:pPr>
        <w:spacing w:after="240"/>
      </w:pPr>
    </w:p>
    <w:p w14:paraId="40794951" w14:textId="77777777" w:rsidR="007B1333" w:rsidRDefault="007B1333" w:rsidP="00E42E00">
      <w:pPr>
        <w:rPr>
          <w:b/>
        </w:rPr>
      </w:pPr>
      <w:r>
        <w:rPr>
          <w:b/>
        </w:rPr>
        <w:t>Autor/Kontakt/Zpracoval</w:t>
      </w:r>
      <w:r w:rsidR="004C52C6">
        <w:rPr>
          <w:b/>
        </w:rPr>
        <w:t>a</w:t>
      </w:r>
    </w:p>
    <w:p w14:paraId="07FE70A9" w14:textId="77777777" w:rsidR="007B1333" w:rsidRDefault="00656A12" w:rsidP="00E42E00">
      <w:r>
        <w:t>Karolína Zábojníková</w:t>
      </w:r>
    </w:p>
    <w:p w14:paraId="4734BAC4" w14:textId="77777777" w:rsidR="007B1333" w:rsidRDefault="00656A12" w:rsidP="00E42E00">
      <w:r>
        <w:t>Odbor Kancelář předsedy</w:t>
      </w:r>
    </w:p>
    <w:p w14:paraId="4CEDD3F5" w14:textId="3D4E0FEB" w:rsidR="007B1333" w:rsidRDefault="007B1333" w:rsidP="00E42E00">
      <w:r>
        <w:t>Tel.:</w:t>
      </w:r>
      <w:r w:rsidR="00656A12">
        <w:t xml:space="preserve"> 542</w:t>
      </w:r>
      <w:r w:rsidR="0038007D">
        <w:t> </w:t>
      </w:r>
      <w:r w:rsidR="00656A12">
        <w:t>528</w:t>
      </w:r>
      <w:r w:rsidR="0038007D">
        <w:t> </w:t>
      </w:r>
      <w:r w:rsidR="00656A12">
        <w:t>112</w:t>
      </w:r>
    </w:p>
    <w:p w14:paraId="5AE94747" w14:textId="77777777" w:rsidR="004920AD" w:rsidRPr="004920AD" w:rsidRDefault="007B1333" w:rsidP="00E42E00">
      <w:r>
        <w:t>E-mail:</w:t>
      </w:r>
      <w:r w:rsidR="00346D76">
        <w:t xml:space="preserve"> karolina.zabojnikova@czso.cz</w:t>
      </w:r>
    </w:p>
    <w:sectPr w:rsidR="004920AD" w:rsidRPr="004920AD" w:rsidSect="00405244">
      <w:head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BB2DAF" w16cid:durableId="23308B52"/>
  <w16cid:commentId w16cid:paraId="5D0C9691" w16cid:durableId="23313A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CF89" w14:textId="77777777" w:rsidR="00967836" w:rsidRDefault="00967836" w:rsidP="00BA6370">
      <w:r>
        <w:separator/>
      </w:r>
    </w:p>
  </w:endnote>
  <w:endnote w:type="continuationSeparator" w:id="0">
    <w:p w14:paraId="7A14A7A7" w14:textId="77777777" w:rsidR="00967836" w:rsidRDefault="009678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F79B" w14:textId="77777777" w:rsidR="00967836" w:rsidRDefault="00967836" w:rsidP="00BA6370">
      <w:r>
        <w:separator/>
      </w:r>
    </w:p>
  </w:footnote>
  <w:footnote w:type="continuationSeparator" w:id="0">
    <w:p w14:paraId="4C697033" w14:textId="77777777" w:rsidR="00967836" w:rsidRDefault="00967836" w:rsidP="00BA6370">
      <w:r>
        <w:continuationSeparator/>
      </w:r>
    </w:p>
  </w:footnote>
  <w:footnote w:id="1">
    <w:p w14:paraId="1BABD073" w14:textId="77777777" w:rsidR="00293514" w:rsidRPr="00F5750C" w:rsidRDefault="00293514" w:rsidP="005A0668">
      <w:pPr>
        <w:pStyle w:val="Textpoznpodarou"/>
        <w:rPr>
          <w:sz w:val="16"/>
          <w:szCs w:val="16"/>
        </w:rPr>
      </w:pPr>
      <w:r w:rsidRPr="00F5750C">
        <w:rPr>
          <w:rStyle w:val="Znakapoznpodarou"/>
          <w:sz w:val="16"/>
          <w:szCs w:val="16"/>
        </w:rPr>
        <w:footnoteRef/>
      </w:r>
      <w:r w:rsidRPr="00F5750C">
        <w:rPr>
          <w:sz w:val="16"/>
          <w:szCs w:val="16"/>
        </w:rPr>
        <w:t xml:space="preserve"> Není-li uvedeno jinak, jsou všechny údaje použité v textu bez sezónního očištění.</w:t>
      </w:r>
    </w:p>
  </w:footnote>
  <w:footnote w:id="2">
    <w:p w14:paraId="3AFA292F" w14:textId="78D490D5" w:rsidR="00293514" w:rsidRPr="0006237B" w:rsidRDefault="00293514" w:rsidP="001A532E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proofErr w:type="spellStart"/>
      <w:r w:rsidRPr="0006237B">
        <w:rPr>
          <w:sz w:val="16"/>
          <w:szCs w:val="16"/>
        </w:rPr>
        <w:t>Deflováno</w:t>
      </w:r>
      <w:proofErr w:type="spellEnd"/>
      <w:r w:rsidRPr="0006237B">
        <w:rPr>
          <w:sz w:val="16"/>
          <w:szCs w:val="16"/>
        </w:rPr>
        <w:t xml:space="preserve"> celkovým deflátorem HPH.</w:t>
      </w:r>
      <w:r>
        <w:rPr>
          <w:sz w:val="16"/>
          <w:szCs w:val="16"/>
        </w:rPr>
        <w:t xml:space="preserve"> </w:t>
      </w:r>
      <w:r w:rsidR="0047377E" w:rsidRPr="0070033F">
        <w:rPr>
          <w:sz w:val="16"/>
          <w:szCs w:val="16"/>
        </w:rPr>
        <w:t>V</w:t>
      </w:r>
      <w:r w:rsidR="0070033F" w:rsidRPr="0070033F">
        <w:rPr>
          <w:sz w:val="16"/>
          <w:szCs w:val="16"/>
        </w:rPr>
        <w:t>e</w:t>
      </w:r>
      <w:r w:rsidR="0047377E" w:rsidRPr="0070033F">
        <w:rPr>
          <w:sz w:val="16"/>
          <w:szCs w:val="16"/>
        </w:rPr>
        <w:t> 2. čtvrtletí 2020 dosahoval meziroční deflátor HPH 4,6 %</w:t>
      </w:r>
    </w:p>
  </w:footnote>
  <w:footnote w:id="3">
    <w:p w14:paraId="6B7CA1B9" w14:textId="77777777" w:rsidR="00293514" w:rsidRPr="000F11C8" w:rsidRDefault="00293514" w:rsidP="00917CA6">
      <w:pPr>
        <w:pStyle w:val="Textpoznpodarou"/>
        <w:rPr>
          <w:sz w:val="16"/>
          <w:szCs w:val="16"/>
        </w:rPr>
      </w:pPr>
      <w:r w:rsidRPr="000F11C8">
        <w:rPr>
          <w:rStyle w:val="Znakapoznpodarou"/>
          <w:sz w:val="16"/>
          <w:szCs w:val="16"/>
        </w:rPr>
        <w:footnoteRef/>
      </w:r>
      <w:r w:rsidRPr="000F11C8">
        <w:rPr>
          <w:sz w:val="16"/>
          <w:szCs w:val="16"/>
        </w:rPr>
        <w:t xml:space="preserve"> V osobách, úvazky přepočteny na plnou pracovní dobu.</w:t>
      </w:r>
    </w:p>
  </w:footnote>
  <w:footnote w:id="4">
    <w:p w14:paraId="3544E1BB" w14:textId="32A45141" w:rsidR="00293514" w:rsidRPr="00EE227D" w:rsidRDefault="00293514" w:rsidP="00EE227D">
      <w:pPr>
        <w:pStyle w:val="Textpoznpodarou"/>
        <w:rPr>
          <w:sz w:val="16"/>
          <w:szCs w:val="16"/>
        </w:rPr>
      </w:pPr>
      <w:r w:rsidRPr="00EE227D">
        <w:rPr>
          <w:rStyle w:val="Znakapoznpodarou"/>
          <w:sz w:val="16"/>
          <w:szCs w:val="16"/>
        </w:rPr>
        <w:footnoteRef/>
      </w:r>
      <w:r w:rsidRPr="00EE22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Položka dotací na výrobu </w:t>
      </w:r>
      <w:r w:rsidRPr="005D0714">
        <w:rPr>
          <w:sz w:val="16"/>
          <w:szCs w:val="16"/>
        </w:rPr>
        <w:t>zahrnovala prostředky vyplacené NP v</w:t>
      </w:r>
      <w:r>
        <w:rPr>
          <w:sz w:val="16"/>
          <w:szCs w:val="16"/>
        </w:rPr>
        <w:t> </w:t>
      </w:r>
      <w:r w:rsidRPr="005D0714">
        <w:rPr>
          <w:sz w:val="16"/>
          <w:szCs w:val="16"/>
        </w:rPr>
        <w:t>programu podpory zaměstnanosti Antivirus</w:t>
      </w:r>
      <w:r w:rsidR="005B33C3">
        <w:rPr>
          <w:sz w:val="16"/>
          <w:szCs w:val="16"/>
        </w:rPr>
        <w:t xml:space="preserve">. </w:t>
      </w:r>
      <w:r>
        <w:rPr>
          <w:sz w:val="16"/>
          <w:szCs w:val="16"/>
        </w:rPr>
        <w:t>Podrobnější informace o pohybech ve statistice výdajů a příjmů vládních institucí jsou obsaženy v metodické poznámce zveřejněné na internetových stránkách ČSÚ:</w:t>
      </w:r>
      <w:r w:rsidRPr="005D0714">
        <w:rPr>
          <w:sz w:val="16"/>
          <w:szCs w:val="16"/>
        </w:rPr>
        <w:t xml:space="preserve"> </w:t>
      </w:r>
      <w:hyperlink r:id="rId1" w:history="1">
        <w:r w:rsidRPr="005D0714">
          <w:rPr>
            <w:rStyle w:val="Hypertextovodkaz"/>
            <w:sz w:val="16"/>
            <w:szCs w:val="16"/>
          </w:rPr>
          <w:t>https://www.czso.cz/csu/czso/metodicka-poznamka-k-vladni-financni-statistice-2-ctvrtleti-2020-covid-19</w:t>
        </w:r>
      </w:hyperlink>
    </w:p>
  </w:footnote>
  <w:footnote w:id="5">
    <w:p w14:paraId="361ACFEA" w14:textId="77777777" w:rsidR="00293514" w:rsidRPr="0006237B" w:rsidRDefault="00293514" w:rsidP="00917CA6">
      <w:pPr>
        <w:pStyle w:val="Textpoznpodarou"/>
        <w:rPr>
          <w:sz w:val="16"/>
          <w:szCs w:val="16"/>
        </w:rPr>
      </w:pPr>
      <w:r w:rsidRPr="0006237B">
        <w:rPr>
          <w:rStyle w:val="Znakapoznpodarou"/>
          <w:sz w:val="16"/>
          <w:szCs w:val="16"/>
        </w:rPr>
        <w:footnoteRef/>
      </w:r>
      <w:r w:rsidRPr="0006237B">
        <w:rPr>
          <w:sz w:val="16"/>
          <w:szCs w:val="16"/>
        </w:rPr>
        <w:t xml:space="preserve"> </w:t>
      </w:r>
      <w:r w:rsidRPr="0006237B">
        <w:rPr>
          <w:rFonts w:eastAsiaTheme="minorHAnsi" w:cs="Arial"/>
          <w:bCs/>
          <w:iCs/>
          <w:sz w:val="16"/>
          <w:szCs w:val="16"/>
          <w:lang w:eastAsia="en-US"/>
        </w:rPr>
        <w:t xml:space="preserve">Míra zisku nefinančních podniků 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je definována jako podíl hrubého provozního přebytku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hrubé přidané hodnotě (B.2g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06237B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6">
    <w:p w14:paraId="5DCE4EAB" w14:textId="77777777" w:rsidR="00293514" w:rsidRDefault="00293514" w:rsidP="00F73A45">
      <w:pPr>
        <w:pStyle w:val="Textpoznpodarou"/>
      </w:pPr>
      <w:r w:rsidRPr="000C5DA6">
        <w:rPr>
          <w:rStyle w:val="Znakapoznpodarou"/>
          <w:sz w:val="16"/>
          <w:szCs w:val="16"/>
        </w:rPr>
        <w:footnoteRef/>
      </w:r>
      <w:r w:rsidRPr="000C5DA6">
        <w:rPr>
          <w:sz w:val="16"/>
          <w:szCs w:val="16"/>
        </w:rPr>
        <w:t xml:space="preserve"> Míra úspor nefinančních podniků je definována jako podíl hrubých úspor k hrubé přidané hodnotě (B.8g</w:t>
      </w:r>
      <w:r>
        <w:rPr>
          <w:sz w:val="16"/>
          <w:szCs w:val="16"/>
        </w:rPr>
        <w:t> </w:t>
      </w:r>
      <w:r w:rsidRPr="000C5DA6">
        <w:rPr>
          <w:sz w:val="16"/>
          <w:szCs w:val="16"/>
        </w:rPr>
        <w:t>/</w:t>
      </w:r>
      <w:r>
        <w:rPr>
          <w:sz w:val="16"/>
          <w:szCs w:val="16"/>
        </w:rPr>
        <w:t> </w:t>
      </w:r>
      <w:r w:rsidRPr="000C5DA6">
        <w:rPr>
          <w:sz w:val="16"/>
          <w:szCs w:val="16"/>
        </w:rPr>
        <w:t>B.1g)</w:t>
      </w:r>
      <w:r>
        <w:rPr>
          <w:sz w:val="16"/>
          <w:szCs w:val="16"/>
        </w:rPr>
        <w:t>.</w:t>
      </w:r>
    </w:p>
  </w:footnote>
  <w:footnote w:id="7">
    <w:p w14:paraId="268B8C84" w14:textId="77777777" w:rsidR="00293514" w:rsidRPr="00AB3D8D" w:rsidRDefault="00293514" w:rsidP="002956A8">
      <w:pPr>
        <w:pStyle w:val="Textpoznpodarou"/>
        <w:rPr>
          <w:sz w:val="16"/>
          <w:szCs w:val="16"/>
        </w:rPr>
      </w:pPr>
      <w:r w:rsidRPr="00AB3D8D">
        <w:rPr>
          <w:rStyle w:val="Znakapoznpodarou"/>
          <w:sz w:val="16"/>
          <w:szCs w:val="16"/>
        </w:rPr>
        <w:footnoteRef/>
      </w:r>
      <w:r w:rsidRPr="00AB3D8D">
        <w:rPr>
          <w:sz w:val="16"/>
          <w:szCs w:val="16"/>
        </w:rPr>
        <w:t xml:space="preserve"> </w:t>
      </w:r>
      <w:r w:rsidRPr="00AB3D8D">
        <w:rPr>
          <w:rFonts w:eastAsiaTheme="minorHAnsi" w:cs="Arial"/>
          <w:bCs/>
          <w:iCs/>
          <w:sz w:val="16"/>
          <w:szCs w:val="16"/>
          <w:lang w:eastAsia="en-US"/>
        </w:rPr>
        <w:t xml:space="preserve">Míra investic nefinančních podniků 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je definována jako podíl hrubé tvorby fixního kapitálu k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hrubé přidané hodnotě (P.51g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/</w:t>
      </w:r>
      <w:r>
        <w:rPr>
          <w:rFonts w:eastAsiaTheme="minorHAnsi" w:cs="Arial"/>
          <w:iCs/>
          <w:sz w:val="16"/>
          <w:szCs w:val="16"/>
          <w:lang w:eastAsia="en-US"/>
        </w:rPr>
        <w:t> </w:t>
      </w:r>
      <w:r w:rsidRPr="00AB3D8D">
        <w:rPr>
          <w:rFonts w:eastAsiaTheme="minorHAnsi" w:cs="Arial"/>
          <w:iCs/>
          <w:sz w:val="16"/>
          <w:szCs w:val="16"/>
          <w:lang w:eastAsia="en-US"/>
        </w:rPr>
        <w:t>B.1g).</w:t>
      </w:r>
    </w:p>
  </w:footnote>
  <w:footnote w:id="8">
    <w:p w14:paraId="6CE8FE18" w14:textId="5F2D95BA" w:rsidR="00293514" w:rsidRPr="00B435ED" w:rsidRDefault="00293514">
      <w:pPr>
        <w:pStyle w:val="Textpoznpodarou"/>
        <w:rPr>
          <w:sz w:val="16"/>
          <w:szCs w:val="16"/>
        </w:rPr>
      </w:pPr>
      <w:r w:rsidRPr="00B435ED">
        <w:rPr>
          <w:rStyle w:val="Znakapoznpodarou"/>
          <w:sz w:val="16"/>
          <w:szCs w:val="16"/>
        </w:rPr>
        <w:footnoteRef/>
      </w:r>
      <w:r w:rsidRPr="00B435ED">
        <w:rPr>
          <w:sz w:val="16"/>
          <w:szCs w:val="16"/>
        </w:rPr>
        <w:t xml:space="preserve"> Zahrnovaly</w:t>
      </w:r>
      <w:r w:rsidR="00EE5E89">
        <w:rPr>
          <w:sz w:val="16"/>
          <w:szCs w:val="16"/>
        </w:rPr>
        <w:t xml:space="preserve"> zejména</w:t>
      </w:r>
      <w:r w:rsidRPr="00B435ED">
        <w:rPr>
          <w:sz w:val="16"/>
          <w:szCs w:val="16"/>
        </w:rPr>
        <w:t xml:space="preserve"> </w:t>
      </w:r>
      <w:r w:rsidRPr="00B435ED">
        <w:rPr>
          <w:rFonts w:eastAsia="Times New Roman" w:cs="Arial"/>
          <w:color w:val="000000"/>
          <w:sz w:val="16"/>
          <w:szCs w:val="16"/>
          <w:lang w:eastAsia="en-GB"/>
        </w:rPr>
        <w:t>kompenzační bonus pro OSVČ</w:t>
      </w:r>
      <w:r w:rsidR="00EE5E89">
        <w:rPr>
          <w:rFonts w:eastAsia="Times New Roman" w:cs="Arial"/>
          <w:color w:val="000000"/>
          <w:sz w:val="16"/>
          <w:szCs w:val="16"/>
          <w:lang w:eastAsia="en-GB"/>
        </w:rPr>
        <w:t xml:space="preserve"> a</w:t>
      </w:r>
      <w:r w:rsidRPr="00B435ED">
        <w:rPr>
          <w:rFonts w:eastAsia="Times New Roman" w:cs="Arial"/>
          <w:color w:val="000000"/>
          <w:sz w:val="16"/>
          <w:szCs w:val="16"/>
          <w:lang w:eastAsia="en-GB"/>
        </w:rPr>
        <w:t xml:space="preserve"> kompenzační bonus pro společníky s.</w:t>
      </w:r>
      <w:r w:rsidR="00393979">
        <w:rPr>
          <w:rFonts w:eastAsia="Times New Roman" w:cs="Arial"/>
          <w:color w:val="000000"/>
          <w:sz w:val="16"/>
          <w:szCs w:val="16"/>
          <w:lang w:eastAsia="en-GB"/>
        </w:rPr>
        <w:t> </w:t>
      </w:r>
      <w:r w:rsidRPr="00B435ED">
        <w:rPr>
          <w:rFonts w:eastAsia="Times New Roman" w:cs="Arial"/>
          <w:color w:val="000000"/>
          <w:sz w:val="16"/>
          <w:szCs w:val="16"/>
          <w:lang w:eastAsia="en-GB"/>
        </w:rPr>
        <w:t>r.</w:t>
      </w:r>
      <w:r w:rsidR="00393979">
        <w:rPr>
          <w:rFonts w:eastAsia="Times New Roman" w:cs="Arial"/>
          <w:color w:val="000000"/>
          <w:sz w:val="16"/>
          <w:szCs w:val="16"/>
          <w:lang w:eastAsia="en-GB"/>
        </w:rPr>
        <w:t> </w:t>
      </w:r>
      <w:r w:rsidRPr="00B435ED">
        <w:rPr>
          <w:rFonts w:eastAsia="Times New Roman" w:cs="Arial"/>
          <w:color w:val="000000"/>
          <w:sz w:val="16"/>
          <w:szCs w:val="16"/>
          <w:lang w:eastAsia="en-GB"/>
        </w:rPr>
        <w:t>o.</w:t>
      </w:r>
    </w:p>
  </w:footnote>
  <w:footnote w:id="9">
    <w:p w14:paraId="2FFEDA8B" w14:textId="1B6CD575" w:rsidR="00293514" w:rsidRDefault="00293514" w:rsidP="00846BC4">
      <w:pPr>
        <w:pStyle w:val="Textkomente"/>
        <w:spacing w:after="0"/>
      </w:pPr>
      <w:r w:rsidRPr="00EC1A9F">
        <w:rPr>
          <w:rStyle w:val="Znakapoznpodarou"/>
          <w:sz w:val="16"/>
          <w:szCs w:val="16"/>
        </w:rPr>
        <w:footnoteRef/>
      </w:r>
      <w:r w:rsidRPr="00EC1A9F">
        <w:rPr>
          <w:sz w:val="16"/>
          <w:szCs w:val="16"/>
        </w:rPr>
        <w:t xml:space="preserve"> Dluh v sektorových účtech se liší (číselně i</w:t>
      </w:r>
      <w:r>
        <w:rPr>
          <w:sz w:val="16"/>
          <w:szCs w:val="16"/>
        </w:rPr>
        <w:t> </w:t>
      </w:r>
      <w:r w:rsidRPr="00EC1A9F">
        <w:rPr>
          <w:sz w:val="16"/>
          <w:szCs w:val="16"/>
        </w:rPr>
        <w:t>metodicky) od Maastrichtského dluhu pro potřeby EDP statistiky</w:t>
      </w:r>
      <w:r w:rsidR="00F62D15">
        <w:rPr>
          <w:sz w:val="16"/>
          <w:szCs w:val="16"/>
        </w:rPr>
        <w:t xml:space="preserve">, zejména způsobem ocenění a odlišným přístupem k </w:t>
      </w:r>
      <w:r w:rsidR="00F62D15">
        <w:rPr>
          <w:sz w:val="16"/>
          <w:szCs w:val="16"/>
        </w:rPr>
        <w:t>závazkům</w:t>
      </w:r>
      <w:bookmarkStart w:id="0" w:name="_GoBack"/>
      <w:bookmarkEnd w:id="0"/>
      <w:r w:rsidRPr="00EC1A9F">
        <w:rPr>
          <w:sz w:val="16"/>
          <w:szCs w:val="16"/>
        </w:rPr>
        <w:t>.</w:t>
      </w:r>
      <w:r w:rsidR="00F62D15">
        <w:rPr>
          <w:sz w:val="16"/>
          <w:szCs w:val="16"/>
        </w:rPr>
        <w:t xml:space="preserve"> </w:t>
      </w:r>
    </w:p>
  </w:footnote>
  <w:footnote w:id="10">
    <w:p w14:paraId="7636667E" w14:textId="32BBE8AF" w:rsidR="00293514" w:rsidRPr="009A5942" w:rsidRDefault="00293514">
      <w:pPr>
        <w:pStyle w:val="Textpoznpodarou"/>
        <w:rPr>
          <w:sz w:val="16"/>
          <w:szCs w:val="16"/>
        </w:rPr>
      </w:pPr>
      <w:r w:rsidRPr="009A5942">
        <w:rPr>
          <w:rStyle w:val="Znakapoznpodarou"/>
          <w:sz w:val="16"/>
          <w:szCs w:val="16"/>
        </w:rPr>
        <w:footnoteRef/>
      </w:r>
      <w:r w:rsidRPr="009A5942">
        <w:rPr>
          <w:sz w:val="16"/>
          <w:szCs w:val="16"/>
        </w:rPr>
        <w:t xml:space="preserve"> Předchozí největší meziroční přírůstek ze 3.</w:t>
      </w:r>
      <w:r>
        <w:rPr>
          <w:sz w:val="16"/>
          <w:szCs w:val="16"/>
        </w:rPr>
        <w:t> čtvrtlet</w:t>
      </w:r>
      <w:r w:rsidRPr="009A5942">
        <w:rPr>
          <w:sz w:val="16"/>
          <w:szCs w:val="16"/>
        </w:rPr>
        <w:t>í 2012 dosahoval 232,7</w:t>
      </w:r>
      <w:r>
        <w:rPr>
          <w:sz w:val="16"/>
          <w:szCs w:val="16"/>
        </w:rPr>
        <w:t> mld.</w:t>
      </w:r>
      <w:r w:rsidRPr="009A5942">
        <w:rPr>
          <w:sz w:val="16"/>
          <w:szCs w:val="16"/>
        </w:rPr>
        <w:t xml:space="preserve"> korun, navýšení </w:t>
      </w:r>
      <w:proofErr w:type="gramStart"/>
      <w:r w:rsidRPr="009A5942">
        <w:rPr>
          <w:sz w:val="16"/>
          <w:szCs w:val="16"/>
        </w:rPr>
        <w:t>z</w:t>
      </w:r>
      <w:r>
        <w:rPr>
          <w:sz w:val="16"/>
          <w:szCs w:val="16"/>
        </w:rPr>
        <w:t>e</w:t>
      </w:r>
      <w:proofErr w:type="gramEnd"/>
      <w:r w:rsidR="005024A7">
        <w:rPr>
          <w:sz w:val="16"/>
          <w:szCs w:val="16"/>
        </w:rPr>
        <w:t xml:space="preserve"> </w:t>
      </w:r>
      <w:r w:rsidRPr="009A5942">
        <w:rPr>
          <w:sz w:val="16"/>
          <w:szCs w:val="16"/>
        </w:rPr>
        <w:t>3.</w:t>
      </w:r>
      <w:r>
        <w:rPr>
          <w:sz w:val="16"/>
          <w:szCs w:val="16"/>
        </w:rPr>
        <w:t> kvartál</w:t>
      </w:r>
      <w:r w:rsidRPr="009A5942">
        <w:rPr>
          <w:sz w:val="16"/>
          <w:szCs w:val="16"/>
        </w:rPr>
        <w:t>u 2009 činilo 214,6</w:t>
      </w:r>
      <w:r>
        <w:rPr>
          <w:sz w:val="16"/>
          <w:szCs w:val="16"/>
        </w:rPr>
        <w:t> mld.</w:t>
      </w:r>
    </w:p>
  </w:footnote>
  <w:footnote w:id="11">
    <w:p w14:paraId="2C4C00B0" w14:textId="061FB86A" w:rsidR="00293514" w:rsidRPr="009E0C2A" w:rsidRDefault="00293514" w:rsidP="00D875B2">
      <w:pPr>
        <w:pStyle w:val="Textpoznpodarou"/>
        <w:rPr>
          <w:sz w:val="16"/>
          <w:szCs w:val="16"/>
        </w:rPr>
      </w:pPr>
      <w:r w:rsidRPr="009E0C2A">
        <w:rPr>
          <w:rStyle w:val="Znakapoznpodarou"/>
          <w:sz w:val="16"/>
          <w:szCs w:val="16"/>
        </w:rPr>
        <w:footnoteRef/>
      </w:r>
      <w:r w:rsidRPr="009E0C2A">
        <w:rPr>
          <w:sz w:val="16"/>
          <w:szCs w:val="16"/>
        </w:rPr>
        <w:t xml:space="preserve"> </w:t>
      </w:r>
      <w:r>
        <w:rPr>
          <w:sz w:val="16"/>
          <w:szCs w:val="16"/>
        </w:rPr>
        <w:t>Pro očištění o vliv cen byl použit</w:t>
      </w:r>
      <w:r w:rsidRPr="009E0C2A">
        <w:rPr>
          <w:sz w:val="16"/>
          <w:szCs w:val="16"/>
        </w:rPr>
        <w:t xml:space="preserve"> deflátor výdajů na konečnou spotřebu domácností.</w:t>
      </w:r>
      <w:r>
        <w:rPr>
          <w:sz w:val="16"/>
          <w:szCs w:val="16"/>
        </w:rPr>
        <w:t xml:space="preserve"> Ve</w:t>
      </w:r>
      <w:r w:rsidR="001578BA">
        <w:rPr>
          <w:sz w:val="16"/>
          <w:szCs w:val="16"/>
        </w:rPr>
        <w:t xml:space="preserve"> </w:t>
      </w:r>
      <w:r>
        <w:rPr>
          <w:sz w:val="16"/>
          <w:szCs w:val="16"/>
        </w:rPr>
        <w:t>2. čtvrtletí 2020 činil cenový nárůst 3,2 %.</w:t>
      </w:r>
    </w:p>
  </w:footnote>
  <w:footnote w:id="12">
    <w:p w14:paraId="60686E9C" w14:textId="6051B761" w:rsidR="00293514" w:rsidRPr="00BF147C" w:rsidRDefault="00293514" w:rsidP="00A0458C">
      <w:pPr>
        <w:pStyle w:val="Textpoznpodarou"/>
        <w:rPr>
          <w:sz w:val="16"/>
          <w:szCs w:val="16"/>
        </w:rPr>
      </w:pPr>
      <w:r w:rsidRPr="00BF147C">
        <w:rPr>
          <w:rStyle w:val="Znakapoznpodarou"/>
          <w:sz w:val="16"/>
          <w:szCs w:val="16"/>
        </w:rPr>
        <w:footnoteRef/>
      </w:r>
      <w:r w:rsidRPr="00BF147C">
        <w:rPr>
          <w:sz w:val="16"/>
          <w:szCs w:val="16"/>
        </w:rPr>
        <w:t xml:space="preserve"> </w:t>
      </w:r>
      <w:r>
        <w:rPr>
          <w:sz w:val="16"/>
          <w:szCs w:val="16"/>
        </w:rPr>
        <w:t>Prostředky vyplacené zaměstnancům v rámci programu Antivirus nejsou součástí mezd a plat</w:t>
      </w:r>
      <w:r w:rsidRPr="0008507E">
        <w:rPr>
          <w:sz w:val="16"/>
          <w:szCs w:val="16"/>
        </w:rPr>
        <w:t>ů, ale j</w:t>
      </w:r>
      <w:r w:rsidRPr="0008507E">
        <w:rPr>
          <w:rFonts w:eastAsia="Times New Roman"/>
          <w:bCs/>
          <w:sz w:val="16"/>
          <w:szCs w:val="16"/>
        </w:rPr>
        <w:t>sou zachyceny jako vyplacené imputované sociální příspěvky zaměstnavatelů</w:t>
      </w:r>
      <w:r>
        <w:rPr>
          <w:rFonts w:eastAsia="Times New Roman"/>
          <w:bCs/>
          <w:sz w:val="16"/>
          <w:szCs w:val="16"/>
        </w:rPr>
        <w:t>, což ovlivnilo i dynamiku jednotlivých položek náhrad zaměstnancům</w:t>
      </w:r>
      <w:r w:rsidRPr="0008507E">
        <w:rPr>
          <w:rFonts w:eastAsia="Times New Roman"/>
          <w:bCs/>
          <w:sz w:val="16"/>
          <w:szCs w:val="16"/>
        </w:rPr>
        <w:t>.</w:t>
      </w:r>
    </w:p>
  </w:footnote>
  <w:footnote w:id="13">
    <w:p w14:paraId="40DDA670" w14:textId="77777777" w:rsidR="00293514" w:rsidRPr="00EB5544" w:rsidRDefault="00293514" w:rsidP="00CF27B5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příjmy z podnikání drobných podnikatelů zařazených do sektor</w:t>
      </w:r>
      <w:r>
        <w:rPr>
          <w:sz w:val="16"/>
          <w:szCs w:val="16"/>
        </w:rPr>
        <w:t>u</w:t>
      </w:r>
      <w:r w:rsidRPr="00EB5544">
        <w:rPr>
          <w:sz w:val="16"/>
          <w:szCs w:val="16"/>
        </w:rPr>
        <w:t xml:space="preserve"> domácností</w:t>
      </w:r>
      <w:r>
        <w:rPr>
          <w:sz w:val="16"/>
          <w:szCs w:val="16"/>
        </w:rPr>
        <w:t>.</w:t>
      </w:r>
    </w:p>
  </w:footnote>
  <w:footnote w:id="14">
    <w:p w14:paraId="43A12427" w14:textId="77777777" w:rsidR="00293514" w:rsidRPr="00EB5544" w:rsidRDefault="00293514" w:rsidP="002805A9">
      <w:pPr>
        <w:pStyle w:val="Textpoznpodarou"/>
        <w:rPr>
          <w:sz w:val="16"/>
          <w:szCs w:val="16"/>
        </w:rPr>
      </w:pPr>
      <w:r w:rsidRPr="00EB5544">
        <w:rPr>
          <w:rStyle w:val="Znakapoznpodarou"/>
          <w:sz w:val="16"/>
          <w:szCs w:val="16"/>
        </w:rPr>
        <w:footnoteRef/>
      </w:r>
      <w:r w:rsidRPr="00EB5544">
        <w:rPr>
          <w:sz w:val="16"/>
          <w:szCs w:val="16"/>
        </w:rPr>
        <w:t xml:space="preserve"> Zachycuje hodnotu produkce domácností pro vlastní spotřebu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rovněž imputované nájemné a</w:t>
      </w:r>
      <w:r>
        <w:rPr>
          <w:sz w:val="16"/>
          <w:szCs w:val="16"/>
        </w:rPr>
        <w:t> </w:t>
      </w:r>
      <w:r w:rsidRPr="00EB5544">
        <w:rPr>
          <w:sz w:val="16"/>
          <w:szCs w:val="16"/>
        </w:rPr>
        <w:t>poskytování služeb bydlení</w:t>
      </w:r>
      <w:r>
        <w:rPr>
          <w:sz w:val="16"/>
          <w:szCs w:val="16"/>
        </w:rPr>
        <w:t>.</w:t>
      </w:r>
    </w:p>
  </w:footnote>
  <w:footnote w:id="15">
    <w:p w14:paraId="223078AD" w14:textId="77777777" w:rsidR="00293514" w:rsidRPr="00E9501D" w:rsidRDefault="00293514" w:rsidP="00C7577F">
      <w:pPr>
        <w:autoSpaceDE w:val="0"/>
        <w:autoSpaceDN w:val="0"/>
        <w:adjustRightInd w:val="0"/>
        <w:spacing w:line="240" w:lineRule="auto"/>
        <w:jc w:val="left"/>
        <w:rPr>
          <w:sz w:val="16"/>
          <w:szCs w:val="16"/>
        </w:rPr>
      </w:pPr>
      <w:r w:rsidRPr="00E9501D">
        <w:rPr>
          <w:rStyle w:val="Znakapoznpodarou"/>
          <w:sz w:val="16"/>
          <w:szCs w:val="16"/>
        </w:rPr>
        <w:footnoteRef/>
      </w:r>
      <w:r w:rsidRPr="00E9501D">
        <w:rPr>
          <w:sz w:val="16"/>
          <w:szCs w:val="16"/>
        </w:rPr>
        <w:t xml:space="preserve"> </w:t>
      </w:r>
      <w:r w:rsidRPr="00E9501D">
        <w:rPr>
          <w:rFonts w:cs="Arial"/>
          <w:bCs/>
          <w:iCs/>
          <w:sz w:val="16"/>
          <w:szCs w:val="16"/>
        </w:rPr>
        <w:t xml:space="preserve">Míra úspor domácností </w:t>
      </w:r>
      <w:r w:rsidRPr="00E9501D">
        <w:rPr>
          <w:rFonts w:cs="Arial"/>
          <w:iCs/>
          <w:sz w:val="16"/>
          <w:szCs w:val="16"/>
        </w:rPr>
        <w:t>je definována jako podíl hrubých úspor a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hrubého disponibilního důchodu se zahrnutím úpravy o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čistý podíl domácností na rezervách penzijních fondů (B.8g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(B.</w:t>
      </w:r>
      <w:proofErr w:type="gramStart"/>
      <w:r w:rsidRPr="00E9501D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+</w:t>
      </w:r>
      <w:r>
        <w:rPr>
          <w:rFonts w:cs="Arial"/>
          <w:iCs/>
          <w:sz w:val="16"/>
          <w:szCs w:val="16"/>
        </w:rPr>
        <w:t> </w:t>
      </w:r>
      <w:r w:rsidRPr="00E9501D">
        <w:rPr>
          <w:rFonts w:cs="Arial"/>
          <w:iCs/>
          <w:sz w:val="16"/>
          <w:szCs w:val="16"/>
        </w:rPr>
        <w:t>D.8)).</w:t>
      </w:r>
      <w:proofErr w:type="gramEnd"/>
      <w:r w:rsidRPr="00E9501D">
        <w:rPr>
          <w:rFonts w:cs="Arial"/>
          <w:iCs/>
          <w:sz w:val="16"/>
          <w:szCs w:val="16"/>
        </w:rPr>
        <w:t xml:space="preserve"> Hrubé úspory představují část hrubého disponibilního důchodu, který nebyl spotřebován ve formě výdajů na konečnou spotřebu.</w:t>
      </w:r>
    </w:p>
  </w:footnote>
  <w:footnote w:id="16">
    <w:p w14:paraId="0952140A" w14:textId="77777777" w:rsidR="00293514" w:rsidRPr="00D20875" w:rsidRDefault="00293514" w:rsidP="00F81F79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D20875">
        <w:rPr>
          <w:rStyle w:val="Znakapoznpodarou"/>
          <w:rFonts w:cs="Arial"/>
          <w:sz w:val="16"/>
          <w:szCs w:val="16"/>
        </w:rPr>
        <w:footnoteRef/>
      </w:r>
      <w:r w:rsidRPr="00D20875">
        <w:rPr>
          <w:rFonts w:cs="Arial"/>
          <w:sz w:val="16"/>
          <w:szCs w:val="16"/>
        </w:rPr>
        <w:t xml:space="preserve"> </w:t>
      </w:r>
      <w:r w:rsidRPr="00D20875">
        <w:rPr>
          <w:rFonts w:cs="Arial"/>
          <w:bCs/>
          <w:iCs/>
          <w:sz w:val="16"/>
          <w:szCs w:val="16"/>
        </w:rPr>
        <w:t xml:space="preserve">Míra investic domácností </w:t>
      </w:r>
      <w:r w:rsidRPr="00D20875">
        <w:rPr>
          <w:rFonts w:cs="Arial"/>
          <w:iCs/>
          <w:sz w:val="16"/>
          <w:szCs w:val="16"/>
        </w:rPr>
        <w:t>je definována jako podíl hrubé tvorby fixního kapitálu k hrubému disponibilnímu důchodu se zahrnutím úpravy o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čistý podíl domácností na rezervách penzijních fondů (P.51g</w:t>
      </w:r>
      <w:r>
        <w:rPr>
          <w:rFonts w:cs="Arial"/>
          <w:iCs/>
          <w:sz w:val="16"/>
          <w:szCs w:val="16"/>
        </w:rPr>
        <w:t> </w:t>
      </w:r>
      <w:r w:rsidRPr="00D20875">
        <w:rPr>
          <w:rFonts w:cs="Arial"/>
          <w:iCs/>
          <w:sz w:val="16"/>
          <w:szCs w:val="16"/>
        </w:rPr>
        <w:t>/</w:t>
      </w:r>
      <w:r>
        <w:rPr>
          <w:rFonts w:cs="Arial"/>
          <w:iCs/>
          <w:sz w:val="16"/>
          <w:szCs w:val="16"/>
        </w:rPr>
        <w:t> (</w:t>
      </w:r>
      <w:r w:rsidRPr="00D20875">
        <w:rPr>
          <w:rFonts w:cs="Arial"/>
          <w:iCs/>
          <w:sz w:val="16"/>
          <w:szCs w:val="16"/>
        </w:rPr>
        <w:t>B.</w:t>
      </w:r>
      <w:proofErr w:type="gramStart"/>
      <w:r w:rsidRPr="00D20875">
        <w:rPr>
          <w:rFonts w:cs="Arial"/>
          <w:iCs/>
          <w:sz w:val="16"/>
          <w:szCs w:val="16"/>
        </w:rPr>
        <w:t>6g</w:t>
      </w:r>
      <w:r>
        <w:rPr>
          <w:rFonts w:cs="Arial"/>
          <w:iCs/>
          <w:sz w:val="16"/>
          <w:szCs w:val="16"/>
        </w:rPr>
        <w:t> + </w:t>
      </w:r>
      <w:r w:rsidRPr="00D20875">
        <w:rPr>
          <w:rFonts w:cs="Arial"/>
          <w:iCs/>
          <w:sz w:val="16"/>
          <w:szCs w:val="16"/>
        </w:rPr>
        <w:t>D.8</w:t>
      </w:r>
      <w:r>
        <w:rPr>
          <w:rFonts w:cs="Arial"/>
          <w:iCs/>
          <w:sz w:val="16"/>
          <w:szCs w:val="16"/>
        </w:rPr>
        <w:t>)</w:t>
      </w:r>
      <w:r w:rsidRPr="00D20875">
        <w:rPr>
          <w:rFonts w:cs="Arial"/>
          <w:iCs/>
          <w:sz w:val="16"/>
          <w:szCs w:val="16"/>
        </w:rPr>
        <w:t>).</w:t>
      </w:r>
      <w:proofErr w:type="gramEnd"/>
    </w:p>
  </w:footnote>
  <w:footnote w:id="17">
    <w:p w14:paraId="19B37CEB" w14:textId="77777777" w:rsidR="00293514" w:rsidRPr="00273CB1" w:rsidRDefault="00293514" w:rsidP="000B7488">
      <w:pPr>
        <w:pStyle w:val="Textpoznpodarou"/>
        <w:rPr>
          <w:sz w:val="16"/>
          <w:szCs w:val="16"/>
        </w:rPr>
      </w:pPr>
      <w:r w:rsidRPr="00273CB1">
        <w:rPr>
          <w:rStyle w:val="Znakapoznpodarou"/>
          <w:sz w:val="16"/>
          <w:szCs w:val="16"/>
        </w:rPr>
        <w:footnoteRef/>
      </w:r>
      <w:r w:rsidRPr="00273CB1">
        <w:rPr>
          <w:sz w:val="16"/>
          <w:szCs w:val="16"/>
        </w:rPr>
        <w:t xml:space="preserve"> </w:t>
      </w:r>
      <w:r w:rsidRPr="00273CB1">
        <w:rPr>
          <w:rStyle w:val="odkaz-style-wrapper"/>
          <w:rFonts w:cs="Arial"/>
          <w:bCs/>
          <w:sz w:val="16"/>
          <w:szCs w:val="16"/>
        </w:rPr>
        <w:t xml:space="preserve">Nerezidenti </w:t>
      </w:r>
      <w:r w:rsidRPr="00273CB1">
        <w:rPr>
          <w:rStyle w:val="odkaz-style-wrapper"/>
          <w:rFonts w:cs="Arial"/>
          <w:sz w:val="16"/>
          <w:szCs w:val="16"/>
        </w:rPr>
        <w:t xml:space="preserve">představují </w:t>
      </w:r>
      <w:r>
        <w:rPr>
          <w:rStyle w:val="odkaz-style-wrapper"/>
          <w:rFonts w:cs="Arial"/>
          <w:sz w:val="16"/>
          <w:szCs w:val="16"/>
        </w:rPr>
        <w:t xml:space="preserve">různorodé </w:t>
      </w:r>
      <w:r w:rsidRPr="00273CB1">
        <w:rPr>
          <w:rStyle w:val="odkaz-style-wrapper"/>
          <w:rFonts w:cs="Arial"/>
          <w:sz w:val="16"/>
          <w:szCs w:val="16"/>
        </w:rPr>
        <w:t>seskupení jednotek</w:t>
      </w:r>
      <w:r>
        <w:rPr>
          <w:rStyle w:val="odkaz-style-wrapper"/>
          <w:rFonts w:cs="Arial"/>
          <w:sz w:val="16"/>
          <w:szCs w:val="16"/>
        </w:rPr>
        <w:t>, jejichž společným znakem je, že nesídlí na ekonomickém území státu, ale mají s daným národním hospodářstvím ekonomické vztahy.</w:t>
      </w:r>
      <w:r w:rsidRPr="00273CB1">
        <w:rPr>
          <w:rStyle w:val="odkaz-style-wrapper"/>
          <w:rFonts w:cs="Arial"/>
          <w:sz w:val="16"/>
          <w:szCs w:val="16"/>
        </w:rPr>
        <w:t xml:space="preserve"> Jsou to např</w:t>
      </w:r>
      <w:r>
        <w:rPr>
          <w:rStyle w:val="odkaz-style-wrapper"/>
          <w:rFonts w:cs="Arial"/>
          <w:sz w:val="16"/>
          <w:szCs w:val="16"/>
        </w:rPr>
        <w:t xml:space="preserve">íklad </w:t>
      </w:r>
      <w:r w:rsidRPr="00273CB1">
        <w:rPr>
          <w:rStyle w:val="odkaz-style-wrapper"/>
          <w:rFonts w:cs="Arial"/>
          <w:sz w:val="16"/>
          <w:szCs w:val="16"/>
        </w:rPr>
        <w:t>části mateřských společností (např</w:t>
      </w:r>
      <w:r>
        <w:rPr>
          <w:rStyle w:val="odkaz-style-wrapper"/>
          <w:rFonts w:cs="Arial"/>
          <w:sz w:val="16"/>
          <w:szCs w:val="16"/>
        </w:rPr>
        <w:t>íklad</w:t>
      </w:r>
      <w:r w:rsidRPr="00273CB1">
        <w:rPr>
          <w:rStyle w:val="odkaz-style-wrapper"/>
          <w:rFonts w:cs="Arial"/>
          <w:sz w:val="16"/>
          <w:szCs w:val="16"/>
        </w:rPr>
        <w:t xml:space="preserve"> pobočky výrobních podniků, bank a</w:t>
      </w:r>
      <w:r>
        <w:rPr>
          <w:rStyle w:val="odkaz-style-wrapper"/>
          <w:rFonts w:cs="Arial"/>
          <w:sz w:val="16"/>
          <w:szCs w:val="16"/>
        </w:rPr>
        <w:t> </w:t>
      </w:r>
      <w:r w:rsidRPr="00273CB1">
        <w:rPr>
          <w:rStyle w:val="odkaz-style-wrapper"/>
          <w:rFonts w:cs="Arial"/>
          <w:sz w:val="16"/>
          <w:szCs w:val="16"/>
        </w:rPr>
        <w:t>pojišťovacích společností)</w:t>
      </w:r>
      <w:r>
        <w:rPr>
          <w:rStyle w:val="odkaz-style-wrapper"/>
          <w:rFonts w:cs="Arial"/>
          <w:sz w:val="16"/>
          <w:szCs w:val="16"/>
        </w:rPr>
        <w:t xml:space="preserve">, </w:t>
      </w:r>
      <w:r w:rsidRPr="00273CB1">
        <w:rPr>
          <w:rStyle w:val="odkaz-style-wrapper"/>
          <w:rFonts w:cs="Arial"/>
          <w:sz w:val="16"/>
          <w:szCs w:val="16"/>
        </w:rPr>
        <w:t>zastupitelské úřady cizích států nebo mezinárodní organizace, které byly založeny a</w:t>
      </w:r>
      <w:r>
        <w:rPr>
          <w:rStyle w:val="odkaz-style-wrapper"/>
          <w:rFonts w:cs="Arial"/>
          <w:sz w:val="16"/>
          <w:szCs w:val="16"/>
        </w:rPr>
        <w:t> </w:t>
      </w:r>
      <w:r w:rsidRPr="00273CB1">
        <w:rPr>
          <w:rStyle w:val="odkaz-style-wrapper"/>
          <w:rFonts w:cs="Arial"/>
          <w:sz w:val="16"/>
          <w:szCs w:val="16"/>
        </w:rPr>
        <w:t xml:space="preserve">fungují na základě mezinárodních dohod nebo </w:t>
      </w:r>
      <w:r>
        <w:rPr>
          <w:rStyle w:val="odkaz-style-wrapper"/>
          <w:rFonts w:cs="Arial"/>
          <w:sz w:val="16"/>
          <w:szCs w:val="16"/>
        </w:rPr>
        <w:t xml:space="preserve">jsou </w:t>
      </w:r>
      <w:r w:rsidRPr="00273CB1">
        <w:rPr>
          <w:rStyle w:val="odkaz-style-wrapper"/>
          <w:rFonts w:cs="Arial"/>
          <w:sz w:val="16"/>
          <w:szCs w:val="16"/>
        </w:rPr>
        <w:t>oddělené</w:t>
      </w:r>
      <w:r>
        <w:rPr>
          <w:rStyle w:val="odkaz-style-wrapper"/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7BF0C" w14:textId="77777777" w:rsidR="00293514" w:rsidRDefault="0029351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D5D212" wp14:editId="5BE8D5E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5D3155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H0XUAAFU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5XB58XD9HioKo15MIpqP&#10;H96+BMSfTx/+9cOPp8gf/vjD8fW/PeLnF89/l7+/jcAXP3385+MN0F3//HQMovn1zem9oADTF78G&#10;DfwlaeD216eL1/iP09AfNuP28uI1fuvwpz3+EnT0+h0UKf9uu+suL/DrfgwkXr98/e5P+q8Ph2mn&#10;/3Qad/LvXly/jMMGUpU04Quz7XEW6OPnCfRf311/uA16ehRxqUB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nDwgAAANsAAAAPAAAAZHJzL2Rvd25yZXYueG1sRE9Na8JA&#10;EL0L/Q/LFHqrGwut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ApUGnD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39"/>
    <w:rsid w:val="00012BC2"/>
    <w:rsid w:val="00016AA5"/>
    <w:rsid w:val="000171C5"/>
    <w:rsid w:val="000207B9"/>
    <w:rsid w:val="00036709"/>
    <w:rsid w:val="00040CEA"/>
    <w:rsid w:val="00043BF4"/>
    <w:rsid w:val="0007050D"/>
    <w:rsid w:val="000843A5"/>
    <w:rsid w:val="0008507E"/>
    <w:rsid w:val="00087487"/>
    <w:rsid w:val="00090B9E"/>
    <w:rsid w:val="00092C15"/>
    <w:rsid w:val="00093BCB"/>
    <w:rsid w:val="000B6F63"/>
    <w:rsid w:val="000B7488"/>
    <w:rsid w:val="000B7652"/>
    <w:rsid w:val="000D3E4F"/>
    <w:rsid w:val="000F11C8"/>
    <w:rsid w:val="000F5B28"/>
    <w:rsid w:val="00101622"/>
    <w:rsid w:val="00127216"/>
    <w:rsid w:val="00130931"/>
    <w:rsid w:val="001404AB"/>
    <w:rsid w:val="00146931"/>
    <w:rsid w:val="001578BA"/>
    <w:rsid w:val="0016184A"/>
    <w:rsid w:val="001658A9"/>
    <w:rsid w:val="0017231D"/>
    <w:rsid w:val="00175ABA"/>
    <w:rsid w:val="001810DC"/>
    <w:rsid w:val="00197A07"/>
    <w:rsid w:val="001A532E"/>
    <w:rsid w:val="001A59BF"/>
    <w:rsid w:val="001B607F"/>
    <w:rsid w:val="001C21F4"/>
    <w:rsid w:val="001D2496"/>
    <w:rsid w:val="001D369A"/>
    <w:rsid w:val="001D7686"/>
    <w:rsid w:val="001F1D88"/>
    <w:rsid w:val="001F691A"/>
    <w:rsid w:val="001F6C45"/>
    <w:rsid w:val="00203B05"/>
    <w:rsid w:val="00203B48"/>
    <w:rsid w:val="002070FB"/>
    <w:rsid w:val="00213729"/>
    <w:rsid w:val="00222071"/>
    <w:rsid w:val="0022766F"/>
    <w:rsid w:val="00236EE0"/>
    <w:rsid w:val="002406FA"/>
    <w:rsid w:val="00246917"/>
    <w:rsid w:val="002472F5"/>
    <w:rsid w:val="00247354"/>
    <w:rsid w:val="00265A44"/>
    <w:rsid w:val="00274A90"/>
    <w:rsid w:val="002805A9"/>
    <w:rsid w:val="00292E26"/>
    <w:rsid w:val="00293514"/>
    <w:rsid w:val="002956A8"/>
    <w:rsid w:val="002B2E47"/>
    <w:rsid w:val="002C363D"/>
    <w:rsid w:val="002D3CBA"/>
    <w:rsid w:val="002D6A6C"/>
    <w:rsid w:val="002D6AA2"/>
    <w:rsid w:val="002E4CA7"/>
    <w:rsid w:val="002E6F00"/>
    <w:rsid w:val="00327644"/>
    <w:rsid w:val="003276BE"/>
    <w:rsid w:val="003301A3"/>
    <w:rsid w:val="00346D76"/>
    <w:rsid w:val="0036370A"/>
    <w:rsid w:val="0036777B"/>
    <w:rsid w:val="00377ED2"/>
    <w:rsid w:val="0038007D"/>
    <w:rsid w:val="0038282A"/>
    <w:rsid w:val="00393979"/>
    <w:rsid w:val="00397580"/>
    <w:rsid w:val="003A1794"/>
    <w:rsid w:val="003A34B3"/>
    <w:rsid w:val="003A45C8"/>
    <w:rsid w:val="003C2DCF"/>
    <w:rsid w:val="003C7FE7"/>
    <w:rsid w:val="003D0499"/>
    <w:rsid w:val="003D777D"/>
    <w:rsid w:val="003F432E"/>
    <w:rsid w:val="003F526A"/>
    <w:rsid w:val="003F5D15"/>
    <w:rsid w:val="00405244"/>
    <w:rsid w:val="00417D45"/>
    <w:rsid w:val="0042770B"/>
    <w:rsid w:val="00437B90"/>
    <w:rsid w:val="004436EE"/>
    <w:rsid w:val="0045547F"/>
    <w:rsid w:val="00456CCF"/>
    <w:rsid w:val="00461AA0"/>
    <w:rsid w:val="0047377E"/>
    <w:rsid w:val="004920AD"/>
    <w:rsid w:val="004942F4"/>
    <w:rsid w:val="004A1FAE"/>
    <w:rsid w:val="004C52C6"/>
    <w:rsid w:val="004D05B3"/>
    <w:rsid w:val="004E479E"/>
    <w:rsid w:val="004E75C9"/>
    <w:rsid w:val="004E7E1E"/>
    <w:rsid w:val="004F78E6"/>
    <w:rsid w:val="005024A7"/>
    <w:rsid w:val="0050641C"/>
    <w:rsid w:val="00512D99"/>
    <w:rsid w:val="00531DBB"/>
    <w:rsid w:val="005320B3"/>
    <w:rsid w:val="00544B6D"/>
    <w:rsid w:val="00553DAA"/>
    <w:rsid w:val="005646B3"/>
    <w:rsid w:val="00576430"/>
    <w:rsid w:val="00593318"/>
    <w:rsid w:val="005A0668"/>
    <w:rsid w:val="005A0817"/>
    <w:rsid w:val="005A7AC3"/>
    <w:rsid w:val="005B0A5A"/>
    <w:rsid w:val="005B33C3"/>
    <w:rsid w:val="005C1BB9"/>
    <w:rsid w:val="005C4003"/>
    <w:rsid w:val="005D0714"/>
    <w:rsid w:val="005F3DE2"/>
    <w:rsid w:val="005F699D"/>
    <w:rsid w:val="005F7379"/>
    <w:rsid w:val="005F79FB"/>
    <w:rsid w:val="00604406"/>
    <w:rsid w:val="006052D8"/>
    <w:rsid w:val="00605F4A"/>
    <w:rsid w:val="00607822"/>
    <w:rsid w:val="006103AA"/>
    <w:rsid w:val="00613BBF"/>
    <w:rsid w:val="00614585"/>
    <w:rsid w:val="00622B80"/>
    <w:rsid w:val="006370C9"/>
    <w:rsid w:val="0064139A"/>
    <w:rsid w:val="00656A12"/>
    <w:rsid w:val="00667E3D"/>
    <w:rsid w:val="00696C16"/>
    <w:rsid w:val="006A50B6"/>
    <w:rsid w:val="006B610C"/>
    <w:rsid w:val="006C09DD"/>
    <w:rsid w:val="006E024F"/>
    <w:rsid w:val="006E381E"/>
    <w:rsid w:val="006E4E81"/>
    <w:rsid w:val="0070033F"/>
    <w:rsid w:val="00707F7D"/>
    <w:rsid w:val="0071669A"/>
    <w:rsid w:val="00717EC5"/>
    <w:rsid w:val="00732745"/>
    <w:rsid w:val="00737B80"/>
    <w:rsid w:val="007508D9"/>
    <w:rsid w:val="00750C6C"/>
    <w:rsid w:val="00754742"/>
    <w:rsid w:val="0078195F"/>
    <w:rsid w:val="007A57F2"/>
    <w:rsid w:val="007B1333"/>
    <w:rsid w:val="007E23A3"/>
    <w:rsid w:val="007F1FEE"/>
    <w:rsid w:val="007F4AEB"/>
    <w:rsid w:val="007F6239"/>
    <w:rsid w:val="007F75B2"/>
    <w:rsid w:val="008043C4"/>
    <w:rsid w:val="00813DFB"/>
    <w:rsid w:val="00815588"/>
    <w:rsid w:val="00830309"/>
    <w:rsid w:val="00831B1B"/>
    <w:rsid w:val="00840938"/>
    <w:rsid w:val="00846BC4"/>
    <w:rsid w:val="00861D0E"/>
    <w:rsid w:val="00867569"/>
    <w:rsid w:val="0087060D"/>
    <w:rsid w:val="00891D95"/>
    <w:rsid w:val="008A18A9"/>
    <w:rsid w:val="008A750A"/>
    <w:rsid w:val="008C384C"/>
    <w:rsid w:val="008D0F11"/>
    <w:rsid w:val="008D136D"/>
    <w:rsid w:val="008D2561"/>
    <w:rsid w:val="008D3BE8"/>
    <w:rsid w:val="008D5298"/>
    <w:rsid w:val="008E15B5"/>
    <w:rsid w:val="008F0222"/>
    <w:rsid w:val="008F35E4"/>
    <w:rsid w:val="008F73B4"/>
    <w:rsid w:val="008F7E5F"/>
    <w:rsid w:val="009015C7"/>
    <w:rsid w:val="0090741A"/>
    <w:rsid w:val="009168C2"/>
    <w:rsid w:val="00917CA6"/>
    <w:rsid w:val="00927DD9"/>
    <w:rsid w:val="00931A52"/>
    <w:rsid w:val="00931B1D"/>
    <w:rsid w:val="009405D2"/>
    <w:rsid w:val="00941335"/>
    <w:rsid w:val="00942BAF"/>
    <w:rsid w:val="00942D88"/>
    <w:rsid w:val="009544CC"/>
    <w:rsid w:val="00961ECD"/>
    <w:rsid w:val="00967836"/>
    <w:rsid w:val="00982C53"/>
    <w:rsid w:val="00991E8D"/>
    <w:rsid w:val="009950AF"/>
    <w:rsid w:val="009A38F9"/>
    <w:rsid w:val="009A5942"/>
    <w:rsid w:val="009B4969"/>
    <w:rsid w:val="009B55B1"/>
    <w:rsid w:val="009D0BD5"/>
    <w:rsid w:val="009E0621"/>
    <w:rsid w:val="009F5F23"/>
    <w:rsid w:val="00A0458C"/>
    <w:rsid w:val="00A15C6C"/>
    <w:rsid w:val="00A233AA"/>
    <w:rsid w:val="00A4343D"/>
    <w:rsid w:val="00A448C7"/>
    <w:rsid w:val="00A502F1"/>
    <w:rsid w:val="00A53140"/>
    <w:rsid w:val="00A56C80"/>
    <w:rsid w:val="00A63DD4"/>
    <w:rsid w:val="00A65A70"/>
    <w:rsid w:val="00A70A83"/>
    <w:rsid w:val="00A74120"/>
    <w:rsid w:val="00A81EB3"/>
    <w:rsid w:val="00A961DA"/>
    <w:rsid w:val="00AA4ECF"/>
    <w:rsid w:val="00AD6CA9"/>
    <w:rsid w:val="00AE59AB"/>
    <w:rsid w:val="00AF66FA"/>
    <w:rsid w:val="00B00C1D"/>
    <w:rsid w:val="00B16369"/>
    <w:rsid w:val="00B31464"/>
    <w:rsid w:val="00B33194"/>
    <w:rsid w:val="00B365F7"/>
    <w:rsid w:val="00B435ED"/>
    <w:rsid w:val="00B70FF6"/>
    <w:rsid w:val="00BA439F"/>
    <w:rsid w:val="00BA6370"/>
    <w:rsid w:val="00BC748B"/>
    <w:rsid w:val="00BE0028"/>
    <w:rsid w:val="00C0500E"/>
    <w:rsid w:val="00C051D5"/>
    <w:rsid w:val="00C26525"/>
    <w:rsid w:val="00C269D4"/>
    <w:rsid w:val="00C26D85"/>
    <w:rsid w:val="00C36AD6"/>
    <w:rsid w:val="00C4160D"/>
    <w:rsid w:val="00C42CB8"/>
    <w:rsid w:val="00C51B65"/>
    <w:rsid w:val="00C63561"/>
    <w:rsid w:val="00C65FAA"/>
    <w:rsid w:val="00C7577F"/>
    <w:rsid w:val="00C8406E"/>
    <w:rsid w:val="00C86BDB"/>
    <w:rsid w:val="00C874BC"/>
    <w:rsid w:val="00C96221"/>
    <w:rsid w:val="00C969E1"/>
    <w:rsid w:val="00CA2A0A"/>
    <w:rsid w:val="00CB19EA"/>
    <w:rsid w:val="00CB1D8D"/>
    <w:rsid w:val="00CB2709"/>
    <w:rsid w:val="00CB6F89"/>
    <w:rsid w:val="00CC410E"/>
    <w:rsid w:val="00CD07B7"/>
    <w:rsid w:val="00CD64C4"/>
    <w:rsid w:val="00CE1C49"/>
    <w:rsid w:val="00CE228C"/>
    <w:rsid w:val="00CE3027"/>
    <w:rsid w:val="00CF1CFF"/>
    <w:rsid w:val="00CF27B5"/>
    <w:rsid w:val="00CF545B"/>
    <w:rsid w:val="00CF707A"/>
    <w:rsid w:val="00D26769"/>
    <w:rsid w:val="00D27D69"/>
    <w:rsid w:val="00D448C2"/>
    <w:rsid w:val="00D657AC"/>
    <w:rsid w:val="00D666C3"/>
    <w:rsid w:val="00D80F3C"/>
    <w:rsid w:val="00D86734"/>
    <w:rsid w:val="00D875B2"/>
    <w:rsid w:val="00DA0096"/>
    <w:rsid w:val="00DA56DA"/>
    <w:rsid w:val="00DA6EE0"/>
    <w:rsid w:val="00DA7A94"/>
    <w:rsid w:val="00DB4E76"/>
    <w:rsid w:val="00DC4DBF"/>
    <w:rsid w:val="00DD1EAE"/>
    <w:rsid w:val="00DE0ACA"/>
    <w:rsid w:val="00DF47FE"/>
    <w:rsid w:val="00E014D6"/>
    <w:rsid w:val="00E21F33"/>
    <w:rsid w:val="00E26081"/>
    <w:rsid w:val="00E26704"/>
    <w:rsid w:val="00E316C8"/>
    <w:rsid w:val="00E31980"/>
    <w:rsid w:val="00E41272"/>
    <w:rsid w:val="00E42E00"/>
    <w:rsid w:val="00E45F8D"/>
    <w:rsid w:val="00E52B7F"/>
    <w:rsid w:val="00E6423C"/>
    <w:rsid w:val="00E9349A"/>
    <w:rsid w:val="00E93830"/>
    <w:rsid w:val="00E93E0E"/>
    <w:rsid w:val="00EA1DBD"/>
    <w:rsid w:val="00EA7B94"/>
    <w:rsid w:val="00EB1ED3"/>
    <w:rsid w:val="00EB4B5C"/>
    <w:rsid w:val="00EC2D51"/>
    <w:rsid w:val="00ED13AC"/>
    <w:rsid w:val="00ED7B69"/>
    <w:rsid w:val="00EE227D"/>
    <w:rsid w:val="00EE3D9D"/>
    <w:rsid w:val="00EE484C"/>
    <w:rsid w:val="00EE4F33"/>
    <w:rsid w:val="00EE5E89"/>
    <w:rsid w:val="00EF0152"/>
    <w:rsid w:val="00EF6427"/>
    <w:rsid w:val="00F03815"/>
    <w:rsid w:val="00F13564"/>
    <w:rsid w:val="00F26395"/>
    <w:rsid w:val="00F32DA4"/>
    <w:rsid w:val="00F46655"/>
    <w:rsid w:val="00F50CEF"/>
    <w:rsid w:val="00F515A6"/>
    <w:rsid w:val="00F61E35"/>
    <w:rsid w:val="00F62D15"/>
    <w:rsid w:val="00F73A45"/>
    <w:rsid w:val="00F81F79"/>
    <w:rsid w:val="00F91C80"/>
    <w:rsid w:val="00F92893"/>
    <w:rsid w:val="00FA3D9D"/>
    <w:rsid w:val="00FB687C"/>
    <w:rsid w:val="00FB7E0F"/>
    <w:rsid w:val="00FD3187"/>
    <w:rsid w:val="00FE0C2F"/>
    <w:rsid w:val="00FF04D9"/>
    <w:rsid w:val="00FF3D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37D29D45"/>
  <w15:docId w15:val="{9254F918-8816-4AC9-A73A-D5EE998E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aliases w:val="Text pozn. pod čarou_martin_ang"/>
    <w:basedOn w:val="Normln"/>
    <w:link w:val="TextpoznpodarouChar"/>
    <w:uiPriority w:val="99"/>
    <w:qFormat/>
    <w:rsid w:val="007F6239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7F6239"/>
    <w:rPr>
      <w:rFonts w:ascii="Arial" w:hAnsi="Arial"/>
    </w:rPr>
  </w:style>
  <w:style w:type="character" w:styleId="Znakapoznpodarou">
    <w:name w:val="footnote reference"/>
    <w:rsid w:val="007F6239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C65FAA"/>
    <w:pPr>
      <w:spacing w:after="240" w:line="240" w:lineRule="auto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5FAA"/>
    <w:rPr>
      <w:rFonts w:ascii="Arial" w:eastAsia="Times New Roman" w:hAnsi="Arial"/>
    </w:rPr>
  </w:style>
  <w:style w:type="character" w:customStyle="1" w:styleId="odkaz-style-wrapper">
    <w:name w:val="odkaz-style-wrapper"/>
    <w:basedOn w:val="Standardnpsmoodstavce"/>
    <w:rsid w:val="00614585"/>
  </w:style>
  <w:style w:type="character" w:styleId="Odkaznakoment">
    <w:name w:val="annotation reference"/>
    <w:basedOn w:val="Standardnpsmoodstavce"/>
    <w:uiPriority w:val="99"/>
    <w:semiHidden/>
    <w:unhideWhenUsed/>
    <w:rsid w:val="009015C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5C7"/>
    <w:pPr>
      <w:spacing w:after="0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5C7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vladni-financni-statistice-2-ctvrtleti-2020-covid-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bojnikova31519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0Q2\grafy_sektorove_uct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0Q2\grafy_sektorove_uct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0Q2\grafy_sektorove_uct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0Q2\grafy_sektorove_uct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Sektorov&#233;%20&#250;&#269;ty\2020Q2\grafy_sektorove_uc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696006416751094E-2"/>
          <c:y val="3.9316672295395698E-2"/>
          <c:w val="0.84196935157041541"/>
          <c:h val="0.75316250140718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NP!$C$7</c:f>
              <c:strCache>
                <c:ptCount val="1"/>
                <c:pt idx="0">
                  <c:v>HPH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NP!$A$8:$B$33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NP!$C$8:$C$33</c:f>
              <c:numCache>
                <c:formatCode>0.0</c:formatCode>
                <c:ptCount val="26"/>
                <c:pt idx="0">
                  <c:v>30.13</c:v>
                </c:pt>
                <c:pt idx="1">
                  <c:v>48.292000000000002</c:v>
                </c:pt>
                <c:pt idx="2">
                  <c:v>59.404000000000003</c:v>
                </c:pt>
                <c:pt idx="3">
                  <c:v>52.280999999999999</c:v>
                </c:pt>
                <c:pt idx="4">
                  <c:v>46.219000000000001</c:v>
                </c:pt>
                <c:pt idx="5">
                  <c:v>41.719000000000001</c:v>
                </c:pt>
                <c:pt idx="6">
                  <c:v>43.966000000000001</c:v>
                </c:pt>
                <c:pt idx="7">
                  <c:v>44.445999999999998</c:v>
                </c:pt>
                <c:pt idx="8">
                  <c:v>35.908999999999999</c:v>
                </c:pt>
                <c:pt idx="9">
                  <c:v>38.994999999999997</c:v>
                </c:pt>
                <c:pt idx="10">
                  <c:v>17.914999999999999</c:v>
                </c:pt>
                <c:pt idx="11">
                  <c:v>15.045999999999999</c:v>
                </c:pt>
                <c:pt idx="12">
                  <c:v>30.613</c:v>
                </c:pt>
                <c:pt idx="13">
                  <c:v>40.911000000000001</c:v>
                </c:pt>
                <c:pt idx="14">
                  <c:v>61.198999999999998</c:v>
                </c:pt>
                <c:pt idx="15">
                  <c:v>49.415999999999997</c:v>
                </c:pt>
                <c:pt idx="16">
                  <c:v>37.378999999999998</c:v>
                </c:pt>
                <c:pt idx="17">
                  <c:v>30.167000000000002</c:v>
                </c:pt>
                <c:pt idx="18">
                  <c:v>28.417000000000002</c:v>
                </c:pt>
                <c:pt idx="19">
                  <c:v>36.893000000000001</c:v>
                </c:pt>
                <c:pt idx="20">
                  <c:v>40.802</c:v>
                </c:pt>
                <c:pt idx="21">
                  <c:v>43.515000000000001</c:v>
                </c:pt>
                <c:pt idx="22">
                  <c:v>57.607999999999997</c:v>
                </c:pt>
                <c:pt idx="23">
                  <c:v>40.149000000000001</c:v>
                </c:pt>
                <c:pt idx="24">
                  <c:v>13.233000000000001</c:v>
                </c:pt>
                <c:pt idx="25" formatCode="General">
                  <c:v>-77.626999999999995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9B-4364-BB34-1C166FA3427E}"/>
            </c:ext>
          </c:extLst>
        </c:ser>
        <c:ser>
          <c:idx val="1"/>
          <c:order val="1"/>
          <c:tx>
            <c:strRef>
              <c:f>NP!$D$7</c:f>
              <c:strCache>
                <c:ptCount val="1"/>
                <c:pt idx="0">
                  <c:v>Náhrady zaměstnancům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NP!$A$8:$B$33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NP!$D$8:$D$33</c:f>
              <c:numCache>
                <c:formatCode>0.0</c:formatCode>
                <c:ptCount val="26"/>
                <c:pt idx="0">
                  <c:v>13.022</c:v>
                </c:pt>
                <c:pt idx="1">
                  <c:v>11.852</c:v>
                </c:pt>
                <c:pt idx="2">
                  <c:v>11.016999999999999</c:v>
                </c:pt>
                <c:pt idx="3">
                  <c:v>11.824999999999999</c:v>
                </c:pt>
                <c:pt idx="4">
                  <c:v>16.056999999999999</c:v>
                </c:pt>
                <c:pt idx="5">
                  <c:v>18.773</c:v>
                </c:pt>
                <c:pt idx="6">
                  <c:v>17.21</c:v>
                </c:pt>
                <c:pt idx="7">
                  <c:v>22.323</c:v>
                </c:pt>
                <c:pt idx="8">
                  <c:v>21.411999999999999</c:v>
                </c:pt>
                <c:pt idx="9">
                  <c:v>19.292000000000002</c:v>
                </c:pt>
                <c:pt idx="10">
                  <c:v>22.242999999999999</c:v>
                </c:pt>
                <c:pt idx="11">
                  <c:v>19.733000000000001</c:v>
                </c:pt>
                <c:pt idx="12">
                  <c:v>27.047000000000001</c:v>
                </c:pt>
                <c:pt idx="13">
                  <c:v>37.268999999999998</c:v>
                </c:pt>
                <c:pt idx="14">
                  <c:v>35.341999999999999</c:v>
                </c:pt>
                <c:pt idx="15">
                  <c:v>32.363999999999997</c:v>
                </c:pt>
                <c:pt idx="16">
                  <c:v>35.039000000000001</c:v>
                </c:pt>
                <c:pt idx="17">
                  <c:v>36.265999999999998</c:v>
                </c:pt>
                <c:pt idx="18">
                  <c:v>33.270000000000003</c:v>
                </c:pt>
                <c:pt idx="19">
                  <c:v>40.823999999999998</c:v>
                </c:pt>
                <c:pt idx="20">
                  <c:v>28.381</c:v>
                </c:pt>
                <c:pt idx="21">
                  <c:v>27.248000000000001</c:v>
                </c:pt>
                <c:pt idx="22">
                  <c:v>23.164000000000001</c:v>
                </c:pt>
                <c:pt idx="23">
                  <c:v>22.311</c:v>
                </c:pt>
                <c:pt idx="24">
                  <c:v>12.553000000000001</c:v>
                </c:pt>
                <c:pt idx="25" formatCode="General">
                  <c:v>-22.167999999999999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9B-4364-BB34-1C166FA34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4"/>
        <c:overlap val="-27"/>
        <c:axId val="779606304"/>
        <c:axId val="779603392"/>
      </c:barChart>
      <c:lineChart>
        <c:grouping val="standard"/>
        <c:varyColors val="0"/>
        <c:ser>
          <c:idx val="2"/>
          <c:order val="2"/>
          <c:tx>
            <c:strRef>
              <c:f>NP!$E$7</c:f>
              <c:strCache>
                <c:ptCount val="1"/>
                <c:pt idx="0">
                  <c:v>Míra zisku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NP!$A$8:$B$33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NP!$E$8:$E$33</c:f>
              <c:numCache>
                <c:formatCode>0.0</c:formatCode>
                <c:ptCount val="26"/>
                <c:pt idx="0">
                  <c:v>48.073398882689197</c:v>
                </c:pt>
                <c:pt idx="1">
                  <c:v>49.063316018997625</c:v>
                </c:pt>
                <c:pt idx="2">
                  <c:v>49.005157711690323</c:v>
                </c:pt>
                <c:pt idx="3">
                  <c:v>50.072605805588964</c:v>
                </c:pt>
                <c:pt idx="4">
                  <c:v>49.69619267046091</c:v>
                </c:pt>
                <c:pt idx="5">
                  <c:v>49.53729007254298</c:v>
                </c:pt>
                <c:pt idx="6">
                  <c:v>50.143515474712054</c:v>
                </c:pt>
                <c:pt idx="7">
                  <c:v>49.619925723654831</c:v>
                </c:pt>
                <c:pt idx="8">
                  <c:v>49.457428924671568</c:v>
                </c:pt>
                <c:pt idx="9">
                  <c:v>49.139957631032438</c:v>
                </c:pt>
                <c:pt idx="10">
                  <c:v>48.078388773865669</c:v>
                </c:pt>
                <c:pt idx="11">
                  <c:v>48.019143534166211</c:v>
                </c:pt>
                <c:pt idx="12">
                  <c:v>47.219348998420486</c:v>
                </c:pt>
                <c:pt idx="13">
                  <c:v>47.649366669096125</c:v>
                </c:pt>
                <c:pt idx="14">
                  <c:v>47.524694787333502</c:v>
                </c:pt>
                <c:pt idx="15">
                  <c:v>47.033483906859324</c:v>
                </c:pt>
                <c:pt idx="16">
                  <c:v>45.625227926304611</c:v>
                </c:pt>
                <c:pt idx="17">
                  <c:v>45.17088492870478</c:v>
                </c:pt>
                <c:pt idx="18">
                  <c:v>45.102505694760822</c:v>
                </c:pt>
                <c:pt idx="19">
                  <c:v>44.277827601827084</c:v>
                </c:pt>
                <c:pt idx="20">
                  <c:v>44.789870896065587</c:v>
                </c:pt>
                <c:pt idx="21">
                  <c:v>44.660974111604233</c:v>
                </c:pt>
                <c:pt idx="22">
                  <c:v>45.038349904279627</c:v>
                </c:pt>
                <c:pt idx="23">
                  <c:v>44.432243295054811</c:v>
                </c:pt>
                <c:pt idx="24">
                  <c:v>44.034032535875454</c:v>
                </c:pt>
                <c:pt idx="25" formatCode="General">
                  <c:v>42.894286051422689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59B-4364-BB34-1C166FA34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5184"/>
        <c:axId val="787196880"/>
      </c:lineChart>
      <c:catAx>
        <c:axId val="7796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3392"/>
        <c:crosses val="autoZero"/>
        <c:auto val="1"/>
        <c:lblAlgn val="ctr"/>
        <c:lblOffset val="100"/>
        <c:noMultiLvlLbl val="0"/>
      </c:catAx>
      <c:valAx>
        <c:axId val="779603392"/>
        <c:scaling>
          <c:orientation val="minMax"/>
          <c:max val="70"/>
          <c:min val="-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HPH, </a:t>
                </a:r>
                <a:r>
                  <a:rPr lang="cs-CZ"/>
                  <a:t>ná</a:t>
                </a:r>
                <a:r>
                  <a:rPr lang="en-US"/>
                  <a:t>hrady</a:t>
                </a:r>
                <a:r>
                  <a:rPr lang="cs-CZ"/>
                  <a:t> zaměstnancům (mld. korun)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79606304"/>
        <c:crosses val="autoZero"/>
        <c:crossBetween val="between"/>
      </c:valAx>
      <c:valAx>
        <c:axId val="787196880"/>
        <c:scaling>
          <c:orientation val="minMax"/>
          <c:min val="42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/>
                  <a:t>Míra zisku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5184"/>
        <c:crosses val="max"/>
        <c:crossBetween val="between"/>
      </c:valAx>
      <c:catAx>
        <c:axId val="787215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196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22821681864235E-2"/>
          <c:y val="0.89978976697061808"/>
          <c:w val="0.84271572104018899"/>
          <c:h val="7.87647754137115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478765619723061E-2"/>
          <c:y val="3.9316672295395698E-2"/>
          <c:w val="0.83534806653157723"/>
          <c:h val="0.764568557919621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'NP2'!$C$6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'NP2'!$A$7:$B$32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'NP2'!$C$7:$C$32</c:f>
              <c:numCache>
                <c:formatCode>General</c:formatCode>
                <c:ptCount val="26"/>
                <c:pt idx="0">
                  <c:v>7.8310000000000004</c:v>
                </c:pt>
                <c:pt idx="1">
                  <c:v>4.7279999999999998</c:v>
                </c:pt>
                <c:pt idx="2">
                  <c:v>6.1459999999999999</c:v>
                </c:pt>
                <c:pt idx="3">
                  <c:v>-1.5089999999999999</c:v>
                </c:pt>
                <c:pt idx="4">
                  <c:v>14.896000000000001</c:v>
                </c:pt>
                <c:pt idx="5">
                  <c:v>19.86</c:v>
                </c:pt>
                <c:pt idx="6">
                  <c:v>15.653</c:v>
                </c:pt>
                <c:pt idx="7">
                  <c:v>5.8860000000000001</c:v>
                </c:pt>
                <c:pt idx="8">
                  <c:v>3.5840000000000001</c:v>
                </c:pt>
                <c:pt idx="9">
                  <c:v>4.2910000000000004</c:v>
                </c:pt>
                <c:pt idx="10">
                  <c:v>5.6639999999999997</c:v>
                </c:pt>
                <c:pt idx="11">
                  <c:v>13.547000000000001</c:v>
                </c:pt>
                <c:pt idx="12">
                  <c:v>8.5790000000000006</c:v>
                </c:pt>
                <c:pt idx="13">
                  <c:v>16.106000000000002</c:v>
                </c:pt>
                <c:pt idx="14">
                  <c:v>18.687000000000001</c:v>
                </c:pt>
                <c:pt idx="15">
                  <c:v>26.071999999999999</c:v>
                </c:pt>
                <c:pt idx="16">
                  <c:v>6.3010000000000002</c:v>
                </c:pt>
                <c:pt idx="17">
                  <c:v>8.5619999999999994</c:v>
                </c:pt>
                <c:pt idx="18">
                  <c:v>7.992</c:v>
                </c:pt>
                <c:pt idx="19">
                  <c:v>16.081</c:v>
                </c:pt>
                <c:pt idx="20">
                  <c:v>10.446</c:v>
                </c:pt>
                <c:pt idx="21">
                  <c:v>5.5739999999999998</c:v>
                </c:pt>
                <c:pt idx="22">
                  <c:v>16.870999999999999</c:v>
                </c:pt>
                <c:pt idx="23">
                  <c:v>22.356999999999999</c:v>
                </c:pt>
                <c:pt idx="24">
                  <c:v>-12.645</c:v>
                </c:pt>
                <c:pt idx="25">
                  <c:v>-10.792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3-4A5B-901D-2F6080834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787223504"/>
        <c:axId val="787224752"/>
      </c:barChart>
      <c:lineChart>
        <c:grouping val="standard"/>
        <c:varyColors val="0"/>
        <c:ser>
          <c:idx val="1"/>
          <c:order val="1"/>
          <c:tx>
            <c:strRef>
              <c:f>'NP2'!$D$6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'NP2'!$A$7:$B$32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'NP2'!$D$7:$D$32</c:f>
              <c:numCache>
                <c:formatCode>General</c:formatCode>
                <c:ptCount val="26"/>
                <c:pt idx="0">
                  <c:v>29.21267333090811</c:v>
                </c:pt>
                <c:pt idx="1">
                  <c:v>27.991620060724681</c:v>
                </c:pt>
                <c:pt idx="2">
                  <c:v>28.475790282615016</c:v>
                </c:pt>
                <c:pt idx="3">
                  <c:v>27.677748437257883</c:v>
                </c:pt>
                <c:pt idx="4">
                  <c:v>29.573628924539403</c:v>
                </c:pt>
                <c:pt idx="5">
                  <c:v>29.242801599920497</c:v>
                </c:pt>
                <c:pt idx="6">
                  <c:v>28.642371003482115</c:v>
                </c:pt>
                <c:pt idx="7">
                  <c:v>26.761815124438353</c:v>
                </c:pt>
                <c:pt idx="8">
                  <c:v>28.533605310673828</c:v>
                </c:pt>
                <c:pt idx="9">
                  <c:v>28.746837969984178</c:v>
                </c:pt>
                <c:pt idx="10">
                  <c:v>28.665002242089422</c:v>
                </c:pt>
                <c:pt idx="11">
                  <c:v>27.825430590818641</c:v>
                </c:pt>
                <c:pt idx="12">
                  <c:v>29.224774728892804</c:v>
                </c:pt>
                <c:pt idx="13">
                  <c:v>28.893805857365436</c:v>
                </c:pt>
                <c:pt idx="14">
                  <c:v>28.742157965339221</c:v>
                </c:pt>
                <c:pt idx="15">
                  <c:v>29.001794096484034</c:v>
                </c:pt>
                <c:pt idx="16">
                  <c:v>28.583674353698562</c:v>
                </c:pt>
                <c:pt idx="17">
                  <c:v>29.059368802105318</c:v>
                </c:pt>
                <c:pt idx="18">
                  <c:v>28.741608237069428</c:v>
                </c:pt>
                <c:pt idx="19">
                  <c:v>29.536610232771864</c:v>
                </c:pt>
                <c:pt idx="20">
                  <c:v>28.822612981905017</c:v>
                </c:pt>
                <c:pt idx="21">
                  <c:v>27.958898912037295</c:v>
                </c:pt>
                <c:pt idx="22">
                  <c:v>29.183474340764526</c:v>
                </c:pt>
                <c:pt idx="23">
                  <c:v>30.415728315558948</c:v>
                </c:pt>
                <c:pt idx="24">
                  <c:v>26.919340150325588</c:v>
                </c:pt>
                <c:pt idx="25">
                  <c:v>29.23690595835351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43-4A5B-901D-2F6080834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212272"/>
        <c:axId val="787206864"/>
      </c:lineChart>
      <c:catAx>
        <c:axId val="78722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4752"/>
        <c:crosses val="autoZero"/>
        <c:auto val="1"/>
        <c:lblAlgn val="ctr"/>
        <c:lblOffset val="100"/>
        <c:noMultiLvlLbl val="0"/>
      </c:catAx>
      <c:valAx>
        <c:axId val="787224752"/>
        <c:scaling>
          <c:orientation val="minMax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Tvorba HFK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23504"/>
        <c:crosses val="autoZero"/>
        <c:crossBetween val="between"/>
      </c:valAx>
      <c:valAx>
        <c:axId val="787206864"/>
        <c:scaling>
          <c:orientation val="minMax"/>
          <c:min val="2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787212272"/>
        <c:crosses val="max"/>
        <c:crossBetween val="between"/>
        <c:majorUnit val="1"/>
      </c:valAx>
      <c:catAx>
        <c:axId val="787212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87206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4501013171225936E-2"/>
          <c:y val="0.92549279522683781"/>
          <c:w val="0.85512390239783864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7538431372549024"/>
        </c:manualLayout>
      </c:layout>
      <c:barChart>
        <c:barDir val="col"/>
        <c:grouping val="stacked"/>
        <c:varyColors val="0"/>
        <c:ser>
          <c:idx val="3"/>
          <c:order val="0"/>
          <c:tx>
            <c:strRef>
              <c:f>VI!$F$6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VI!$A$7:$B$32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VI!$F$7:$F$32</c:f>
              <c:numCache>
                <c:formatCode>General</c:formatCode>
                <c:ptCount val="26"/>
                <c:pt idx="0">
                  <c:v>4.6520000000000001</c:v>
                </c:pt>
                <c:pt idx="1">
                  <c:v>-1.306</c:v>
                </c:pt>
                <c:pt idx="2">
                  <c:v>2.88</c:v>
                </c:pt>
                <c:pt idx="3">
                  <c:v>-8.9190000000000005</c:v>
                </c:pt>
                <c:pt idx="4">
                  <c:v>2.39</c:v>
                </c:pt>
                <c:pt idx="5">
                  <c:v>0.93700000000000006</c:v>
                </c:pt>
                <c:pt idx="6">
                  <c:v>1.048</c:v>
                </c:pt>
                <c:pt idx="7">
                  <c:v>-2.4620000000000002</c:v>
                </c:pt>
                <c:pt idx="8">
                  <c:v>1.337</c:v>
                </c:pt>
                <c:pt idx="9">
                  <c:v>1.087</c:v>
                </c:pt>
                <c:pt idx="10">
                  <c:v>3.8919999999999999</c:v>
                </c:pt>
                <c:pt idx="11">
                  <c:v>-1.43</c:v>
                </c:pt>
                <c:pt idx="12">
                  <c:v>0.34899999999999998</c:v>
                </c:pt>
                <c:pt idx="13">
                  <c:v>4.6449999999999996</c:v>
                </c:pt>
                <c:pt idx="14">
                  <c:v>6.37</c:v>
                </c:pt>
                <c:pt idx="15">
                  <c:v>-3.1819999999999999</c:v>
                </c:pt>
                <c:pt idx="16">
                  <c:v>3.45</c:v>
                </c:pt>
                <c:pt idx="17">
                  <c:v>4.9660000000000002</c:v>
                </c:pt>
                <c:pt idx="18">
                  <c:v>6.6139999999999999</c:v>
                </c:pt>
                <c:pt idx="19">
                  <c:v>1.6160000000000001</c:v>
                </c:pt>
                <c:pt idx="20">
                  <c:v>3.335</c:v>
                </c:pt>
                <c:pt idx="21">
                  <c:v>4.9080000000000004</c:v>
                </c:pt>
                <c:pt idx="22">
                  <c:v>5.335</c:v>
                </c:pt>
                <c:pt idx="23">
                  <c:v>-2.1869999999999998</c:v>
                </c:pt>
                <c:pt idx="24">
                  <c:v>-1.675</c:v>
                </c:pt>
                <c:pt idx="25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69-4769-89F5-E82F8D068F8D}"/>
            </c:ext>
          </c:extLst>
        </c:ser>
        <c:ser>
          <c:idx val="2"/>
          <c:order val="2"/>
          <c:tx>
            <c:strRef>
              <c:f>VI!$E$6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VI!$A$7:$B$32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VI!$E$7:$E$32</c:f>
              <c:numCache>
                <c:formatCode>General</c:formatCode>
                <c:ptCount val="26"/>
                <c:pt idx="0">
                  <c:v>10.228</c:v>
                </c:pt>
                <c:pt idx="1">
                  <c:v>11.028</c:v>
                </c:pt>
                <c:pt idx="2">
                  <c:v>1.0269999999999999</c:v>
                </c:pt>
                <c:pt idx="3">
                  <c:v>-14.608000000000001</c:v>
                </c:pt>
                <c:pt idx="4">
                  <c:v>12.942</c:v>
                </c:pt>
                <c:pt idx="5">
                  <c:v>19.292000000000002</c:v>
                </c:pt>
                <c:pt idx="6">
                  <c:v>-2.6890000000000001</c:v>
                </c:pt>
                <c:pt idx="7">
                  <c:v>-3.556</c:v>
                </c:pt>
                <c:pt idx="8">
                  <c:v>17.620999999999999</c:v>
                </c:pt>
                <c:pt idx="9">
                  <c:v>26.577999999999999</c:v>
                </c:pt>
                <c:pt idx="10">
                  <c:v>9.0079999999999991</c:v>
                </c:pt>
                <c:pt idx="11">
                  <c:v>-3.5289999999999999</c:v>
                </c:pt>
                <c:pt idx="12">
                  <c:v>16.695</c:v>
                </c:pt>
                <c:pt idx="13">
                  <c:v>26.521000000000001</c:v>
                </c:pt>
                <c:pt idx="14">
                  <c:v>5.6349999999999998</c:v>
                </c:pt>
                <c:pt idx="15">
                  <c:v>-6.9260000000000002</c:v>
                </c:pt>
                <c:pt idx="16">
                  <c:v>15.238</c:v>
                </c:pt>
                <c:pt idx="17">
                  <c:v>24.672999999999998</c:v>
                </c:pt>
                <c:pt idx="18">
                  <c:v>-5.1619999999999999</c:v>
                </c:pt>
                <c:pt idx="19">
                  <c:v>-11.194000000000001</c:v>
                </c:pt>
                <c:pt idx="20">
                  <c:v>20.919</c:v>
                </c:pt>
                <c:pt idx="21">
                  <c:v>27.920999999999999</c:v>
                </c:pt>
                <c:pt idx="22">
                  <c:v>-1.389</c:v>
                </c:pt>
                <c:pt idx="23">
                  <c:v>-10.294</c:v>
                </c:pt>
                <c:pt idx="24">
                  <c:v>16.312999999999999</c:v>
                </c:pt>
                <c:pt idx="25">
                  <c:v>14.754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69-4769-89F5-E82F8D068F8D}"/>
            </c:ext>
          </c:extLst>
        </c:ser>
        <c:ser>
          <c:idx val="1"/>
          <c:order val="3"/>
          <c:tx>
            <c:strRef>
              <c:f>VI!$D$6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VI!$A$7:$B$32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VI!$D$7:$D$32</c:f>
              <c:numCache>
                <c:formatCode>General</c:formatCode>
                <c:ptCount val="26"/>
                <c:pt idx="0">
                  <c:v>-59.658000000000001</c:v>
                </c:pt>
                <c:pt idx="1">
                  <c:v>-15.667999999999999</c:v>
                </c:pt>
                <c:pt idx="2">
                  <c:v>-3.2749999999999999</c:v>
                </c:pt>
                <c:pt idx="3">
                  <c:v>-16.577000000000002</c:v>
                </c:pt>
                <c:pt idx="4">
                  <c:v>-32.365000000000002</c:v>
                </c:pt>
                <c:pt idx="5">
                  <c:v>-9.8119999999999994</c:v>
                </c:pt>
                <c:pt idx="6">
                  <c:v>10.430999999999999</c:v>
                </c:pt>
                <c:pt idx="7">
                  <c:v>-25.934999999999999</c:v>
                </c:pt>
                <c:pt idx="8">
                  <c:v>-21.896999999999998</c:v>
                </c:pt>
                <c:pt idx="9">
                  <c:v>2.395</c:v>
                </c:pt>
                <c:pt idx="10">
                  <c:v>13.132</c:v>
                </c:pt>
                <c:pt idx="11">
                  <c:v>-14.051</c:v>
                </c:pt>
                <c:pt idx="12">
                  <c:v>-15.212999999999999</c:v>
                </c:pt>
                <c:pt idx="13">
                  <c:v>10.332000000000001</c:v>
                </c:pt>
                <c:pt idx="14">
                  <c:v>20.634</c:v>
                </c:pt>
                <c:pt idx="15">
                  <c:v>10.872999999999999</c:v>
                </c:pt>
                <c:pt idx="16">
                  <c:v>-16.408000000000001</c:v>
                </c:pt>
                <c:pt idx="17">
                  <c:v>11.964</c:v>
                </c:pt>
                <c:pt idx="18">
                  <c:v>14.833</c:v>
                </c:pt>
                <c:pt idx="19">
                  <c:v>-1.208</c:v>
                </c:pt>
                <c:pt idx="20">
                  <c:v>-26.876000000000001</c:v>
                </c:pt>
                <c:pt idx="21">
                  <c:v>-7.0010000000000003</c:v>
                </c:pt>
                <c:pt idx="22">
                  <c:v>11.378</c:v>
                </c:pt>
                <c:pt idx="23">
                  <c:v>-10.782</c:v>
                </c:pt>
                <c:pt idx="24">
                  <c:v>-71.792000000000002</c:v>
                </c:pt>
                <c:pt idx="25">
                  <c:v>-116.02500000000001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69-4769-89F5-E82F8D068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836024223"/>
        <c:axId val="1836025471"/>
      </c:barChart>
      <c:lineChart>
        <c:grouping val="standard"/>
        <c:varyColors val="0"/>
        <c:ser>
          <c:idx val="0"/>
          <c:order val="1"/>
          <c:tx>
            <c:strRef>
              <c:f>VI!$C$6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VI!$A$7:$B$32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VI!$C$7:$C$32</c:f>
              <c:numCache>
                <c:formatCode>General</c:formatCode>
                <c:ptCount val="26"/>
                <c:pt idx="0">
                  <c:v>-44.777999999999999</c:v>
                </c:pt>
                <c:pt idx="1">
                  <c:v>-5.9459999999999997</c:v>
                </c:pt>
                <c:pt idx="2">
                  <c:v>0.63200000000000001</c:v>
                </c:pt>
                <c:pt idx="3">
                  <c:v>-40.103999999999999</c:v>
                </c:pt>
                <c:pt idx="4">
                  <c:v>-17.033000000000001</c:v>
                </c:pt>
                <c:pt idx="5">
                  <c:v>10.417</c:v>
                </c:pt>
                <c:pt idx="6">
                  <c:v>8.7899999999999991</c:v>
                </c:pt>
                <c:pt idx="7">
                  <c:v>-31.952999999999999</c:v>
                </c:pt>
                <c:pt idx="8">
                  <c:v>-2.9390000000000001</c:v>
                </c:pt>
                <c:pt idx="9">
                  <c:v>30.06</c:v>
                </c:pt>
                <c:pt idx="10">
                  <c:v>26.032</c:v>
                </c:pt>
                <c:pt idx="11">
                  <c:v>-19.010000000000002</c:v>
                </c:pt>
                <c:pt idx="12">
                  <c:v>1.831</c:v>
                </c:pt>
                <c:pt idx="13">
                  <c:v>41.497999999999998</c:v>
                </c:pt>
                <c:pt idx="14">
                  <c:v>32.639000000000003</c:v>
                </c:pt>
                <c:pt idx="15">
                  <c:v>0.76500000000000001</c:v>
                </c:pt>
                <c:pt idx="16">
                  <c:v>2.2799999999999998</c:v>
                </c:pt>
                <c:pt idx="17">
                  <c:v>41.603000000000002</c:v>
                </c:pt>
                <c:pt idx="18">
                  <c:v>16.285</c:v>
                </c:pt>
                <c:pt idx="19">
                  <c:v>-10.786</c:v>
                </c:pt>
                <c:pt idx="20">
                  <c:v>-2.6219999999999999</c:v>
                </c:pt>
                <c:pt idx="21">
                  <c:v>25.827999999999999</c:v>
                </c:pt>
                <c:pt idx="22">
                  <c:v>15.324</c:v>
                </c:pt>
                <c:pt idx="23">
                  <c:v>-23.263000000000002</c:v>
                </c:pt>
                <c:pt idx="24">
                  <c:v>-57.154000000000003</c:v>
                </c:pt>
                <c:pt idx="25">
                  <c:v>-100.351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69-4769-89F5-E82F8D068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6024223"/>
        <c:axId val="1836025471"/>
      </c:lineChart>
      <c:catAx>
        <c:axId val="183602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5471"/>
        <c:crosses val="autoZero"/>
        <c:auto val="1"/>
        <c:lblAlgn val="ctr"/>
        <c:lblOffset val="100"/>
        <c:noMultiLvlLbl val="0"/>
      </c:catAx>
      <c:valAx>
        <c:axId val="1836025471"/>
        <c:scaling>
          <c:orientation val="minMax"/>
          <c:min val="-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Saldo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360242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584979736575483E-2"/>
          <c:y val="0.84149411764705884"/>
          <c:w val="0.88776300236406624"/>
          <c:h val="0.14605490196078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00869638635598E-2"/>
          <c:y val="4.5653594771241833E-2"/>
          <c:w val="0.89171162613981758"/>
          <c:h val="0.67602516339869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'VI2'!$C$5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'VI2'!$C$6:$C$31</c:f>
              <c:numCache>
                <c:formatCode>General</c:formatCode>
                <c:ptCount val="26"/>
                <c:pt idx="0">
                  <c:v>70.998999999999995</c:v>
                </c:pt>
                <c:pt idx="1">
                  <c:v>59.188000000000002</c:v>
                </c:pt>
                <c:pt idx="2">
                  <c:v>73.950999999999993</c:v>
                </c:pt>
                <c:pt idx="3">
                  <c:v>-2.1150000000000002</c:v>
                </c:pt>
                <c:pt idx="4">
                  <c:v>18.847999999999999</c:v>
                </c:pt>
                <c:pt idx="5">
                  <c:v>17.466999999999999</c:v>
                </c:pt>
                <c:pt idx="6">
                  <c:v>-6.7460000000000004</c:v>
                </c:pt>
                <c:pt idx="7">
                  <c:v>48.031999999999996</c:v>
                </c:pt>
                <c:pt idx="8">
                  <c:v>37.271000000000001</c:v>
                </c:pt>
                <c:pt idx="9">
                  <c:v>69.44</c:v>
                </c:pt>
                <c:pt idx="10">
                  <c:v>83.290999999999997</c:v>
                </c:pt>
                <c:pt idx="11">
                  <c:v>24.291</c:v>
                </c:pt>
                <c:pt idx="12">
                  <c:v>101.614</c:v>
                </c:pt>
                <c:pt idx="13">
                  <c:v>9.9260000000000002</c:v>
                </c:pt>
                <c:pt idx="14">
                  <c:v>-29.707000000000001</c:v>
                </c:pt>
                <c:pt idx="15">
                  <c:v>-30.15</c:v>
                </c:pt>
                <c:pt idx="16">
                  <c:v>-187.25800000000001</c:v>
                </c:pt>
                <c:pt idx="17">
                  <c:v>-61.563000000000002</c:v>
                </c:pt>
                <c:pt idx="18">
                  <c:v>-37.698</c:v>
                </c:pt>
                <c:pt idx="19">
                  <c:v>-8.4459999999999997</c:v>
                </c:pt>
                <c:pt idx="20">
                  <c:v>159.279</c:v>
                </c:pt>
                <c:pt idx="21">
                  <c:v>100.34099999999999</c:v>
                </c:pt>
                <c:pt idx="22">
                  <c:v>87.882999999999996</c:v>
                </c:pt>
                <c:pt idx="23">
                  <c:v>42.247999999999998</c:v>
                </c:pt>
                <c:pt idx="24">
                  <c:v>-24.6</c:v>
                </c:pt>
                <c:pt idx="25">
                  <c:v>303.33699999999999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7-4AFA-92E2-20DDEA15C911}"/>
            </c:ext>
          </c:extLst>
        </c:ser>
        <c:ser>
          <c:idx val="1"/>
          <c:order val="1"/>
          <c:tx>
            <c:strRef>
              <c:f>'VI2'!$D$5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E9090"/>
            </a:solidFill>
            <a:ln>
              <a:noFill/>
            </a:ln>
            <a:effectLst/>
          </c:spPr>
          <c:invertIfNegative val="0"/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'VI2'!$D$6:$D$31</c:f>
              <c:numCache>
                <c:formatCode>General</c:formatCode>
                <c:ptCount val="26"/>
                <c:pt idx="0">
                  <c:v>-82.847999999999999</c:v>
                </c:pt>
                <c:pt idx="1">
                  <c:v>-56.338999999999999</c:v>
                </c:pt>
                <c:pt idx="2">
                  <c:v>-43.029000000000003</c:v>
                </c:pt>
                <c:pt idx="3">
                  <c:v>-14.032</c:v>
                </c:pt>
                <c:pt idx="4">
                  <c:v>-16.446999999999999</c:v>
                </c:pt>
                <c:pt idx="5">
                  <c:v>-9.6340000000000003</c:v>
                </c:pt>
                <c:pt idx="6">
                  <c:v>13.411</c:v>
                </c:pt>
                <c:pt idx="7">
                  <c:v>-22.658000000000001</c:v>
                </c:pt>
                <c:pt idx="8">
                  <c:v>-2.016</c:v>
                </c:pt>
                <c:pt idx="9">
                  <c:v>-30.206</c:v>
                </c:pt>
                <c:pt idx="10">
                  <c:v>-86.369</c:v>
                </c:pt>
                <c:pt idx="11">
                  <c:v>-79.730999999999995</c:v>
                </c:pt>
                <c:pt idx="12">
                  <c:v>-8.9580000000000002</c:v>
                </c:pt>
                <c:pt idx="13">
                  <c:v>89.825000000000003</c:v>
                </c:pt>
                <c:pt idx="14">
                  <c:v>-17.864999999999998</c:v>
                </c:pt>
                <c:pt idx="15">
                  <c:v>39.607999999999997</c:v>
                </c:pt>
                <c:pt idx="16">
                  <c:v>110.06399999999999</c:v>
                </c:pt>
                <c:pt idx="17">
                  <c:v>-73.570999999999998</c:v>
                </c:pt>
                <c:pt idx="18">
                  <c:v>42.71</c:v>
                </c:pt>
                <c:pt idx="19">
                  <c:v>-40.204999999999998</c:v>
                </c:pt>
                <c:pt idx="20">
                  <c:v>-178.68899999999999</c:v>
                </c:pt>
                <c:pt idx="21">
                  <c:v>-72.613</c:v>
                </c:pt>
                <c:pt idx="22">
                  <c:v>-42.478000000000002</c:v>
                </c:pt>
                <c:pt idx="23">
                  <c:v>-0.41399999999999998</c:v>
                </c:pt>
                <c:pt idx="24">
                  <c:v>65.644000000000005</c:v>
                </c:pt>
                <c:pt idx="25">
                  <c:v>130.33199999999999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B7-4AFA-92E2-20DDEA15C911}"/>
            </c:ext>
          </c:extLst>
        </c:ser>
        <c:ser>
          <c:idx val="2"/>
          <c:order val="2"/>
          <c:tx>
            <c:strRef>
              <c:f>'VI2'!$E$5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'VI2'!$E$6:$E$31</c:f>
              <c:numCache>
                <c:formatCode>General</c:formatCode>
                <c:ptCount val="26"/>
                <c:pt idx="0">
                  <c:v>1.756</c:v>
                </c:pt>
                <c:pt idx="1">
                  <c:v>0.191</c:v>
                </c:pt>
                <c:pt idx="2">
                  <c:v>-3.0379999999999998</c:v>
                </c:pt>
                <c:pt idx="3">
                  <c:v>-13.023999999999999</c:v>
                </c:pt>
                <c:pt idx="4">
                  <c:v>-16.625</c:v>
                </c:pt>
                <c:pt idx="5">
                  <c:v>-18.791</c:v>
                </c:pt>
                <c:pt idx="6">
                  <c:v>-15.385999999999999</c:v>
                </c:pt>
                <c:pt idx="7">
                  <c:v>-3.4649999999999999</c:v>
                </c:pt>
                <c:pt idx="8">
                  <c:v>-6.1390000000000002</c:v>
                </c:pt>
                <c:pt idx="9">
                  <c:v>-4.306</c:v>
                </c:pt>
                <c:pt idx="10">
                  <c:v>-5.09</c:v>
                </c:pt>
                <c:pt idx="11">
                  <c:v>-22.616</c:v>
                </c:pt>
                <c:pt idx="12">
                  <c:v>-22.443000000000001</c:v>
                </c:pt>
                <c:pt idx="13">
                  <c:v>-21.582999999999998</c:v>
                </c:pt>
                <c:pt idx="14">
                  <c:v>-23.733000000000001</c:v>
                </c:pt>
                <c:pt idx="15">
                  <c:v>-12.262</c:v>
                </c:pt>
                <c:pt idx="16">
                  <c:v>-12.497999999999999</c:v>
                </c:pt>
                <c:pt idx="17">
                  <c:v>-10.695</c:v>
                </c:pt>
                <c:pt idx="18">
                  <c:v>-8.8230000000000004</c:v>
                </c:pt>
                <c:pt idx="19">
                  <c:v>-11.949</c:v>
                </c:pt>
                <c:pt idx="20">
                  <c:v>-9.83</c:v>
                </c:pt>
                <c:pt idx="21">
                  <c:v>-9.6769999999999996</c:v>
                </c:pt>
                <c:pt idx="22">
                  <c:v>-6.806</c:v>
                </c:pt>
                <c:pt idx="23">
                  <c:v>-4.1859999999999999</c:v>
                </c:pt>
                <c:pt idx="24">
                  <c:v>-0.54500000000000004</c:v>
                </c:pt>
                <c:pt idx="25">
                  <c:v>0.57799999999999996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7-4AFA-92E2-20DDEA15C911}"/>
            </c:ext>
          </c:extLst>
        </c:ser>
        <c:ser>
          <c:idx val="3"/>
          <c:order val="3"/>
          <c:tx>
            <c:strRef>
              <c:f>'VI2'!$F$5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'VI2'!$F$6:$F$31</c:f>
              <c:numCache>
                <c:formatCode>General</c:formatCode>
                <c:ptCount val="26"/>
                <c:pt idx="0">
                  <c:v>-0.36199999999999999</c:v>
                </c:pt>
                <c:pt idx="1">
                  <c:v>0.17699999999999999</c:v>
                </c:pt>
                <c:pt idx="2">
                  <c:v>-0.67600000000000005</c:v>
                </c:pt>
                <c:pt idx="3">
                  <c:v>2.9089999999999998</c:v>
                </c:pt>
                <c:pt idx="4">
                  <c:v>5.234</c:v>
                </c:pt>
                <c:pt idx="5">
                  <c:v>12.789</c:v>
                </c:pt>
                <c:pt idx="6">
                  <c:v>11.449</c:v>
                </c:pt>
                <c:pt idx="7">
                  <c:v>1.895</c:v>
                </c:pt>
                <c:pt idx="8">
                  <c:v>-3.3530000000000002</c:v>
                </c:pt>
                <c:pt idx="9">
                  <c:v>-12.811</c:v>
                </c:pt>
                <c:pt idx="10">
                  <c:v>-10.784000000000001</c:v>
                </c:pt>
                <c:pt idx="11">
                  <c:v>-5.4210000000000003</c:v>
                </c:pt>
                <c:pt idx="12">
                  <c:v>-2.968</c:v>
                </c:pt>
                <c:pt idx="13">
                  <c:v>-1.4670000000000001</c:v>
                </c:pt>
                <c:pt idx="14">
                  <c:v>0.63</c:v>
                </c:pt>
                <c:pt idx="15">
                  <c:v>1.002</c:v>
                </c:pt>
                <c:pt idx="16">
                  <c:v>1.8140000000000001</c:v>
                </c:pt>
                <c:pt idx="17">
                  <c:v>53.356999999999999</c:v>
                </c:pt>
                <c:pt idx="18">
                  <c:v>50.372</c:v>
                </c:pt>
                <c:pt idx="19">
                  <c:v>42.76</c:v>
                </c:pt>
                <c:pt idx="20">
                  <c:v>34.055</c:v>
                </c:pt>
                <c:pt idx="21">
                  <c:v>-27.446000000000002</c:v>
                </c:pt>
                <c:pt idx="22">
                  <c:v>-33.340000000000003</c:v>
                </c:pt>
                <c:pt idx="23">
                  <c:v>-30.263000000000002</c:v>
                </c:pt>
                <c:pt idx="24">
                  <c:v>5</c:v>
                </c:pt>
                <c:pt idx="25">
                  <c:v>7.6870000000000003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B7-4AFA-92E2-20DDEA15C911}"/>
            </c:ext>
          </c:extLst>
        </c:ser>
        <c:ser>
          <c:idx val="4"/>
          <c:order val="4"/>
          <c:tx>
            <c:strRef>
              <c:f>'VI2'!$G$5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'VI2'!$G$6:$G$31</c:f>
              <c:numCache>
                <c:formatCode>General</c:formatCode>
                <c:ptCount val="26"/>
                <c:pt idx="0">
                  <c:v>1.9330000000000001</c:v>
                </c:pt>
                <c:pt idx="1">
                  <c:v>0.94599999999999995</c:v>
                </c:pt>
                <c:pt idx="2">
                  <c:v>5.6440000000000001</c:v>
                </c:pt>
                <c:pt idx="3">
                  <c:v>4.9029999999999996</c:v>
                </c:pt>
                <c:pt idx="4">
                  <c:v>5.4</c:v>
                </c:pt>
                <c:pt idx="5">
                  <c:v>8.2270000000000003</c:v>
                </c:pt>
                <c:pt idx="6">
                  <c:v>-1.0999999999999999E-2</c:v>
                </c:pt>
                <c:pt idx="7">
                  <c:v>-6.6449999999999996</c:v>
                </c:pt>
                <c:pt idx="8">
                  <c:v>-2.9249999999999998</c:v>
                </c:pt>
                <c:pt idx="9">
                  <c:v>0.24399999999999999</c:v>
                </c:pt>
                <c:pt idx="10">
                  <c:v>3.173</c:v>
                </c:pt>
                <c:pt idx="11">
                  <c:v>2.1669999999999998</c:v>
                </c:pt>
                <c:pt idx="12">
                  <c:v>-0.40899999999999997</c:v>
                </c:pt>
                <c:pt idx="13">
                  <c:v>-3.468</c:v>
                </c:pt>
                <c:pt idx="14">
                  <c:v>-1.865</c:v>
                </c:pt>
                <c:pt idx="15">
                  <c:v>-3.258</c:v>
                </c:pt>
                <c:pt idx="16">
                  <c:v>-2.6560000000000001</c:v>
                </c:pt>
                <c:pt idx="17">
                  <c:v>-1.3320000000000001</c:v>
                </c:pt>
                <c:pt idx="18">
                  <c:v>-7.0730000000000004</c:v>
                </c:pt>
                <c:pt idx="19">
                  <c:v>2.7650000000000001</c:v>
                </c:pt>
                <c:pt idx="20">
                  <c:v>-2.7530000000000001</c:v>
                </c:pt>
                <c:pt idx="21">
                  <c:v>-3.827</c:v>
                </c:pt>
                <c:pt idx="22">
                  <c:v>0.35099999999999998</c:v>
                </c:pt>
                <c:pt idx="23">
                  <c:v>-3.5339999999999998</c:v>
                </c:pt>
                <c:pt idx="24">
                  <c:v>6.2709999999999999</c:v>
                </c:pt>
                <c:pt idx="25">
                  <c:v>4.931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B7-4AFA-92E2-20DDEA15C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700462447"/>
        <c:axId val="1700462863"/>
      </c:barChart>
      <c:lineChart>
        <c:grouping val="standard"/>
        <c:varyColors val="0"/>
        <c:ser>
          <c:idx val="5"/>
          <c:order val="5"/>
          <c:tx>
            <c:strRef>
              <c:f>'VI2'!$H$5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'VI2'!$A$6:$B$31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'VI2'!$H$6:$H$31</c:f>
              <c:numCache>
                <c:formatCode>General</c:formatCode>
                <c:ptCount val="26"/>
                <c:pt idx="0">
                  <c:v>-8.5220000000000002</c:v>
                </c:pt>
                <c:pt idx="1">
                  <c:v>4.1630000000000003</c:v>
                </c:pt>
                <c:pt idx="2">
                  <c:v>32.851999999999997</c:v>
                </c:pt>
                <c:pt idx="3">
                  <c:v>-21.359000000000002</c:v>
                </c:pt>
                <c:pt idx="4">
                  <c:v>-3.59</c:v>
                </c:pt>
                <c:pt idx="5">
                  <c:v>10.058</c:v>
                </c:pt>
                <c:pt idx="6">
                  <c:v>2.7170000000000001</c:v>
                </c:pt>
                <c:pt idx="7">
                  <c:v>17.158999999999999</c:v>
                </c:pt>
                <c:pt idx="8">
                  <c:v>22.838000000000001</c:v>
                </c:pt>
                <c:pt idx="9">
                  <c:v>22.361000000000001</c:v>
                </c:pt>
                <c:pt idx="10">
                  <c:v>-15.779</c:v>
                </c:pt>
                <c:pt idx="11">
                  <c:v>-81.31</c:v>
                </c:pt>
                <c:pt idx="12">
                  <c:v>66.835999999999999</c:v>
                </c:pt>
                <c:pt idx="13">
                  <c:v>73.233000000000004</c:v>
                </c:pt>
                <c:pt idx="14">
                  <c:v>-72.540000000000006</c:v>
                </c:pt>
                <c:pt idx="15">
                  <c:v>-5.0599999999999996</c:v>
                </c:pt>
                <c:pt idx="16">
                  <c:v>-90.534000000000006</c:v>
                </c:pt>
                <c:pt idx="17">
                  <c:v>-93.804000000000002</c:v>
                </c:pt>
                <c:pt idx="18">
                  <c:v>39.488</c:v>
                </c:pt>
                <c:pt idx="19">
                  <c:v>-15.074999999999999</c:v>
                </c:pt>
                <c:pt idx="20">
                  <c:v>2.0619999999999998</c:v>
                </c:pt>
                <c:pt idx="21">
                  <c:v>-13.222</c:v>
                </c:pt>
                <c:pt idx="22">
                  <c:v>5.61</c:v>
                </c:pt>
                <c:pt idx="23">
                  <c:v>3.851</c:v>
                </c:pt>
                <c:pt idx="24">
                  <c:v>51.77</c:v>
                </c:pt>
                <c:pt idx="25">
                  <c:v>446.86500000000001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0B7-4AFA-92E2-20DDEA15C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462447"/>
        <c:axId val="1700462863"/>
      </c:lineChart>
      <c:catAx>
        <c:axId val="1700462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863"/>
        <c:crosses val="autoZero"/>
        <c:auto val="1"/>
        <c:lblAlgn val="ctr"/>
        <c:lblOffset val="100"/>
        <c:noMultiLvlLbl val="0"/>
      </c:catAx>
      <c:valAx>
        <c:axId val="1700462863"/>
        <c:scaling>
          <c:orientation val="minMax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dluhu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700462447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426925025329276E-2"/>
          <c:y val="0.86288660130718953"/>
          <c:w val="0.89207911178655863"/>
          <c:h val="0.11221143790849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16957953394123"/>
          <c:y val="4.5653594771241833E-2"/>
          <c:w val="0.80265725261735887"/>
          <c:h val="0.72662254901960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Dom!$C$4</c:f>
              <c:strCache>
                <c:ptCount val="1"/>
                <c:pt idx="0">
                  <c:v>Výdaje na tvorbu hrubého fixního kapitálu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Dom!$A$5:$B$30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Dom!$C$5:$C$30</c:f>
              <c:numCache>
                <c:formatCode>General</c:formatCode>
                <c:ptCount val="26"/>
                <c:pt idx="0">
                  <c:v>0.70099999999999996</c:v>
                </c:pt>
                <c:pt idx="1">
                  <c:v>2.0310000000000001</c:v>
                </c:pt>
                <c:pt idx="2">
                  <c:v>3.786</c:v>
                </c:pt>
                <c:pt idx="3">
                  <c:v>2.0089999999999999</c:v>
                </c:pt>
                <c:pt idx="4">
                  <c:v>1.768</c:v>
                </c:pt>
                <c:pt idx="5">
                  <c:v>1.7310000000000001</c:v>
                </c:pt>
                <c:pt idx="6">
                  <c:v>1.1080000000000001</c:v>
                </c:pt>
                <c:pt idx="7">
                  <c:v>0.75900000000000001</c:v>
                </c:pt>
                <c:pt idx="8">
                  <c:v>0.42799999999999999</c:v>
                </c:pt>
                <c:pt idx="9">
                  <c:v>4.4530000000000003</c:v>
                </c:pt>
                <c:pt idx="10">
                  <c:v>2.6150000000000002</c:v>
                </c:pt>
                <c:pt idx="11">
                  <c:v>10.651999999999999</c:v>
                </c:pt>
                <c:pt idx="12">
                  <c:v>-3.9460000000000002</c:v>
                </c:pt>
                <c:pt idx="13">
                  <c:v>-5.0069999999999997</c:v>
                </c:pt>
                <c:pt idx="14">
                  <c:v>-2.9910000000000001</c:v>
                </c:pt>
                <c:pt idx="15">
                  <c:v>-9.234</c:v>
                </c:pt>
                <c:pt idx="16">
                  <c:v>9.02</c:v>
                </c:pt>
                <c:pt idx="17">
                  <c:v>10.773</c:v>
                </c:pt>
                <c:pt idx="18">
                  <c:v>14.347</c:v>
                </c:pt>
                <c:pt idx="19">
                  <c:v>14.706</c:v>
                </c:pt>
                <c:pt idx="20">
                  <c:v>6.1509999999999998</c:v>
                </c:pt>
                <c:pt idx="21">
                  <c:v>6.2539999999999996</c:v>
                </c:pt>
                <c:pt idx="22">
                  <c:v>6.9790000000000001</c:v>
                </c:pt>
                <c:pt idx="23">
                  <c:v>7.4009999999999998</c:v>
                </c:pt>
                <c:pt idx="24">
                  <c:v>4.7990000000000004</c:v>
                </c:pt>
                <c:pt idx="25">
                  <c:v>-2.2559999999999998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B-4D3A-ADB7-5C6383622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043804271"/>
        <c:axId val="2043808015"/>
      </c:barChart>
      <c:lineChart>
        <c:grouping val="standard"/>
        <c:varyColors val="0"/>
        <c:ser>
          <c:idx val="1"/>
          <c:order val="1"/>
          <c:tx>
            <c:strRef>
              <c:f>Dom!$D$4</c:f>
              <c:strCache>
                <c:ptCount val="1"/>
                <c:pt idx="0">
                  <c:v>Míra úspor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multiLvlStrRef>
              <c:f>Dom!$A$5:$B$30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Dom!$D$5:$D$30</c:f>
              <c:numCache>
                <c:formatCode>0.0</c:formatCode>
                <c:ptCount val="26"/>
                <c:pt idx="0">
                  <c:v>12.613919939835231</c:v>
                </c:pt>
                <c:pt idx="1">
                  <c:v>12.339280001633576</c:v>
                </c:pt>
                <c:pt idx="2">
                  <c:v>12.10590212609103</c:v>
                </c:pt>
                <c:pt idx="3">
                  <c:v>12.401087083381963</c:v>
                </c:pt>
                <c:pt idx="4">
                  <c:v>12.346584017434443</c:v>
                </c:pt>
                <c:pt idx="5">
                  <c:v>11.879921955517275</c:v>
                </c:pt>
                <c:pt idx="6">
                  <c:v>12.548594467320374</c:v>
                </c:pt>
                <c:pt idx="7">
                  <c:v>11.379622536388329</c:v>
                </c:pt>
                <c:pt idx="8">
                  <c:v>11.284530586471673</c:v>
                </c:pt>
                <c:pt idx="9">
                  <c:v>11.548465600196476</c:v>
                </c:pt>
                <c:pt idx="10">
                  <c:v>11.723426407355332</c:v>
                </c:pt>
                <c:pt idx="11">
                  <c:v>10.877012675573827</c:v>
                </c:pt>
                <c:pt idx="12">
                  <c:v>11.415926511741088</c:v>
                </c:pt>
                <c:pt idx="13">
                  <c:v>11.493419084654501</c:v>
                </c:pt>
                <c:pt idx="14">
                  <c:v>11.643944454416779</c:v>
                </c:pt>
                <c:pt idx="15">
                  <c:v>11.839901833405515</c:v>
                </c:pt>
                <c:pt idx="16">
                  <c:v>11.83267573305463</c:v>
                </c:pt>
                <c:pt idx="17">
                  <c:v>12.051766050164115</c:v>
                </c:pt>
                <c:pt idx="18">
                  <c:v>11.705429475644156</c:v>
                </c:pt>
                <c:pt idx="19">
                  <c:v>12.548377777293243</c:v>
                </c:pt>
                <c:pt idx="20">
                  <c:v>11.72915451070017</c:v>
                </c:pt>
                <c:pt idx="21">
                  <c:v>12.435479694587457</c:v>
                </c:pt>
                <c:pt idx="22">
                  <c:v>12.50224656763536</c:v>
                </c:pt>
                <c:pt idx="23">
                  <c:v>12.62812839447632</c:v>
                </c:pt>
                <c:pt idx="24">
                  <c:v>13.208723774351022</c:v>
                </c:pt>
                <c:pt idx="25">
                  <c:v>18.538662592085071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AB-4D3A-ADB7-5C6383622106}"/>
            </c:ext>
          </c:extLst>
        </c:ser>
        <c:ser>
          <c:idx val="2"/>
          <c:order val="2"/>
          <c:tx>
            <c:strRef>
              <c:f>Dom!$E$4</c:f>
              <c:strCache>
                <c:ptCount val="1"/>
                <c:pt idx="0">
                  <c:v>Míra investic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Dom!$A$5:$B$30</c:f>
              <c:multiLvlStrCache>
                <c:ptCount val="26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  <c:pt idx="20">
                    <c:v>2019</c:v>
                  </c:pt>
                  <c:pt idx="24">
                    <c:v>2020</c:v>
                  </c:pt>
                </c:lvl>
              </c:multiLvlStrCache>
            </c:multiLvlStrRef>
          </c:cat>
          <c:val>
            <c:numRef>
              <c:f>Dom!$E$5:$E$30</c:f>
              <c:numCache>
                <c:formatCode>0.0</c:formatCode>
                <c:ptCount val="26"/>
                <c:pt idx="0">
                  <c:v>8.7028680819061286</c:v>
                </c:pt>
                <c:pt idx="1">
                  <c:v>8.7789364062702067</c:v>
                </c:pt>
                <c:pt idx="2">
                  <c:v>8.8567399486654015</c:v>
                </c:pt>
                <c:pt idx="3">
                  <c:v>8.7765310035513622</c:v>
                </c:pt>
                <c:pt idx="4">
                  <c:v>8.7527985954484446</c:v>
                </c:pt>
                <c:pt idx="5">
                  <c:v>8.6978176145805755</c:v>
                </c:pt>
                <c:pt idx="6">
                  <c:v>8.6587683945959881</c:v>
                </c:pt>
                <c:pt idx="7">
                  <c:v>8.6891456132366542</c:v>
                </c:pt>
                <c:pt idx="8">
                  <c:v>9.1196256967172946</c:v>
                </c:pt>
                <c:pt idx="9">
                  <c:v>9.2802362798678892</c:v>
                </c:pt>
                <c:pt idx="10">
                  <c:v>9.1104966988446741</c:v>
                </c:pt>
                <c:pt idx="11">
                  <c:v>9.0569622224298492</c:v>
                </c:pt>
                <c:pt idx="12">
                  <c:v>7.9927606764813239</c:v>
                </c:pt>
                <c:pt idx="13">
                  <c:v>7.6836673646425364</c:v>
                </c:pt>
                <c:pt idx="14">
                  <c:v>7.6784206174281779</c:v>
                </c:pt>
                <c:pt idx="15">
                  <c:v>7.7593474808719503</c:v>
                </c:pt>
                <c:pt idx="16">
                  <c:v>8.549325716466301</c:v>
                </c:pt>
                <c:pt idx="17">
                  <c:v>8.9313520113815859</c:v>
                </c:pt>
                <c:pt idx="18">
                  <c:v>9.2244062096341182</c:v>
                </c:pt>
                <c:pt idx="19">
                  <c:v>9.3212393432614533</c:v>
                </c:pt>
                <c:pt idx="20">
                  <c:v>9.326349463879767</c:v>
                </c:pt>
                <c:pt idx="21">
                  <c:v>9.3806970756052461</c:v>
                </c:pt>
                <c:pt idx="22">
                  <c:v>9.3881782355132195</c:v>
                </c:pt>
                <c:pt idx="23">
                  <c:v>9.3842492433096201</c:v>
                </c:pt>
                <c:pt idx="24">
                  <c:v>9.3013379990716132</c:v>
                </c:pt>
                <c:pt idx="25">
                  <c:v>9.2219027561109108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BAB-4D3A-ADB7-5C6383622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2767"/>
        <c:axId val="161119023"/>
      </c:lineChart>
      <c:catAx>
        <c:axId val="2043804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8015"/>
        <c:crosses val="autoZero"/>
        <c:auto val="1"/>
        <c:lblAlgn val="ctr"/>
        <c:lblOffset val="100"/>
        <c:noMultiLvlLbl val="0"/>
      </c:catAx>
      <c:valAx>
        <c:axId val="2043808015"/>
        <c:scaling>
          <c:orientation val="minMax"/>
          <c:max val="15"/>
          <c:min val="-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043804271"/>
        <c:crosses val="autoZero"/>
        <c:crossBetween val="between"/>
      </c:valAx>
      <c:valAx>
        <c:axId val="161119023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Míra investic, míra úspor (%)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1122767"/>
        <c:crosses val="max"/>
        <c:crossBetween val="between"/>
      </c:valAx>
      <c:catAx>
        <c:axId val="16112276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11902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83A5-22FC-444B-B3AB-2FCD1103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38</TotalTime>
  <Pages>8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15059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Zábojníková</dc:creator>
  <cp:lastModifiedBy>Mgr. Karolína Zábojníková</cp:lastModifiedBy>
  <cp:revision>3</cp:revision>
  <dcterms:created xsi:type="dcterms:W3CDTF">2020-10-15T11:00:00Z</dcterms:created>
  <dcterms:modified xsi:type="dcterms:W3CDTF">2020-10-20T07:59:00Z</dcterms:modified>
</cp:coreProperties>
</file>