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F4" w:rsidRDefault="006C49F4" w:rsidP="006C49F4">
      <w:pPr>
        <w:pStyle w:val="datum"/>
        <w:spacing w:line="276" w:lineRule="auto"/>
        <w:rPr>
          <w:color w:val="BD1B16"/>
        </w:rPr>
      </w:pPr>
      <w:r>
        <w:t>29. 1</w:t>
      </w:r>
      <w:r w:rsidR="003B72ED">
        <w:t>0</w:t>
      </w:r>
      <w:r>
        <w:t>. 2014</w:t>
      </w:r>
    </w:p>
    <w:p w:rsidR="006C49F4" w:rsidRDefault="006C49F4" w:rsidP="006C49F4">
      <w:pPr>
        <w:pStyle w:val="Nadpis1"/>
        <w:numPr>
          <w:ilvl w:val="0"/>
          <w:numId w:val="1"/>
        </w:numPr>
        <w:suppressAutoHyphens/>
        <w:spacing w:before="280" w:after="280" w:line="360" w:lineRule="exact"/>
        <w:jc w:val="both"/>
        <w:rPr>
          <w:rFonts w:cs="Arial"/>
          <w:szCs w:val="18"/>
        </w:rPr>
      </w:pPr>
      <w:r>
        <w:rPr>
          <w:caps w:val="0"/>
          <w:color w:val="BD1B16"/>
        </w:rPr>
        <w:t>Postavení českého trhu práce v rámci EU</w:t>
      </w:r>
    </w:p>
    <w:p w:rsidR="006C49F4" w:rsidRDefault="006C49F4" w:rsidP="006C49F4">
      <w:pPr>
        <w:spacing w:after="280"/>
      </w:pPr>
      <w:r>
        <w:rPr>
          <w:rFonts w:cs="Arial"/>
          <w:b/>
          <w:szCs w:val="18"/>
        </w:rPr>
        <w:t>Pravidelná analýza trhu práce se zaměřuje na mezinárodní srovnání indikátorů strategie zaměstnanosti - Evropa 2020. Pro splnění cíle ohledně zvýšení míry zaměstnanosti osob ve věku 20-64 let na 75 % chybělo zemím EU28 ve 2. čtvrtletí 2014 v průměru</w:t>
      </w:r>
      <w:r>
        <w:rPr>
          <w:rFonts w:cs="Arial"/>
          <w:b/>
          <w:szCs w:val="18"/>
        </w:rPr>
        <w:br/>
        <w:t xml:space="preserve">5,7 procentního bodu. V tomto sledovaném období byla míra zaměstnanosti 20-64letých mužů v České republice druhá nejvyšší mezi zeměmi Evropské unie. </w:t>
      </w:r>
    </w:p>
    <w:p w:rsidR="006C49F4" w:rsidRDefault="006C49F4" w:rsidP="006C49F4">
      <w:pPr>
        <w:pStyle w:val="Nadpis3"/>
        <w:numPr>
          <w:ilvl w:val="2"/>
          <w:numId w:val="1"/>
        </w:numPr>
        <w:suppressAutoHyphens/>
        <w:spacing w:before="0"/>
      </w:pPr>
      <w:r>
        <w:t>Plnění kritérií zaměstnanosti podle strategie Evropa 2020</w:t>
      </w:r>
    </w:p>
    <w:p w:rsidR="006C49F4" w:rsidRDefault="006C49F4" w:rsidP="006C49F4">
      <w:r>
        <w:t>Míra zaměstnanosti ve věkové skupině 20-64 let dosahovala ve 2. čtvrtletí 2014 v zemích EU28 69,3 %. Míra zaměstnanosti mužů (75 %) převyšovala míru zaměstnanosti žen (63,5 %) o více než 11 procentních bodů. V průběhu sledovaného období míra zaměstnanosti členských zemí EU vzrostla o 0,9 p. b. Při nárůstu zaměstnanosti žen o 0,9 p. b. se zaměstnanost mužů zvýšila o něco méně (0,7 p. b.).</w:t>
      </w:r>
    </w:p>
    <w:p w:rsidR="006C49F4" w:rsidRDefault="006C49F4" w:rsidP="006C49F4"/>
    <w:p w:rsidR="006C49F4" w:rsidRDefault="006C49F4" w:rsidP="006C49F4">
      <w:r>
        <w:t>Tabulka seřazená od nejvyšších hodnot k nejnižším opět potvrzuje, že vysoká míra zaměstnanosti se dlouhodobě udržuje zejména v severských státech a v zemích západní Evropy. Nejvyšší úroveň zaměstnanosti, která se meziročně ještě zvýšila o 0,2 p. b., si</w:t>
      </w:r>
      <w:r>
        <w:br/>
        <w:t>ve 2. čtvrtletí 2014 udrželo Švédsko s mírou zaměstnanosti 80,2 %. V této skandinávské zemi byla také nejvyšší míra zaměstnanosti mužů (82,4 %) i žen (77,9 %) s vysokým náskokem (4,8 procentního bodu) před Finskem a Německem. Potěš</w:t>
      </w:r>
      <w:r w:rsidR="009D11DB">
        <w:t>ující je fakt, že druhou příčku</w:t>
      </w:r>
      <w:r w:rsidR="009D11DB">
        <w:br/>
      </w:r>
      <w:r>
        <w:t xml:space="preserve">v zaměstnanosti mužů v dané věkové skupině obsadila ve 2. čtvrtletí 2014 Česká republika, když za Švédskem zaostala o pouhých 0,3 procentního bodu. Rozdíly v zaměstnanosti mužů nejsou mezi zeměmi EU tak výrazné. </w:t>
      </w:r>
    </w:p>
    <w:p w:rsidR="006C49F4" w:rsidRDefault="006C49F4" w:rsidP="006C49F4"/>
    <w:p w:rsidR="006C49F4" w:rsidRDefault="006C49F4" w:rsidP="006C49F4">
      <w:r>
        <w:t xml:space="preserve">Ve 2. čtvrtletí 2014 cílovou úroveň 75 % překonalo celkem šest států (Švédsko, Německo, Rakousko, Spojené království, Dánsko a Nizozemsko). Nizozemsko zároveň zaznamenalo nejvyšší meziroční propad míry zaměstnanosti (o 1,2 p. b.). Až ve 23 zemích EU28 se celková míra zaměstnanosti během roku zlepšila. Nejvyšší meziroční nárůst přesahující 3 procentní body lze sledovat v Maďarsku. Řecko, Chorvatsko, Španělsko a Itálie patří mezi země s nejnižší úrovní zaměstnanosti. Všechny tyto země jižní a jihovýchodní Evropy se již několik čtvrtletí po sobě nedostaly přes hranici 60 %. Nejhorší situace byla v Řecku, kde pracovala každá druhá osoba ve věku 20-64 let. </w:t>
      </w:r>
    </w:p>
    <w:p w:rsidR="006C49F4" w:rsidRDefault="006C49F4" w:rsidP="006C49F4"/>
    <w:p w:rsidR="006C49F4" w:rsidRDefault="006C49F4" w:rsidP="006C49F4">
      <w:pPr>
        <w:rPr>
          <w:rFonts w:eastAsia="Times New Roman" w:cs="Arial"/>
          <w:b/>
          <w:bCs/>
          <w:szCs w:val="20"/>
        </w:rPr>
      </w:pPr>
      <w:r>
        <w:t xml:space="preserve">Mezi země, kde došlo k meziročnímu nárůstu míry zaměstnanosti (v sledovaném období nárůst o 0,6 p. b.), patřila i Česká republika. Ve 2. čtvrtletí 2014 se Česká republika zařadila na deváté místo mezi zeměmi EU28, a tak kromě zmiňovaných zemí s nejvyšší mírou zaměstnanosti, byla vyšší míra zaměstnanosti ještě v Estonsku a ve Finsku. Míra zaměstnanosti v ČR (73,3 %) převyšovala průměr EU28 o celé čtyři procentní body. Ze sousedních států byla nejvyšší míra zaměstnanosti v Německu (77,5 %), vyšší byla i v Rakousku (76,2 %). V Polsku a na Slovensku byla celková zaměstnanost nižší a dosahovala podobné úrovně (kolem 66 %). Jak již bylo </w:t>
      </w:r>
      <w:r>
        <w:lastRenderedPageBreak/>
        <w:t>zmíněno, Česká republika se vyznačuje jednou z nejvyšších měr zaměstnanosti mužů.</w:t>
      </w:r>
      <w:r>
        <w:br/>
        <w:t xml:space="preserve">Ve 2. čtvrtletí 2014 dosahovala vysoké úrovně 82,1 %. </w:t>
      </w:r>
    </w:p>
    <w:p w:rsidR="006C49F4" w:rsidRDefault="006C49F4" w:rsidP="006C49F4">
      <w:pPr>
        <w:rPr>
          <w:rFonts w:eastAsia="Times New Roman" w:cs="Arial"/>
          <w:b/>
          <w:bCs/>
          <w:szCs w:val="20"/>
        </w:rPr>
      </w:pPr>
    </w:p>
    <w:p w:rsidR="006C49F4" w:rsidRDefault="006C49F4" w:rsidP="006C49F4">
      <w:pPr>
        <w:rPr>
          <w:rFonts w:eastAsia="Times New Roman" w:cs="Arial"/>
          <w:b/>
          <w:bCs/>
          <w:szCs w:val="20"/>
        </w:rPr>
      </w:pPr>
      <w:r>
        <w:rPr>
          <w:rFonts w:eastAsia="Times New Roman" w:cs="Arial"/>
          <w:b/>
          <w:bCs/>
          <w:szCs w:val="20"/>
        </w:rPr>
        <w:t>Tabulka 1 Míra zaměstnanosti 20-64letých v členských zemích EU (v %)</w:t>
      </w:r>
    </w:p>
    <w:tbl>
      <w:tblPr>
        <w:tblW w:w="7560" w:type="dxa"/>
        <w:jc w:val="center"/>
        <w:tblInd w:w="55" w:type="dxa"/>
        <w:tblCellMar>
          <w:left w:w="70" w:type="dxa"/>
          <w:right w:w="70" w:type="dxa"/>
        </w:tblCellMar>
        <w:tblLook w:val="04A0"/>
      </w:tblPr>
      <w:tblGrid>
        <w:gridCol w:w="1800"/>
        <w:gridCol w:w="998"/>
        <w:gridCol w:w="941"/>
        <w:gridCol w:w="941"/>
        <w:gridCol w:w="1046"/>
        <w:gridCol w:w="917"/>
        <w:gridCol w:w="917"/>
      </w:tblGrid>
      <w:tr w:rsidR="004C484E" w:rsidRPr="004C484E" w:rsidTr="004C484E">
        <w:trPr>
          <w:trHeight w:val="270"/>
          <w:jc w:val="center"/>
        </w:trPr>
        <w:tc>
          <w:tcPr>
            <w:tcW w:w="1800" w:type="dxa"/>
            <w:vMerge w:val="restart"/>
            <w:tcBorders>
              <w:top w:val="single" w:sz="8" w:space="0" w:color="000000"/>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Země</w:t>
            </w:r>
          </w:p>
        </w:tc>
        <w:tc>
          <w:tcPr>
            <w:tcW w:w="2880" w:type="dxa"/>
            <w:gridSpan w:val="3"/>
            <w:vMerge w:val="restart"/>
            <w:tcBorders>
              <w:top w:val="single" w:sz="8" w:space="0" w:color="000000"/>
              <w:left w:val="single" w:sz="4" w:space="0" w:color="000000"/>
              <w:bottom w:val="nil"/>
              <w:right w:val="nil"/>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2. čtvrtletí 2014</w:t>
            </w:r>
          </w:p>
        </w:tc>
        <w:tc>
          <w:tcPr>
            <w:tcW w:w="2880" w:type="dxa"/>
            <w:gridSpan w:val="3"/>
            <w:vMerge w:val="restart"/>
            <w:tcBorders>
              <w:top w:val="single" w:sz="8" w:space="0" w:color="000000"/>
              <w:left w:val="single" w:sz="4" w:space="0" w:color="000000"/>
              <w:bottom w:val="nil"/>
              <w:right w:val="nil"/>
            </w:tcBorders>
            <w:shd w:val="clear" w:color="auto" w:fill="auto"/>
            <w:vAlign w:val="bottom"/>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Rozdíl v p.b.</w:t>
            </w:r>
            <w:r w:rsidRPr="004C484E">
              <w:rPr>
                <w:rFonts w:eastAsia="Times New Roman" w:cs="Arial"/>
                <w:sz w:val="16"/>
                <w:szCs w:val="16"/>
                <w:lang w:eastAsia="cs-CZ"/>
              </w:rPr>
              <w:br/>
              <w:t xml:space="preserve"> 2.Q 2014-2.Q 2013</w:t>
            </w:r>
          </w:p>
        </w:tc>
      </w:tr>
      <w:tr w:rsidR="004C484E" w:rsidRPr="004C484E" w:rsidTr="004C484E">
        <w:trPr>
          <w:trHeight w:val="255"/>
          <w:jc w:val="center"/>
        </w:trPr>
        <w:tc>
          <w:tcPr>
            <w:tcW w:w="1800" w:type="dxa"/>
            <w:vMerge/>
            <w:tcBorders>
              <w:top w:val="single" w:sz="8" w:space="0" w:color="000000"/>
              <w:left w:val="nil"/>
              <w:bottom w:val="single" w:sz="8" w:space="0" w:color="000000"/>
              <w:right w:val="single" w:sz="4" w:space="0" w:color="000000"/>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2880" w:type="dxa"/>
            <w:gridSpan w:val="3"/>
            <w:vMerge/>
            <w:tcBorders>
              <w:top w:val="single" w:sz="8" w:space="0" w:color="000000"/>
              <w:left w:val="single" w:sz="4" w:space="0" w:color="000000"/>
              <w:bottom w:val="nil"/>
              <w:right w:val="nil"/>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2880" w:type="dxa"/>
            <w:gridSpan w:val="3"/>
            <w:vMerge/>
            <w:tcBorders>
              <w:top w:val="single" w:sz="8" w:space="0" w:color="000000"/>
              <w:left w:val="single" w:sz="4" w:space="0" w:color="000000"/>
              <w:bottom w:val="nil"/>
              <w:right w:val="nil"/>
            </w:tcBorders>
            <w:vAlign w:val="center"/>
            <w:hideMark/>
          </w:tcPr>
          <w:p w:rsidR="004C484E" w:rsidRPr="004C484E" w:rsidRDefault="004C484E" w:rsidP="004C484E">
            <w:pPr>
              <w:spacing w:line="240" w:lineRule="auto"/>
              <w:jc w:val="left"/>
              <w:rPr>
                <w:rFonts w:eastAsia="Times New Roman" w:cs="Arial"/>
                <w:sz w:val="16"/>
                <w:szCs w:val="16"/>
                <w:lang w:eastAsia="cs-CZ"/>
              </w:rPr>
            </w:pPr>
          </w:p>
        </w:tc>
      </w:tr>
      <w:tr w:rsidR="004C484E" w:rsidRPr="004C484E" w:rsidTr="004C484E">
        <w:trPr>
          <w:trHeight w:val="255"/>
          <w:jc w:val="center"/>
        </w:trPr>
        <w:tc>
          <w:tcPr>
            <w:tcW w:w="1800" w:type="dxa"/>
            <w:vMerge/>
            <w:tcBorders>
              <w:top w:val="single" w:sz="8" w:space="0" w:color="000000"/>
              <w:left w:val="nil"/>
              <w:bottom w:val="single" w:sz="8" w:space="0" w:color="000000"/>
              <w:right w:val="single" w:sz="4" w:space="0" w:color="000000"/>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998"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celkem</w:t>
            </w:r>
          </w:p>
        </w:tc>
        <w:tc>
          <w:tcPr>
            <w:tcW w:w="941"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muži</w:t>
            </w:r>
          </w:p>
        </w:tc>
        <w:tc>
          <w:tcPr>
            <w:tcW w:w="941"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ženy</w:t>
            </w:r>
          </w:p>
        </w:tc>
        <w:tc>
          <w:tcPr>
            <w:tcW w:w="1046"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celkem</w:t>
            </w:r>
          </w:p>
        </w:tc>
        <w:tc>
          <w:tcPr>
            <w:tcW w:w="917"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muži</w:t>
            </w:r>
          </w:p>
        </w:tc>
        <w:tc>
          <w:tcPr>
            <w:tcW w:w="917" w:type="dxa"/>
            <w:tcBorders>
              <w:top w:val="single" w:sz="4" w:space="0" w:color="auto"/>
              <w:left w:val="nil"/>
              <w:bottom w:val="single" w:sz="8" w:space="0" w:color="000000"/>
              <w:right w:val="nil"/>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ženy</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Švédsko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80,2</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82,4</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77,9</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0,2</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0,2</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Německo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77,5</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81,8</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73,1</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Rakousko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76,2</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80,5</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72,0</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Spojené království</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76,2</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81,9</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70,5</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1,8</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Dánsko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75,9</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79,7</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72,1</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Nizozemsko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75,9</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81,2</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70,5</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-0,2</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Estonsko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74,1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79,0</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69,4</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Finsko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74,0</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74,9</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73,1</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-0,4</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left"/>
              <w:rPr>
                <w:rFonts w:eastAsia="Times New Roman" w:cs="Arial"/>
                <w:b/>
                <w:bCs/>
                <w:sz w:val="16"/>
                <w:szCs w:val="16"/>
                <w:lang w:eastAsia="cs-CZ"/>
              </w:rPr>
            </w:pPr>
            <w:r w:rsidRPr="004C484E">
              <w:rPr>
                <w:rFonts w:eastAsia="Times New Roman" w:cs="Arial"/>
                <w:b/>
                <w:bCs/>
                <w:sz w:val="16"/>
                <w:szCs w:val="16"/>
                <w:lang w:eastAsia="cs-CZ"/>
              </w:rPr>
              <w:t>Česká republika</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73,3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82,1</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64,3</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0,6</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0,9</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Lucembursko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72,2</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79,1</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65,1</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2,6</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Litva</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71,3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72,2</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70,5</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Lotyšsko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71,1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72,7</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69,6</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2,0</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Francie</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70,1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73,8</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66,5</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0,4</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left"/>
              <w:rPr>
                <w:rFonts w:eastAsia="Times New Roman" w:cs="Arial"/>
                <w:b/>
                <w:bCs/>
                <w:sz w:val="16"/>
                <w:szCs w:val="16"/>
                <w:lang w:eastAsia="cs-CZ"/>
              </w:rPr>
            </w:pPr>
            <w:r w:rsidRPr="004C484E">
              <w:rPr>
                <w:rFonts w:eastAsia="Times New Roman" w:cs="Arial"/>
                <w:b/>
                <w:bCs/>
                <w:sz w:val="16"/>
                <w:szCs w:val="16"/>
                <w:lang w:eastAsia="cs-CZ"/>
              </w:rPr>
              <w:t>EU28</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69,3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75,0</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63,5</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0,9</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0,7</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Slovinsko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68,4</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72,1</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64,6</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Kypr</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67,8</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71,7</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64,3</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0,5</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Portugalsko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67,7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71,5</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64,1</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2,6</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3,1</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Belgie</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67,4</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71,6</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63,2</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Irsko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66,7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72,5</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61,0</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2,1</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Maďarsko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66,5</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73,3</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60,0</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3,4</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3,4</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Polsko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66,1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73,3</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59,0</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Rumunsko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66,0</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74,2</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57,7</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2,6</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Malta</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65,7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80,0</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51,0</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1,1</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2,0</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Slovensko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65,7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72,9</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58,4</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0,4</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Bulharsko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65,0</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68,0</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61,9</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1,9</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Itálie</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59,9</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69,8</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50,1</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0,0</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Španělsko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59,9</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64,9</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54,8</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Chorvatsko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59,4</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64,6</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54,2</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3,1</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Řecko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53,3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62,7</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44,2</w:t>
            </w:r>
          </w:p>
        </w:tc>
        <w:tc>
          <w:tcPr>
            <w:tcW w:w="1046"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917"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917"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0,6</w:t>
            </w:r>
          </w:p>
        </w:tc>
      </w:tr>
    </w:tbl>
    <w:p w:rsidR="006C49F4" w:rsidRDefault="006C49F4" w:rsidP="006C49F4">
      <w:pPr>
        <w:rPr>
          <w:rFonts w:eastAsia="Times New Roman" w:cs="Arial"/>
          <w:b/>
          <w:bCs/>
          <w:szCs w:val="20"/>
        </w:rPr>
      </w:pPr>
    </w:p>
    <w:p w:rsidR="006C49F4" w:rsidRDefault="006C49F4" w:rsidP="006C49F4">
      <w:pPr>
        <w:jc w:val="left"/>
      </w:pPr>
      <w:r>
        <w:rPr>
          <w:rFonts w:eastAsia="Times New Roman" w:cs="Arial"/>
          <w:i/>
          <w:iCs/>
          <w:sz w:val="18"/>
          <w:szCs w:val="18"/>
        </w:rPr>
        <w:t xml:space="preserve">Zdroj: Eurostat </w:t>
      </w:r>
    </w:p>
    <w:p w:rsidR="006C49F4" w:rsidRDefault="006C49F4" w:rsidP="006C49F4"/>
    <w:p w:rsidR="006C49F4" w:rsidRDefault="006C49F4" w:rsidP="004C484E">
      <w:r>
        <w:t>Důležitým indikátorem z pohledu trhu práce je podíl vysokoškolsky vzdělaných osob. Vyšší vzdělání obecně zabezpečuje lepší uplatnění na pracovním trhu. Ačkoliv došlo mezi lety 2003 až 2013 ke  zvýšení podílu vysokoškolsky vzdělaných osob ve věku 30-34 let v EU v průměru</w:t>
      </w:r>
      <w:r>
        <w:br/>
        <w:t>o 12,2 p. b., požadovanou hranici se zemím EU prozatím nepodařilo naplnit (za rok 2013 podíl dosahoval 36,8 %). Ve 2. čtvrtletí 2014 byl podíl vysokoškolsky vzdělaných osob za průměr EU28 37,6 %, čím</w:t>
      </w:r>
      <w:r w:rsidR="009D11DB">
        <w:t>ž</w:t>
      </w:r>
      <w:r>
        <w:t xml:space="preserve"> se hranice 40 % zase o něco přiblížila. Celkově se ženy v dané věkové </w:t>
      </w:r>
      <w:r>
        <w:lastRenderedPageBreak/>
        <w:t>kategorii vyznačují vyšší úrovní vzdělání než muži. Nejvyrovnanější úroveň mezi muži a ženami byla v Německu – rozdíl půl procentního bodu.</w:t>
      </w:r>
    </w:p>
    <w:p w:rsidR="006C49F4" w:rsidRDefault="006C49F4" w:rsidP="004C484E"/>
    <w:p w:rsidR="004C484E" w:rsidRDefault="006C49F4" w:rsidP="004C484E">
      <w:pPr>
        <w:jc w:val="left"/>
      </w:pPr>
      <w:r>
        <w:rPr>
          <w:rFonts w:eastAsia="Times New Roman" w:cs="Arial"/>
          <w:b/>
          <w:bCs/>
          <w:szCs w:val="20"/>
        </w:rPr>
        <w:t xml:space="preserve">Tabulka 2 Podíl vysokoškolsky vzdělaných lidí ve věku 30-34 let (v %) </w:t>
      </w:r>
    </w:p>
    <w:tbl>
      <w:tblPr>
        <w:tblW w:w="5400" w:type="dxa"/>
        <w:jc w:val="center"/>
        <w:tblInd w:w="55" w:type="dxa"/>
        <w:tblCellMar>
          <w:left w:w="70" w:type="dxa"/>
          <w:right w:w="70" w:type="dxa"/>
        </w:tblCellMar>
        <w:tblLook w:val="04A0"/>
      </w:tblPr>
      <w:tblGrid>
        <w:gridCol w:w="1800"/>
        <w:gridCol w:w="1200"/>
        <w:gridCol w:w="1200"/>
        <w:gridCol w:w="1200"/>
      </w:tblGrid>
      <w:tr w:rsidR="004C484E" w:rsidRPr="004C484E" w:rsidTr="004C484E">
        <w:trPr>
          <w:trHeight w:val="255"/>
          <w:jc w:val="center"/>
        </w:trPr>
        <w:tc>
          <w:tcPr>
            <w:tcW w:w="1800" w:type="dxa"/>
            <w:vMerge w:val="restart"/>
            <w:tcBorders>
              <w:top w:val="single" w:sz="8" w:space="0" w:color="000000"/>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Země</w:t>
            </w:r>
          </w:p>
        </w:tc>
        <w:tc>
          <w:tcPr>
            <w:tcW w:w="3600" w:type="dxa"/>
            <w:gridSpan w:val="3"/>
            <w:vMerge w:val="restart"/>
            <w:tcBorders>
              <w:top w:val="single" w:sz="8" w:space="0" w:color="000000"/>
              <w:left w:val="single" w:sz="4" w:space="0" w:color="000000"/>
              <w:bottom w:val="nil"/>
              <w:right w:val="nil"/>
            </w:tcBorders>
            <w:shd w:val="clear" w:color="auto" w:fill="auto"/>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Vysokoškolské vzdělání (ISCED 5-8)</w:t>
            </w:r>
            <w:r>
              <w:rPr>
                <w:rStyle w:val="Znakapoznpodarou"/>
                <w:rFonts w:eastAsia="Times New Roman" w:cs="Arial"/>
                <w:sz w:val="16"/>
                <w:szCs w:val="16"/>
                <w:lang w:eastAsia="cs-CZ"/>
              </w:rPr>
              <w:footnoteReference w:id="1"/>
            </w:r>
            <w:r w:rsidRPr="004C484E">
              <w:rPr>
                <w:rFonts w:eastAsia="Times New Roman" w:cs="Arial"/>
                <w:sz w:val="16"/>
                <w:szCs w:val="16"/>
                <w:lang w:eastAsia="cs-CZ"/>
              </w:rPr>
              <w:br/>
              <w:t>2.Q 2014</w:t>
            </w:r>
          </w:p>
        </w:tc>
      </w:tr>
      <w:tr w:rsidR="004C484E" w:rsidRPr="004C484E" w:rsidTr="004C484E">
        <w:trPr>
          <w:trHeight w:val="255"/>
          <w:jc w:val="center"/>
        </w:trPr>
        <w:tc>
          <w:tcPr>
            <w:tcW w:w="1800" w:type="dxa"/>
            <w:vMerge/>
            <w:tcBorders>
              <w:top w:val="single" w:sz="8" w:space="0" w:color="000000"/>
              <w:left w:val="nil"/>
              <w:bottom w:val="single" w:sz="8" w:space="0" w:color="000000"/>
              <w:right w:val="single" w:sz="4" w:space="0" w:color="000000"/>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3600" w:type="dxa"/>
            <w:gridSpan w:val="3"/>
            <w:vMerge/>
            <w:tcBorders>
              <w:top w:val="single" w:sz="8" w:space="0" w:color="000000"/>
              <w:left w:val="single" w:sz="4" w:space="0" w:color="000000"/>
              <w:bottom w:val="nil"/>
              <w:right w:val="nil"/>
            </w:tcBorders>
            <w:vAlign w:val="center"/>
            <w:hideMark/>
          </w:tcPr>
          <w:p w:rsidR="004C484E" w:rsidRPr="004C484E" w:rsidRDefault="004C484E" w:rsidP="004C484E">
            <w:pPr>
              <w:spacing w:line="240" w:lineRule="auto"/>
              <w:jc w:val="left"/>
              <w:rPr>
                <w:rFonts w:eastAsia="Times New Roman" w:cs="Arial"/>
                <w:sz w:val="16"/>
                <w:szCs w:val="16"/>
                <w:lang w:eastAsia="cs-CZ"/>
              </w:rPr>
            </w:pPr>
          </w:p>
        </w:tc>
      </w:tr>
      <w:tr w:rsidR="004C484E" w:rsidRPr="004C484E" w:rsidTr="004C484E">
        <w:trPr>
          <w:trHeight w:val="255"/>
          <w:jc w:val="center"/>
        </w:trPr>
        <w:tc>
          <w:tcPr>
            <w:tcW w:w="1800" w:type="dxa"/>
            <w:vMerge/>
            <w:tcBorders>
              <w:top w:val="single" w:sz="8" w:space="0" w:color="000000"/>
              <w:left w:val="nil"/>
              <w:bottom w:val="single" w:sz="8" w:space="0" w:color="000000"/>
              <w:right w:val="single" w:sz="4" w:space="0" w:color="000000"/>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1200"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celkem</w:t>
            </w:r>
          </w:p>
        </w:tc>
        <w:tc>
          <w:tcPr>
            <w:tcW w:w="1200"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muži</w:t>
            </w:r>
          </w:p>
        </w:tc>
        <w:tc>
          <w:tcPr>
            <w:tcW w:w="1200" w:type="dxa"/>
            <w:tcBorders>
              <w:top w:val="single" w:sz="4" w:space="0" w:color="auto"/>
              <w:left w:val="nil"/>
              <w:bottom w:val="single" w:sz="8" w:space="0" w:color="000000"/>
              <w:right w:val="nil"/>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ženy</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Litva</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54,1</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43,5</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64,9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Kypr</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51,2</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44,0</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57,7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Lucembursko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50,6</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46,2</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55,1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Švédsko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49,8</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41,9</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58,1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Irsko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49,5</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42,4</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56,1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Spojené království</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47,0</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44,1</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50,0</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Belgie</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45,9</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40,6</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51,2</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Finsko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45,0</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37,7</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52,5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Slovinsko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43,7</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32,9</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56,3</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Nizozemsko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43,6</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40,2</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47,0</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Francie</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43,4</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38,9</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47,7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Španělsko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42,7</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37,1</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48,5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Estonsko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42,1</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29,9</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55,1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Polsko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41,4</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33,2</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50,0</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Lotyšsko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41,3</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26,2</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56,7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Rakousko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40,2</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38,7</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41,8</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Dánsko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39,2</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35,4</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43,0</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left"/>
              <w:rPr>
                <w:rFonts w:eastAsia="Times New Roman" w:cs="Arial"/>
                <w:b/>
                <w:bCs/>
                <w:sz w:val="16"/>
                <w:szCs w:val="16"/>
                <w:lang w:eastAsia="cs-CZ"/>
              </w:rPr>
            </w:pPr>
            <w:r w:rsidRPr="004C484E">
              <w:rPr>
                <w:rFonts w:eastAsia="Times New Roman" w:cs="Arial"/>
                <w:b/>
                <w:bCs/>
                <w:sz w:val="16"/>
                <w:szCs w:val="16"/>
                <w:lang w:eastAsia="cs-CZ"/>
              </w:rPr>
              <w:t>EU28</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2"/>
              <w:jc w:val="left"/>
              <w:rPr>
                <w:rFonts w:eastAsia="Times New Roman" w:cs="Arial"/>
                <w:b/>
                <w:bCs/>
                <w:sz w:val="16"/>
                <w:szCs w:val="16"/>
                <w:lang w:eastAsia="cs-CZ"/>
              </w:rPr>
            </w:pPr>
            <w:r w:rsidRPr="004C484E">
              <w:rPr>
                <w:rFonts w:eastAsia="Times New Roman" w:cs="Arial"/>
                <w:b/>
                <w:bCs/>
                <w:sz w:val="16"/>
                <w:szCs w:val="16"/>
                <w:lang w:eastAsia="cs-CZ"/>
              </w:rPr>
              <w:t>37,6</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2"/>
              <w:jc w:val="left"/>
              <w:rPr>
                <w:rFonts w:eastAsia="Times New Roman" w:cs="Arial"/>
                <w:b/>
                <w:bCs/>
                <w:sz w:val="16"/>
                <w:szCs w:val="16"/>
                <w:lang w:eastAsia="cs-CZ"/>
              </w:rPr>
            </w:pPr>
            <w:r w:rsidRPr="004C484E">
              <w:rPr>
                <w:rFonts w:eastAsia="Times New Roman" w:cs="Arial"/>
                <w:b/>
                <w:bCs/>
                <w:sz w:val="16"/>
                <w:szCs w:val="16"/>
                <w:lang w:eastAsia="cs-CZ"/>
              </w:rPr>
              <w:t>33,2</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2"/>
              <w:jc w:val="left"/>
              <w:rPr>
                <w:rFonts w:eastAsia="Times New Roman" w:cs="Arial"/>
                <w:b/>
                <w:bCs/>
                <w:sz w:val="16"/>
                <w:szCs w:val="16"/>
                <w:lang w:eastAsia="cs-CZ"/>
              </w:rPr>
            </w:pPr>
            <w:r w:rsidRPr="004C484E">
              <w:rPr>
                <w:rFonts w:eastAsia="Times New Roman" w:cs="Arial"/>
                <w:b/>
                <w:bCs/>
                <w:sz w:val="16"/>
                <w:szCs w:val="16"/>
                <w:lang w:eastAsia="cs-CZ"/>
              </w:rPr>
              <w:t>42,1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Řecko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37,2</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32,4</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42,1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Portugalsko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32,8</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24,7</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40,4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Maďarsko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32,7</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26,1</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39,3</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Německo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31,5</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31,2</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31,7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Bulharsko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30,6</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23,2</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38,6</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Chorvatsko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30,0</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24,8</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35,4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left"/>
              <w:rPr>
                <w:rFonts w:eastAsia="Times New Roman" w:cs="Arial"/>
                <w:b/>
                <w:bCs/>
                <w:sz w:val="16"/>
                <w:szCs w:val="16"/>
                <w:lang w:eastAsia="cs-CZ"/>
              </w:rPr>
            </w:pPr>
            <w:r w:rsidRPr="004C484E">
              <w:rPr>
                <w:rFonts w:eastAsia="Times New Roman" w:cs="Arial"/>
                <w:b/>
                <w:bCs/>
                <w:sz w:val="16"/>
                <w:szCs w:val="16"/>
                <w:lang w:eastAsia="cs-CZ"/>
              </w:rPr>
              <w:t>Česká republika</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2"/>
              <w:jc w:val="left"/>
              <w:rPr>
                <w:rFonts w:eastAsia="Times New Roman" w:cs="Arial"/>
                <w:b/>
                <w:bCs/>
                <w:sz w:val="16"/>
                <w:szCs w:val="16"/>
                <w:lang w:eastAsia="cs-CZ"/>
              </w:rPr>
            </w:pPr>
            <w:r w:rsidRPr="004C484E">
              <w:rPr>
                <w:rFonts w:eastAsia="Times New Roman" w:cs="Arial"/>
                <w:b/>
                <w:bCs/>
                <w:sz w:val="16"/>
                <w:szCs w:val="16"/>
                <w:lang w:eastAsia="cs-CZ"/>
              </w:rPr>
              <w:t>28,5</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2"/>
              <w:jc w:val="left"/>
              <w:rPr>
                <w:rFonts w:eastAsia="Times New Roman" w:cs="Arial"/>
                <w:b/>
                <w:bCs/>
                <w:sz w:val="16"/>
                <w:szCs w:val="16"/>
                <w:lang w:eastAsia="cs-CZ"/>
              </w:rPr>
            </w:pPr>
            <w:r w:rsidRPr="004C484E">
              <w:rPr>
                <w:rFonts w:eastAsia="Times New Roman" w:cs="Arial"/>
                <w:b/>
                <w:bCs/>
                <w:sz w:val="16"/>
                <w:szCs w:val="16"/>
                <w:lang w:eastAsia="cs-CZ"/>
              </w:rPr>
              <w:t>25,4</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2"/>
              <w:jc w:val="left"/>
              <w:rPr>
                <w:rFonts w:eastAsia="Times New Roman" w:cs="Arial"/>
                <w:b/>
                <w:bCs/>
                <w:sz w:val="16"/>
                <w:szCs w:val="16"/>
                <w:lang w:eastAsia="cs-CZ"/>
              </w:rPr>
            </w:pPr>
            <w:r w:rsidRPr="004C484E">
              <w:rPr>
                <w:rFonts w:eastAsia="Times New Roman" w:cs="Arial"/>
                <w:b/>
                <w:bCs/>
                <w:sz w:val="16"/>
                <w:szCs w:val="16"/>
                <w:lang w:eastAsia="cs-CZ"/>
              </w:rPr>
              <w:t>31,8</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Slovensko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26,7</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22,9</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30,7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Rumunsko</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25,9</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23,6</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28,3</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Malta</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23,5</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20,4</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27,2</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Itálie</w:t>
            </w:r>
          </w:p>
        </w:tc>
        <w:tc>
          <w:tcPr>
            <w:tcW w:w="1200"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23,2</w:t>
            </w:r>
          </w:p>
        </w:tc>
        <w:tc>
          <w:tcPr>
            <w:tcW w:w="120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18,1</w:t>
            </w:r>
          </w:p>
        </w:tc>
        <w:tc>
          <w:tcPr>
            <w:tcW w:w="1200"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300" w:firstLine="480"/>
              <w:jc w:val="left"/>
              <w:rPr>
                <w:rFonts w:eastAsia="Times New Roman" w:cs="Arial"/>
                <w:sz w:val="16"/>
                <w:szCs w:val="16"/>
                <w:lang w:eastAsia="cs-CZ"/>
              </w:rPr>
            </w:pPr>
            <w:r w:rsidRPr="004C484E">
              <w:rPr>
                <w:rFonts w:eastAsia="Times New Roman" w:cs="Arial"/>
                <w:sz w:val="16"/>
                <w:szCs w:val="16"/>
                <w:lang w:eastAsia="cs-CZ"/>
              </w:rPr>
              <w:t>28,3</w:t>
            </w:r>
          </w:p>
        </w:tc>
      </w:tr>
    </w:tbl>
    <w:p w:rsidR="006C49F4" w:rsidRDefault="006C49F4" w:rsidP="006C49F4">
      <w:pPr>
        <w:jc w:val="left"/>
      </w:pPr>
    </w:p>
    <w:p w:rsidR="006C49F4" w:rsidRDefault="006C49F4" w:rsidP="006C49F4">
      <w:pPr>
        <w:jc w:val="left"/>
      </w:pPr>
      <w:r>
        <w:rPr>
          <w:rFonts w:eastAsia="Times New Roman" w:cs="Arial"/>
          <w:i/>
          <w:iCs/>
          <w:sz w:val="18"/>
          <w:szCs w:val="18"/>
        </w:rPr>
        <w:t>Zdroj: Eurostat</w:t>
      </w:r>
    </w:p>
    <w:p w:rsidR="006C49F4" w:rsidRDefault="006C49F4" w:rsidP="006C49F4"/>
    <w:p w:rsidR="006C49F4" w:rsidRDefault="006C49F4" w:rsidP="006C49F4">
      <w:r>
        <w:t>Podle výsledků VŠPS za 2. čtvrtletí 2014 se Česká republika s dosaženým podílem 28,5 % zařazuje mezi země s nejnižším podílem vysokoškolsky vzdělaných osob ve věku</w:t>
      </w:r>
      <w:r>
        <w:br/>
        <w:t xml:space="preserve">30–34 let. Za poslední roky ale tento podíl v naší zemi výrazně vzrostl (mezi lety 2003 a 2013 až o 14,2 p. b.). </w:t>
      </w:r>
    </w:p>
    <w:p w:rsidR="006C49F4" w:rsidRDefault="006C49F4" w:rsidP="006C49F4"/>
    <w:p w:rsidR="006C49F4" w:rsidRDefault="006C49F4" w:rsidP="006C49F4">
      <w:pPr>
        <w:rPr>
          <w:shd w:val="clear" w:color="auto" w:fill="FFFF00"/>
        </w:rPr>
      </w:pPr>
      <w:r>
        <w:t xml:space="preserve">Nižší podíl vysokoškolsky vzdělaných osob než v České republice byl u našeho východního souseda (Slovensko 26,7 %), v Rumunsku (25,9 %), na Maltě (23,5 %) a v Itálii (23,2 %). Ve 2. čtvrtletí 2014 splňovalo požadovanou hranici 40 % celkem 16 zemí. Ze sousedních států se nad úrovní EU28 (37,6 </w:t>
      </w:r>
      <w:r>
        <w:rPr>
          <w:lang w:val="en-US"/>
        </w:rPr>
        <w:t xml:space="preserve">%) </w:t>
      </w:r>
      <w:r>
        <w:t xml:space="preserve">pohybovalo Rakousko a Polsko, </w:t>
      </w:r>
      <w:r w:rsidR="009D11DB">
        <w:t>jež</w:t>
      </w:r>
      <w:r>
        <w:t xml:space="preserve"> patřily mezi státy, které hranici 40 % překonaly. Pod úrovní EU28 pak bylo Německo (31,5 %) a zmíněné Slovensko.</w:t>
      </w:r>
    </w:p>
    <w:p w:rsidR="006C49F4" w:rsidRDefault="006C49F4" w:rsidP="006C49F4">
      <w:pPr>
        <w:rPr>
          <w:shd w:val="clear" w:color="auto" w:fill="FFFF00"/>
        </w:rPr>
      </w:pPr>
    </w:p>
    <w:p w:rsidR="006C49F4" w:rsidRDefault="006C49F4" w:rsidP="006C49F4">
      <w:pPr>
        <w:pStyle w:val="Nadpis3"/>
        <w:numPr>
          <w:ilvl w:val="2"/>
          <w:numId w:val="1"/>
        </w:numPr>
        <w:suppressAutoHyphens/>
        <w:spacing w:before="0"/>
      </w:pPr>
      <w:r>
        <w:t>Nezaměstnanost</w:t>
      </w:r>
    </w:p>
    <w:p w:rsidR="006C49F4" w:rsidRDefault="006C49F4" w:rsidP="004C484E">
      <w:r>
        <w:t>Česká republika se vyznačuje relativně nízkou úrovní nezaměstnanosti. Ve 2. čtvrtletí 2014 byla obecná míra nezaměstnanosti v ČR (6,1 %) o 4,1 p. b. nižší než průměr EU. Pod úrovní EU byla míra nezaměstnanosti žen i mužů. Mezi státy EU28 s nejnižší mírou nezaměstnanosti se řadí Lucembursko, Německo a Rakousko. V Rakousku byla míra nezaměstnanosti v daném období vůbec nejnižší a v jako jediné zemi se o 0,3 p. b. udrž</w:t>
      </w:r>
      <w:r w:rsidR="009D11DB">
        <w:t>ela pod úrovní 5 %. V porovnání</w:t>
      </w:r>
      <w:r w:rsidR="009D11DB">
        <w:br/>
      </w:r>
      <w:r>
        <w:t>s dalšími sousedními státy byla míra nezaměstnanosti výraz</w:t>
      </w:r>
      <w:r w:rsidR="009D11DB">
        <w:t>ně vyšší na Slovensku (13,2 %),</w:t>
      </w:r>
      <w:r w:rsidR="009D11DB">
        <w:br/>
      </w:r>
      <w:r>
        <w:t xml:space="preserve">V Polsku byla také vyšší (9,2 %), ale pořád pod úrovní EU28. </w:t>
      </w:r>
    </w:p>
    <w:p w:rsidR="006C49F4" w:rsidRDefault="004C484E" w:rsidP="004C484E">
      <w:pPr>
        <w:tabs>
          <w:tab w:val="left" w:pos="1545"/>
        </w:tabs>
      </w:pPr>
      <w:r>
        <w:tab/>
      </w:r>
    </w:p>
    <w:p w:rsidR="006C49F4" w:rsidRDefault="006C49F4" w:rsidP="004C484E">
      <w:r>
        <w:t xml:space="preserve">Míra nezaměstnanosti se nadále udržuje na vysokých hodnotách zejména v jižních státech Evropy. Státy s nejnižší zaměstnaností (Řecko, Chorvatsko, Španělsko) se umístily zároveň na předních místech žebříčků zemí s nejvyšší mírou nezaměstnanosti. </w:t>
      </w:r>
    </w:p>
    <w:p w:rsidR="006C49F4" w:rsidRDefault="006C49F4" w:rsidP="004C484E"/>
    <w:p w:rsidR="006C49F4" w:rsidRDefault="006C49F4" w:rsidP="004C484E">
      <w:pPr>
        <w:jc w:val="left"/>
      </w:pPr>
      <w:r>
        <w:rPr>
          <w:rFonts w:eastAsia="Times New Roman" w:cs="Arial"/>
          <w:b/>
          <w:bCs/>
          <w:szCs w:val="20"/>
        </w:rPr>
        <w:t>Tabulka 3 Míra nezaměstnanosti 15-64letých v členských zemích EU (v %)</w:t>
      </w:r>
    </w:p>
    <w:tbl>
      <w:tblPr>
        <w:tblW w:w="8260" w:type="dxa"/>
        <w:jc w:val="center"/>
        <w:tblInd w:w="55" w:type="dxa"/>
        <w:tblCellMar>
          <w:left w:w="70" w:type="dxa"/>
          <w:right w:w="70" w:type="dxa"/>
        </w:tblCellMar>
        <w:tblLook w:val="04A0"/>
      </w:tblPr>
      <w:tblGrid>
        <w:gridCol w:w="1900"/>
        <w:gridCol w:w="1102"/>
        <w:gridCol w:w="1039"/>
        <w:gridCol w:w="1039"/>
        <w:gridCol w:w="1060"/>
        <w:gridCol w:w="1060"/>
        <w:gridCol w:w="1060"/>
      </w:tblGrid>
      <w:tr w:rsidR="004C484E" w:rsidRPr="004C484E" w:rsidTr="004C484E">
        <w:trPr>
          <w:trHeight w:val="495"/>
          <w:jc w:val="center"/>
        </w:trPr>
        <w:tc>
          <w:tcPr>
            <w:tcW w:w="1900" w:type="dxa"/>
            <w:vMerge w:val="restart"/>
            <w:tcBorders>
              <w:top w:val="single" w:sz="8" w:space="0" w:color="000000"/>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Země</w:t>
            </w:r>
          </w:p>
        </w:tc>
        <w:tc>
          <w:tcPr>
            <w:tcW w:w="3180" w:type="dxa"/>
            <w:gridSpan w:val="3"/>
            <w:tcBorders>
              <w:top w:val="single" w:sz="8" w:space="0" w:color="000000"/>
              <w:left w:val="nil"/>
              <w:bottom w:val="single" w:sz="4" w:space="0" w:color="000000"/>
              <w:right w:val="nil"/>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2. čtvrtletí 2014</w:t>
            </w:r>
          </w:p>
        </w:tc>
        <w:tc>
          <w:tcPr>
            <w:tcW w:w="3180" w:type="dxa"/>
            <w:gridSpan w:val="3"/>
            <w:tcBorders>
              <w:top w:val="single" w:sz="8" w:space="0" w:color="000000"/>
              <w:left w:val="single" w:sz="4" w:space="0" w:color="000000"/>
              <w:bottom w:val="single" w:sz="4" w:space="0" w:color="000000"/>
              <w:right w:val="nil"/>
            </w:tcBorders>
            <w:shd w:val="clear" w:color="auto" w:fill="auto"/>
            <w:vAlign w:val="bottom"/>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Rozdíl v p.b.</w:t>
            </w:r>
            <w:r w:rsidRPr="004C484E">
              <w:rPr>
                <w:rFonts w:eastAsia="Times New Roman" w:cs="Arial"/>
                <w:sz w:val="16"/>
                <w:szCs w:val="16"/>
                <w:lang w:eastAsia="cs-CZ"/>
              </w:rPr>
              <w:br/>
              <w:t xml:space="preserve"> 2.Q 2014 - 2.Q 2013</w:t>
            </w:r>
          </w:p>
        </w:tc>
      </w:tr>
      <w:tr w:rsidR="004C484E" w:rsidRPr="004C484E" w:rsidTr="004C484E">
        <w:trPr>
          <w:trHeight w:val="270"/>
          <w:jc w:val="center"/>
        </w:trPr>
        <w:tc>
          <w:tcPr>
            <w:tcW w:w="1900" w:type="dxa"/>
            <w:vMerge/>
            <w:tcBorders>
              <w:top w:val="single" w:sz="8" w:space="0" w:color="000000"/>
              <w:left w:val="nil"/>
              <w:bottom w:val="single" w:sz="8" w:space="0" w:color="000000"/>
              <w:right w:val="single" w:sz="4" w:space="0" w:color="000000"/>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1102" w:type="dxa"/>
            <w:tcBorders>
              <w:top w:val="nil"/>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celkem</w:t>
            </w:r>
          </w:p>
        </w:tc>
        <w:tc>
          <w:tcPr>
            <w:tcW w:w="1039" w:type="dxa"/>
            <w:tcBorders>
              <w:top w:val="nil"/>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muži</w:t>
            </w:r>
          </w:p>
        </w:tc>
        <w:tc>
          <w:tcPr>
            <w:tcW w:w="1039" w:type="dxa"/>
            <w:tcBorders>
              <w:top w:val="nil"/>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ženy</w:t>
            </w:r>
          </w:p>
        </w:tc>
        <w:tc>
          <w:tcPr>
            <w:tcW w:w="1060" w:type="dxa"/>
            <w:tcBorders>
              <w:top w:val="nil"/>
              <w:left w:val="nil"/>
              <w:bottom w:val="single" w:sz="8" w:space="0" w:color="000000"/>
              <w:right w:val="single" w:sz="4" w:space="0" w:color="000000"/>
            </w:tcBorders>
            <w:shd w:val="clear" w:color="auto" w:fill="auto"/>
            <w:vAlign w:val="bottom"/>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celkem</w:t>
            </w:r>
          </w:p>
        </w:tc>
        <w:tc>
          <w:tcPr>
            <w:tcW w:w="1060" w:type="dxa"/>
            <w:tcBorders>
              <w:top w:val="nil"/>
              <w:left w:val="nil"/>
              <w:bottom w:val="single" w:sz="8" w:space="0" w:color="000000"/>
              <w:right w:val="single" w:sz="4" w:space="0" w:color="000000"/>
            </w:tcBorders>
            <w:shd w:val="clear" w:color="auto" w:fill="auto"/>
            <w:vAlign w:val="bottom"/>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muži</w:t>
            </w:r>
          </w:p>
        </w:tc>
        <w:tc>
          <w:tcPr>
            <w:tcW w:w="1060" w:type="dxa"/>
            <w:tcBorders>
              <w:top w:val="nil"/>
              <w:left w:val="nil"/>
              <w:bottom w:val="single" w:sz="8" w:space="0" w:color="000000"/>
              <w:right w:val="nil"/>
            </w:tcBorders>
            <w:shd w:val="clear" w:color="auto" w:fill="auto"/>
            <w:vAlign w:val="bottom"/>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ženy</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Rakousko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4,7</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0,4</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Lucembursko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5,0</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4,6</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5,6</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Německo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5,5</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4,6</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-0,2</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-0,4</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Malta</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5,9</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5,6</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-0,9</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left"/>
              <w:rPr>
                <w:rFonts w:eastAsia="Times New Roman" w:cs="Arial"/>
                <w:b/>
                <w:bCs/>
                <w:sz w:val="16"/>
                <w:szCs w:val="16"/>
                <w:lang w:eastAsia="cs-CZ"/>
              </w:rPr>
            </w:pPr>
            <w:r w:rsidRPr="004C484E">
              <w:rPr>
                <w:rFonts w:eastAsia="Times New Roman" w:cs="Arial"/>
                <w:b/>
                <w:bCs/>
                <w:sz w:val="16"/>
                <w:szCs w:val="16"/>
                <w:lang w:eastAsia="cs-CZ"/>
              </w:rPr>
              <w:t>Česká republika</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6,1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5,1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7,5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-0,7</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-0,6</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Spojené království</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6,3</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6,5</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6,0</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-1,9</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-1,1</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Dánsko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6,4</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6,9</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-0,4</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Nizozemsko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7,0</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6,8</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0,0</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Rumunsko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7,0</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7,6</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6,2</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-0,9</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Estonsko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7,5</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6,6</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Maďarsko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8,0</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8,0</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8,2</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-2,1</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-2,4</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Belgie</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8,3</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0,2</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Švédsko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8,9</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9,2</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Polsko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9,2</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8,8</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9,8</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-1,1</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Francie</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9,5</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9,8</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9,2</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-0,2</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Slovinsko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9,5</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8,6</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-0,5</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Finsko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9,8</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10,6</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9,0</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left"/>
              <w:rPr>
                <w:rFonts w:eastAsia="Times New Roman" w:cs="Arial"/>
                <w:b/>
                <w:bCs/>
                <w:sz w:val="16"/>
                <w:szCs w:val="16"/>
                <w:lang w:eastAsia="cs-CZ"/>
              </w:rPr>
            </w:pPr>
            <w:r w:rsidRPr="004C484E">
              <w:rPr>
                <w:rFonts w:eastAsia="Times New Roman" w:cs="Arial"/>
                <w:b/>
                <w:bCs/>
                <w:sz w:val="16"/>
                <w:szCs w:val="16"/>
                <w:lang w:eastAsia="cs-CZ"/>
              </w:rPr>
              <w:t>EU28</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10,2</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10,2</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10,2</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-0,7</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-0,8</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-0,7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Lotyšsko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10,8</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12,4</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0,2</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Litva</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11,4</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13,4</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Bulharsko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11,5</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12,6</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10,1</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lastRenderedPageBreak/>
              <w:t>Irsko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12,1</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14,0</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9,8</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-2,0</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-2,3</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Itálie</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12,5</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11,7</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0,0</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0,6</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Slovensko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13,2</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13,0</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-0,9</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Portugalsko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14,5</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14,3</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14,8</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-2,7</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-3,0</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-2,3</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Kypr</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15,7</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17,3</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14,0</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0,0</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Chorvatsko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16,7</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15,4</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18,3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-2,6</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2,4</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Španělsko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24,6</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23,8</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25,5</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-1,8</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r>
      <w:tr w:rsidR="004C484E" w:rsidRPr="004C484E" w:rsidTr="004C484E">
        <w:trPr>
          <w:trHeight w:val="255"/>
          <w:jc w:val="center"/>
        </w:trPr>
        <w:tc>
          <w:tcPr>
            <w:tcW w:w="19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Řecko</w:t>
            </w:r>
          </w:p>
        </w:tc>
        <w:tc>
          <w:tcPr>
            <w:tcW w:w="1102" w:type="dxa"/>
            <w:tcBorders>
              <w:top w:val="nil"/>
              <w:left w:val="single" w:sz="4" w:space="0" w:color="000000"/>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26,8</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23,7</w:t>
            </w:r>
          </w:p>
        </w:tc>
        <w:tc>
          <w:tcPr>
            <w:tcW w:w="1039"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30,6</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c>
          <w:tcPr>
            <w:tcW w:w="1060" w:type="dxa"/>
            <w:tcBorders>
              <w:top w:val="nil"/>
              <w:left w:val="nil"/>
              <w:bottom w:val="nil"/>
              <w:right w:val="single" w:sz="4" w:space="0" w:color="000000"/>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6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r>
    </w:tbl>
    <w:p w:rsidR="006C49F4" w:rsidRDefault="006C49F4" w:rsidP="006C49F4">
      <w:pPr>
        <w:jc w:val="left"/>
      </w:pPr>
    </w:p>
    <w:p w:rsidR="006C49F4" w:rsidRDefault="006C49F4" w:rsidP="006C49F4">
      <w:pPr>
        <w:jc w:val="left"/>
        <w:rPr>
          <w:rFonts w:eastAsia="Times New Roman" w:cs="Arial"/>
          <w:i/>
          <w:iCs/>
          <w:sz w:val="18"/>
          <w:szCs w:val="18"/>
        </w:rPr>
      </w:pPr>
      <w:r>
        <w:rPr>
          <w:rFonts w:eastAsia="Times New Roman" w:cs="Arial"/>
          <w:i/>
          <w:iCs/>
          <w:sz w:val="18"/>
          <w:szCs w:val="18"/>
        </w:rPr>
        <w:t>Zdroj: Eurostat</w:t>
      </w:r>
    </w:p>
    <w:p w:rsidR="006C49F4" w:rsidRDefault="006C49F4" w:rsidP="006C49F4">
      <w:pPr>
        <w:jc w:val="left"/>
        <w:rPr>
          <w:rFonts w:eastAsia="Times New Roman" w:cs="Arial"/>
          <w:i/>
          <w:iCs/>
          <w:sz w:val="18"/>
          <w:szCs w:val="18"/>
        </w:rPr>
      </w:pPr>
    </w:p>
    <w:p w:rsidR="006C49F4" w:rsidRDefault="006C49F4" w:rsidP="006C49F4">
      <w:r>
        <w:t>Při všeobecném poklesu nezaměstnanosti se naopak zhoršil jiný strukturální ukazatel Eurostatu - podíl dlouhodobě nezaměstnaných (1 rok a déle) na celkové nezaměstnanosti. Za úhrn členských zemí se meziročně zvýšil o 3 p. b. na 50,1 %. V České republice se podíl dlouhodobě nezaměstnaných meziročně snížil o 1,1 procentního bodu. Způsobil to výrazný pokles dlouhodobě nezaměstnaných žen (meziročně až o 3,4 p. b.), naopak podíl mužů nezaměstnaných 1 rok a déle meziročně vzrostl o 1,5 p. b. Patříme mezi země, kde je sledovaný ukazatel pod úrovní EU28 (rozdíl 6,8 p. b.). Po delší době, kdy nejhorší situace přetrvávala na Slovensku (ve 2. čtvrtletí podíl 71,6 %), zemí s nejvyšším podílem dlouhodobě nezaměstnaných (74,3 %) bylo ve sledovaném čtvrtletí Řecko. Nejlepší situace byla ve Švédsku (podíl pouze 17,7 %).</w:t>
      </w:r>
    </w:p>
    <w:p w:rsidR="006C49F4" w:rsidRDefault="006C49F4" w:rsidP="006C49F4"/>
    <w:p w:rsidR="006C49F4" w:rsidRDefault="006C49F4" w:rsidP="006C49F4">
      <w:pPr>
        <w:jc w:val="left"/>
        <w:rPr>
          <w:rFonts w:eastAsia="Times New Roman" w:cs="Arial"/>
          <w:b/>
          <w:bCs/>
          <w:szCs w:val="20"/>
        </w:rPr>
      </w:pPr>
      <w:r>
        <w:rPr>
          <w:rFonts w:eastAsia="Times New Roman" w:cs="Arial"/>
          <w:b/>
          <w:bCs/>
          <w:szCs w:val="20"/>
        </w:rPr>
        <w:t>Tabulka 4 Podíl osob nezaměstnaných 1 rok a déle na celkovém počtu nezaměstnaných ve věku 15-64 let (v %)</w:t>
      </w:r>
    </w:p>
    <w:tbl>
      <w:tblPr>
        <w:tblW w:w="7560" w:type="dxa"/>
        <w:jc w:val="center"/>
        <w:tblInd w:w="55" w:type="dxa"/>
        <w:tblCellMar>
          <w:left w:w="70" w:type="dxa"/>
          <w:right w:w="70" w:type="dxa"/>
        </w:tblCellMar>
        <w:tblLook w:val="04A0"/>
      </w:tblPr>
      <w:tblGrid>
        <w:gridCol w:w="1800"/>
        <w:gridCol w:w="998"/>
        <w:gridCol w:w="941"/>
        <w:gridCol w:w="941"/>
        <w:gridCol w:w="965"/>
        <w:gridCol w:w="910"/>
        <w:gridCol w:w="1005"/>
      </w:tblGrid>
      <w:tr w:rsidR="004C484E" w:rsidRPr="004C484E" w:rsidTr="004C484E">
        <w:trPr>
          <w:trHeight w:val="270"/>
          <w:jc w:val="center"/>
        </w:trPr>
        <w:tc>
          <w:tcPr>
            <w:tcW w:w="1800" w:type="dxa"/>
            <w:vMerge w:val="restart"/>
            <w:tcBorders>
              <w:top w:val="single" w:sz="8" w:space="0" w:color="000000"/>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Země</w:t>
            </w:r>
          </w:p>
        </w:tc>
        <w:tc>
          <w:tcPr>
            <w:tcW w:w="2880" w:type="dxa"/>
            <w:gridSpan w:val="3"/>
            <w:vMerge w:val="restart"/>
            <w:tcBorders>
              <w:top w:val="single" w:sz="8" w:space="0" w:color="000000"/>
              <w:left w:val="single" w:sz="4" w:space="0" w:color="000000"/>
              <w:bottom w:val="nil"/>
              <w:right w:val="nil"/>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2. čtvrtletí 2014</w:t>
            </w:r>
          </w:p>
        </w:tc>
        <w:tc>
          <w:tcPr>
            <w:tcW w:w="2880" w:type="dxa"/>
            <w:gridSpan w:val="3"/>
            <w:vMerge w:val="restart"/>
            <w:tcBorders>
              <w:top w:val="single" w:sz="8" w:space="0" w:color="000000"/>
              <w:left w:val="single" w:sz="4" w:space="0" w:color="000000"/>
              <w:bottom w:val="nil"/>
              <w:right w:val="nil"/>
            </w:tcBorders>
            <w:shd w:val="clear" w:color="auto" w:fill="auto"/>
            <w:vAlign w:val="bottom"/>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Rozdíl v p.b.</w:t>
            </w:r>
            <w:r w:rsidRPr="004C484E">
              <w:rPr>
                <w:rFonts w:eastAsia="Times New Roman" w:cs="Arial"/>
                <w:sz w:val="16"/>
                <w:szCs w:val="16"/>
                <w:lang w:eastAsia="cs-CZ"/>
              </w:rPr>
              <w:br/>
              <w:t xml:space="preserve"> 2.Q 2014-2.Q 2013</w:t>
            </w:r>
          </w:p>
        </w:tc>
      </w:tr>
      <w:tr w:rsidR="004C484E" w:rsidRPr="004C484E" w:rsidTr="004C484E">
        <w:trPr>
          <w:trHeight w:val="270"/>
          <w:jc w:val="center"/>
        </w:trPr>
        <w:tc>
          <w:tcPr>
            <w:tcW w:w="1800" w:type="dxa"/>
            <w:vMerge/>
            <w:tcBorders>
              <w:top w:val="single" w:sz="8" w:space="0" w:color="000000"/>
              <w:left w:val="nil"/>
              <w:bottom w:val="single" w:sz="8" w:space="0" w:color="000000"/>
              <w:right w:val="single" w:sz="4" w:space="0" w:color="000000"/>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2880" w:type="dxa"/>
            <w:gridSpan w:val="3"/>
            <w:vMerge/>
            <w:tcBorders>
              <w:top w:val="single" w:sz="8" w:space="0" w:color="000000"/>
              <w:left w:val="single" w:sz="4" w:space="0" w:color="000000"/>
              <w:bottom w:val="nil"/>
              <w:right w:val="nil"/>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2880" w:type="dxa"/>
            <w:gridSpan w:val="3"/>
            <w:vMerge/>
            <w:tcBorders>
              <w:top w:val="single" w:sz="8" w:space="0" w:color="000000"/>
              <w:left w:val="single" w:sz="4" w:space="0" w:color="000000"/>
              <w:bottom w:val="nil"/>
              <w:right w:val="nil"/>
            </w:tcBorders>
            <w:vAlign w:val="center"/>
            <w:hideMark/>
          </w:tcPr>
          <w:p w:rsidR="004C484E" w:rsidRPr="004C484E" w:rsidRDefault="004C484E" w:rsidP="004C484E">
            <w:pPr>
              <w:spacing w:line="240" w:lineRule="auto"/>
              <w:jc w:val="left"/>
              <w:rPr>
                <w:rFonts w:eastAsia="Times New Roman" w:cs="Arial"/>
                <w:sz w:val="16"/>
                <w:szCs w:val="16"/>
                <w:lang w:eastAsia="cs-CZ"/>
              </w:rPr>
            </w:pPr>
          </w:p>
        </w:tc>
      </w:tr>
      <w:tr w:rsidR="004C484E" w:rsidRPr="004C484E" w:rsidTr="004C484E">
        <w:trPr>
          <w:trHeight w:val="270"/>
          <w:jc w:val="center"/>
        </w:trPr>
        <w:tc>
          <w:tcPr>
            <w:tcW w:w="1800" w:type="dxa"/>
            <w:vMerge/>
            <w:tcBorders>
              <w:top w:val="single" w:sz="8" w:space="0" w:color="000000"/>
              <w:left w:val="nil"/>
              <w:bottom w:val="single" w:sz="8" w:space="0" w:color="000000"/>
              <w:right w:val="single" w:sz="4" w:space="0" w:color="000000"/>
            </w:tcBorders>
            <w:vAlign w:val="center"/>
            <w:hideMark/>
          </w:tcPr>
          <w:p w:rsidR="004C484E" w:rsidRPr="004C484E" w:rsidRDefault="004C484E" w:rsidP="004C484E">
            <w:pPr>
              <w:spacing w:line="240" w:lineRule="auto"/>
              <w:jc w:val="left"/>
              <w:rPr>
                <w:rFonts w:eastAsia="Times New Roman" w:cs="Arial"/>
                <w:sz w:val="16"/>
                <w:szCs w:val="16"/>
                <w:lang w:eastAsia="cs-CZ"/>
              </w:rPr>
            </w:pPr>
          </w:p>
        </w:tc>
        <w:tc>
          <w:tcPr>
            <w:tcW w:w="998"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celkem</w:t>
            </w:r>
          </w:p>
        </w:tc>
        <w:tc>
          <w:tcPr>
            <w:tcW w:w="941"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muži</w:t>
            </w:r>
          </w:p>
        </w:tc>
        <w:tc>
          <w:tcPr>
            <w:tcW w:w="941"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ženy</w:t>
            </w:r>
          </w:p>
        </w:tc>
        <w:tc>
          <w:tcPr>
            <w:tcW w:w="965"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celkem</w:t>
            </w:r>
          </w:p>
        </w:tc>
        <w:tc>
          <w:tcPr>
            <w:tcW w:w="910" w:type="dxa"/>
            <w:tcBorders>
              <w:top w:val="single" w:sz="4" w:space="0" w:color="auto"/>
              <w:left w:val="nil"/>
              <w:bottom w:val="single" w:sz="8" w:space="0" w:color="000000"/>
              <w:right w:val="single" w:sz="4" w:space="0" w:color="000000"/>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muži</w:t>
            </w:r>
          </w:p>
        </w:tc>
        <w:tc>
          <w:tcPr>
            <w:tcW w:w="1005" w:type="dxa"/>
            <w:tcBorders>
              <w:top w:val="single" w:sz="4" w:space="0" w:color="auto"/>
              <w:left w:val="nil"/>
              <w:bottom w:val="single" w:sz="8" w:space="0" w:color="000000"/>
              <w:right w:val="nil"/>
            </w:tcBorders>
            <w:shd w:val="clear" w:color="auto" w:fill="auto"/>
            <w:noWrap/>
            <w:vAlign w:val="center"/>
            <w:hideMark/>
          </w:tcPr>
          <w:p w:rsidR="004C484E" w:rsidRPr="004C484E" w:rsidRDefault="004C484E" w:rsidP="004C484E">
            <w:pPr>
              <w:spacing w:line="240" w:lineRule="auto"/>
              <w:jc w:val="center"/>
              <w:rPr>
                <w:rFonts w:eastAsia="Times New Roman" w:cs="Arial"/>
                <w:sz w:val="16"/>
                <w:szCs w:val="16"/>
                <w:lang w:eastAsia="cs-CZ"/>
              </w:rPr>
            </w:pPr>
            <w:r w:rsidRPr="004C484E">
              <w:rPr>
                <w:rFonts w:eastAsia="Times New Roman" w:cs="Arial"/>
                <w:sz w:val="16"/>
                <w:szCs w:val="16"/>
                <w:lang w:eastAsia="cs-CZ"/>
              </w:rPr>
              <w:t>ženy</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Švédsko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18,5</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16,7</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Finsko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19,3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21,6</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16,5</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2,2</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2,6</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2,0</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Dánsko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23,1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23,0</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23,3</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-5,6</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-4,6</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Rakousko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27,4</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28,7</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25,7</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2,2</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4,4</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Lucembursko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33,7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29,1</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38,4</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9,3</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6,2</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Spojené království</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36,7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41,4</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30,9</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-0,6</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Nizozemsko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39,7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38,7</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40,9</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4,2</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3,0</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Lotyšsko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40,1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42,5</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36,8</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-9,4</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-8,3</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-11,2</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Rumunsko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42,6</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43,4</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41,3</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-0,2</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1,8</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Polsko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42,9</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43,4</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42,4</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2,4</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left"/>
              <w:rPr>
                <w:rFonts w:eastAsia="Times New Roman" w:cs="Arial"/>
                <w:b/>
                <w:bCs/>
                <w:sz w:val="16"/>
                <w:szCs w:val="16"/>
                <w:lang w:eastAsia="cs-CZ"/>
              </w:rPr>
            </w:pPr>
            <w:r w:rsidRPr="004C484E">
              <w:rPr>
                <w:rFonts w:eastAsia="Times New Roman" w:cs="Arial"/>
                <w:b/>
                <w:bCs/>
                <w:sz w:val="16"/>
                <w:szCs w:val="16"/>
                <w:lang w:eastAsia="cs-CZ"/>
              </w:rPr>
              <w:t>Česká republika</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43,3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44,6</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42,2</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-1,1</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1,5</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-3,4</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Francie</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43,8</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45,8</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41,6</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3,0</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5,0</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Litva</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44,2</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42,3</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46,9</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2,0</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0,7</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3,8</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Německo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45,8</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48,6</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42,0</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0,5</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2,4</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Malta</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46,1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57,0</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5,5</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8,2</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Maďarsko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48,8</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50,0</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47,5</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1,9</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Estonsko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49,9</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51,4</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48,0</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1,9</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-0,1</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3,6</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Kypr</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50,0</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48,7</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51,7</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13,5</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10,3</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17,5</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1"/>
              <w:jc w:val="left"/>
              <w:rPr>
                <w:rFonts w:eastAsia="Times New Roman" w:cs="Arial"/>
                <w:b/>
                <w:bCs/>
                <w:sz w:val="16"/>
                <w:szCs w:val="16"/>
                <w:lang w:eastAsia="cs-CZ"/>
              </w:rPr>
            </w:pPr>
            <w:r w:rsidRPr="004C484E">
              <w:rPr>
                <w:rFonts w:eastAsia="Times New Roman" w:cs="Arial"/>
                <w:b/>
                <w:bCs/>
                <w:sz w:val="16"/>
                <w:szCs w:val="16"/>
                <w:lang w:eastAsia="cs-CZ"/>
              </w:rPr>
              <w:lastRenderedPageBreak/>
              <w:t>EU28</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50,1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50,6</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49,5</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3,0</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3,4</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1"/>
              <w:jc w:val="right"/>
              <w:rPr>
                <w:rFonts w:eastAsia="Times New Roman" w:cs="Arial"/>
                <w:b/>
                <w:bCs/>
                <w:sz w:val="16"/>
                <w:szCs w:val="16"/>
                <w:lang w:eastAsia="cs-CZ"/>
              </w:rPr>
            </w:pPr>
            <w:r w:rsidRPr="004C484E">
              <w:rPr>
                <w:rFonts w:eastAsia="Times New Roman" w:cs="Arial"/>
                <w:b/>
                <w:bCs/>
                <w:sz w:val="16"/>
                <w:szCs w:val="16"/>
                <w:lang w:eastAsia="cs-CZ"/>
              </w:rPr>
              <w:t>2,6</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Belgie</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50,3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51,5</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48,6</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4,0</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5,2</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2,2</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Španělsko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52,8</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51,8</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53,8</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3,5</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3,2</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3,8</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Slovinsko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57,1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61,9</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52,5</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7,6</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12,8</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2,6</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Chorvatsko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58,0</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55,6</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60,4</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-5,3</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-6,9</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-4,1</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Bulharsko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58,1</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58,7</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57,4</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2,5</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1,7</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3,7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Irsko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58,6</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64,4</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48,7</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-0,3</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-1,4</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1,6</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Portugalsko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62,3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63,1</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61,6</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6,3</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6,0</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6,7</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Itálie</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62,7</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61,6</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63,9</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6,4</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5,8</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6,8</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Slovensko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71,6</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75,0</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67,6</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0,8</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4,0</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-2,9</w:t>
            </w:r>
          </w:p>
        </w:tc>
      </w:tr>
      <w:tr w:rsidR="004C484E" w:rsidRPr="004C484E" w:rsidTr="004C484E">
        <w:trPr>
          <w:trHeight w:val="255"/>
          <w:jc w:val="center"/>
        </w:trPr>
        <w:tc>
          <w:tcPr>
            <w:tcW w:w="1800" w:type="dxa"/>
            <w:tcBorders>
              <w:top w:val="nil"/>
              <w:left w:val="nil"/>
              <w:bottom w:val="nil"/>
              <w:right w:val="nil"/>
            </w:tcBorders>
            <w:shd w:val="clear" w:color="auto" w:fill="auto"/>
            <w:noWrap/>
            <w:vAlign w:val="center"/>
            <w:hideMark/>
          </w:tcPr>
          <w:p w:rsidR="004C484E" w:rsidRPr="004C484E" w:rsidRDefault="004C484E" w:rsidP="004C484E">
            <w:pPr>
              <w:spacing w:line="240" w:lineRule="auto"/>
              <w:ind w:firstLineChars="100" w:firstLine="160"/>
              <w:jc w:val="left"/>
              <w:rPr>
                <w:rFonts w:eastAsia="Times New Roman" w:cs="Arial"/>
                <w:sz w:val="16"/>
                <w:szCs w:val="16"/>
                <w:lang w:eastAsia="cs-CZ"/>
              </w:rPr>
            </w:pPr>
            <w:r w:rsidRPr="004C484E">
              <w:rPr>
                <w:rFonts w:eastAsia="Times New Roman" w:cs="Arial"/>
                <w:sz w:val="16"/>
                <w:szCs w:val="16"/>
                <w:lang w:eastAsia="cs-CZ"/>
              </w:rPr>
              <w:t>Řecko</w:t>
            </w:r>
          </w:p>
        </w:tc>
        <w:tc>
          <w:tcPr>
            <w:tcW w:w="998"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74,3</w:t>
            </w:r>
          </w:p>
        </w:tc>
        <w:tc>
          <w:tcPr>
            <w:tcW w:w="941"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73,4</w:t>
            </w:r>
          </w:p>
        </w:tc>
        <w:tc>
          <w:tcPr>
            <w:tcW w:w="941"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75,2</w:t>
            </w:r>
          </w:p>
        </w:tc>
        <w:tc>
          <w:tcPr>
            <w:tcW w:w="965" w:type="dxa"/>
            <w:tcBorders>
              <w:top w:val="nil"/>
              <w:left w:val="single" w:sz="4" w:space="0" w:color="000000"/>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9,3</w:t>
            </w:r>
          </w:p>
        </w:tc>
        <w:tc>
          <w:tcPr>
            <w:tcW w:w="910" w:type="dxa"/>
            <w:tcBorders>
              <w:top w:val="nil"/>
              <w:left w:val="nil"/>
              <w:bottom w:val="nil"/>
              <w:right w:val="single" w:sz="4" w:space="0" w:color="000000"/>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9,6</w:t>
            </w:r>
          </w:p>
        </w:tc>
        <w:tc>
          <w:tcPr>
            <w:tcW w:w="1005" w:type="dxa"/>
            <w:tcBorders>
              <w:top w:val="nil"/>
              <w:left w:val="nil"/>
              <w:bottom w:val="nil"/>
              <w:right w:val="nil"/>
            </w:tcBorders>
            <w:shd w:val="clear" w:color="auto" w:fill="auto"/>
            <w:noWrap/>
            <w:vAlign w:val="bottom"/>
            <w:hideMark/>
          </w:tcPr>
          <w:p w:rsidR="004C484E" w:rsidRPr="004C484E" w:rsidRDefault="004C484E" w:rsidP="004C484E">
            <w:pPr>
              <w:spacing w:line="240" w:lineRule="auto"/>
              <w:ind w:firstLineChars="100" w:firstLine="160"/>
              <w:jc w:val="right"/>
              <w:rPr>
                <w:rFonts w:eastAsia="Times New Roman" w:cs="Arial"/>
                <w:sz w:val="16"/>
                <w:szCs w:val="16"/>
                <w:lang w:eastAsia="cs-CZ"/>
              </w:rPr>
            </w:pPr>
            <w:r w:rsidRPr="004C484E">
              <w:rPr>
                <w:rFonts w:eastAsia="Times New Roman" w:cs="Arial"/>
                <w:sz w:val="16"/>
                <w:szCs w:val="16"/>
                <w:lang w:eastAsia="cs-CZ"/>
              </w:rPr>
              <w:t>9,0</w:t>
            </w:r>
          </w:p>
        </w:tc>
      </w:tr>
    </w:tbl>
    <w:p w:rsidR="006C49F4" w:rsidRDefault="006C49F4" w:rsidP="006C49F4">
      <w:pPr>
        <w:jc w:val="left"/>
        <w:rPr>
          <w:rFonts w:eastAsia="Times New Roman" w:cs="Arial"/>
          <w:b/>
          <w:bCs/>
          <w:szCs w:val="20"/>
        </w:rPr>
      </w:pPr>
    </w:p>
    <w:p w:rsidR="006C49F4" w:rsidRDefault="006C49F4" w:rsidP="006C49F4">
      <w:r>
        <w:rPr>
          <w:rFonts w:eastAsia="Times New Roman" w:cs="Arial"/>
          <w:i/>
          <w:iCs/>
          <w:sz w:val="18"/>
          <w:szCs w:val="18"/>
        </w:rPr>
        <w:t>Zdroj: Eurostat</w:t>
      </w:r>
    </w:p>
    <w:p w:rsidR="006C49F4" w:rsidRDefault="006C49F4" w:rsidP="006C49F4">
      <w:pPr>
        <w:rPr>
          <w:b/>
        </w:rPr>
      </w:pPr>
      <w:r>
        <w:t>: - údaj není k dispozici</w:t>
      </w:r>
    </w:p>
    <w:p w:rsidR="006C49F4" w:rsidRDefault="006C49F4" w:rsidP="006C49F4">
      <w:pPr>
        <w:rPr>
          <w:b/>
        </w:rPr>
      </w:pPr>
    </w:p>
    <w:p w:rsidR="006C49F4" w:rsidRDefault="006C49F4" w:rsidP="006C49F4">
      <w:pPr>
        <w:rPr>
          <w:rFonts w:cs="Arial"/>
        </w:rPr>
      </w:pPr>
      <w:r>
        <w:rPr>
          <w:b/>
        </w:rPr>
        <w:t>Kontakt</w:t>
      </w:r>
    </w:p>
    <w:p w:rsidR="006C49F4" w:rsidRDefault="006C49F4" w:rsidP="006C49F4">
      <w:pPr>
        <w:rPr>
          <w:rFonts w:cs="Arial"/>
        </w:rPr>
      </w:pPr>
      <w:r>
        <w:rPr>
          <w:rFonts w:cs="Arial"/>
        </w:rPr>
        <w:t>Lukáš Savko</w:t>
      </w:r>
    </w:p>
    <w:p w:rsidR="006C49F4" w:rsidRDefault="006C49F4" w:rsidP="006C49F4">
      <w:r>
        <w:rPr>
          <w:rFonts w:cs="Arial"/>
        </w:rPr>
        <w:t>Oddělení pracovních sil, migrace a rovných příležitostí</w:t>
      </w:r>
    </w:p>
    <w:p w:rsidR="006C49F4" w:rsidRDefault="006C49F4" w:rsidP="006C49F4">
      <w:r>
        <w:t xml:space="preserve">Tel.: </w:t>
      </w:r>
      <w:r>
        <w:rPr>
          <w:rFonts w:cs="Arial"/>
        </w:rPr>
        <w:t>274 052 183</w:t>
      </w:r>
    </w:p>
    <w:p w:rsidR="006C49F4" w:rsidRDefault="006C49F4" w:rsidP="006C49F4">
      <w:r>
        <w:t xml:space="preserve">E-mail: </w:t>
      </w:r>
      <w:r>
        <w:rPr>
          <w:rFonts w:cs="Arial"/>
        </w:rPr>
        <w:t>lukas.savko</w:t>
      </w:r>
      <w:r>
        <w:rPr>
          <w:rFonts w:cs="Arial"/>
          <w:lang w:val="en-US"/>
        </w:rPr>
        <w:t>@czso.cz</w:t>
      </w:r>
    </w:p>
    <w:p w:rsidR="008F73B4" w:rsidRPr="006C49F4" w:rsidRDefault="008F73B4" w:rsidP="006C49F4"/>
    <w:sectPr w:rsidR="008F73B4" w:rsidRPr="006C49F4"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41E" w:rsidRDefault="00FD641E" w:rsidP="00BA6370">
      <w:r>
        <w:separator/>
      </w:r>
    </w:p>
  </w:endnote>
  <w:endnote w:type="continuationSeparator" w:id="0">
    <w:p w:rsidR="00FD641E" w:rsidRDefault="00FD641E"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44" w:rsidRDefault="00F20361">
    <w:pPr>
      <w:pStyle w:val="Zpat"/>
    </w:pPr>
    <w:r>
      <w:rPr>
        <w:noProof/>
        <w:lang w:eastAsia="cs-CZ"/>
      </w:rPr>
      <w:pict>
        <v:line id="Přímá spojnice 2" o:spid="_x0000_s2054" style="position:absolute;left:0;text-align:left;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eastAsia="cs-CZ"/>
      </w:rPr>
      <w:pict>
        <v:shapetype id="_x0000_t202" coordsize="21600,21600" o:spt="202" path="m,l,21600r21600,l21600,xe">
          <v:stroke joinstyle="miter"/>
          <v:path gradientshapeok="t" o:connecttype="rect"/>
        </v:shapetype>
        <v:shape id="Textové pole 2" o:spid="_x0000_s2053" type="#_x0000_t202" style="position:absolute;left:0;text-align:left;margin-left:99.2pt;margin-top:773.95pt;width:426.5pt;height:39pt;z-index:1;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" filled="f" stroked="f">
          <v:textbox style="mso-next-textbox:#Textové pole 2" inset="0,0,0,0">
            <w:txbxContent>
              <w:p w:rsidR="002F1644" w:rsidRPr="001404AB" w:rsidRDefault="002F1644" w:rsidP="005C734A">
                <w:pPr>
                  <w:spacing w:line="220" w:lineRule="atLeast"/>
                  <w:jc w:val="left"/>
                  <w:rPr>
                    <w:rFonts w:cs="Arial"/>
                    <w:b/>
                    <w:bCs/>
                    <w:sz w:val="15"/>
                    <w:szCs w:val="15"/>
                  </w:rPr>
                </w:pPr>
                <w:r w:rsidRPr="001404AB">
                  <w:rPr>
                    <w:rFonts w:cs="Arial"/>
                    <w:b/>
                    <w:bCs/>
                    <w:sz w:val="15"/>
                    <w:szCs w:val="15"/>
                  </w:rPr>
                  <w:t>Oddělení informačních služeb – ústředí</w:t>
                </w:r>
              </w:p>
              <w:p w:rsidR="002F1644" w:rsidRPr="00A81EB3" w:rsidRDefault="002F1644" w:rsidP="005C734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www.czso.cz</w:t>
                </w:r>
                <w:r w:rsidRPr="001404AB">
                  <w:rPr>
                    <w:rFonts w:cs="Arial"/>
                    <w:b/>
                    <w:bCs/>
                    <w:sz w:val="15"/>
                    <w:szCs w:val="15"/>
                  </w:rPr>
                  <w:t xml:space="preserve">  |  </w:t>
                </w:r>
                <w:r w:rsidRPr="001404AB">
                  <w:rPr>
                    <w:rFonts w:cs="Arial"/>
                    <w:sz w:val="15"/>
                    <w:szCs w:val="15"/>
                  </w:rPr>
                  <w:t>tel.: 274 052 304, 274 052 425, e-mail</w:t>
                </w:r>
                <w:hyperlink r:id="rId1"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00F20361" w:rsidRPr="004E479E">
                  <w:rPr>
                    <w:rFonts w:cs="Arial"/>
                    <w:szCs w:val="15"/>
                  </w:rPr>
                  <w:fldChar w:fldCharType="begin"/>
                </w:r>
                <w:r w:rsidRPr="004E479E">
                  <w:rPr>
                    <w:rFonts w:cs="Arial"/>
                    <w:szCs w:val="15"/>
                  </w:rPr>
                  <w:instrText xml:space="preserve"> PAGE   \* MERGEFORMAT </w:instrText>
                </w:r>
                <w:r w:rsidR="00F20361" w:rsidRPr="004E479E">
                  <w:rPr>
                    <w:rFonts w:cs="Arial"/>
                    <w:szCs w:val="15"/>
                  </w:rPr>
                  <w:fldChar w:fldCharType="separate"/>
                </w:r>
                <w:r w:rsidR="003B72ED">
                  <w:rPr>
                    <w:rFonts w:cs="Arial"/>
                    <w:noProof/>
                    <w:szCs w:val="15"/>
                  </w:rPr>
                  <w:t>1</w:t>
                </w:r>
                <w:r w:rsidR="00F20361" w:rsidRPr="004E479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41E" w:rsidRDefault="00FD641E" w:rsidP="00BA6370">
      <w:r>
        <w:separator/>
      </w:r>
    </w:p>
  </w:footnote>
  <w:footnote w:type="continuationSeparator" w:id="0">
    <w:p w:rsidR="00FD641E" w:rsidRDefault="00FD641E" w:rsidP="00BA6370">
      <w:r>
        <w:continuationSeparator/>
      </w:r>
    </w:p>
  </w:footnote>
  <w:footnote w:id="1">
    <w:p w:rsidR="004C484E" w:rsidRDefault="004C484E">
      <w:pPr>
        <w:pStyle w:val="Textpoznpodarou"/>
      </w:pPr>
      <w:r>
        <w:rPr>
          <w:rStyle w:val="Znakapoznpodarou"/>
        </w:rPr>
        <w:footnoteRef/>
      </w:r>
      <w:r>
        <w:t xml:space="preserve"> </w:t>
      </w:r>
      <w:r w:rsidRPr="004C484E">
        <w:t>Od 1. ledna 2014 byla zavedena nová klasifikace vzdělání ISCED 2011 (nahrazuje klasifikaci ISCED 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44" w:rsidRDefault="00F20361">
    <w:pPr>
      <w:pStyle w:val="Zhlav"/>
    </w:pPr>
    <w:r>
      <w:rPr>
        <w:noProof/>
        <w:lang w:eastAsia="cs-CZ"/>
      </w:rPr>
      <w:pict>
        <v:group id="_x0000_s2055" style="position:absolute;left:0;text-align:left;margin-left:28.35pt;margin-top:42.55pt;width:498.35pt;height:82.35pt;z-index:3;mso-position-horizontal-relative:page;mso-position-vertical-relative:page" coordorigin="571,846" coordsize="9967,1647">
          <v:rect id="_x0000_s2056" style="position:absolute;left:1219;top:896;width:676;height:154" fillcolor="#0071bc" stroked="f"/>
          <v:rect id="_x0000_s2057" style="position:absolute;left:571;top:1126;width:1324;height:154" fillcolor="#0071bc" stroked="f"/>
          <v:rect id="_x0000_s2058" style="position:absolute;left:1292;top:1356;width:603;height:153" fillcolor="#0071bc" stroked="f"/>
          <v:shape id="_x0000_s2059" style="position:absolute;left:1973;top:1306;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60" style="position:absolute;left:1966;top:1076;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61" style="position:absolute;left:1966;top:846;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62" style="position:absolute;left:1963;top:1925;width:8575;height:568" fillcolor="#0071bc" stroked="f"/>
          <v:shape id="_x0000_s2063" style="position:absolute;left:2178;top:2129;width:195;height:186" coordsize="391,374" path="m197,116l156,236r81,l197,116xm128,309r-24,65l,374,143,,251,,391,374r-104,l263,309r-135,xe" stroked="f">
            <v:path arrowok="t"/>
            <o:lock v:ext="edit" verticies="t"/>
          </v:shape>
          <v:shape id="_x0000_s2064" style="position:absolute;left:2394;top:2129;width:187;height:186" coordsize="373,374" path="m,l97,,276,229,276,r97,l373,374r-97,l97,146r,228l,374,,xe" stroked="f">
            <v:path arrowok="t"/>
          </v:shape>
          <v:shape id="_x0000_s2065" style="position:absolute;left:2603;top:2129;width:195;height:186" coordsize="390,374" path="m196,116l155,236r81,l196,116xm128,309r-26,65l,374,143,,249,,390,374r-103,l263,309r-135,xe" stroked="f">
            <v:path arrowok="t"/>
            <o:lock v:ext="edit" verticies="t"/>
          </v:shape>
          <v:shape id="_x0000_s2066" style="position:absolute;left:2820;top:2129;width:106;height:186" coordsize="213,374" path="m97,292r116,l213,374,,374,,,97,r,292xe" stroked="f">
            <v:path arrowok="t"/>
          </v:shape>
          <v:shape id="_x0000_s2067" style="position:absolute;left:2909;top:2068;width:187;height:247" coordsize="374,495" path="m188,102l154,69,234,r47,43l188,102xm,121r117,l187,223,255,121r119,l233,316r,179l136,495r,-179l,121xe" stroked="f">
            <v:path arrowok="t"/>
            <o:lock v:ext="edit" verticies="t"/>
          </v:shape>
          <v:shape id="_x0000_s2068" style="position:absolute;left:3099;top:2129;width:170;height:186" coordsize="340,374" path="m320,292r,82l,374,177,82,30,82,30,,340,,163,292r157,xe" stroked="f">
            <v:path arrowok="t"/>
          </v:shape>
          <v:shape id="_x0000_s2069" style="position:absolute;left:3278;top:2129;width:195;height:186" coordsize="392,374" path="m197,116l156,236r81,l197,116xm129,309r-27,65l,374,144,,251,,392,374r-105,l263,309r-134,xe" stroked="f">
            <v:path arrowok="t"/>
            <o:lock v:ext="edit" verticies="t"/>
          </v:shape>
          <v:shape id="_x0000_s2070" style="position:absolute;left:6643;top:1371;width:3880;height:179" coordsize="7760,358"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r,xm1197,171r24,l1221,150r-24,l1197,101r-23,l1174,150r-15,l1159,171r15,l1174,283r23,l1197,171xm1264,150r-22,l1242,283r22,l1264,150xm1253,82r-6,3l1242,87r-4,5l1237,99r1,3l1238,106r1,3l1242,111r2,1l1247,115r3,l1253,116r6,-1l1265,111r3,-5l1269,100r-1,-8l1265,87r-6,-2l1253,82r,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r,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r,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r,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r,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r,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r,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r,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r,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r,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r,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r,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lock v:ext="edit" verticies="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2073"/>
    <w:rsid w:val="00002417"/>
    <w:rsid w:val="0000744E"/>
    <w:rsid w:val="00013212"/>
    <w:rsid w:val="0001572F"/>
    <w:rsid w:val="0004482A"/>
    <w:rsid w:val="0005042A"/>
    <w:rsid w:val="000521B6"/>
    <w:rsid w:val="00063179"/>
    <w:rsid w:val="00064FBD"/>
    <w:rsid w:val="00076327"/>
    <w:rsid w:val="00091139"/>
    <w:rsid w:val="000917AA"/>
    <w:rsid w:val="0009799C"/>
    <w:rsid w:val="000B1699"/>
    <w:rsid w:val="000E54E3"/>
    <w:rsid w:val="000E736E"/>
    <w:rsid w:val="000F726C"/>
    <w:rsid w:val="001123EF"/>
    <w:rsid w:val="001172C5"/>
    <w:rsid w:val="00117A68"/>
    <w:rsid w:val="00125FC3"/>
    <w:rsid w:val="00132376"/>
    <w:rsid w:val="001416A6"/>
    <w:rsid w:val="001528A8"/>
    <w:rsid w:val="0015316B"/>
    <w:rsid w:val="0017231D"/>
    <w:rsid w:val="00174F35"/>
    <w:rsid w:val="00180AB9"/>
    <w:rsid w:val="001810DC"/>
    <w:rsid w:val="001835FB"/>
    <w:rsid w:val="0018547A"/>
    <w:rsid w:val="00187ED2"/>
    <w:rsid w:val="00192DC0"/>
    <w:rsid w:val="001965EC"/>
    <w:rsid w:val="001A1589"/>
    <w:rsid w:val="001B607F"/>
    <w:rsid w:val="001B79FC"/>
    <w:rsid w:val="001C1249"/>
    <w:rsid w:val="001D70AD"/>
    <w:rsid w:val="001D770C"/>
    <w:rsid w:val="001E1EEB"/>
    <w:rsid w:val="001E3DCB"/>
    <w:rsid w:val="001E453B"/>
    <w:rsid w:val="002036A8"/>
    <w:rsid w:val="002070FB"/>
    <w:rsid w:val="0021022B"/>
    <w:rsid w:val="00210589"/>
    <w:rsid w:val="00225483"/>
    <w:rsid w:val="0022636B"/>
    <w:rsid w:val="00232FC2"/>
    <w:rsid w:val="00233E9A"/>
    <w:rsid w:val="002406FA"/>
    <w:rsid w:val="00261CC4"/>
    <w:rsid w:val="002639BA"/>
    <w:rsid w:val="00272702"/>
    <w:rsid w:val="002746BA"/>
    <w:rsid w:val="00274EF5"/>
    <w:rsid w:val="00282A25"/>
    <w:rsid w:val="00290290"/>
    <w:rsid w:val="00295FE5"/>
    <w:rsid w:val="002A11A1"/>
    <w:rsid w:val="002B10EC"/>
    <w:rsid w:val="002B2E47"/>
    <w:rsid w:val="002B69ED"/>
    <w:rsid w:val="002C5BC2"/>
    <w:rsid w:val="002E2381"/>
    <w:rsid w:val="002E5B39"/>
    <w:rsid w:val="002F0D22"/>
    <w:rsid w:val="002F1644"/>
    <w:rsid w:val="002F413C"/>
    <w:rsid w:val="002F50E1"/>
    <w:rsid w:val="00303535"/>
    <w:rsid w:val="00304728"/>
    <w:rsid w:val="00307C33"/>
    <w:rsid w:val="003120A3"/>
    <w:rsid w:val="003156B5"/>
    <w:rsid w:val="00316FF5"/>
    <w:rsid w:val="0033547E"/>
    <w:rsid w:val="00335A22"/>
    <w:rsid w:val="003463B8"/>
    <w:rsid w:val="003768CE"/>
    <w:rsid w:val="0038282A"/>
    <w:rsid w:val="0038473F"/>
    <w:rsid w:val="00393363"/>
    <w:rsid w:val="00393847"/>
    <w:rsid w:val="00397580"/>
    <w:rsid w:val="003B72ED"/>
    <w:rsid w:val="003C67B2"/>
    <w:rsid w:val="003D0499"/>
    <w:rsid w:val="003D5A98"/>
    <w:rsid w:val="003E0953"/>
    <w:rsid w:val="003E43AB"/>
    <w:rsid w:val="003E7666"/>
    <w:rsid w:val="003F247A"/>
    <w:rsid w:val="003F526A"/>
    <w:rsid w:val="003F758F"/>
    <w:rsid w:val="00405244"/>
    <w:rsid w:val="00405DFB"/>
    <w:rsid w:val="00422EBE"/>
    <w:rsid w:val="00427C16"/>
    <w:rsid w:val="004314A9"/>
    <w:rsid w:val="00435973"/>
    <w:rsid w:val="004369C7"/>
    <w:rsid w:val="00443548"/>
    <w:rsid w:val="00454545"/>
    <w:rsid w:val="0045547F"/>
    <w:rsid w:val="00465D63"/>
    <w:rsid w:val="00483566"/>
    <w:rsid w:val="004837A4"/>
    <w:rsid w:val="00484959"/>
    <w:rsid w:val="00493A49"/>
    <w:rsid w:val="004966AC"/>
    <w:rsid w:val="004A127B"/>
    <w:rsid w:val="004A3A92"/>
    <w:rsid w:val="004B06FC"/>
    <w:rsid w:val="004C484E"/>
    <w:rsid w:val="004C634B"/>
    <w:rsid w:val="004D5FFB"/>
    <w:rsid w:val="004D656F"/>
    <w:rsid w:val="004E41E3"/>
    <w:rsid w:val="004E479E"/>
    <w:rsid w:val="004F59AC"/>
    <w:rsid w:val="004F78E6"/>
    <w:rsid w:val="00501A1F"/>
    <w:rsid w:val="005107D5"/>
    <w:rsid w:val="00512D99"/>
    <w:rsid w:val="005179CB"/>
    <w:rsid w:val="00523ABF"/>
    <w:rsid w:val="00527724"/>
    <w:rsid w:val="00534B46"/>
    <w:rsid w:val="00546C25"/>
    <w:rsid w:val="00546CA0"/>
    <w:rsid w:val="00547BCD"/>
    <w:rsid w:val="00553960"/>
    <w:rsid w:val="005552EA"/>
    <w:rsid w:val="005641DA"/>
    <w:rsid w:val="00564476"/>
    <w:rsid w:val="0057666D"/>
    <w:rsid w:val="005846FE"/>
    <w:rsid w:val="00587155"/>
    <w:rsid w:val="0058773B"/>
    <w:rsid w:val="005B0729"/>
    <w:rsid w:val="005B21C1"/>
    <w:rsid w:val="005C071F"/>
    <w:rsid w:val="005C363E"/>
    <w:rsid w:val="005C445E"/>
    <w:rsid w:val="005C734A"/>
    <w:rsid w:val="005E6747"/>
    <w:rsid w:val="005F0E29"/>
    <w:rsid w:val="005F79FB"/>
    <w:rsid w:val="006043EB"/>
    <w:rsid w:val="00625F8B"/>
    <w:rsid w:val="00627AAB"/>
    <w:rsid w:val="0063589C"/>
    <w:rsid w:val="00637E67"/>
    <w:rsid w:val="006533BD"/>
    <w:rsid w:val="00657620"/>
    <w:rsid w:val="006602F9"/>
    <w:rsid w:val="00664658"/>
    <w:rsid w:val="00674991"/>
    <w:rsid w:val="00681080"/>
    <w:rsid w:val="006B18B9"/>
    <w:rsid w:val="006B50BC"/>
    <w:rsid w:val="006C1771"/>
    <w:rsid w:val="006C49F4"/>
    <w:rsid w:val="006C4D80"/>
    <w:rsid w:val="006D2459"/>
    <w:rsid w:val="006D7F3F"/>
    <w:rsid w:val="006E0007"/>
    <w:rsid w:val="006E024F"/>
    <w:rsid w:val="006E3FBE"/>
    <w:rsid w:val="006E4E81"/>
    <w:rsid w:val="00700551"/>
    <w:rsid w:val="00702D54"/>
    <w:rsid w:val="00704A72"/>
    <w:rsid w:val="00705F43"/>
    <w:rsid w:val="00706132"/>
    <w:rsid w:val="00707F7D"/>
    <w:rsid w:val="00713969"/>
    <w:rsid w:val="00717EC5"/>
    <w:rsid w:val="0075396A"/>
    <w:rsid w:val="0076380E"/>
    <w:rsid w:val="00763AA8"/>
    <w:rsid w:val="00767DF3"/>
    <w:rsid w:val="00790CFC"/>
    <w:rsid w:val="007C451F"/>
    <w:rsid w:val="007C7F6F"/>
    <w:rsid w:val="007D0327"/>
    <w:rsid w:val="007D0C51"/>
    <w:rsid w:val="007D77C6"/>
    <w:rsid w:val="007D7A62"/>
    <w:rsid w:val="007E08ED"/>
    <w:rsid w:val="007F0EF8"/>
    <w:rsid w:val="007F6804"/>
    <w:rsid w:val="008066B3"/>
    <w:rsid w:val="008100CE"/>
    <w:rsid w:val="0081283C"/>
    <w:rsid w:val="00812E5E"/>
    <w:rsid w:val="008210F6"/>
    <w:rsid w:val="00822E27"/>
    <w:rsid w:val="00826170"/>
    <w:rsid w:val="00843DD5"/>
    <w:rsid w:val="00847A7C"/>
    <w:rsid w:val="0085224A"/>
    <w:rsid w:val="00854B30"/>
    <w:rsid w:val="00855438"/>
    <w:rsid w:val="008602EF"/>
    <w:rsid w:val="00861D0E"/>
    <w:rsid w:val="00870B9F"/>
    <w:rsid w:val="00871B04"/>
    <w:rsid w:val="00871F1D"/>
    <w:rsid w:val="008752CD"/>
    <w:rsid w:val="008940E6"/>
    <w:rsid w:val="00896A8B"/>
    <w:rsid w:val="008A7FA9"/>
    <w:rsid w:val="008C2026"/>
    <w:rsid w:val="008C31CD"/>
    <w:rsid w:val="008C384C"/>
    <w:rsid w:val="008C5FBF"/>
    <w:rsid w:val="008D4A8F"/>
    <w:rsid w:val="008F6143"/>
    <w:rsid w:val="008F73B4"/>
    <w:rsid w:val="00904A54"/>
    <w:rsid w:val="009068E3"/>
    <w:rsid w:val="00921F8C"/>
    <w:rsid w:val="00924006"/>
    <w:rsid w:val="009301FE"/>
    <w:rsid w:val="00930869"/>
    <w:rsid w:val="009330BE"/>
    <w:rsid w:val="00940628"/>
    <w:rsid w:val="009423B5"/>
    <w:rsid w:val="009440FA"/>
    <w:rsid w:val="00954026"/>
    <w:rsid w:val="009676DD"/>
    <w:rsid w:val="00981F64"/>
    <w:rsid w:val="009A0536"/>
    <w:rsid w:val="009B2363"/>
    <w:rsid w:val="009B55B1"/>
    <w:rsid w:val="009C2A2D"/>
    <w:rsid w:val="009D11DB"/>
    <w:rsid w:val="009D2F07"/>
    <w:rsid w:val="009D53FB"/>
    <w:rsid w:val="009E147F"/>
    <w:rsid w:val="009F0E27"/>
    <w:rsid w:val="009F1958"/>
    <w:rsid w:val="009F421B"/>
    <w:rsid w:val="009F48F3"/>
    <w:rsid w:val="009F6477"/>
    <w:rsid w:val="009F799A"/>
    <w:rsid w:val="00A04964"/>
    <w:rsid w:val="00A42073"/>
    <w:rsid w:val="00A4343D"/>
    <w:rsid w:val="00A473A6"/>
    <w:rsid w:val="00A55BE4"/>
    <w:rsid w:val="00A604C3"/>
    <w:rsid w:val="00A62B48"/>
    <w:rsid w:val="00A64010"/>
    <w:rsid w:val="00A66F4A"/>
    <w:rsid w:val="00A81EB3"/>
    <w:rsid w:val="00A83D4B"/>
    <w:rsid w:val="00A97530"/>
    <w:rsid w:val="00AB0281"/>
    <w:rsid w:val="00AC18BD"/>
    <w:rsid w:val="00AC4D38"/>
    <w:rsid w:val="00AD344F"/>
    <w:rsid w:val="00AF18E7"/>
    <w:rsid w:val="00B00C1D"/>
    <w:rsid w:val="00B04ED5"/>
    <w:rsid w:val="00B15E8A"/>
    <w:rsid w:val="00B15FB9"/>
    <w:rsid w:val="00B21E2E"/>
    <w:rsid w:val="00B37AAD"/>
    <w:rsid w:val="00B37BD2"/>
    <w:rsid w:val="00B445F8"/>
    <w:rsid w:val="00B57CF9"/>
    <w:rsid w:val="00B73FE6"/>
    <w:rsid w:val="00B75587"/>
    <w:rsid w:val="00B80050"/>
    <w:rsid w:val="00B804E6"/>
    <w:rsid w:val="00B87E8A"/>
    <w:rsid w:val="00B91B9F"/>
    <w:rsid w:val="00B97043"/>
    <w:rsid w:val="00BA49E2"/>
    <w:rsid w:val="00BA6370"/>
    <w:rsid w:val="00BC5812"/>
    <w:rsid w:val="00BC6C63"/>
    <w:rsid w:val="00BC712C"/>
    <w:rsid w:val="00BD65C7"/>
    <w:rsid w:val="00C024C5"/>
    <w:rsid w:val="00C26567"/>
    <w:rsid w:val="00C3414C"/>
    <w:rsid w:val="00C4160D"/>
    <w:rsid w:val="00C466A1"/>
    <w:rsid w:val="00C520EF"/>
    <w:rsid w:val="00C56334"/>
    <w:rsid w:val="00C6507B"/>
    <w:rsid w:val="00C67D47"/>
    <w:rsid w:val="00C8406E"/>
    <w:rsid w:val="00C916CE"/>
    <w:rsid w:val="00CB1E01"/>
    <w:rsid w:val="00CB2709"/>
    <w:rsid w:val="00CB6F89"/>
    <w:rsid w:val="00CC0046"/>
    <w:rsid w:val="00CC1C57"/>
    <w:rsid w:val="00CC2A6E"/>
    <w:rsid w:val="00CD59C6"/>
    <w:rsid w:val="00CE740C"/>
    <w:rsid w:val="00CF545B"/>
    <w:rsid w:val="00D057F7"/>
    <w:rsid w:val="00D14316"/>
    <w:rsid w:val="00D2322E"/>
    <w:rsid w:val="00D31417"/>
    <w:rsid w:val="00D3232B"/>
    <w:rsid w:val="00D33FD7"/>
    <w:rsid w:val="00D41DCA"/>
    <w:rsid w:val="00D51215"/>
    <w:rsid w:val="00D523E4"/>
    <w:rsid w:val="00D74BC1"/>
    <w:rsid w:val="00DB46EE"/>
    <w:rsid w:val="00DB5A7A"/>
    <w:rsid w:val="00DC78CD"/>
    <w:rsid w:val="00DF28D3"/>
    <w:rsid w:val="00DF47FE"/>
    <w:rsid w:val="00DF5C8B"/>
    <w:rsid w:val="00DF73A1"/>
    <w:rsid w:val="00E05ADE"/>
    <w:rsid w:val="00E076F2"/>
    <w:rsid w:val="00E106ED"/>
    <w:rsid w:val="00E1085F"/>
    <w:rsid w:val="00E13D88"/>
    <w:rsid w:val="00E321EC"/>
    <w:rsid w:val="00E332B3"/>
    <w:rsid w:val="00E3794B"/>
    <w:rsid w:val="00E41F21"/>
    <w:rsid w:val="00E52D09"/>
    <w:rsid w:val="00E54770"/>
    <w:rsid w:val="00E565D3"/>
    <w:rsid w:val="00E73AF7"/>
    <w:rsid w:val="00E80F06"/>
    <w:rsid w:val="00E92176"/>
    <w:rsid w:val="00EA5E1A"/>
    <w:rsid w:val="00EB50BC"/>
    <w:rsid w:val="00ED070A"/>
    <w:rsid w:val="00ED7A6A"/>
    <w:rsid w:val="00ED7CFA"/>
    <w:rsid w:val="00EE596B"/>
    <w:rsid w:val="00EE5A4D"/>
    <w:rsid w:val="00EF22FF"/>
    <w:rsid w:val="00EF67EC"/>
    <w:rsid w:val="00F004FC"/>
    <w:rsid w:val="00F034C1"/>
    <w:rsid w:val="00F05785"/>
    <w:rsid w:val="00F11B08"/>
    <w:rsid w:val="00F14747"/>
    <w:rsid w:val="00F15C86"/>
    <w:rsid w:val="00F20361"/>
    <w:rsid w:val="00F36477"/>
    <w:rsid w:val="00F44D4E"/>
    <w:rsid w:val="00F460A6"/>
    <w:rsid w:val="00F51006"/>
    <w:rsid w:val="00F5114D"/>
    <w:rsid w:val="00F531ED"/>
    <w:rsid w:val="00F5477A"/>
    <w:rsid w:val="00F77AAC"/>
    <w:rsid w:val="00F80714"/>
    <w:rsid w:val="00F86919"/>
    <w:rsid w:val="00F95D3F"/>
    <w:rsid w:val="00FA083C"/>
    <w:rsid w:val="00FA6142"/>
    <w:rsid w:val="00FB687C"/>
    <w:rsid w:val="00FD1F2F"/>
    <w:rsid w:val="00FD605D"/>
    <w:rsid w:val="00FD641E"/>
    <w:rsid w:val="00FF07B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0FB"/>
    <w:pPr>
      <w:spacing w:line="276" w:lineRule="auto"/>
      <w:jc w:val="both"/>
    </w:pPr>
    <w:rPr>
      <w:rFonts w:ascii="Arial" w:hAnsi="Arial"/>
      <w:szCs w:val="22"/>
      <w:lang w:eastAsia="en-US"/>
    </w:rPr>
  </w:style>
  <w:style w:type="paragraph" w:styleId="Nadpis1">
    <w:name w:val="heading 1"/>
    <w:next w:val="Normln"/>
    <w:link w:val="Nadpis1Char"/>
    <w:uiPriority w:val="9"/>
    <w:qFormat/>
    <w:rsid w:val="00A4343D"/>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717EC5"/>
    <w:pPr>
      <w:spacing w:line="300" w:lineRule="exact"/>
    </w:pPr>
    <w:rPr>
      <w:rFonts w:ascii="Arial" w:hAnsi="Arial" w:cs="Arial"/>
      <w:b/>
      <w:sz w:val="18"/>
      <w:szCs w:val="22"/>
      <w:lang w:eastAsia="en-US"/>
    </w:rPr>
  </w:style>
  <w:style w:type="character" w:customStyle="1" w:styleId="Nadpis1Char">
    <w:name w:val="Nadpis 1 Char"/>
    <w:link w:val="Nadpis1"/>
    <w:uiPriority w:val="9"/>
    <w:rsid w:val="00A4343D"/>
    <w:rPr>
      <w:rFonts w:ascii="Arial" w:eastAsia="Times New Roman" w:hAnsi="Arial"/>
      <w:b/>
      <w:bCs/>
      <w:caps/>
      <w:color w:val="9F1220"/>
      <w:sz w:val="32"/>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text"/>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text">
    <w:name w:val="Poznámky text"/>
    <w:basedOn w:val="Poznmky"/>
    <w:qFormat/>
    <w:rsid w:val="008F73B4"/>
    <w:pPr>
      <w:pBdr>
        <w:top w:val="none" w:sz="0" w:space="0" w:color="auto"/>
      </w:pBdr>
      <w:spacing w:before="0"/>
    </w:pPr>
    <w:rPr>
      <w:lang w:val="en-US"/>
    </w:rPr>
  </w:style>
  <w:style w:type="character" w:customStyle="1" w:styleId="Nadpis3Char">
    <w:name w:val="Nadpis 3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styleId="Zkladntext2">
    <w:name w:val="Body Text 2"/>
    <w:basedOn w:val="Normln"/>
    <w:link w:val="Zkladntext2Char"/>
    <w:semiHidden/>
    <w:rsid w:val="000E736E"/>
    <w:pPr>
      <w:spacing w:line="240" w:lineRule="auto"/>
      <w:jc w:val="center"/>
    </w:pPr>
    <w:rPr>
      <w:rFonts w:ascii="Times New Roman" w:eastAsia="Times New Roman" w:hAnsi="Times New Roman"/>
      <w:sz w:val="28"/>
      <w:szCs w:val="24"/>
      <w:lang w:eastAsia="cs-CZ"/>
    </w:rPr>
  </w:style>
  <w:style w:type="character" w:customStyle="1" w:styleId="Zkladntext2Char">
    <w:name w:val="Základní text 2 Char"/>
    <w:basedOn w:val="Standardnpsmoodstavce"/>
    <w:link w:val="Zkladntext2"/>
    <w:semiHidden/>
    <w:rsid w:val="000E736E"/>
    <w:rPr>
      <w:rFonts w:ascii="Times New Roman" w:eastAsia="Times New Roman" w:hAnsi="Times New Roman"/>
      <w:sz w:val="28"/>
      <w:szCs w:val="24"/>
    </w:rPr>
  </w:style>
  <w:style w:type="paragraph" w:styleId="Normlnweb">
    <w:name w:val="Normal (Web)"/>
    <w:basedOn w:val="Normln"/>
    <w:uiPriority w:val="99"/>
    <w:semiHidden/>
    <w:unhideWhenUsed/>
    <w:rsid w:val="00981F64"/>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semiHidden/>
    <w:unhideWhenUsed/>
    <w:rsid w:val="00F36477"/>
    <w:rPr>
      <w:szCs w:val="20"/>
    </w:rPr>
  </w:style>
  <w:style w:type="character" w:customStyle="1" w:styleId="TextpoznpodarouChar">
    <w:name w:val="Text pozn. pod čarou Char"/>
    <w:basedOn w:val="Standardnpsmoodstavce"/>
    <w:link w:val="Textpoznpodarou"/>
    <w:uiPriority w:val="99"/>
    <w:semiHidden/>
    <w:rsid w:val="00F36477"/>
    <w:rPr>
      <w:rFonts w:ascii="Arial" w:hAnsi="Arial"/>
      <w:lang w:eastAsia="en-US"/>
    </w:rPr>
  </w:style>
  <w:style w:type="character" w:styleId="Znakapoznpodarou">
    <w:name w:val="footnote reference"/>
    <w:basedOn w:val="Standardnpsmoodstavce"/>
    <w:uiPriority w:val="99"/>
    <w:semiHidden/>
    <w:unhideWhenUsed/>
    <w:rsid w:val="00F36477"/>
    <w:rPr>
      <w:vertAlign w:val="superscript"/>
    </w:rPr>
  </w:style>
</w:styles>
</file>

<file path=word/webSettings.xml><?xml version="1.0" encoding="utf-8"?>
<w:webSettings xmlns:r="http://schemas.openxmlformats.org/officeDocument/2006/relationships" xmlns:w="http://schemas.openxmlformats.org/wordprocessingml/2006/main">
  <w:divs>
    <w:div w:id="132541">
      <w:bodyDiv w:val="1"/>
      <w:marLeft w:val="0"/>
      <w:marRight w:val="0"/>
      <w:marTop w:val="0"/>
      <w:marBottom w:val="0"/>
      <w:divBdr>
        <w:top w:val="none" w:sz="0" w:space="0" w:color="auto"/>
        <w:left w:val="none" w:sz="0" w:space="0" w:color="auto"/>
        <w:bottom w:val="none" w:sz="0" w:space="0" w:color="auto"/>
        <w:right w:val="none" w:sz="0" w:space="0" w:color="auto"/>
      </w:divBdr>
    </w:div>
    <w:div w:id="50421483">
      <w:bodyDiv w:val="1"/>
      <w:marLeft w:val="0"/>
      <w:marRight w:val="0"/>
      <w:marTop w:val="0"/>
      <w:marBottom w:val="0"/>
      <w:divBdr>
        <w:top w:val="none" w:sz="0" w:space="0" w:color="auto"/>
        <w:left w:val="none" w:sz="0" w:space="0" w:color="auto"/>
        <w:bottom w:val="none" w:sz="0" w:space="0" w:color="auto"/>
        <w:right w:val="none" w:sz="0" w:space="0" w:color="auto"/>
      </w:divBdr>
    </w:div>
    <w:div w:id="114108112">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306474899">
      <w:bodyDiv w:val="1"/>
      <w:marLeft w:val="0"/>
      <w:marRight w:val="0"/>
      <w:marTop w:val="0"/>
      <w:marBottom w:val="0"/>
      <w:divBdr>
        <w:top w:val="none" w:sz="0" w:space="0" w:color="auto"/>
        <w:left w:val="none" w:sz="0" w:space="0" w:color="auto"/>
        <w:bottom w:val="none" w:sz="0" w:space="0" w:color="auto"/>
        <w:right w:val="none" w:sz="0" w:space="0" w:color="auto"/>
      </w:divBdr>
    </w:div>
    <w:div w:id="320080293">
      <w:bodyDiv w:val="1"/>
      <w:marLeft w:val="0"/>
      <w:marRight w:val="0"/>
      <w:marTop w:val="0"/>
      <w:marBottom w:val="0"/>
      <w:divBdr>
        <w:top w:val="none" w:sz="0" w:space="0" w:color="auto"/>
        <w:left w:val="none" w:sz="0" w:space="0" w:color="auto"/>
        <w:bottom w:val="none" w:sz="0" w:space="0" w:color="auto"/>
        <w:right w:val="none" w:sz="0" w:space="0" w:color="auto"/>
      </w:divBdr>
    </w:div>
    <w:div w:id="368802665">
      <w:bodyDiv w:val="1"/>
      <w:marLeft w:val="0"/>
      <w:marRight w:val="0"/>
      <w:marTop w:val="0"/>
      <w:marBottom w:val="0"/>
      <w:divBdr>
        <w:top w:val="none" w:sz="0" w:space="0" w:color="auto"/>
        <w:left w:val="none" w:sz="0" w:space="0" w:color="auto"/>
        <w:bottom w:val="none" w:sz="0" w:space="0" w:color="auto"/>
        <w:right w:val="none" w:sz="0" w:space="0" w:color="auto"/>
      </w:divBdr>
    </w:div>
    <w:div w:id="456029258">
      <w:bodyDiv w:val="1"/>
      <w:marLeft w:val="0"/>
      <w:marRight w:val="0"/>
      <w:marTop w:val="0"/>
      <w:marBottom w:val="0"/>
      <w:divBdr>
        <w:top w:val="none" w:sz="0" w:space="0" w:color="auto"/>
        <w:left w:val="none" w:sz="0" w:space="0" w:color="auto"/>
        <w:bottom w:val="none" w:sz="0" w:space="0" w:color="auto"/>
        <w:right w:val="none" w:sz="0" w:space="0" w:color="auto"/>
      </w:divBdr>
    </w:div>
    <w:div w:id="497892429">
      <w:bodyDiv w:val="1"/>
      <w:marLeft w:val="0"/>
      <w:marRight w:val="0"/>
      <w:marTop w:val="0"/>
      <w:marBottom w:val="0"/>
      <w:divBdr>
        <w:top w:val="none" w:sz="0" w:space="0" w:color="auto"/>
        <w:left w:val="none" w:sz="0" w:space="0" w:color="auto"/>
        <w:bottom w:val="none" w:sz="0" w:space="0" w:color="auto"/>
        <w:right w:val="none" w:sz="0" w:space="0" w:color="auto"/>
      </w:divBdr>
    </w:div>
    <w:div w:id="498539954">
      <w:bodyDiv w:val="1"/>
      <w:marLeft w:val="0"/>
      <w:marRight w:val="0"/>
      <w:marTop w:val="0"/>
      <w:marBottom w:val="0"/>
      <w:divBdr>
        <w:top w:val="none" w:sz="0" w:space="0" w:color="auto"/>
        <w:left w:val="none" w:sz="0" w:space="0" w:color="auto"/>
        <w:bottom w:val="none" w:sz="0" w:space="0" w:color="auto"/>
        <w:right w:val="none" w:sz="0" w:space="0" w:color="auto"/>
      </w:divBdr>
    </w:div>
    <w:div w:id="521169498">
      <w:bodyDiv w:val="1"/>
      <w:marLeft w:val="0"/>
      <w:marRight w:val="0"/>
      <w:marTop w:val="0"/>
      <w:marBottom w:val="0"/>
      <w:divBdr>
        <w:top w:val="none" w:sz="0" w:space="0" w:color="auto"/>
        <w:left w:val="none" w:sz="0" w:space="0" w:color="auto"/>
        <w:bottom w:val="none" w:sz="0" w:space="0" w:color="auto"/>
        <w:right w:val="none" w:sz="0" w:space="0" w:color="auto"/>
      </w:divBdr>
    </w:div>
    <w:div w:id="551112450">
      <w:bodyDiv w:val="1"/>
      <w:marLeft w:val="0"/>
      <w:marRight w:val="0"/>
      <w:marTop w:val="0"/>
      <w:marBottom w:val="0"/>
      <w:divBdr>
        <w:top w:val="none" w:sz="0" w:space="0" w:color="auto"/>
        <w:left w:val="none" w:sz="0" w:space="0" w:color="auto"/>
        <w:bottom w:val="none" w:sz="0" w:space="0" w:color="auto"/>
        <w:right w:val="none" w:sz="0" w:space="0" w:color="auto"/>
      </w:divBdr>
    </w:div>
    <w:div w:id="568155904">
      <w:bodyDiv w:val="1"/>
      <w:marLeft w:val="0"/>
      <w:marRight w:val="0"/>
      <w:marTop w:val="0"/>
      <w:marBottom w:val="0"/>
      <w:divBdr>
        <w:top w:val="none" w:sz="0" w:space="0" w:color="auto"/>
        <w:left w:val="none" w:sz="0" w:space="0" w:color="auto"/>
        <w:bottom w:val="none" w:sz="0" w:space="0" w:color="auto"/>
        <w:right w:val="none" w:sz="0" w:space="0" w:color="auto"/>
      </w:divBdr>
    </w:div>
    <w:div w:id="575821775">
      <w:bodyDiv w:val="1"/>
      <w:marLeft w:val="0"/>
      <w:marRight w:val="0"/>
      <w:marTop w:val="0"/>
      <w:marBottom w:val="0"/>
      <w:divBdr>
        <w:top w:val="none" w:sz="0" w:space="0" w:color="auto"/>
        <w:left w:val="none" w:sz="0" w:space="0" w:color="auto"/>
        <w:bottom w:val="none" w:sz="0" w:space="0" w:color="auto"/>
        <w:right w:val="none" w:sz="0" w:space="0" w:color="auto"/>
      </w:divBdr>
    </w:div>
    <w:div w:id="577983362">
      <w:bodyDiv w:val="1"/>
      <w:marLeft w:val="0"/>
      <w:marRight w:val="0"/>
      <w:marTop w:val="0"/>
      <w:marBottom w:val="0"/>
      <w:divBdr>
        <w:top w:val="none" w:sz="0" w:space="0" w:color="auto"/>
        <w:left w:val="none" w:sz="0" w:space="0" w:color="auto"/>
        <w:bottom w:val="none" w:sz="0" w:space="0" w:color="auto"/>
        <w:right w:val="none" w:sz="0" w:space="0" w:color="auto"/>
      </w:divBdr>
    </w:div>
    <w:div w:id="592862060">
      <w:bodyDiv w:val="1"/>
      <w:marLeft w:val="0"/>
      <w:marRight w:val="0"/>
      <w:marTop w:val="0"/>
      <w:marBottom w:val="0"/>
      <w:divBdr>
        <w:top w:val="none" w:sz="0" w:space="0" w:color="auto"/>
        <w:left w:val="none" w:sz="0" w:space="0" w:color="auto"/>
        <w:bottom w:val="none" w:sz="0" w:space="0" w:color="auto"/>
        <w:right w:val="none" w:sz="0" w:space="0" w:color="auto"/>
      </w:divBdr>
    </w:div>
    <w:div w:id="600185587">
      <w:bodyDiv w:val="1"/>
      <w:marLeft w:val="0"/>
      <w:marRight w:val="0"/>
      <w:marTop w:val="0"/>
      <w:marBottom w:val="0"/>
      <w:divBdr>
        <w:top w:val="none" w:sz="0" w:space="0" w:color="auto"/>
        <w:left w:val="none" w:sz="0" w:space="0" w:color="auto"/>
        <w:bottom w:val="none" w:sz="0" w:space="0" w:color="auto"/>
        <w:right w:val="none" w:sz="0" w:space="0" w:color="auto"/>
      </w:divBdr>
    </w:div>
    <w:div w:id="618609344">
      <w:bodyDiv w:val="1"/>
      <w:marLeft w:val="0"/>
      <w:marRight w:val="0"/>
      <w:marTop w:val="0"/>
      <w:marBottom w:val="0"/>
      <w:divBdr>
        <w:top w:val="none" w:sz="0" w:space="0" w:color="auto"/>
        <w:left w:val="none" w:sz="0" w:space="0" w:color="auto"/>
        <w:bottom w:val="none" w:sz="0" w:space="0" w:color="auto"/>
        <w:right w:val="none" w:sz="0" w:space="0" w:color="auto"/>
      </w:divBdr>
    </w:div>
    <w:div w:id="682784448">
      <w:bodyDiv w:val="1"/>
      <w:marLeft w:val="0"/>
      <w:marRight w:val="0"/>
      <w:marTop w:val="0"/>
      <w:marBottom w:val="0"/>
      <w:divBdr>
        <w:top w:val="none" w:sz="0" w:space="0" w:color="auto"/>
        <w:left w:val="none" w:sz="0" w:space="0" w:color="auto"/>
        <w:bottom w:val="none" w:sz="0" w:space="0" w:color="auto"/>
        <w:right w:val="none" w:sz="0" w:space="0" w:color="auto"/>
      </w:divBdr>
    </w:div>
    <w:div w:id="783621291">
      <w:bodyDiv w:val="1"/>
      <w:marLeft w:val="0"/>
      <w:marRight w:val="0"/>
      <w:marTop w:val="0"/>
      <w:marBottom w:val="0"/>
      <w:divBdr>
        <w:top w:val="none" w:sz="0" w:space="0" w:color="auto"/>
        <w:left w:val="none" w:sz="0" w:space="0" w:color="auto"/>
        <w:bottom w:val="none" w:sz="0" w:space="0" w:color="auto"/>
        <w:right w:val="none" w:sz="0" w:space="0" w:color="auto"/>
      </w:divBdr>
    </w:div>
    <w:div w:id="814225009">
      <w:bodyDiv w:val="1"/>
      <w:marLeft w:val="0"/>
      <w:marRight w:val="0"/>
      <w:marTop w:val="0"/>
      <w:marBottom w:val="0"/>
      <w:divBdr>
        <w:top w:val="none" w:sz="0" w:space="0" w:color="auto"/>
        <w:left w:val="none" w:sz="0" w:space="0" w:color="auto"/>
        <w:bottom w:val="none" w:sz="0" w:space="0" w:color="auto"/>
        <w:right w:val="none" w:sz="0" w:space="0" w:color="auto"/>
      </w:divBdr>
    </w:div>
    <w:div w:id="918443217">
      <w:bodyDiv w:val="1"/>
      <w:marLeft w:val="0"/>
      <w:marRight w:val="0"/>
      <w:marTop w:val="0"/>
      <w:marBottom w:val="0"/>
      <w:divBdr>
        <w:top w:val="none" w:sz="0" w:space="0" w:color="auto"/>
        <w:left w:val="none" w:sz="0" w:space="0" w:color="auto"/>
        <w:bottom w:val="none" w:sz="0" w:space="0" w:color="auto"/>
        <w:right w:val="none" w:sz="0" w:space="0" w:color="auto"/>
      </w:divBdr>
    </w:div>
    <w:div w:id="942691483">
      <w:bodyDiv w:val="1"/>
      <w:marLeft w:val="0"/>
      <w:marRight w:val="0"/>
      <w:marTop w:val="0"/>
      <w:marBottom w:val="0"/>
      <w:divBdr>
        <w:top w:val="none" w:sz="0" w:space="0" w:color="auto"/>
        <w:left w:val="none" w:sz="0" w:space="0" w:color="auto"/>
        <w:bottom w:val="none" w:sz="0" w:space="0" w:color="auto"/>
        <w:right w:val="none" w:sz="0" w:space="0" w:color="auto"/>
      </w:divBdr>
    </w:div>
    <w:div w:id="966273664">
      <w:bodyDiv w:val="1"/>
      <w:marLeft w:val="0"/>
      <w:marRight w:val="0"/>
      <w:marTop w:val="0"/>
      <w:marBottom w:val="0"/>
      <w:divBdr>
        <w:top w:val="none" w:sz="0" w:space="0" w:color="auto"/>
        <w:left w:val="none" w:sz="0" w:space="0" w:color="auto"/>
        <w:bottom w:val="none" w:sz="0" w:space="0" w:color="auto"/>
        <w:right w:val="none" w:sz="0" w:space="0" w:color="auto"/>
      </w:divBdr>
    </w:div>
    <w:div w:id="968710014">
      <w:bodyDiv w:val="1"/>
      <w:marLeft w:val="0"/>
      <w:marRight w:val="0"/>
      <w:marTop w:val="0"/>
      <w:marBottom w:val="0"/>
      <w:divBdr>
        <w:top w:val="none" w:sz="0" w:space="0" w:color="auto"/>
        <w:left w:val="none" w:sz="0" w:space="0" w:color="auto"/>
        <w:bottom w:val="none" w:sz="0" w:space="0" w:color="auto"/>
        <w:right w:val="none" w:sz="0" w:space="0" w:color="auto"/>
      </w:divBdr>
    </w:div>
    <w:div w:id="975376502">
      <w:bodyDiv w:val="1"/>
      <w:marLeft w:val="0"/>
      <w:marRight w:val="0"/>
      <w:marTop w:val="0"/>
      <w:marBottom w:val="0"/>
      <w:divBdr>
        <w:top w:val="none" w:sz="0" w:space="0" w:color="auto"/>
        <w:left w:val="none" w:sz="0" w:space="0" w:color="auto"/>
        <w:bottom w:val="none" w:sz="0" w:space="0" w:color="auto"/>
        <w:right w:val="none" w:sz="0" w:space="0" w:color="auto"/>
      </w:divBdr>
    </w:div>
    <w:div w:id="1003513327">
      <w:bodyDiv w:val="1"/>
      <w:marLeft w:val="0"/>
      <w:marRight w:val="0"/>
      <w:marTop w:val="0"/>
      <w:marBottom w:val="0"/>
      <w:divBdr>
        <w:top w:val="none" w:sz="0" w:space="0" w:color="auto"/>
        <w:left w:val="none" w:sz="0" w:space="0" w:color="auto"/>
        <w:bottom w:val="none" w:sz="0" w:space="0" w:color="auto"/>
        <w:right w:val="none" w:sz="0" w:space="0" w:color="auto"/>
      </w:divBdr>
    </w:div>
    <w:div w:id="1018888217">
      <w:bodyDiv w:val="1"/>
      <w:marLeft w:val="0"/>
      <w:marRight w:val="0"/>
      <w:marTop w:val="0"/>
      <w:marBottom w:val="0"/>
      <w:divBdr>
        <w:top w:val="none" w:sz="0" w:space="0" w:color="auto"/>
        <w:left w:val="none" w:sz="0" w:space="0" w:color="auto"/>
        <w:bottom w:val="none" w:sz="0" w:space="0" w:color="auto"/>
        <w:right w:val="none" w:sz="0" w:space="0" w:color="auto"/>
      </w:divBdr>
    </w:div>
    <w:div w:id="1100446543">
      <w:bodyDiv w:val="1"/>
      <w:marLeft w:val="0"/>
      <w:marRight w:val="0"/>
      <w:marTop w:val="0"/>
      <w:marBottom w:val="0"/>
      <w:divBdr>
        <w:top w:val="none" w:sz="0" w:space="0" w:color="auto"/>
        <w:left w:val="none" w:sz="0" w:space="0" w:color="auto"/>
        <w:bottom w:val="none" w:sz="0" w:space="0" w:color="auto"/>
        <w:right w:val="none" w:sz="0" w:space="0" w:color="auto"/>
      </w:divBdr>
    </w:div>
    <w:div w:id="1170636767">
      <w:bodyDiv w:val="1"/>
      <w:marLeft w:val="0"/>
      <w:marRight w:val="0"/>
      <w:marTop w:val="0"/>
      <w:marBottom w:val="0"/>
      <w:divBdr>
        <w:top w:val="none" w:sz="0" w:space="0" w:color="auto"/>
        <w:left w:val="none" w:sz="0" w:space="0" w:color="auto"/>
        <w:bottom w:val="none" w:sz="0" w:space="0" w:color="auto"/>
        <w:right w:val="none" w:sz="0" w:space="0" w:color="auto"/>
      </w:divBdr>
    </w:div>
    <w:div w:id="1171480602">
      <w:bodyDiv w:val="1"/>
      <w:marLeft w:val="0"/>
      <w:marRight w:val="0"/>
      <w:marTop w:val="0"/>
      <w:marBottom w:val="0"/>
      <w:divBdr>
        <w:top w:val="none" w:sz="0" w:space="0" w:color="auto"/>
        <w:left w:val="none" w:sz="0" w:space="0" w:color="auto"/>
        <w:bottom w:val="none" w:sz="0" w:space="0" w:color="auto"/>
        <w:right w:val="none" w:sz="0" w:space="0" w:color="auto"/>
      </w:divBdr>
    </w:div>
    <w:div w:id="1185948636">
      <w:bodyDiv w:val="1"/>
      <w:marLeft w:val="0"/>
      <w:marRight w:val="0"/>
      <w:marTop w:val="0"/>
      <w:marBottom w:val="0"/>
      <w:divBdr>
        <w:top w:val="none" w:sz="0" w:space="0" w:color="auto"/>
        <w:left w:val="none" w:sz="0" w:space="0" w:color="auto"/>
        <w:bottom w:val="none" w:sz="0" w:space="0" w:color="auto"/>
        <w:right w:val="none" w:sz="0" w:space="0" w:color="auto"/>
      </w:divBdr>
    </w:div>
    <w:div w:id="1206479900">
      <w:bodyDiv w:val="1"/>
      <w:marLeft w:val="0"/>
      <w:marRight w:val="0"/>
      <w:marTop w:val="0"/>
      <w:marBottom w:val="0"/>
      <w:divBdr>
        <w:top w:val="none" w:sz="0" w:space="0" w:color="auto"/>
        <w:left w:val="none" w:sz="0" w:space="0" w:color="auto"/>
        <w:bottom w:val="none" w:sz="0" w:space="0" w:color="auto"/>
        <w:right w:val="none" w:sz="0" w:space="0" w:color="auto"/>
      </w:divBdr>
    </w:div>
    <w:div w:id="1210415466">
      <w:bodyDiv w:val="1"/>
      <w:marLeft w:val="0"/>
      <w:marRight w:val="0"/>
      <w:marTop w:val="0"/>
      <w:marBottom w:val="0"/>
      <w:divBdr>
        <w:top w:val="none" w:sz="0" w:space="0" w:color="auto"/>
        <w:left w:val="none" w:sz="0" w:space="0" w:color="auto"/>
        <w:bottom w:val="none" w:sz="0" w:space="0" w:color="auto"/>
        <w:right w:val="none" w:sz="0" w:space="0" w:color="auto"/>
      </w:divBdr>
    </w:div>
    <w:div w:id="1238512375">
      <w:bodyDiv w:val="1"/>
      <w:marLeft w:val="0"/>
      <w:marRight w:val="0"/>
      <w:marTop w:val="0"/>
      <w:marBottom w:val="0"/>
      <w:divBdr>
        <w:top w:val="none" w:sz="0" w:space="0" w:color="auto"/>
        <w:left w:val="none" w:sz="0" w:space="0" w:color="auto"/>
        <w:bottom w:val="none" w:sz="0" w:space="0" w:color="auto"/>
        <w:right w:val="none" w:sz="0" w:space="0" w:color="auto"/>
      </w:divBdr>
    </w:div>
    <w:div w:id="1364598035">
      <w:bodyDiv w:val="1"/>
      <w:marLeft w:val="0"/>
      <w:marRight w:val="0"/>
      <w:marTop w:val="0"/>
      <w:marBottom w:val="0"/>
      <w:divBdr>
        <w:top w:val="none" w:sz="0" w:space="0" w:color="auto"/>
        <w:left w:val="none" w:sz="0" w:space="0" w:color="auto"/>
        <w:bottom w:val="none" w:sz="0" w:space="0" w:color="auto"/>
        <w:right w:val="none" w:sz="0" w:space="0" w:color="auto"/>
      </w:divBdr>
    </w:div>
    <w:div w:id="1366102427">
      <w:bodyDiv w:val="1"/>
      <w:marLeft w:val="0"/>
      <w:marRight w:val="0"/>
      <w:marTop w:val="0"/>
      <w:marBottom w:val="0"/>
      <w:divBdr>
        <w:top w:val="none" w:sz="0" w:space="0" w:color="auto"/>
        <w:left w:val="none" w:sz="0" w:space="0" w:color="auto"/>
        <w:bottom w:val="none" w:sz="0" w:space="0" w:color="auto"/>
        <w:right w:val="none" w:sz="0" w:space="0" w:color="auto"/>
      </w:divBdr>
    </w:div>
    <w:div w:id="1382708286">
      <w:bodyDiv w:val="1"/>
      <w:marLeft w:val="0"/>
      <w:marRight w:val="0"/>
      <w:marTop w:val="0"/>
      <w:marBottom w:val="0"/>
      <w:divBdr>
        <w:top w:val="none" w:sz="0" w:space="0" w:color="auto"/>
        <w:left w:val="none" w:sz="0" w:space="0" w:color="auto"/>
        <w:bottom w:val="none" w:sz="0" w:space="0" w:color="auto"/>
        <w:right w:val="none" w:sz="0" w:space="0" w:color="auto"/>
      </w:divBdr>
    </w:div>
    <w:div w:id="1383750096">
      <w:bodyDiv w:val="1"/>
      <w:marLeft w:val="0"/>
      <w:marRight w:val="0"/>
      <w:marTop w:val="0"/>
      <w:marBottom w:val="0"/>
      <w:divBdr>
        <w:top w:val="none" w:sz="0" w:space="0" w:color="auto"/>
        <w:left w:val="none" w:sz="0" w:space="0" w:color="auto"/>
        <w:bottom w:val="none" w:sz="0" w:space="0" w:color="auto"/>
        <w:right w:val="none" w:sz="0" w:space="0" w:color="auto"/>
      </w:divBdr>
    </w:div>
    <w:div w:id="1396125173">
      <w:bodyDiv w:val="1"/>
      <w:marLeft w:val="0"/>
      <w:marRight w:val="0"/>
      <w:marTop w:val="0"/>
      <w:marBottom w:val="0"/>
      <w:divBdr>
        <w:top w:val="none" w:sz="0" w:space="0" w:color="auto"/>
        <w:left w:val="none" w:sz="0" w:space="0" w:color="auto"/>
        <w:bottom w:val="none" w:sz="0" w:space="0" w:color="auto"/>
        <w:right w:val="none" w:sz="0" w:space="0" w:color="auto"/>
      </w:divBdr>
    </w:div>
    <w:div w:id="1475366071">
      <w:bodyDiv w:val="1"/>
      <w:marLeft w:val="0"/>
      <w:marRight w:val="0"/>
      <w:marTop w:val="0"/>
      <w:marBottom w:val="0"/>
      <w:divBdr>
        <w:top w:val="none" w:sz="0" w:space="0" w:color="auto"/>
        <w:left w:val="none" w:sz="0" w:space="0" w:color="auto"/>
        <w:bottom w:val="none" w:sz="0" w:space="0" w:color="auto"/>
        <w:right w:val="none" w:sz="0" w:space="0" w:color="auto"/>
      </w:divBdr>
    </w:div>
    <w:div w:id="1484547056">
      <w:bodyDiv w:val="1"/>
      <w:marLeft w:val="0"/>
      <w:marRight w:val="0"/>
      <w:marTop w:val="0"/>
      <w:marBottom w:val="0"/>
      <w:divBdr>
        <w:top w:val="none" w:sz="0" w:space="0" w:color="auto"/>
        <w:left w:val="none" w:sz="0" w:space="0" w:color="auto"/>
        <w:bottom w:val="none" w:sz="0" w:space="0" w:color="auto"/>
        <w:right w:val="none" w:sz="0" w:space="0" w:color="auto"/>
      </w:divBdr>
    </w:div>
    <w:div w:id="148605042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0388465">
      <w:bodyDiv w:val="1"/>
      <w:marLeft w:val="0"/>
      <w:marRight w:val="0"/>
      <w:marTop w:val="0"/>
      <w:marBottom w:val="0"/>
      <w:divBdr>
        <w:top w:val="none" w:sz="0" w:space="0" w:color="auto"/>
        <w:left w:val="none" w:sz="0" w:space="0" w:color="auto"/>
        <w:bottom w:val="none" w:sz="0" w:space="0" w:color="auto"/>
        <w:right w:val="none" w:sz="0" w:space="0" w:color="auto"/>
      </w:divBdr>
    </w:div>
    <w:div w:id="1597321805">
      <w:bodyDiv w:val="1"/>
      <w:marLeft w:val="0"/>
      <w:marRight w:val="0"/>
      <w:marTop w:val="0"/>
      <w:marBottom w:val="0"/>
      <w:divBdr>
        <w:top w:val="none" w:sz="0" w:space="0" w:color="auto"/>
        <w:left w:val="none" w:sz="0" w:space="0" w:color="auto"/>
        <w:bottom w:val="none" w:sz="0" w:space="0" w:color="auto"/>
        <w:right w:val="none" w:sz="0" w:space="0" w:color="auto"/>
      </w:divBdr>
    </w:div>
    <w:div w:id="1602105752">
      <w:bodyDiv w:val="1"/>
      <w:marLeft w:val="0"/>
      <w:marRight w:val="0"/>
      <w:marTop w:val="0"/>
      <w:marBottom w:val="0"/>
      <w:divBdr>
        <w:top w:val="none" w:sz="0" w:space="0" w:color="auto"/>
        <w:left w:val="none" w:sz="0" w:space="0" w:color="auto"/>
        <w:bottom w:val="none" w:sz="0" w:space="0" w:color="auto"/>
        <w:right w:val="none" w:sz="0" w:space="0" w:color="auto"/>
      </w:divBdr>
    </w:div>
    <w:div w:id="1664580265">
      <w:bodyDiv w:val="1"/>
      <w:marLeft w:val="0"/>
      <w:marRight w:val="0"/>
      <w:marTop w:val="0"/>
      <w:marBottom w:val="0"/>
      <w:divBdr>
        <w:top w:val="none" w:sz="0" w:space="0" w:color="auto"/>
        <w:left w:val="none" w:sz="0" w:space="0" w:color="auto"/>
        <w:bottom w:val="none" w:sz="0" w:space="0" w:color="auto"/>
        <w:right w:val="none" w:sz="0" w:space="0" w:color="auto"/>
      </w:divBdr>
    </w:div>
    <w:div w:id="1664819258">
      <w:bodyDiv w:val="1"/>
      <w:marLeft w:val="0"/>
      <w:marRight w:val="0"/>
      <w:marTop w:val="0"/>
      <w:marBottom w:val="0"/>
      <w:divBdr>
        <w:top w:val="none" w:sz="0" w:space="0" w:color="auto"/>
        <w:left w:val="none" w:sz="0" w:space="0" w:color="auto"/>
        <w:bottom w:val="none" w:sz="0" w:space="0" w:color="auto"/>
        <w:right w:val="none" w:sz="0" w:space="0" w:color="auto"/>
      </w:divBdr>
    </w:div>
    <w:div w:id="1668709632">
      <w:bodyDiv w:val="1"/>
      <w:marLeft w:val="0"/>
      <w:marRight w:val="0"/>
      <w:marTop w:val="0"/>
      <w:marBottom w:val="0"/>
      <w:divBdr>
        <w:top w:val="none" w:sz="0" w:space="0" w:color="auto"/>
        <w:left w:val="none" w:sz="0" w:space="0" w:color="auto"/>
        <w:bottom w:val="none" w:sz="0" w:space="0" w:color="auto"/>
        <w:right w:val="none" w:sz="0" w:space="0" w:color="auto"/>
      </w:divBdr>
    </w:div>
    <w:div w:id="1689260468">
      <w:bodyDiv w:val="1"/>
      <w:marLeft w:val="0"/>
      <w:marRight w:val="0"/>
      <w:marTop w:val="0"/>
      <w:marBottom w:val="0"/>
      <w:divBdr>
        <w:top w:val="none" w:sz="0" w:space="0" w:color="auto"/>
        <w:left w:val="none" w:sz="0" w:space="0" w:color="auto"/>
        <w:bottom w:val="none" w:sz="0" w:space="0" w:color="auto"/>
        <w:right w:val="none" w:sz="0" w:space="0" w:color="auto"/>
      </w:divBdr>
    </w:div>
    <w:div w:id="1787506636">
      <w:bodyDiv w:val="1"/>
      <w:marLeft w:val="0"/>
      <w:marRight w:val="0"/>
      <w:marTop w:val="0"/>
      <w:marBottom w:val="0"/>
      <w:divBdr>
        <w:top w:val="none" w:sz="0" w:space="0" w:color="auto"/>
        <w:left w:val="none" w:sz="0" w:space="0" w:color="auto"/>
        <w:bottom w:val="none" w:sz="0" w:space="0" w:color="auto"/>
        <w:right w:val="none" w:sz="0" w:space="0" w:color="auto"/>
      </w:divBdr>
    </w:div>
    <w:div w:id="1813668597">
      <w:bodyDiv w:val="1"/>
      <w:marLeft w:val="0"/>
      <w:marRight w:val="0"/>
      <w:marTop w:val="0"/>
      <w:marBottom w:val="0"/>
      <w:divBdr>
        <w:top w:val="none" w:sz="0" w:space="0" w:color="auto"/>
        <w:left w:val="none" w:sz="0" w:space="0" w:color="auto"/>
        <w:bottom w:val="none" w:sz="0" w:space="0" w:color="auto"/>
        <w:right w:val="none" w:sz="0" w:space="0" w:color="auto"/>
      </w:divBdr>
    </w:div>
    <w:div w:id="1857883704">
      <w:bodyDiv w:val="1"/>
      <w:marLeft w:val="0"/>
      <w:marRight w:val="0"/>
      <w:marTop w:val="0"/>
      <w:marBottom w:val="0"/>
      <w:divBdr>
        <w:top w:val="none" w:sz="0" w:space="0" w:color="auto"/>
        <w:left w:val="none" w:sz="0" w:space="0" w:color="auto"/>
        <w:bottom w:val="none" w:sz="0" w:space="0" w:color="auto"/>
        <w:right w:val="none" w:sz="0" w:space="0" w:color="auto"/>
      </w:divBdr>
    </w:div>
    <w:div w:id="1878663619">
      <w:bodyDiv w:val="1"/>
      <w:marLeft w:val="0"/>
      <w:marRight w:val="0"/>
      <w:marTop w:val="0"/>
      <w:marBottom w:val="0"/>
      <w:divBdr>
        <w:top w:val="none" w:sz="0" w:space="0" w:color="auto"/>
        <w:left w:val="none" w:sz="0" w:space="0" w:color="auto"/>
        <w:bottom w:val="none" w:sz="0" w:space="0" w:color="auto"/>
        <w:right w:val="none" w:sz="0" w:space="0" w:color="auto"/>
      </w:divBdr>
    </w:div>
    <w:div w:id="1909882223">
      <w:bodyDiv w:val="1"/>
      <w:marLeft w:val="0"/>
      <w:marRight w:val="0"/>
      <w:marTop w:val="0"/>
      <w:marBottom w:val="0"/>
      <w:divBdr>
        <w:top w:val="none" w:sz="0" w:space="0" w:color="auto"/>
        <w:left w:val="none" w:sz="0" w:space="0" w:color="auto"/>
        <w:bottom w:val="none" w:sz="0" w:space="0" w:color="auto"/>
        <w:right w:val="none" w:sz="0" w:space="0" w:color="auto"/>
      </w:divBdr>
    </w:div>
    <w:div w:id="1917856120">
      <w:bodyDiv w:val="1"/>
      <w:marLeft w:val="0"/>
      <w:marRight w:val="0"/>
      <w:marTop w:val="0"/>
      <w:marBottom w:val="0"/>
      <w:divBdr>
        <w:top w:val="none" w:sz="0" w:space="0" w:color="auto"/>
        <w:left w:val="none" w:sz="0" w:space="0" w:color="auto"/>
        <w:bottom w:val="none" w:sz="0" w:space="0" w:color="auto"/>
        <w:right w:val="none" w:sz="0" w:space="0" w:color="auto"/>
      </w:divBdr>
    </w:div>
    <w:div w:id="1934970499">
      <w:bodyDiv w:val="1"/>
      <w:marLeft w:val="0"/>
      <w:marRight w:val="0"/>
      <w:marTop w:val="0"/>
      <w:marBottom w:val="0"/>
      <w:divBdr>
        <w:top w:val="none" w:sz="0" w:space="0" w:color="auto"/>
        <w:left w:val="none" w:sz="0" w:space="0" w:color="auto"/>
        <w:bottom w:val="none" w:sz="0" w:space="0" w:color="auto"/>
        <w:right w:val="none" w:sz="0" w:space="0" w:color="auto"/>
      </w:divBdr>
    </w:div>
    <w:div w:id="1985548069">
      <w:bodyDiv w:val="1"/>
      <w:marLeft w:val="0"/>
      <w:marRight w:val="0"/>
      <w:marTop w:val="0"/>
      <w:marBottom w:val="0"/>
      <w:divBdr>
        <w:top w:val="none" w:sz="0" w:space="0" w:color="auto"/>
        <w:left w:val="none" w:sz="0" w:space="0" w:color="auto"/>
        <w:bottom w:val="none" w:sz="0" w:space="0" w:color="auto"/>
        <w:right w:val="none" w:sz="0" w:space="0" w:color="auto"/>
      </w:divBdr>
    </w:div>
    <w:div w:id="2039546816">
      <w:bodyDiv w:val="1"/>
      <w:marLeft w:val="0"/>
      <w:marRight w:val="0"/>
      <w:marTop w:val="0"/>
      <w:marBottom w:val="0"/>
      <w:divBdr>
        <w:top w:val="none" w:sz="0" w:space="0" w:color="auto"/>
        <w:left w:val="none" w:sz="0" w:space="0" w:color="auto"/>
        <w:bottom w:val="none" w:sz="0" w:space="0" w:color="auto"/>
        <w:right w:val="none" w:sz="0" w:space="0" w:color="auto"/>
      </w:divBdr>
    </w:div>
    <w:div w:id="2098402097">
      <w:bodyDiv w:val="1"/>
      <w:marLeft w:val="0"/>
      <w:marRight w:val="0"/>
      <w:marTop w:val="0"/>
      <w:marBottom w:val="0"/>
      <w:divBdr>
        <w:top w:val="none" w:sz="0" w:space="0" w:color="auto"/>
        <w:left w:val="none" w:sz="0" w:space="0" w:color="auto"/>
        <w:bottom w:val="none" w:sz="0" w:space="0" w:color="auto"/>
        <w:right w:val="none" w:sz="0" w:space="0" w:color="auto"/>
      </w:divBdr>
    </w:div>
    <w:div w:id="21174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VKO7~1\LOCALS~1\Temp\Anal&#253;za%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D2E5C-D226-4920-A334-78ECD290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CZ.dot</Template>
  <TotalTime>75</TotalTime>
  <Pages>6</Pages>
  <Words>1602</Words>
  <Characters>9453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11033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savko7307</dc:creator>
  <cp:lastModifiedBy>kogan4041</cp:lastModifiedBy>
  <cp:revision>9</cp:revision>
  <cp:lastPrinted>2014-01-24T11:13:00Z</cp:lastPrinted>
  <dcterms:created xsi:type="dcterms:W3CDTF">2014-07-29T06:28:00Z</dcterms:created>
  <dcterms:modified xsi:type="dcterms:W3CDTF">2014-10-29T06:48:00Z</dcterms:modified>
</cp:coreProperties>
</file>