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C4" w:rsidRDefault="00210571" w:rsidP="00725928">
      <w:pPr>
        <w:tabs>
          <w:tab w:val="left" w:pos="709"/>
        </w:tabs>
        <w:spacing w:after="360"/>
        <w:jc w:val="both"/>
        <w:rPr>
          <w:rFonts w:ascii="Arial" w:hAnsi="Arial" w:cs="Arial"/>
          <w:b/>
          <w:bCs/>
          <w:i/>
          <w:iCs/>
          <w:sz w:val="32"/>
          <w:lang w:val="en-US"/>
        </w:rPr>
      </w:pPr>
      <w:r>
        <w:rPr>
          <w:rFonts w:ascii="Arial" w:hAnsi="Arial" w:cs="Arial"/>
          <w:b/>
          <w:bCs/>
          <w:i/>
          <w:iCs/>
          <w:sz w:val="32"/>
          <w:lang w:val="en-US"/>
        </w:rPr>
        <w:tab/>
      </w:r>
      <w:bookmarkStart w:id="0" w:name="_GoBack"/>
      <w:bookmarkEnd w:id="0"/>
      <w:r w:rsidR="003175C4">
        <w:rPr>
          <w:rFonts w:ascii="Arial" w:hAnsi="Arial" w:cs="Arial"/>
          <w:b/>
          <w:bCs/>
          <w:i/>
          <w:iCs/>
          <w:sz w:val="32"/>
          <w:lang w:val="en-US"/>
        </w:rPr>
        <w:t>Introduction</w:t>
      </w:r>
    </w:p>
    <w:p w:rsidR="003175C4" w:rsidRDefault="003175C4" w:rsidP="003175C4">
      <w:pPr>
        <w:pStyle w:val="Nadpis2"/>
        <w:spacing w:after="60"/>
        <w:rPr>
          <w:lang w:val="en-US"/>
        </w:rPr>
      </w:pPr>
      <w:r>
        <w:rPr>
          <w:lang w:val="en-US"/>
        </w:rPr>
        <w:t>The publication contains the results of processing of annual s</w:t>
      </w:r>
      <w:r w:rsidR="00D367D7">
        <w:rPr>
          <w:lang w:val="en-US"/>
        </w:rPr>
        <w:t>tatistical questionnaires Pen 5-01</w:t>
      </w:r>
      <w:r>
        <w:rPr>
          <w:lang w:val="en-US"/>
        </w:rPr>
        <w:t xml:space="preserve"> and P 5-01. The statistical publication contains the results for the reference years </w:t>
      </w:r>
      <w:r w:rsidR="00D367D7">
        <w:rPr>
          <w:lang w:val="en-US"/>
        </w:rPr>
        <w:t>2014</w:t>
      </w:r>
      <w:r>
        <w:rPr>
          <w:lang w:val="en-US"/>
        </w:rPr>
        <w:t xml:space="preserve"> - </w:t>
      </w:r>
      <w:r w:rsidR="00D367D7">
        <w:rPr>
          <w:lang w:val="en-US"/>
        </w:rPr>
        <w:t>2016</w:t>
      </w:r>
      <w:r>
        <w:rPr>
          <w:lang w:val="en-US"/>
        </w:rPr>
        <w:t>.</w:t>
      </w:r>
      <w:r w:rsidR="00007C70">
        <w:rPr>
          <w:lang w:val="en-US"/>
        </w:rPr>
        <w:br/>
      </w:r>
      <w:r>
        <w:rPr>
          <w:lang w:val="en-US"/>
        </w:rPr>
        <w:t xml:space="preserve"> It contains the data on employees and wages, tangible and intangible fixed assets, selected revenues and expenses, selected items of assets and liabilities and complementary indicators. Besides </w:t>
      </w:r>
      <w:r w:rsidR="00007C70">
        <w:rPr>
          <w:lang w:val="en-US"/>
        </w:rPr>
        <w:br/>
      </w:r>
      <w:r>
        <w:rPr>
          <w:lang w:val="en-US"/>
        </w:rPr>
        <w:t>the comprehensive data on banks and non-banking monetary institutions in the Czech Republic there are also mentioned the indicators for investment companies (including their shares funds), investment funds and financial leasing companies.</w:t>
      </w:r>
    </w:p>
    <w:p w:rsidR="003175C4" w:rsidRDefault="003175C4" w:rsidP="003175C4">
      <w:pPr>
        <w:pStyle w:val="Zkladntextodsazen3"/>
      </w:pPr>
      <w:r>
        <w:t xml:space="preserve">All the businesses that obtained the permission of the Czech National Bank to operate </w:t>
      </w:r>
      <w:r w:rsidR="00191C4F">
        <w:br/>
      </w:r>
      <w:r>
        <w:t xml:space="preserve">as a bank in accordance with the valid Act on Banks are obliged to </w:t>
      </w:r>
      <w:r w:rsidR="00D367D7">
        <w:t>fill in the questionnaire Pen 5</w:t>
      </w:r>
      <w:r>
        <w:t xml:space="preserve">-01. Regardless of their number of employees, the businesses are: CNB, commercial, mortgage banks and building societies. The monetary intermediation services (CZ-NACE 64.1) is the principal activity </w:t>
      </w:r>
      <w:r w:rsidR="00007C70">
        <w:br/>
      </w:r>
      <w:r>
        <w:t>of these subject and they keep books in accordance with the chart of accounts for banks and other financial institutions (Reg. 501/2002 Coll. of 6 November 2002 as amended). All data in the tables includes the data on Czech National Bank.</w:t>
      </w:r>
    </w:p>
    <w:p w:rsidR="003175C4" w:rsidRDefault="003175C4" w:rsidP="003175C4">
      <w:pPr>
        <w:pStyle w:val="Zkladntextodsazen3"/>
      </w:pPr>
      <w:r>
        <w:t xml:space="preserve">Regardless the company size given by the number of employees, all the businesses incorporated in the business register with other financial intermediation and activities auxiliary </w:t>
      </w:r>
      <w:r w:rsidR="00007C70">
        <w:br/>
      </w:r>
      <w:r>
        <w:t xml:space="preserve">to financial intermediation (CZ-NACE 64.2, 64.3, </w:t>
      </w:r>
      <w:smartTag w:uri="urn:schemas-microsoft-com:office:smarttags" w:element="metricconverter">
        <w:smartTagPr>
          <w:attr w:name="ProductID" w:val="64.9 a"/>
        </w:smartTagPr>
        <w:r>
          <w:t>64.9 a</w:t>
        </w:r>
      </w:smartTag>
      <w:r>
        <w:t xml:space="preserve"> 66) are </w:t>
      </w:r>
      <w:r w:rsidR="00D367D7">
        <w:t xml:space="preserve">also </w:t>
      </w:r>
      <w:r>
        <w:t xml:space="preserve">obliged to </w:t>
      </w:r>
      <w:r w:rsidR="00D367D7">
        <w:t>fill in the questionnaire Pen 5</w:t>
      </w:r>
      <w:r>
        <w:t xml:space="preserve">-01. The investment companies can submit comprehensive statement, i.e. data on own economic activity consolidated with data on activity of their shares funds. These subjects keep books according to the chart of accounts for banks and other financial institutions (Reg. 501/2002 </w:t>
      </w:r>
      <w:r w:rsidR="00007C70">
        <w:br/>
      </w:r>
      <w:proofErr w:type="spellStart"/>
      <w:r>
        <w:t>Coll</w:t>
      </w:r>
      <w:proofErr w:type="spellEnd"/>
      <w:r>
        <w:t xml:space="preserve"> of 6 November 2002 as amended).</w:t>
      </w:r>
    </w:p>
    <w:p w:rsidR="003175C4" w:rsidRDefault="003175C4" w:rsidP="003175C4">
      <w:pPr>
        <w:pStyle w:val="Zkladntextodsazen3"/>
        <w:rPr>
          <w:i w:val="0"/>
          <w:iCs w:val="0"/>
        </w:rPr>
      </w:pPr>
      <w:r>
        <w:t>Regardless the company size given by the number of employees, all the businesses incorporated in the business register with other financial intermediation and activities auxiliary</w:t>
      </w:r>
      <w:r w:rsidR="00007C70">
        <w:br/>
      </w:r>
      <w:r>
        <w:t xml:space="preserve"> to financial intermediation (CZ-NACE 64.2, 64.3, </w:t>
      </w:r>
      <w:smartTag w:uri="urn:schemas-microsoft-com:office:smarttags" w:element="metricconverter">
        <w:smartTagPr>
          <w:attr w:name="ProductID" w:val="64.9 a"/>
        </w:smartTagPr>
        <w:r>
          <w:t>64.9 a</w:t>
        </w:r>
      </w:smartTag>
      <w:r>
        <w:t xml:space="preserve"> 66) are obliged to fill in the questionnaire </w:t>
      </w:r>
      <w:r w:rsidR="00007C70">
        <w:br/>
      </w:r>
      <w:r>
        <w:t xml:space="preserve">P 5-01. They keep books in accordance with the chart of accounts and accounting procedures </w:t>
      </w:r>
      <w:r w:rsidR="00007C70">
        <w:br/>
      </w:r>
      <w:r>
        <w:t>for entrepreneurs (Reg. 500/2002 Coll. of 6 November 2002 as amended - not accounting according to the chart of accounts for banks and other financial institutions).</w:t>
      </w:r>
    </w:p>
    <w:p w:rsidR="003175C4" w:rsidRDefault="003175C4" w:rsidP="003175C4">
      <w:pPr>
        <w:pStyle w:val="Nadpis1"/>
        <w:tabs>
          <w:tab w:val="left" w:pos="142"/>
          <w:tab w:val="left" w:pos="709"/>
          <w:tab w:val="left" w:pos="1418"/>
          <w:tab w:val="left" w:pos="2126"/>
        </w:tabs>
        <w:spacing w:before="480" w:after="320"/>
        <w:rPr>
          <w:rFonts w:cs="Arial"/>
          <w:i w:val="0"/>
          <w:iCs w:val="0"/>
          <w:lang w:val="en-GB"/>
        </w:rPr>
      </w:pPr>
      <w:r>
        <w:rPr>
          <w:rFonts w:cs="Arial"/>
          <w:i w:val="0"/>
          <w:iCs w:val="0"/>
          <w:lang w:val="en-GB"/>
        </w:rPr>
        <w:t>Notes on the tables</w:t>
      </w:r>
    </w:p>
    <w:p w:rsidR="003175C4" w:rsidRDefault="003175C4" w:rsidP="003175C4">
      <w:pPr>
        <w:pStyle w:val="Zkladntextodsazen"/>
        <w:tabs>
          <w:tab w:val="left" w:pos="540"/>
          <w:tab w:val="left" w:pos="720"/>
        </w:tabs>
        <w:spacing w:after="60"/>
        <w:ind w:left="62" w:firstLine="0"/>
        <w:rPr>
          <w:rFonts w:cs="Arial"/>
          <w:i/>
          <w:iCs/>
          <w:sz w:val="20"/>
          <w:lang w:val="en-GB"/>
        </w:rPr>
      </w:pPr>
      <w:r>
        <w:rPr>
          <w:rFonts w:cs="Arial"/>
          <w:i/>
          <w:iCs/>
          <w:sz w:val="20"/>
          <w:lang w:val="en-GB"/>
        </w:rPr>
        <w:t xml:space="preserve"> </w:t>
      </w:r>
      <w:r>
        <w:rPr>
          <w:rFonts w:cs="Arial"/>
          <w:i/>
          <w:iCs/>
          <w:sz w:val="20"/>
          <w:lang w:val="en-GB"/>
        </w:rPr>
        <w:tab/>
        <w:t xml:space="preserve">The indicators on banking monetary institutions are listed in Tables 1 to 9, indicators </w:t>
      </w:r>
      <w:r w:rsidR="00007C70">
        <w:rPr>
          <w:rFonts w:cs="Arial"/>
          <w:i/>
          <w:iCs/>
          <w:sz w:val="20"/>
          <w:lang w:val="en-GB"/>
        </w:rPr>
        <w:br/>
      </w:r>
      <w:r>
        <w:rPr>
          <w:rFonts w:cs="Arial"/>
          <w:i/>
          <w:iCs/>
          <w:sz w:val="20"/>
          <w:lang w:val="en-GB"/>
        </w:rPr>
        <w:t xml:space="preserve">on non-banking monetary institutions they keep books in accordance with the chart of accounts </w:t>
      </w:r>
      <w:r w:rsidR="00007C70">
        <w:rPr>
          <w:rFonts w:cs="Arial"/>
          <w:i/>
          <w:iCs/>
          <w:sz w:val="20"/>
          <w:lang w:val="en-GB"/>
        </w:rPr>
        <w:br/>
      </w:r>
      <w:r>
        <w:rPr>
          <w:rFonts w:cs="Arial"/>
          <w:i/>
          <w:iCs/>
          <w:sz w:val="20"/>
          <w:lang w:val="en-GB"/>
        </w:rPr>
        <w:t>for bank are in Tables 10 to 18, indicators on investment companies and</w:t>
      </w:r>
      <w:r w:rsidR="005C221F">
        <w:rPr>
          <w:rFonts w:cs="Arial"/>
          <w:i/>
          <w:iCs/>
          <w:sz w:val="20"/>
          <w:lang w:val="en-GB"/>
        </w:rPr>
        <w:t xml:space="preserve"> funds are in Tables 19</w:t>
      </w:r>
      <w:r w:rsidR="00DE0F36">
        <w:rPr>
          <w:rFonts w:cs="Arial"/>
          <w:i/>
          <w:iCs/>
          <w:sz w:val="20"/>
          <w:lang w:val="en-GB"/>
        </w:rPr>
        <w:br/>
      </w:r>
      <w:r w:rsidR="005C221F">
        <w:rPr>
          <w:rFonts w:cs="Arial"/>
          <w:i/>
          <w:iCs/>
          <w:sz w:val="20"/>
          <w:lang w:val="en-GB"/>
        </w:rPr>
        <w:t xml:space="preserve"> to 27,</w:t>
      </w:r>
      <w:r>
        <w:rPr>
          <w:rFonts w:cs="Arial"/>
          <w:i/>
          <w:iCs/>
          <w:sz w:val="20"/>
          <w:lang w:val="en-GB"/>
        </w:rPr>
        <w:t>indicator n</w:t>
      </w:r>
      <w:r w:rsidRPr="00192320">
        <w:rPr>
          <w:rFonts w:cs="Arial"/>
          <w:i/>
          <w:iCs/>
          <w:sz w:val="20"/>
          <w:lang w:val="en-GB"/>
        </w:rPr>
        <w:t>on-banking monetary institutions they keep books in accordance with the chart</w:t>
      </w:r>
      <w:r w:rsidR="00DE0F36">
        <w:rPr>
          <w:rFonts w:cs="Arial"/>
          <w:i/>
          <w:iCs/>
          <w:sz w:val="20"/>
          <w:lang w:val="en-GB"/>
        </w:rPr>
        <w:br/>
      </w:r>
      <w:r w:rsidRPr="00192320">
        <w:rPr>
          <w:rFonts w:cs="Arial"/>
          <w:i/>
          <w:iCs/>
          <w:sz w:val="20"/>
          <w:lang w:val="en-GB"/>
        </w:rPr>
        <w:t xml:space="preserve"> of accounts  for entrepreneurs</w:t>
      </w:r>
      <w:r>
        <w:rPr>
          <w:rFonts w:cs="Arial"/>
          <w:i/>
          <w:iCs/>
          <w:sz w:val="20"/>
          <w:lang w:val="en-GB"/>
        </w:rPr>
        <w:t xml:space="preserve"> are in Tables 28 to 36 and </w:t>
      </w:r>
      <w:proofErr w:type="spellStart"/>
      <w:r>
        <w:rPr>
          <w:rFonts w:cs="Arial"/>
          <w:i/>
          <w:iCs/>
          <w:sz w:val="20"/>
          <w:lang w:val="en-GB"/>
        </w:rPr>
        <w:t>indicatiors</w:t>
      </w:r>
      <w:proofErr w:type="spellEnd"/>
      <w:r>
        <w:rPr>
          <w:rFonts w:cs="Arial"/>
          <w:i/>
          <w:iCs/>
          <w:sz w:val="20"/>
          <w:lang w:val="en-GB"/>
        </w:rPr>
        <w:t xml:space="preserve"> on financial leasing companies are in Tables 37 to 45.</w:t>
      </w:r>
    </w:p>
    <w:p w:rsidR="00646B6C" w:rsidRDefault="003175C4" w:rsidP="003175C4">
      <w:pPr>
        <w:pStyle w:val="Zkladntextodsazen"/>
        <w:spacing w:after="60"/>
        <w:ind w:firstLine="0"/>
        <w:rPr>
          <w:rFonts w:cs="Arial"/>
          <w:i/>
          <w:iCs/>
          <w:sz w:val="20"/>
          <w:szCs w:val="20"/>
          <w:lang w:val="en-GB"/>
        </w:rPr>
      </w:pPr>
      <w:r>
        <w:rPr>
          <w:rFonts w:cs="Arial"/>
          <w:i/>
          <w:iCs/>
          <w:sz w:val="20"/>
          <w:szCs w:val="20"/>
          <w:lang w:val="en-GB"/>
        </w:rPr>
        <w:t>In this publication, the following symbols are used:</w:t>
      </w:r>
    </w:p>
    <w:p w:rsidR="003175C4" w:rsidRDefault="009D1C60" w:rsidP="003175C4">
      <w:pPr>
        <w:pStyle w:val="Zkladntextodsazen"/>
        <w:ind w:firstLine="0"/>
        <w:rPr>
          <w:rFonts w:cs="Arial"/>
          <w:i/>
          <w:iCs/>
          <w:sz w:val="20"/>
          <w:szCs w:val="20"/>
          <w:lang w:val="en-GB"/>
        </w:rPr>
      </w:pPr>
      <w:r>
        <w:rPr>
          <w:rFonts w:cs="Arial"/>
          <w:i/>
          <w:iCs/>
          <w:sz w:val="20"/>
          <w:szCs w:val="20"/>
          <w:lang w:val="en-GB"/>
        </w:rPr>
        <w:t xml:space="preserve"> “–“</w:t>
      </w:r>
      <w:r>
        <w:rPr>
          <w:rFonts w:cs="Arial"/>
          <w:i/>
          <w:iCs/>
          <w:sz w:val="20"/>
          <w:szCs w:val="20"/>
          <w:lang w:val="en-GB"/>
        </w:rPr>
        <w:tab/>
      </w:r>
      <w:r w:rsidR="003175C4">
        <w:rPr>
          <w:rFonts w:cs="Arial"/>
          <w:i/>
          <w:iCs/>
          <w:sz w:val="20"/>
          <w:szCs w:val="20"/>
          <w:lang w:val="en-GB"/>
        </w:rPr>
        <w:t>– not available,</w:t>
      </w:r>
    </w:p>
    <w:p w:rsidR="003175C4" w:rsidRDefault="003175C4" w:rsidP="003175C4">
      <w:pPr>
        <w:pStyle w:val="Zkladntextodsazen"/>
        <w:ind w:firstLine="0"/>
        <w:rPr>
          <w:rFonts w:cs="Arial"/>
          <w:i/>
          <w:iCs/>
          <w:sz w:val="20"/>
          <w:szCs w:val="20"/>
          <w:lang w:val="en-GB"/>
        </w:rPr>
      </w:pPr>
      <w:r>
        <w:rPr>
          <w:rFonts w:cs="Arial"/>
          <w:i/>
          <w:iCs/>
          <w:sz w:val="20"/>
          <w:szCs w:val="20"/>
          <w:lang w:val="en-GB"/>
        </w:rPr>
        <w:t xml:space="preserve"> “</w:t>
      </w:r>
      <w:smartTag w:uri="urn:schemas-microsoft-com:office:smarttags" w:element="metricconverter">
        <w:smartTagPr>
          <w:attr w:name="ProductID" w:val="0”"/>
        </w:smartTagPr>
        <w:r>
          <w:rPr>
            <w:rFonts w:cs="Arial"/>
            <w:i/>
            <w:iCs/>
            <w:sz w:val="20"/>
            <w:szCs w:val="20"/>
            <w:lang w:val="en-GB"/>
          </w:rPr>
          <w:t>0”</w:t>
        </w:r>
        <w:r w:rsidR="009D1C60">
          <w:rPr>
            <w:rFonts w:cs="Arial"/>
            <w:i/>
            <w:iCs/>
            <w:sz w:val="20"/>
            <w:szCs w:val="20"/>
            <w:lang w:val="en-GB"/>
          </w:rPr>
          <w:tab/>
        </w:r>
      </w:smartTag>
      <w:r>
        <w:rPr>
          <w:rFonts w:cs="Arial"/>
          <w:i/>
          <w:iCs/>
          <w:sz w:val="20"/>
          <w:szCs w:val="20"/>
          <w:lang w:val="en-GB"/>
        </w:rPr>
        <w:t>– zero or negligible,</w:t>
      </w:r>
    </w:p>
    <w:p w:rsidR="003175C4" w:rsidRDefault="009D1C60" w:rsidP="003175C4">
      <w:pPr>
        <w:pStyle w:val="Zkladntextodsazen"/>
        <w:ind w:firstLine="0"/>
        <w:rPr>
          <w:rFonts w:cs="Arial"/>
          <w:i/>
          <w:iCs/>
          <w:sz w:val="20"/>
          <w:szCs w:val="20"/>
          <w:lang w:val="en-GB"/>
        </w:rPr>
      </w:pPr>
      <w:r>
        <w:rPr>
          <w:rFonts w:cs="Arial"/>
          <w:i/>
          <w:iCs/>
          <w:sz w:val="20"/>
          <w:szCs w:val="20"/>
          <w:lang w:val="en-GB"/>
        </w:rPr>
        <w:t xml:space="preserve"> “.”</w:t>
      </w:r>
      <w:r>
        <w:rPr>
          <w:rFonts w:cs="Arial"/>
          <w:i/>
          <w:iCs/>
          <w:sz w:val="20"/>
          <w:szCs w:val="20"/>
          <w:lang w:val="en-GB"/>
        </w:rPr>
        <w:tab/>
      </w:r>
      <w:r w:rsidR="003175C4">
        <w:rPr>
          <w:rFonts w:cs="Arial"/>
          <w:i/>
          <w:iCs/>
          <w:sz w:val="20"/>
          <w:szCs w:val="20"/>
          <w:lang w:val="en-GB"/>
        </w:rPr>
        <w:t xml:space="preserve">– </w:t>
      </w:r>
      <w:proofErr w:type="gramStart"/>
      <w:r w:rsidR="003175C4">
        <w:rPr>
          <w:rFonts w:cs="Arial"/>
          <w:i/>
          <w:iCs/>
          <w:sz w:val="20"/>
          <w:szCs w:val="20"/>
          <w:lang w:val="en-GB"/>
        </w:rPr>
        <w:t>confidential</w:t>
      </w:r>
      <w:proofErr w:type="gramEnd"/>
      <w:r w:rsidR="003175C4">
        <w:rPr>
          <w:rFonts w:cs="Arial"/>
          <w:i/>
          <w:iCs/>
          <w:sz w:val="20"/>
          <w:szCs w:val="20"/>
          <w:lang w:val="en-GB"/>
        </w:rPr>
        <w:t>,</w:t>
      </w:r>
    </w:p>
    <w:p w:rsidR="003175C4" w:rsidRDefault="009D1C60" w:rsidP="003175C4">
      <w:pPr>
        <w:pStyle w:val="Zkladntextodsazen"/>
        <w:tabs>
          <w:tab w:val="left" w:pos="142"/>
          <w:tab w:val="left" w:pos="709"/>
          <w:tab w:val="left" w:pos="1418"/>
          <w:tab w:val="left" w:pos="2126"/>
        </w:tabs>
        <w:spacing w:after="60"/>
        <w:ind w:firstLine="0"/>
        <w:rPr>
          <w:rFonts w:cs="Arial"/>
          <w:i/>
          <w:iCs/>
          <w:sz w:val="20"/>
          <w:szCs w:val="20"/>
          <w:lang w:val="en-GB"/>
        </w:rPr>
      </w:pPr>
      <w:r>
        <w:rPr>
          <w:rFonts w:cs="Arial"/>
          <w:i/>
          <w:iCs/>
          <w:sz w:val="20"/>
          <w:szCs w:val="20"/>
          <w:lang w:val="en-GB"/>
        </w:rPr>
        <w:t>“</w:t>
      </w:r>
      <w:proofErr w:type="gramStart"/>
      <w:r>
        <w:rPr>
          <w:rFonts w:cs="Arial"/>
          <w:i/>
          <w:iCs/>
          <w:sz w:val="20"/>
          <w:szCs w:val="20"/>
          <w:lang w:val="en-GB"/>
        </w:rPr>
        <w:t>x</w:t>
      </w:r>
      <w:proofErr w:type="gramEnd"/>
      <w:r>
        <w:rPr>
          <w:rFonts w:cs="Arial"/>
          <w:i/>
          <w:iCs/>
          <w:sz w:val="20"/>
          <w:szCs w:val="20"/>
          <w:lang w:val="en-GB"/>
        </w:rPr>
        <w:t>”</w:t>
      </w:r>
      <w:r>
        <w:rPr>
          <w:rFonts w:cs="Arial"/>
          <w:i/>
          <w:iCs/>
          <w:sz w:val="20"/>
          <w:szCs w:val="20"/>
          <w:lang w:val="en-GB"/>
        </w:rPr>
        <w:tab/>
      </w:r>
      <w:r w:rsidR="003175C4">
        <w:rPr>
          <w:rFonts w:cs="Arial"/>
          <w:i/>
          <w:iCs/>
          <w:sz w:val="20"/>
          <w:szCs w:val="20"/>
          <w:lang w:val="en-GB"/>
        </w:rPr>
        <w:t xml:space="preserve">– </w:t>
      </w:r>
      <w:proofErr w:type="spellStart"/>
      <w:r w:rsidR="003175C4">
        <w:rPr>
          <w:rFonts w:cs="Arial"/>
          <w:i/>
          <w:iCs/>
          <w:sz w:val="20"/>
          <w:szCs w:val="20"/>
          <w:lang w:val="en-GB"/>
        </w:rPr>
        <w:t>can not</w:t>
      </w:r>
      <w:proofErr w:type="spellEnd"/>
      <w:r w:rsidR="003175C4">
        <w:rPr>
          <w:rFonts w:cs="Arial"/>
          <w:i/>
          <w:iCs/>
          <w:sz w:val="20"/>
          <w:szCs w:val="20"/>
          <w:lang w:val="en-GB"/>
        </w:rPr>
        <w:t xml:space="preserve"> be displayed for logical reasons.</w:t>
      </w:r>
    </w:p>
    <w:p w:rsidR="00646B6C" w:rsidRDefault="00646B6C" w:rsidP="003175C4">
      <w:pPr>
        <w:pStyle w:val="Zkladntextodsazen"/>
        <w:tabs>
          <w:tab w:val="left" w:pos="142"/>
          <w:tab w:val="left" w:pos="709"/>
          <w:tab w:val="left" w:pos="1418"/>
          <w:tab w:val="left" w:pos="2126"/>
        </w:tabs>
        <w:spacing w:after="60"/>
        <w:ind w:firstLine="0"/>
        <w:rPr>
          <w:rFonts w:cs="Arial"/>
          <w:i/>
          <w:iCs/>
          <w:sz w:val="20"/>
          <w:lang w:val="en-GB"/>
        </w:rPr>
      </w:pPr>
    </w:p>
    <w:p w:rsidR="003175C4" w:rsidRDefault="003175C4" w:rsidP="003175C4">
      <w:pPr>
        <w:tabs>
          <w:tab w:val="left" w:pos="142"/>
          <w:tab w:val="left" w:pos="709"/>
          <w:tab w:val="left" w:pos="1418"/>
          <w:tab w:val="left" w:pos="2126"/>
        </w:tabs>
        <w:spacing w:before="60"/>
        <w:ind w:firstLine="567"/>
        <w:jc w:val="both"/>
        <w:rPr>
          <w:rFonts w:ascii="Arial" w:hAnsi="Arial" w:cs="Arial"/>
          <w:i/>
          <w:iCs/>
          <w:sz w:val="20"/>
          <w:lang w:val="en-GB"/>
        </w:rPr>
      </w:pPr>
      <w:r>
        <w:rPr>
          <w:rFonts w:ascii="Arial" w:hAnsi="Arial" w:cs="Arial"/>
          <w:i/>
          <w:iCs/>
          <w:sz w:val="20"/>
          <w:lang w:val="en-GB"/>
        </w:rPr>
        <w:t xml:space="preserve">The concept of </w:t>
      </w:r>
      <w:r>
        <w:rPr>
          <w:rFonts w:ascii="Arial" w:hAnsi="Arial" w:cs="Arial"/>
          <w:b/>
          <w:bCs/>
          <w:i/>
          <w:iCs/>
          <w:sz w:val="20"/>
          <w:lang w:val="en-GB"/>
        </w:rPr>
        <w:t>natural person</w:t>
      </w:r>
      <w:r>
        <w:rPr>
          <w:rFonts w:ascii="Arial" w:hAnsi="Arial" w:cs="Arial"/>
          <w:i/>
          <w:iCs/>
          <w:sz w:val="20"/>
          <w:lang w:val="en-GB"/>
        </w:rPr>
        <w:t xml:space="preserve"> includes individuals (citizens)</w:t>
      </w:r>
      <w:r w:rsidR="00007C70">
        <w:rPr>
          <w:rFonts w:ascii="Arial" w:hAnsi="Arial" w:cs="Arial"/>
          <w:i/>
          <w:iCs/>
          <w:sz w:val="20"/>
          <w:lang w:val="en-GB"/>
        </w:rPr>
        <w:t xml:space="preserve"> and self-employed persons </w:t>
      </w:r>
      <w:r>
        <w:rPr>
          <w:rFonts w:ascii="Arial" w:hAnsi="Arial" w:cs="Arial"/>
          <w:i/>
          <w:iCs/>
          <w:sz w:val="20"/>
          <w:lang w:val="en-GB"/>
        </w:rPr>
        <w:t>(entrepreneurs, traders, free professions), not incorporated in the business register.</w:t>
      </w:r>
    </w:p>
    <w:p w:rsidR="003175C4" w:rsidRDefault="003175C4" w:rsidP="003175C4">
      <w:pPr>
        <w:rPr>
          <w:lang w:val="en-GB"/>
        </w:rPr>
      </w:pPr>
    </w:p>
    <w:p w:rsidR="00102AE2" w:rsidRDefault="00102AE2"/>
    <w:sectPr w:rsidR="00102AE2">
      <w:headerReference w:type="default" r:id="rId7"/>
      <w:pgSz w:w="11906" w:h="16838"/>
      <w:pgMar w:top="1418" w:right="1418" w:bottom="1259" w:left="1418"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7B6" w:rsidRDefault="004D27B6">
      <w:r>
        <w:separator/>
      </w:r>
    </w:p>
  </w:endnote>
  <w:endnote w:type="continuationSeparator" w:id="0">
    <w:p w:rsidR="004D27B6" w:rsidRDefault="004D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7B6" w:rsidRDefault="004D27B6">
      <w:r>
        <w:separator/>
      </w:r>
    </w:p>
  </w:footnote>
  <w:footnote w:type="continuationSeparator" w:id="0">
    <w:p w:rsidR="004D27B6" w:rsidRDefault="004D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AF" w:rsidRDefault="003175C4">
    <w:pPr>
      <w:pStyle w:val="Zhlav"/>
      <w:rPr>
        <w:rFonts w:ascii="Arial" w:hAnsi="Arial" w:cs="Arial"/>
        <w:b/>
        <w:bCs/>
        <w:sz w:val="20"/>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C4"/>
    <w:rsid w:val="00007C70"/>
    <w:rsid w:val="00102AE2"/>
    <w:rsid w:val="00191C4F"/>
    <w:rsid w:val="00210571"/>
    <w:rsid w:val="00217376"/>
    <w:rsid w:val="003175C4"/>
    <w:rsid w:val="004D27B6"/>
    <w:rsid w:val="005C221F"/>
    <w:rsid w:val="00646B6C"/>
    <w:rsid w:val="006E3108"/>
    <w:rsid w:val="00725928"/>
    <w:rsid w:val="00954445"/>
    <w:rsid w:val="009D1C60"/>
    <w:rsid w:val="00D367D7"/>
    <w:rsid w:val="00DE0F36"/>
    <w:rsid w:val="00EC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5C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175C4"/>
    <w:pPr>
      <w:keepNext/>
      <w:spacing w:before="60" w:after="60"/>
      <w:ind w:firstLine="567"/>
      <w:jc w:val="both"/>
      <w:outlineLvl w:val="0"/>
    </w:pPr>
    <w:rPr>
      <w:rFonts w:ascii="Arial" w:hAnsi="Arial"/>
      <w:b/>
      <w:bCs/>
      <w:i/>
      <w:iCs/>
      <w:sz w:val="28"/>
    </w:rPr>
  </w:style>
  <w:style w:type="paragraph" w:styleId="Nadpis2">
    <w:name w:val="heading 2"/>
    <w:basedOn w:val="Normln"/>
    <w:next w:val="Normln"/>
    <w:link w:val="Nadpis2Char"/>
    <w:qFormat/>
    <w:rsid w:val="003175C4"/>
    <w:pPr>
      <w:keepNext/>
      <w:spacing w:after="360"/>
      <w:ind w:firstLine="567"/>
      <w:jc w:val="both"/>
      <w:outlineLvl w:val="1"/>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5C4"/>
    <w:rPr>
      <w:rFonts w:ascii="Arial" w:eastAsia="Times New Roman" w:hAnsi="Arial" w:cs="Times New Roman"/>
      <w:b/>
      <w:bCs/>
      <w:i/>
      <w:iCs/>
      <w:sz w:val="28"/>
      <w:szCs w:val="24"/>
      <w:lang w:eastAsia="cs-CZ"/>
    </w:rPr>
  </w:style>
  <w:style w:type="character" w:customStyle="1" w:styleId="Nadpis2Char">
    <w:name w:val="Nadpis 2 Char"/>
    <w:basedOn w:val="Standardnpsmoodstavce"/>
    <w:link w:val="Nadpis2"/>
    <w:rsid w:val="003175C4"/>
    <w:rPr>
      <w:rFonts w:ascii="Arial" w:eastAsia="Times New Roman" w:hAnsi="Arial" w:cs="Arial"/>
      <w:i/>
      <w:iCs/>
      <w:sz w:val="20"/>
      <w:szCs w:val="24"/>
      <w:lang w:eastAsia="cs-CZ"/>
    </w:rPr>
  </w:style>
  <w:style w:type="paragraph" w:styleId="Zkladntextodsazen">
    <w:name w:val="Body Text Indent"/>
    <w:basedOn w:val="Normln"/>
    <w:link w:val="ZkladntextodsazenChar"/>
    <w:rsid w:val="003175C4"/>
    <w:pPr>
      <w:ind w:firstLine="709"/>
      <w:jc w:val="both"/>
    </w:pPr>
    <w:rPr>
      <w:rFonts w:ascii="Arial" w:hAnsi="Arial"/>
    </w:rPr>
  </w:style>
  <w:style w:type="character" w:customStyle="1" w:styleId="ZkladntextodsazenChar">
    <w:name w:val="Základní text odsazený Char"/>
    <w:basedOn w:val="Standardnpsmoodstavce"/>
    <w:link w:val="Zkladntextodsazen"/>
    <w:rsid w:val="003175C4"/>
    <w:rPr>
      <w:rFonts w:ascii="Arial" w:eastAsia="Times New Roman" w:hAnsi="Arial" w:cs="Times New Roman"/>
      <w:sz w:val="24"/>
      <w:szCs w:val="24"/>
      <w:lang w:eastAsia="cs-CZ"/>
    </w:rPr>
  </w:style>
  <w:style w:type="paragraph" w:styleId="Zhlav">
    <w:name w:val="header"/>
    <w:basedOn w:val="Normln"/>
    <w:link w:val="ZhlavChar"/>
    <w:rsid w:val="003175C4"/>
    <w:pPr>
      <w:tabs>
        <w:tab w:val="center" w:pos="4536"/>
        <w:tab w:val="right" w:pos="9072"/>
      </w:tabs>
    </w:pPr>
  </w:style>
  <w:style w:type="character" w:customStyle="1" w:styleId="ZhlavChar">
    <w:name w:val="Záhlaví Char"/>
    <w:basedOn w:val="Standardnpsmoodstavce"/>
    <w:link w:val="Zhlav"/>
    <w:rsid w:val="003175C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3175C4"/>
    <w:pPr>
      <w:spacing w:after="60"/>
      <w:ind w:firstLine="567"/>
      <w:jc w:val="both"/>
    </w:pPr>
    <w:rPr>
      <w:rFonts w:ascii="Arial" w:hAnsi="Arial" w:cs="Arial"/>
      <w:i/>
      <w:iCs/>
      <w:sz w:val="20"/>
      <w:lang w:val="en-US"/>
    </w:rPr>
  </w:style>
  <w:style w:type="character" w:customStyle="1" w:styleId="Zkladntextodsazen3Char">
    <w:name w:val="Základní text odsazený 3 Char"/>
    <w:basedOn w:val="Standardnpsmoodstavce"/>
    <w:link w:val="Zkladntextodsazen3"/>
    <w:rsid w:val="003175C4"/>
    <w:rPr>
      <w:rFonts w:ascii="Arial" w:eastAsia="Times New Roman" w:hAnsi="Arial" w:cs="Arial"/>
      <w:i/>
      <w:iCs/>
      <w:sz w:val="20"/>
      <w:szCs w:val="24"/>
      <w:lang w:val="en-US" w:eastAsia="cs-CZ"/>
    </w:rPr>
  </w:style>
  <w:style w:type="paragraph" w:styleId="Zpat">
    <w:name w:val="footer"/>
    <w:basedOn w:val="Normln"/>
    <w:link w:val="ZpatChar"/>
    <w:uiPriority w:val="99"/>
    <w:unhideWhenUsed/>
    <w:rsid w:val="00007C70"/>
    <w:pPr>
      <w:tabs>
        <w:tab w:val="center" w:pos="4536"/>
        <w:tab w:val="right" w:pos="9072"/>
      </w:tabs>
    </w:pPr>
  </w:style>
  <w:style w:type="character" w:customStyle="1" w:styleId="ZpatChar">
    <w:name w:val="Zápatí Char"/>
    <w:basedOn w:val="Standardnpsmoodstavce"/>
    <w:link w:val="Zpat"/>
    <w:uiPriority w:val="99"/>
    <w:rsid w:val="00007C70"/>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5C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175C4"/>
    <w:pPr>
      <w:keepNext/>
      <w:spacing w:before="60" w:after="60"/>
      <w:ind w:firstLine="567"/>
      <w:jc w:val="both"/>
      <w:outlineLvl w:val="0"/>
    </w:pPr>
    <w:rPr>
      <w:rFonts w:ascii="Arial" w:hAnsi="Arial"/>
      <w:b/>
      <w:bCs/>
      <w:i/>
      <w:iCs/>
      <w:sz w:val="28"/>
    </w:rPr>
  </w:style>
  <w:style w:type="paragraph" w:styleId="Nadpis2">
    <w:name w:val="heading 2"/>
    <w:basedOn w:val="Normln"/>
    <w:next w:val="Normln"/>
    <w:link w:val="Nadpis2Char"/>
    <w:qFormat/>
    <w:rsid w:val="003175C4"/>
    <w:pPr>
      <w:keepNext/>
      <w:spacing w:after="360"/>
      <w:ind w:firstLine="567"/>
      <w:jc w:val="both"/>
      <w:outlineLvl w:val="1"/>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5C4"/>
    <w:rPr>
      <w:rFonts w:ascii="Arial" w:eastAsia="Times New Roman" w:hAnsi="Arial" w:cs="Times New Roman"/>
      <w:b/>
      <w:bCs/>
      <w:i/>
      <w:iCs/>
      <w:sz w:val="28"/>
      <w:szCs w:val="24"/>
      <w:lang w:eastAsia="cs-CZ"/>
    </w:rPr>
  </w:style>
  <w:style w:type="character" w:customStyle="1" w:styleId="Nadpis2Char">
    <w:name w:val="Nadpis 2 Char"/>
    <w:basedOn w:val="Standardnpsmoodstavce"/>
    <w:link w:val="Nadpis2"/>
    <w:rsid w:val="003175C4"/>
    <w:rPr>
      <w:rFonts w:ascii="Arial" w:eastAsia="Times New Roman" w:hAnsi="Arial" w:cs="Arial"/>
      <w:i/>
      <w:iCs/>
      <w:sz w:val="20"/>
      <w:szCs w:val="24"/>
      <w:lang w:eastAsia="cs-CZ"/>
    </w:rPr>
  </w:style>
  <w:style w:type="paragraph" w:styleId="Zkladntextodsazen">
    <w:name w:val="Body Text Indent"/>
    <w:basedOn w:val="Normln"/>
    <w:link w:val="ZkladntextodsazenChar"/>
    <w:rsid w:val="003175C4"/>
    <w:pPr>
      <w:ind w:firstLine="709"/>
      <w:jc w:val="both"/>
    </w:pPr>
    <w:rPr>
      <w:rFonts w:ascii="Arial" w:hAnsi="Arial"/>
    </w:rPr>
  </w:style>
  <w:style w:type="character" w:customStyle="1" w:styleId="ZkladntextodsazenChar">
    <w:name w:val="Základní text odsazený Char"/>
    <w:basedOn w:val="Standardnpsmoodstavce"/>
    <w:link w:val="Zkladntextodsazen"/>
    <w:rsid w:val="003175C4"/>
    <w:rPr>
      <w:rFonts w:ascii="Arial" w:eastAsia="Times New Roman" w:hAnsi="Arial" w:cs="Times New Roman"/>
      <w:sz w:val="24"/>
      <w:szCs w:val="24"/>
      <w:lang w:eastAsia="cs-CZ"/>
    </w:rPr>
  </w:style>
  <w:style w:type="paragraph" w:styleId="Zhlav">
    <w:name w:val="header"/>
    <w:basedOn w:val="Normln"/>
    <w:link w:val="ZhlavChar"/>
    <w:rsid w:val="003175C4"/>
    <w:pPr>
      <w:tabs>
        <w:tab w:val="center" w:pos="4536"/>
        <w:tab w:val="right" w:pos="9072"/>
      </w:tabs>
    </w:pPr>
  </w:style>
  <w:style w:type="character" w:customStyle="1" w:styleId="ZhlavChar">
    <w:name w:val="Záhlaví Char"/>
    <w:basedOn w:val="Standardnpsmoodstavce"/>
    <w:link w:val="Zhlav"/>
    <w:rsid w:val="003175C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3175C4"/>
    <w:pPr>
      <w:spacing w:after="60"/>
      <w:ind w:firstLine="567"/>
      <w:jc w:val="both"/>
    </w:pPr>
    <w:rPr>
      <w:rFonts w:ascii="Arial" w:hAnsi="Arial" w:cs="Arial"/>
      <w:i/>
      <w:iCs/>
      <w:sz w:val="20"/>
      <w:lang w:val="en-US"/>
    </w:rPr>
  </w:style>
  <w:style w:type="character" w:customStyle="1" w:styleId="Zkladntextodsazen3Char">
    <w:name w:val="Základní text odsazený 3 Char"/>
    <w:basedOn w:val="Standardnpsmoodstavce"/>
    <w:link w:val="Zkladntextodsazen3"/>
    <w:rsid w:val="003175C4"/>
    <w:rPr>
      <w:rFonts w:ascii="Arial" w:eastAsia="Times New Roman" w:hAnsi="Arial" w:cs="Arial"/>
      <w:i/>
      <w:iCs/>
      <w:sz w:val="20"/>
      <w:szCs w:val="24"/>
      <w:lang w:val="en-US" w:eastAsia="cs-CZ"/>
    </w:rPr>
  </w:style>
  <w:style w:type="paragraph" w:styleId="Zpat">
    <w:name w:val="footer"/>
    <w:basedOn w:val="Normln"/>
    <w:link w:val="ZpatChar"/>
    <w:uiPriority w:val="99"/>
    <w:unhideWhenUsed/>
    <w:rsid w:val="00007C70"/>
    <w:pPr>
      <w:tabs>
        <w:tab w:val="center" w:pos="4536"/>
        <w:tab w:val="right" w:pos="9072"/>
      </w:tabs>
    </w:pPr>
  </w:style>
  <w:style w:type="character" w:customStyle="1" w:styleId="ZpatChar">
    <w:name w:val="Zápatí Char"/>
    <w:basedOn w:val="Standardnpsmoodstavce"/>
    <w:link w:val="Zpat"/>
    <w:uiPriority w:val="99"/>
    <w:rsid w:val="00007C7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476</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Světlana Škapová</dc:creator>
  <cp:lastModifiedBy>Ing. Světlana Škapová</cp:lastModifiedBy>
  <cp:revision>12</cp:revision>
  <dcterms:created xsi:type="dcterms:W3CDTF">2016-05-26T11:10:00Z</dcterms:created>
  <dcterms:modified xsi:type="dcterms:W3CDTF">2018-05-22T08:43:00Z</dcterms:modified>
</cp:coreProperties>
</file>