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57" w:rsidRDefault="00580027" w:rsidP="006F5416">
      <w:pPr>
        <w:pStyle w:val="Obsahpoloky"/>
        <w:rPr>
          <w:b/>
          <w:color w:val="943634" w:themeColor="accent2" w:themeShade="BF"/>
          <w:sz w:val="36"/>
          <w:szCs w:val="36"/>
        </w:rPr>
      </w:pPr>
      <w:r w:rsidRPr="00580027">
        <w:rPr>
          <w:b/>
          <w:color w:val="943634" w:themeColor="accent2" w:themeShade="BF"/>
          <w:sz w:val="36"/>
          <w:szCs w:val="36"/>
        </w:rPr>
        <w:t xml:space="preserve">Textová část </w:t>
      </w:r>
    </w:p>
    <w:p w:rsidR="00580027" w:rsidRPr="00580027" w:rsidRDefault="00580027" w:rsidP="006F5416">
      <w:pPr>
        <w:pStyle w:val="Obsahpoloky"/>
        <w:rPr>
          <w:b/>
          <w:color w:val="943634" w:themeColor="accent2" w:themeShade="BF"/>
          <w:sz w:val="36"/>
          <w:szCs w:val="36"/>
        </w:rPr>
      </w:pPr>
    </w:p>
    <w:p w:rsidR="007516B7" w:rsidRDefault="001D59A2" w:rsidP="007516B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eastAsia="Calibri" w:cs="Arial"/>
          <w:b/>
          <w:color w:val="943634"/>
          <w:sz w:val="32"/>
          <w:szCs w:val="32"/>
        </w:rPr>
      </w:pPr>
      <w:r w:rsidRPr="001D59A2">
        <w:rPr>
          <w:rFonts w:eastAsia="Calibri" w:cs="Arial"/>
          <w:b/>
          <w:color w:val="943634"/>
          <w:sz w:val="32"/>
          <w:szCs w:val="32"/>
        </w:rPr>
        <w:t>Vysoké školy</w:t>
      </w:r>
    </w:p>
    <w:p w:rsidR="000455DB" w:rsidRPr="000455DB" w:rsidRDefault="000455DB" w:rsidP="000455DB">
      <w:pPr>
        <w:pStyle w:val="Odstavecseseznamem"/>
        <w:spacing w:line="360" w:lineRule="auto"/>
        <w:jc w:val="both"/>
        <w:rPr>
          <w:rFonts w:eastAsia="Calibri" w:cs="Arial"/>
          <w:b/>
          <w:color w:val="943634"/>
          <w:sz w:val="28"/>
          <w:szCs w:val="28"/>
        </w:rPr>
      </w:pPr>
      <w:r w:rsidRPr="000455DB">
        <w:rPr>
          <w:rFonts w:eastAsia="Calibri" w:cs="Arial"/>
          <w:b/>
          <w:color w:val="943634"/>
          <w:sz w:val="28"/>
          <w:szCs w:val="28"/>
        </w:rPr>
        <w:t>1.1 Studenti vysokých škol</w:t>
      </w:r>
    </w:p>
    <w:p w:rsidR="001D59A2" w:rsidRPr="007516B7" w:rsidRDefault="001D59A2" w:rsidP="002659EE">
      <w:pPr>
        <w:spacing w:line="276" w:lineRule="auto"/>
        <w:jc w:val="both"/>
        <w:rPr>
          <w:rFonts w:eastAsia="Calibri" w:cs="Arial"/>
          <w:b/>
          <w:color w:val="943634"/>
          <w:sz w:val="32"/>
          <w:szCs w:val="32"/>
        </w:rPr>
      </w:pPr>
      <w:r w:rsidRPr="007516B7">
        <w:rPr>
          <w:rFonts w:eastAsia="Calibri" w:cs="Arial"/>
          <w:szCs w:val="20"/>
        </w:rPr>
        <w:t>Na 64 soukromých a veřejných vysokých školách v České republice studovalo v roce 2017 téměř 300 tis. studentů, přičemž v naprosté většině (90,2 %) se jednalo o studenty veřejných vysokých škol. V České republice je dlouhodobě 26 veřejných vysokých škol. Ostatní studenti navštěvovali soukromé vysoké školy (celkem 38 institucí).</w:t>
      </w:r>
      <w:r w:rsidRPr="007516B7">
        <w:rPr>
          <w:rFonts w:eastAsia="Calibri" w:cs="Arial"/>
          <w:lang w:val="sk-SK"/>
        </w:rPr>
        <w:t xml:space="preserve"> </w:t>
      </w:r>
      <w:r w:rsidRPr="007516B7">
        <w:rPr>
          <w:rFonts w:eastAsia="Calibri" w:cs="Arial"/>
          <w:szCs w:val="20"/>
        </w:rPr>
        <w:t>Počet studentů na českých vysokých školách rostl až do roku 2010, kdy jich zde studovalo téměř 400 tisíc, od té doby jejich počet každoročně klesá a nyní je vysokoškolských studentů o čtvrtinu méně. Analogicky s tím od roku 2013 klesá i počet absolventů, kterých bylo v minulém roce 72 tis. S přibližně tříletým zpožděním, které odpovídá délce bakalářského studia, tak počet absolventů reaguje na pokles nově zapsaných studentů.</w:t>
      </w:r>
    </w:p>
    <w:p w:rsidR="001D59A2" w:rsidRPr="001D59A2" w:rsidRDefault="001D59A2" w:rsidP="001D59A2">
      <w:pPr>
        <w:spacing w:line="276" w:lineRule="auto"/>
        <w:jc w:val="both"/>
        <w:rPr>
          <w:rFonts w:eastAsia="Calibri" w:cs="Arial"/>
          <w:b/>
          <w:szCs w:val="20"/>
        </w:rPr>
      </w:pPr>
      <w:r w:rsidRPr="001D59A2">
        <w:rPr>
          <w:rFonts w:eastAsia="Calibri" w:cs="Arial"/>
          <w:b/>
          <w:szCs w:val="20"/>
        </w:rPr>
        <w:t>Graf č. 1: Studenti vysokých škol v ČR a podíl žen</w:t>
      </w:r>
    </w:p>
    <w:p w:rsidR="001D59A2" w:rsidRDefault="00397752" w:rsidP="001D59A2">
      <w:pPr>
        <w:spacing w:line="276" w:lineRule="auto"/>
        <w:jc w:val="center"/>
        <w:rPr>
          <w:rFonts w:eastAsia="Calibri"/>
          <w:noProof/>
          <w:szCs w:val="22"/>
        </w:rPr>
      </w:pPr>
      <w:r>
        <w:rPr>
          <w:noProof/>
        </w:rPr>
        <w:drawing>
          <wp:inline distT="0" distB="0" distL="0" distR="0" wp14:anchorId="3C7B4C34" wp14:editId="3A8090E2">
            <wp:extent cx="4352925" cy="2419350"/>
            <wp:effectExtent l="0" t="0" r="9525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16B7" w:rsidRPr="001D59A2" w:rsidRDefault="007516B7" w:rsidP="007516B7">
      <w:pPr>
        <w:spacing w:line="276" w:lineRule="auto"/>
        <w:rPr>
          <w:rFonts w:eastAsia="Calibri"/>
          <w:noProof/>
          <w:szCs w:val="22"/>
        </w:rPr>
      </w:pPr>
      <w:r w:rsidRPr="00FA1D8E">
        <w:rPr>
          <w:rFonts w:cs="Arial"/>
          <w:sz w:val="16"/>
          <w:szCs w:val="16"/>
        </w:rPr>
        <w:t>Zdroj: MŠMT</w:t>
      </w:r>
    </w:p>
    <w:p w:rsidR="001D59A2" w:rsidRPr="001D59A2" w:rsidRDefault="001D59A2" w:rsidP="007516B7">
      <w:pPr>
        <w:spacing w:line="276" w:lineRule="auto"/>
        <w:rPr>
          <w:rFonts w:eastAsia="Calibri" w:cs="Arial"/>
          <w:b/>
          <w:szCs w:val="20"/>
        </w:rPr>
      </w:pPr>
      <w:r w:rsidRPr="001D59A2">
        <w:rPr>
          <w:rFonts w:eastAsia="Calibri"/>
          <w:b/>
          <w:noProof/>
          <w:szCs w:val="22"/>
        </w:rPr>
        <w:t>Graf č. 2: Studenti vysokých škol v ČR dle studijních programů</w:t>
      </w:r>
    </w:p>
    <w:p w:rsidR="001D59A2" w:rsidRDefault="00397752" w:rsidP="001D59A2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134802A" wp14:editId="4EBCB06C">
            <wp:extent cx="4524375" cy="2495550"/>
            <wp:effectExtent l="0" t="0" r="9525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16B7" w:rsidRPr="001D59A2" w:rsidRDefault="007516B7" w:rsidP="007516B7">
      <w:pPr>
        <w:spacing w:line="276" w:lineRule="auto"/>
        <w:rPr>
          <w:noProof/>
        </w:rPr>
      </w:pPr>
      <w:r w:rsidRPr="00FA1D8E">
        <w:rPr>
          <w:rFonts w:cs="Arial"/>
          <w:sz w:val="16"/>
          <w:szCs w:val="16"/>
        </w:rPr>
        <w:lastRenderedPageBreak/>
        <w:t>Zdroj: MŠMT</w:t>
      </w:r>
    </w:p>
    <w:p w:rsidR="001D59A2" w:rsidRPr="001D59A2" w:rsidRDefault="001D59A2" w:rsidP="001D59A2">
      <w:pPr>
        <w:spacing w:line="276" w:lineRule="auto"/>
        <w:jc w:val="both"/>
        <w:rPr>
          <w:rFonts w:eastAsia="Calibri" w:cs="Arial"/>
          <w:szCs w:val="20"/>
        </w:rPr>
      </w:pPr>
      <w:r w:rsidRPr="001D59A2">
        <w:rPr>
          <w:rFonts w:eastAsia="Calibri" w:cs="Arial"/>
          <w:szCs w:val="20"/>
        </w:rPr>
        <w:t xml:space="preserve"> Pokles v počtu studentů se nejvíce týká bakalářských studijních programů (jejich studenti tvoří 57,6 % všech vysokoškolských studentů), ve kterých oproti roku 2010 ubylo studentů o téměř jednu třetinu. Studentů magisterských programů (vč. navazujících</w:t>
      </w:r>
      <w:r w:rsidR="00622950">
        <w:rPr>
          <w:rFonts w:eastAsia="Calibri" w:cs="Arial"/>
          <w:szCs w:val="20"/>
        </w:rPr>
        <w:t xml:space="preserve"> magisterských, kteří tvoří </w:t>
      </w:r>
      <w:r w:rsidRPr="001D59A2">
        <w:rPr>
          <w:rFonts w:eastAsia="Calibri" w:cs="Arial"/>
          <w:szCs w:val="20"/>
        </w:rPr>
        <w:t>35,7 % všech vysokoškolských studentů) je oproti tomu méně o 15,7 %, a doktorandů (kterých je z celkového počtu vysokoškoláků 7,4 %) o 14,4 % méně. Ženy tvoří dlouhodobě nadpoloviční většinu studentů (56 %) i absolventů (60 %) vysokých škol. V minulém roce studovalo na vysokých školách téměř 168 tisíc žen.</w:t>
      </w:r>
    </w:p>
    <w:p w:rsidR="001D59A2" w:rsidRPr="001D59A2" w:rsidRDefault="001D59A2" w:rsidP="001D59A2">
      <w:pPr>
        <w:spacing w:line="276" w:lineRule="auto"/>
        <w:jc w:val="both"/>
        <w:rPr>
          <w:rFonts w:eastAsia="Calibri" w:cs="Arial"/>
          <w:szCs w:val="20"/>
        </w:rPr>
      </w:pPr>
      <w:r w:rsidRPr="001D59A2">
        <w:rPr>
          <w:rFonts w:eastAsia="Calibri" w:cs="Arial"/>
          <w:szCs w:val="20"/>
        </w:rPr>
        <w:t>Každý sedmý student vysokých škol je cizinec. Celkem jich na veřejných a soukromých vysokých školách v ČR studuje 43,8 tis. Před 10 lety byl přitom cizincem pouze každý 13. student veřejných a soukromých vysokých škol. Pokud se zaměříme pouze na soukromé školy, zde cizinci tvoří téměř pětinu všech studentů (19,3 %). Na veřejných vysokých školách cizinci tvoří 14,1% podíl.</w:t>
      </w:r>
    </w:p>
    <w:p w:rsidR="001D59A2" w:rsidRPr="001D59A2" w:rsidRDefault="001D59A2" w:rsidP="001D59A2">
      <w:pPr>
        <w:spacing w:line="276" w:lineRule="auto"/>
        <w:jc w:val="both"/>
        <w:rPr>
          <w:rFonts w:eastAsia="Calibri" w:cs="Arial"/>
          <w:szCs w:val="20"/>
        </w:rPr>
      </w:pPr>
      <w:r w:rsidRPr="001D59A2">
        <w:rPr>
          <w:rFonts w:eastAsia="Calibri" w:cs="Arial"/>
          <w:szCs w:val="20"/>
        </w:rPr>
        <w:t>Z veřejných vysokých škol navštěvuje dlouhodobě nejvíce studentů Univerzitu Karlovu v Praze (46 tis.), následovanou Masarykovou univerzitou (30,5 tis.) a Univerzitou Palackého v Olomouci (19,8 tis.). Ze soukromých škol drží prvenství v počtu studentů Metropolitní univerzita v Praze (4,2 tis.), následovaná Vysokou školou finanční a správní (3,8 tis.) a Vysokou školou obchodní v Praze (2,2 tis.).</w:t>
      </w:r>
    </w:p>
    <w:p w:rsidR="001D59A2" w:rsidRPr="001D59A2" w:rsidRDefault="001D59A2" w:rsidP="001D59A2">
      <w:pPr>
        <w:spacing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 xml:space="preserve">Mezi studenty dlouhodobě převažuje zájem o obory ze skupiny </w:t>
      </w:r>
      <w:r w:rsidRPr="001D59A2">
        <w:rPr>
          <w:rFonts w:cs="Arial"/>
          <w:i/>
          <w:szCs w:val="20"/>
        </w:rPr>
        <w:t>Obchod, administrativa a právo</w:t>
      </w:r>
      <w:r w:rsidRPr="001D59A2">
        <w:rPr>
          <w:rFonts w:cs="Arial"/>
          <w:szCs w:val="20"/>
        </w:rPr>
        <w:t xml:space="preserve"> (20,2 % všech vysokoškolských studentů), z nichž nejvíce studuje </w:t>
      </w:r>
      <w:r w:rsidRPr="001D59A2">
        <w:rPr>
          <w:rFonts w:cs="Arial"/>
          <w:i/>
          <w:szCs w:val="20"/>
        </w:rPr>
        <w:t>Management a správu</w:t>
      </w:r>
      <w:r w:rsidRPr="001D59A2">
        <w:rPr>
          <w:rFonts w:cs="Arial"/>
          <w:szCs w:val="20"/>
        </w:rPr>
        <w:t xml:space="preserve"> (téměř 20 tis. studentů). Zároveň však tyto obory od roku 2010 zaznamenávají jeden z nejvyšších poklesů studujících, kterých za posledních 7 let ubylo o téměř třetinu (-32 %). Oblíbené mezi vysokoškoláky jsou také technické obory ze skupiny </w:t>
      </w:r>
      <w:r w:rsidRPr="001D59A2">
        <w:rPr>
          <w:rFonts w:cs="Arial"/>
          <w:i/>
          <w:szCs w:val="20"/>
        </w:rPr>
        <w:t>Technika, výroba a stavebnictví</w:t>
      </w:r>
      <w:r w:rsidRPr="001D59A2">
        <w:rPr>
          <w:rFonts w:cs="Arial"/>
          <w:szCs w:val="20"/>
        </w:rPr>
        <w:t xml:space="preserve">, které navštěvuje 16,1 % studujících, ovšem i tyto se v posledních letech potýkají s úbytkem studentů, který odpovídá celkovému úbytku vysokoškoláků. Za posledních </w:t>
      </w:r>
      <w:r w:rsidR="007516B7">
        <w:rPr>
          <w:rFonts w:cs="Arial"/>
          <w:szCs w:val="20"/>
        </w:rPr>
        <w:t xml:space="preserve">7 let jich ubylo téměř 17 tisíc </w:t>
      </w:r>
      <w:r w:rsidRPr="001D59A2">
        <w:rPr>
          <w:rFonts w:cs="Arial"/>
          <w:szCs w:val="20"/>
        </w:rPr>
        <w:t xml:space="preserve">(-26 %). Výrazně klesá počet studentů (dříve třetí nejčastější) skupiny oborů </w:t>
      </w:r>
      <w:r w:rsidRPr="001D59A2">
        <w:rPr>
          <w:rFonts w:cs="Arial"/>
          <w:i/>
          <w:szCs w:val="20"/>
        </w:rPr>
        <w:t>Vzdělávání a výchova</w:t>
      </w:r>
      <w:r w:rsidRPr="001D59A2">
        <w:rPr>
          <w:rFonts w:cs="Arial"/>
          <w:szCs w:val="20"/>
        </w:rPr>
        <w:t>, kterých je od roku 2010 méně o celých 33 % a nyní tvoří jednu desetinu studentů.</w:t>
      </w:r>
    </w:p>
    <w:p w:rsidR="001D59A2" w:rsidRPr="001D59A2" w:rsidRDefault="001D59A2" w:rsidP="001D59A2">
      <w:pPr>
        <w:spacing w:line="276" w:lineRule="auto"/>
        <w:jc w:val="both"/>
        <w:rPr>
          <w:rFonts w:cs="Arial"/>
          <w:b/>
          <w:szCs w:val="20"/>
        </w:rPr>
      </w:pPr>
      <w:r w:rsidRPr="001D59A2">
        <w:rPr>
          <w:rFonts w:cs="Arial"/>
          <w:b/>
          <w:szCs w:val="20"/>
        </w:rPr>
        <w:t>Graf č. 3: Nejnavštěvovanější skupiny studijních oborů vysokých škol</w:t>
      </w:r>
    </w:p>
    <w:p w:rsidR="007516B7" w:rsidRDefault="00397752" w:rsidP="007516B7">
      <w:pPr>
        <w:spacing w:line="276" w:lineRule="auto"/>
        <w:jc w:val="center"/>
        <w:rPr>
          <w:rFonts w:cs="Arial"/>
          <w:szCs w:val="20"/>
        </w:rPr>
      </w:pPr>
      <w:r>
        <w:rPr>
          <w:noProof/>
        </w:rPr>
        <w:drawing>
          <wp:inline distT="0" distB="0" distL="0" distR="0" wp14:anchorId="5AE9A257" wp14:editId="0BF03A29">
            <wp:extent cx="4572000" cy="27432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16B7" w:rsidRPr="001D59A2" w:rsidRDefault="007516B7" w:rsidP="007516B7">
      <w:pPr>
        <w:spacing w:line="276" w:lineRule="auto"/>
        <w:rPr>
          <w:rFonts w:cs="Arial"/>
          <w:szCs w:val="20"/>
        </w:rPr>
      </w:pPr>
      <w:r w:rsidRPr="00FA1D8E">
        <w:rPr>
          <w:rFonts w:cs="Arial"/>
          <w:sz w:val="16"/>
          <w:szCs w:val="16"/>
        </w:rPr>
        <w:t>Zdroj: MŠMT</w:t>
      </w:r>
    </w:p>
    <w:p w:rsidR="007F43D9" w:rsidRPr="001D59A2" w:rsidRDefault="001D59A2" w:rsidP="007516B7">
      <w:pPr>
        <w:spacing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 xml:space="preserve"> Velmi dobře se naopak daří skupině oborů </w:t>
      </w:r>
      <w:r w:rsidRPr="001D59A2">
        <w:rPr>
          <w:rFonts w:cs="Arial"/>
          <w:i/>
          <w:szCs w:val="20"/>
        </w:rPr>
        <w:t>Zdravotní a sociální péče</w:t>
      </w:r>
      <w:r w:rsidRPr="001D59A2">
        <w:rPr>
          <w:rFonts w:cs="Arial"/>
          <w:szCs w:val="20"/>
        </w:rPr>
        <w:t xml:space="preserve">, ve kterých za sledované období studentů nejen že neubylo, ale dokonce 5 tis. přibylo. Jejich podíl na celkovém počtu studentů byl 11,9 %. Relativně stabilní v počtu studentů je skupina oborů </w:t>
      </w:r>
      <w:r w:rsidRPr="001D59A2">
        <w:rPr>
          <w:rFonts w:cs="Arial"/>
          <w:i/>
          <w:szCs w:val="20"/>
        </w:rPr>
        <w:t>Přírodních věd, matematiky a statistiky</w:t>
      </w:r>
      <w:r w:rsidRPr="001D59A2">
        <w:rPr>
          <w:rFonts w:cs="Arial"/>
          <w:szCs w:val="20"/>
        </w:rPr>
        <w:t xml:space="preserve">, která zahrnuje 6,3 % studentů. V čase poměrně stálý, pouze s mírným úbytkem, zůstává i počet studentů oborů </w:t>
      </w:r>
      <w:r w:rsidRPr="001D59A2">
        <w:rPr>
          <w:rFonts w:cs="Arial"/>
          <w:i/>
          <w:szCs w:val="20"/>
        </w:rPr>
        <w:t xml:space="preserve">Informačních </w:t>
      </w:r>
      <w:r w:rsidRPr="001D59A2">
        <w:rPr>
          <w:rFonts w:cs="Arial"/>
          <w:i/>
          <w:szCs w:val="20"/>
        </w:rPr>
        <w:lastRenderedPageBreak/>
        <w:t>a komunikačních technologií</w:t>
      </w:r>
      <w:r w:rsidRPr="001D59A2">
        <w:rPr>
          <w:rFonts w:cs="Arial"/>
          <w:szCs w:val="20"/>
        </w:rPr>
        <w:t xml:space="preserve"> (6,7 % studentů), </w:t>
      </w:r>
      <w:r w:rsidRPr="001D59A2">
        <w:rPr>
          <w:rFonts w:cs="Arial"/>
          <w:i/>
          <w:szCs w:val="20"/>
        </w:rPr>
        <w:t xml:space="preserve">Zemědělství, lesnictví, rybářství a veterinářství </w:t>
      </w:r>
      <w:r w:rsidRPr="001D59A2">
        <w:rPr>
          <w:rFonts w:cs="Arial"/>
          <w:szCs w:val="20"/>
        </w:rPr>
        <w:t xml:space="preserve">(4 %) a </w:t>
      </w:r>
      <w:r w:rsidRPr="001D59A2">
        <w:rPr>
          <w:rFonts w:cs="Arial"/>
          <w:i/>
          <w:szCs w:val="20"/>
        </w:rPr>
        <w:t>Služeb</w:t>
      </w:r>
      <w:r w:rsidRPr="001D59A2">
        <w:rPr>
          <w:rFonts w:cs="Arial"/>
          <w:szCs w:val="20"/>
        </w:rPr>
        <w:t xml:space="preserve"> (5,6 %). </w:t>
      </w:r>
    </w:p>
    <w:p w:rsidR="001D59A2" w:rsidRPr="007F43D9" w:rsidRDefault="007F43D9" w:rsidP="007F43D9">
      <w:pPr>
        <w:spacing w:after="200" w:line="276" w:lineRule="auto"/>
        <w:ind w:left="360"/>
        <w:jc w:val="both"/>
        <w:rPr>
          <w:rFonts w:eastAsia="Calibri" w:cs="Arial"/>
          <w:b/>
          <w:color w:val="943634"/>
          <w:sz w:val="28"/>
          <w:szCs w:val="28"/>
          <w:lang w:eastAsia="en-US"/>
        </w:rPr>
      </w:pPr>
      <w:r w:rsidRPr="007F43D9">
        <w:rPr>
          <w:rFonts w:eastAsia="Calibri" w:cs="Arial"/>
          <w:b/>
          <w:color w:val="943634"/>
          <w:sz w:val="28"/>
          <w:szCs w:val="28"/>
          <w:lang w:eastAsia="en-US"/>
        </w:rPr>
        <w:t xml:space="preserve">1.2 </w:t>
      </w:r>
      <w:r>
        <w:rPr>
          <w:rFonts w:eastAsia="Calibri" w:cs="Arial"/>
          <w:b/>
          <w:color w:val="943634"/>
          <w:sz w:val="28"/>
          <w:szCs w:val="28"/>
          <w:lang w:eastAsia="en-US"/>
        </w:rPr>
        <w:t>Stude</w:t>
      </w:r>
      <w:r w:rsidR="006332C5">
        <w:rPr>
          <w:rFonts w:eastAsia="Calibri" w:cs="Arial"/>
          <w:b/>
          <w:color w:val="943634"/>
          <w:sz w:val="28"/>
          <w:szCs w:val="28"/>
          <w:lang w:eastAsia="en-US"/>
        </w:rPr>
        <w:t>nti vy</w:t>
      </w:r>
      <w:r w:rsidR="00B563D9">
        <w:rPr>
          <w:rFonts w:eastAsia="Calibri" w:cs="Arial"/>
          <w:b/>
          <w:color w:val="943634"/>
          <w:sz w:val="28"/>
          <w:szCs w:val="28"/>
          <w:lang w:eastAsia="en-US"/>
        </w:rPr>
        <w:t xml:space="preserve">sokých škol podle skupin oborů a </w:t>
      </w:r>
      <w:r w:rsidR="006332C5">
        <w:rPr>
          <w:rFonts w:eastAsia="Calibri" w:cs="Arial"/>
          <w:b/>
          <w:color w:val="943634"/>
          <w:sz w:val="28"/>
          <w:szCs w:val="28"/>
          <w:lang w:eastAsia="en-US"/>
        </w:rPr>
        <w:t>pohlaví</w:t>
      </w:r>
    </w:p>
    <w:p w:rsidR="001D59A2" w:rsidRPr="001D59A2" w:rsidRDefault="001D59A2" w:rsidP="001D59A2">
      <w:pPr>
        <w:spacing w:after="200" w:line="276" w:lineRule="auto"/>
        <w:jc w:val="both"/>
        <w:rPr>
          <w:rFonts w:eastAsia="Calibri" w:cs="Arial"/>
          <w:b/>
          <w:szCs w:val="20"/>
          <w:lang w:eastAsia="en-US"/>
        </w:rPr>
      </w:pPr>
      <w:r w:rsidRPr="001D59A2">
        <w:rPr>
          <w:rFonts w:eastAsia="Calibri" w:cs="Arial"/>
          <w:b/>
          <w:szCs w:val="20"/>
          <w:lang w:eastAsia="en-US"/>
        </w:rPr>
        <w:t>Graf č. 4: Studenti vysokých škol podle skupin oborů a pohlaví v roce 2017</w:t>
      </w:r>
    </w:p>
    <w:p w:rsidR="001D59A2" w:rsidRDefault="00397752" w:rsidP="001D59A2">
      <w:pPr>
        <w:spacing w:after="200" w:line="276" w:lineRule="auto"/>
        <w:jc w:val="center"/>
        <w:rPr>
          <w:rFonts w:eastAsia="Calibri" w:cs="Arial"/>
          <w:b/>
          <w:color w:val="943634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7A27B5A" wp14:editId="5C5E64D1">
            <wp:extent cx="6120130" cy="4043045"/>
            <wp:effectExtent l="0" t="0" r="13970" b="1460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16B7" w:rsidRDefault="007516B7" w:rsidP="007516B7">
      <w:pPr>
        <w:spacing w:after="200" w:line="276" w:lineRule="auto"/>
        <w:rPr>
          <w:rFonts w:eastAsia="Calibri" w:cs="Arial"/>
          <w:b/>
          <w:color w:val="943634"/>
          <w:sz w:val="28"/>
          <w:szCs w:val="28"/>
          <w:lang w:eastAsia="en-US"/>
        </w:rPr>
      </w:pPr>
      <w:r w:rsidRPr="00FA1D8E">
        <w:rPr>
          <w:rFonts w:cs="Arial"/>
          <w:sz w:val="16"/>
          <w:szCs w:val="16"/>
        </w:rPr>
        <w:t>Zdroj: MŠMT</w:t>
      </w:r>
    </w:p>
    <w:p w:rsidR="001D59A2" w:rsidRPr="001D59A2" w:rsidRDefault="001D59A2" w:rsidP="007516B7">
      <w:pPr>
        <w:spacing w:after="200" w:line="276" w:lineRule="auto"/>
        <w:ind w:firstLine="708"/>
        <w:jc w:val="both"/>
        <w:rPr>
          <w:rFonts w:eastAsia="Calibri" w:cs="Arial"/>
          <w:szCs w:val="20"/>
          <w:lang w:eastAsia="en-US"/>
        </w:rPr>
      </w:pPr>
      <w:r w:rsidRPr="001D59A2">
        <w:rPr>
          <w:rFonts w:eastAsia="Calibri" w:cs="Arial"/>
          <w:szCs w:val="20"/>
          <w:lang w:eastAsia="en-US"/>
        </w:rPr>
        <w:t xml:space="preserve">Celkově můžeme říci, že muži převládají v oborech </w:t>
      </w:r>
      <w:r w:rsidRPr="001D59A2">
        <w:rPr>
          <w:rFonts w:eastAsia="Calibri" w:cs="Arial"/>
          <w:i/>
          <w:szCs w:val="20"/>
          <w:lang w:eastAsia="en-US"/>
        </w:rPr>
        <w:t>Informační a komunikační technologie</w:t>
      </w:r>
      <w:r w:rsidRPr="001D59A2">
        <w:rPr>
          <w:rFonts w:eastAsia="Calibri" w:cs="Arial"/>
          <w:szCs w:val="20"/>
          <w:lang w:eastAsia="en-US"/>
        </w:rPr>
        <w:t xml:space="preserve"> a </w:t>
      </w:r>
      <w:r w:rsidRPr="001D59A2">
        <w:rPr>
          <w:rFonts w:eastAsia="Calibri" w:cs="Arial"/>
          <w:i/>
          <w:szCs w:val="20"/>
          <w:lang w:eastAsia="en-US"/>
        </w:rPr>
        <w:t>Technika, výroba a stavebnictví</w:t>
      </w:r>
      <w:r w:rsidRPr="001D59A2">
        <w:rPr>
          <w:rFonts w:eastAsia="Calibri" w:cs="Arial"/>
          <w:szCs w:val="20"/>
          <w:lang w:eastAsia="en-US"/>
        </w:rPr>
        <w:t xml:space="preserve">. V kategorii </w:t>
      </w:r>
      <w:r w:rsidRPr="001D59A2">
        <w:rPr>
          <w:rFonts w:eastAsia="Calibri" w:cs="Arial"/>
          <w:i/>
          <w:szCs w:val="20"/>
          <w:lang w:eastAsia="en-US"/>
        </w:rPr>
        <w:t>Služby</w:t>
      </w:r>
      <w:r w:rsidRPr="001D59A2">
        <w:rPr>
          <w:rFonts w:eastAsia="Calibri" w:cs="Arial"/>
          <w:szCs w:val="20"/>
          <w:lang w:eastAsia="en-US"/>
        </w:rPr>
        <w:t xml:space="preserve"> je to téměř vyrovnané, ale samostatné obory </w:t>
      </w:r>
      <w:r w:rsidRPr="001D59A2">
        <w:rPr>
          <w:rFonts w:eastAsia="Calibri" w:cs="Arial"/>
          <w:i/>
          <w:szCs w:val="20"/>
          <w:lang w:eastAsia="en-US"/>
        </w:rPr>
        <w:t>Bezpečnostní služby</w:t>
      </w:r>
      <w:r w:rsidRPr="001D59A2">
        <w:rPr>
          <w:rFonts w:eastAsia="Calibri" w:cs="Arial"/>
          <w:szCs w:val="20"/>
          <w:lang w:eastAsia="en-US"/>
        </w:rPr>
        <w:t xml:space="preserve"> a </w:t>
      </w:r>
      <w:r w:rsidRPr="001D59A2">
        <w:rPr>
          <w:rFonts w:eastAsia="Calibri" w:cs="Arial"/>
          <w:i/>
          <w:szCs w:val="20"/>
          <w:lang w:eastAsia="en-US"/>
        </w:rPr>
        <w:t>Přepravní služby a spoje</w:t>
      </w:r>
      <w:r w:rsidRPr="001D59A2">
        <w:rPr>
          <w:rFonts w:eastAsia="Calibri" w:cs="Arial"/>
          <w:szCs w:val="20"/>
          <w:lang w:eastAsia="en-US"/>
        </w:rPr>
        <w:t xml:space="preserve"> studuje více mužů než žen. V kategorii </w:t>
      </w:r>
      <w:r w:rsidRPr="001D59A2">
        <w:rPr>
          <w:rFonts w:eastAsia="Calibri" w:cs="Arial"/>
          <w:i/>
          <w:szCs w:val="20"/>
          <w:lang w:eastAsia="en-US"/>
        </w:rPr>
        <w:t>Vzdělávání a výchova</w:t>
      </w:r>
      <w:r w:rsidRPr="001D59A2">
        <w:rPr>
          <w:rFonts w:eastAsia="Calibri" w:cs="Arial"/>
          <w:szCs w:val="20"/>
          <w:lang w:eastAsia="en-US"/>
        </w:rPr>
        <w:t xml:space="preserve"> jednoznačně převládají ženy. Celkově v roce 2017 obory z poslední jmenované skupiny studovalo 25,3 tisíc studentů. Na tomto počtu se muži podíleli pouhými 22,6 %. </w:t>
      </w:r>
      <w:r w:rsidRPr="001D59A2">
        <w:rPr>
          <w:rFonts w:eastAsia="Calibri" w:cs="Arial"/>
          <w:i/>
          <w:szCs w:val="20"/>
          <w:lang w:eastAsia="en-US"/>
        </w:rPr>
        <w:t>Společenské vědy, žurnalistiku a informační vědy</w:t>
      </w:r>
      <w:r w:rsidRPr="001D59A2">
        <w:rPr>
          <w:rFonts w:eastAsia="Calibri" w:cs="Arial"/>
          <w:szCs w:val="20"/>
          <w:lang w:eastAsia="en-US"/>
        </w:rPr>
        <w:t xml:space="preserve"> studuje opět více žen než mužů. Z celkového počtu 30,4 tisíc studentů studujících tyto obory 63,2 % tvoří ženy. </w:t>
      </w:r>
    </w:p>
    <w:p w:rsidR="001D59A2" w:rsidRPr="001D59A2" w:rsidRDefault="001D59A2" w:rsidP="001D59A2">
      <w:pPr>
        <w:spacing w:after="200" w:line="276" w:lineRule="auto"/>
        <w:jc w:val="both"/>
        <w:rPr>
          <w:rFonts w:eastAsia="Calibri" w:cs="Arial"/>
          <w:szCs w:val="20"/>
          <w:lang w:eastAsia="en-US"/>
        </w:rPr>
      </w:pPr>
      <w:r w:rsidRPr="001D59A2">
        <w:rPr>
          <w:rFonts w:eastAsia="Calibri" w:cs="Arial"/>
          <w:szCs w:val="20"/>
          <w:lang w:eastAsia="en-US"/>
        </w:rPr>
        <w:t xml:space="preserve"> Studijní obory ze skupiny </w:t>
      </w:r>
      <w:r w:rsidRPr="001D59A2">
        <w:rPr>
          <w:rFonts w:eastAsia="Calibri" w:cs="Arial"/>
          <w:i/>
          <w:szCs w:val="20"/>
          <w:lang w:eastAsia="en-US"/>
        </w:rPr>
        <w:t>Technika, výroba a stavebnictví</w:t>
      </w:r>
      <w:r w:rsidRPr="001D59A2">
        <w:rPr>
          <w:rFonts w:eastAsia="Calibri" w:cs="Arial"/>
          <w:szCs w:val="20"/>
          <w:lang w:eastAsia="en-US"/>
        </w:rPr>
        <w:t xml:space="preserve"> v roce 2017 studovalo 48,1 tisíc studentů a 32,7 % z nich byly ženy. Podíl studentek, které si vybraly technické obory, se během let příliš neměnil. Například v roce 2010 byl jejich podíl na celkovém počtu studentek vysokých škol 8,6 %, před dvěma lety 9,4 % a v minulém roce rovněž 9,4 %. Z celkového počtu studentů technických oborů studovalo v roce 2017 obory </w:t>
      </w:r>
      <w:r w:rsidRPr="001D59A2">
        <w:rPr>
          <w:rFonts w:eastAsia="Calibri" w:cs="Arial"/>
          <w:i/>
          <w:szCs w:val="20"/>
          <w:lang w:eastAsia="en-US"/>
        </w:rPr>
        <w:t>Inženýrství a strojírenství</w:t>
      </w:r>
      <w:r w:rsidRPr="001D59A2">
        <w:rPr>
          <w:rFonts w:eastAsia="Calibri" w:cs="Arial"/>
          <w:szCs w:val="20"/>
          <w:lang w:eastAsia="en-US"/>
        </w:rPr>
        <w:t xml:space="preserve"> 44,6 % studentů, </w:t>
      </w:r>
      <w:r w:rsidRPr="001D59A2">
        <w:rPr>
          <w:rFonts w:eastAsia="Calibri" w:cs="Arial"/>
          <w:i/>
          <w:szCs w:val="20"/>
          <w:lang w:eastAsia="en-US"/>
        </w:rPr>
        <w:t>Výrobu a zpracování 8,7 %</w:t>
      </w:r>
      <w:r w:rsidRPr="001D59A2">
        <w:rPr>
          <w:rFonts w:eastAsia="Calibri" w:cs="Arial"/>
          <w:szCs w:val="20"/>
          <w:lang w:eastAsia="en-US"/>
        </w:rPr>
        <w:t xml:space="preserve"> studentů a </w:t>
      </w:r>
      <w:r w:rsidRPr="001D59A2">
        <w:rPr>
          <w:rFonts w:eastAsia="Calibri" w:cs="Arial"/>
          <w:i/>
          <w:szCs w:val="20"/>
          <w:lang w:eastAsia="en-US"/>
        </w:rPr>
        <w:t>Architekturu</w:t>
      </w:r>
      <w:r w:rsidRPr="001D59A2">
        <w:rPr>
          <w:rFonts w:eastAsia="Calibri" w:cs="Arial"/>
          <w:szCs w:val="20"/>
          <w:lang w:eastAsia="en-US"/>
        </w:rPr>
        <w:t xml:space="preserve"> </w:t>
      </w:r>
      <w:r w:rsidRPr="001D59A2">
        <w:rPr>
          <w:rFonts w:eastAsia="Calibri" w:cs="Arial"/>
          <w:i/>
          <w:szCs w:val="20"/>
          <w:lang w:eastAsia="en-US"/>
        </w:rPr>
        <w:t>a stavebnictví</w:t>
      </w:r>
      <w:r w:rsidRPr="001D59A2">
        <w:rPr>
          <w:rFonts w:eastAsia="Calibri" w:cs="Arial"/>
          <w:szCs w:val="20"/>
          <w:lang w:eastAsia="en-US"/>
        </w:rPr>
        <w:t xml:space="preserve"> 26,8 % studentů. Pro ženy byla z této skupiny oborů atraktívní </w:t>
      </w:r>
      <w:r w:rsidRPr="001D59A2">
        <w:rPr>
          <w:rFonts w:eastAsia="Calibri" w:cs="Arial"/>
          <w:i/>
          <w:szCs w:val="20"/>
          <w:lang w:eastAsia="en-US"/>
        </w:rPr>
        <w:t>Architektura a</w:t>
      </w:r>
      <w:r w:rsidRPr="001D59A2">
        <w:rPr>
          <w:rFonts w:eastAsia="Calibri" w:cs="Arial"/>
          <w:szCs w:val="20"/>
          <w:lang w:eastAsia="en-US"/>
        </w:rPr>
        <w:t xml:space="preserve"> </w:t>
      </w:r>
      <w:r w:rsidRPr="001D59A2">
        <w:rPr>
          <w:rFonts w:eastAsia="Calibri" w:cs="Arial"/>
          <w:i/>
          <w:szCs w:val="20"/>
          <w:lang w:eastAsia="en-US"/>
        </w:rPr>
        <w:t>stavebnictví,</w:t>
      </w:r>
      <w:r w:rsidRPr="001D59A2">
        <w:rPr>
          <w:rFonts w:eastAsia="Calibri" w:cs="Arial"/>
          <w:szCs w:val="20"/>
          <w:lang w:eastAsia="en-US"/>
        </w:rPr>
        <w:t xml:space="preserve"> které studovalo téměř 5,7 tisíc studentek, tedy necelá 2 % ze všech vysokoškolaček. V roce 2017 úspěšně dokončilo studium technických oborů celkem 12,3 tisíc studentů, z toho třetinu tvořily ženy.</w:t>
      </w:r>
    </w:p>
    <w:p w:rsidR="007516B7" w:rsidRPr="001D59A2" w:rsidRDefault="001D59A2" w:rsidP="00E32388">
      <w:pPr>
        <w:spacing w:after="200" w:line="276" w:lineRule="auto"/>
        <w:jc w:val="both"/>
        <w:rPr>
          <w:rFonts w:eastAsia="Calibri" w:cs="Arial"/>
          <w:szCs w:val="20"/>
          <w:lang w:eastAsia="en-US"/>
        </w:rPr>
      </w:pPr>
      <w:r w:rsidRPr="001D59A2">
        <w:rPr>
          <w:rFonts w:eastAsia="Calibri" w:cs="Arial"/>
          <w:i/>
          <w:szCs w:val="20"/>
          <w:lang w:eastAsia="en-US"/>
        </w:rPr>
        <w:t>Umění a humanitní vědy</w:t>
      </w:r>
      <w:r w:rsidRPr="001D59A2">
        <w:rPr>
          <w:rFonts w:eastAsia="Calibri" w:cs="Arial"/>
          <w:szCs w:val="20"/>
          <w:lang w:eastAsia="en-US"/>
        </w:rPr>
        <w:t xml:space="preserve"> v roce 2017 studovalo 29,8 tisíc studentů, z toho převážná většina byly ženy, 66,4 </w:t>
      </w:r>
      <w:r w:rsidRPr="001D59A2">
        <w:rPr>
          <w:rFonts w:eastAsia="Calibri" w:cs="Arial"/>
          <w:i/>
          <w:szCs w:val="20"/>
          <w:lang w:eastAsia="en-US"/>
        </w:rPr>
        <w:t>%. Přírodní vědy, matematiku a statistiku</w:t>
      </w:r>
      <w:r w:rsidRPr="001D59A2">
        <w:rPr>
          <w:rFonts w:eastAsia="Calibri" w:cs="Arial"/>
          <w:szCs w:val="20"/>
          <w:lang w:eastAsia="en-US"/>
        </w:rPr>
        <w:t xml:space="preserve"> studovalo na veřejných a soukromých vysokých školách v minulém roce  6,3 % studentů. Více než polovinu všech studentů </w:t>
      </w:r>
      <w:r w:rsidRPr="001D59A2">
        <w:rPr>
          <w:rFonts w:eastAsia="Calibri" w:cs="Arial"/>
          <w:i/>
          <w:szCs w:val="20"/>
          <w:lang w:eastAsia="en-US"/>
        </w:rPr>
        <w:t>Přírodních věd, matematiky a statistiky</w:t>
      </w:r>
      <w:r w:rsidRPr="001D59A2">
        <w:rPr>
          <w:rFonts w:eastAsia="Calibri" w:cs="Arial"/>
          <w:szCs w:val="20"/>
          <w:lang w:eastAsia="en-US"/>
        </w:rPr>
        <w:t xml:space="preserve"> tvořily ženy, 58,6 %. </w:t>
      </w:r>
    </w:p>
    <w:p w:rsidR="001D59A2" w:rsidRPr="00B563D9" w:rsidRDefault="00B563D9" w:rsidP="00B563D9">
      <w:pPr>
        <w:spacing w:after="0" w:line="276" w:lineRule="auto"/>
        <w:jc w:val="both"/>
        <w:rPr>
          <w:rFonts w:cs="Arial"/>
          <w:b/>
          <w:color w:val="943634"/>
          <w:sz w:val="32"/>
          <w:szCs w:val="32"/>
        </w:rPr>
      </w:pPr>
      <w:r>
        <w:rPr>
          <w:rFonts w:cs="Arial"/>
          <w:b/>
          <w:color w:val="943634"/>
          <w:sz w:val="32"/>
          <w:szCs w:val="32"/>
        </w:rPr>
        <w:lastRenderedPageBreak/>
        <w:t xml:space="preserve">1.3 Cizinci na vysokých školách </w:t>
      </w:r>
    </w:p>
    <w:p w:rsidR="001D59A2" w:rsidRPr="001D59A2" w:rsidRDefault="001D59A2" w:rsidP="001D59A2">
      <w:pPr>
        <w:spacing w:after="0" w:line="276" w:lineRule="auto"/>
        <w:jc w:val="both"/>
        <w:rPr>
          <w:rFonts w:cs="Arial"/>
          <w:b/>
          <w:color w:val="943634"/>
          <w:sz w:val="24"/>
        </w:rPr>
      </w:pPr>
    </w:p>
    <w:p w:rsidR="001D59A2" w:rsidRDefault="001D59A2" w:rsidP="001D59A2">
      <w:pPr>
        <w:spacing w:after="0" w:line="276" w:lineRule="auto"/>
        <w:jc w:val="both"/>
        <w:rPr>
          <w:rFonts w:cs="Arial"/>
          <w:b/>
          <w:szCs w:val="20"/>
        </w:rPr>
      </w:pPr>
      <w:r w:rsidRPr="001D59A2">
        <w:rPr>
          <w:rFonts w:cs="Arial"/>
          <w:b/>
          <w:szCs w:val="20"/>
        </w:rPr>
        <w:t>Graf č. 5: Cizinci studující na vysokých školách v ČR podle studijních programů</w:t>
      </w:r>
    </w:p>
    <w:p w:rsidR="007516B7" w:rsidRPr="001D59A2" w:rsidRDefault="007516B7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1D59A2" w:rsidRPr="001D59A2" w:rsidRDefault="00E32388" w:rsidP="001D59A2">
      <w:pPr>
        <w:spacing w:after="0"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A34AA5D" wp14:editId="5CBD1DAD">
            <wp:extent cx="5848350" cy="28003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16B7" w:rsidRDefault="007516B7" w:rsidP="007516B7">
      <w:pPr>
        <w:spacing w:after="0" w:line="276" w:lineRule="auto"/>
        <w:jc w:val="both"/>
        <w:rPr>
          <w:rFonts w:cs="Arial"/>
          <w:sz w:val="16"/>
          <w:szCs w:val="16"/>
        </w:rPr>
      </w:pPr>
    </w:p>
    <w:p w:rsidR="001D59A2" w:rsidRDefault="007516B7" w:rsidP="007516B7">
      <w:pPr>
        <w:spacing w:after="0" w:line="276" w:lineRule="auto"/>
        <w:jc w:val="both"/>
        <w:rPr>
          <w:rFonts w:cs="Arial"/>
          <w:sz w:val="16"/>
          <w:szCs w:val="16"/>
        </w:rPr>
      </w:pPr>
      <w:r w:rsidRPr="00FA1D8E">
        <w:rPr>
          <w:rFonts w:cs="Arial"/>
          <w:sz w:val="16"/>
          <w:szCs w:val="16"/>
        </w:rPr>
        <w:t>Zdroj: MŠMT</w:t>
      </w:r>
    </w:p>
    <w:p w:rsidR="007516B7" w:rsidRPr="001D59A2" w:rsidRDefault="007516B7" w:rsidP="007516B7">
      <w:pPr>
        <w:spacing w:after="0" w:line="276" w:lineRule="auto"/>
        <w:jc w:val="both"/>
        <w:rPr>
          <w:rFonts w:cs="Arial"/>
          <w:szCs w:val="20"/>
        </w:rPr>
      </w:pPr>
    </w:p>
    <w:p w:rsidR="00E32388" w:rsidRDefault="001D59A2" w:rsidP="001D59A2">
      <w:pPr>
        <w:spacing w:after="0"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 xml:space="preserve">V České republice studovalo v roce 2017 na vysokých školách celkem 43,8 tisíc zahraničních studentů. Jejich podíl na celkovém počtu studentů tvořil 14,7 %. Za posledních 10 let jejich počet narostl 1,6 násobně a každoročně jich na českých vysokých školách přibývá. Například meziroční nárůst mezi lety 2016 a 2017 představuje 0,8 %. Většina zahraničních studentů navštěvovala veřejné vysoké školy a pouze 13,2 % soukromé vysoké školy. </w:t>
      </w:r>
    </w:p>
    <w:p w:rsidR="00E32388" w:rsidRDefault="00E32388" w:rsidP="001D59A2">
      <w:pPr>
        <w:spacing w:after="0" w:line="276" w:lineRule="auto"/>
        <w:jc w:val="both"/>
        <w:rPr>
          <w:rFonts w:cs="Arial"/>
          <w:szCs w:val="20"/>
        </w:rPr>
      </w:pPr>
    </w:p>
    <w:p w:rsidR="00E32388" w:rsidRDefault="001D59A2" w:rsidP="001D59A2">
      <w:pPr>
        <w:spacing w:after="0"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 xml:space="preserve">Které obory lákají cizince nejvíce? Stejně jako pro české, tak i pro zahraniční studenty je nejatraktivnější skupinou oborů </w:t>
      </w:r>
      <w:r w:rsidRPr="001D59A2">
        <w:rPr>
          <w:rFonts w:cs="Arial"/>
          <w:i/>
          <w:szCs w:val="20"/>
        </w:rPr>
        <w:t>Obchod, administrativa a právo</w:t>
      </w:r>
      <w:r w:rsidRPr="001D59A2">
        <w:rPr>
          <w:rFonts w:cs="Arial"/>
          <w:szCs w:val="20"/>
        </w:rPr>
        <w:t xml:space="preserve">, které studuje nejvíc, tedy 20,6 % všech cizinců. Z této skupiny oborů za nejatraktivnější považují cizinci </w:t>
      </w:r>
      <w:r w:rsidRPr="001D59A2">
        <w:rPr>
          <w:rFonts w:cs="Arial"/>
          <w:i/>
          <w:szCs w:val="20"/>
        </w:rPr>
        <w:t>Management a správu</w:t>
      </w:r>
      <w:r w:rsidRPr="001D59A2">
        <w:rPr>
          <w:rFonts w:cs="Arial"/>
          <w:szCs w:val="20"/>
        </w:rPr>
        <w:t>, které studuje více než třetina z nich.</w:t>
      </w:r>
    </w:p>
    <w:p w:rsidR="00E32388" w:rsidRDefault="00E32388" w:rsidP="001D59A2">
      <w:pPr>
        <w:spacing w:after="0" w:line="276" w:lineRule="auto"/>
        <w:jc w:val="both"/>
        <w:rPr>
          <w:rFonts w:cs="Arial"/>
          <w:szCs w:val="20"/>
        </w:rPr>
      </w:pPr>
    </w:p>
    <w:p w:rsidR="00E32388" w:rsidRDefault="001D59A2" w:rsidP="001D59A2">
      <w:pPr>
        <w:spacing w:after="0"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 xml:space="preserve"> Další atraktivní oblast pro studenty cizince </w:t>
      </w:r>
      <w:r w:rsidRPr="001D59A2">
        <w:rPr>
          <w:rFonts w:cs="Arial"/>
          <w:i/>
          <w:szCs w:val="20"/>
        </w:rPr>
        <w:t>je Zdravotní a sociální péče</w:t>
      </w:r>
      <w:r w:rsidRPr="001D59A2">
        <w:rPr>
          <w:rFonts w:cs="Arial"/>
          <w:szCs w:val="20"/>
        </w:rPr>
        <w:t xml:space="preserve">, které studuje 18,3 % všech cizinců. Téměř </w:t>
      </w:r>
      <w:proofErr w:type="gramStart"/>
      <w:r w:rsidRPr="001D59A2">
        <w:rPr>
          <w:rFonts w:cs="Arial"/>
          <w:szCs w:val="20"/>
        </w:rPr>
        <w:t>tři</w:t>
      </w:r>
      <w:proofErr w:type="gramEnd"/>
      <w:r w:rsidRPr="001D59A2">
        <w:rPr>
          <w:rFonts w:cs="Arial"/>
          <w:szCs w:val="20"/>
        </w:rPr>
        <w:t xml:space="preserve"> čtvrtiny z nich studuje </w:t>
      </w:r>
      <w:r w:rsidRPr="001D59A2">
        <w:rPr>
          <w:rFonts w:cs="Arial"/>
          <w:i/>
          <w:szCs w:val="20"/>
        </w:rPr>
        <w:t>Humánní medicínu</w:t>
      </w:r>
      <w:r w:rsidRPr="001D59A2">
        <w:rPr>
          <w:rFonts w:cs="Arial"/>
          <w:szCs w:val="20"/>
        </w:rPr>
        <w:t xml:space="preserve">. Podíl cizinců studujících humánní medicínu na celkovém počtu studentů cizinců je 13,3 %. </w:t>
      </w:r>
    </w:p>
    <w:p w:rsidR="00E32388" w:rsidRDefault="00E32388" w:rsidP="001D59A2">
      <w:pPr>
        <w:spacing w:after="0" w:line="276" w:lineRule="auto"/>
        <w:jc w:val="both"/>
        <w:rPr>
          <w:rFonts w:cs="Arial"/>
          <w:szCs w:val="20"/>
        </w:rPr>
      </w:pPr>
    </w:p>
    <w:p w:rsidR="001D59A2" w:rsidRPr="001D59A2" w:rsidRDefault="001D59A2" w:rsidP="001D59A2">
      <w:pPr>
        <w:spacing w:after="0"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 xml:space="preserve">Třetí zajímavou oblastí pro studenty cizince </w:t>
      </w:r>
      <w:r w:rsidRPr="001D59A2">
        <w:rPr>
          <w:rFonts w:cs="Arial"/>
          <w:i/>
          <w:szCs w:val="20"/>
        </w:rPr>
        <w:t>je Technika, výroba a stavebnictví</w:t>
      </w:r>
      <w:r w:rsidRPr="001D59A2">
        <w:rPr>
          <w:rFonts w:cs="Arial"/>
          <w:szCs w:val="20"/>
        </w:rPr>
        <w:t xml:space="preserve">. Tuto skupinu oborů studuje 14,5 % cizinců. 44,1 % z nich studuje </w:t>
      </w:r>
      <w:r w:rsidRPr="001D59A2">
        <w:rPr>
          <w:rFonts w:cs="Arial"/>
          <w:i/>
          <w:szCs w:val="20"/>
        </w:rPr>
        <w:t>Inženýrství a strojírenství</w:t>
      </w:r>
      <w:r w:rsidRPr="001D59A2">
        <w:rPr>
          <w:rFonts w:cs="Arial"/>
          <w:szCs w:val="20"/>
        </w:rPr>
        <w:t xml:space="preserve">, což představuje podíl 6,4 % na celkovém počtu studentů cizinců. </w:t>
      </w:r>
      <w:r w:rsidRPr="001D59A2">
        <w:rPr>
          <w:rFonts w:cs="Arial"/>
          <w:i/>
          <w:szCs w:val="20"/>
        </w:rPr>
        <w:t>Společenské vědy</w:t>
      </w:r>
      <w:r w:rsidRPr="001D59A2">
        <w:rPr>
          <w:rFonts w:cs="Arial"/>
          <w:szCs w:val="20"/>
        </w:rPr>
        <w:t xml:space="preserve"> studuje 10,5 % všech cizinců a </w:t>
      </w:r>
      <w:r w:rsidRPr="001D59A2">
        <w:rPr>
          <w:rFonts w:cs="Arial"/>
          <w:i/>
          <w:szCs w:val="20"/>
        </w:rPr>
        <w:t>Umění</w:t>
      </w:r>
      <w:r w:rsidRPr="001D59A2">
        <w:rPr>
          <w:rFonts w:cs="Arial"/>
          <w:szCs w:val="20"/>
        </w:rPr>
        <w:t xml:space="preserve"> </w:t>
      </w:r>
      <w:r w:rsidRPr="001D59A2">
        <w:rPr>
          <w:rFonts w:cs="Arial"/>
          <w:i/>
          <w:szCs w:val="20"/>
        </w:rPr>
        <w:t>a humanitní vědy</w:t>
      </w:r>
      <w:r w:rsidRPr="001D59A2">
        <w:rPr>
          <w:rFonts w:cs="Arial"/>
          <w:szCs w:val="20"/>
        </w:rPr>
        <w:t xml:space="preserve"> 9,3 %. O kterou skupinu oborů projevovali zahraniční studenti nejmenší zájem? Je to </w:t>
      </w:r>
      <w:r w:rsidRPr="001D59A2">
        <w:rPr>
          <w:rFonts w:cs="Arial"/>
          <w:i/>
          <w:szCs w:val="20"/>
        </w:rPr>
        <w:t>Vzdělávání a výchova</w:t>
      </w:r>
      <w:r w:rsidRPr="001D59A2">
        <w:rPr>
          <w:rFonts w:cs="Arial"/>
          <w:szCs w:val="20"/>
        </w:rPr>
        <w:t>, které zaujaly jen 790 cizinců, tedy 1,8 %.</w:t>
      </w:r>
    </w:p>
    <w:p w:rsidR="001D59A2" w:rsidRPr="001D59A2" w:rsidRDefault="001D59A2" w:rsidP="001D59A2">
      <w:pPr>
        <w:spacing w:after="0" w:line="276" w:lineRule="auto"/>
        <w:jc w:val="both"/>
        <w:rPr>
          <w:rFonts w:cs="Arial"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E32388" w:rsidRDefault="00E32388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1D59A2" w:rsidRDefault="001D59A2" w:rsidP="001D59A2">
      <w:pPr>
        <w:spacing w:after="0" w:line="276" w:lineRule="auto"/>
        <w:jc w:val="both"/>
        <w:rPr>
          <w:rFonts w:cs="Arial"/>
          <w:b/>
          <w:szCs w:val="20"/>
        </w:rPr>
      </w:pPr>
      <w:r w:rsidRPr="001D59A2">
        <w:rPr>
          <w:rFonts w:cs="Arial"/>
          <w:b/>
          <w:szCs w:val="20"/>
        </w:rPr>
        <w:lastRenderedPageBreak/>
        <w:t>Graf č. 6: Studenti vysokých škol podle vybraných skupin oborů a občanství v roce 2017 (v %)</w:t>
      </w:r>
    </w:p>
    <w:p w:rsidR="007516B7" w:rsidRPr="001D59A2" w:rsidRDefault="007516B7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1D59A2" w:rsidRDefault="00E944B9" w:rsidP="001D59A2">
      <w:pPr>
        <w:spacing w:after="0" w:line="276" w:lineRule="auto"/>
        <w:jc w:val="center"/>
        <w:rPr>
          <w:rFonts w:cs="Arial"/>
          <w:b/>
          <w:szCs w:val="20"/>
        </w:rPr>
      </w:pPr>
      <w:r>
        <w:rPr>
          <w:noProof/>
        </w:rPr>
        <w:drawing>
          <wp:inline distT="0" distB="0" distL="0" distR="0" wp14:anchorId="4CFFB662" wp14:editId="1458D78D">
            <wp:extent cx="4181475" cy="2095500"/>
            <wp:effectExtent l="0" t="0" r="9525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16B7" w:rsidRPr="001D59A2" w:rsidRDefault="007516B7" w:rsidP="007516B7">
      <w:pPr>
        <w:spacing w:after="0" w:line="276" w:lineRule="auto"/>
        <w:rPr>
          <w:rFonts w:cs="Arial"/>
          <w:b/>
          <w:szCs w:val="20"/>
        </w:rPr>
      </w:pPr>
      <w:r w:rsidRPr="00FA1D8E">
        <w:rPr>
          <w:rFonts w:cs="Arial"/>
          <w:sz w:val="16"/>
          <w:szCs w:val="16"/>
        </w:rPr>
        <w:t>Zdroj: MŠMT</w:t>
      </w:r>
    </w:p>
    <w:p w:rsidR="001D59A2" w:rsidRDefault="001D59A2" w:rsidP="001D59A2">
      <w:pPr>
        <w:spacing w:after="0" w:line="276" w:lineRule="auto"/>
        <w:jc w:val="center"/>
        <w:rPr>
          <w:rFonts w:cs="Arial"/>
          <w:szCs w:val="20"/>
        </w:rPr>
      </w:pPr>
    </w:p>
    <w:p w:rsidR="00492984" w:rsidRDefault="00492984" w:rsidP="00B563D9">
      <w:pPr>
        <w:spacing w:after="0" w:line="276" w:lineRule="auto"/>
        <w:rPr>
          <w:rFonts w:cs="Arial"/>
          <w:b/>
          <w:color w:val="943634" w:themeColor="accent2" w:themeShade="BF"/>
          <w:sz w:val="28"/>
          <w:szCs w:val="28"/>
        </w:rPr>
      </w:pPr>
    </w:p>
    <w:p w:rsidR="00B563D9" w:rsidRPr="00B563D9" w:rsidRDefault="00B563D9" w:rsidP="00B563D9">
      <w:pPr>
        <w:spacing w:after="0" w:line="276" w:lineRule="auto"/>
        <w:rPr>
          <w:rFonts w:cs="Arial"/>
          <w:b/>
          <w:color w:val="943634" w:themeColor="accent2" w:themeShade="BF"/>
          <w:sz w:val="28"/>
          <w:szCs w:val="28"/>
        </w:rPr>
      </w:pPr>
      <w:r w:rsidRPr="00B563D9">
        <w:rPr>
          <w:rFonts w:cs="Arial"/>
          <w:b/>
          <w:color w:val="943634" w:themeColor="accent2" w:themeShade="BF"/>
          <w:sz w:val="28"/>
          <w:szCs w:val="28"/>
        </w:rPr>
        <w:t>1.4 Studenti doktorského studia</w:t>
      </w:r>
    </w:p>
    <w:p w:rsidR="00B563D9" w:rsidRPr="001D59A2" w:rsidRDefault="00B563D9" w:rsidP="00B563D9">
      <w:pPr>
        <w:spacing w:after="0" w:line="276" w:lineRule="auto"/>
        <w:rPr>
          <w:rFonts w:cs="Arial"/>
          <w:szCs w:val="20"/>
        </w:rPr>
      </w:pPr>
    </w:p>
    <w:p w:rsidR="001D59A2" w:rsidRPr="001D59A2" w:rsidRDefault="001D59A2" w:rsidP="001D59A2">
      <w:pPr>
        <w:spacing w:after="0"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>V roce 2017 na vysokých školách studovalo 22,2 tisíc doktorandů a studenti doktorského studia představovali 7,4 % z celkového počtu studentů na veřejných a soukromých vysokých školách. Před 10 lety v roce 2007 studovalo doktorské studium téměř 24 tisíc doktorandů, tedy o 1 770 studentů více než v roce 2017. Počet studentů v doktorském studiu byl nejvyšší v roce 2010, kdy se vyšplhal téměř na 26 tisíc. Od té doby jejich počet klesl o 14,4 %. Muži se snaží o doktorský titul častěji než ženy, ale rozdíly v jejich počtech nejsou velké. V roce 2017 na vysokých školách studovalo téměř 10 tisíc doktorandek (45 %). Doktorské studium v roce 2017 absolvovalo 2,4 tisíc studentů, z toho 60 % mužů a 40 % žen.</w:t>
      </w:r>
    </w:p>
    <w:p w:rsidR="001D59A2" w:rsidRPr="001D59A2" w:rsidRDefault="001D59A2" w:rsidP="001D59A2">
      <w:pPr>
        <w:spacing w:after="0" w:line="276" w:lineRule="auto"/>
        <w:jc w:val="both"/>
        <w:rPr>
          <w:rFonts w:cs="Arial"/>
          <w:szCs w:val="20"/>
        </w:rPr>
      </w:pPr>
    </w:p>
    <w:p w:rsidR="001D59A2" w:rsidRDefault="00796C83" w:rsidP="001D59A2">
      <w:pPr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č. 7</w:t>
      </w:r>
      <w:r w:rsidR="001D59A2" w:rsidRPr="001D59A2">
        <w:rPr>
          <w:rFonts w:cs="Arial"/>
          <w:b/>
          <w:szCs w:val="20"/>
        </w:rPr>
        <w:t>: Nejnavštěvovanější skupiny oborů doktorandských programů podle pohlaví v roce 2017</w:t>
      </w:r>
    </w:p>
    <w:p w:rsidR="007516B7" w:rsidRPr="001D59A2" w:rsidRDefault="007516B7" w:rsidP="001D59A2">
      <w:pPr>
        <w:spacing w:after="0" w:line="276" w:lineRule="auto"/>
        <w:jc w:val="both"/>
        <w:rPr>
          <w:rFonts w:cs="Arial"/>
          <w:b/>
          <w:szCs w:val="20"/>
        </w:rPr>
      </w:pPr>
    </w:p>
    <w:p w:rsidR="001D59A2" w:rsidRDefault="00397752" w:rsidP="001D59A2">
      <w:pPr>
        <w:spacing w:after="0" w:line="276" w:lineRule="auto"/>
        <w:jc w:val="center"/>
        <w:rPr>
          <w:rFonts w:cs="Arial"/>
          <w:b/>
          <w:szCs w:val="20"/>
        </w:rPr>
      </w:pPr>
      <w:r>
        <w:rPr>
          <w:noProof/>
        </w:rPr>
        <w:drawing>
          <wp:inline distT="0" distB="0" distL="0" distR="0" wp14:anchorId="60E3C59B" wp14:editId="09976708">
            <wp:extent cx="4410075" cy="2266950"/>
            <wp:effectExtent l="0" t="0" r="9525" b="0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16B7" w:rsidRPr="001D59A2" w:rsidRDefault="007516B7" w:rsidP="007516B7">
      <w:pPr>
        <w:spacing w:after="0" w:line="276" w:lineRule="auto"/>
        <w:rPr>
          <w:rFonts w:cs="Arial"/>
          <w:b/>
          <w:szCs w:val="20"/>
        </w:rPr>
      </w:pPr>
      <w:r w:rsidRPr="00FA1D8E">
        <w:rPr>
          <w:rFonts w:cs="Arial"/>
          <w:sz w:val="16"/>
          <w:szCs w:val="16"/>
        </w:rPr>
        <w:t>Zdroj: MŠMT</w:t>
      </w:r>
    </w:p>
    <w:p w:rsidR="007516B7" w:rsidRDefault="007516B7" w:rsidP="001D59A2">
      <w:pPr>
        <w:spacing w:after="0" w:line="276" w:lineRule="auto"/>
        <w:jc w:val="both"/>
        <w:rPr>
          <w:rFonts w:cs="Arial"/>
          <w:szCs w:val="20"/>
        </w:rPr>
      </w:pPr>
    </w:p>
    <w:p w:rsidR="001D59A2" w:rsidRPr="001D59A2" w:rsidRDefault="001D59A2" w:rsidP="001D59A2">
      <w:pPr>
        <w:spacing w:after="0" w:line="276" w:lineRule="auto"/>
        <w:jc w:val="both"/>
        <w:rPr>
          <w:rFonts w:cs="Arial"/>
          <w:szCs w:val="20"/>
        </w:rPr>
      </w:pPr>
      <w:r w:rsidRPr="001D59A2">
        <w:rPr>
          <w:rFonts w:cs="Arial"/>
          <w:szCs w:val="20"/>
        </w:rPr>
        <w:t xml:space="preserve">Mezi studenty doktorského studia dlouhodobě převažuje zájem o studijní obory z kategorie </w:t>
      </w:r>
      <w:r w:rsidRPr="001D59A2">
        <w:rPr>
          <w:rFonts w:cs="Arial"/>
          <w:i/>
          <w:szCs w:val="20"/>
        </w:rPr>
        <w:t>Přírodní vědy, matematika a statistika</w:t>
      </w:r>
      <w:r w:rsidRPr="001D59A2">
        <w:rPr>
          <w:rFonts w:cs="Arial"/>
          <w:szCs w:val="20"/>
        </w:rPr>
        <w:t xml:space="preserve"> (4,3 tisíc doktorandů v roce 2017) a </w:t>
      </w:r>
      <w:r w:rsidRPr="001D59A2">
        <w:rPr>
          <w:rFonts w:cs="Arial"/>
          <w:i/>
          <w:szCs w:val="20"/>
        </w:rPr>
        <w:t>Technika, výroba a</w:t>
      </w:r>
      <w:r w:rsidRPr="001D59A2">
        <w:rPr>
          <w:rFonts w:cs="Arial"/>
          <w:szCs w:val="20"/>
        </w:rPr>
        <w:t xml:space="preserve"> </w:t>
      </w:r>
      <w:r w:rsidRPr="001D59A2">
        <w:rPr>
          <w:rFonts w:cs="Arial"/>
          <w:i/>
          <w:szCs w:val="20"/>
        </w:rPr>
        <w:t>stavebnictví</w:t>
      </w:r>
      <w:r w:rsidRPr="001D59A2">
        <w:rPr>
          <w:rFonts w:cs="Arial"/>
          <w:szCs w:val="20"/>
        </w:rPr>
        <w:t xml:space="preserve"> (5,3 tisíc doktorandů v roce 2017). V prvním ze vzpomínaných oborů je počet mužů a žen téměř stejný, zatímco v technických oborech převažují muži s podílem 72 %. Z nabídky oborů technických věd bylo v roce 2017 pro doktorandy nejpopulárnější </w:t>
      </w:r>
      <w:r w:rsidRPr="001D59A2">
        <w:rPr>
          <w:rFonts w:cs="Arial"/>
          <w:i/>
          <w:szCs w:val="20"/>
        </w:rPr>
        <w:t>Inženýrství a strojírenství</w:t>
      </w:r>
      <w:r w:rsidRPr="001D59A2">
        <w:rPr>
          <w:rFonts w:cs="Arial"/>
          <w:szCs w:val="20"/>
        </w:rPr>
        <w:t xml:space="preserve">, jemuž se věnovalo 53,8 % všech doktorandů technických věd, z nich 12,7 % byly ženy. Doktorandky upřednostňovaly </w:t>
      </w:r>
      <w:r w:rsidRPr="001D59A2">
        <w:rPr>
          <w:rFonts w:cs="Arial"/>
          <w:i/>
          <w:szCs w:val="20"/>
        </w:rPr>
        <w:t>Přírodní vědy, matematiku a statistiku</w:t>
      </w:r>
      <w:r w:rsidRPr="001D59A2">
        <w:rPr>
          <w:rFonts w:cs="Arial"/>
          <w:szCs w:val="20"/>
        </w:rPr>
        <w:t xml:space="preserve"> (2,2 tisíc) a </w:t>
      </w:r>
      <w:r w:rsidRPr="001D59A2">
        <w:rPr>
          <w:rFonts w:cs="Arial"/>
          <w:i/>
          <w:szCs w:val="20"/>
        </w:rPr>
        <w:t>Umění a humanitní</w:t>
      </w:r>
      <w:r w:rsidRPr="001D59A2">
        <w:rPr>
          <w:rFonts w:cs="Arial"/>
          <w:szCs w:val="20"/>
        </w:rPr>
        <w:t xml:space="preserve"> </w:t>
      </w:r>
      <w:r w:rsidRPr="001D59A2">
        <w:rPr>
          <w:rFonts w:cs="Arial"/>
          <w:i/>
          <w:szCs w:val="20"/>
        </w:rPr>
        <w:t>vědy</w:t>
      </w:r>
      <w:r w:rsidRPr="001D59A2">
        <w:rPr>
          <w:rFonts w:cs="Arial"/>
          <w:szCs w:val="20"/>
        </w:rPr>
        <w:t xml:space="preserve"> (1,7 tisíc). Stejně jako čeští studenti doktorského studia mají i zahraniční studenti největší zájem o obory ze skupiny</w:t>
      </w:r>
      <w:r w:rsidRPr="001D59A2">
        <w:rPr>
          <w:rFonts w:cs="Arial"/>
          <w:i/>
          <w:szCs w:val="20"/>
        </w:rPr>
        <w:t xml:space="preserve"> Přírodních věd, matematiky a statistiky</w:t>
      </w:r>
      <w:r w:rsidRPr="001D59A2">
        <w:rPr>
          <w:rFonts w:cs="Arial"/>
          <w:szCs w:val="20"/>
        </w:rPr>
        <w:t xml:space="preserve">, kde studuje 25,2 % všech </w:t>
      </w:r>
      <w:r w:rsidRPr="001D59A2">
        <w:rPr>
          <w:rFonts w:cs="Arial"/>
          <w:szCs w:val="20"/>
        </w:rPr>
        <w:lastRenderedPageBreak/>
        <w:t xml:space="preserve">doktorandů – cizinců. Počet doktorandů – cizinců kontinuálně roste a za posledních 10 roků se zvýšil 1,7 násobně. </w:t>
      </w:r>
    </w:p>
    <w:p w:rsidR="001D59A2" w:rsidRPr="001D59A2" w:rsidRDefault="001D59A2" w:rsidP="001D59A2">
      <w:pPr>
        <w:spacing w:after="0" w:line="276" w:lineRule="auto"/>
        <w:jc w:val="both"/>
        <w:rPr>
          <w:rFonts w:cs="Arial"/>
          <w:b/>
          <w:color w:val="943634"/>
          <w:sz w:val="28"/>
          <w:szCs w:val="28"/>
        </w:rPr>
      </w:pPr>
    </w:p>
    <w:p w:rsidR="001D59A2" w:rsidRDefault="001D59A2" w:rsidP="001D59A2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Arial"/>
          <w:b/>
          <w:color w:val="943634"/>
          <w:sz w:val="32"/>
          <w:szCs w:val="32"/>
        </w:rPr>
      </w:pPr>
      <w:r w:rsidRPr="001D59A2">
        <w:rPr>
          <w:rFonts w:cs="Arial"/>
          <w:b/>
          <w:color w:val="943634"/>
          <w:sz w:val="32"/>
          <w:szCs w:val="32"/>
        </w:rPr>
        <w:t xml:space="preserve">Vyšší odborné školy </w:t>
      </w:r>
    </w:p>
    <w:p w:rsidR="00B563D9" w:rsidRPr="00B563D9" w:rsidRDefault="00B563D9" w:rsidP="00B563D9">
      <w:pPr>
        <w:pStyle w:val="Odstavecseseznamem"/>
        <w:spacing w:after="0" w:line="276" w:lineRule="auto"/>
        <w:jc w:val="both"/>
        <w:rPr>
          <w:rFonts w:cs="Arial"/>
          <w:b/>
          <w:color w:val="943634"/>
          <w:sz w:val="28"/>
          <w:szCs w:val="28"/>
        </w:rPr>
      </w:pPr>
      <w:r w:rsidRPr="00B563D9">
        <w:rPr>
          <w:rFonts w:cs="Arial"/>
          <w:b/>
          <w:color w:val="943634"/>
          <w:sz w:val="28"/>
          <w:szCs w:val="28"/>
        </w:rPr>
        <w:t xml:space="preserve">2.1 Studenti vyšších odborných škol </w:t>
      </w:r>
    </w:p>
    <w:p w:rsidR="001D59A2" w:rsidRPr="001D59A2" w:rsidRDefault="001D59A2" w:rsidP="001D59A2">
      <w:pPr>
        <w:spacing w:line="276" w:lineRule="auto"/>
        <w:jc w:val="both"/>
        <w:rPr>
          <w:rFonts w:eastAsia="Calibri"/>
        </w:rPr>
      </w:pPr>
      <w:r w:rsidRPr="001D59A2">
        <w:rPr>
          <w:rFonts w:eastAsia="Calibri"/>
        </w:rPr>
        <w:t>V minulém školním roce studovalo na 166 vyšších odborných školách téměř 20 tisíc studentů. Většina z nich, 65 % studovala v denní formě vzdělávání. 73 % studentů vyšších odborných škol byly ženy. Kromě studentů české národnosti na tomto typu škol s</w:t>
      </w:r>
      <w:r w:rsidR="00080AAC">
        <w:rPr>
          <w:rFonts w:eastAsia="Calibri"/>
        </w:rPr>
        <w:t xml:space="preserve">tudovali i cizinci. Sice se od </w:t>
      </w:r>
      <w:r w:rsidRPr="001D59A2">
        <w:rPr>
          <w:rFonts w:eastAsia="Calibri"/>
        </w:rPr>
        <w:t>školního roku 2007/08 jejich počet zdvojnásobil, stále jich je jen velmi malé množství, a to 3,3 %. Nejvíce studentů studuje na vyšších odborných školách v Praze. Za posledních 10 let došlo k úbytku nejen studentů, ale i nově přijatých do 1. ročníku a absolventů vyšších odborných škol.</w:t>
      </w:r>
    </w:p>
    <w:p w:rsidR="001D59A2" w:rsidRPr="001D59A2" w:rsidRDefault="00796C83" w:rsidP="001D59A2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Graf č. 8</w:t>
      </w:r>
      <w:r w:rsidR="001D59A2" w:rsidRPr="001D59A2">
        <w:rPr>
          <w:rFonts w:eastAsia="Calibri"/>
          <w:b/>
        </w:rPr>
        <w:t>: Vyšší odborné školy – počet studentů, nově přijatých a absolventů</w:t>
      </w:r>
    </w:p>
    <w:p w:rsidR="001D59A2" w:rsidRDefault="00397752" w:rsidP="001D59A2">
      <w:pPr>
        <w:spacing w:line="276" w:lineRule="auto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31EA4C53" wp14:editId="0EC966CF">
            <wp:extent cx="4448175" cy="2238375"/>
            <wp:effectExtent l="0" t="0" r="9525" b="9525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516B7" w:rsidRPr="001D59A2" w:rsidRDefault="007516B7" w:rsidP="007516B7">
      <w:pPr>
        <w:spacing w:line="276" w:lineRule="auto"/>
        <w:rPr>
          <w:rFonts w:eastAsia="Calibri"/>
          <w:b/>
        </w:rPr>
      </w:pPr>
      <w:r w:rsidRPr="00FA1D8E">
        <w:rPr>
          <w:rFonts w:cs="Arial"/>
          <w:sz w:val="16"/>
          <w:szCs w:val="16"/>
        </w:rPr>
        <w:t>Zdroj: MŠMT</w:t>
      </w:r>
    </w:p>
    <w:p w:rsidR="001D59A2" w:rsidRPr="001D59A2" w:rsidRDefault="001D59A2" w:rsidP="001D59A2">
      <w:pPr>
        <w:spacing w:after="0" w:line="276" w:lineRule="auto"/>
        <w:ind w:firstLineChars="100" w:firstLine="200"/>
        <w:jc w:val="both"/>
        <w:rPr>
          <w:rFonts w:cs="Arial"/>
          <w:bCs/>
          <w:szCs w:val="20"/>
        </w:rPr>
      </w:pPr>
      <w:r w:rsidRPr="001D59A2">
        <w:rPr>
          <w:rFonts w:eastAsia="Calibri"/>
        </w:rPr>
        <w:t xml:space="preserve">Více než polovina studentů vyšších odborných škol studuje obory ze skupiny </w:t>
      </w:r>
      <w:r w:rsidRPr="001D59A2">
        <w:rPr>
          <w:rFonts w:eastAsia="Calibri"/>
          <w:i/>
        </w:rPr>
        <w:t>Zdravotní a sociální péče, péče o příznivé životní</w:t>
      </w:r>
      <w:r w:rsidRPr="001D59A2">
        <w:rPr>
          <w:rFonts w:eastAsia="Calibri"/>
        </w:rPr>
        <w:t xml:space="preserve"> </w:t>
      </w:r>
      <w:r w:rsidRPr="001D59A2">
        <w:rPr>
          <w:rFonts w:eastAsia="Calibri"/>
          <w:i/>
        </w:rPr>
        <w:t>podmínky</w:t>
      </w:r>
      <w:r w:rsidRPr="001D59A2">
        <w:rPr>
          <w:rFonts w:eastAsia="Calibri"/>
        </w:rPr>
        <w:t xml:space="preserve">, na kterých převážnou většinu studentů tvoří ženy, a to až 88 %. Druhou nejnavštěvovanější skupinou oborů je </w:t>
      </w:r>
      <w:r w:rsidRPr="001D59A2">
        <w:rPr>
          <w:rFonts w:eastAsia="Calibri"/>
          <w:i/>
        </w:rPr>
        <w:t>Obchod, administrativa a právo</w:t>
      </w:r>
      <w:r w:rsidRPr="001D59A2">
        <w:rPr>
          <w:rFonts w:eastAsia="Calibri"/>
        </w:rPr>
        <w:t>, které studuje 17 % studentů. Opět převážnou část tvoří ženy, a to téměř 70 %.</w:t>
      </w:r>
    </w:p>
    <w:p w:rsidR="001D59A2" w:rsidRPr="001D59A2" w:rsidRDefault="001D59A2" w:rsidP="001D59A2">
      <w:pPr>
        <w:spacing w:after="0" w:line="276" w:lineRule="auto"/>
        <w:ind w:firstLineChars="100" w:firstLine="200"/>
        <w:rPr>
          <w:rFonts w:cs="Arial"/>
          <w:bCs/>
          <w:szCs w:val="20"/>
        </w:rPr>
      </w:pPr>
    </w:p>
    <w:p w:rsidR="001D59A2" w:rsidRDefault="00796C83" w:rsidP="007516B7">
      <w:pPr>
        <w:spacing w:after="0" w:line="276" w:lineRule="auto"/>
        <w:ind w:firstLineChars="100" w:firstLine="201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>Graf č. 9</w:t>
      </w:r>
      <w:bookmarkStart w:id="0" w:name="_GoBack"/>
      <w:bookmarkEnd w:id="0"/>
      <w:r w:rsidR="001D59A2" w:rsidRPr="001D59A2">
        <w:rPr>
          <w:rFonts w:cs="Arial"/>
          <w:b/>
          <w:bCs/>
          <w:szCs w:val="20"/>
        </w:rPr>
        <w:t>:</w:t>
      </w:r>
      <w:r w:rsidR="001D59A2" w:rsidRPr="001D59A2">
        <w:rPr>
          <w:rFonts w:cs="Arial"/>
          <w:bCs/>
          <w:szCs w:val="20"/>
        </w:rPr>
        <w:t xml:space="preserve"> </w:t>
      </w:r>
      <w:r w:rsidR="001D59A2" w:rsidRPr="001D59A2">
        <w:rPr>
          <w:rFonts w:cs="Arial"/>
          <w:b/>
          <w:szCs w:val="20"/>
        </w:rPr>
        <w:t>Nejnavštěvovanější skupiny oborů vyšších odborných škol podle pohlaví ve školním roce 2017/2018</w:t>
      </w:r>
    </w:p>
    <w:p w:rsidR="007516B7" w:rsidRDefault="007516B7" w:rsidP="007516B7">
      <w:pPr>
        <w:spacing w:after="0" w:line="276" w:lineRule="auto"/>
        <w:ind w:firstLineChars="100" w:firstLine="201"/>
        <w:rPr>
          <w:rFonts w:cs="Arial"/>
          <w:b/>
          <w:szCs w:val="20"/>
        </w:rPr>
      </w:pPr>
    </w:p>
    <w:p w:rsidR="001D59A2" w:rsidRDefault="00397752" w:rsidP="001D59A2">
      <w:pPr>
        <w:spacing w:after="0" w:line="276" w:lineRule="auto"/>
        <w:ind w:firstLineChars="100" w:firstLine="200"/>
        <w:jc w:val="center"/>
        <w:rPr>
          <w:rFonts w:cs="Arial"/>
          <w:bCs/>
          <w:szCs w:val="20"/>
        </w:rPr>
      </w:pPr>
      <w:r>
        <w:rPr>
          <w:noProof/>
        </w:rPr>
        <w:drawing>
          <wp:inline distT="0" distB="0" distL="0" distR="0" wp14:anchorId="5320D824" wp14:editId="55EF3CE2">
            <wp:extent cx="4352925" cy="2200275"/>
            <wp:effectExtent l="0" t="0" r="9525" b="9525"/>
            <wp:docPr id="35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516B7" w:rsidRPr="001D59A2" w:rsidRDefault="007516B7" w:rsidP="007516B7">
      <w:pPr>
        <w:spacing w:after="0" w:line="276" w:lineRule="auto"/>
        <w:ind w:firstLineChars="100" w:firstLine="160"/>
        <w:rPr>
          <w:rFonts w:cs="Arial"/>
          <w:bCs/>
          <w:szCs w:val="20"/>
        </w:rPr>
      </w:pPr>
      <w:r w:rsidRPr="00FA1D8E">
        <w:rPr>
          <w:rFonts w:cs="Arial"/>
          <w:sz w:val="16"/>
          <w:szCs w:val="16"/>
        </w:rPr>
        <w:t>Zdroj: MŠMT</w:t>
      </w:r>
    </w:p>
    <w:sectPr w:rsidR="007516B7" w:rsidRPr="001D59A2" w:rsidSect="006F5416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26" w:rsidRDefault="00180B26" w:rsidP="00E71A58">
      <w:r>
        <w:separator/>
      </w:r>
    </w:p>
  </w:endnote>
  <w:endnote w:type="continuationSeparator" w:id="0">
    <w:p w:rsidR="00180B26" w:rsidRDefault="00180B2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796C83">
      <w:rPr>
        <w:szCs w:val="16"/>
      </w:rPr>
      <w:t>4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1D59A2">
      <w:rPr>
        <w:szCs w:val="16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1D59A2">
      <w:rPr>
        <w:rStyle w:val="ZpatChar"/>
        <w:szCs w:val="16"/>
      </w:rPr>
      <w:t>2017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796C83">
      <w:rPr>
        <w:rStyle w:val="ZpatChar"/>
        <w:szCs w:val="16"/>
      </w:rPr>
      <w:t>3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26" w:rsidRDefault="00180B26" w:rsidP="00E71A58">
      <w:r>
        <w:separator/>
      </w:r>
    </w:p>
  </w:footnote>
  <w:footnote w:type="continuationSeparator" w:id="0">
    <w:p w:rsidR="00180B26" w:rsidRDefault="00180B2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E" w:rsidRDefault="002659EE" w:rsidP="002659EE">
    <w:pPr>
      <w:pStyle w:val="Zhlav"/>
    </w:pPr>
    <w:r>
      <w:t>Terciární vzdělávání: Studenti a absolventi vysokoškolského a vyššího odborného vzdělávání</w:t>
    </w:r>
  </w:p>
  <w:p w:rsidR="00515C74" w:rsidRPr="006F5416" w:rsidRDefault="00515C74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2E" w:rsidRDefault="002659EE" w:rsidP="00937AE2">
    <w:pPr>
      <w:pStyle w:val="Zhlav"/>
    </w:pPr>
    <w:r>
      <w:t>Terciární vzdělávání: Studenti a absolventi vysokoškolského a vyššího odborného vzdělávání</w:t>
    </w:r>
  </w:p>
  <w:p w:rsidR="001D59A2" w:rsidRPr="006F5416" w:rsidRDefault="001D59A2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975B3"/>
    <w:multiLevelType w:val="hybridMultilevel"/>
    <w:tmpl w:val="B77CB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C3A79"/>
    <w:multiLevelType w:val="hybridMultilevel"/>
    <w:tmpl w:val="B5BC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17B8D"/>
    <w:multiLevelType w:val="hybridMultilevel"/>
    <w:tmpl w:val="F23C6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A2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31AE0"/>
    <w:rsid w:val="000322EF"/>
    <w:rsid w:val="00033FCD"/>
    <w:rsid w:val="00041CEC"/>
    <w:rsid w:val="000455DB"/>
    <w:rsid w:val="0004694F"/>
    <w:rsid w:val="000522E4"/>
    <w:rsid w:val="000610E1"/>
    <w:rsid w:val="00062EC5"/>
    <w:rsid w:val="00062F22"/>
    <w:rsid w:val="000712B3"/>
    <w:rsid w:val="00080AAC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0B26"/>
    <w:rsid w:val="00184B08"/>
    <w:rsid w:val="00185010"/>
    <w:rsid w:val="001A552F"/>
    <w:rsid w:val="001B2CA9"/>
    <w:rsid w:val="001B3110"/>
    <w:rsid w:val="001B4729"/>
    <w:rsid w:val="001B6C09"/>
    <w:rsid w:val="001C05CD"/>
    <w:rsid w:val="001D59A2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659EE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36FE"/>
    <w:rsid w:val="00384327"/>
    <w:rsid w:val="00385632"/>
    <w:rsid w:val="00385D98"/>
    <w:rsid w:val="00397752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4537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2984"/>
    <w:rsid w:val="004A14E4"/>
    <w:rsid w:val="004A3212"/>
    <w:rsid w:val="004A61C5"/>
    <w:rsid w:val="004A77DF"/>
    <w:rsid w:val="004B1417"/>
    <w:rsid w:val="004B55B7"/>
    <w:rsid w:val="004B6468"/>
    <w:rsid w:val="004C3442"/>
    <w:rsid w:val="004C384C"/>
    <w:rsid w:val="004C3867"/>
    <w:rsid w:val="004C4CD0"/>
    <w:rsid w:val="004C70DC"/>
    <w:rsid w:val="004D0211"/>
    <w:rsid w:val="004D0794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0027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6272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2950"/>
    <w:rsid w:val="00624093"/>
    <w:rsid w:val="006332C5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80C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7137"/>
    <w:rsid w:val="00706AD4"/>
    <w:rsid w:val="007140BE"/>
    <w:rsid w:val="007211F5"/>
    <w:rsid w:val="00725BB5"/>
    <w:rsid w:val="00730AE8"/>
    <w:rsid w:val="00741493"/>
    <w:rsid w:val="007516B7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6C83"/>
    <w:rsid w:val="007B6689"/>
    <w:rsid w:val="007D40DF"/>
    <w:rsid w:val="007E7E61"/>
    <w:rsid w:val="007F0845"/>
    <w:rsid w:val="007F43D9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50892"/>
    <w:rsid w:val="00967836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C7D8A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3258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D6465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63D9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2388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44B9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A03AFB4"/>
  <w15:docId w15:val="{7DED213C-005F-4710-8F93-84D5F2CF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Odstavecseseznamem">
    <w:name w:val="List Paragraph"/>
    <w:basedOn w:val="Normln"/>
    <w:uiPriority w:val="34"/>
    <w:rsid w:val="001D59A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C344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customStyle="1" w:styleId="Default">
    <w:name w:val="Default"/>
    <w:rsid w:val="002659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9EE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9EE"/>
  </w:style>
  <w:style w:type="character" w:styleId="Znakapoznpodarou">
    <w:name w:val="footnote reference"/>
    <w:uiPriority w:val="99"/>
    <w:semiHidden/>
    <w:unhideWhenUsed/>
    <w:rsid w:val="00265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US~1\AppData\Local\Temp\Publikace%20bar%20CZ_lide%20a%20spolecnost_2017-08-1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List_aplikace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List_aplikace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List_aplikace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List_aplikace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List_aplikace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List_aplikace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List_aplikace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List_aplikace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List2!$A$10</c:f>
              <c:strCache>
                <c:ptCount val="1"/>
                <c:pt idx="0">
                  <c:v>počet studentů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List2!$B$9:$R$9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List2!$B$10:$R$10</c:f>
              <c:numCache>
                <c:formatCode>#,##0</c:formatCode>
                <c:ptCount val="17"/>
                <c:pt idx="0">
                  <c:v>203450</c:v>
                </c:pt>
                <c:pt idx="1">
                  <c:v>220176</c:v>
                </c:pt>
                <c:pt idx="2">
                  <c:v>243718</c:v>
                </c:pt>
                <c:pt idx="3">
                  <c:v>264772</c:v>
                </c:pt>
                <c:pt idx="4">
                  <c:v>289464</c:v>
                </c:pt>
                <c:pt idx="5">
                  <c:v>316176</c:v>
                </c:pt>
                <c:pt idx="6">
                  <c:v>343942</c:v>
                </c:pt>
                <c:pt idx="7">
                  <c:v>368050</c:v>
                </c:pt>
                <c:pt idx="8">
                  <c:v>388990</c:v>
                </c:pt>
                <c:pt idx="9">
                  <c:v>395979</c:v>
                </c:pt>
                <c:pt idx="10">
                  <c:v>392039</c:v>
                </c:pt>
                <c:pt idx="11">
                  <c:v>380891</c:v>
                </c:pt>
                <c:pt idx="12">
                  <c:v>367747</c:v>
                </c:pt>
                <c:pt idx="13">
                  <c:v>346893</c:v>
                </c:pt>
                <c:pt idx="14">
                  <c:v>326528</c:v>
                </c:pt>
                <c:pt idx="15">
                  <c:v>311168</c:v>
                </c:pt>
                <c:pt idx="16">
                  <c:v>299054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48-4B61-916F-7652422ED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overlap val="-27"/>
        <c:axId val="477710880"/>
        <c:axId val="480009888"/>
      </c:barChart>
      <c:lineChart>
        <c:grouping val="standard"/>
        <c:varyColors val="0"/>
        <c:ser>
          <c:idx val="1"/>
          <c:order val="1"/>
          <c:tx>
            <c:strRef>
              <c:f>List2!$A$11</c:f>
              <c:strCache>
                <c:ptCount val="1"/>
                <c:pt idx="0">
                  <c:v>podíl žen</c:v>
                </c:pt>
              </c:strCache>
            </c:strRef>
          </c:tx>
          <c:spPr>
            <a:ln w="28575" cap="rnd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List2!$B$9:$R$9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List2!$B$11:$R$11</c:f>
              <c:numCache>
                <c:formatCode>0%</c:formatCode>
                <c:ptCount val="17"/>
                <c:pt idx="0">
                  <c:v>0.4834209879577292</c:v>
                </c:pt>
                <c:pt idx="1">
                  <c:v>0.49073468497928929</c:v>
                </c:pt>
                <c:pt idx="2">
                  <c:v>0.49525271009937716</c:v>
                </c:pt>
                <c:pt idx="3">
                  <c:v>0.50877736316528943</c:v>
                </c:pt>
                <c:pt idx="4">
                  <c:v>0.52052759583229691</c:v>
                </c:pt>
                <c:pt idx="5">
                  <c:v>0.53088153433530694</c:v>
                </c:pt>
                <c:pt idx="6">
                  <c:v>0.54038471602770233</c:v>
                </c:pt>
                <c:pt idx="7">
                  <c:v>0.55046868631979351</c:v>
                </c:pt>
                <c:pt idx="8">
                  <c:v>0.55625080336255428</c:v>
                </c:pt>
                <c:pt idx="9">
                  <c:v>0.55943875811596067</c:v>
                </c:pt>
                <c:pt idx="10">
                  <c:v>0.56016365718716765</c:v>
                </c:pt>
                <c:pt idx="11">
                  <c:v>0.56225796881522538</c:v>
                </c:pt>
                <c:pt idx="12">
                  <c:v>0.56152191588238654</c:v>
                </c:pt>
                <c:pt idx="13">
                  <c:v>0.56106926343281649</c:v>
                </c:pt>
                <c:pt idx="14">
                  <c:v>0.55833496667973348</c:v>
                </c:pt>
                <c:pt idx="15">
                  <c:v>0.55991940045248867</c:v>
                </c:pt>
                <c:pt idx="16">
                  <c:v>0.56113277200773104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48-4B61-916F-7652422ED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4291824"/>
        <c:axId val="480010304"/>
      </c:lineChart>
      <c:catAx>
        <c:axId val="47771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80009888"/>
        <c:crosses val="autoZero"/>
        <c:auto val="1"/>
        <c:lblAlgn val="ctr"/>
        <c:lblOffset val="100"/>
        <c:noMultiLvlLbl val="0"/>
      </c:catAx>
      <c:valAx>
        <c:axId val="48000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77710880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/>
                    <a:t>tis.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valAx>
        <c:axId val="480010304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84291824"/>
        <c:crosses val="max"/>
        <c:crossBetween val="between"/>
      </c:valAx>
      <c:catAx>
        <c:axId val="4842918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00103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List13!$A$2</c:f>
              <c:strCache>
                <c:ptCount val="1"/>
                <c:pt idx="0">
                  <c:v>Bc.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List13!$B$1:$R$1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List13!$B$2:$R$2</c:f>
              <c:numCache>
                <c:formatCode>#,##0</c:formatCode>
                <c:ptCount val="17"/>
                <c:pt idx="0">
                  <c:v>42979</c:v>
                </c:pt>
                <c:pt idx="1">
                  <c:v>60772</c:v>
                </c:pt>
                <c:pt idx="2">
                  <c:v>90084</c:v>
                </c:pt>
                <c:pt idx="3">
                  <c:v>123144</c:v>
                </c:pt>
                <c:pt idx="4">
                  <c:v>153951</c:v>
                </c:pt>
                <c:pt idx="5">
                  <c:v>181828</c:v>
                </c:pt>
                <c:pt idx="6">
                  <c:v>207803</c:v>
                </c:pt>
                <c:pt idx="7">
                  <c:v>228900</c:v>
                </c:pt>
                <c:pt idx="8">
                  <c:v>243368</c:v>
                </c:pt>
                <c:pt idx="9">
                  <c:v>248032</c:v>
                </c:pt>
                <c:pt idx="10">
                  <c:v>243892</c:v>
                </c:pt>
                <c:pt idx="11">
                  <c:v>235257</c:v>
                </c:pt>
                <c:pt idx="12">
                  <c:v>224440</c:v>
                </c:pt>
                <c:pt idx="13">
                  <c:v>207247</c:v>
                </c:pt>
                <c:pt idx="14">
                  <c:v>192382</c:v>
                </c:pt>
                <c:pt idx="15">
                  <c:v>179873</c:v>
                </c:pt>
                <c:pt idx="16">
                  <c:v>172365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8F-4618-A045-A26C06B2D568}"/>
            </c:ext>
          </c:extLst>
        </c:ser>
        <c:ser>
          <c:idx val="1"/>
          <c:order val="1"/>
          <c:tx>
            <c:strRef>
              <c:f>List13!$A$3</c:f>
              <c:strCache>
                <c:ptCount val="1"/>
                <c:pt idx="0">
                  <c:v>Mgr.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List13!$B$1:$R$1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List13!$B$3:$R$3</c:f>
              <c:numCache>
                <c:formatCode>#,##0</c:formatCode>
                <c:ptCount val="17"/>
                <c:pt idx="0">
                  <c:v>146677</c:v>
                </c:pt>
                <c:pt idx="1">
                  <c:v>144819</c:v>
                </c:pt>
                <c:pt idx="2">
                  <c:v>137727</c:v>
                </c:pt>
                <c:pt idx="3">
                  <c:v>124227</c:v>
                </c:pt>
                <c:pt idx="4">
                  <c:v>117155</c:v>
                </c:pt>
                <c:pt idx="5">
                  <c:v>115090</c:v>
                </c:pt>
                <c:pt idx="6">
                  <c:v>116320</c:v>
                </c:pt>
                <c:pt idx="7">
                  <c:v>119235</c:v>
                </c:pt>
                <c:pt idx="8">
                  <c:v>124903</c:v>
                </c:pt>
                <c:pt idx="9">
                  <c:v>126516</c:v>
                </c:pt>
                <c:pt idx="10">
                  <c:v>126737</c:v>
                </c:pt>
                <c:pt idx="11">
                  <c:v>124463</c:v>
                </c:pt>
                <c:pt idx="12">
                  <c:v>121803</c:v>
                </c:pt>
                <c:pt idx="13">
                  <c:v>118380</c:v>
                </c:pt>
                <c:pt idx="14">
                  <c:v>112883</c:v>
                </c:pt>
                <c:pt idx="15">
                  <c:v>110564</c:v>
                </c:pt>
                <c:pt idx="16">
                  <c:v>106637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8F-4618-A045-A26C06B2D568}"/>
            </c:ext>
          </c:extLst>
        </c:ser>
        <c:ser>
          <c:idx val="2"/>
          <c:order val="2"/>
          <c:tx>
            <c:strRef>
              <c:f>List13!$A$4</c:f>
              <c:strCache>
                <c:ptCount val="1"/>
                <c:pt idx="0">
                  <c:v>PhD.</c:v>
                </c:pt>
              </c:strCache>
            </c:strRef>
          </c:tx>
          <c:spPr>
            <a:solidFill>
              <a:schemeClr val="bg2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List13!$B$1:$R$1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List13!$B$4:$R$4</c:f>
              <c:numCache>
                <c:formatCode>#,##0</c:formatCode>
                <c:ptCount val="17"/>
                <c:pt idx="0">
                  <c:v>16491</c:v>
                </c:pt>
                <c:pt idx="1">
                  <c:v>18070</c:v>
                </c:pt>
                <c:pt idx="2">
                  <c:v>20041</c:v>
                </c:pt>
                <c:pt idx="3">
                  <c:v>21422</c:v>
                </c:pt>
                <c:pt idx="4">
                  <c:v>22310</c:v>
                </c:pt>
                <c:pt idx="5">
                  <c:v>23300</c:v>
                </c:pt>
                <c:pt idx="6">
                  <c:v>23962</c:v>
                </c:pt>
                <c:pt idx="7">
                  <c:v>24500</c:v>
                </c:pt>
                <c:pt idx="8">
                  <c:v>25484</c:v>
                </c:pt>
                <c:pt idx="9">
                  <c:v>25912</c:v>
                </c:pt>
                <c:pt idx="10">
                  <c:v>25647</c:v>
                </c:pt>
                <c:pt idx="11">
                  <c:v>24793</c:v>
                </c:pt>
                <c:pt idx="12">
                  <c:v>39426</c:v>
                </c:pt>
                <c:pt idx="13">
                  <c:v>24205</c:v>
                </c:pt>
                <c:pt idx="14">
                  <c:v>23861</c:v>
                </c:pt>
                <c:pt idx="15">
                  <c:v>23180</c:v>
                </c:pt>
                <c:pt idx="16">
                  <c:v>22192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8F-4618-A045-A26C06B2D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1"/>
        <c:overlap val="100"/>
        <c:axId val="450634608"/>
        <c:axId val="450635024"/>
      </c:barChart>
      <c:catAx>
        <c:axId val="45063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50635024"/>
        <c:crosses val="autoZero"/>
        <c:auto val="1"/>
        <c:lblAlgn val="ctr"/>
        <c:lblOffset val="100"/>
        <c:noMultiLvlLbl val="0"/>
      </c:catAx>
      <c:valAx>
        <c:axId val="45063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50634608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/>
                    <a:t>tis.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List6!$B$4:$D$4</c:f>
              <c:strCache>
                <c:ptCount val="3"/>
                <c:pt idx="0">
                  <c:v>Obchod, administrativa a právo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List6!$E$3:$L$3</c:f>
              <c:numCache>
                <c:formatCode>0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List6!$E$4:$L$4</c:f>
              <c:numCache>
                <c:formatCode>#,##0</c:formatCode>
                <c:ptCount val="8"/>
                <c:pt idx="0">
                  <c:v>93220</c:v>
                </c:pt>
                <c:pt idx="1">
                  <c:v>90193</c:v>
                </c:pt>
                <c:pt idx="2">
                  <c:v>84529</c:v>
                </c:pt>
                <c:pt idx="3">
                  <c:v>79038</c:v>
                </c:pt>
                <c:pt idx="4">
                  <c:v>71801</c:v>
                </c:pt>
                <c:pt idx="5">
                  <c:v>67360</c:v>
                </c:pt>
                <c:pt idx="6">
                  <c:v>63483</c:v>
                </c:pt>
                <c:pt idx="7">
                  <c:v>60429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6F-4E53-8351-A13F6DA37D8D}"/>
            </c:ext>
          </c:extLst>
        </c:ser>
        <c:ser>
          <c:idx val="1"/>
          <c:order val="1"/>
          <c:tx>
            <c:strRef>
              <c:f>List6!$B$5:$D$5</c:f>
              <c:strCache>
                <c:ptCount val="3"/>
                <c:pt idx="0">
                  <c:v> Technika, výroba a stavebníctví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List6!$E$3:$L$3</c:f>
              <c:numCache>
                <c:formatCode>0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List6!$E$5:$L$5</c:f>
              <c:numCache>
                <c:formatCode>#,##0</c:formatCode>
                <c:ptCount val="8"/>
                <c:pt idx="0">
                  <c:v>64755</c:v>
                </c:pt>
                <c:pt idx="1">
                  <c:v>63768</c:v>
                </c:pt>
                <c:pt idx="2">
                  <c:v>61982</c:v>
                </c:pt>
                <c:pt idx="3">
                  <c:v>60411</c:v>
                </c:pt>
                <c:pt idx="4">
                  <c:v>57197</c:v>
                </c:pt>
                <c:pt idx="5">
                  <c:v>54128</c:v>
                </c:pt>
                <c:pt idx="6">
                  <c:v>51089</c:v>
                </c:pt>
                <c:pt idx="7">
                  <c:v>48095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6F-4E53-8351-A13F6DA37D8D}"/>
            </c:ext>
          </c:extLst>
        </c:ser>
        <c:ser>
          <c:idx val="2"/>
          <c:order val="2"/>
          <c:tx>
            <c:strRef>
              <c:f>List6!$B$6:$D$6</c:f>
              <c:strCache>
                <c:ptCount val="3"/>
                <c:pt idx="0">
                  <c:v>Zdravotní a sociální péče, péče o příznivé životní podmínky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List6!$E$3:$L$3</c:f>
              <c:numCache>
                <c:formatCode>0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List6!$E$6:$L$6</c:f>
              <c:numCache>
                <c:formatCode>#,##0</c:formatCode>
                <c:ptCount val="8"/>
                <c:pt idx="0">
                  <c:v>35218</c:v>
                </c:pt>
                <c:pt idx="1">
                  <c:v>36224</c:v>
                </c:pt>
                <c:pt idx="2">
                  <c:v>36408</c:v>
                </c:pt>
                <c:pt idx="3">
                  <c:v>36621</c:v>
                </c:pt>
                <c:pt idx="4">
                  <c:v>35891</c:v>
                </c:pt>
                <c:pt idx="5">
                  <c:v>35851</c:v>
                </c:pt>
                <c:pt idx="6">
                  <c:v>35810</c:v>
                </c:pt>
                <c:pt idx="7">
                  <c:v>35630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6F-4E53-8351-A13F6DA37D8D}"/>
            </c:ext>
          </c:extLst>
        </c:ser>
        <c:ser>
          <c:idx val="3"/>
          <c:order val="3"/>
          <c:tx>
            <c:strRef>
              <c:f>List6!$B$7:$D$7</c:f>
              <c:strCache>
                <c:ptCount val="3"/>
                <c:pt idx="0">
                  <c:v> Vzdělávání a výchova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List6!$E$3:$L$3</c:f>
              <c:numCache>
                <c:formatCode>0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List6!$E$7:$L$7</c:f>
              <c:numCache>
                <c:formatCode>#,##0</c:formatCode>
                <c:ptCount val="8"/>
                <c:pt idx="0">
                  <c:v>46127</c:v>
                </c:pt>
                <c:pt idx="1">
                  <c:v>44564</c:v>
                </c:pt>
                <c:pt idx="2">
                  <c:v>41729</c:v>
                </c:pt>
                <c:pt idx="3">
                  <c:v>39426</c:v>
                </c:pt>
                <c:pt idx="4">
                  <c:v>37579</c:v>
                </c:pt>
                <c:pt idx="5">
                  <c:v>33765</c:v>
                </c:pt>
                <c:pt idx="6">
                  <c:v>32112</c:v>
                </c:pt>
                <c:pt idx="7">
                  <c:v>30961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6F-4E53-8351-A13F6DA37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9796304"/>
        <c:axId val="469796720"/>
      </c:lineChart>
      <c:catAx>
        <c:axId val="46979630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69796720"/>
        <c:crosses val="autoZero"/>
        <c:auto val="1"/>
        <c:lblAlgn val="ctr"/>
        <c:lblOffset val="100"/>
        <c:noMultiLvlLbl val="0"/>
      </c:catAx>
      <c:valAx>
        <c:axId val="46979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69796304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 sz="800"/>
                    <a:t>tis.</a:t>
                  </a:r>
                  <a:r>
                    <a:rPr lang="cs-CZ" sz="800" baseline="0"/>
                    <a:t> studentů</a:t>
                  </a:r>
                  <a:endParaRPr lang="cs-CZ" sz="800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378825192432993E-2"/>
          <c:y val="4.3912175648702596E-2"/>
          <c:w val="0.89205081482626736"/>
          <c:h val="0.487512219655177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List3!$C$2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List3!$B$3:$B$12</c:f>
              <c:strCache>
                <c:ptCount val="10"/>
                <c:pt idx="0">
                  <c:v>Vzdělávaní a výchova</c:v>
                </c:pt>
                <c:pt idx="1">
                  <c:v>Umění a humanitní vědy</c:v>
                </c:pt>
                <c:pt idx="2">
                  <c:v>Spoločenské vědy, žurnalistika a informační vědy</c:v>
                </c:pt>
                <c:pt idx="3">
                  <c:v>Obchod, administrativa a právo</c:v>
                </c:pt>
                <c:pt idx="4">
                  <c:v>Přírodní vědy, matematika a statistika</c:v>
                </c:pt>
                <c:pt idx="5">
                  <c:v>Informační a komunikační technologie</c:v>
                </c:pt>
                <c:pt idx="6">
                  <c:v>Technika, výroba a stavebnictví</c:v>
                </c:pt>
                <c:pt idx="7">
                  <c:v>Zemědělství, lesnictví, rybářství a veterinářství</c:v>
                </c:pt>
                <c:pt idx="8">
                  <c:v>Zdravotní a sociální péče</c:v>
                </c:pt>
                <c:pt idx="9">
                  <c:v>Služby</c:v>
                </c:pt>
              </c:strCache>
            </c:strRef>
          </c:cat>
          <c:val>
            <c:numRef>
              <c:f>List3!$C$3:$C$12</c:f>
              <c:numCache>
                <c:formatCode>#,##0</c:formatCode>
                <c:ptCount val="10"/>
                <c:pt idx="0">
                  <c:v>25260</c:v>
                </c:pt>
                <c:pt idx="1">
                  <c:v>19774</c:v>
                </c:pt>
                <c:pt idx="2">
                  <c:v>19207</c:v>
                </c:pt>
                <c:pt idx="3">
                  <c:v>35032</c:v>
                </c:pt>
                <c:pt idx="4">
                  <c:v>11096</c:v>
                </c:pt>
                <c:pt idx="5">
                  <c:v>3146</c:v>
                </c:pt>
                <c:pt idx="6">
                  <c:v>15751</c:v>
                </c:pt>
                <c:pt idx="7">
                  <c:v>7356</c:v>
                </c:pt>
                <c:pt idx="8">
                  <c:v>26194</c:v>
                </c:pt>
                <c:pt idx="9">
                  <c:v>7445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A-41C4-9F39-C6FF05FD4E72}"/>
            </c:ext>
          </c:extLst>
        </c:ser>
        <c:ser>
          <c:idx val="1"/>
          <c:order val="1"/>
          <c:tx>
            <c:strRef>
              <c:f>List3!$D$2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List3!$B$3:$B$12</c:f>
              <c:strCache>
                <c:ptCount val="10"/>
                <c:pt idx="0">
                  <c:v>Vzdělávaní a výchova</c:v>
                </c:pt>
                <c:pt idx="1">
                  <c:v>Umění a humanitní vědy</c:v>
                </c:pt>
                <c:pt idx="2">
                  <c:v>Spoločenské vědy, žurnalistika a informační vědy</c:v>
                </c:pt>
                <c:pt idx="3">
                  <c:v>Obchod, administrativa a právo</c:v>
                </c:pt>
                <c:pt idx="4">
                  <c:v>Přírodní vědy, matematika a statistika</c:v>
                </c:pt>
                <c:pt idx="5">
                  <c:v>Informační a komunikační technologie</c:v>
                </c:pt>
                <c:pt idx="6">
                  <c:v>Technika, výroba a stavebnictví</c:v>
                </c:pt>
                <c:pt idx="7">
                  <c:v>Zemědělství, lesnictví, rybářství a veterinářství</c:v>
                </c:pt>
                <c:pt idx="8">
                  <c:v>Zdravotní a sociální péče</c:v>
                </c:pt>
                <c:pt idx="9">
                  <c:v>Služby</c:v>
                </c:pt>
              </c:strCache>
            </c:strRef>
          </c:cat>
          <c:val>
            <c:numRef>
              <c:f>List3!$D$3:$D$12</c:f>
              <c:numCache>
                <c:formatCode>#,##0</c:formatCode>
                <c:ptCount val="10"/>
                <c:pt idx="0">
                  <c:v>5701</c:v>
                </c:pt>
                <c:pt idx="1">
                  <c:v>10018</c:v>
                </c:pt>
                <c:pt idx="2">
                  <c:v>11172</c:v>
                </c:pt>
                <c:pt idx="3">
                  <c:v>25397</c:v>
                </c:pt>
                <c:pt idx="4">
                  <c:v>7832</c:v>
                </c:pt>
                <c:pt idx="5">
                  <c:v>16848</c:v>
                </c:pt>
                <c:pt idx="6">
                  <c:v>32344</c:v>
                </c:pt>
                <c:pt idx="7">
                  <c:v>4571</c:v>
                </c:pt>
                <c:pt idx="8">
                  <c:v>9436</c:v>
                </c:pt>
                <c:pt idx="9">
                  <c:v>9444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CA-41C4-9F39-C6FF05FD4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872896"/>
        <c:axId val="478104064"/>
      </c:barChart>
      <c:catAx>
        <c:axId val="47787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78104064"/>
        <c:crosses val="autoZero"/>
        <c:auto val="1"/>
        <c:lblAlgn val="ctr"/>
        <c:lblOffset val="100"/>
        <c:noMultiLvlLbl val="0"/>
      </c:catAx>
      <c:valAx>
        <c:axId val="47810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77872896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/>
                    <a:t>tis.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List4!#REF!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List4!$C$2:$S$2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List4!#REF!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E-4E2D-B27A-3BDCF5A3C62E}"/>
            </c:ext>
          </c:extLst>
        </c:ser>
        <c:ser>
          <c:idx val="1"/>
          <c:order val="1"/>
          <c:tx>
            <c:strRef>
              <c:f>List4!$B$3</c:f>
              <c:strCache>
                <c:ptCount val="1"/>
                <c:pt idx="0">
                  <c:v> bakalářský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List4!$C$3:$S$3</c:f>
              <c:numCache>
                <c:formatCode>#,##0</c:formatCode>
                <c:ptCount val="17"/>
                <c:pt idx="0">
                  <c:v>1360</c:v>
                </c:pt>
                <c:pt idx="1">
                  <c:v>2691</c:v>
                </c:pt>
                <c:pt idx="2">
                  <c:v>4481</c:v>
                </c:pt>
                <c:pt idx="3">
                  <c:v>7565</c:v>
                </c:pt>
                <c:pt idx="4">
                  <c:v>10480</c:v>
                </c:pt>
                <c:pt idx="5">
                  <c:v>12704</c:v>
                </c:pt>
                <c:pt idx="6">
                  <c:v>14611</c:v>
                </c:pt>
                <c:pt idx="7">
                  <c:v>16171</c:v>
                </c:pt>
                <c:pt idx="8">
                  <c:v>18441</c:v>
                </c:pt>
                <c:pt idx="9">
                  <c:v>20151</c:v>
                </c:pt>
                <c:pt idx="10">
                  <c:v>20689</c:v>
                </c:pt>
                <c:pt idx="11">
                  <c:v>21222</c:v>
                </c:pt>
                <c:pt idx="12">
                  <c:v>21402</c:v>
                </c:pt>
                <c:pt idx="13">
                  <c:v>21766</c:v>
                </c:pt>
                <c:pt idx="14">
                  <c:v>22096</c:v>
                </c:pt>
                <c:pt idx="15">
                  <c:v>22341</c:v>
                </c:pt>
                <c:pt idx="16">
                  <c:v>21954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E-4E2D-B27A-3BDCF5A3C62E}"/>
            </c:ext>
          </c:extLst>
        </c:ser>
        <c:ser>
          <c:idx val="2"/>
          <c:order val="2"/>
          <c:tx>
            <c:strRef>
              <c:f>List4!$B$4</c:f>
              <c:strCache>
                <c:ptCount val="1"/>
                <c:pt idx="0">
                  <c:v>magisterský a navazující magisterský 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List4!$C$4:$S$4</c:f>
              <c:numCache>
                <c:formatCode>#,##0</c:formatCode>
                <c:ptCount val="17"/>
                <c:pt idx="0">
                  <c:v>6280</c:v>
                </c:pt>
                <c:pt idx="1">
                  <c:v>7153</c:v>
                </c:pt>
                <c:pt idx="2">
                  <c:v>7338</c:v>
                </c:pt>
                <c:pt idx="3">
                  <c:v>8116</c:v>
                </c:pt>
                <c:pt idx="4">
                  <c:v>8801</c:v>
                </c:pt>
                <c:pt idx="5">
                  <c:v>9284</c:v>
                </c:pt>
                <c:pt idx="6">
                  <c:v>10302</c:v>
                </c:pt>
                <c:pt idx="7">
                  <c:v>11721</c:v>
                </c:pt>
                <c:pt idx="8">
                  <c:v>13508</c:v>
                </c:pt>
                <c:pt idx="9">
                  <c:v>14652</c:v>
                </c:pt>
                <c:pt idx="10">
                  <c:v>15158</c:v>
                </c:pt>
                <c:pt idx="11">
                  <c:v>15248</c:v>
                </c:pt>
                <c:pt idx="12">
                  <c:v>15726</c:v>
                </c:pt>
                <c:pt idx="13">
                  <c:v>15801</c:v>
                </c:pt>
                <c:pt idx="14">
                  <c:v>16359</c:v>
                </c:pt>
                <c:pt idx="15">
                  <c:v>17390</c:v>
                </c:pt>
                <c:pt idx="16">
                  <c:v>17918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1E-4E2D-B27A-3BDCF5A3C62E}"/>
            </c:ext>
          </c:extLst>
        </c:ser>
        <c:ser>
          <c:idx val="3"/>
          <c:order val="3"/>
          <c:tx>
            <c:strRef>
              <c:f>List4!$B$5</c:f>
              <c:strCache>
                <c:ptCount val="1"/>
                <c:pt idx="0">
                  <c:v>doktorský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List4!$C$5:$S$5</c:f>
              <c:numCache>
                <c:formatCode>#,##0</c:formatCode>
                <c:ptCount val="17"/>
                <c:pt idx="0">
                  <c:v>1193</c:v>
                </c:pt>
                <c:pt idx="1">
                  <c:v>1338</c:v>
                </c:pt>
                <c:pt idx="2">
                  <c:v>1410</c:v>
                </c:pt>
                <c:pt idx="3">
                  <c:v>1561</c:v>
                </c:pt>
                <c:pt idx="4">
                  <c:v>1790</c:v>
                </c:pt>
                <c:pt idx="5">
                  <c:v>2096</c:v>
                </c:pt>
                <c:pt idx="6">
                  <c:v>2387</c:v>
                </c:pt>
                <c:pt idx="7">
                  <c:v>2523</c:v>
                </c:pt>
                <c:pt idx="8">
                  <c:v>2775</c:v>
                </c:pt>
                <c:pt idx="9">
                  <c:v>3004</c:v>
                </c:pt>
                <c:pt idx="10">
                  <c:v>3156</c:v>
                </c:pt>
                <c:pt idx="11">
                  <c:v>3242</c:v>
                </c:pt>
                <c:pt idx="12">
                  <c:v>3476</c:v>
                </c:pt>
                <c:pt idx="13">
                  <c:v>3587</c:v>
                </c:pt>
                <c:pt idx="14">
                  <c:v>3809</c:v>
                </c:pt>
                <c:pt idx="15">
                  <c:v>3965</c:v>
                </c:pt>
                <c:pt idx="16">
                  <c:v>4127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1E-4E2D-B27A-3BDCF5A3C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2"/>
        <c:overlap val="100"/>
        <c:axId val="322145232"/>
        <c:axId val="322144816"/>
      </c:barChart>
      <c:catAx>
        <c:axId val="32214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2144816"/>
        <c:crosses val="autoZero"/>
        <c:auto val="1"/>
        <c:lblAlgn val="ctr"/>
        <c:lblOffset val="100"/>
        <c:noMultiLvlLbl val="0"/>
      </c:catAx>
      <c:valAx>
        <c:axId val="3221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2145232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/>
                    <a:t>tis.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List12!$D$3</c:f>
              <c:strCache>
                <c:ptCount val="1"/>
                <c:pt idx="0">
                  <c:v>cizinci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List12!$B$4:$B$7</c:f>
              <c:strCache>
                <c:ptCount val="4"/>
                <c:pt idx="0">
                  <c:v>ICT</c:v>
                </c:pt>
                <c:pt idx="1">
                  <c:v>Obchod, administrativa a právo</c:v>
                </c:pt>
                <c:pt idx="2">
                  <c:v>Technika, výroba a stavebnictví</c:v>
                </c:pt>
                <c:pt idx="3">
                  <c:v>Zdravotní a sociální péče</c:v>
                </c:pt>
              </c:strCache>
            </c:strRef>
          </c:cat>
          <c:val>
            <c:numRef>
              <c:f>List12!$D$4:$D$7</c:f>
              <c:numCache>
                <c:formatCode>0%</c:formatCode>
                <c:ptCount val="4"/>
                <c:pt idx="0">
                  <c:v>0.111</c:v>
                </c:pt>
                <c:pt idx="1">
                  <c:v>0.20599999999999999</c:v>
                </c:pt>
                <c:pt idx="2">
                  <c:v>0.14499999999999999</c:v>
                </c:pt>
                <c:pt idx="3">
                  <c:v>0.183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A-41E8-8733-8D4105C1FF17}"/>
            </c:ext>
          </c:extLst>
        </c:ser>
        <c:ser>
          <c:idx val="1"/>
          <c:order val="1"/>
          <c:tx>
            <c:strRef>
              <c:f>List12!$C$3</c:f>
              <c:strCache>
                <c:ptCount val="1"/>
                <c:pt idx="0">
                  <c:v>občané ČR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List12!$B$4:$B$7</c:f>
              <c:strCache>
                <c:ptCount val="4"/>
                <c:pt idx="0">
                  <c:v>ICT</c:v>
                </c:pt>
                <c:pt idx="1">
                  <c:v>Obchod, administrativa a právo</c:v>
                </c:pt>
                <c:pt idx="2">
                  <c:v>Technika, výroba a stavebnictví</c:v>
                </c:pt>
                <c:pt idx="3">
                  <c:v>Zdravotní a sociální péče</c:v>
                </c:pt>
              </c:strCache>
            </c:strRef>
          </c:cat>
          <c:val>
            <c:numRef>
              <c:f>List12!$C$4:$C$7</c:f>
              <c:numCache>
                <c:formatCode>0%</c:formatCode>
                <c:ptCount val="4"/>
                <c:pt idx="0">
                  <c:v>5.8999999999999997E-2</c:v>
                </c:pt>
                <c:pt idx="1">
                  <c:v>0.20134619980645441</c:v>
                </c:pt>
                <c:pt idx="2">
                  <c:v>0.16345984320455106</c:v>
                </c:pt>
                <c:pt idx="3">
                  <c:v>0.10813479236944487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A-41E8-8733-8D4105C1F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2"/>
        <c:overlap val="-63"/>
        <c:axId val="499000400"/>
        <c:axId val="498049408"/>
      </c:barChart>
      <c:catAx>
        <c:axId val="49900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8049408"/>
        <c:crosses val="autoZero"/>
        <c:auto val="1"/>
        <c:lblAlgn val="ctr"/>
        <c:lblOffset val="100"/>
        <c:noMultiLvlLbl val="0"/>
      </c:catAx>
      <c:valAx>
        <c:axId val="49804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900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List5!$C$3:$C$4</c:f>
              <c:strCache>
                <c:ptCount val="2"/>
                <c:pt idx="0">
                  <c:v>muži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List5!$B$5:$B$8</c:f>
              <c:strCache>
                <c:ptCount val="4"/>
                <c:pt idx="0">
                  <c:v>Umění a humanitní vědy</c:v>
                </c:pt>
                <c:pt idx="1">
                  <c:v>Přírodní vědy, matematika a statistika</c:v>
                </c:pt>
                <c:pt idx="2">
                  <c:v>Technika, výroba a stavebnictví</c:v>
                </c:pt>
                <c:pt idx="3">
                  <c:v>Zdravotní a sociální péče, péče o příznivé životní podmínky</c:v>
                </c:pt>
              </c:strCache>
            </c:strRef>
          </c:cat>
          <c:val>
            <c:numRef>
              <c:f>List5!$C$5:$C$8</c:f>
              <c:numCache>
                <c:formatCode>General</c:formatCode>
                <c:ptCount val="4"/>
                <c:pt idx="0">
                  <c:v>1497</c:v>
                </c:pt>
                <c:pt idx="1">
                  <c:v>2127</c:v>
                </c:pt>
                <c:pt idx="2">
                  <c:v>3786</c:v>
                </c:pt>
                <c:pt idx="3">
                  <c:v>1291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2-4470-BC5B-14721732CBA8}"/>
            </c:ext>
          </c:extLst>
        </c:ser>
        <c:ser>
          <c:idx val="1"/>
          <c:order val="1"/>
          <c:tx>
            <c:strRef>
              <c:f>List5!$D$3:$D$4</c:f>
              <c:strCache>
                <c:ptCount val="2"/>
                <c:pt idx="0">
                  <c:v>ženy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List5!$B$5:$B$8</c:f>
              <c:strCache>
                <c:ptCount val="4"/>
                <c:pt idx="0">
                  <c:v>Umění a humanitní vědy</c:v>
                </c:pt>
                <c:pt idx="1">
                  <c:v>Přírodní vědy, matematika a statistika</c:v>
                </c:pt>
                <c:pt idx="2">
                  <c:v>Technika, výroba a stavebnictví</c:v>
                </c:pt>
                <c:pt idx="3">
                  <c:v>Zdravotní a sociální péče, péče o příznivé životní podmínky</c:v>
                </c:pt>
              </c:strCache>
            </c:strRef>
          </c:cat>
          <c:val>
            <c:numRef>
              <c:f>List5!$D$5:$D$8</c:f>
              <c:numCache>
                <c:formatCode>General</c:formatCode>
                <c:ptCount val="4"/>
                <c:pt idx="0">
                  <c:v>1729</c:v>
                </c:pt>
                <c:pt idx="1">
                  <c:v>2199</c:v>
                </c:pt>
                <c:pt idx="2">
                  <c:v>1490</c:v>
                </c:pt>
                <c:pt idx="3">
                  <c:v>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C2-4470-BC5B-14721732C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161472"/>
        <c:axId val="281335312"/>
      </c:barChart>
      <c:catAx>
        <c:axId val="211161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1335312"/>
        <c:crosses val="autoZero"/>
        <c:auto val="1"/>
        <c:lblAlgn val="ctr"/>
        <c:lblOffset val="100"/>
        <c:noMultiLvlLbl val="0"/>
      </c:catAx>
      <c:valAx>
        <c:axId val="281335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1116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List8!$C$4</c:f>
              <c:strCache>
                <c:ptCount val="1"/>
                <c:pt idx="0">
                  <c:v>studenti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List8!$B$5:$B$15</c:f>
              <c:strCache>
                <c:ptCount val="11"/>
                <c:pt idx="0">
                  <c:v>2007/08</c:v>
                </c:pt>
                <c:pt idx="1">
                  <c:v>2008/09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  <c:pt idx="7">
                  <c:v>2014/15</c:v>
                </c:pt>
                <c:pt idx="8">
                  <c:v>2015/16</c:v>
                </c:pt>
                <c:pt idx="9">
                  <c:v>2016/17</c:v>
                </c:pt>
                <c:pt idx="10">
                  <c:v>2017/18</c:v>
                </c:pt>
              </c:strCache>
            </c:strRef>
          </c:cat>
          <c:val>
            <c:numRef>
              <c:f>List8!$C$5:$C$15</c:f>
              <c:numCache>
                <c:formatCode>#\ ##0_ ;\-#\ ##0\ </c:formatCode>
                <c:ptCount val="11"/>
                <c:pt idx="0">
                  <c:v>28774</c:v>
                </c:pt>
                <c:pt idx="1">
                  <c:v>28027</c:v>
                </c:pt>
                <c:pt idx="2">
                  <c:v>28749</c:v>
                </c:pt>
                <c:pt idx="3">
                  <c:v>29800</c:v>
                </c:pt>
                <c:pt idx="4">
                  <c:v>29335</c:v>
                </c:pt>
                <c:pt idx="5">
                  <c:v>28980</c:v>
                </c:pt>
                <c:pt idx="6">
                  <c:v>28332</c:v>
                </c:pt>
                <c:pt idx="7">
                  <c:v>26964</c:v>
                </c:pt>
                <c:pt idx="8">
                  <c:v>24786</c:v>
                </c:pt>
                <c:pt idx="9">
                  <c:v>22002</c:v>
                </c:pt>
                <c:pt idx="10">
                  <c:v>19883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95-4EC1-89E9-AC5AA35DFA26}"/>
            </c:ext>
          </c:extLst>
        </c:ser>
        <c:ser>
          <c:idx val="1"/>
          <c:order val="1"/>
          <c:tx>
            <c:strRef>
              <c:f>List8!$D$4</c:f>
              <c:strCache>
                <c:ptCount val="1"/>
                <c:pt idx="0">
                  <c:v>nově přijatí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List8!$B$5:$B$15</c:f>
              <c:strCache>
                <c:ptCount val="11"/>
                <c:pt idx="0">
                  <c:v>2007/08</c:v>
                </c:pt>
                <c:pt idx="1">
                  <c:v>2008/09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  <c:pt idx="7">
                  <c:v>2014/15</c:v>
                </c:pt>
                <c:pt idx="8">
                  <c:v>2015/16</c:v>
                </c:pt>
                <c:pt idx="9">
                  <c:v>2016/17</c:v>
                </c:pt>
                <c:pt idx="10">
                  <c:v>2017/18</c:v>
                </c:pt>
              </c:strCache>
            </c:strRef>
          </c:cat>
          <c:val>
            <c:numRef>
              <c:f>List8!$D$5:$D$15</c:f>
              <c:numCache>
                <c:formatCode>#\ ##0_ ;\-#\ ##0\ </c:formatCode>
                <c:ptCount val="11"/>
                <c:pt idx="0">
                  <c:v>11975</c:v>
                </c:pt>
                <c:pt idx="1">
                  <c:v>11003</c:v>
                </c:pt>
                <c:pt idx="2">
                  <c:v>11870</c:v>
                </c:pt>
                <c:pt idx="3">
                  <c:v>12838</c:v>
                </c:pt>
                <c:pt idx="4">
                  <c:v>11780</c:v>
                </c:pt>
                <c:pt idx="5">
                  <c:v>11966</c:v>
                </c:pt>
                <c:pt idx="6">
                  <c:v>11805</c:v>
                </c:pt>
                <c:pt idx="7">
                  <c:v>10757</c:v>
                </c:pt>
                <c:pt idx="8">
                  <c:v>9868</c:v>
                </c:pt>
                <c:pt idx="9">
                  <c:v>8684</c:v>
                </c:pt>
                <c:pt idx="10">
                  <c:v>7878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95-4EC1-89E9-AC5AA35DFA26}"/>
            </c:ext>
          </c:extLst>
        </c:ser>
        <c:ser>
          <c:idx val="2"/>
          <c:order val="2"/>
          <c:tx>
            <c:strRef>
              <c:f>List8!$E$4</c:f>
              <c:strCache>
                <c:ptCount val="1"/>
                <c:pt idx="0">
                  <c:v>absolventi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List8!$B$5:$B$15</c:f>
              <c:strCache>
                <c:ptCount val="11"/>
                <c:pt idx="0">
                  <c:v>2007/08</c:v>
                </c:pt>
                <c:pt idx="1">
                  <c:v>2008/09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  <c:pt idx="7">
                  <c:v>2014/15</c:v>
                </c:pt>
                <c:pt idx="8">
                  <c:v>2015/16</c:v>
                </c:pt>
                <c:pt idx="9">
                  <c:v>2016/17</c:v>
                </c:pt>
                <c:pt idx="10">
                  <c:v>2017/18</c:v>
                </c:pt>
              </c:strCache>
            </c:strRef>
          </c:cat>
          <c:val>
            <c:numRef>
              <c:f>List8!$E$5:$E$15</c:f>
              <c:numCache>
                <c:formatCode>#,##0</c:formatCode>
                <c:ptCount val="11"/>
                <c:pt idx="0">
                  <c:v>6233</c:v>
                </c:pt>
                <c:pt idx="1">
                  <c:v>6696</c:v>
                </c:pt>
                <c:pt idx="2">
                  <c:v>6185</c:v>
                </c:pt>
                <c:pt idx="3">
                  <c:v>6352</c:v>
                </c:pt>
                <c:pt idx="4">
                  <c:v>6410</c:v>
                </c:pt>
                <c:pt idx="5">
                  <c:v>6607</c:v>
                </c:pt>
                <c:pt idx="6">
                  <c:v>6437</c:v>
                </c:pt>
                <c:pt idx="7">
                  <c:v>6052</c:v>
                </c:pt>
                <c:pt idx="8">
                  <c:v>6035</c:v>
                </c:pt>
                <c:pt idx="9">
                  <c:v>5685</c:v>
                </c:pt>
                <c:pt idx="10">
                  <c:v>5174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95-4EC1-89E9-AC5AA35DFA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8816848"/>
        <c:axId val="278817680"/>
      </c:lineChart>
      <c:catAx>
        <c:axId val="27881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78817680"/>
        <c:crosses val="autoZero"/>
        <c:auto val="1"/>
        <c:lblAlgn val="ctr"/>
        <c:lblOffset val="100"/>
        <c:noMultiLvlLbl val="0"/>
      </c:catAx>
      <c:valAx>
        <c:axId val="27881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_ ;\-#\ 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78816848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/>
                    <a:t>tis.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List10!$P$14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List10!$O$15:$O$18</c:f>
              <c:strCache>
                <c:ptCount val="4"/>
                <c:pt idx="0">
                  <c:v>Zdravotní a sociální péče, péče o příznivé životní podmínky</c:v>
                </c:pt>
                <c:pt idx="1">
                  <c:v> Obchod, administrativa a právo</c:v>
                </c:pt>
                <c:pt idx="2">
                  <c:v>Služby</c:v>
                </c:pt>
                <c:pt idx="3">
                  <c:v>Technika, výroba a stavebnictví</c:v>
                </c:pt>
              </c:strCache>
            </c:strRef>
          </c:cat>
          <c:val>
            <c:numRef>
              <c:f>List10!$P$15:$P$18</c:f>
              <c:numCache>
                <c:formatCode>#,##0</c:formatCode>
                <c:ptCount val="4"/>
                <c:pt idx="0">
                  <c:v>1235</c:v>
                </c:pt>
                <c:pt idx="1">
                  <c:v>1101</c:v>
                </c:pt>
                <c:pt idx="2">
                  <c:v>1019</c:v>
                </c:pt>
                <c:pt idx="3">
                  <c:v>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B-4E8C-94A9-7A3EF5847444}"/>
            </c:ext>
          </c:extLst>
        </c:ser>
        <c:ser>
          <c:idx val="1"/>
          <c:order val="1"/>
          <c:tx>
            <c:strRef>
              <c:f>List10!$Q$14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List10!$O$15:$O$18</c:f>
              <c:strCache>
                <c:ptCount val="4"/>
                <c:pt idx="0">
                  <c:v>Zdravotní a sociální péče, péče o příznivé životní podmínky</c:v>
                </c:pt>
                <c:pt idx="1">
                  <c:v> Obchod, administrativa a právo</c:v>
                </c:pt>
                <c:pt idx="2">
                  <c:v>Služby</c:v>
                </c:pt>
                <c:pt idx="3">
                  <c:v>Technika, výroba a stavebnictví</c:v>
                </c:pt>
              </c:strCache>
            </c:strRef>
          </c:cat>
          <c:val>
            <c:numRef>
              <c:f>List10!$Q$15:$Q$18</c:f>
              <c:numCache>
                <c:formatCode>#,##0</c:formatCode>
                <c:ptCount val="4"/>
                <c:pt idx="0">
                  <c:v>9310</c:v>
                </c:pt>
                <c:pt idx="1">
                  <c:v>2331</c:v>
                </c:pt>
                <c:pt idx="2">
                  <c:v>1111</c:v>
                </c:pt>
                <c:pt idx="3">
                  <c:v>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B-4E8C-94A9-7A3EF5847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2"/>
        <c:overlap val="-100"/>
        <c:axId val="485938032"/>
        <c:axId val="217081536"/>
      </c:barChart>
      <c:catAx>
        <c:axId val="48593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17081536"/>
        <c:crosses val="autoZero"/>
        <c:auto val="1"/>
        <c:lblAlgn val="ctr"/>
        <c:lblOffset val="100"/>
        <c:noMultiLvlLbl val="0"/>
      </c:catAx>
      <c:valAx>
        <c:axId val="21708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85938032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/>
                    <a:t>tis.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712795275590555"/>
          <c:y val="0.92187445319335082"/>
          <c:w val="0.20781649168853897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Vlastní 2">
    <a:dk1>
      <a:sysClr val="windowText" lastClr="000000"/>
    </a:dk1>
    <a:lt1>
      <a:sysClr val="window" lastClr="FFFFFF"/>
    </a:lt1>
    <a:dk2>
      <a:srgbClr val="862110"/>
    </a:dk2>
    <a:lt2>
      <a:srgbClr val="862110"/>
    </a:lt2>
    <a:accent1>
      <a:srgbClr val="862110"/>
    </a:accent1>
    <a:accent2>
      <a:srgbClr val="862110"/>
    </a:accent2>
    <a:accent3>
      <a:srgbClr val="862110"/>
    </a:accent3>
    <a:accent4>
      <a:srgbClr val="862110"/>
    </a:accent4>
    <a:accent5>
      <a:srgbClr val="862110"/>
    </a:accent5>
    <a:accent6>
      <a:srgbClr val="862110"/>
    </a:accent6>
    <a:hlink>
      <a:srgbClr val="862110"/>
    </a:hlink>
    <a:folHlink>
      <a:srgbClr val="862110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lastní 2">
    <a:dk1>
      <a:sysClr val="windowText" lastClr="000000"/>
    </a:dk1>
    <a:lt1>
      <a:sysClr val="window" lastClr="FFFFFF"/>
    </a:lt1>
    <a:dk2>
      <a:srgbClr val="862110"/>
    </a:dk2>
    <a:lt2>
      <a:srgbClr val="862110"/>
    </a:lt2>
    <a:accent1>
      <a:srgbClr val="862110"/>
    </a:accent1>
    <a:accent2>
      <a:srgbClr val="862110"/>
    </a:accent2>
    <a:accent3>
      <a:srgbClr val="862110"/>
    </a:accent3>
    <a:accent4>
      <a:srgbClr val="862110"/>
    </a:accent4>
    <a:accent5>
      <a:srgbClr val="862110"/>
    </a:accent5>
    <a:accent6>
      <a:srgbClr val="862110"/>
    </a:accent6>
    <a:hlink>
      <a:srgbClr val="862110"/>
    </a:hlink>
    <a:folHlink>
      <a:srgbClr val="862110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ranžovo-červená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ranžovo-červená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ranžovo-červená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ranžovo-červená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ranžovo-červená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ranžovo-červená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ranžovo-červená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D96D-4749-44A5-A6FC-04F32736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188</TotalTime>
  <Pages>6</Pages>
  <Words>1508</Words>
  <Characters>8898</Characters>
  <Application>Microsoft Office Word</Application>
  <DocSecurity>0</DocSecurity>
  <Lines>74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10386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Ondrušová</dc:creator>
  <cp:keywords/>
  <dc:description/>
  <cp:lastModifiedBy>Adriana Ondrušová</cp:lastModifiedBy>
  <cp:revision>15</cp:revision>
  <cp:lastPrinted>2014-07-17T14:07:00Z</cp:lastPrinted>
  <dcterms:created xsi:type="dcterms:W3CDTF">2019-01-04T10:26:00Z</dcterms:created>
  <dcterms:modified xsi:type="dcterms:W3CDTF">2019-02-01T12:46:00Z</dcterms:modified>
  <cp:category/>
</cp:coreProperties>
</file>