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drawings/drawing6.xml" ContentType="application/vnd.openxmlformats-officedocument.drawingml.chartshapes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3.xml" ContentType="application/vnd.openxmlformats-officedocument.themeOverride+xml"/>
  <Override PartName="/word/drawings/drawing7.xml" ContentType="application/vnd.openxmlformats-officedocument.drawingml.chartshapes+xml"/>
  <Override PartName="/word/charts/chart8.xml" ContentType="application/vnd.openxmlformats-officedocument.drawingml.chart+xml"/>
  <Override PartName="/word/theme/themeOverride4.xml" ContentType="application/vnd.openxmlformats-officedocument.themeOverride+xml"/>
  <Override PartName="/word/drawings/drawing8.xml" ContentType="application/vnd.openxmlformats-officedocument.drawingml.chartshapes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5.xml" ContentType="application/vnd.openxmlformats-officedocument.themeOverride+xml"/>
  <Override PartName="/word/drawings/drawing9.xml" ContentType="application/vnd.openxmlformats-officedocument.drawingml.chartshapes+xml"/>
  <Override PartName="/word/charts/chart10.xml" ContentType="application/vnd.openxmlformats-officedocument.drawingml.chart+xml"/>
  <Override PartName="/word/theme/themeOverride6.xml" ContentType="application/vnd.openxmlformats-officedocument.themeOverride+xml"/>
  <Override PartName="/word/drawings/drawing10.xml" ContentType="application/vnd.openxmlformats-officedocument.drawingml.chartshapes+xml"/>
  <Override PartName="/word/charts/chart11.xml" ContentType="application/vnd.openxmlformats-officedocument.drawingml.chart+xml"/>
  <Override PartName="/word/theme/themeOverride7.xml" ContentType="application/vnd.openxmlformats-officedocument.themeOverride+xml"/>
  <Override PartName="/word/drawings/drawing11.xml" ContentType="application/vnd.openxmlformats-officedocument.drawingml.chartshapes+xml"/>
  <Override PartName="/word/charts/chart12.xml" ContentType="application/vnd.openxmlformats-officedocument.drawingml.chart+xml"/>
  <Override PartName="/word/theme/themeOverride8.xml" ContentType="application/vnd.openxmlformats-officedocument.themeOverride+xml"/>
  <Override PartName="/word/drawings/drawing12.xml" ContentType="application/vnd.openxmlformats-officedocument.drawingml.chartshapes+xml"/>
  <Override PartName="/word/charts/chart13.xml" ContentType="application/vnd.openxmlformats-officedocument.drawingml.chart+xml"/>
  <Override PartName="/word/theme/themeOverride9.xml" ContentType="application/vnd.openxmlformats-officedocument.themeOverride+xml"/>
  <Override PartName="/word/drawings/drawing13.xml" ContentType="application/vnd.openxmlformats-officedocument.drawingml.chartshapes+xml"/>
  <Override PartName="/word/charts/chart14.xml" ContentType="application/vnd.openxmlformats-officedocument.drawingml.chart+xml"/>
  <Override PartName="/word/theme/themeOverride10.xml" ContentType="application/vnd.openxmlformats-officedocument.themeOverride+xml"/>
  <Override PartName="/word/drawings/drawing14.xml" ContentType="application/vnd.openxmlformats-officedocument.drawingml.chartshapes+xml"/>
  <Override PartName="/word/charts/chart15.xml" ContentType="application/vnd.openxmlformats-officedocument.drawingml.chart+xml"/>
  <Override PartName="/word/theme/themeOverride11.xml" ContentType="application/vnd.openxmlformats-officedocument.themeOverride+xml"/>
  <Override PartName="/word/drawings/drawing15.xml" ContentType="application/vnd.openxmlformats-officedocument.drawingml.chartshapes+xml"/>
  <Override PartName="/word/charts/chart16.xml" ContentType="application/vnd.openxmlformats-officedocument.drawingml.chart+xml"/>
  <Override PartName="/word/theme/themeOverride12.xml" ContentType="application/vnd.openxmlformats-officedocument.themeOverride+xml"/>
  <Override PartName="/word/drawings/drawing16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61FE" w14:textId="6DDD335D" w:rsidR="006B649A" w:rsidRDefault="004C0913" w:rsidP="005772A0">
      <w:pPr>
        <w:tabs>
          <w:tab w:val="right" w:pos="9638"/>
        </w:tabs>
        <w:spacing w:after="0"/>
        <w:rPr>
          <w:b/>
          <w:color w:val="CC9610"/>
          <w:sz w:val="40"/>
          <w:szCs w:val="40"/>
        </w:rPr>
      </w:pPr>
      <w:bookmarkStart w:id="0" w:name="_Toc444112494"/>
      <w:r>
        <w:rPr>
          <w:b/>
          <w:color w:val="CC9610"/>
          <w:sz w:val="40"/>
          <w:szCs w:val="40"/>
        </w:rPr>
        <w:t>Analytická část</w:t>
      </w:r>
      <w:r w:rsidR="00DC7CE5">
        <w:rPr>
          <w:b/>
          <w:color w:val="CC9610"/>
          <w:sz w:val="40"/>
          <w:szCs w:val="40"/>
        </w:rPr>
        <w:t>: 3. Střední školy</w:t>
      </w:r>
      <w:r w:rsidR="005772A0">
        <w:rPr>
          <w:b/>
          <w:color w:val="CC9610"/>
          <w:sz w:val="40"/>
          <w:szCs w:val="40"/>
        </w:rPr>
        <w:tab/>
      </w:r>
    </w:p>
    <w:p w14:paraId="39033ECA" w14:textId="77777777" w:rsidR="004C0913" w:rsidRPr="00B804CA" w:rsidRDefault="004C0913" w:rsidP="004C0913">
      <w:pPr>
        <w:spacing w:after="0"/>
        <w:jc w:val="center"/>
        <w:rPr>
          <w:b/>
          <w:color w:val="CC9610"/>
          <w:szCs w:val="20"/>
        </w:rPr>
      </w:pPr>
    </w:p>
    <w:sdt>
      <w:sdtPr>
        <w:rPr>
          <w:rFonts w:ascii="Arial" w:eastAsia="Times New Roman" w:hAnsi="Arial" w:cs="Times New Roman"/>
          <w:color w:val="auto"/>
          <w:sz w:val="20"/>
          <w:szCs w:val="24"/>
        </w:rPr>
        <w:id w:val="-341212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8CAC57" w14:textId="77777777" w:rsidR="00510068" w:rsidRDefault="005772A0" w:rsidP="00693D18">
          <w:pPr>
            <w:pStyle w:val="Nadpisobsahu"/>
            <w:rPr>
              <w:rFonts w:ascii="Arial" w:hAnsi="Arial" w:cs="Arial"/>
              <w:b/>
              <w:color w:val="CC9610"/>
            </w:rPr>
          </w:pPr>
          <w:r>
            <w:rPr>
              <w:rFonts w:ascii="Arial" w:hAnsi="Arial" w:cs="Arial"/>
              <w:b/>
              <w:color w:val="CC9610"/>
            </w:rPr>
            <w:t>Obsah</w:t>
          </w:r>
        </w:p>
        <w:p w14:paraId="4BBC6118" w14:textId="77777777" w:rsidR="00421390" w:rsidRPr="00421390" w:rsidRDefault="00421390" w:rsidP="00421390">
          <w:pPr>
            <w:spacing w:after="0"/>
          </w:pPr>
        </w:p>
        <w:p w14:paraId="39C5063B" w14:textId="31BCEDC9" w:rsidR="004C0913" w:rsidRDefault="00D70477" w:rsidP="00D70477">
          <w:pPr>
            <w:pStyle w:val="Obsah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t xml:space="preserve">   </w:t>
          </w:r>
          <w:r w:rsidR="00510068">
            <w:fldChar w:fldCharType="begin"/>
          </w:r>
          <w:r w:rsidR="00510068">
            <w:instrText xml:space="preserve"> TOC \o "1-3" \h \z \u </w:instrText>
          </w:r>
          <w:r w:rsidR="00510068">
            <w:fldChar w:fldCharType="separate"/>
          </w:r>
          <w:hyperlink w:anchor="_Toc199232053" w:history="1">
            <w:r w:rsidR="004C0913" w:rsidRPr="00535AF2">
              <w:rPr>
                <w:rStyle w:val="Hypertextovodkaz"/>
                <w:noProof/>
              </w:rPr>
              <w:t>Shrnutí</w:t>
            </w:r>
            <w:r w:rsidR="004C0913">
              <w:rPr>
                <w:noProof/>
                <w:webHidden/>
              </w:rPr>
              <w:tab/>
            </w:r>
            <w:r w:rsidR="004C0913">
              <w:rPr>
                <w:noProof/>
                <w:webHidden/>
              </w:rPr>
              <w:fldChar w:fldCharType="begin"/>
            </w:r>
            <w:r w:rsidR="004C0913">
              <w:rPr>
                <w:noProof/>
                <w:webHidden/>
              </w:rPr>
              <w:instrText xml:space="preserve"> PAGEREF _Toc199232053 \h </w:instrText>
            </w:r>
            <w:r w:rsidR="004C0913">
              <w:rPr>
                <w:noProof/>
                <w:webHidden/>
              </w:rPr>
            </w:r>
            <w:r w:rsidR="004C0913"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2</w:t>
            </w:r>
            <w:r w:rsidR="004C0913">
              <w:rPr>
                <w:noProof/>
                <w:webHidden/>
              </w:rPr>
              <w:fldChar w:fldCharType="end"/>
            </w:r>
          </w:hyperlink>
        </w:p>
        <w:p w14:paraId="568CD169" w14:textId="501A7CD3" w:rsidR="004C0913" w:rsidRDefault="004C091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232054" w:history="1">
            <w:r w:rsidRPr="00535AF2">
              <w:rPr>
                <w:rStyle w:val="Hypertextovodkaz"/>
                <w:noProof/>
              </w:rPr>
              <w:t>Úvod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_Toc199232054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4A8A06" w14:textId="0A9125E6" w:rsidR="004C0913" w:rsidRDefault="004C091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232055" w:history="1">
            <w:r w:rsidRPr="00535AF2">
              <w:rPr>
                <w:rStyle w:val="Hypertextovodkaz"/>
                <w:noProof/>
              </w:rPr>
              <w:t>3.1 Školy, žáci a učitelé celkem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_Toc199232055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9E0311" w14:textId="091F047F" w:rsidR="004C0913" w:rsidRDefault="004C091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232056" w:history="1">
            <w:r w:rsidRPr="00535AF2">
              <w:rPr>
                <w:rStyle w:val="Hypertextovodkaz"/>
                <w:noProof/>
              </w:rPr>
              <w:t>3.2 Žáci středních škol dle druhů a oborů vzdělávání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_Toc199232056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E85276" w14:textId="39C94888" w:rsidR="004C0913" w:rsidRDefault="004C091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232057" w:history="1">
            <w:r w:rsidRPr="00535AF2">
              <w:rPr>
                <w:rStyle w:val="Hypertextovodkaz"/>
                <w:noProof/>
              </w:rPr>
              <w:t>3.3 Žáci středních škol dle zdravotního postižení a integrace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_Toc199232057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B01D95" w14:textId="14C908D2" w:rsidR="004C0913" w:rsidRDefault="004C0913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99232058" w:history="1">
            <w:r w:rsidRPr="00535AF2">
              <w:rPr>
                <w:rStyle w:val="Hypertextovodkaz"/>
                <w:noProof/>
              </w:rPr>
              <w:t>3.4 Žáci středních škol dle státní příslušnosti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_Toc199232058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33BA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AC025E" w14:textId="77777777" w:rsidR="00D70477" w:rsidRDefault="00510068" w:rsidP="00693D18">
          <w:pPr>
            <w:tabs>
              <w:tab w:val="left" w:pos="7650"/>
            </w:tabs>
          </w:pPr>
          <w:r>
            <w:rPr>
              <w:b/>
              <w:bCs/>
            </w:rPr>
            <w:fldChar w:fldCharType="end"/>
          </w:r>
          <w:r w:rsidR="00F310A4">
            <w:tab/>
          </w:r>
        </w:p>
        <w:p w14:paraId="01A5230E" w14:textId="12413F77" w:rsidR="00510068" w:rsidRDefault="00D70477" w:rsidP="00D70477">
          <w:pPr>
            <w:spacing w:after="0" w:line="240" w:lineRule="auto"/>
          </w:pPr>
          <w:r>
            <w:br w:type="page"/>
          </w:r>
        </w:p>
      </w:sdtContent>
    </w:sdt>
    <w:p w14:paraId="1FC078E6" w14:textId="77777777" w:rsidR="00D2410E" w:rsidRPr="00AE5878" w:rsidRDefault="00D2410E" w:rsidP="00945CC2">
      <w:pPr>
        <w:pStyle w:val="Nadpis2"/>
        <w:spacing w:after="120"/>
        <w:rPr>
          <w:color w:val="CC9610"/>
        </w:rPr>
      </w:pPr>
      <w:bookmarkStart w:id="1" w:name="_Toc199232053"/>
      <w:bookmarkEnd w:id="0"/>
      <w:r w:rsidRPr="00AE5878">
        <w:rPr>
          <w:color w:val="CC9610"/>
        </w:rPr>
        <w:lastRenderedPageBreak/>
        <w:t>Shrnutí</w:t>
      </w:r>
      <w:bookmarkEnd w:id="1"/>
    </w:p>
    <w:p w14:paraId="2D9EB4A0" w14:textId="77777777" w:rsidR="001E2E39" w:rsidRPr="0025234F" w:rsidRDefault="001E2E39" w:rsidP="001E2E39">
      <w:pPr>
        <w:keepNext/>
        <w:keepLines/>
        <w:spacing w:after="120"/>
        <w:jc w:val="both"/>
        <w:rPr>
          <w:rFonts w:cs="Arial"/>
          <w:szCs w:val="20"/>
        </w:rPr>
      </w:pPr>
      <w:r w:rsidRPr="0025234F">
        <w:rPr>
          <w:rFonts w:cs="Arial"/>
          <w:szCs w:val="20"/>
        </w:rPr>
        <w:t>P</w:t>
      </w:r>
      <w:r w:rsidRPr="0025234F">
        <w:rPr>
          <w:rFonts w:cs="Arial"/>
          <w:b/>
          <w:szCs w:val="20"/>
        </w:rPr>
        <w:t xml:space="preserve">očet žáků středních škol </w:t>
      </w:r>
      <w:r w:rsidRPr="0025234F">
        <w:rPr>
          <w:rFonts w:cs="Arial"/>
          <w:szCs w:val="20"/>
        </w:rPr>
        <w:t xml:space="preserve">od školního roku 2015/16 do školního roku 2018/19 klesal, a sice ze 427 107 žáků v září 2015 na 420 814 žáků v září 2018. V následujících sedmi letech naopak stoupal až na 514 881 žáků v září 2025. </w:t>
      </w:r>
      <w:r w:rsidRPr="0025234F">
        <w:rPr>
          <w:rFonts w:cs="Arial"/>
          <w:b/>
          <w:szCs w:val="20"/>
        </w:rPr>
        <w:t>Učitelé</w:t>
      </w:r>
      <w:r w:rsidRPr="0025234F">
        <w:rPr>
          <w:rFonts w:cs="Arial"/>
          <w:szCs w:val="20"/>
        </w:rPr>
        <w:t xml:space="preserve"> byli na středních školách zaměstnaní na 46 370,6 úvazku, při čemž tři pětiny (59,9 %) byly úvazky učitelek – žen. Jedná se již o nižší podíl, než jaký ženy tvořily mezi úvazky učitelů škol mateřských (99,3 %) a základních (84,0 %). </w:t>
      </w:r>
      <w:r w:rsidRPr="0025234F">
        <w:rPr>
          <w:rFonts w:cs="Arial"/>
          <w:b/>
          <w:szCs w:val="20"/>
        </w:rPr>
        <w:t>Na jeden plný úvazek učitele</w:t>
      </w:r>
      <w:r w:rsidRPr="0025234F">
        <w:rPr>
          <w:rFonts w:cs="Arial"/>
          <w:szCs w:val="20"/>
        </w:rPr>
        <w:t xml:space="preserve"> na střední škole připadalo v průměru 11,1 žáka a </w:t>
      </w:r>
      <w:r w:rsidRPr="0025234F">
        <w:rPr>
          <w:rFonts w:cs="Arial"/>
          <w:b/>
          <w:szCs w:val="20"/>
        </w:rPr>
        <w:t>v jedné třídě</w:t>
      </w:r>
      <w:r w:rsidRPr="0025234F">
        <w:rPr>
          <w:rFonts w:cs="Arial"/>
          <w:szCs w:val="20"/>
        </w:rPr>
        <w:t xml:space="preserve"> bylo v průměru 23,7 žáka. Pro srovnání, počet žáků na jednu třídu byl v základních školách nižší (19,1 žáka), naopak počet žáků na jednoho učitele o něco vyšší (13,1 žáka).  </w:t>
      </w:r>
    </w:p>
    <w:p w14:paraId="3C8427B5" w14:textId="77777777" w:rsidR="001E2E39" w:rsidRPr="0001745E" w:rsidRDefault="001E2E39" w:rsidP="001E2E39">
      <w:pPr>
        <w:pStyle w:val="Zkladntextodsazen"/>
        <w:widowControl/>
        <w:tabs>
          <w:tab w:val="left" w:pos="540"/>
        </w:tabs>
        <w:spacing w:before="0" w:after="120" w:line="288" w:lineRule="auto"/>
        <w:ind w:firstLine="0"/>
        <w:rPr>
          <w:szCs w:val="20"/>
        </w:rPr>
      </w:pPr>
      <w:r w:rsidRPr="0025234F">
        <w:rPr>
          <w:szCs w:val="20"/>
        </w:rPr>
        <w:t xml:space="preserve">Ve školním roce 2025/26 se </w:t>
      </w:r>
      <w:r w:rsidRPr="0025234F">
        <w:rPr>
          <w:b/>
          <w:szCs w:val="20"/>
        </w:rPr>
        <w:t>nejvyšší podíl žáků vzdělával v oborech</w:t>
      </w:r>
      <w:r w:rsidRPr="0025234F">
        <w:rPr>
          <w:szCs w:val="20"/>
        </w:rPr>
        <w:t xml:space="preserve"> odborného vzdělávání s maturitní </w:t>
      </w:r>
      <w:r w:rsidRPr="0001745E">
        <w:rPr>
          <w:szCs w:val="20"/>
        </w:rPr>
        <w:t xml:space="preserve">zkouškou (48,1 %), dále pak v gymnáziích (28,0 %) a pětina žáků se také účastnila odborného vzdělávání s výučním listem (20,6 %). Nástavbové studium se týkalo již jen 2,8 % žáků a střední vzdělávání bez výučního listu a bez maturity 0,6 % žáků. Přitom mezi žáky gymnázií </w:t>
      </w:r>
      <w:r w:rsidRPr="0001745E">
        <w:rPr>
          <w:b/>
          <w:szCs w:val="20"/>
        </w:rPr>
        <w:t>tvořily ve školním roce 2025/26 dívky</w:t>
      </w:r>
      <w:r w:rsidRPr="0001745E">
        <w:rPr>
          <w:szCs w:val="20"/>
        </w:rPr>
        <w:t xml:space="preserve"> bezmála tři pětiny (56,0 %) a nadpoloviční byl jejich podíl i mezi žáky odborného vzdělávání s maturitní zkouškou (51,9 %). Naproti tomu mezi žáky odborného vzdělávání s výučním listem bylo dívek jen 36,2 % a mezi žáky nástavbového studia 44,2 %. Doplnění maturity tímto způsobem je tak častější u vyučených dívek než chlapců.</w:t>
      </w:r>
    </w:p>
    <w:p w14:paraId="34F40C78" w14:textId="77777777" w:rsidR="001E2E39" w:rsidRPr="0001745E" w:rsidRDefault="001E2E39" w:rsidP="001E2E39">
      <w:pPr>
        <w:spacing w:after="120"/>
        <w:jc w:val="both"/>
        <w:rPr>
          <w:color w:val="0070C0"/>
        </w:rPr>
      </w:pPr>
      <w:r w:rsidRPr="0001745E">
        <w:t xml:space="preserve">Co se </w:t>
      </w:r>
      <w:r w:rsidRPr="0001745E">
        <w:rPr>
          <w:b/>
        </w:rPr>
        <w:t xml:space="preserve">regionálního srovnání </w:t>
      </w:r>
      <w:r w:rsidRPr="0001745E">
        <w:t>týče, nejvyšší podíl žáků ve středním vzdělávání bez maturitní zkoušky (tj. max. s výučním listem) zaznamenal ve školním roce 2025/26 kraj Karlovarský (26,4 %) a Ústecký (26,3 %). Naopak v Praze byl tento podíl nejnižší (12,8 %). V Praze byl mezi středoškoláky naopak ze všech krajů nejvyšší podíl žáků gymnázií (37,6 %) a nadprůměrný byl i v Jihomoravském kraji (30,8 %). Nejnižší podíl žáků gymnázií zaznamenal kraj Liberecký (22,2 %) a Ústecký (22,7 %).</w:t>
      </w:r>
    </w:p>
    <w:p w14:paraId="118F1689" w14:textId="7D5DED77" w:rsidR="001E2E39" w:rsidRPr="00CB5F68" w:rsidRDefault="001E2E39" w:rsidP="001E2E39">
      <w:pPr>
        <w:spacing w:after="120"/>
        <w:jc w:val="both"/>
        <w:rPr>
          <w:color w:val="0070C0"/>
        </w:rPr>
      </w:pPr>
      <w:r w:rsidRPr="0001745E">
        <w:t xml:space="preserve">Pokud jde o </w:t>
      </w:r>
      <w:r w:rsidRPr="0001745E">
        <w:rPr>
          <w:b/>
        </w:rPr>
        <w:t>nejčastěji navštěvované skupiny oborů středního vzdělání</w:t>
      </w:r>
      <w:r w:rsidRPr="0001745E">
        <w:t xml:space="preserve"> </w:t>
      </w:r>
      <w:r w:rsidRPr="0001745E">
        <w:rPr>
          <w:b/>
        </w:rPr>
        <w:t>s výučním listem</w:t>
      </w:r>
      <w:r w:rsidRPr="0001745E">
        <w:t>, vedly ve školních rocích 20</w:t>
      </w:r>
      <w:r w:rsidR="00F14652">
        <w:t>20</w:t>
      </w:r>
      <w:r w:rsidRPr="0001745E">
        <w:t>/2</w:t>
      </w:r>
      <w:r w:rsidR="00F14652">
        <w:t>1</w:t>
      </w:r>
      <w:r w:rsidRPr="0001745E">
        <w:t xml:space="preserve"> i 202</w:t>
      </w:r>
      <w:r w:rsidR="00F14652">
        <w:t>5</w:t>
      </w:r>
      <w:r w:rsidRPr="0001745E">
        <w:t>/2</w:t>
      </w:r>
      <w:r w:rsidR="00F14652">
        <w:t>6</w:t>
      </w:r>
      <w:r w:rsidRPr="0001745E">
        <w:t xml:space="preserve"> skupiny oborů z oblasti strojírenství a strojírenské výroby (s 20 025 žáky ve školním roce 2025/26) a dále gastronomie, hotelnictví a turismu (15 156 žáků). Všechny skupiny oborů s více než 1 000 žáků v září 2025 zaznamenaly za pět let nárůst počtu </w:t>
      </w:r>
      <w:r w:rsidRPr="00CB5F68">
        <w:t xml:space="preserve">žáků. </w:t>
      </w:r>
    </w:p>
    <w:p w14:paraId="39604F6D" w14:textId="448A8824" w:rsidR="001E2E39" w:rsidRPr="00CB5F68" w:rsidRDefault="001E2E39" w:rsidP="001E2E39">
      <w:pPr>
        <w:spacing w:after="120"/>
        <w:jc w:val="both"/>
        <w:rPr>
          <w:rFonts w:cs="Arial"/>
          <w:szCs w:val="20"/>
        </w:rPr>
      </w:pPr>
      <w:r w:rsidRPr="00CB5F68">
        <w:t xml:space="preserve">V rámci </w:t>
      </w:r>
      <w:r w:rsidRPr="00CB5F68">
        <w:rPr>
          <w:b/>
        </w:rPr>
        <w:t>středního odborného vzdělávání s maturitní zkouškou</w:t>
      </w:r>
      <w:r w:rsidRPr="00CB5F68">
        <w:t xml:space="preserve"> se ve školním roce 2025/26 </w:t>
      </w:r>
      <w:r w:rsidRPr="00CB5F68">
        <w:rPr>
          <w:rFonts w:cs="Arial"/>
          <w:szCs w:val="20"/>
        </w:rPr>
        <w:t>mezi pět nejnavštěvovanějších skupin oborů řadila ekonomika a administrativa (38 268 žáků), s velkým propadem pak obecně odborná příprava (23 692 žáků), informatické obory (20 013 žáků), elektrotechnika, telekomunikační a výpočetní technika (18 182 žáků) a zdravotnictví (18 136 žáků).</w:t>
      </w:r>
      <w:r w:rsidR="000D0FF4">
        <w:rPr>
          <w:rFonts w:cs="Arial"/>
          <w:szCs w:val="20"/>
        </w:rPr>
        <w:t xml:space="preserve"> </w:t>
      </w:r>
      <w:r w:rsidRPr="00CB5F68">
        <w:rPr>
          <w:rFonts w:cs="Arial"/>
          <w:szCs w:val="20"/>
        </w:rPr>
        <w:t>Ve všech skupinách oborů došlo za posledních pět let ke zvýšení počtu žáků, obory ze skupiny strojírenství a strojírenská výroba však studovalo v září 2025 pouze o 16 žáků více než v září 2020.</w:t>
      </w:r>
      <w:r w:rsidRPr="00CB5F68">
        <w:rPr>
          <w:rFonts w:cs="Arial"/>
          <w:color w:val="0070C0"/>
          <w:szCs w:val="20"/>
        </w:rPr>
        <w:t xml:space="preserve"> </w:t>
      </w:r>
    </w:p>
    <w:p w14:paraId="3ED3D147" w14:textId="77777777" w:rsidR="001E2E39" w:rsidRPr="005A3CA8" w:rsidRDefault="001E2E39" w:rsidP="001E2E39">
      <w:pPr>
        <w:spacing w:before="120" w:after="120"/>
        <w:jc w:val="both"/>
        <w:rPr>
          <w:rFonts w:cs="Arial"/>
          <w:szCs w:val="20"/>
        </w:rPr>
      </w:pPr>
      <w:r w:rsidRPr="005A3CA8">
        <w:rPr>
          <w:rFonts w:cs="Arial"/>
          <w:szCs w:val="20"/>
        </w:rPr>
        <w:t xml:space="preserve">Do středních škol docházelo ve školním roce 2025/26 celkem 24 993 žáků </w:t>
      </w:r>
      <w:r w:rsidRPr="005A3CA8">
        <w:rPr>
          <w:rFonts w:cs="Arial"/>
          <w:b/>
          <w:szCs w:val="20"/>
        </w:rPr>
        <w:t>cizinců</w:t>
      </w:r>
      <w:r w:rsidRPr="005A3CA8">
        <w:rPr>
          <w:rFonts w:cs="Arial"/>
          <w:szCs w:val="20"/>
        </w:rPr>
        <w:t>, tj. bez českého státního občanství, což je</w:t>
      </w:r>
      <w:r w:rsidRPr="005A3CA8">
        <w:rPr>
          <w:rFonts w:cs="Arial"/>
          <w:b/>
          <w:szCs w:val="20"/>
        </w:rPr>
        <w:t xml:space="preserve"> </w:t>
      </w:r>
      <w:r w:rsidRPr="005A3CA8">
        <w:rPr>
          <w:rFonts w:cs="Arial"/>
          <w:szCs w:val="20"/>
        </w:rPr>
        <w:t>4,</w:t>
      </w:r>
      <w:r>
        <w:rPr>
          <w:rFonts w:cs="Arial"/>
          <w:szCs w:val="20"/>
        </w:rPr>
        <w:t>9</w:t>
      </w:r>
      <w:r w:rsidRPr="005A3CA8">
        <w:rPr>
          <w:rFonts w:cs="Arial"/>
          <w:szCs w:val="20"/>
        </w:rPr>
        <w:t xml:space="preserve"> % ze všech žáků středních škol a zároveň nejvyšší podíl za uplynulých deset let. Ještě v roce 2021/22 činil tento podíl jen 2,3 %. Nejvyšší podíl všech žáků cizí státní příslušnosti tvořili ve školním roce 2025/26 </w:t>
      </w:r>
      <w:r w:rsidRPr="005A3CA8">
        <w:rPr>
          <w:rFonts w:cs="Arial"/>
          <w:b/>
          <w:szCs w:val="20"/>
        </w:rPr>
        <w:t xml:space="preserve">Ukrajinci </w:t>
      </w:r>
      <w:r w:rsidRPr="005A3CA8">
        <w:rPr>
          <w:rFonts w:cs="Arial"/>
          <w:szCs w:val="20"/>
        </w:rPr>
        <w:t xml:space="preserve">(63,1 %), dalších 11,2 % </w:t>
      </w:r>
      <w:r w:rsidRPr="005A3CA8">
        <w:rPr>
          <w:rFonts w:cs="Arial"/>
          <w:b/>
          <w:szCs w:val="20"/>
        </w:rPr>
        <w:t>Slováci</w:t>
      </w:r>
      <w:r w:rsidRPr="005A3CA8">
        <w:rPr>
          <w:rFonts w:cs="Arial"/>
          <w:szCs w:val="20"/>
        </w:rPr>
        <w:t xml:space="preserve">, 10,3 % </w:t>
      </w:r>
      <w:r w:rsidRPr="005A3CA8">
        <w:rPr>
          <w:rFonts w:cs="Arial"/>
          <w:b/>
          <w:szCs w:val="20"/>
        </w:rPr>
        <w:t>Vietnamci</w:t>
      </w:r>
      <w:r w:rsidRPr="005A3CA8">
        <w:rPr>
          <w:rFonts w:cs="Arial"/>
          <w:szCs w:val="20"/>
        </w:rPr>
        <w:t xml:space="preserve"> a 3,0 % </w:t>
      </w:r>
      <w:r w:rsidRPr="005A3CA8">
        <w:rPr>
          <w:rFonts w:cs="Arial"/>
          <w:b/>
          <w:szCs w:val="20"/>
        </w:rPr>
        <w:t>Rusové</w:t>
      </w:r>
      <w:r w:rsidRPr="005A3CA8">
        <w:rPr>
          <w:rFonts w:cs="Arial"/>
          <w:szCs w:val="20"/>
        </w:rPr>
        <w:t xml:space="preserve">. Počet cizinců ukrajinské státní příslušnosti v uplynulých deseti letech soustavně rostl a v září 2025 byl pětkrát vyšší než v září 2021, tj. před přijímáním </w:t>
      </w:r>
      <w:r>
        <w:rPr>
          <w:rFonts w:cs="Arial"/>
          <w:szCs w:val="20"/>
        </w:rPr>
        <w:t xml:space="preserve">dětí </w:t>
      </w:r>
      <w:r w:rsidRPr="005A3CA8">
        <w:rPr>
          <w:rFonts w:cs="Arial"/>
          <w:szCs w:val="20"/>
        </w:rPr>
        <w:t xml:space="preserve">ukrajinských </w:t>
      </w:r>
      <w:r>
        <w:rPr>
          <w:rFonts w:cs="Arial"/>
          <w:szCs w:val="20"/>
        </w:rPr>
        <w:t>uprchlíků</w:t>
      </w:r>
      <w:r w:rsidRPr="005A3CA8">
        <w:rPr>
          <w:rFonts w:cs="Arial"/>
          <w:szCs w:val="20"/>
        </w:rPr>
        <w:t xml:space="preserve"> na naše školy. Počet Rusů se mezi zářím 2015 a 2020 zvyšoval (celkově stoupl o 4,6 %)</w:t>
      </w:r>
      <w:r>
        <w:rPr>
          <w:rFonts w:cs="Arial"/>
          <w:szCs w:val="20"/>
        </w:rPr>
        <w:t>,</w:t>
      </w:r>
      <w:r w:rsidRPr="005A3CA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z</w:t>
      </w:r>
      <w:r w:rsidRPr="005A3CA8">
        <w:rPr>
          <w:rFonts w:cs="Arial"/>
          <w:szCs w:val="20"/>
        </w:rPr>
        <w:t>a další čtyři roky se však o 31,4 % snížil</w:t>
      </w:r>
      <w:r>
        <w:rPr>
          <w:rFonts w:cs="Arial"/>
          <w:szCs w:val="20"/>
        </w:rPr>
        <w:t xml:space="preserve">. Mezi posledními dvěma školními roky se o 32 žáků </w:t>
      </w:r>
      <w:r w:rsidRPr="005A3CA8">
        <w:rPr>
          <w:rFonts w:cs="Arial"/>
          <w:szCs w:val="20"/>
        </w:rPr>
        <w:t>zvýšil.  Počet žáků se slovenským a vietnamským státním občanstvím v posledních pěti letech soustavně rostl.</w:t>
      </w:r>
    </w:p>
    <w:p w14:paraId="797ED9E7" w14:textId="65322637" w:rsidR="00D70477" w:rsidRDefault="001E2E39" w:rsidP="001E2E39">
      <w:pPr>
        <w:spacing w:before="120" w:after="120"/>
        <w:jc w:val="both"/>
        <w:rPr>
          <w:rFonts w:cs="Arial"/>
          <w:szCs w:val="20"/>
        </w:rPr>
      </w:pPr>
      <w:r w:rsidRPr="005A3CA8">
        <w:rPr>
          <w:rFonts w:cs="Arial"/>
          <w:szCs w:val="20"/>
        </w:rPr>
        <w:t>Ze všech</w:t>
      </w:r>
      <w:r w:rsidRPr="005A3CA8">
        <w:rPr>
          <w:rFonts w:cs="Arial"/>
          <w:b/>
          <w:szCs w:val="20"/>
        </w:rPr>
        <w:t xml:space="preserve"> </w:t>
      </w:r>
      <w:r w:rsidRPr="005A3CA8">
        <w:rPr>
          <w:rFonts w:cs="Arial"/>
          <w:szCs w:val="20"/>
        </w:rPr>
        <w:t xml:space="preserve">krajů byl podíl cizinců mezi žáky </w:t>
      </w:r>
      <w:r w:rsidR="00B04C66" w:rsidRPr="00B04C66">
        <w:rPr>
          <w:rFonts w:cs="Arial"/>
          <w:szCs w:val="20"/>
        </w:rPr>
        <w:t xml:space="preserve">ve školním roce 2025/26 </w:t>
      </w:r>
      <w:r w:rsidRPr="005A3CA8">
        <w:rPr>
          <w:rFonts w:cs="Arial"/>
          <w:szCs w:val="20"/>
        </w:rPr>
        <w:t>tradičně nejvyšší v Praze (8,6 %), dále v</w:t>
      </w:r>
      <w:r w:rsidR="00B04C66">
        <w:rPr>
          <w:rFonts w:cs="Arial"/>
          <w:szCs w:val="20"/>
        </w:rPr>
        <w:t> </w:t>
      </w:r>
      <w:r w:rsidRPr="005A3CA8">
        <w:rPr>
          <w:rFonts w:cs="Arial"/>
          <w:szCs w:val="20"/>
        </w:rPr>
        <w:t>kraji Karlovarském (8,2 %) a Plzeňském (6,6 </w:t>
      </w:r>
      <w:r w:rsidRPr="00D46836">
        <w:rPr>
          <w:rFonts w:cs="Arial"/>
          <w:szCs w:val="20"/>
        </w:rPr>
        <w:t>%). Naopak v kraji Olomouckém, Moravskoslezském, Zlínském a na Vysočině dosahoval 3 % a méně.</w:t>
      </w:r>
    </w:p>
    <w:p w14:paraId="56C50AFC" w14:textId="6917AAAA" w:rsidR="001E2E39" w:rsidRPr="00580A46" w:rsidRDefault="00D70477" w:rsidP="00D70477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27A644A" w14:textId="77777777" w:rsidR="00D44E0F" w:rsidRPr="00AE5878" w:rsidRDefault="00D44E0F" w:rsidP="00112D0E">
      <w:pPr>
        <w:pStyle w:val="Nadpis2"/>
        <w:spacing w:after="120"/>
        <w:rPr>
          <w:color w:val="CC9610"/>
        </w:rPr>
      </w:pPr>
      <w:bookmarkStart w:id="2" w:name="_Toc199232054"/>
      <w:r w:rsidRPr="00AE5878">
        <w:rPr>
          <w:color w:val="CC9610"/>
        </w:rPr>
        <w:lastRenderedPageBreak/>
        <w:t>Úvod</w:t>
      </w:r>
      <w:bookmarkEnd w:id="2"/>
    </w:p>
    <w:p w14:paraId="7C66179D" w14:textId="299975C9" w:rsidR="00FA7769" w:rsidRPr="00403EDA" w:rsidRDefault="00FA7769" w:rsidP="00112D0E">
      <w:pPr>
        <w:keepNext/>
        <w:spacing w:after="120"/>
        <w:jc w:val="both"/>
        <w:rPr>
          <w:rFonts w:cs="Arial"/>
          <w:szCs w:val="20"/>
        </w:rPr>
      </w:pPr>
      <w:r w:rsidRPr="00403EDA">
        <w:rPr>
          <w:rFonts w:cs="Arial"/>
          <w:szCs w:val="20"/>
        </w:rPr>
        <w:t>Střední vzdělávání rozvíjí v návaznosti na základní vzdělávání vědomosti, dovednosti a kompetence žáka a připravuje ho na další studium na vysokých a vyšších odborných školách, nebo na kvalifikovaný výkon povolání a pracovních činností. Střední vzdělávání má všeobecný nebo odborný charakter a je ukončeno maturitní zkouškou, výučním listem, nebo závěrečnou zkouškou. Uskutečňuje se v gymnázi</w:t>
      </w:r>
      <w:r w:rsidR="000D0FF4">
        <w:rPr>
          <w:rFonts w:cs="Arial"/>
          <w:szCs w:val="20"/>
        </w:rPr>
        <w:t>ích</w:t>
      </w:r>
      <w:r w:rsidRPr="00403EDA">
        <w:rPr>
          <w:rFonts w:cs="Arial"/>
          <w:szCs w:val="20"/>
        </w:rPr>
        <w:t xml:space="preserve">, ve středních odborných školách, středních odborných učilištích a v konzervatořích.  </w:t>
      </w:r>
    </w:p>
    <w:p w14:paraId="73A4CCBB" w14:textId="5DD9F3FC" w:rsidR="00FA7769" w:rsidRDefault="00FA7769" w:rsidP="00D4181F">
      <w:pPr>
        <w:spacing w:after="0"/>
        <w:jc w:val="both"/>
        <w:rPr>
          <w:rFonts w:cs="Arial"/>
          <w:szCs w:val="20"/>
        </w:rPr>
      </w:pPr>
      <w:r w:rsidRPr="00403EDA">
        <w:rPr>
          <w:rFonts w:cs="Arial"/>
          <w:szCs w:val="20"/>
        </w:rPr>
        <w:t>V této kapitole se budeme věnovat středním školám, do kterých nezahrnujeme konzervatoře. V těch lze získat středoškolské vzdělání s maturitou, ovšem završením celkové doby vzdělávání a složením absolutoria získává žák vyšší odborné vzdělání s titulem diplomovaný specialista (DiS.). Konzervatořím proto budem</w:t>
      </w:r>
      <w:r w:rsidR="00733ACD">
        <w:rPr>
          <w:rFonts w:cs="Arial"/>
          <w:szCs w:val="20"/>
        </w:rPr>
        <w:t xml:space="preserve">e věnovat samostatnou kapitolu </w:t>
      </w:r>
      <w:r w:rsidR="00AB6B04">
        <w:rPr>
          <w:rFonts w:cs="Arial"/>
          <w:szCs w:val="20"/>
        </w:rPr>
        <w:t>č. </w:t>
      </w:r>
      <w:r w:rsidR="00733ACD">
        <w:rPr>
          <w:rFonts w:cs="Arial"/>
          <w:szCs w:val="20"/>
        </w:rPr>
        <w:t>4</w:t>
      </w:r>
      <w:r w:rsidRPr="00403EDA">
        <w:rPr>
          <w:rFonts w:cs="Arial"/>
          <w:szCs w:val="20"/>
        </w:rPr>
        <w:t>. Na rozdíl od toho jsou do středních škol za</w:t>
      </w:r>
      <w:r w:rsidR="000600CC">
        <w:rPr>
          <w:rFonts w:cs="Arial"/>
          <w:szCs w:val="20"/>
        </w:rPr>
        <w:t>hrnuta všechna gymnázia, tedy i </w:t>
      </w:r>
      <w:r w:rsidRPr="00403EDA">
        <w:rPr>
          <w:rFonts w:cs="Arial"/>
          <w:szCs w:val="20"/>
        </w:rPr>
        <w:t xml:space="preserve">s šestiletým a osmiletým </w:t>
      </w:r>
      <w:r w:rsidR="00C67100">
        <w:rPr>
          <w:rFonts w:cs="Arial"/>
          <w:szCs w:val="20"/>
        </w:rPr>
        <w:t>oborem</w:t>
      </w:r>
      <w:r w:rsidRPr="00403EDA">
        <w:rPr>
          <w:rFonts w:cs="Arial"/>
          <w:szCs w:val="20"/>
        </w:rPr>
        <w:t xml:space="preserve"> vzdělávání. Zde je třeba vzít na vědomí, že nižší ročníky víceletých</w:t>
      </w:r>
      <w:r w:rsidR="001430AD">
        <w:rPr>
          <w:rFonts w:cs="Arial"/>
          <w:szCs w:val="20"/>
        </w:rPr>
        <w:t xml:space="preserve"> gymnázií (konkrétně </w:t>
      </w:r>
      <w:r w:rsidRPr="00403EDA">
        <w:rPr>
          <w:rFonts w:cs="Arial"/>
          <w:szCs w:val="20"/>
        </w:rPr>
        <w:t>1.</w:t>
      </w:r>
      <w:r w:rsidR="002C291A">
        <w:rPr>
          <w:rFonts w:cs="Arial"/>
          <w:szCs w:val="20"/>
        </w:rPr>
        <w:t>–</w:t>
      </w:r>
      <w:r w:rsidRPr="00403EDA">
        <w:rPr>
          <w:rFonts w:cs="Arial"/>
          <w:szCs w:val="20"/>
        </w:rPr>
        <w:t>4. ročník osmiletého gymnázia a 1.</w:t>
      </w:r>
      <w:r w:rsidR="002C291A">
        <w:rPr>
          <w:rFonts w:cs="Arial"/>
          <w:szCs w:val="20"/>
        </w:rPr>
        <w:t>–</w:t>
      </w:r>
      <w:r w:rsidRPr="00403EDA">
        <w:rPr>
          <w:rFonts w:cs="Arial"/>
          <w:szCs w:val="20"/>
        </w:rPr>
        <w:t>2. ročník šestiletého gymnázia) spadají ještě do povinné školní docházky</w:t>
      </w:r>
      <w:r w:rsidRPr="00403EDA">
        <w:rPr>
          <w:rStyle w:val="Znakapoznpodarou"/>
          <w:rFonts w:cs="Arial"/>
          <w:szCs w:val="20"/>
        </w:rPr>
        <w:footnoteReference w:id="1"/>
      </w:r>
      <w:r w:rsidR="00D4181F">
        <w:rPr>
          <w:rFonts w:cs="Arial"/>
          <w:szCs w:val="20"/>
        </w:rPr>
        <w:t>.</w:t>
      </w:r>
    </w:p>
    <w:p w14:paraId="144F14F4" w14:textId="77777777" w:rsidR="00EE0D40" w:rsidRDefault="00EE0D40" w:rsidP="00D4181F">
      <w:pPr>
        <w:spacing w:after="0"/>
        <w:jc w:val="both"/>
        <w:rPr>
          <w:rFonts w:cs="Arial"/>
          <w:szCs w:val="20"/>
        </w:rPr>
      </w:pPr>
    </w:p>
    <w:p w14:paraId="38E38139" w14:textId="77777777" w:rsidR="007431D5" w:rsidRPr="00D4181F" w:rsidRDefault="007431D5" w:rsidP="00D4181F">
      <w:pPr>
        <w:spacing w:after="0"/>
        <w:jc w:val="both"/>
        <w:rPr>
          <w:rFonts w:cs="Arial"/>
          <w:szCs w:val="20"/>
        </w:rPr>
      </w:pPr>
    </w:p>
    <w:p w14:paraId="0AE14479" w14:textId="77777777" w:rsidR="00FA7769" w:rsidRPr="00AE5878" w:rsidRDefault="00FA7769" w:rsidP="00386026">
      <w:pPr>
        <w:pStyle w:val="Nadpis2"/>
        <w:rPr>
          <w:color w:val="CC9610"/>
        </w:rPr>
      </w:pPr>
      <w:bookmarkStart w:id="3" w:name="_Toc199232055"/>
      <w:r w:rsidRPr="00AE5878">
        <w:rPr>
          <w:color w:val="CC9610"/>
        </w:rPr>
        <w:t>3.1 Školy, žáci a učitelé celkem</w:t>
      </w:r>
      <w:bookmarkEnd w:id="3"/>
    </w:p>
    <w:p w14:paraId="7F0C847C" w14:textId="5B83610F" w:rsidR="00FA7769" w:rsidRPr="00403EDA" w:rsidRDefault="00BE08F1" w:rsidP="00161404">
      <w:pPr>
        <w:spacing w:before="120"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Ve školním roce 202</w:t>
      </w:r>
      <w:r w:rsidR="00EF735D">
        <w:rPr>
          <w:rFonts w:cs="Arial"/>
          <w:szCs w:val="20"/>
        </w:rPr>
        <w:t>5</w:t>
      </w:r>
      <w:r>
        <w:rPr>
          <w:rFonts w:cs="Arial"/>
          <w:szCs w:val="20"/>
        </w:rPr>
        <w:t>/2</w:t>
      </w:r>
      <w:r w:rsidR="00EF735D">
        <w:rPr>
          <w:rFonts w:cs="Arial"/>
          <w:szCs w:val="20"/>
        </w:rPr>
        <w:t>6</w:t>
      </w:r>
      <w:r w:rsidR="00FA7769" w:rsidRPr="00403EDA">
        <w:rPr>
          <w:rFonts w:cs="Arial"/>
          <w:szCs w:val="20"/>
        </w:rPr>
        <w:t xml:space="preserve"> zajišťovalo středoškolské vzdělávání celkem </w:t>
      </w:r>
      <w:r w:rsidR="003B09D0">
        <w:rPr>
          <w:rFonts w:cs="Arial"/>
          <w:b/>
          <w:szCs w:val="20"/>
        </w:rPr>
        <w:t>1 </w:t>
      </w:r>
      <w:r>
        <w:rPr>
          <w:rFonts w:cs="Arial"/>
          <w:b/>
          <w:szCs w:val="20"/>
        </w:rPr>
        <w:t>3</w:t>
      </w:r>
      <w:r w:rsidR="00EF735D">
        <w:rPr>
          <w:rFonts w:cs="Arial"/>
          <w:b/>
          <w:szCs w:val="20"/>
        </w:rPr>
        <w:t>28</w:t>
      </w:r>
      <w:r w:rsidR="00FA7769" w:rsidRPr="00403EDA">
        <w:rPr>
          <w:rFonts w:cs="Arial"/>
          <w:b/>
          <w:szCs w:val="20"/>
        </w:rPr>
        <w:t xml:space="preserve"> škol</w:t>
      </w:r>
      <w:r w:rsidR="00A50F93">
        <w:rPr>
          <w:rFonts w:cs="Arial"/>
          <w:szCs w:val="20"/>
        </w:rPr>
        <w:t>.</w:t>
      </w:r>
      <w:r w:rsidR="00FB509F">
        <w:rPr>
          <w:rStyle w:val="Znakapoznpodarou"/>
          <w:rFonts w:cs="Arial"/>
          <w:szCs w:val="20"/>
        </w:rPr>
        <w:footnoteReference w:id="2"/>
      </w:r>
      <w:r w:rsidR="003B09D0">
        <w:rPr>
          <w:rFonts w:cs="Arial"/>
          <w:szCs w:val="20"/>
        </w:rPr>
        <w:t xml:space="preserve"> Z</w:t>
      </w:r>
      <w:r w:rsidR="009D70B7">
        <w:rPr>
          <w:rFonts w:cs="Arial"/>
          <w:szCs w:val="20"/>
        </w:rPr>
        <w:t> těchto škol jich bylo 95</w:t>
      </w:r>
      <w:r w:rsidR="00EF735D">
        <w:rPr>
          <w:rFonts w:cs="Arial"/>
          <w:szCs w:val="20"/>
        </w:rPr>
        <w:t>7</w:t>
      </w:r>
      <w:r w:rsidR="00FA7769" w:rsidRPr="00403EDA">
        <w:rPr>
          <w:rFonts w:cs="Arial"/>
          <w:szCs w:val="20"/>
        </w:rPr>
        <w:t xml:space="preserve"> zřízeno veřejným zřizovatelem, dalších </w:t>
      </w:r>
      <w:r>
        <w:rPr>
          <w:rFonts w:cs="Arial"/>
          <w:szCs w:val="20"/>
        </w:rPr>
        <w:t>3</w:t>
      </w:r>
      <w:r w:rsidR="00EF735D">
        <w:rPr>
          <w:rFonts w:cs="Arial"/>
          <w:szCs w:val="20"/>
        </w:rPr>
        <w:t>25</w:t>
      </w:r>
      <w:r>
        <w:rPr>
          <w:rFonts w:cs="Arial"/>
          <w:szCs w:val="20"/>
        </w:rPr>
        <w:t xml:space="preserve"> soukromým a zbylých 46</w:t>
      </w:r>
      <w:r w:rsidR="00FA7769" w:rsidRPr="00403EDA">
        <w:rPr>
          <w:rFonts w:cs="Arial"/>
          <w:szCs w:val="20"/>
        </w:rPr>
        <w:t xml:space="preserve"> škol církevním zřizovatelem. Téměř všechny nabízely denní formu vzdělávání</w:t>
      </w:r>
      <w:r>
        <w:rPr>
          <w:rFonts w:cs="Arial"/>
          <w:szCs w:val="20"/>
        </w:rPr>
        <w:t xml:space="preserve"> (99,</w:t>
      </w:r>
      <w:r w:rsidR="00EF735D">
        <w:rPr>
          <w:rFonts w:cs="Arial"/>
          <w:szCs w:val="20"/>
        </w:rPr>
        <w:t>2</w:t>
      </w:r>
      <w:r w:rsidR="00FA7769" w:rsidRPr="00403EDA">
        <w:rPr>
          <w:rFonts w:cs="Arial"/>
          <w:szCs w:val="20"/>
        </w:rPr>
        <w:t xml:space="preserve"> %) a </w:t>
      </w:r>
      <w:r>
        <w:rPr>
          <w:rFonts w:cs="Arial"/>
          <w:szCs w:val="20"/>
        </w:rPr>
        <w:t>1</w:t>
      </w:r>
      <w:r w:rsidR="00EF735D">
        <w:rPr>
          <w:rFonts w:cs="Arial"/>
          <w:szCs w:val="20"/>
        </w:rPr>
        <w:t>4</w:t>
      </w:r>
      <w:r>
        <w:rPr>
          <w:rFonts w:cs="Arial"/>
          <w:szCs w:val="20"/>
        </w:rPr>
        <w:t>,</w:t>
      </w:r>
      <w:r w:rsidR="00EF735D">
        <w:rPr>
          <w:rFonts w:cs="Arial"/>
          <w:szCs w:val="20"/>
        </w:rPr>
        <w:t>3</w:t>
      </w:r>
      <w:r w:rsidR="003B09D0">
        <w:rPr>
          <w:rFonts w:cs="Arial"/>
          <w:szCs w:val="20"/>
        </w:rPr>
        <w:t> % (také) jinou formu vzdělávání</w:t>
      </w:r>
      <w:r w:rsidR="00844E44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>Ze soukromých škol nabízelo 2</w:t>
      </w:r>
      <w:r w:rsidR="00EF735D">
        <w:rPr>
          <w:rFonts w:cs="Arial"/>
          <w:szCs w:val="20"/>
        </w:rPr>
        <w:t>7</w:t>
      </w:r>
      <w:r>
        <w:rPr>
          <w:rFonts w:cs="Arial"/>
          <w:szCs w:val="20"/>
        </w:rPr>
        <w:t>,</w:t>
      </w:r>
      <w:r w:rsidR="00EF735D">
        <w:rPr>
          <w:rFonts w:cs="Arial"/>
          <w:szCs w:val="20"/>
        </w:rPr>
        <w:t>7</w:t>
      </w:r>
      <w:r w:rsidR="00C83C52">
        <w:rPr>
          <w:rFonts w:cs="Arial"/>
          <w:szCs w:val="20"/>
        </w:rPr>
        <w:t> </w:t>
      </w:r>
      <w:r w:rsidR="00FA7769" w:rsidRPr="00403EDA">
        <w:rPr>
          <w:rFonts w:cs="Arial"/>
          <w:szCs w:val="20"/>
        </w:rPr>
        <w:t>% vzdělávání (i) v jiné formě než denní. Mezi církevními</w:t>
      </w:r>
      <w:r w:rsidR="003B09D0">
        <w:rPr>
          <w:rFonts w:cs="Arial"/>
          <w:szCs w:val="20"/>
        </w:rPr>
        <w:t xml:space="preserve"> školami bylo takových š</w:t>
      </w:r>
      <w:r w:rsidR="006D7401">
        <w:rPr>
          <w:rFonts w:cs="Arial"/>
          <w:szCs w:val="20"/>
        </w:rPr>
        <w:t>kol 1</w:t>
      </w:r>
      <w:r w:rsidR="00EF735D">
        <w:rPr>
          <w:rFonts w:cs="Arial"/>
          <w:szCs w:val="20"/>
        </w:rPr>
        <w:t>0</w:t>
      </w:r>
      <w:r w:rsidR="006D7401">
        <w:rPr>
          <w:rFonts w:cs="Arial"/>
          <w:szCs w:val="20"/>
        </w:rPr>
        <w:t>,</w:t>
      </w:r>
      <w:r w:rsidR="00EF735D">
        <w:rPr>
          <w:rFonts w:cs="Arial"/>
          <w:szCs w:val="20"/>
        </w:rPr>
        <w:t>9</w:t>
      </w:r>
      <w:r w:rsidR="006D7401">
        <w:rPr>
          <w:rFonts w:cs="Arial"/>
          <w:szCs w:val="20"/>
        </w:rPr>
        <w:t xml:space="preserve"> % a mezi veřejnými </w:t>
      </w:r>
      <w:r w:rsidR="00EF735D">
        <w:rPr>
          <w:rFonts w:cs="Arial"/>
          <w:szCs w:val="20"/>
        </w:rPr>
        <w:t>9</w:t>
      </w:r>
      <w:r w:rsidR="00844E44">
        <w:rPr>
          <w:rFonts w:cs="Arial"/>
          <w:szCs w:val="20"/>
        </w:rPr>
        <w:t>,</w:t>
      </w:r>
      <w:r w:rsidR="00EF735D">
        <w:rPr>
          <w:rFonts w:cs="Arial"/>
          <w:szCs w:val="20"/>
        </w:rPr>
        <w:t>9</w:t>
      </w:r>
      <w:r w:rsidR="00FA7769" w:rsidRPr="00403EDA">
        <w:rPr>
          <w:rFonts w:cs="Arial"/>
          <w:szCs w:val="20"/>
        </w:rPr>
        <w:t xml:space="preserve"> %. </w:t>
      </w:r>
    </w:p>
    <w:p w14:paraId="1E438189" w14:textId="13427F21" w:rsidR="00FA7769" w:rsidRPr="00403EDA" w:rsidRDefault="00FA7769" w:rsidP="00FA7769">
      <w:pPr>
        <w:spacing w:after="120"/>
        <w:jc w:val="both"/>
        <w:rPr>
          <w:rFonts w:cs="Arial"/>
          <w:szCs w:val="20"/>
        </w:rPr>
      </w:pPr>
      <w:r w:rsidRPr="00403EDA">
        <w:rPr>
          <w:rFonts w:cs="Arial"/>
          <w:szCs w:val="20"/>
        </w:rPr>
        <w:t xml:space="preserve">Školy může navštěvovat různý počet žáků a jedno ředitelství může spravovat i více než jedno pracoviště, </w:t>
      </w:r>
      <w:r w:rsidR="00CE3254">
        <w:rPr>
          <w:rFonts w:cs="Arial"/>
          <w:szCs w:val="20"/>
        </w:rPr>
        <w:t>více úrovní vzdělávání, resp. více</w:t>
      </w:r>
      <w:r w:rsidRPr="00403EDA">
        <w:rPr>
          <w:rFonts w:cs="Arial"/>
          <w:szCs w:val="20"/>
        </w:rPr>
        <w:t xml:space="preserve"> druh</w:t>
      </w:r>
      <w:r w:rsidR="00CE3254">
        <w:rPr>
          <w:rFonts w:cs="Arial"/>
          <w:szCs w:val="20"/>
        </w:rPr>
        <w:t>ů</w:t>
      </w:r>
      <w:r w:rsidRPr="00403EDA">
        <w:rPr>
          <w:rFonts w:cs="Arial"/>
          <w:szCs w:val="20"/>
        </w:rPr>
        <w:t xml:space="preserve"> vzdělávání apod. Zajímavějším </w:t>
      </w:r>
      <w:proofErr w:type="gramStart"/>
      <w:r w:rsidRPr="00403EDA">
        <w:rPr>
          <w:rFonts w:cs="Arial"/>
          <w:szCs w:val="20"/>
        </w:rPr>
        <w:t>ukazatelem</w:t>
      </w:r>
      <w:proofErr w:type="gramEnd"/>
      <w:r w:rsidRPr="00403EDA">
        <w:rPr>
          <w:rFonts w:cs="Arial"/>
          <w:szCs w:val="20"/>
        </w:rPr>
        <w:t xml:space="preserve"> než počet škol proto většinou bývá </w:t>
      </w:r>
      <w:r w:rsidRPr="00403EDA">
        <w:rPr>
          <w:rFonts w:cs="Arial"/>
          <w:b/>
          <w:szCs w:val="20"/>
        </w:rPr>
        <w:t>počet žáků</w:t>
      </w:r>
      <w:r w:rsidR="00C83C52">
        <w:rPr>
          <w:rFonts w:cs="Arial"/>
          <w:szCs w:val="20"/>
        </w:rPr>
        <w:t>. Těch bylo ve školním roc</w:t>
      </w:r>
      <w:r w:rsidR="001D2566">
        <w:rPr>
          <w:rFonts w:cs="Arial"/>
          <w:szCs w:val="20"/>
        </w:rPr>
        <w:t>e 202</w:t>
      </w:r>
      <w:r w:rsidR="00EF735D">
        <w:rPr>
          <w:rFonts w:cs="Arial"/>
          <w:szCs w:val="20"/>
        </w:rPr>
        <w:t>5</w:t>
      </w:r>
      <w:r w:rsidR="001D2566">
        <w:rPr>
          <w:rFonts w:cs="Arial"/>
          <w:szCs w:val="20"/>
        </w:rPr>
        <w:t>/2</w:t>
      </w:r>
      <w:r w:rsidR="00EF735D">
        <w:rPr>
          <w:rFonts w:cs="Arial"/>
          <w:szCs w:val="20"/>
        </w:rPr>
        <w:t>6</w:t>
      </w:r>
      <w:r w:rsidRPr="00403EDA">
        <w:rPr>
          <w:rFonts w:cs="Arial"/>
          <w:szCs w:val="20"/>
        </w:rPr>
        <w:t xml:space="preserve"> celkem </w:t>
      </w:r>
      <w:r w:rsidR="001D2566">
        <w:rPr>
          <w:rFonts w:cs="Arial"/>
          <w:szCs w:val="20"/>
        </w:rPr>
        <w:t>5</w:t>
      </w:r>
      <w:r w:rsidR="00EF735D">
        <w:rPr>
          <w:rFonts w:cs="Arial"/>
          <w:szCs w:val="20"/>
        </w:rPr>
        <w:t>14</w:t>
      </w:r>
      <w:r w:rsidR="001D2566">
        <w:rPr>
          <w:rFonts w:cs="Arial"/>
          <w:szCs w:val="20"/>
        </w:rPr>
        <w:t> </w:t>
      </w:r>
      <w:r w:rsidR="00EF735D">
        <w:rPr>
          <w:rFonts w:cs="Arial"/>
          <w:szCs w:val="20"/>
        </w:rPr>
        <w:t>881</w:t>
      </w:r>
      <w:r w:rsidRPr="00403EDA">
        <w:rPr>
          <w:rFonts w:cs="Arial"/>
          <w:szCs w:val="20"/>
        </w:rPr>
        <w:t>, podíl chl</w:t>
      </w:r>
      <w:r w:rsidR="00C83C52">
        <w:rPr>
          <w:rFonts w:cs="Arial"/>
          <w:szCs w:val="20"/>
        </w:rPr>
        <w:t xml:space="preserve">apců a dívek byl </w:t>
      </w:r>
      <w:r w:rsidR="00241924">
        <w:rPr>
          <w:rFonts w:cs="Arial"/>
          <w:szCs w:val="20"/>
        </w:rPr>
        <w:t xml:space="preserve">takřka </w:t>
      </w:r>
      <w:r w:rsidR="00C83C52">
        <w:rPr>
          <w:rFonts w:cs="Arial"/>
          <w:szCs w:val="20"/>
        </w:rPr>
        <w:t>vyrovnaný (49,</w:t>
      </w:r>
      <w:r w:rsidR="00CE79B1">
        <w:rPr>
          <w:rFonts w:cs="Arial"/>
          <w:szCs w:val="20"/>
        </w:rPr>
        <w:t>6</w:t>
      </w:r>
      <w:r w:rsidR="00B35EBA">
        <w:rPr>
          <w:rFonts w:cs="Arial"/>
          <w:szCs w:val="20"/>
        </w:rPr>
        <w:t xml:space="preserve"> % dívek a 50,</w:t>
      </w:r>
      <w:r w:rsidR="00CE79B1">
        <w:rPr>
          <w:rFonts w:cs="Arial"/>
          <w:szCs w:val="20"/>
        </w:rPr>
        <w:t>4</w:t>
      </w:r>
      <w:r w:rsidRPr="00403EDA">
        <w:rPr>
          <w:rFonts w:cs="Arial"/>
          <w:szCs w:val="20"/>
        </w:rPr>
        <w:t xml:space="preserve"> % chlapců). </w:t>
      </w:r>
    </w:p>
    <w:p w14:paraId="1ECD1B3F" w14:textId="07B88E9C" w:rsidR="00FA7769" w:rsidRPr="00470907" w:rsidRDefault="00FA7769" w:rsidP="00FA7769">
      <w:pPr>
        <w:spacing w:after="120"/>
        <w:jc w:val="both"/>
        <w:rPr>
          <w:rFonts w:cs="Arial"/>
          <w:szCs w:val="20"/>
        </w:rPr>
      </w:pPr>
      <w:r w:rsidRPr="00403EDA">
        <w:rPr>
          <w:rFonts w:cs="Arial"/>
          <w:szCs w:val="20"/>
        </w:rPr>
        <w:t xml:space="preserve">Naprostá většina žáků středních škol se </w:t>
      </w:r>
      <w:r w:rsidR="00B04C66">
        <w:rPr>
          <w:rFonts w:cs="Arial"/>
          <w:szCs w:val="20"/>
        </w:rPr>
        <w:t xml:space="preserve">ve školním roce 2025/26 </w:t>
      </w:r>
      <w:r w:rsidRPr="00403EDA">
        <w:rPr>
          <w:rFonts w:cs="Arial"/>
          <w:szCs w:val="20"/>
        </w:rPr>
        <w:t>vzdělával</w:t>
      </w:r>
      <w:r w:rsidR="006E3F15">
        <w:rPr>
          <w:rFonts w:cs="Arial"/>
          <w:szCs w:val="20"/>
        </w:rPr>
        <w:t xml:space="preserve">a v denní formě </w:t>
      </w:r>
      <w:r w:rsidR="001D2566">
        <w:rPr>
          <w:rFonts w:cs="Arial"/>
          <w:szCs w:val="20"/>
        </w:rPr>
        <w:t>vzdělávání (9</w:t>
      </w:r>
      <w:r w:rsidR="00CE79B1">
        <w:rPr>
          <w:rFonts w:cs="Arial"/>
          <w:szCs w:val="20"/>
        </w:rPr>
        <w:t>7</w:t>
      </w:r>
      <w:r w:rsidR="001D2566">
        <w:rPr>
          <w:rFonts w:cs="Arial"/>
          <w:szCs w:val="20"/>
        </w:rPr>
        <w:t>,</w:t>
      </w:r>
      <w:r w:rsidR="00CE79B1">
        <w:rPr>
          <w:rFonts w:cs="Arial"/>
          <w:szCs w:val="20"/>
        </w:rPr>
        <w:t>0</w:t>
      </w:r>
      <w:r w:rsidRPr="000C5FB8">
        <w:rPr>
          <w:rFonts w:cs="Arial"/>
          <w:szCs w:val="20"/>
        </w:rPr>
        <w:t xml:space="preserve"> %). Zároveň </w:t>
      </w:r>
      <w:r w:rsidR="006A78A9">
        <w:rPr>
          <w:rFonts w:cs="Arial"/>
          <w:szCs w:val="20"/>
        </w:rPr>
        <w:t>81,</w:t>
      </w:r>
      <w:r w:rsidR="00CE79B1">
        <w:rPr>
          <w:rFonts w:cs="Arial"/>
          <w:szCs w:val="20"/>
        </w:rPr>
        <w:t>6</w:t>
      </w:r>
      <w:r w:rsidR="00C01061" w:rsidRPr="000C5FB8">
        <w:rPr>
          <w:rFonts w:cs="Arial"/>
          <w:szCs w:val="20"/>
        </w:rPr>
        <w:t> %</w:t>
      </w:r>
      <w:r w:rsidRPr="000C5FB8">
        <w:rPr>
          <w:rFonts w:cs="Arial"/>
          <w:szCs w:val="20"/>
        </w:rPr>
        <w:t xml:space="preserve"> </w:t>
      </w:r>
      <w:r w:rsidR="00C01061" w:rsidRPr="000C5FB8">
        <w:rPr>
          <w:rFonts w:cs="Arial"/>
          <w:szCs w:val="20"/>
        </w:rPr>
        <w:t>žáků středních škol navštěvovalo</w:t>
      </w:r>
      <w:r w:rsidRPr="000C5FB8">
        <w:rPr>
          <w:rFonts w:cs="Arial"/>
          <w:szCs w:val="20"/>
        </w:rPr>
        <w:t xml:space="preserve"> </w:t>
      </w:r>
      <w:r w:rsidRPr="00844E44">
        <w:rPr>
          <w:rFonts w:cs="Arial"/>
          <w:szCs w:val="20"/>
        </w:rPr>
        <w:t>š</w:t>
      </w:r>
      <w:r w:rsidR="000B741A" w:rsidRPr="00844E44">
        <w:rPr>
          <w:rFonts w:cs="Arial"/>
          <w:szCs w:val="20"/>
        </w:rPr>
        <w:t>koly veřej</w:t>
      </w:r>
      <w:r w:rsidR="00C01061" w:rsidRPr="00844E44">
        <w:rPr>
          <w:rFonts w:cs="Arial"/>
          <w:szCs w:val="20"/>
        </w:rPr>
        <w:t>ného zřizovatele</w:t>
      </w:r>
      <w:r w:rsidR="006A78A9">
        <w:rPr>
          <w:rFonts w:cs="Arial"/>
          <w:szCs w:val="20"/>
        </w:rPr>
        <w:t>, 1</w:t>
      </w:r>
      <w:r w:rsidR="00CE79B1">
        <w:rPr>
          <w:rFonts w:cs="Arial"/>
          <w:szCs w:val="20"/>
        </w:rPr>
        <w:t>6</w:t>
      </w:r>
      <w:r w:rsidR="006A78A9">
        <w:rPr>
          <w:rFonts w:cs="Arial"/>
          <w:szCs w:val="20"/>
        </w:rPr>
        <w:t>,</w:t>
      </w:r>
      <w:r w:rsidR="00CE79B1">
        <w:rPr>
          <w:rFonts w:cs="Arial"/>
          <w:szCs w:val="20"/>
        </w:rPr>
        <w:t>1</w:t>
      </w:r>
      <w:r w:rsidR="006A78A9">
        <w:rPr>
          <w:rFonts w:cs="Arial"/>
          <w:szCs w:val="20"/>
        </w:rPr>
        <w:t> % žáků soukromé školy a 2,3</w:t>
      </w:r>
      <w:r w:rsidRPr="00844E44">
        <w:rPr>
          <w:rFonts w:cs="Arial"/>
          <w:szCs w:val="20"/>
        </w:rPr>
        <w:t> % církevní</w:t>
      </w:r>
      <w:r w:rsidRPr="00844E44">
        <w:rPr>
          <w:rStyle w:val="Znakapoznpodarou"/>
          <w:rFonts w:cs="Arial"/>
          <w:szCs w:val="20"/>
        </w:rPr>
        <w:footnoteReference w:id="3"/>
      </w:r>
      <w:r w:rsidRPr="00844E44">
        <w:rPr>
          <w:rFonts w:cs="Arial"/>
          <w:szCs w:val="20"/>
        </w:rPr>
        <w:t xml:space="preserve">. Zde </w:t>
      </w:r>
      <w:r w:rsidRPr="00470907">
        <w:rPr>
          <w:rFonts w:cs="Arial"/>
          <w:szCs w:val="20"/>
        </w:rPr>
        <w:t>je typické, že zatímco ve</w:t>
      </w:r>
      <w:r w:rsidR="00844E44" w:rsidRPr="00470907">
        <w:rPr>
          <w:rFonts w:cs="Arial"/>
          <w:szCs w:val="20"/>
        </w:rPr>
        <w:t xml:space="preserve"> veřejných školách se vzdělávaly</w:t>
      </w:r>
      <w:r w:rsidRPr="00470907">
        <w:rPr>
          <w:rFonts w:cs="Arial"/>
          <w:szCs w:val="20"/>
        </w:rPr>
        <w:t xml:space="preserve"> jinou než</w:t>
      </w:r>
      <w:r w:rsidR="003849B1" w:rsidRPr="00470907">
        <w:rPr>
          <w:rFonts w:cs="Arial"/>
          <w:szCs w:val="20"/>
        </w:rPr>
        <w:t xml:space="preserve"> denní formou vzdělávání jen 1</w:t>
      </w:r>
      <w:r w:rsidR="006A78A9">
        <w:rPr>
          <w:rFonts w:cs="Arial"/>
          <w:szCs w:val="20"/>
        </w:rPr>
        <w:t>,</w:t>
      </w:r>
      <w:r w:rsidR="00CE79B1">
        <w:rPr>
          <w:rFonts w:cs="Arial"/>
          <w:szCs w:val="20"/>
        </w:rPr>
        <w:t>2</w:t>
      </w:r>
      <w:r w:rsidRPr="00470907">
        <w:rPr>
          <w:rFonts w:cs="Arial"/>
          <w:szCs w:val="20"/>
        </w:rPr>
        <w:t> % žáků, v soukromých šk</w:t>
      </w:r>
      <w:r w:rsidR="006A78A9">
        <w:rPr>
          <w:rFonts w:cs="Arial"/>
          <w:szCs w:val="20"/>
        </w:rPr>
        <w:t>olách to bylo 12,4 % a v církevních 2,</w:t>
      </w:r>
      <w:r w:rsidR="00CE79B1">
        <w:rPr>
          <w:rFonts w:cs="Arial"/>
          <w:szCs w:val="20"/>
        </w:rPr>
        <w:t>3</w:t>
      </w:r>
      <w:r w:rsidR="00C01061" w:rsidRPr="00470907">
        <w:rPr>
          <w:rFonts w:cs="Arial"/>
          <w:szCs w:val="20"/>
        </w:rPr>
        <w:t xml:space="preserve"> </w:t>
      </w:r>
      <w:r w:rsidRPr="00470907">
        <w:rPr>
          <w:rFonts w:cs="Arial"/>
          <w:szCs w:val="20"/>
        </w:rPr>
        <w:t xml:space="preserve">%. </w:t>
      </w:r>
    </w:p>
    <w:p w14:paraId="3D9AF563" w14:textId="70FAA55A" w:rsidR="003179AB" w:rsidRDefault="00FA7769" w:rsidP="00FA7769">
      <w:pPr>
        <w:spacing w:after="120"/>
        <w:jc w:val="both"/>
        <w:rPr>
          <w:rFonts w:cs="Arial"/>
          <w:szCs w:val="20"/>
        </w:rPr>
      </w:pPr>
      <w:r w:rsidRPr="006A78A9">
        <w:rPr>
          <w:rFonts w:cs="Arial"/>
          <w:szCs w:val="20"/>
        </w:rPr>
        <w:t xml:space="preserve">Pokud se jedná o </w:t>
      </w:r>
      <w:r w:rsidRPr="006A78A9">
        <w:rPr>
          <w:rFonts w:cs="Arial"/>
          <w:b/>
          <w:szCs w:val="20"/>
        </w:rPr>
        <w:t>učitele</w:t>
      </w:r>
      <w:r w:rsidRPr="006A78A9">
        <w:rPr>
          <w:rFonts w:cs="Arial"/>
          <w:szCs w:val="20"/>
        </w:rPr>
        <w:t xml:space="preserve"> středních škol, pro účely této publikace u</w:t>
      </w:r>
      <w:r w:rsidR="0032270C" w:rsidRPr="006A78A9">
        <w:rPr>
          <w:rFonts w:cs="Arial"/>
          <w:szCs w:val="20"/>
        </w:rPr>
        <w:t xml:space="preserve">vádíme jejich přepočtené počty neboli </w:t>
      </w:r>
      <w:r w:rsidRPr="006A78A9">
        <w:rPr>
          <w:rFonts w:cs="Arial"/>
          <w:szCs w:val="20"/>
        </w:rPr>
        <w:t>počet plných úvazků učitelů. Těch bylo ve školn</w:t>
      </w:r>
      <w:r w:rsidR="0032270C" w:rsidRPr="006A78A9">
        <w:rPr>
          <w:rFonts w:cs="Arial"/>
          <w:szCs w:val="20"/>
        </w:rPr>
        <w:t>ím roce</w:t>
      </w:r>
      <w:r w:rsidR="006A78A9" w:rsidRPr="006A78A9">
        <w:rPr>
          <w:rFonts w:cs="Arial"/>
          <w:szCs w:val="20"/>
        </w:rPr>
        <w:t xml:space="preserve"> 202</w:t>
      </w:r>
      <w:r w:rsidR="003F0D02">
        <w:rPr>
          <w:rFonts w:cs="Arial"/>
          <w:szCs w:val="20"/>
        </w:rPr>
        <w:t>5</w:t>
      </w:r>
      <w:r w:rsidR="006A78A9" w:rsidRPr="006A78A9">
        <w:rPr>
          <w:rFonts w:cs="Arial"/>
          <w:szCs w:val="20"/>
        </w:rPr>
        <w:t>/2</w:t>
      </w:r>
      <w:r w:rsidR="003F0D02">
        <w:rPr>
          <w:rFonts w:cs="Arial"/>
          <w:szCs w:val="20"/>
        </w:rPr>
        <w:t>6</w:t>
      </w:r>
      <w:r w:rsidRPr="006A78A9">
        <w:rPr>
          <w:rFonts w:cs="Arial"/>
          <w:szCs w:val="20"/>
        </w:rPr>
        <w:t xml:space="preserve"> celkem </w:t>
      </w:r>
      <w:r w:rsidR="006A78A9" w:rsidRPr="006A78A9">
        <w:rPr>
          <w:rFonts w:cs="Arial"/>
          <w:szCs w:val="20"/>
        </w:rPr>
        <w:t>4</w:t>
      </w:r>
      <w:r w:rsidR="003F0D02">
        <w:rPr>
          <w:rFonts w:cs="Arial"/>
          <w:szCs w:val="20"/>
        </w:rPr>
        <w:t>6</w:t>
      </w:r>
      <w:r w:rsidR="006A78A9" w:rsidRPr="006A78A9">
        <w:rPr>
          <w:rFonts w:cs="Arial"/>
          <w:szCs w:val="20"/>
        </w:rPr>
        <w:t> </w:t>
      </w:r>
      <w:r w:rsidR="003F0D02">
        <w:rPr>
          <w:rFonts w:cs="Arial"/>
          <w:szCs w:val="20"/>
        </w:rPr>
        <w:t>370</w:t>
      </w:r>
      <w:r w:rsidR="006A78A9" w:rsidRPr="006A78A9">
        <w:rPr>
          <w:rFonts w:cs="Arial"/>
          <w:szCs w:val="20"/>
        </w:rPr>
        <w:t>,</w:t>
      </w:r>
      <w:r w:rsidR="003F0D02">
        <w:rPr>
          <w:rFonts w:cs="Arial"/>
          <w:szCs w:val="20"/>
        </w:rPr>
        <w:t>6</w:t>
      </w:r>
      <w:r w:rsidR="000C5FB8" w:rsidRPr="006A78A9">
        <w:rPr>
          <w:rFonts w:cs="Arial"/>
          <w:szCs w:val="20"/>
        </w:rPr>
        <w:t>. Z</w:t>
      </w:r>
      <w:r w:rsidR="00C01061" w:rsidRPr="006A78A9">
        <w:rPr>
          <w:rFonts w:cs="Arial"/>
          <w:szCs w:val="20"/>
        </w:rPr>
        <w:t> </w:t>
      </w:r>
      <w:r w:rsidR="00AE13E3" w:rsidRPr="006A78A9">
        <w:rPr>
          <w:rFonts w:cs="Arial"/>
          <w:szCs w:val="20"/>
        </w:rPr>
        <w:t>toho</w:t>
      </w:r>
      <w:r w:rsidR="00470907" w:rsidRPr="006A78A9">
        <w:rPr>
          <w:rFonts w:cs="Arial"/>
          <w:szCs w:val="20"/>
        </w:rPr>
        <w:t xml:space="preserve"> 8,</w:t>
      </w:r>
      <w:r w:rsidR="003F0D02">
        <w:rPr>
          <w:rFonts w:cs="Arial"/>
          <w:szCs w:val="20"/>
        </w:rPr>
        <w:t>7</w:t>
      </w:r>
      <w:r w:rsidR="00C01061" w:rsidRPr="006A78A9">
        <w:rPr>
          <w:rFonts w:cs="Arial"/>
          <w:szCs w:val="20"/>
        </w:rPr>
        <w:t xml:space="preserve"> % </w:t>
      </w:r>
      <w:r w:rsidR="000C5FB8" w:rsidRPr="006A78A9">
        <w:rPr>
          <w:rFonts w:cs="Arial"/>
          <w:szCs w:val="20"/>
        </w:rPr>
        <w:t xml:space="preserve">bylo </w:t>
      </w:r>
      <w:r w:rsidR="00470907" w:rsidRPr="006A78A9">
        <w:rPr>
          <w:rFonts w:cs="Arial"/>
          <w:szCs w:val="20"/>
        </w:rPr>
        <w:t>věnováno</w:t>
      </w:r>
      <w:r w:rsidR="00C01061" w:rsidRPr="006A78A9">
        <w:rPr>
          <w:rFonts w:cs="Arial"/>
          <w:szCs w:val="20"/>
        </w:rPr>
        <w:t xml:space="preserve"> </w:t>
      </w:r>
      <w:r w:rsidR="003F0D02">
        <w:rPr>
          <w:rFonts w:cs="Arial"/>
          <w:szCs w:val="20"/>
        </w:rPr>
        <w:t xml:space="preserve">výuce na </w:t>
      </w:r>
      <w:r w:rsidR="00C01061" w:rsidRPr="006A78A9">
        <w:rPr>
          <w:rFonts w:cs="Arial"/>
          <w:szCs w:val="20"/>
        </w:rPr>
        <w:t>nižším</w:t>
      </w:r>
      <w:r w:rsidR="00470907" w:rsidRPr="006A78A9">
        <w:rPr>
          <w:rFonts w:cs="Arial"/>
          <w:szCs w:val="20"/>
        </w:rPr>
        <w:t>u</w:t>
      </w:r>
      <w:r w:rsidR="00C01061" w:rsidRPr="006A78A9">
        <w:rPr>
          <w:rFonts w:cs="Arial"/>
          <w:szCs w:val="20"/>
        </w:rPr>
        <w:t xml:space="preserve"> stupni víceletýc</w:t>
      </w:r>
      <w:r w:rsidR="004C0AD8" w:rsidRPr="006A78A9">
        <w:rPr>
          <w:rFonts w:cs="Arial"/>
          <w:szCs w:val="20"/>
        </w:rPr>
        <w:t>h gymnázií spadajících</w:t>
      </w:r>
      <w:r w:rsidR="00C01061" w:rsidRPr="006A78A9">
        <w:rPr>
          <w:rFonts w:cs="Arial"/>
          <w:szCs w:val="20"/>
        </w:rPr>
        <w:t xml:space="preserve"> do povinné školní docházky. </w:t>
      </w:r>
      <w:r w:rsidR="003179AB" w:rsidRPr="006A78A9">
        <w:rPr>
          <w:rFonts w:cs="Arial"/>
          <w:szCs w:val="20"/>
        </w:rPr>
        <w:t>Poznamenejme, že celkový počet uči</w:t>
      </w:r>
      <w:r w:rsidR="000B785C" w:rsidRPr="006A78A9">
        <w:rPr>
          <w:rFonts w:cs="Arial"/>
          <w:szCs w:val="20"/>
        </w:rPr>
        <w:t>telů jakožto fyzických osob byl</w:t>
      </w:r>
      <w:r w:rsidR="003179AB" w:rsidRPr="006A78A9">
        <w:rPr>
          <w:rFonts w:cs="Arial"/>
          <w:szCs w:val="20"/>
        </w:rPr>
        <w:t xml:space="preserve"> </w:t>
      </w:r>
      <w:r w:rsidR="006A78A9" w:rsidRPr="006A78A9">
        <w:rPr>
          <w:rFonts w:cs="Arial"/>
          <w:szCs w:val="20"/>
        </w:rPr>
        <w:t>5</w:t>
      </w:r>
      <w:r w:rsidR="003F0D02">
        <w:rPr>
          <w:rFonts w:cs="Arial"/>
          <w:szCs w:val="20"/>
        </w:rPr>
        <w:t>5</w:t>
      </w:r>
      <w:r w:rsidR="000C5FB8" w:rsidRPr="006A78A9">
        <w:rPr>
          <w:rFonts w:cs="Arial"/>
          <w:szCs w:val="20"/>
        </w:rPr>
        <w:t> </w:t>
      </w:r>
      <w:r w:rsidR="003F0D02">
        <w:rPr>
          <w:rFonts w:cs="Arial"/>
          <w:szCs w:val="20"/>
        </w:rPr>
        <w:t>169</w:t>
      </w:r>
      <w:r w:rsidR="003179AB" w:rsidRPr="006A78A9">
        <w:rPr>
          <w:rFonts w:cs="Arial"/>
          <w:szCs w:val="20"/>
        </w:rPr>
        <w:t>, což svědčí o tom, že řada učitelů měla zkrácený úvazek (např. na některé specifické předměty či praktickou výuku).</w:t>
      </w:r>
    </w:p>
    <w:p w14:paraId="7CC4A4F6" w14:textId="3CF27AE5" w:rsidR="00C01061" w:rsidRDefault="00C01061" w:rsidP="00FA7769">
      <w:pPr>
        <w:spacing w:after="120"/>
        <w:jc w:val="both"/>
        <w:rPr>
          <w:rFonts w:cs="Arial"/>
          <w:szCs w:val="20"/>
        </w:rPr>
      </w:pPr>
      <w:r w:rsidRPr="00822098">
        <w:rPr>
          <w:rFonts w:cs="Arial"/>
          <w:szCs w:val="20"/>
        </w:rPr>
        <w:t xml:space="preserve">Z celkového počtu úvazků učitelů pak tři pětiny </w:t>
      </w:r>
      <w:r w:rsidR="00FA7769" w:rsidRPr="00822098">
        <w:rPr>
          <w:rFonts w:cs="Arial"/>
          <w:szCs w:val="20"/>
        </w:rPr>
        <w:t xml:space="preserve">tvořily úvazky žen </w:t>
      </w:r>
      <w:r w:rsidRPr="00822098">
        <w:rPr>
          <w:rFonts w:cs="Arial"/>
          <w:szCs w:val="20"/>
        </w:rPr>
        <w:t>–</w:t>
      </w:r>
      <w:r w:rsidR="00FA7769" w:rsidRPr="00822098">
        <w:rPr>
          <w:rFonts w:cs="Arial"/>
          <w:szCs w:val="20"/>
        </w:rPr>
        <w:t xml:space="preserve"> učitelek</w:t>
      </w:r>
      <w:r w:rsidR="00822098" w:rsidRPr="00822098">
        <w:rPr>
          <w:rFonts w:cs="Arial"/>
          <w:szCs w:val="20"/>
        </w:rPr>
        <w:t xml:space="preserve"> (59,9</w:t>
      </w:r>
      <w:r w:rsidRPr="00C01061">
        <w:rPr>
          <w:rFonts w:cs="Arial"/>
          <w:szCs w:val="20"/>
        </w:rPr>
        <w:t> %)</w:t>
      </w:r>
      <w:r w:rsidR="00FA7769" w:rsidRPr="00C01061">
        <w:rPr>
          <w:rFonts w:cs="Arial"/>
          <w:szCs w:val="20"/>
        </w:rPr>
        <w:t>. Jedná se již o nižší podíl, než jaký byl mezi úvaz</w:t>
      </w:r>
      <w:r w:rsidR="00AE13E3" w:rsidRPr="00C01061">
        <w:rPr>
          <w:rFonts w:cs="Arial"/>
          <w:szCs w:val="20"/>
        </w:rPr>
        <w:t>ky učitelů škol mateřs</w:t>
      </w:r>
      <w:r w:rsidR="00383B78">
        <w:rPr>
          <w:rFonts w:cs="Arial"/>
          <w:szCs w:val="20"/>
        </w:rPr>
        <w:t>kých (99,3 %) a základních (8</w:t>
      </w:r>
      <w:r w:rsidR="00B634DD">
        <w:rPr>
          <w:rFonts w:cs="Arial"/>
          <w:szCs w:val="20"/>
        </w:rPr>
        <w:t>4</w:t>
      </w:r>
      <w:r w:rsidR="00383B78">
        <w:rPr>
          <w:rFonts w:cs="Arial"/>
          <w:szCs w:val="20"/>
        </w:rPr>
        <w:t>,</w:t>
      </w:r>
      <w:r w:rsidR="00B634DD">
        <w:rPr>
          <w:rFonts w:cs="Arial"/>
          <w:szCs w:val="20"/>
        </w:rPr>
        <w:t>0</w:t>
      </w:r>
      <w:r w:rsidR="00FA7769" w:rsidRPr="00C01061">
        <w:rPr>
          <w:rFonts w:cs="Arial"/>
          <w:szCs w:val="20"/>
        </w:rPr>
        <w:t> %).</w:t>
      </w:r>
      <w:r w:rsidR="00FA7769" w:rsidRPr="00403EDA">
        <w:rPr>
          <w:rFonts w:cs="Arial"/>
          <w:szCs w:val="20"/>
        </w:rPr>
        <w:t xml:space="preserve"> </w:t>
      </w:r>
    </w:p>
    <w:p w14:paraId="1EF974F2" w14:textId="6BD37DEC" w:rsidR="00FA7769" w:rsidRPr="00403EDA" w:rsidRDefault="00FA7769" w:rsidP="00FA7769">
      <w:pPr>
        <w:spacing w:after="120"/>
        <w:jc w:val="both"/>
        <w:rPr>
          <w:rFonts w:cs="Arial"/>
          <w:szCs w:val="20"/>
        </w:rPr>
      </w:pPr>
      <w:r w:rsidRPr="00822098">
        <w:rPr>
          <w:rFonts w:cs="Arial"/>
          <w:b/>
          <w:szCs w:val="20"/>
        </w:rPr>
        <w:t>Na jeden plný úvazek učitele</w:t>
      </w:r>
      <w:r w:rsidR="009D5451" w:rsidRPr="00822098">
        <w:rPr>
          <w:rFonts w:cs="Arial"/>
          <w:szCs w:val="20"/>
        </w:rPr>
        <w:t xml:space="preserve"> </w:t>
      </w:r>
      <w:r w:rsidR="00A0528C" w:rsidRPr="00822098">
        <w:rPr>
          <w:rFonts w:cs="Arial"/>
          <w:szCs w:val="20"/>
        </w:rPr>
        <w:t>na střední</w:t>
      </w:r>
      <w:r w:rsidR="00A0528C" w:rsidRPr="00A0528C">
        <w:rPr>
          <w:rFonts w:cs="Arial"/>
          <w:szCs w:val="20"/>
        </w:rPr>
        <w:t xml:space="preserve"> škole </w:t>
      </w:r>
      <w:r w:rsidR="009D5451" w:rsidRPr="00A0528C">
        <w:rPr>
          <w:rFonts w:cs="Arial"/>
          <w:szCs w:val="20"/>
        </w:rPr>
        <w:t>přitom</w:t>
      </w:r>
      <w:r w:rsidR="00822098">
        <w:rPr>
          <w:rFonts w:cs="Arial"/>
          <w:szCs w:val="20"/>
        </w:rPr>
        <w:t xml:space="preserve"> připadalo v průměru 11,1 žáka</w:t>
      </w:r>
      <w:r w:rsidRPr="00A0528C">
        <w:rPr>
          <w:rFonts w:cs="Arial"/>
          <w:szCs w:val="20"/>
        </w:rPr>
        <w:t xml:space="preserve"> a v jed</w:t>
      </w:r>
      <w:r w:rsidR="00843694" w:rsidRPr="00A0528C">
        <w:rPr>
          <w:rFonts w:cs="Arial"/>
          <w:szCs w:val="20"/>
        </w:rPr>
        <w:t>né třídě bylo průměrně</w:t>
      </w:r>
      <w:r w:rsidR="00822098">
        <w:rPr>
          <w:rFonts w:cs="Arial"/>
          <w:szCs w:val="20"/>
        </w:rPr>
        <w:t xml:space="preserve"> 23,</w:t>
      </w:r>
      <w:r w:rsidR="00B634DD">
        <w:rPr>
          <w:rFonts w:cs="Arial"/>
          <w:szCs w:val="20"/>
        </w:rPr>
        <w:t>7</w:t>
      </w:r>
      <w:r w:rsidR="00822098">
        <w:rPr>
          <w:rFonts w:cs="Arial"/>
          <w:szCs w:val="20"/>
        </w:rPr>
        <w:t xml:space="preserve"> žáka</w:t>
      </w:r>
      <w:r w:rsidRPr="00A0528C">
        <w:rPr>
          <w:rFonts w:cs="Arial"/>
          <w:szCs w:val="20"/>
        </w:rPr>
        <w:t>. Srovnáme</w:t>
      </w:r>
      <w:r w:rsidR="0082744E">
        <w:rPr>
          <w:rFonts w:cs="Arial"/>
          <w:szCs w:val="20"/>
        </w:rPr>
        <w:t>-</w:t>
      </w:r>
      <w:r w:rsidRPr="00A0528C">
        <w:rPr>
          <w:rFonts w:cs="Arial"/>
          <w:szCs w:val="20"/>
        </w:rPr>
        <w:t>li tyto</w:t>
      </w:r>
      <w:r w:rsidRPr="00403EDA">
        <w:rPr>
          <w:rFonts w:cs="Arial"/>
          <w:szCs w:val="20"/>
        </w:rPr>
        <w:t xml:space="preserve"> počty se situací v základních školách, pak počet žáků </w:t>
      </w:r>
      <w:r w:rsidR="00AE13E3">
        <w:rPr>
          <w:rFonts w:cs="Arial"/>
          <w:szCs w:val="20"/>
        </w:rPr>
        <w:t xml:space="preserve">na </w:t>
      </w:r>
      <w:r w:rsidR="00733ACD">
        <w:rPr>
          <w:rFonts w:cs="Arial"/>
          <w:szCs w:val="20"/>
        </w:rPr>
        <w:t xml:space="preserve">jednu </w:t>
      </w:r>
      <w:r w:rsidR="00AE13E3">
        <w:rPr>
          <w:rFonts w:cs="Arial"/>
          <w:szCs w:val="20"/>
        </w:rPr>
        <w:t xml:space="preserve">třídu </w:t>
      </w:r>
      <w:r w:rsidR="00733ACD">
        <w:rPr>
          <w:rFonts w:cs="Arial"/>
          <w:szCs w:val="20"/>
        </w:rPr>
        <w:t xml:space="preserve">byl v základních školách </w:t>
      </w:r>
      <w:r w:rsidR="00C01061">
        <w:rPr>
          <w:rFonts w:cs="Arial"/>
          <w:szCs w:val="20"/>
        </w:rPr>
        <w:t>nižší (</w:t>
      </w:r>
      <w:r w:rsidR="00822098">
        <w:rPr>
          <w:rFonts w:cs="Arial"/>
          <w:szCs w:val="20"/>
        </w:rPr>
        <w:t>19,</w:t>
      </w:r>
      <w:r w:rsidR="00B634DD">
        <w:rPr>
          <w:rFonts w:cs="Arial"/>
          <w:szCs w:val="20"/>
        </w:rPr>
        <w:t>1</w:t>
      </w:r>
      <w:r w:rsidR="00733ACD">
        <w:rPr>
          <w:rFonts w:cs="Arial"/>
          <w:szCs w:val="20"/>
        </w:rPr>
        <w:t xml:space="preserve"> žáka), naopak počet žáků na jednoho učitele o něco vyšší (</w:t>
      </w:r>
      <w:r w:rsidR="00A0528C">
        <w:rPr>
          <w:rFonts w:cs="Arial"/>
          <w:szCs w:val="20"/>
        </w:rPr>
        <w:t>13,</w:t>
      </w:r>
      <w:r w:rsidR="00B634DD">
        <w:rPr>
          <w:rFonts w:cs="Arial"/>
          <w:szCs w:val="20"/>
        </w:rPr>
        <w:t>1</w:t>
      </w:r>
      <w:r w:rsidR="00C01061">
        <w:rPr>
          <w:rFonts w:cs="Arial"/>
          <w:szCs w:val="20"/>
        </w:rPr>
        <w:t xml:space="preserve"> žáka</w:t>
      </w:r>
      <w:r w:rsidR="00733ACD">
        <w:rPr>
          <w:rFonts w:cs="Arial"/>
          <w:szCs w:val="20"/>
        </w:rPr>
        <w:t>)</w:t>
      </w:r>
      <w:r w:rsidR="00AE13E3">
        <w:rPr>
          <w:rFonts w:cs="Arial"/>
          <w:szCs w:val="20"/>
        </w:rPr>
        <w:t xml:space="preserve">.  </w:t>
      </w:r>
    </w:p>
    <w:p w14:paraId="630819E4" w14:textId="56C1A580" w:rsidR="00DE5304" w:rsidRPr="00E02298" w:rsidRDefault="00FA7769" w:rsidP="00FA7769">
      <w:pPr>
        <w:spacing w:after="120"/>
        <w:jc w:val="both"/>
        <w:rPr>
          <w:rFonts w:cs="Arial"/>
          <w:szCs w:val="20"/>
        </w:rPr>
      </w:pPr>
      <w:r w:rsidRPr="009D6D5A">
        <w:rPr>
          <w:rFonts w:cs="Arial"/>
          <w:szCs w:val="20"/>
        </w:rPr>
        <w:lastRenderedPageBreak/>
        <w:t xml:space="preserve">Ve </w:t>
      </w:r>
      <w:r w:rsidR="00CE3254" w:rsidRPr="009D6D5A">
        <w:rPr>
          <w:rFonts w:cs="Arial"/>
          <w:szCs w:val="20"/>
        </w:rPr>
        <w:t xml:space="preserve">středních </w:t>
      </w:r>
      <w:r w:rsidRPr="009D6D5A">
        <w:rPr>
          <w:rFonts w:cs="Arial"/>
          <w:szCs w:val="20"/>
        </w:rPr>
        <w:t>školách s veřejným zřizovatelem připadalo na je</w:t>
      </w:r>
      <w:r w:rsidR="00822098" w:rsidRPr="009D6D5A">
        <w:rPr>
          <w:rFonts w:cs="Arial"/>
          <w:szCs w:val="20"/>
        </w:rPr>
        <w:t>dnu třídu o něco více žáků (24,</w:t>
      </w:r>
      <w:r w:rsidR="00A3081A">
        <w:rPr>
          <w:rFonts w:cs="Arial"/>
          <w:szCs w:val="20"/>
        </w:rPr>
        <w:t>4</w:t>
      </w:r>
      <w:r w:rsidRPr="009D6D5A">
        <w:rPr>
          <w:rFonts w:cs="Arial"/>
          <w:szCs w:val="20"/>
        </w:rPr>
        <w:t>), než jak tomu bylo ve školách</w:t>
      </w:r>
      <w:r w:rsidR="003E12D7" w:rsidRPr="009D6D5A">
        <w:rPr>
          <w:rFonts w:cs="Arial"/>
          <w:szCs w:val="20"/>
        </w:rPr>
        <w:t xml:space="preserve"> se soukromým</w:t>
      </w:r>
      <w:r w:rsidR="009D6D5A" w:rsidRPr="009D6D5A">
        <w:rPr>
          <w:rFonts w:cs="Arial"/>
          <w:szCs w:val="20"/>
        </w:rPr>
        <w:t xml:space="preserve"> zřizovatelem</w:t>
      </w:r>
      <w:r w:rsidR="009D6D5A">
        <w:rPr>
          <w:rFonts w:cs="Arial"/>
          <w:szCs w:val="20"/>
        </w:rPr>
        <w:t xml:space="preserve"> (20,</w:t>
      </w:r>
      <w:r w:rsidR="00A3081A">
        <w:rPr>
          <w:rFonts w:cs="Arial"/>
          <w:szCs w:val="20"/>
        </w:rPr>
        <w:t>6</w:t>
      </w:r>
      <w:r w:rsidRPr="00403EDA">
        <w:rPr>
          <w:rFonts w:cs="Arial"/>
          <w:szCs w:val="20"/>
        </w:rPr>
        <w:t xml:space="preserve">). Ve </w:t>
      </w:r>
      <w:r w:rsidR="00DA46A4">
        <w:rPr>
          <w:rFonts w:cs="Arial"/>
          <w:szCs w:val="20"/>
        </w:rPr>
        <w:t xml:space="preserve">středních </w:t>
      </w:r>
      <w:r w:rsidRPr="00403EDA">
        <w:rPr>
          <w:rFonts w:cs="Arial"/>
          <w:szCs w:val="20"/>
        </w:rPr>
        <w:t xml:space="preserve">školách s církevním zřizovatelem však byl počet žáků </w:t>
      </w:r>
      <w:r w:rsidR="009D6D5A">
        <w:rPr>
          <w:rFonts w:cs="Arial"/>
          <w:szCs w:val="20"/>
        </w:rPr>
        <w:t>na jednu třídu ještě vyšší (24,</w:t>
      </w:r>
      <w:r w:rsidR="00A3081A">
        <w:rPr>
          <w:rFonts w:cs="Arial"/>
          <w:szCs w:val="20"/>
        </w:rPr>
        <w:t>8</w:t>
      </w:r>
      <w:r w:rsidRPr="00192B52">
        <w:rPr>
          <w:rFonts w:cs="Arial"/>
          <w:szCs w:val="20"/>
        </w:rPr>
        <w:t>). Počet žáků na jednoho učitele byl</w:t>
      </w:r>
      <w:r w:rsidRPr="00403EDA">
        <w:rPr>
          <w:rFonts w:cs="Arial"/>
          <w:szCs w:val="20"/>
        </w:rPr>
        <w:t xml:space="preserve"> ve </w:t>
      </w:r>
      <w:r w:rsidR="00DA46A4">
        <w:rPr>
          <w:rFonts w:cs="Arial"/>
          <w:szCs w:val="20"/>
        </w:rPr>
        <w:t xml:space="preserve">středních </w:t>
      </w:r>
      <w:r w:rsidRPr="00403EDA">
        <w:rPr>
          <w:rFonts w:cs="Arial"/>
          <w:szCs w:val="20"/>
        </w:rPr>
        <w:t xml:space="preserve">školách veřejného zřizovatele </w:t>
      </w:r>
      <w:r w:rsidR="009D6D5A">
        <w:rPr>
          <w:rFonts w:cs="Arial"/>
          <w:szCs w:val="20"/>
        </w:rPr>
        <w:t>10,8</w:t>
      </w:r>
      <w:r w:rsidR="00B93526">
        <w:rPr>
          <w:rFonts w:cs="Arial"/>
          <w:szCs w:val="20"/>
        </w:rPr>
        <w:t xml:space="preserve"> žáka oproti 12</w:t>
      </w:r>
      <w:r w:rsidR="00C03ADC">
        <w:rPr>
          <w:rFonts w:cs="Arial"/>
          <w:szCs w:val="20"/>
        </w:rPr>
        <w:t>,</w:t>
      </w:r>
      <w:r w:rsidR="00A3081A">
        <w:rPr>
          <w:rFonts w:cs="Arial"/>
          <w:szCs w:val="20"/>
        </w:rPr>
        <w:t>8</w:t>
      </w:r>
      <w:r w:rsidR="008237DA">
        <w:rPr>
          <w:rFonts w:cs="Arial"/>
          <w:szCs w:val="20"/>
        </w:rPr>
        <w:t xml:space="preserve"> žáka ve školách se soukromým zřizovatelem a </w:t>
      </w:r>
      <w:r w:rsidR="009D6D5A">
        <w:rPr>
          <w:rFonts w:cs="Arial"/>
          <w:szCs w:val="20"/>
        </w:rPr>
        <w:t>11,</w:t>
      </w:r>
      <w:r w:rsidR="00A3081A">
        <w:rPr>
          <w:rFonts w:cs="Arial"/>
          <w:szCs w:val="20"/>
        </w:rPr>
        <w:t>8</w:t>
      </w:r>
      <w:r w:rsidR="00192B52">
        <w:rPr>
          <w:rFonts w:cs="Arial"/>
          <w:szCs w:val="20"/>
        </w:rPr>
        <w:t xml:space="preserve"> žáka</w:t>
      </w:r>
      <w:r w:rsidR="008237DA">
        <w:rPr>
          <w:rFonts w:cs="Arial"/>
          <w:szCs w:val="20"/>
        </w:rPr>
        <w:t xml:space="preserve"> ve školách </w:t>
      </w:r>
      <w:r w:rsidR="008237DA" w:rsidRPr="00E02298">
        <w:rPr>
          <w:rFonts w:cs="Arial"/>
          <w:szCs w:val="20"/>
        </w:rPr>
        <w:t xml:space="preserve">církevních. </w:t>
      </w:r>
      <w:r w:rsidR="009758E4">
        <w:rPr>
          <w:rFonts w:cs="Arial"/>
          <w:szCs w:val="20"/>
        </w:rPr>
        <w:t>Výše uvedená zjištění obsahuje</w:t>
      </w:r>
      <w:r w:rsidRPr="00E02298">
        <w:rPr>
          <w:rFonts w:cs="Arial"/>
          <w:szCs w:val="20"/>
        </w:rPr>
        <w:t xml:space="preserve"> </w:t>
      </w:r>
      <w:r w:rsidR="009758E4">
        <w:rPr>
          <w:rFonts w:cs="Arial"/>
          <w:szCs w:val="20"/>
        </w:rPr>
        <w:t xml:space="preserve">též </w:t>
      </w:r>
      <w:r w:rsidRPr="00E02298">
        <w:rPr>
          <w:rFonts w:cs="Arial"/>
          <w:szCs w:val="20"/>
        </w:rPr>
        <w:t xml:space="preserve">tabulka </w:t>
      </w:r>
      <w:r w:rsidR="009758E4">
        <w:rPr>
          <w:rFonts w:cs="Arial"/>
          <w:szCs w:val="20"/>
        </w:rPr>
        <w:t>č. </w:t>
      </w:r>
      <w:r w:rsidRPr="00E02298">
        <w:rPr>
          <w:rFonts w:cs="Arial"/>
          <w:szCs w:val="20"/>
        </w:rPr>
        <w:t>3.1.</w:t>
      </w:r>
    </w:p>
    <w:p w14:paraId="48D61F96" w14:textId="55E2C947" w:rsidR="00DE5304" w:rsidRDefault="00FA7769" w:rsidP="007431D5">
      <w:pPr>
        <w:keepNext/>
        <w:spacing w:after="120" w:line="240" w:lineRule="auto"/>
        <w:rPr>
          <w:b/>
        </w:rPr>
      </w:pPr>
      <w:r w:rsidRPr="00E02298">
        <w:rPr>
          <w:b/>
        </w:rPr>
        <w:t>Tab. 3.1</w:t>
      </w:r>
      <w:r w:rsidRPr="00E02298">
        <w:t xml:space="preserve"> </w:t>
      </w:r>
      <w:r w:rsidRPr="00E02298">
        <w:rPr>
          <w:b/>
        </w:rPr>
        <w:t>Střední</w:t>
      </w:r>
      <w:r w:rsidR="00733ACD" w:rsidRPr="00E02298">
        <w:rPr>
          <w:b/>
        </w:rPr>
        <w:t xml:space="preserve"> školy</w:t>
      </w:r>
      <w:r w:rsidRPr="00E02298">
        <w:rPr>
          <w:b/>
        </w:rPr>
        <w:t xml:space="preserve"> </w:t>
      </w:r>
      <w:r w:rsidR="002C291A">
        <w:rPr>
          <w:b/>
        </w:rPr>
        <w:t>–</w:t>
      </w:r>
      <w:r w:rsidRPr="00E02298">
        <w:rPr>
          <w:b/>
        </w:rPr>
        <w:t xml:space="preserve"> počet škol, žáků a učitelů celk</w:t>
      </w:r>
      <w:r w:rsidR="00192B52" w:rsidRPr="00E02298">
        <w:rPr>
          <w:b/>
        </w:rPr>
        <w:t xml:space="preserve">em a dle zřizovatele </w:t>
      </w:r>
      <w:r w:rsidR="007F5DA5">
        <w:rPr>
          <w:b/>
        </w:rPr>
        <w:t xml:space="preserve">ve školním roce </w:t>
      </w:r>
      <w:r w:rsidR="00192B52" w:rsidRPr="00E02298">
        <w:rPr>
          <w:b/>
        </w:rPr>
        <w:t>2</w:t>
      </w:r>
      <w:r w:rsidR="00E02298">
        <w:rPr>
          <w:b/>
        </w:rPr>
        <w:t>02</w:t>
      </w:r>
      <w:r w:rsidR="00FE3589">
        <w:rPr>
          <w:b/>
        </w:rPr>
        <w:t>5</w:t>
      </w:r>
      <w:r w:rsidR="00E02298">
        <w:rPr>
          <w:b/>
        </w:rPr>
        <w:t>/2</w:t>
      </w:r>
      <w:r w:rsidR="00FE3589">
        <w:rPr>
          <w:b/>
        </w:rPr>
        <w:t>6</w:t>
      </w:r>
    </w:p>
    <w:p w14:paraId="59869C93" w14:textId="77777777" w:rsidR="005F0B0A" w:rsidRPr="005F0B0A" w:rsidRDefault="005F0B0A" w:rsidP="005F0B0A">
      <w:pPr>
        <w:spacing w:after="0" w:line="276" w:lineRule="auto"/>
        <w:rPr>
          <w:rFonts w:cs="Arial"/>
          <w:sz w:val="16"/>
          <w:szCs w:val="16"/>
        </w:rPr>
      </w:pPr>
      <w:r w:rsidRPr="005F0B0A">
        <w:rPr>
          <w:rFonts w:cs="Arial"/>
          <w:sz w:val="16"/>
          <w:szCs w:val="16"/>
        </w:rPr>
        <w:t>Zdroj: ČSÚ</w:t>
      </w:r>
      <w:r w:rsidRPr="005F0B0A">
        <w:rPr>
          <w:rFonts w:cs="Arial"/>
          <w:noProof/>
          <w:sz w:val="16"/>
          <w:szCs w:val="16"/>
        </w:rPr>
        <w:t xml:space="preserve"> </w:t>
      </w:r>
      <w:r w:rsidRPr="005F0B0A">
        <w:rPr>
          <w:rFonts w:cs="Arial"/>
          <w:sz w:val="16"/>
          <w:szCs w:val="16"/>
        </w:rPr>
        <w:t>podle údajů MŠMT</w:t>
      </w:r>
    </w:p>
    <w:tbl>
      <w:tblPr>
        <w:tblW w:w="95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6"/>
        <w:gridCol w:w="1190"/>
        <w:gridCol w:w="943"/>
        <w:gridCol w:w="1366"/>
        <w:gridCol w:w="767"/>
        <w:gridCol w:w="1400"/>
        <w:gridCol w:w="733"/>
        <w:gridCol w:w="1066"/>
        <w:gridCol w:w="1066"/>
      </w:tblGrid>
      <w:tr w:rsidR="00FE3589" w:rsidRPr="00FE3589" w14:paraId="3B3AA5CD" w14:textId="77777777" w:rsidTr="00CB74FC">
        <w:trPr>
          <w:trHeight w:val="333"/>
        </w:trPr>
        <w:tc>
          <w:tcPr>
            <w:tcW w:w="10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7294D238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Zřizovatel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5251A6FA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školy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217FAFBF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Žáci</w:t>
            </w:r>
          </w:p>
        </w:tc>
        <w:tc>
          <w:tcPr>
            <w:tcW w:w="2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3A85ED95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Učitelé</w:t>
            </w:r>
            <w:r w:rsidRPr="00FE3589">
              <w:rPr>
                <w:rFonts w:cs="Arial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06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EFDE"/>
            <w:vAlign w:val="center"/>
            <w:hideMark/>
          </w:tcPr>
          <w:p w14:paraId="3EF833A3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Žáků na jednu třídu</w:t>
            </w:r>
          </w:p>
        </w:tc>
        <w:tc>
          <w:tcPr>
            <w:tcW w:w="10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8EFDE"/>
            <w:vAlign w:val="center"/>
            <w:hideMark/>
          </w:tcPr>
          <w:p w14:paraId="52E1CB21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Žáků na jednoho </w:t>
            </w:r>
          </w:p>
        </w:tc>
      </w:tr>
      <w:tr w:rsidR="00FE3589" w:rsidRPr="00FE3589" w14:paraId="60C450BD" w14:textId="77777777" w:rsidTr="00FE3589">
        <w:trPr>
          <w:trHeight w:val="321"/>
        </w:trPr>
        <w:tc>
          <w:tcPr>
            <w:tcW w:w="10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F78A21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5A7AF9F7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3AD45ABD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7FA9CE9C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30684197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2AA90EB4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počet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32A5E8DB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i/>
                <w:i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06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2EEC1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8EFDE"/>
            <w:vAlign w:val="center"/>
            <w:hideMark/>
          </w:tcPr>
          <w:p w14:paraId="19EE29BF" w14:textId="77777777" w:rsidR="00FE3589" w:rsidRPr="00FE3589" w:rsidRDefault="00FE3589" w:rsidP="00FE3589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Cs/>
                <w:color w:val="000000"/>
                <w:sz w:val="16"/>
                <w:szCs w:val="16"/>
              </w:rPr>
              <w:t>učitele</w:t>
            </w:r>
          </w:p>
        </w:tc>
      </w:tr>
      <w:tr w:rsidR="00FE3589" w:rsidRPr="00FE3589" w14:paraId="4AF48086" w14:textId="77777777" w:rsidTr="00FE3589">
        <w:trPr>
          <w:trHeight w:val="306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5A4005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veřejný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E618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3C5FE3C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723A1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420 019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BD8B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81,8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1A401B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38 897,0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31A3802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FE3634B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24,4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5016C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10,8</w:t>
            </w:r>
          </w:p>
        </w:tc>
      </w:tr>
      <w:tr w:rsidR="00FE3589" w:rsidRPr="00FE3589" w14:paraId="44216231" w14:textId="77777777" w:rsidTr="00FE3589">
        <w:trPr>
          <w:trHeight w:val="306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0F36AED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soukromý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9BC32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325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E95A98C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64277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83 000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0AA91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41C669F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6 468,4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99DBD3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14,3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92DD15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47A6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12,8</w:t>
            </w:r>
          </w:p>
        </w:tc>
      </w:tr>
      <w:tr w:rsidR="00FE3589" w:rsidRPr="00FE3589" w14:paraId="5CE7558D" w14:textId="77777777" w:rsidTr="00FE3589">
        <w:trPr>
          <w:trHeight w:val="306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C0BA72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církevní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D88E6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5399F19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936C1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11 862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67E8D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2,3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DC1CB66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color w:val="000000"/>
                <w:sz w:val="16"/>
                <w:szCs w:val="16"/>
              </w:rPr>
              <w:t>1 005,3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A502A3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630759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24,8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DBCF8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i/>
                <w:iCs/>
                <w:color w:val="000000"/>
                <w:sz w:val="16"/>
                <w:szCs w:val="16"/>
              </w:rPr>
              <w:t>11,8</w:t>
            </w:r>
          </w:p>
        </w:tc>
      </w:tr>
      <w:tr w:rsidR="00FE3589" w:rsidRPr="00FE3589" w14:paraId="53560453" w14:textId="77777777" w:rsidTr="00FE3589">
        <w:trPr>
          <w:trHeight w:val="306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C9EBCC" w14:textId="77777777" w:rsidR="00FE3589" w:rsidRPr="00FE3589" w:rsidRDefault="00FE3589" w:rsidP="00FE3589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7C854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color w:val="000000"/>
                <w:sz w:val="16"/>
                <w:szCs w:val="16"/>
              </w:rPr>
              <w:t>1 328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7D0279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4D27E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color w:val="000000"/>
                <w:sz w:val="16"/>
                <w:szCs w:val="16"/>
              </w:rPr>
              <w:t>514 881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C133F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99B522C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color w:val="000000"/>
                <w:sz w:val="16"/>
                <w:szCs w:val="16"/>
              </w:rPr>
              <w:t>46 370,6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6AC263F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5440491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23,7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02C07" w14:textId="77777777" w:rsidR="00FE3589" w:rsidRPr="00FE3589" w:rsidRDefault="00FE3589" w:rsidP="00FE3589">
            <w:pPr>
              <w:spacing w:after="0" w:line="240" w:lineRule="auto"/>
              <w:jc w:val="right"/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FE3589">
              <w:rPr>
                <w:rFonts w:cs="Arial"/>
                <w:b/>
                <w:bCs/>
                <w:i/>
                <w:iCs/>
                <w:color w:val="000000"/>
                <w:sz w:val="16"/>
                <w:szCs w:val="16"/>
              </w:rPr>
              <w:t>11,1</w:t>
            </w:r>
          </w:p>
        </w:tc>
      </w:tr>
    </w:tbl>
    <w:p w14:paraId="7371860A" w14:textId="77777777" w:rsidR="00901AA9" w:rsidRDefault="00901AA9" w:rsidP="00A61F79">
      <w:pPr>
        <w:spacing w:before="120" w:after="0" w:line="240" w:lineRule="auto"/>
        <w:jc w:val="both"/>
        <w:rPr>
          <w:sz w:val="16"/>
          <w:szCs w:val="16"/>
          <w:vertAlign w:val="superscript"/>
        </w:rPr>
      </w:pPr>
    </w:p>
    <w:p w14:paraId="0D4F9E0A" w14:textId="44E72B36" w:rsidR="00FA7769" w:rsidRDefault="005F0B0A" w:rsidP="00A61F79">
      <w:pPr>
        <w:spacing w:before="12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 w:rsidR="00FA7769" w:rsidRPr="005F0B0A">
        <w:rPr>
          <w:sz w:val="16"/>
          <w:szCs w:val="16"/>
          <w:vertAlign w:val="superscript"/>
        </w:rPr>
        <w:t>)</w:t>
      </w:r>
      <w:r w:rsidR="00FA7769" w:rsidRPr="005F0B0A">
        <w:rPr>
          <w:sz w:val="16"/>
          <w:szCs w:val="16"/>
        </w:rPr>
        <w:t xml:space="preserve"> Učitelé jsou přepočteni na plně </w:t>
      </w:r>
      <w:proofErr w:type="gramStart"/>
      <w:r w:rsidR="00FA7769" w:rsidRPr="005F0B0A">
        <w:rPr>
          <w:sz w:val="16"/>
          <w:szCs w:val="16"/>
        </w:rPr>
        <w:t>zaměstnané,</w:t>
      </w:r>
      <w:proofErr w:type="gramEnd"/>
      <w:r w:rsidR="00FA7769" w:rsidRPr="005F0B0A">
        <w:rPr>
          <w:sz w:val="16"/>
          <w:szCs w:val="16"/>
        </w:rPr>
        <w:t xml:space="preserve"> neboli na počet plných úvazků.</w:t>
      </w:r>
    </w:p>
    <w:p w14:paraId="426E8AB9" w14:textId="77777777" w:rsidR="005F0B0A" w:rsidRPr="005F0B0A" w:rsidRDefault="005F0B0A" w:rsidP="00A61F79">
      <w:pPr>
        <w:spacing w:before="120" w:after="0" w:line="240" w:lineRule="auto"/>
        <w:jc w:val="both"/>
        <w:rPr>
          <w:sz w:val="16"/>
          <w:szCs w:val="16"/>
        </w:rPr>
      </w:pPr>
    </w:p>
    <w:p w14:paraId="25CCB1AD" w14:textId="0C4C4E1F" w:rsidR="00D55EE7" w:rsidRDefault="00FA7769" w:rsidP="00FA7769">
      <w:pPr>
        <w:spacing w:after="120"/>
        <w:jc w:val="both"/>
        <w:rPr>
          <w:rFonts w:cs="Arial"/>
          <w:szCs w:val="20"/>
        </w:rPr>
      </w:pPr>
      <w:r w:rsidRPr="006573C7">
        <w:rPr>
          <w:rFonts w:cs="Arial"/>
          <w:szCs w:val="20"/>
        </w:rPr>
        <w:t xml:space="preserve">Podívejme se nyní na </w:t>
      </w:r>
      <w:r w:rsidRPr="006573C7">
        <w:rPr>
          <w:rFonts w:cs="Arial"/>
          <w:b/>
          <w:szCs w:val="20"/>
        </w:rPr>
        <w:t>vývoj počtu žáků středních škol v čase</w:t>
      </w:r>
      <w:r w:rsidRPr="006573C7">
        <w:rPr>
          <w:rFonts w:cs="Arial"/>
          <w:szCs w:val="20"/>
        </w:rPr>
        <w:t xml:space="preserve"> a připomeňme, že počet žáků v základních školách měl </w:t>
      </w:r>
      <w:r w:rsidR="00CF0747" w:rsidRPr="006573C7">
        <w:rPr>
          <w:rFonts w:cs="Arial"/>
          <w:szCs w:val="20"/>
        </w:rPr>
        <w:t>v posledních deseti letech</w:t>
      </w:r>
      <w:r w:rsidRPr="006573C7">
        <w:rPr>
          <w:rFonts w:cs="Arial"/>
          <w:szCs w:val="20"/>
        </w:rPr>
        <w:t xml:space="preserve"> </w:t>
      </w:r>
      <w:r w:rsidR="009D6D5A">
        <w:rPr>
          <w:rFonts w:cs="Arial"/>
          <w:szCs w:val="20"/>
        </w:rPr>
        <w:t xml:space="preserve">(s výjimkou školního roku 2023/24) </w:t>
      </w:r>
      <w:r w:rsidRPr="006573C7">
        <w:rPr>
          <w:rFonts w:cs="Arial"/>
          <w:szCs w:val="20"/>
        </w:rPr>
        <w:t>vzestupnou tendenci. Zde lze</w:t>
      </w:r>
      <w:r w:rsidRPr="00403EDA">
        <w:rPr>
          <w:rFonts w:cs="Arial"/>
          <w:szCs w:val="20"/>
        </w:rPr>
        <w:t xml:space="preserve"> poznamenat, že počet žáků středních škol n</w:t>
      </w:r>
      <w:r w:rsidR="005A50C2">
        <w:rPr>
          <w:rFonts w:cs="Arial"/>
          <w:szCs w:val="20"/>
        </w:rPr>
        <w:t>ejprve</w:t>
      </w:r>
      <w:r w:rsidRPr="00403EDA">
        <w:rPr>
          <w:rFonts w:cs="Arial"/>
          <w:szCs w:val="20"/>
        </w:rPr>
        <w:t xml:space="preserve"> </w:t>
      </w:r>
      <w:r w:rsidR="009D6D5A">
        <w:rPr>
          <w:rFonts w:cs="Arial"/>
          <w:szCs w:val="20"/>
        </w:rPr>
        <w:t>od školního roku 2014/15</w:t>
      </w:r>
      <w:r w:rsidR="00802E27">
        <w:rPr>
          <w:rFonts w:cs="Arial"/>
          <w:szCs w:val="20"/>
        </w:rPr>
        <w:t xml:space="preserve"> do školního roku 2018/19</w:t>
      </w:r>
      <w:r w:rsidR="00215001">
        <w:rPr>
          <w:rFonts w:cs="Arial"/>
          <w:szCs w:val="20"/>
        </w:rPr>
        <w:t xml:space="preserve"> klesal</w:t>
      </w:r>
      <w:r w:rsidR="00802E27">
        <w:rPr>
          <w:rFonts w:cs="Arial"/>
          <w:szCs w:val="20"/>
        </w:rPr>
        <w:t xml:space="preserve">, </w:t>
      </w:r>
      <w:r w:rsidR="009D6D5A">
        <w:rPr>
          <w:rFonts w:cs="Arial"/>
          <w:szCs w:val="20"/>
        </w:rPr>
        <w:t xml:space="preserve">poté však také začal stoupat </w:t>
      </w:r>
      <w:r w:rsidR="0056714A">
        <w:rPr>
          <w:rFonts w:cs="Arial"/>
          <w:szCs w:val="20"/>
        </w:rPr>
        <w:t>a</w:t>
      </w:r>
      <w:r w:rsidR="00215001">
        <w:rPr>
          <w:rFonts w:cs="Arial"/>
          <w:szCs w:val="20"/>
        </w:rPr>
        <w:t> </w:t>
      </w:r>
      <w:r w:rsidR="009D6D5A">
        <w:rPr>
          <w:rFonts w:cs="Arial"/>
          <w:szCs w:val="20"/>
        </w:rPr>
        <w:t>ve školním roce 202</w:t>
      </w:r>
      <w:r w:rsidR="005A50C2">
        <w:rPr>
          <w:rFonts w:cs="Arial"/>
          <w:szCs w:val="20"/>
        </w:rPr>
        <w:t>5</w:t>
      </w:r>
      <w:r w:rsidR="009D6D5A">
        <w:rPr>
          <w:rFonts w:cs="Arial"/>
          <w:szCs w:val="20"/>
        </w:rPr>
        <w:t>/2</w:t>
      </w:r>
      <w:r w:rsidR="005A50C2">
        <w:rPr>
          <w:rFonts w:cs="Arial"/>
          <w:szCs w:val="20"/>
        </w:rPr>
        <w:t>6</w:t>
      </w:r>
      <w:r w:rsidR="0056714A">
        <w:rPr>
          <w:rFonts w:cs="Arial"/>
          <w:szCs w:val="20"/>
        </w:rPr>
        <w:t xml:space="preserve"> byl</w:t>
      </w:r>
      <w:r w:rsidR="004C166A">
        <w:rPr>
          <w:rFonts w:cs="Arial"/>
          <w:szCs w:val="20"/>
        </w:rPr>
        <w:t xml:space="preserve">o v našich středních školách </w:t>
      </w:r>
      <w:r w:rsidR="009D6D5A">
        <w:rPr>
          <w:rFonts w:cs="Arial"/>
          <w:szCs w:val="20"/>
        </w:rPr>
        <w:t>5</w:t>
      </w:r>
      <w:r w:rsidR="005A50C2">
        <w:rPr>
          <w:rFonts w:cs="Arial"/>
          <w:szCs w:val="20"/>
        </w:rPr>
        <w:t>14</w:t>
      </w:r>
      <w:r w:rsidR="004C166A">
        <w:rPr>
          <w:rFonts w:cs="Arial"/>
          <w:szCs w:val="20"/>
        </w:rPr>
        <w:t> </w:t>
      </w:r>
      <w:r w:rsidR="005A50C2">
        <w:rPr>
          <w:rFonts w:cs="Arial"/>
          <w:szCs w:val="20"/>
        </w:rPr>
        <w:t>881</w:t>
      </w:r>
      <w:r w:rsidR="0056714A">
        <w:rPr>
          <w:rFonts w:cs="Arial"/>
          <w:szCs w:val="20"/>
        </w:rPr>
        <w:t xml:space="preserve"> žáků</w:t>
      </w:r>
      <w:r w:rsidR="005A50C2">
        <w:rPr>
          <w:rFonts w:cs="Arial"/>
          <w:szCs w:val="20"/>
        </w:rPr>
        <w:t xml:space="preserve">, tedy </w:t>
      </w:r>
      <w:r w:rsidR="00986D42">
        <w:rPr>
          <w:rFonts w:cs="Arial"/>
          <w:szCs w:val="20"/>
        </w:rPr>
        <w:t>o </w:t>
      </w:r>
      <w:r w:rsidR="005A50C2">
        <w:rPr>
          <w:rFonts w:cs="Arial"/>
          <w:szCs w:val="20"/>
        </w:rPr>
        <w:t>22,4 % více než ve školním roce 2018/19</w:t>
      </w:r>
      <w:r w:rsidR="009D6D5A">
        <w:rPr>
          <w:rFonts w:cs="Arial"/>
          <w:szCs w:val="20"/>
        </w:rPr>
        <w:t xml:space="preserve"> </w:t>
      </w:r>
      <w:r w:rsidRPr="00403EDA">
        <w:rPr>
          <w:rFonts w:cs="Arial"/>
          <w:szCs w:val="20"/>
        </w:rPr>
        <w:t xml:space="preserve">– viz graf </w:t>
      </w:r>
      <w:r w:rsidR="00E37CE3">
        <w:rPr>
          <w:rFonts w:cs="Arial"/>
          <w:szCs w:val="20"/>
        </w:rPr>
        <w:t>č. </w:t>
      </w:r>
      <w:r w:rsidRPr="00403EDA">
        <w:rPr>
          <w:rFonts w:cs="Arial"/>
          <w:szCs w:val="20"/>
        </w:rPr>
        <w:t>3.1.</w:t>
      </w:r>
      <w:r w:rsidR="00694677">
        <w:rPr>
          <w:rFonts w:cs="Arial"/>
          <w:szCs w:val="20"/>
        </w:rPr>
        <w:t xml:space="preserve"> </w:t>
      </w:r>
    </w:p>
    <w:p w14:paraId="38C904DA" w14:textId="77777777" w:rsidR="00FA7769" w:rsidRDefault="00350E9B" w:rsidP="00660E30">
      <w:pPr>
        <w:keepNext/>
        <w:spacing w:after="120" w:line="240" w:lineRule="auto"/>
        <w:jc w:val="both"/>
        <w:rPr>
          <w:b/>
        </w:rPr>
      </w:pPr>
      <w:r w:rsidRPr="00350E9B">
        <w:rPr>
          <w:b/>
        </w:rPr>
        <w:t>Graf 3.1 Střední školy – vývoj počtu žáků, podílu žáků v jiné než denní formě a podílu žáků ve školách s jiným než veřejným zřizovatelem</w:t>
      </w:r>
    </w:p>
    <w:p w14:paraId="12CBF238" w14:textId="55EF86D1" w:rsidR="00FA7769" w:rsidRPr="00394935" w:rsidRDefault="005A50C2" w:rsidP="00394935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6113DC9C" wp14:editId="7902A662">
            <wp:extent cx="6115050" cy="2667000"/>
            <wp:effectExtent l="0" t="0" r="0" b="0"/>
            <wp:docPr id="5643876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5180BB6" w14:textId="5CBADFB1" w:rsidR="00C63F83" w:rsidRDefault="00C63F83" w:rsidP="006D7525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Růst počtu žáků byl ovlivněn tím, že se demografická vlna přelévala ze základních škol na střední. V posledních </w:t>
      </w:r>
      <w:r w:rsidR="00EB617D">
        <w:rPr>
          <w:rFonts w:cs="Arial"/>
          <w:szCs w:val="20"/>
        </w:rPr>
        <w:t>čtyřech</w:t>
      </w:r>
      <w:r>
        <w:rPr>
          <w:rFonts w:cs="Arial"/>
          <w:szCs w:val="20"/>
        </w:rPr>
        <w:t xml:space="preserve"> školních rocích t</w:t>
      </w:r>
      <w:r w:rsidR="009D558D">
        <w:rPr>
          <w:rFonts w:cs="Arial"/>
          <w:szCs w:val="20"/>
        </w:rPr>
        <w:t>aké na školách v Česku</w:t>
      </w:r>
      <w:r>
        <w:rPr>
          <w:rFonts w:cs="Arial"/>
          <w:szCs w:val="20"/>
        </w:rPr>
        <w:t xml:space="preserve"> přibyly děti ukrajinských uprchlíků. </w:t>
      </w:r>
    </w:p>
    <w:p w14:paraId="768615E3" w14:textId="659C723D" w:rsidR="006D7525" w:rsidRPr="007A7A06" w:rsidRDefault="006D7525" w:rsidP="0062025C">
      <w:pPr>
        <w:jc w:val="both"/>
      </w:pPr>
      <w:r w:rsidRPr="00985087">
        <w:t>Vzhledem k demograf</w:t>
      </w:r>
      <w:r w:rsidR="00985087" w:rsidRPr="00985087">
        <w:t xml:space="preserve">ickému vývoji lze očekávat, že </w:t>
      </w:r>
      <w:r w:rsidR="009B3B17">
        <w:t>od následujícího školního roku začne</w:t>
      </w:r>
      <w:r w:rsidRPr="00985087">
        <w:t xml:space="preserve"> počet žáků středních škol </w:t>
      </w:r>
      <w:r w:rsidR="00985087" w:rsidRPr="00985087">
        <w:t>klesat</w:t>
      </w:r>
      <w:r w:rsidR="00864CB6" w:rsidRPr="00985087">
        <w:t xml:space="preserve"> – viz graf </w:t>
      </w:r>
      <w:r w:rsidR="00866DC2">
        <w:t>č. </w:t>
      </w:r>
      <w:r w:rsidRPr="00985087">
        <w:t>3.</w:t>
      </w:r>
      <w:r w:rsidRPr="00CC23A1">
        <w:t>2</w:t>
      </w:r>
      <w:r w:rsidR="00CC23A1">
        <w:t xml:space="preserve">, který ukazuje vývoj počtu </w:t>
      </w:r>
      <w:r w:rsidR="00E738AF">
        <w:t>obyvatel ve věku 15</w:t>
      </w:r>
      <w:r w:rsidR="002C291A">
        <w:t>–</w:t>
      </w:r>
      <w:r w:rsidR="00E738AF">
        <w:t xml:space="preserve">18 let mezi roky </w:t>
      </w:r>
      <w:r w:rsidR="00CC23A1">
        <w:t>201</w:t>
      </w:r>
      <w:r w:rsidR="009B3B17">
        <w:t>5</w:t>
      </w:r>
      <w:r w:rsidR="00CC23A1">
        <w:t xml:space="preserve"> až 202</w:t>
      </w:r>
      <w:r w:rsidR="009B3B17">
        <w:t>5</w:t>
      </w:r>
      <w:r w:rsidR="00CC23A1">
        <w:t xml:space="preserve"> </w:t>
      </w:r>
      <w:r w:rsidR="00E738AF">
        <w:t>(vždy k 1.</w:t>
      </w:r>
      <w:r w:rsidR="0062025C">
        <w:t> </w:t>
      </w:r>
      <w:r w:rsidR="00E738AF">
        <w:t xml:space="preserve">červenci) </w:t>
      </w:r>
      <w:r w:rsidR="00CC23A1">
        <w:t>a počet obyvatel v mladších kohortách v roce 202</w:t>
      </w:r>
      <w:r w:rsidR="009B3B17">
        <w:t>5</w:t>
      </w:r>
      <w:r w:rsidR="00CC23A1">
        <w:t xml:space="preserve"> </w:t>
      </w:r>
      <w:r w:rsidR="00E96C79">
        <w:t xml:space="preserve">(vždy s posunutím o rok) </w:t>
      </w:r>
      <w:r w:rsidR="00CC23A1">
        <w:t>jako odhad vývoje počtu obyvatel ve věku 15</w:t>
      </w:r>
      <w:r w:rsidR="002C291A">
        <w:t>–</w:t>
      </w:r>
      <w:r w:rsidR="00CC23A1">
        <w:t xml:space="preserve">18 let v následujících </w:t>
      </w:r>
      <w:r w:rsidR="00E96C79">
        <w:t>rocích</w:t>
      </w:r>
      <w:r w:rsidR="00CC23A1">
        <w:t xml:space="preserve">. Tento odhad však může být nepřesný, zejména s ohledem </w:t>
      </w:r>
      <w:r w:rsidR="00660E30">
        <w:t xml:space="preserve">na </w:t>
      </w:r>
      <w:r w:rsidR="00CC23A1">
        <w:t xml:space="preserve">obtížně odhadnutelnou budoucí migraci. </w:t>
      </w:r>
      <w:r w:rsidR="00CB74FC" w:rsidRPr="00CB74FC">
        <w:t>Zároveň je nutné vzít v potaz, že do středoškoláků se řadí i žáci nižších ročníků víceletých gymnázií, které do této věkové skupiny nepatří. Naopak, docházka do střední školy není povinná a bývá různě dlouhá (u vyššího stupně 1-4 roky, příp. i déle)</w:t>
      </w:r>
      <w:r w:rsidR="00B04C66">
        <w:t xml:space="preserve"> a mohou se jí vzdělávat i dospělí</w:t>
      </w:r>
      <w:r w:rsidR="007F1C0F">
        <w:t>, např.</w:t>
      </w:r>
      <w:r w:rsidR="00B04C66">
        <w:t xml:space="preserve"> v rámci rekvalifikace</w:t>
      </w:r>
      <w:r w:rsidR="00CB74FC" w:rsidRPr="00CB74FC">
        <w:t>. Načrtnutý vývoj je tedy třeba brát s rezervou.</w:t>
      </w:r>
    </w:p>
    <w:p w14:paraId="11029E54" w14:textId="65BA36B8" w:rsidR="00014284" w:rsidRDefault="00985087" w:rsidP="0063694F">
      <w:pPr>
        <w:keepNext/>
        <w:spacing w:after="120"/>
        <w:jc w:val="both"/>
        <w:rPr>
          <w:rFonts w:cs="Arial"/>
          <w:b/>
          <w:szCs w:val="20"/>
        </w:rPr>
      </w:pPr>
      <w:r w:rsidRPr="005E4BC8">
        <w:rPr>
          <w:rFonts w:cs="Arial"/>
          <w:b/>
          <w:szCs w:val="20"/>
        </w:rPr>
        <w:lastRenderedPageBreak/>
        <w:t>Graf 3.2</w:t>
      </w:r>
      <w:r w:rsidR="00D1640F">
        <w:rPr>
          <w:rFonts w:cs="Arial"/>
          <w:b/>
          <w:szCs w:val="20"/>
        </w:rPr>
        <w:t xml:space="preserve"> Počet obyvatel ČR ve věku 15–18 let k 1. 7 </w:t>
      </w:r>
      <w:r w:rsidR="00014284" w:rsidRPr="005E4BC8">
        <w:rPr>
          <w:rFonts w:cs="Arial"/>
          <w:b/>
          <w:szCs w:val="20"/>
        </w:rPr>
        <w:t xml:space="preserve">2014 – </w:t>
      </w:r>
      <w:r w:rsidR="00D1640F">
        <w:rPr>
          <w:rFonts w:cs="Arial"/>
          <w:b/>
          <w:szCs w:val="20"/>
        </w:rPr>
        <w:t>1. 7. </w:t>
      </w:r>
      <w:r w:rsidR="00014284" w:rsidRPr="005E4BC8">
        <w:rPr>
          <w:rFonts w:cs="Arial"/>
          <w:b/>
          <w:szCs w:val="20"/>
        </w:rPr>
        <w:t>202</w:t>
      </w:r>
      <w:r w:rsidR="008E7FE8">
        <w:rPr>
          <w:rFonts w:cs="Arial"/>
          <w:b/>
          <w:szCs w:val="20"/>
        </w:rPr>
        <w:t>5</w:t>
      </w:r>
      <w:r w:rsidR="00014284" w:rsidRPr="005E4BC8">
        <w:rPr>
          <w:rFonts w:cs="Arial"/>
          <w:b/>
          <w:szCs w:val="20"/>
        </w:rPr>
        <w:t xml:space="preserve"> a odhad počtu dětí této věkové kohorty v letech 202</w:t>
      </w:r>
      <w:r w:rsidR="008E7FE8">
        <w:rPr>
          <w:rFonts w:cs="Arial"/>
          <w:b/>
          <w:szCs w:val="20"/>
        </w:rPr>
        <w:t>6</w:t>
      </w:r>
      <w:r w:rsidR="00014284" w:rsidRPr="005E4BC8">
        <w:rPr>
          <w:rFonts w:cs="Arial"/>
          <w:b/>
          <w:szCs w:val="20"/>
        </w:rPr>
        <w:t xml:space="preserve"> až 20</w:t>
      </w:r>
      <w:r w:rsidR="008E7FE8">
        <w:rPr>
          <w:rFonts w:cs="Arial"/>
          <w:b/>
          <w:szCs w:val="20"/>
        </w:rPr>
        <w:t>30</w:t>
      </w:r>
      <w:r w:rsidR="00014284" w:rsidRPr="005E4BC8">
        <w:rPr>
          <w:rFonts w:cs="Arial"/>
          <w:b/>
          <w:szCs w:val="20"/>
        </w:rPr>
        <w:t xml:space="preserve"> dle počtu obyvatel v</w:t>
      </w:r>
      <w:r w:rsidR="00D1640F">
        <w:rPr>
          <w:rFonts w:cs="Arial"/>
          <w:b/>
          <w:szCs w:val="20"/>
        </w:rPr>
        <w:t xml:space="preserve"> odpovídajících </w:t>
      </w:r>
      <w:r w:rsidR="00014284" w:rsidRPr="005E4BC8">
        <w:rPr>
          <w:rFonts w:cs="Arial"/>
          <w:b/>
          <w:szCs w:val="20"/>
        </w:rPr>
        <w:t>mladších kohortách v roce 202</w:t>
      </w:r>
      <w:r w:rsidR="008E7FE8">
        <w:rPr>
          <w:rFonts w:cs="Arial"/>
          <w:b/>
          <w:szCs w:val="20"/>
        </w:rPr>
        <w:t>5</w:t>
      </w:r>
    </w:p>
    <w:p w14:paraId="2C80AF8B" w14:textId="1886CA4A" w:rsidR="006D7525" w:rsidRPr="00507289" w:rsidRDefault="008E7FE8" w:rsidP="0063694F">
      <w:pPr>
        <w:keepNext/>
        <w:spacing w:after="120"/>
        <w:jc w:val="both"/>
        <w:rPr>
          <w:b/>
          <w:bCs/>
        </w:rPr>
      </w:pPr>
      <w:r>
        <w:rPr>
          <w:noProof/>
        </w:rPr>
        <w:drawing>
          <wp:inline distT="0" distB="0" distL="0" distR="0" wp14:anchorId="060B2DB6" wp14:editId="3B32EB7C">
            <wp:extent cx="6067425" cy="2743200"/>
            <wp:effectExtent l="0" t="0" r="0" b="0"/>
            <wp:docPr id="50882931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FDB35B8" w14:textId="7B46FE74" w:rsidR="00FA7769" w:rsidRPr="00403EDA" w:rsidRDefault="00FA7769" w:rsidP="00FA7769">
      <w:pPr>
        <w:spacing w:after="120"/>
        <w:jc w:val="both"/>
        <w:rPr>
          <w:rFonts w:cs="Arial"/>
          <w:szCs w:val="20"/>
        </w:rPr>
      </w:pPr>
      <w:r w:rsidRPr="00A06ACB">
        <w:rPr>
          <w:rFonts w:cs="Arial"/>
          <w:szCs w:val="20"/>
        </w:rPr>
        <w:t xml:space="preserve">Graf </w:t>
      </w:r>
      <w:r w:rsidR="00E738AF">
        <w:rPr>
          <w:rFonts w:cs="Arial"/>
          <w:szCs w:val="20"/>
        </w:rPr>
        <w:t>č. </w:t>
      </w:r>
      <w:r w:rsidRPr="00A06ACB">
        <w:rPr>
          <w:rFonts w:cs="Arial"/>
          <w:szCs w:val="20"/>
        </w:rPr>
        <w:t xml:space="preserve">3.1 </w:t>
      </w:r>
      <w:r w:rsidR="00981B06">
        <w:rPr>
          <w:rFonts w:cs="Arial"/>
          <w:szCs w:val="20"/>
        </w:rPr>
        <w:t xml:space="preserve">výše </w:t>
      </w:r>
      <w:r w:rsidRPr="00A06ACB">
        <w:rPr>
          <w:rFonts w:cs="Arial"/>
          <w:szCs w:val="20"/>
        </w:rPr>
        <w:t xml:space="preserve">také </w:t>
      </w:r>
      <w:r w:rsidR="00A06ACB" w:rsidRPr="00A06ACB">
        <w:rPr>
          <w:rFonts w:cs="Arial"/>
          <w:szCs w:val="20"/>
        </w:rPr>
        <w:t xml:space="preserve">dokládá, že se za posledních </w:t>
      </w:r>
      <w:r w:rsidR="00090EE1">
        <w:rPr>
          <w:rFonts w:cs="Arial"/>
          <w:szCs w:val="20"/>
        </w:rPr>
        <w:t>dese</w:t>
      </w:r>
      <w:r w:rsidR="00802E27">
        <w:rPr>
          <w:rFonts w:cs="Arial"/>
          <w:szCs w:val="20"/>
        </w:rPr>
        <w:t>t</w:t>
      </w:r>
      <w:r w:rsidRPr="00A06ACB">
        <w:rPr>
          <w:rFonts w:cs="Arial"/>
          <w:szCs w:val="20"/>
        </w:rPr>
        <w:t xml:space="preserve"> let</w:t>
      </w:r>
      <w:r w:rsidRPr="00403EDA">
        <w:rPr>
          <w:rFonts w:cs="Arial"/>
          <w:szCs w:val="20"/>
        </w:rPr>
        <w:t xml:space="preserve"> mírně zvýšil podíl žáků v soukromých a církevních š</w:t>
      </w:r>
      <w:r w:rsidR="00C63F83">
        <w:rPr>
          <w:rFonts w:cs="Arial"/>
          <w:szCs w:val="20"/>
        </w:rPr>
        <w:t>kolách, a sice z 1</w:t>
      </w:r>
      <w:r w:rsidR="00E86C73">
        <w:rPr>
          <w:rFonts w:cs="Arial"/>
          <w:szCs w:val="20"/>
        </w:rPr>
        <w:t>5</w:t>
      </w:r>
      <w:r w:rsidR="00C63F83">
        <w:rPr>
          <w:rFonts w:cs="Arial"/>
          <w:szCs w:val="20"/>
        </w:rPr>
        <w:t>,</w:t>
      </w:r>
      <w:r w:rsidR="00E86C73">
        <w:rPr>
          <w:rFonts w:cs="Arial"/>
          <w:szCs w:val="20"/>
        </w:rPr>
        <w:t>2</w:t>
      </w:r>
      <w:r w:rsidR="00C63F83">
        <w:rPr>
          <w:rFonts w:cs="Arial"/>
          <w:szCs w:val="20"/>
        </w:rPr>
        <w:t> % na 18,</w:t>
      </w:r>
      <w:r w:rsidR="00E86C73">
        <w:rPr>
          <w:rFonts w:cs="Arial"/>
          <w:szCs w:val="20"/>
        </w:rPr>
        <w:t>4</w:t>
      </w:r>
      <w:r w:rsidRPr="00403EDA">
        <w:rPr>
          <w:rFonts w:cs="Arial"/>
          <w:szCs w:val="20"/>
        </w:rPr>
        <w:t xml:space="preserve"> %. </w:t>
      </w:r>
      <w:r w:rsidR="00CB1D1E">
        <w:rPr>
          <w:rFonts w:cs="Arial"/>
          <w:szCs w:val="20"/>
        </w:rPr>
        <w:t>Podíl</w:t>
      </w:r>
      <w:r w:rsidRPr="00403EDA">
        <w:rPr>
          <w:rFonts w:cs="Arial"/>
          <w:szCs w:val="20"/>
        </w:rPr>
        <w:t xml:space="preserve"> žáků v </w:t>
      </w:r>
      <w:proofErr w:type="gramStart"/>
      <w:r w:rsidRPr="00403EDA">
        <w:rPr>
          <w:rFonts w:cs="Arial"/>
          <w:szCs w:val="20"/>
        </w:rPr>
        <w:t>jiné</w:t>
      </w:r>
      <w:proofErr w:type="gramEnd"/>
      <w:r w:rsidRPr="00403EDA">
        <w:rPr>
          <w:rFonts w:cs="Arial"/>
          <w:szCs w:val="20"/>
        </w:rPr>
        <w:t xml:space="preserve"> než denní formě </w:t>
      </w:r>
      <w:r w:rsidR="00CB1D1E">
        <w:rPr>
          <w:rFonts w:cs="Arial"/>
          <w:szCs w:val="20"/>
        </w:rPr>
        <w:t xml:space="preserve">vzdělávání </w:t>
      </w:r>
      <w:r w:rsidR="00802E27">
        <w:rPr>
          <w:rFonts w:cs="Arial"/>
          <w:szCs w:val="20"/>
        </w:rPr>
        <w:t xml:space="preserve">se </w:t>
      </w:r>
      <w:r w:rsidR="00CB1D1E">
        <w:rPr>
          <w:rFonts w:cs="Arial"/>
          <w:szCs w:val="20"/>
        </w:rPr>
        <w:t>naopak snížil z 5</w:t>
      </w:r>
      <w:r w:rsidR="00C63F83">
        <w:rPr>
          <w:rFonts w:cs="Arial"/>
          <w:szCs w:val="20"/>
        </w:rPr>
        <w:t>,</w:t>
      </w:r>
      <w:r w:rsidR="00E86C73">
        <w:rPr>
          <w:rFonts w:cs="Arial"/>
          <w:szCs w:val="20"/>
        </w:rPr>
        <w:t>0</w:t>
      </w:r>
      <w:r w:rsidRPr="00403EDA">
        <w:rPr>
          <w:rFonts w:cs="Arial"/>
          <w:szCs w:val="20"/>
        </w:rPr>
        <w:t> </w:t>
      </w:r>
      <w:r w:rsidR="00C63F83">
        <w:rPr>
          <w:rFonts w:cs="Arial"/>
          <w:szCs w:val="20"/>
        </w:rPr>
        <w:t>% ve školním roce 201</w:t>
      </w:r>
      <w:r w:rsidR="00E86C73">
        <w:rPr>
          <w:rFonts w:cs="Arial"/>
          <w:szCs w:val="20"/>
        </w:rPr>
        <w:t>5</w:t>
      </w:r>
      <w:r w:rsidR="00C63F83">
        <w:rPr>
          <w:rFonts w:cs="Arial"/>
          <w:szCs w:val="20"/>
        </w:rPr>
        <w:t>/1</w:t>
      </w:r>
      <w:r w:rsidR="00E86C73">
        <w:rPr>
          <w:rFonts w:cs="Arial"/>
          <w:szCs w:val="20"/>
        </w:rPr>
        <w:t>6</w:t>
      </w:r>
      <w:r w:rsidR="00134C78">
        <w:rPr>
          <w:rFonts w:cs="Arial"/>
          <w:szCs w:val="20"/>
        </w:rPr>
        <w:t xml:space="preserve"> </w:t>
      </w:r>
      <w:r w:rsidR="00C63F83">
        <w:rPr>
          <w:rFonts w:cs="Arial"/>
          <w:szCs w:val="20"/>
        </w:rPr>
        <w:t>na 3,</w:t>
      </w:r>
      <w:r w:rsidR="00E86C73">
        <w:rPr>
          <w:rFonts w:cs="Arial"/>
          <w:szCs w:val="20"/>
        </w:rPr>
        <w:t>0</w:t>
      </w:r>
      <w:r w:rsidR="00C63F83">
        <w:rPr>
          <w:rFonts w:cs="Arial"/>
          <w:szCs w:val="20"/>
        </w:rPr>
        <w:t> % ve školním roce 202</w:t>
      </w:r>
      <w:r w:rsidR="00E86C73">
        <w:rPr>
          <w:rFonts w:cs="Arial"/>
          <w:szCs w:val="20"/>
        </w:rPr>
        <w:t>5</w:t>
      </w:r>
      <w:r w:rsidR="00C63F83">
        <w:rPr>
          <w:rFonts w:cs="Arial"/>
          <w:szCs w:val="20"/>
        </w:rPr>
        <w:t>/2</w:t>
      </w:r>
      <w:r w:rsidR="00E86C73">
        <w:rPr>
          <w:rFonts w:cs="Arial"/>
          <w:szCs w:val="20"/>
        </w:rPr>
        <w:t>6</w:t>
      </w:r>
      <w:r w:rsidR="00802E27">
        <w:rPr>
          <w:rFonts w:cs="Arial"/>
          <w:szCs w:val="20"/>
        </w:rPr>
        <w:t xml:space="preserve">. </w:t>
      </w:r>
    </w:p>
    <w:p w14:paraId="77A8C5F5" w14:textId="3840CDA5" w:rsidR="00FA7769" w:rsidRPr="00403EDA" w:rsidRDefault="009E7EBC" w:rsidP="00FA7769">
      <w:pPr>
        <w:spacing w:after="120"/>
        <w:jc w:val="both"/>
        <w:rPr>
          <w:rFonts w:cs="Arial"/>
          <w:szCs w:val="20"/>
        </w:rPr>
      </w:pPr>
      <w:r w:rsidRPr="006F6245">
        <w:rPr>
          <w:rFonts w:cs="Arial"/>
          <w:szCs w:val="20"/>
        </w:rPr>
        <w:t xml:space="preserve">Graf </w:t>
      </w:r>
      <w:r w:rsidR="00E738AF" w:rsidRPr="006F6245">
        <w:rPr>
          <w:rFonts w:cs="Arial"/>
          <w:szCs w:val="20"/>
        </w:rPr>
        <w:t>č. </w:t>
      </w:r>
      <w:r w:rsidRPr="006F6245">
        <w:rPr>
          <w:rFonts w:cs="Arial"/>
          <w:szCs w:val="20"/>
        </w:rPr>
        <w:t>3.3</w:t>
      </w:r>
      <w:r w:rsidR="00FA7769" w:rsidRPr="006F6245">
        <w:rPr>
          <w:rFonts w:cs="Arial"/>
          <w:szCs w:val="20"/>
        </w:rPr>
        <w:t xml:space="preserve"> pro do</w:t>
      </w:r>
      <w:r w:rsidR="00FA7769" w:rsidRPr="00866D45">
        <w:rPr>
          <w:rFonts w:cs="Arial"/>
          <w:szCs w:val="20"/>
        </w:rPr>
        <w:t>plnění uvádí, jaký počet žá</w:t>
      </w:r>
      <w:r w:rsidR="001130E6" w:rsidRPr="00866D45">
        <w:rPr>
          <w:rFonts w:cs="Arial"/>
          <w:szCs w:val="20"/>
        </w:rPr>
        <w:t>ků docházel v</w:t>
      </w:r>
      <w:r w:rsidR="00716E7B">
        <w:rPr>
          <w:rFonts w:cs="Arial"/>
          <w:szCs w:val="20"/>
        </w:rPr>
        <w:t>e školním roce 202</w:t>
      </w:r>
      <w:r w:rsidR="006F6245">
        <w:rPr>
          <w:rFonts w:cs="Arial"/>
          <w:szCs w:val="20"/>
        </w:rPr>
        <w:t>5</w:t>
      </w:r>
      <w:r w:rsidR="00716E7B">
        <w:rPr>
          <w:rFonts w:cs="Arial"/>
          <w:szCs w:val="20"/>
        </w:rPr>
        <w:t>/2</w:t>
      </w:r>
      <w:r w:rsidR="006F6245">
        <w:rPr>
          <w:rFonts w:cs="Arial"/>
          <w:szCs w:val="20"/>
        </w:rPr>
        <w:t>6</w:t>
      </w:r>
      <w:r w:rsidR="00FA7769" w:rsidRPr="00866D45">
        <w:rPr>
          <w:rFonts w:cs="Arial"/>
          <w:szCs w:val="20"/>
        </w:rPr>
        <w:t xml:space="preserve"> do středních škol v jednotlivých krajích. Nejvyšší počet žáků</w:t>
      </w:r>
      <w:r w:rsidR="00FA7769" w:rsidRPr="00403EDA">
        <w:rPr>
          <w:rFonts w:cs="Arial"/>
          <w:szCs w:val="20"/>
        </w:rPr>
        <w:t xml:space="preserve"> se vzdělával ve</w:t>
      </w:r>
      <w:r w:rsidR="002D19C0">
        <w:rPr>
          <w:rFonts w:cs="Arial"/>
          <w:szCs w:val="20"/>
        </w:rPr>
        <w:t xml:space="preserve"> středních školách v Praze (</w:t>
      </w:r>
      <w:r w:rsidR="00866D45">
        <w:rPr>
          <w:rFonts w:cs="Arial"/>
          <w:szCs w:val="20"/>
        </w:rPr>
        <w:t>1</w:t>
      </w:r>
      <w:r w:rsidR="006F6245">
        <w:rPr>
          <w:rFonts w:cs="Arial"/>
          <w:szCs w:val="20"/>
        </w:rPr>
        <w:t>6</w:t>
      </w:r>
      <w:r w:rsidR="00866D45">
        <w:rPr>
          <w:rFonts w:cs="Arial"/>
          <w:szCs w:val="20"/>
        </w:rPr>
        <w:t>,</w:t>
      </w:r>
      <w:r w:rsidR="006F6245">
        <w:rPr>
          <w:rFonts w:cs="Arial"/>
          <w:szCs w:val="20"/>
        </w:rPr>
        <w:t>1</w:t>
      </w:r>
      <w:r w:rsidR="008E4FDC">
        <w:rPr>
          <w:rFonts w:cs="Arial"/>
          <w:szCs w:val="20"/>
        </w:rPr>
        <w:t> % z celku),</w:t>
      </w:r>
      <w:r w:rsidR="00FA7769" w:rsidRPr="00403EDA">
        <w:rPr>
          <w:rFonts w:cs="Arial"/>
          <w:szCs w:val="20"/>
        </w:rPr>
        <w:t> více než desetina ze všech žáků také navštěvovala střední škol</w:t>
      </w:r>
      <w:r w:rsidR="00866D45">
        <w:rPr>
          <w:rFonts w:cs="Arial"/>
          <w:szCs w:val="20"/>
        </w:rPr>
        <w:t xml:space="preserve">y v kraji </w:t>
      </w:r>
      <w:r w:rsidR="00A21419" w:rsidRPr="00A21419">
        <w:rPr>
          <w:rFonts w:cs="Arial"/>
          <w:szCs w:val="20"/>
        </w:rPr>
        <w:t xml:space="preserve">Jihomoravském </w:t>
      </w:r>
      <w:r w:rsidR="00A21419">
        <w:rPr>
          <w:rFonts w:cs="Arial"/>
          <w:szCs w:val="20"/>
        </w:rPr>
        <w:t>(10,8 %) a</w:t>
      </w:r>
      <w:r w:rsidR="00866D45">
        <w:rPr>
          <w:rFonts w:cs="Arial"/>
          <w:szCs w:val="20"/>
        </w:rPr>
        <w:t xml:space="preserve"> </w:t>
      </w:r>
      <w:r w:rsidR="00A21419">
        <w:rPr>
          <w:rFonts w:cs="Arial"/>
          <w:szCs w:val="20"/>
        </w:rPr>
        <w:t xml:space="preserve">Moravskoslezském </w:t>
      </w:r>
      <w:r w:rsidR="00866D45">
        <w:rPr>
          <w:rFonts w:cs="Arial"/>
          <w:szCs w:val="20"/>
        </w:rPr>
        <w:t>(10,</w:t>
      </w:r>
      <w:r w:rsidR="006F6245">
        <w:rPr>
          <w:rFonts w:cs="Arial"/>
          <w:szCs w:val="20"/>
        </w:rPr>
        <w:t>5</w:t>
      </w:r>
      <w:r w:rsidR="00FA7769" w:rsidRPr="00403EDA">
        <w:rPr>
          <w:rFonts w:cs="Arial"/>
          <w:szCs w:val="20"/>
        </w:rPr>
        <w:t> %)</w:t>
      </w:r>
      <w:r w:rsidR="008E4FDC">
        <w:rPr>
          <w:rFonts w:cs="Arial"/>
          <w:szCs w:val="20"/>
        </w:rPr>
        <w:t>,</w:t>
      </w:r>
      <w:r w:rsidR="00866D45">
        <w:rPr>
          <w:rFonts w:cs="Arial"/>
          <w:szCs w:val="20"/>
        </w:rPr>
        <w:t xml:space="preserve"> </w:t>
      </w:r>
      <w:r w:rsidR="00716E7B">
        <w:rPr>
          <w:rFonts w:cs="Arial"/>
          <w:szCs w:val="20"/>
        </w:rPr>
        <w:t>následuje kraj Středočeský (10,2</w:t>
      </w:r>
      <w:r w:rsidR="008E4FDC">
        <w:rPr>
          <w:rFonts w:cs="Arial"/>
          <w:szCs w:val="20"/>
        </w:rPr>
        <w:t xml:space="preserve"> %)</w:t>
      </w:r>
      <w:r w:rsidR="004B7BA2">
        <w:rPr>
          <w:rFonts w:cs="Arial"/>
          <w:szCs w:val="20"/>
        </w:rPr>
        <w:t>. Naopak méně než 4</w:t>
      </w:r>
      <w:r w:rsidR="00FA7769" w:rsidRPr="00403EDA">
        <w:rPr>
          <w:rFonts w:cs="Arial"/>
          <w:szCs w:val="20"/>
        </w:rPr>
        <w:t xml:space="preserve"> % ze všech žáků </w:t>
      </w:r>
      <w:r w:rsidR="004B7BA2">
        <w:rPr>
          <w:rFonts w:cs="Arial"/>
          <w:szCs w:val="20"/>
        </w:rPr>
        <w:t>docházely</w:t>
      </w:r>
      <w:r w:rsidR="002070EA">
        <w:rPr>
          <w:rFonts w:cs="Arial"/>
          <w:szCs w:val="20"/>
        </w:rPr>
        <w:t xml:space="preserve"> do středních škol</w:t>
      </w:r>
      <w:r w:rsidR="00561F02">
        <w:rPr>
          <w:rFonts w:cs="Arial"/>
          <w:szCs w:val="20"/>
        </w:rPr>
        <w:t xml:space="preserve"> v Karlovarském kraji (</w:t>
      </w:r>
      <w:r w:rsidR="00866D45">
        <w:rPr>
          <w:rFonts w:cs="Arial"/>
          <w:szCs w:val="20"/>
        </w:rPr>
        <w:t>2,4 %) a v kraji Libereckém (3,8</w:t>
      </w:r>
      <w:r w:rsidR="00FA7769" w:rsidRPr="00403EDA">
        <w:rPr>
          <w:rFonts w:cs="Arial"/>
          <w:szCs w:val="20"/>
        </w:rPr>
        <w:t> %).</w:t>
      </w:r>
      <w:r w:rsidR="008E4FDC">
        <w:rPr>
          <w:rFonts w:cs="Arial"/>
          <w:szCs w:val="20"/>
        </w:rPr>
        <w:t xml:space="preserve"> V ostatn</w:t>
      </w:r>
      <w:r w:rsidR="00503D96">
        <w:rPr>
          <w:rFonts w:cs="Arial"/>
          <w:szCs w:val="20"/>
        </w:rPr>
        <w:t>ích krajích se vzdělávalo mezi 4,9</w:t>
      </w:r>
      <w:r w:rsidR="00716E7B">
        <w:rPr>
          <w:rFonts w:cs="Arial"/>
          <w:szCs w:val="20"/>
        </w:rPr>
        <w:t xml:space="preserve"> % a 7,</w:t>
      </w:r>
      <w:r w:rsidR="006F6245">
        <w:rPr>
          <w:rFonts w:cs="Arial"/>
          <w:szCs w:val="20"/>
        </w:rPr>
        <w:t>4</w:t>
      </w:r>
      <w:r w:rsidR="00716E7B">
        <w:rPr>
          <w:rFonts w:cs="Arial"/>
          <w:szCs w:val="20"/>
        </w:rPr>
        <w:t> </w:t>
      </w:r>
      <w:r w:rsidR="008E4FDC">
        <w:rPr>
          <w:rFonts w:cs="Arial"/>
          <w:szCs w:val="20"/>
        </w:rPr>
        <w:t>%</w:t>
      </w:r>
      <w:r w:rsidR="002070EA">
        <w:rPr>
          <w:rFonts w:cs="Arial"/>
          <w:szCs w:val="20"/>
        </w:rPr>
        <w:t xml:space="preserve"> z celkového počtu žáků středních škol</w:t>
      </w:r>
      <w:r w:rsidR="008E4FDC">
        <w:rPr>
          <w:rFonts w:cs="Arial"/>
          <w:szCs w:val="20"/>
        </w:rPr>
        <w:t xml:space="preserve"> v </w:t>
      </w:r>
      <w:r w:rsidR="002070EA">
        <w:rPr>
          <w:rFonts w:cs="Arial"/>
          <w:szCs w:val="20"/>
        </w:rPr>
        <w:t>Č</w:t>
      </w:r>
      <w:r w:rsidR="009D558D">
        <w:rPr>
          <w:rFonts w:cs="Arial"/>
          <w:szCs w:val="20"/>
        </w:rPr>
        <w:t>esku</w:t>
      </w:r>
      <w:r w:rsidR="008E4FDC">
        <w:rPr>
          <w:rFonts w:cs="Arial"/>
          <w:szCs w:val="20"/>
        </w:rPr>
        <w:t>.</w:t>
      </w:r>
    </w:p>
    <w:p w14:paraId="20BF3A59" w14:textId="0DFBCC7D" w:rsidR="00FA7769" w:rsidRDefault="00350E9B" w:rsidP="00FA7769">
      <w:pPr>
        <w:keepNext/>
        <w:spacing w:after="120" w:line="240" w:lineRule="auto"/>
        <w:jc w:val="both"/>
        <w:rPr>
          <w:b/>
        </w:rPr>
      </w:pPr>
      <w:r w:rsidRPr="00350E9B">
        <w:rPr>
          <w:b/>
        </w:rPr>
        <w:t xml:space="preserve">Graf 3.3 Střední školy – počet a podíl žáků dle sídla školy </w:t>
      </w:r>
      <w:r w:rsidR="007F5DA5">
        <w:rPr>
          <w:b/>
        </w:rPr>
        <w:t xml:space="preserve">ve školním roce </w:t>
      </w:r>
      <w:r w:rsidRPr="00350E9B">
        <w:rPr>
          <w:b/>
        </w:rPr>
        <w:t>202</w:t>
      </w:r>
      <w:r w:rsidR="006F6245">
        <w:rPr>
          <w:b/>
        </w:rPr>
        <w:t>5</w:t>
      </w:r>
      <w:r w:rsidRPr="00350E9B">
        <w:rPr>
          <w:b/>
        </w:rPr>
        <w:t>/2</w:t>
      </w:r>
      <w:r w:rsidR="006F6245">
        <w:rPr>
          <w:b/>
        </w:rPr>
        <w:t>6</w:t>
      </w:r>
    </w:p>
    <w:p w14:paraId="632E2300" w14:textId="6EECA52E" w:rsidR="00FA7769" w:rsidRPr="001130E6" w:rsidRDefault="006F6245" w:rsidP="001130E6">
      <w:pPr>
        <w:keepNext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0789C356" wp14:editId="461FDA89">
            <wp:extent cx="6038850" cy="3257550"/>
            <wp:effectExtent l="0" t="0" r="0" b="0"/>
            <wp:docPr id="573221806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C019974" w14:textId="29BE7649" w:rsidR="00D1342D" w:rsidRDefault="00D1342D" w:rsidP="00A9014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Lze si všimnout, že na rozdíl od žáků základních škol stojí zřetelněji v popředí kraj Praha a Středočeský kraj je až na čtvrtém místě v pořadí. </w:t>
      </w:r>
      <w:r w:rsidR="006F6245">
        <w:rPr>
          <w:rFonts w:cs="Arial"/>
          <w:szCs w:val="20"/>
        </w:rPr>
        <w:t>Je však pravděpodobné</w:t>
      </w:r>
      <w:r>
        <w:rPr>
          <w:rFonts w:cs="Arial"/>
          <w:szCs w:val="20"/>
        </w:rPr>
        <w:t xml:space="preserve">, že řada středočeských žáků dojíždí za středoškolským vzděláním do Prahy. </w:t>
      </w:r>
    </w:p>
    <w:p w14:paraId="6468EAE7" w14:textId="583A6CC7" w:rsidR="0039216A" w:rsidRPr="00A90149" w:rsidRDefault="0039216A" w:rsidP="00A90149">
      <w:pPr>
        <w:spacing w:after="120"/>
        <w:jc w:val="both"/>
        <w:rPr>
          <w:rFonts w:cs="Arial"/>
          <w:szCs w:val="20"/>
        </w:rPr>
      </w:pPr>
      <w:r w:rsidRPr="00A90149">
        <w:rPr>
          <w:rFonts w:cs="Arial"/>
          <w:szCs w:val="20"/>
        </w:rPr>
        <w:lastRenderedPageBreak/>
        <w:t xml:space="preserve">Jelikož střední školy </w:t>
      </w:r>
      <w:r w:rsidR="00D02673">
        <w:rPr>
          <w:rFonts w:cs="Arial"/>
          <w:szCs w:val="20"/>
        </w:rPr>
        <w:t xml:space="preserve">(konkrétně nižší ročníky víceletých gymnázií) </w:t>
      </w:r>
      <w:r w:rsidRPr="00A90149">
        <w:rPr>
          <w:rFonts w:cs="Arial"/>
          <w:szCs w:val="20"/>
        </w:rPr>
        <w:t xml:space="preserve">navštěvují také žáci v povinné školní docházce, týká se i jich možnost plnit si ji formou individuální výuky či v zahraničí či v zahraniční škole. Jedná se však spíše o okrajovou záležitost. </w:t>
      </w:r>
      <w:r w:rsidR="00A90149" w:rsidRPr="00A90149">
        <w:rPr>
          <w:rFonts w:cs="Arial"/>
          <w:b/>
          <w:szCs w:val="20"/>
        </w:rPr>
        <w:t>V zahraničí či v zahraniční škole</w:t>
      </w:r>
      <w:r w:rsidR="00830ED0">
        <w:rPr>
          <w:rFonts w:cs="Arial"/>
          <w:szCs w:val="20"/>
        </w:rPr>
        <w:t xml:space="preserve"> si ve školním roce 202</w:t>
      </w:r>
      <w:r w:rsidR="00185EC0">
        <w:rPr>
          <w:rFonts w:cs="Arial"/>
          <w:szCs w:val="20"/>
        </w:rPr>
        <w:t>5</w:t>
      </w:r>
      <w:r w:rsidR="00830ED0">
        <w:rPr>
          <w:rFonts w:cs="Arial"/>
          <w:szCs w:val="20"/>
        </w:rPr>
        <w:t>/2</w:t>
      </w:r>
      <w:r w:rsidR="00185EC0">
        <w:rPr>
          <w:rFonts w:cs="Arial"/>
          <w:szCs w:val="20"/>
        </w:rPr>
        <w:t>6</w:t>
      </w:r>
      <w:r w:rsidR="00A90149" w:rsidRPr="00A90149">
        <w:rPr>
          <w:rFonts w:cs="Arial"/>
          <w:szCs w:val="20"/>
        </w:rPr>
        <w:t xml:space="preserve"> </w:t>
      </w:r>
      <w:r w:rsidR="00A90149" w:rsidRPr="00830ED0">
        <w:rPr>
          <w:rFonts w:cs="Arial"/>
          <w:szCs w:val="20"/>
        </w:rPr>
        <w:t>pl</w:t>
      </w:r>
      <w:r w:rsidR="00866D45" w:rsidRPr="00830ED0">
        <w:rPr>
          <w:rFonts w:cs="Arial"/>
          <w:szCs w:val="20"/>
        </w:rPr>
        <w:t xml:space="preserve">nilo povinnou školní docházku </w:t>
      </w:r>
      <w:r w:rsidR="00830ED0" w:rsidRPr="00830ED0">
        <w:rPr>
          <w:rFonts w:cs="Arial"/>
          <w:szCs w:val="20"/>
        </w:rPr>
        <w:t>6</w:t>
      </w:r>
      <w:r w:rsidR="00185EC0">
        <w:rPr>
          <w:rFonts w:cs="Arial"/>
          <w:szCs w:val="20"/>
        </w:rPr>
        <w:t>4</w:t>
      </w:r>
      <w:r w:rsidR="00A90149" w:rsidRPr="00830ED0">
        <w:rPr>
          <w:rFonts w:cs="Arial"/>
          <w:szCs w:val="20"/>
        </w:rPr>
        <w:t xml:space="preserve"> žáků nižší</w:t>
      </w:r>
      <w:r w:rsidR="00866D45" w:rsidRPr="00830ED0">
        <w:rPr>
          <w:rFonts w:cs="Arial"/>
          <w:szCs w:val="20"/>
        </w:rPr>
        <w:t>ch ročníků gymnázií,</w:t>
      </w:r>
      <w:r w:rsidR="00830ED0" w:rsidRPr="00830ED0">
        <w:rPr>
          <w:rFonts w:cs="Arial"/>
          <w:szCs w:val="20"/>
        </w:rPr>
        <w:t xml:space="preserve"> z toho </w:t>
      </w:r>
      <w:r w:rsidR="00185EC0">
        <w:rPr>
          <w:rFonts w:cs="Arial"/>
          <w:szCs w:val="20"/>
        </w:rPr>
        <w:t>28</w:t>
      </w:r>
      <w:r w:rsidR="00A90149" w:rsidRPr="00830ED0">
        <w:rPr>
          <w:rFonts w:cs="Arial"/>
          <w:szCs w:val="20"/>
        </w:rPr>
        <w:t xml:space="preserve"> jich bylo z pražských gymnázií. </w:t>
      </w:r>
      <w:r w:rsidR="00A90149" w:rsidRPr="00830ED0">
        <w:rPr>
          <w:rFonts w:cs="Arial"/>
          <w:b/>
          <w:szCs w:val="20"/>
        </w:rPr>
        <w:t>Individuální vzdělávání</w:t>
      </w:r>
      <w:r w:rsidR="00830ED0" w:rsidRPr="00830ED0">
        <w:rPr>
          <w:rFonts w:cs="Arial"/>
          <w:szCs w:val="20"/>
        </w:rPr>
        <w:t xml:space="preserve"> se ve středních školách týkalo </w:t>
      </w:r>
      <w:r w:rsidR="00185EC0">
        <w:rPr>
          <w:rFonts w:cs="Arial"/>
          <w:szCs w:val="20"/>
        </w:rPr>
        <w:t>jen jednoho</w:t>
      </w:r>
      <w:r w:rsidR="00830ED0" w:rsidRPr="00830ED0">
        <w:rPr>
          <w:rFonts w:cs="Arial"/>
          <w:szCs w:val="20"/>
        </w:rPr>
        <w:t xml:space="preserve"> žáka</w:t>
      </w:r>
      <w:r w:rsidR="00185EC0">
        <w:rPr>
          <w:rFonts w:cs="Arial"/>
          <w:szCs w:val="20"/>
        </w:rPr>
        <w:t xml:space="preserve"> z Ústeckého kraje</w:t>
      </w:r>
      <w:r w:rsidR="00A90149" w:rsidRPr="00830ED0">
        <w:rPr>
          <w:rFonts w:cs="Arial"/>
          <w:szCs w:val="20"/>
        </w:rPr>
        <w:t>.</w:t>
      </w:r>
    </w:p>
    <w:p w14:paraId="2808922F" w14:textId="77777777" w:rsidR="0039216A" w:rsidRPr="00B410D9" w:rsidRDefault="0039216A" w:rsidP="007431D5">
      <w:pPr>
        <w:spacing w:after="120" w:line="276" w:lineRule="auto"/>
        <w:rPr>
          <w:rFonts w:cs="Arial"/>
          <w:sz w:val="18"/>
        </w:rPr>
      </w:pPr>
    </w:p>
    <w:p w14:paraId="6BDCEEFC" w14:textId="77777777" w:rsidR="00FA7769" w:rsidRPr="00AE5878" w:rsidRDefault="00FA7769" w:rsidP="00386026">
      <w:pPr>
        <w:pStyle w:val="Nadpis2"/>
        <w:rPr>
          <w:color w:val="CC9610"/>
        </w:rPr>
      </w:pPr>
      <w:bookmarkStart w:id="4" w:name="_Toc199232056"/>
      <w:r w:rsidRPr="00AE5878">
        <w:rPr>
          <w:color w:val="CC9610"/>
        </w:rPr>
        <w:t xml:space="preserve">3.2 </w:t>
      </w:r>
      <w:r w:rsidR="00D7485A" w:rsidRPr="00AE5878">
        <w:rPr>
          <w:color w:val="CC9610"/>
        </w:rPr>
        <w:t>Žáci s</w:t>
      </w:r>
      <w:r w:rsidRPr="00AE5878">
        <w:rPr>
          <w:color w:val="CC9610"/>
        </w:rPr>
        <w:t>třední</w:t>
      </w:r>
      <w:r w:rsidR="00D7485A" w:rsidRPr="00AE5878">
        <w:rPr>
          <w:color w:val="CC9610"/>
        </w:rPr>
        <w:t>ch škol</w:t>
      </w:r>
      <w:r w:rsidRPr="00AE5878">
        <w:rPr>
          <w:color w:val="CC9610"/>
        </w:rPr>
        <w:t xml:space="preserve"> dle druhů a oborů vzdělávání</w:t>
      </w:r>
      <w:bookmarkEnd w:id="4"/>
    </w:p>
    <w:p w14:paraId="15C9388E" w14:textId="77777777" w:rsidR="00FA7769" w:rsidRPr="00B31202" w:rsidRDefault="00FA7769" w:rsidP="00161404">
      <w:pPr>
        <w:spacing w:before="120" w:after="120"/>
        <w:jc w:val="both"/>
        <w:rPr>
          <w:rFonts w:cs="Arial"/>
          <w:bCs/>
          <w:szCs w:val="20"/>
        </w:rPr>
      </w:pPr>
      <w:r w:rsidRPr="00B31202">
        <w:rPr>
          <w:rFonts w:cs="Arial"/>
          <w:bCs/>
          <w:szCs w:val="20"/>
        </w:rPr>
        <w:t xml:space="preserve">Střední vzdělání se dělí na několik druhů. </w:t>
      </w:r>
      <w:r w:rsidRPr="00B31202">
        <w:rPr>
          <w:rFonts w:cs="Arial"/>
          <w:b/>
          <w:bCs/>
          <w:szCs w:val="20"/>
        </w:rPr>
        <w:t>Střední vzdělávání</w:t>
      </w:r>
      <w:r w:rsidRPr="00B31202">
        <w:rPr>
          <w:rFonts w:cs="Arial"/>
          <w:bCs/>
          <w:szCs w:val="20"/>
        </w:rPr>
        <w:t xml:space="preserve"> označuje (v denní formě) dvouleté vzdělávací programy ukončené závěrečnou zkouškou (bez získání výučního listu či maturitního vysvědčení). </w:t>
      </w:r>
      <w:r w:rsidRPr="00B31202">
        <w:rPr>
          <w:rFonts w:cs="Arial"/>
          <w:b/>
          <w:bCs/>
          <w:szCs w:val="20"/>
        </w:rPr>
        <w:t>Střední vzdělávání s výučním listem</w:t>
      </w:r>
      <w:r w:rsidRPr="00B31202">
        <w:rPr>
          <w:rFonts w:cs="Arial"/>
          <w:bCs/>
          <w:szCs w:val="20"/>
        </w:rPr>
        <w:t xml:space="preserve"> zahrnuje (v denní formě) dvouleté nebo tříleté vzdělávací programy, jejichž úspěšným ukončením absolvent získává výuční list. </w:t>
      </w:r>
      <w:r w:rsidRPr="00B31202">
        <w:rPr>
          <w:rFonts w:cs="Arial"/>
          <w:b/>
          <w:bCs/>
          <w:szCs w:val="20"/>
        </w:rPr>
        <w:t>Středním vzděláváním s maturitní zkouškou</w:t>
      </w:r>
      <w:r w:rsidRPr="00B31202">
        <w:rPr>
          <w:rFonts w:cs="Arial"/>
          <w:bCs/>
          <w:szCs w:val="20"/>
        </w:rPr>
        <w:t xml:space="preserve"> jsou označovány maturitní obory, ve kterých absolvent získává maturitní vysvědčení. Toto vzdělávání je realizováno ve dvou variantách. </w:t>
      </w:r>
      <w:r w:rsidRPr="00B31202">
        <w:rPr>
          <w:rFonts w:cs="Arial"/>
          <w:b/>
          <w:bCs/>
          <w:i/>
          <w:szCs w:val="20"/>
        </w:rPr>
        <w:t>Všeobecné</w:t>
      </w:r>
      <w:r w:rsidRPr="00B31202">
        <w:rPr>
          <w:rFonts w:cs="Arial"/>
          <w:bCs/>
          <w:szCs w:val="20"/>
        </w:rPr>
        <w:t xml:space="preserve"> vzdělávání s maturitní zkouškou má neprofesní charakter vzdělávání a je určeno pro přípravu na další studium. Jedná se zpravidla o obory gymnázií. V současné době mají obory gymnázií dvojí podobu, a sice čtyřletou, do které odcházejí absolventi základních škol po úspěšném dokončení 9. ročníku, a víceletou (osmiletou a šestiletou) pro žáky z nižších ročníků základních škol (z 5., resp. 7. ročníku). Oproti tomu </w:t>
      </w:r>
      <w:r w:rsidRPr="00B31202">
        <w:rPr>
          <w:rFonts w:cs="Arial"/>
          <w:b/>
          <w:bCs/>
          <w:i/>
          <w:szCs w:val="20"/>
        </w:rPr>
        <w:t>odborné</w:t>
      </w:r>
      <w:r w:rsidRPr="00B31202">
        <w:rPr>
          <w:rFonts w:cs="Arial"/>
          <w:bCs/>
          <w:szCs w:val="20"/>
        </w:rPr>
        <w:t xml:space="preserve"> vzdělávání s maturitní zkouškou má profesní charakter vzdělávání, je v délce čtyř let a ukončené maturitní zkouškou. Do středního vzdělávání dále zahrnujeme </w:t>
      </w:r>
      <w:r w:rsidRPr="00B31202">
        <w:rPr>
          <w:rFonts w:cs="Arial"/>
          <w:b/>
          <w:bCs/>
          <w:szCs w:val="20"/>
        </w:rPr>
        <w:t>nástavbové studium</w:t>
      </w:r>
      <w:r w:rsidRPr="00B31202">
        <w:rPr>
          <w:rFonts w:cs="Arial"/>
          <w:bCs/>
          <w:szCs w:val="20"/>
        </w:rPr>
        <w:t>, které trvá v denní formě dva roky a je zakončené maturitní zkouškou. Je určeno pro uchazeče, kteří získali střední vzdělání s výučním listem v délce tří let denní formy vzdělávání v oboru příbuzném tomu, v jakém chtějí složit maturitní zkoušku</w:t>
      </w:r>
      <w:r w:rsidRPr="00B31202">
        <w:rPr>
          <w:bCs/>
          <w:szCs w:val="20"/>
        </w:rPr>
        <w:t>.</w:t>
      </w:r>
    </w:p>
    <w:p w14:paraId="638B4E90" w14:textId="77777777" w:rsidR="00FA7769" w:rsidRPr="00B31202" w:rsidRDefault="00FA7769" w:rsidP="00FA7769">
      <w:pPr>
        <w:pStyle w:val="Zkladntextodsazen"/>
        <w:widowControl/>
        <w:tabs>
          <w:tab w:val="left" w:pos="540"/>
        </w:tabs>
        <w:spacing w:before="0" w:after="120" w:line="288" w:lineRule="auto"/>
        <w:ind w:firstLine="0"/>
        <w:rPr>
          <w:bCs/>
          <w:szCs w:val="20"/>
        </w:rPr>
      </w:pPr>
      <w:r w:rsidRPr="00B31202">
        <w:rPr>
          <w:bCs/>
          <w:szCs w:val="20"/>
        </w:rPr>
        <w:t xml:space="preserve">Kromě výše uvedeného spadá do středního vzdělávání též </w:t>
      </w:r>
      <w:r w:rsidRPr="00B31202">
        <w:rPr>
          <w:b/>
          <w:bCs/>
          <w:szCs w:val="20"/>
        </w:rPr>
        <w:t>zkrácené studium pro získání středního vzdělání s výučním listem</w:t>
      </w:r>
      <w:r w:rsidRPr="00B31202">
        <w:rPr>
          <w:bCs/>
          <w:szCs w:val="20"/>
        </w:rPr>
        <w:t xml:space="preserve">. Toto studium, které v denní formě trvá jeden až dva roky, je určeno pro uchazeče, kteří získali střední vzdělání s maturitní zkouškou nebo střední vzdělání s výučním listem v jiném oboru vzdělání. Obdobně je pak žákům k dispozici </w:t>
      </w:r>
      <w:r w:rsidRPr="00B31202">
        <w:rPr>
          <w:b/>
          <w:bCs/>
          <w:szCs w:val="20"/>
        </w:rPr>
        <w:t>zkrácené studium pro získání středního vzdělání s maturitní zkouškou</w:t>
      </w:r>
      <w:r w:rsidRPr="00B31202">
        <w:rPr>
          <w:bCs/>
          <w:szCs w:val="20"/>
        </w:rPr>
        <w:t>, které v denní formě trvá taktéž jeden až dva roky a je určené uchazečům, kteří získali střední vzdělání s maturitní zkouškou v jiném oboru. Pokud není uvedené jinak, započítáváme v této analýze i v tabulkách žáky zkráceného studia do celkového počtu žáků určitého druhu vzdělávání.</w:t>
      </w:r>
    </w:p>
    <w:p w14:paraId="7251E63E" w14:textId="0A28B492" w:rsidR="0075333A" w:rsidRDefault="00FA7769" w:rsidP="00FA7769">
      <w:pPr>
        <w:spacing w:after="120"/>
        <w:jc w:val="both"/>
        <w:rPr>
          <w:rFonts w:cs="Arial"/>
          <w:bCs/>
          <w:szCs w:val="20"/>
        </w:rPr>
      </w:pPr>
      <w:r w:rsidRPr="002A6DB2">
        <w:rPr>
          <w:rFonts w:cs="Arial"/>
          <w:b/>
          <w:bCs/>
          <w:szCs w:val="20"/>
        </w:rPr>
        <w:t>Z celkového počtu</w:t>
      </w:r>
      <w:r w:rsidRPr="002A6DB2">
        <w:rPr>
          <w:rFonts w:cs="Arial"/>
          <w:bCs/>
          <w:szCs w:val="20"/>
        </w:rPr>
        <w:t xml:space="preserve"> </w:t>
      </w:r>
      <w:r w:rsidR="000F3289" w:rsidRPr="002A6DB2">
        <w:rPr>
          <w:b/>
        </w:rPr>
        <w:t>1 3</w:t>
      </w:r>
      <w:r w:rsidR="006A5E34" w:rsidRPr="002A6DB2">
        <w:rPr>
          <w:b/>
        </w:rPr>
        <w:t>28</w:t>
      </w:r>
      <w:r w:rsidRPr="002A6DB2">
        <w:rPr>
          <w:b/>
        </w:rPr>
        <w:t xml:space="preserve"> škol</w:t>
      </w:r>
      <w:r w:rsidRPr="002A6DB2">
        <w:rPr>
          <w:rFonts w:cs="Arial"/>
          <w:bCs/>
          <w:szCs w:val="20"/>
        </w:rPr>
        <w:t xml:space="preserve"> jich </w:t>
      </w:r>
      <w:r w:rsidR="00067D57" w:rsidRPr="002A6DB2">
        <w:rPr>
          <w:rFonts w:cs="Arial"/>
          <w:bCs/>
          <w:szCs w:val="20"/>
        </w:rPr>
        <w:t xml:space="preserve">ve </w:t>
      </w:r>
      <w:r w:rsidR="000F3289" w:rsidRPr="002A6DB2">
        <w:rPr>
          <w:rFonts w:cs="Arial"/>
          <w:bCs/>
          <w:szCs w:val="20"/>
        </w:rPr>
        <w:t>školním roce 202</w:t>
      </w:r>
      <w:r w:rsidR="006A5E34" w:rsidRPr="002A6DB2">
        <w:rPr>
          <w:rFonts w:cs="Arial"/>
          <w:bCs/>
          <w:szCs w:val="20"/>
        </w:rPr>
        <w:t>5</w:t>
      </w:r>
      <w:r w:rsidR="000F3289" w:rsidRPr="002A6DB2">
        <w:rPr>
          <w:rFonts w:cs="Arial"/>
          <w:bCs/>
          <w:szCs w:val="20"/>
        </w:rPr>
        <w:t>/2</w:t>
      </w:r>
      <w:r w:rsidR="006A5E34" w:rsidRPr="002A6DB2">
        <w:rPr>
          <w:rFonts w:cs="Arial"/>
          <w:bCs/>
          <w:szCs w:val="20"/>
        </w:rPr>
        <w:t>6</w:t>
      </w:r>
      <w:r w:rsidR="00E35689" w:rsidRPr="002A6DB2">
        <w:rPr>
          <w:rFonts w:cs="Arial"/>
          <w:bCs/>
          <w:szCs w:val="20"/>
        </w:rPr>
        <w:t xml:space="preserve"> </w:t>
      </w:r>
      <w:r w:rsidRPr="002A6DB2">
        <w:rPr>
          <w:rFonts w:cs="Arial"/>
          <w:bCs/>
          <w:szCs w:val="20"/>
        </w:rPr>
        <w:t>celkem</w:t>
      </w:r>
      <w:r w:rsidR="00E35689" w:rsidRPr="002A6DB2">
        <w:rPr>
          <w:rFonts w:cs="Arial"/>
          <w:bCs/>
          <w:szCs w:val="20"/>
        </w:rPr>
        <w:t xml:space="preserve"> </w:t>
      </w:r>
      <w:r w:rsidR="006A5E34" w:rsidRPr="002A6DB2">
        <w:rPr>
          <w:rFonts w:cs="Arial"/>
          <w:bCs/>
          <w:szCs w:val="20"/>
        </w:rPr>
        <w:t>1 010</w:t>
      </w:r>
      <w:r w:rsidR="00E35689" w:rsidRPr="002A6DB2">
        <w:rPr>
          <w:rFonts w:cs="Arial"/>
          <w:bCs/>
          <w:szCs w:val="20"/>
        </w:rPr>
        <w:t xml:space="preserve"> nabízelo žákům </w:t>
      </w:r>
      <w:r w:rsidR="00E35689" w:rsidRPr="002A6DB2">
        <w:rPr>
          <w:rFonts w:cs="Arial"/>
          <w:b/>
          <w:bCs/>
          <w:i/>
          <w:szCs w:val="20"/>
        </w:rPr>
        <w:t>odborné</w:t>
      </w:r>
      <w:r w:rsidR="00E35689" w:rsidRPr="002A6DB2">
        <w:rPr>
          <w:rFonts w:cs="Arial"/>
          <w:b/>
          <w:bCs/>
          <w:szCs w:val="20"/>
        </w:rPr>
        <w:t xml:space="preserve"> </w:t>
      </w:r>
      <w:r w:rsidR="00E35689" w:rsidRPr="002A6DB2">
        <w:rPr>
          <w:rFonts w:cs="Arial"/>
          <w:bCs/>
          <w:szCs w:val="20"/>
        </w:rPr>
        <w:t xml:space="preserve">vzdělávání </w:t>
      </w:r>
      <w:r w:rsidR="00507289" w:rsidRPr="002A6DB2">
        <w:rPr>
          <w:rFonts w:cs="Arial"/>
          <w:bCs/>
          <w:szCs w:val="20"/>
        </w:rPr>
        <w:t>(bez nástavbového studia):</w:t>
      </w:r>
      <w:r w:rsidR="000F3289" w:rsidRPr="002A6DB2">
        <w:rPr>
          <w:rFonts w:cs="Arial"/>
          <w:bCs/>
          <w:szCs w:val="20"/>
        </w:rPr>
        <w:t xml:space="preserve"> 148</w:t>
      </w:r>
      <w:r w:rsidR="00E35689" w:rsidRPr="002A6DB2">
        <w:rPr>
          <w:rFonts w:cs="Arial"/>
          <w:bCs/>
          <w:szCs w:val="20"/>
        </w:rPr>
        <w:t xml:space="preserve"> střední vzdělávání bez výučního listu a bez maturitní zkoušky, </w:t>
      </w:r>
      <w:r w:rsidR="000F3289" w:rsidRPr="002A6DB2">
        <w:rPr>
          <w:rFonts w:cs="Arial"/>
          <w:bCs/>
          <w:szCs w:val="20"/>
        </w:rPr>
        <w:t>501</w:t>
      </w:r>
      <w:r w:rsidR="00E35689" w:rsidRPr="002A6DB2">
        <w:rPr>
          <w:rFonts w:cs="Arial"/>
          <w:bCs/>
          <w:szCs w:val="20"/>
        </w:rPr>
        <w:t xml:space="preserve"> střed</w:t>
      </w:r>
      <w:r w:rsidR="00B64FC3" w:rsidRPr="002A6DB2">
        <w:rPr>
          <w:rFonts w:cs="Arial"/>
          <w:bCs/>
          <w:szCs w:val="20"/>
        </w:rPr>
        <w:t xml:space="preserve">ní </w:t>
      </w:r>
      <w:r w:rsidR="007E60A6" w:rsidRPr="002A6DB2">
        <w:rPr>
          <w:rFonts w:cs="Arial"/>
          <w:bCs/>
          <w:szCs w:val="20"/>
        </w:rPr>
        <w:t xml:space="preserve">odborné </w:t>
      </w:r>
      <w:r w:rsidR="006C40B8" w:rsidRPr="002A6DB2">
        <w:rPr>
          <w:rFonts w:cs="Arial"/>
          <w:bCs/>
          <w:szCs w:val="20"/>
        </w:rPr>
        <w:t>vzdělávání</w:t>
      </w:r>
      <w:r w:rsidR="006C40B8" w:rsidRPr="000F3289">
        <w:rPr>
          <w:rFonts w:cs="Arial"/>
          <w:bCs/>
          <w:szCs w:val="20"/>
        </w:rPr>
        <w:t xml:space="preserve"> s výučním listem</w:t>
      </w:r>
      <w:r w:rsidR="00E35689" w:rsidRPr="00507289">
        <w:rPr>
          <w:rFonts w:cs="Arial"/>
          <w:bCs/>
          <w:szCs w:val="20"/>
        </w:rPr>
        <w:t>,</w:t>
      </w:r>
      <w:r w:rsidR="000F3289">
        <w:rPr>
          <w:rFonts w:cs="Arial"/>
          <w:bCs/>
          <w:szCs w:val="20"/>
        </w:rPr>
        <w:t xml:space="preserve"> </w:t>
      </w:r>
      <w:r w:rsidR="006A5E34">
        <w:rPr>
          <w:rFonts w:cs="Arial"/>
          <w:bCs/>
          <w:szCs w:val="20"/>
        </w:rPr>
        <w:t>804</w:t>
      </w:r>
      <w:r w:rsidR="00E35689" w:rsidRPr="00507289">
        <w:rPr>
          <w:rFonts w:cs="Arial"/>
          <w:bCs/>
          <w:szCs w:val="20"/>
        </w:rPr>
        <w:t xml:space="preserve"> střední </w:t>
      </w:r>
      <w:r w:rsidR="007E60A6" w:rsidRPr="00507289">
        <w:rPr>
          <w:rFonts w:cs="Arial"/>
          <w:bCs/>
          <w:szCs w:val="20"/>
        </w:rPr>
        <w:t xml:space="preserve">odborné </w:t>
      </w:r>
      <w:r w:rsidR="00E35689" w:rsidRPr="00507289">
        <w:rPr>
          <w:rFonts w:cs="Arial"/>
          <w:bCs/>
          <w:szCs w:val="20"/>
        </w:rPr>
        <w:t>vzdělávání s maturitní zkouškou</w:t>
      </w:r>
      <w:r w:rsidR="006C40B8" w:rsidRPr="00507289">
        <w:rPr>
          <w:rFonts w:cs="Arial"/>
          <w:bCs/>
          <w:szCs w:val="20"/>
        </w:rPr>
        <w:t xml:space="preserve">. Celkem </w:t>
      </w:r>
      <w:r w:rsidR="000F3289">
        <w:rPr>
          <w:rFonts w:cs="Arial"/>
          <w:bCs/>
          <w:szCs w:val="20"/>
        </w:rPr>
        <w:t>24</w:t>
      </w:r>
      <w:r w:rsidR="002A6DB2">
        <w:rPr>
          <w:rFonts w:cs="Arial"/>
          <w:bCs/>
          <w:szCs w:val="20"/>
        </w:rPr>
        <w:t>4</w:t>
      </w:r>
      <w:r w:rsidR="00E35689" w:rsidRPr="00B457F9">
        <w:rPr>
          <w:rFonts w:cs="Arial"/>
          <w:bCs/>
          <w:szCs w:val="20"/>
        </w:rPr>
        <w:t xml:space="preserve"> škol</w:t>
      </w:r>
      <w:r w:rsidR="00E35689">
        <w:rPr>
          <w:rFonts w:cs="Arial"/>
          <w:bCs/>
          <w:szCs w:val="20"/>
        </w:rPr>
        <w:t xml:space="preserve"> nabízelo </w:t>
      </w:r>
      <w:r w:rsidR="00E35689" w:rsidRPr="0075333A">
        <w:rPr>
          <w:rFonts w:cs="Arial"/>
          <w:b/>
          <w:bCs/>
          <w:i/>
          <w:szCs w:val="20"/>
        </w:rPr>
        <w:t>nástavbové</w:t>
      </w:r>
      <w:r w:rsidR="00E35689">
        <w:rPr>
          <w:rFonts w:cs="Arial"/>
          <w:bCs/>
          <w:szCs w:val="20"/>
        </w:rPr>
        <w:t xml:space="preserve"> </w:t>
      </w:r>
      <w:r w:rsidR="000F3289">
        <w:rPr>
          <w:rFonts w:cs="Arial"/>
          <w:bCs/>
          <w:szCs w:val="20"/>
        </w:rPr>
        <w:t xml:space="preserve">studium a </w:t>
      </w:r>
      <w:r w:rsidR="002A6DB2">
        <w:rPr>
          <w:rFonts w:cs="Arial"/>
          <w:bCs/>
          <w:szCs w:val="20"/>
        </w:rPr>
        <w:t>404</w:t>
      </w:r>
      <w:r w:rsidR="00E35689" w:rsidRPr="00E35689">
        <w:rPr>
          <w:rFonts w:cs="Arial"/>
          <w:bCs/>
          <w:szCs w:val="20"/>
        </w:rPr>
        <w:t xml:space="preserve"> </w:t>
      </w:r>
      <w:r w:rsidR="00E35689" w:rsidRPr="0075333A">
        <w:rPr>
          <w:rFonts w:cs="Arial"/>
          <w:b/>
          <w:bCs/>
          <w:i/>
          <w:szCs w:val="20"/>
        </w:rPr>
        <w:t>všeobecné</w:t>
      </w:r>
      <w:r w:rsidR="00E35689">
        <w:rPr>
          <w:rFonts w:cs="Arial"/>
          <w:bCs/>
          <w:szCs w:val="20"/>
        </w:rPr>
        <w:t xml:space="preserve"> vzdělávání na gymnáziích</w:t>
      </w:r>
      <w:r w:rsidR="00E35689" w:rsidRPr="00B31202">
        <w:rPr>
          <w:rFonts w:cs="Arial"/>
          <w:bCs/>
          <w:szCs w:val="20"/>
        </w:rPr>
        <w:t>.</w:t>
      </w:r>
      <w:r w:rsidR="0055553C">
        <w:rPr>
          <w:rFonts w:cs="Arial"/>
          <w:bCs/>
          <w:szCs w:val="20"/>
        </w:rPr>
        <w:t xml:space="preserve"> Řada škol tak nabízela více druhů vzdělávání.</w:t>
      </w:r>
    </w:p>
    <w:p w14:paraId="4AFAC2FF" w14:textId="13FA083C" w:rsidR="00FA7769" w:rsidRPr="000F3289" w:rsidRDefault="00AD43A0" w:rsidP="00FA7769">
      <w:pPr>
        <w:spacing w:after="120"/>
        <w:jc w:val="both"/>
        <w:rPr>
          <w:rFonts w:cs="Arial"/>
          <w:bCs/>
          <w:szCs w:val="20"/>
        </w:rPr>
      </w:pPr>
      <w:r w:rsidRPr="000F3289">
        <w:rPr>
          <w:rFonts w:cs="Arial"/>
          <w:bCs/>
          <w:szCs w:val="20"/>
        </w:rPr>
        <w:t>V jiném pohledu lze říci,</w:t>
      </w:r>
      <w:r>
        <w:rPr>
          <w:rFonts w:cs="Arial"/>
          <w:bCs/>
          <w:szCs w:val="20"/>
        </w:rPr>
        <w:t xml:space="preserve"> že p</w:t>
      </w:r>
      <w:r w:rsidR="00E35689">
        <w:rPr>
          <w:rFonts w:cs="Arial"/>
          <w:bCs/>
          <w:szCs w:val="20"/>
        </w:rPr>
        <w:t xml:space="preserve">očet škol nabízejících střední </w:t>
      </w:r>
      <w:r w:rsidR="007E60A6">
        <w:rPr>
          <w:rFonts w:cs="Arial"/>
          <w:bCs/>
          <w:szCs w:val="20"/>
        </w:rPr>
        <w:t xml:space="preserve">odborné </w:t>
      </w:r>
      <w:r w:rsidR="00E35689">
        <w:rPr>
          <w:rFonts w:cs="Arial"/>
          <w:bCs/>
          <w:szCs w:val="20"/>
        </w:rPr>
        <w:t xml:space="preserve">vzdělávání </w:t>
      </w:r>
      <w:r w:rsidR="0075333A">
        <w:rPr>
          <w:rFonts w:cs="Arial"/>
          <w:bCs/>
          <w:szCs w:val="20"/>
        </w:rPr>
        <w:t xml:space="preserve">s výučním listem čítal </w:t>
      </w:r>
      <w:r>
        <w:rPr>
          <w:rFonts w:cs="Arial"/>
          <w:bCs/>
          <w:szCs w:val="20"/>
        </w:rPr>
        <w:t>dohromady</w:t>
      </w:r>
      <w:r w:rsidR="0075333A">
        <w:rPr>
          <w:rFonts w:cs="Arial"/>
          <w:bCs/>
          <w:szCs w:val="20"/>
        </w:rPr>
        <w:t xml:space="preserve"> </w:t>
      </w:r>
      <w:r w:rsidR="000F3289">
        <w:rPr>
          <w:rFonts w:cs="Arial"/>
          <w:bCs/>
          <w:szCs w:val="20"/>
        </w:rPr>
        <w:t>501</w:t>
      </w:r>
      <w:r w:rsidR="0075333A">
        <w:rPr>
          <w:rFonts w:cs="Arial"/>
          <w:bCs/>
          <w:szCs w:val="20"/>
        </w:rPr>
        <w:t xml:space="preserve"> škol a počet škol se vzděláváním vedoucím k </w:t>
      </w:r>
      <w:r w:rsidR="00E35689" w:rsidRPr="0075333A">
        <w:rPr>
          <w:rFonts w:cs="Arial"/>
          <w:b/>
          <w:bCs/>
          <w:szCs w:val="20"/>
        </w:rPr>
        <w:t xml:space="preserve">maturitní </w:t>
      </w:r>
      <w:r w:rsidR="0075333A">
        <w:rPr>
          <w:rFonts w:cs="Arial"/>
          <w:b/>
          <w:bCs/>
          <w:szCs w:val="20"/>
        </w:rPr>
        <w:t>zkoušce</w:t>
      </w:r>
      <w:r w:rsidR="00E35689">
        <w:rPr>
          <w:rFonts w:cs="Arial"/>
          <w:bCs/>
          <w:szCs w:val="20"/>
        </w:rPr>
        <w:t xml:space="preserve"> </w:t>
      </w:r>
      <w:r w:rsidR="0075333A">
        <w:rPr>
          <w:rFonts w:cs="Arial"/>
          <w:bCs/>
          <w:szCs w:val="20"/>
        </w:rPr>
        <w:t>(</w:t>
      </w:r>
      <w:r w:rsidR="006C40B8">
        <w:rPr>
          <w:rFonts w:cs="Arial"/>
          <w:bCs/>
          <w:szCs w:val="20"/>
        </w:rPr>
        <w:t>bez</w:t>
      </w:r>
      <w:r w:rsidR="001D79AB">
        <w:rPr>
          <w:rFonts w:cs="Arial"/>
          <w:bCs/>
          <w:szCs w:val="20"/>
        </w:rPr>
        <w:t xml:space="preserve"> zohlednění</w:t>
      </w:r>
      <w:r w:rsidR="006C40B8">
        <w:rPr>
          <w:rFonts w:cs="Arial"/>
          <w:bCs/>
          <w:szCs w:val="20"/>
        </w:rPr>
        <w:t xml:space="preserve"> nástavbového</w:t>
      </w:r>
      <w:r w:rsidR="001D79AB">
        <w:rPr>
          <w:rFonts w:cs="Arial"/>
          <w:bCs/>
          <w:szCs w:val="20"/>
        </w:rPr>
        <w:t xml:space="preserve"> studia</w:t>
      </w:r>
      <w:r w:rsidR="006C40B8">
        <w:rPr>
          <w:rFonts w:cs="Arial"/>
          <w:bCs/>
          <w:szCs w:val="20"/>
        </w:rPr>
        <w:t xml:space="preserve">) </w:t>
      </w:r>
      <w:r w:rsidR="006C40B8" w:rsidRPr="000F3289">
        <w:rPr>
          <w:rFonts w:cs="Arial"/>
          <w:bCs/>
          <w:szCs w:val="20"/>
        </w:rPr>
        <w:t>zahrnoval 1</w:t>
      </w:r>
      <w:r w:rsidR="002602E7" w:rsidRPr="000F3289">
        <w:rPr>
          <w:rFonts w:cs="Arial"/>
          <w:bCs/>
          <w:szCs w:val="20"/>
        </w:rPr>
        <w:t> </w:t>
      </w:r>
      <w:r w:rsidR="000F3289" w:rsidRPr="000F3289">
        <w:rPr>
          <w:rFonts w:cs="Arial"/>
          <w:bCs/>
          <w:szCs w:val="20"/>
        </w:rPr>
        <w:t>1</w:t>
      </w:r>
      <w:r w:rsidR="002A6DB2">
        <w:rPr>
          <w:rFonts w:cs="Arial"/>
          <w:bCs/>
          <w:szCs w:val="20"/>
        </w:rPr>
        <w:t>26</w:t>
      </w:r>
      <w:r w:rsidR="0075333A" w:rsidRPr="000F3289">
        <w:rPr>
          <w:rFonts w:cs="Arial"/>
          <w:bCs/>
          <w:szCs w:val="20"/>
        </w:rPr>
        <w:t xml:space="preserve"> škol. </w:t>
      </w:r>
    </w:p>
    <w:p w14:paraId="11178ED3" w14:textId="01A747E8" w:rsidR="00D04DCE" w:rsidRPr="00B31202" w:rsidRDefault="00FA7769" w:rsidP="00FA7769">
      <w:pPr>
        <w:pStyle w:val="Zkladntextodsazen"/>
        <w:widowControl/>
        <w:tabs>
          <w:tab w:val="left" w:pos="540"/>
        </w:tabs>
        <w:spacing w:before="0" w:after="120" w:line="288" w:lineRule="auto"/>
        <w:ind w:firstLine="0"/>
        <w:rPr>
          <w:bCs/>
          <w:szCs w:val="20"/>
        </w:rPr>
      </w:pPr>
      <w:r w:rsidRPr="000F3289">
        <w:rPr>
          <w:bCs/>
          <w:szCs w:val="20"/>
        </w:rPr>
        <w:t>Přejděme k </w:t>
      </w:r>
      <w:r w:rsidRPr="000F3289">
        <w:rPr>
          <w:b/>
          <w:bCs/>
          <w:szCs w:val="20"/>
        </w:rPr>
        <w:t>počtu žáků vzdělávajících se v jednotlivých druzích vzdělávání</w:t>
      </w:r>
      <w:r w:rsidRPr="000F3289">
        <w:rPr>
          <w:bCs/>
          <w:szCs w:val="20"/>
        </w:rPr>
        <w:t>.</w:t>
      </w:r>
      <w:r w:rsidR="004452E3" w:rsidRPr="000F3289">
        <w:rPr>
          <w:bCs/>
          <w:szCs w:val="20"/>
        </w:rPr>
        <w:t xml:space="preserve"> Ve škol</w:t>
      </w:r>
      <w:r w:rsidR="000F3289" w:rsidRPr="000F3289">
        <w:rPr>
          <w:bCs/>
          <w:szCs w:val="20"/>
        </w:rPr>
        <w:t>ním roce 202</w:t>
      </w:r>
      <w:r w:rsidR="002A6DB2">
        <w:rPr>
          <w:bCs/>
          <w:szCs w:val="20"/>
        </w:rPr>
        <w:t>5</w:t>
      </w:r>
      <w:r w:rsidR="000F3289" w:rsidRPr="000F3289">
        <w:rPr>
          <w:bCs/>
          <w:szCs w:val="20"/>
        </w:rPr>
        <w:t>/2</w:t>
      </w:r>
      <w:r w:rsidR="002A6DB2">
        <w:rPr>
          <w:bCs/>
          <w:szCs w:val="20"/>
        </w:rPr>
        <w:t>6</w:t>
      </w:r>
      <w:r w:rsidRPr="000F3289">
        <w:rPr>
          <w:bCs/>
          <w:szCs w:val="20"/>
        </w:rPr>
        <w:t xml:space="preserve"> se nejvyšší podíl žáků vzdělával v oborech odborného </w:t>
      </w:r>
      <w:r w:rsidRPr="00E17124">
        <w:rPr>
          <w:bCs/>
          <w:szCs w:val="20"/>
        </w:rPr>
        <w:t>vzděl</w:t>
      </w:r>
      <w:r w:rsidR="00700BF3" w:rsidRPr="00E17124">
        <w:rPr>
          <w:bCs/>
          <w:szCs w:val="20"/>
        </w:rPr>
        <w:t>ávání s maturitní zkouškou</w:t>
      </w:r>
      <w:r w:rsidR="000F3289" w:rsidRPr="00E17124">
        <w:rPr>
          <w:bCs/>
          <w:szCs w:val="20"/>
        </w:rPr>
        <w:t xml:space="preserve"> (4</w:t>
      </w:r>
      <w:r w:rsidR="00E17124" w:rsidRPr="00E17124">
        <w:rPr>
          <w:bCs/>
          <w:szCs w:val="20"/>
        </w:rPr>
        <w:t>8</w:t>
      </w:r>
      <w:r w:rsidR="000F3289" w:rsidRPr="00E17124">
        <w:rPr>
          <w:bCs/>
          <w:szCs w:val="20"/>
        </w:rPr>
        <w:t>,</w:t>
      </w:r>
      <w:r w:rsidR="00E17124" w:rsidRPr="00E17124">
        <w:rPr>
          <w:bCs/>
          <w:szCs w:val="20"/>
        </w:rPr>
        <w:t>1</w:t>
      </w:r>
      <w:r w:rsidR="00482BCC" w:rsidRPr="00E17124">
        <w:rPr>
          <w:bCs/>
          <w:szCs w:val="20"/>
        </w:rPr>
        <w:t> %), dále pak v g</w:t>
      </w:r>
      <w:r w:rsidR="000F3289" w:rsidRPr="00E17124">
        <w:rPr>
          <w:bCs/>
          <w:szCs w:val="20"/>
        </w:rPr>
        <w:t>ymnáziích (28,</w:t>
      </w:r>
      <w:r w:rsidR="00E17124" w:rsidRPr="00E17124">
        <w:rPr>
          <w:bCs/>
          <w:szCs w:val="20"/>
        </w:rPr>
        <w:t>0</w:t>
      </w:r>
      <w:r w:rsidRPr="00E17124">
        <w:rPr>
          <w:bCs/>
          <w:szCs w:val="20"/>
        </w:rPr>
        <w:t> %) a pětina žáků se také účastnila odborného v</w:t>
      </w:r>
      <w:r w:rsidR="00D04DCE" w:rsidRPr="00E17124">
        <w:rPr>
          <w:bCs/>
          <w:szCs w:val="20"/>
        </w:rPr>
        <w:t>zdělávání s výučním</w:t>
      </w:r>
      <w:r w:rsidR="000F3289" w:rsidRPr="00E17124">
        <w:rPr>
          <w:bCs/>
          <w:szCs w:val="20"/>
        </w:rPr>
        <w:t xml:space="preserve"> listem (20,</w:t>
      </w:r>
      <w:r w:rsidR="00E17124" w:rsidRPr="00E17124">
        <w:rPr>
          <w:bCs/>
          <w:szCs w:val="20"/>
        </w:rPr>
        <w:t>6</w:t>
      </w:r>
      <w:r w:rsidRPr="00E17124">
        <w:rPr>
          <w:bCs/>
          <w:szCs w:val="20"/>
        </w:rPr>
        <w:t> %). Nástavbo</w:t>
      </w:r>
      <w:r w:rsidR="000F3289" w:rsidRPr="00E17124">
        <w:rPr>
          <w:bCs/>
          <w:szCs w:val="20"/>
        </w:rPr>
        <w:t>vé studium se týkalo již jen 2,8</w:t>
      </w:r>
      <w:r w:rsidRPr="00E17124">
        <w:rPr>
          <w:bCs/>
          <w:szCs w:val="20"/>
        </w:rPr>
        <w:t> % žáků a střední vzdělávání bez výučního listu</w:t>
      </w:r>
      <w:r w:rsidRPr="00B31202">
        <w:rPr>
          <w:bCs/>
          <w:szCs w:val="20"/>
        </w:rPr>
        <w:t xml:space="preserve"> a bez ma</w:t>
      </w:r>
      <w:r w:rsidR="009E7EBC">
        <w:rPr>
          <w:bCs/>
          <w:szCs w:val="20"/>
        </w:rPr>
        <w:t>turity 0,6 % žáků – viz</w:t>
      </w:r>
      <w:r w:rsidR="009D16E2">
        <w:rPr>
          <w:bCs/>
          <w:szCs w:val="20"/>
        </w:rPr>
        <w:t xml:space="preserve"> graf č. </w:t>
      </w:r>
      <w:r w:rsidR="009E7EBC">
        <w:rPr>
          <w:bCs/>
          <w:szCs w:val="20"/>
        </w:rPr>
        <w:t>3.4</w:t>
      </w:r>
      <w:r w:rsidR="00142903">
        <w:rPr>
          <w:bCs/>
          <w:szCs w:val="20"/>
        </w:rPr>
        <w:t>.</w:t>
      </w:r>
    </w:p>
    <w:p w14:paraId="4FCEF47E" w14:textId="15003A4C" w:rsidR="00350E9B" w:rsidRDefault="00350E9B" w:rsidP="00FA7769">
      <w:pPr>
        <w:pStyle w:val="Zkladntextodsazen"/>
        <w:keepNext/>
        <w:widowControl/>
        <w:tabs>
          <w:tab w:val="left" w:pos="540"/>
        </w:tabs>
        <w:spacing w:before="0" w:after="120" w:line="288" w:lineRule="auto"/>
        <w:ind w:firstLine="0"/>
        <w:rPr>
          <w:b/>
          <w:bCs/>
          <w:szCs w:val="20"/>
        </w:rPr>
      </w:pPr>
      <w:r w:rsidRPr="00350E9B">
        <w:rPr>
          <w:b/>
          <w:bCs/>
          <w:szCs w:val="20"/>
        </w:rPr>
        <w:lastRenderedPageBreak/>
        <w:t>Graf 3.4 Střední školy – podíly žáků v jedno</w:t>
      </w:r>
      <w:r w:rsidR="000F3289">
        <w:rPr>
          <w:b/>
          <w:bCs/>
          <w:szCs w:val="20"/>
        </w:rPr>
        <w:t xml:space="preserve">tlivých druzích vzdělávání </w:t>
      </w:r>
      <w:r w:rsidR="007F5DA5">
        <w:rPr>
          <w:b/>
          <w:bCs/>
          <w:szCs w:val="20"/>
        </w:rPr>
        <w:t xml:space="preserve">ve školním roce </w:t>
      </w:r>
      <w:r w:rsidR="000F3289">
        <w:rPr>
          <w:b/>
          <w:bCs/>
          <w:szCs w:val="20"/>
        </w:rPr>
        <w:t>202</w:t>
      </w:r>
      <w:r w:rsidR="00E17124">
        <w:rPr>
          <w:b/>
          <w:bCs/>
          <w:szCs w:val="20"/>
        </w:rPr>
        <w:t>5</w:t>
      </w:r>
      <w:r w:rsidR="000F3289">
        <w:rPr>
          <w:b/>
          <w:bCs/>
          <w:szCs w:val="20"/>
        </w:rPr>
        <w:t>/2</w:t>
      </w:r>
      <w:r w:rsidR="00E17124">
        <w:rPr>
          <w:b/>
          <w:bCs/>
          <w:szCs w:val="20"/>
        </w:rPr>
        <w:t>6</w:t>
      </w:r>
    </w:p>
    <w:p w14:paraId="51865652" w14:textId="08B073E2" w:rsidR="00700BF3" w:rsidRDefault="00E17124" w:rsidP="00FA7769">
      <w:pPr>
        <w:pStyle w:val="Zkladntextodsazen"/>
        <w:keepNext/>
        <w:widowControl/>
        <w:tabs>
          <w:tab w:val="left" w:pos="540"/>
        </w:tabs>
        <w:spacing w:before="0" w:after="120" w:line="288" w:lineRule="auto"/>
        <w:ind w:firstLine="0"/>
        <w:rPr>
          <w:b/>
          <w:bCs/>
          <w:szCs w:val="20"/>
        </w:rPr>
      </w:pPr>
      <w:r>
        <w:rPr>
          <w:noProof/>
        </w:rPr>
        <w:drawing>
          <wp:inline distT="0" distB="0" distL="0" distR="0" wp14:anchorId="745A6D1B" wp14:editId="5B43874C">
            <wp:extent cx="6120130" cy="2837180"/>
            <wp:effectExtent l="0" t="0" r="0" b="1270"/>
            <wp:docPr id="114423137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9AA6BBF" w14:textId="1EF3362C" w:rsidR="00FA7769" w:rsidRPr="006636CF" w:rsidRDefault="00864CB6" w:rsidP="00FA7769">
      <w:pPr>
        <w:spacing w:after="120"/>
        <w:jc w:val="both"/>
        <w:rPr>
          <w:szCs w:val="20"/>
        </w:rPr>
      </w:pPr>
      <w:r w:rsidRPr="006636CF">
        <w:rPr>
          <w:szCs w:val="20"/>
        </w:rPr>
        <w:t>V grafu</w:t>
      </w:r>
      <w:r w:rsidR="009E7EBC" w:rsidRPr="006636CF">
        <w:rPr>
          <w:szCs w:val="20"/>
        </w:rPr>
        <w:t xml:space="preserve"> </w:t>
      </w:r>
      <w:r w:rsidR="006F289F">
        <w:rPr>
          <w:szCs w:val="20"/>
        </w:rPr>
        <w:t xml:space="preserve">č. </w:t>
      </w:r>
      <w:r w:rsidR="009E7EBC" w:rsidRPr="006636CF">
        <w:rPr>
          <w:szCs w:val="20"/>
        </w:rPr>
        <w:t>3.4</w:t>
      </w:r>
      <w:r w:rsidR="00FA7769" w:rsidRPr="006636CF">
        <w:rPr>
          <w:szCs w:val="20"/>
        </w:rPr>
        <w:t xml:space="preserve"> je také </w:t>
      </w:r>
      <w:r w:rsidR="006F289F">
        <w:rPr>
          <w:szCs w:val="20"/>
        </w:rPr>
        <w:t xml:space="preserve">v legendě </w:t>
      </w:r>
      <w:r w:rsidR="00FA7769" w:rsidRPr="006636CF">
        <w:rPr>
          <w:szCs w:val="20"/>
        </w:rPr>
        <w:t>uveden podíl dívek mezi žáky jednotlivých druhů vzdělávání. Zde si lze všimnout, že mezi žáky gymná</w:t>
      </w:r>
      <w:r w:rsidR="000F3289">
        <w:rPr>
          <w:szCs w:val="20"/>
        </w:rPr>
        <w:t>zií tvořily ve školním roce 202</w:t>
      </w:r>
      <w:r w:rsidR="00F1007A">
        <w:rPr>
          <w:szCs w:val="20"/>
        </w:rPr>
        <w:t>5</w:t>
      </w:r>
      <w:r w:rsidR="000F3289">
        <w:rPr>
          <w:szCs w:val="20"/>
        </w:rPr>
        <w:t>/2</w:t>
      </w:r>
      <w:r w:rsidR="00F1007A">
        <w:rPr>
          <w:szCs w:val="20"/>
        </w:rPr>
        <w:t>6</w:t>
      </w:r>
      <w:r w:rsidR="00E777B8" w:rsidRPr="006636CF">
        <w:rPr>
          <w:szCs w:val="20"/>
        </w:rPr>
        <w:t xml:space="preserve"> dívky </w:t>
      </w:r>
      <w:r w:rsidR="000F3289">
        <w:rPr>
          <w:szCs w:val="20"/>
        </w:rPr>
        <w:t>56,</w:t>
      </w:r>
      <w:r w:rsidR="00F1007A">
        <w:rPr>
          <w:szCs w:val="20"/>
        </w:rPr>
        <w:t>0</w:t>
      </w:r>
      <w:r w:rsidR="00FA7769" w:rsidRPr="006636CF">
        <w:rPr>
          <w:szCs w:val="20"/>
        </w:rPr>
        <w:t xml:space="preserve"> % a </w:t>
      </w:r>
      <w:r w:rsidR="00C719C3" w:rsidRPr="006636CF">
        <w:rPr>
          <w:szCs w:val="20"/>
        </w:rPr>
        <w:t>nadpoloviční byl jejich podíl i </w:t>
      </w:r>
      <w:r w:rsidR="00FA7769" w:rsidRPr="006636CF">
        <w:rPr>
          <w:szCs w:val="20"/>
        </w:rPr>
        <w:t>mezi žáky odborného vzd</w:t>
      </w:r>
      <w:r w:rsidR="00DA114F" w:rsidRPr="006636CF">
        <w:rPr>
          <w:szCs w:val="20"/>
        </w:rPr>
        <w:t>ělávání s maturitní zkouškou (5</w:t>
      </w:r>
      <w:r w:rsidR="00E54004" w:rsidRPr="006636CF">
        <w:rPr>
          <w:szCs w:val="20"/>
        </w:rPr>
        <w:t>1</w:t>
      </w:r>
      <w:r w:rsidR="00E777B8" w:rsidRPr="006636CF">
        <w:rPr>
          <w:szCs w:val="20"/>
        </w:rPr>
        <w:t>,</w:t>
      </w:r>
      <w:r w:rsidR="00B235FD">
        <w:rPr>
          <w:szCs w:val="20"/>
        </w:rPr>
        <w:t>9</w:t>
      </w:r>
      <w:r w:rsidR="00FA7769" w:rsidRPr="006636CF">
        <w:rPr>
          <w:szCs w:val="20"/>
        </w:rPr>
        <w:t xml:space="preserve"> %). Naproti tomu mezi žáky odborného </w:t>
      </w:r>
      <w:r w:rsidR="000F3289">
        <w:rPr>
          <w:szCs w:val="20"/>
        </w:rPr>
        <w:t>vzdělávání s výučním listem bylo</w:t>
      </w:r>
      <w:r w:rsidR="00FA7769" w:rsidRPr="006636CF">
        <w:rPr>
          <w:szCs w:val="20"/>
        </w:rPr>
        <w:t xml:space="preserve"> dívek jen</w:t>
      </w:r>
      <w:r w:rsidR="00DA114F" w:rsidRPr="006636CF">
        <w:rPr>
          <w:szCs w:val="20"/>
        </w:rPr>
        <w:t xml:space="preserve"> </w:t>
      </w:r>
      <w:r w:rsidR="000F3289">
        <w:rPr>
          <w:szCs w:val="20"/>
        </w:rPr>
        <w:t>36,</w:t>
      </w:r>
      <w:r w:rsidR="00B235FD">
        <w:rPr>
          <w:szCs w:val="20"/>
        </w:rPr>
        <w:t>2</w:t>
      </w:r>
      <w:r w:rsidR="000F3289">
        <w:rPr>
          <w:szCs w:val="20"/>
        </w:rPr>
        <w:t> %</w:t>
      </w:r>
      <w:r w:rsidR="00FA7769" w:rsidRPr="006636CF">
        <w:rPr>
          <w:szCs w:val="20"/>
        </w:rPr>
        <w:t xml:space="preserve"> a mezi žák</w:t>
      </w:r>
      <w:r w:rsidR="00DA114F" w:rsidRPr="006636CF">
        <w:rPr>
          <w:szCs w:val="20"/>
        </w:rPr>
        <w:t xml:space="preserve">y </w:t>
      </w:r>
      <w:r w:rsidR="00700BF3" w:rsidRPr="006636CF">
        <w:rPr>
          <w:szCs w:val="20"/>
        </w:rPr>
        <w:t xml:space="preserve">nástavbového studia tvořily </w:t>
      </w:r>
      <w:r w:rsidR="00F62818" w:rsidRPr="006636CF">
        <w:rPr>
          <w:szCs w:val="20"/>
        </w:rPr>
        <w:t xml:space="preserve">dívky </w:t>
      </w:r>
      <w:r w:rsidR="000E2B3F">
        <w:rPr>
          <w:szCs w:val="20"/>
        </w:rPr>
        <w:t>4</w:t>
      </w:r>
      <w:r w:rsidR="00B235FD">
        <w:rPr>
          <w:szCs w:val="20"/>
        </w:rPr>
        <w:t>3</w:t>
      </w:r>
      <w:r w:rsidR="000E2B3F">
        <w:rPr>
          <w:szCs w:val="20"/>
        </w:rPr>
        <w:t>,3</w:t>
      </w:r>
      <w:r w:rsidR="00FA7769" w:rsidRPr="006636CF">
        <w:rPr>
          <w:szCs w:val="20"/>
        </w:rPr>
        <w:t xml:space="preserve"> %. Z uvedených podílů je zároveň zřejmé, že pakliže se dívky rozhodnou vzdělávat v některém oboru s výučním listem, tak si poté </w:t>
      </w:r>
      <w:proofErr w:type="gramStart"/>
      <w:r w:rsidR="00FA7769" w:rsidRPr="006636CF">
        <w:rPr>
          <w:szCs w:val="20"/>
        </w:rPr>
        <w:t>častěji</w:t>
      </w:r>
      <w:proofErr w:type="gramEnd"/>
      <w:r w:rsidR="00FA7769" w:rsidRPr="006636CF">
        <w:rPr>
          <w:szCs w:val="20"/>
        </w:rPr>
        <w:t xml:space="preserve"> než chlapci doplňují vzdělání do maturitní zkoušky v rámci nástavbového studia.</w:t>
      </w:r>
    </w:p>
    <w:p w14:paraId="029F761E" w14:textId="74AB9ED0" w:rsidR="00933A2D" w:rsidRDefault="00FA7769" w:rsidP="00FA7769">
      <w:pPr>
        <w:spacing w:after="120"/>
        <w:jc w:val="both"/>
        <w:rPr>
          <w:szCs w:val="20"/>
        </w:rPr>
      </w:pPr>
      <w:r w:rsidRPr="00933A2D">
        <w:rPr>
          <w:szCs w:val="20"/>
        </w:rPr>
        <w:t xml:space="preserve">Pokud se jedná o </w:t>
      </w:r>
      <w:r w:rsidRPr="00933A2D">
        <w:rPr>
          <w:b/>
          <w:szCs w:val="20"/>
        </w:rPr>
        <w:t>vývoj v</w:t>
      </w:r>
      <w:r w:rsidR="00933A2D" w:rsidRPr="00933A2D">
        <w:rPr>
          <w:b/>
          <w:szCs w:val="20"/>
        </w:rPr>
        <w:t> posledních deseti letech</w:t>
      </w:r>
      <w:r w:rsidRPr="00933A2D">
        <w:rPr>
          <w:szCs w:val="20"/>
        </w:rPr>
        <w:t xml:space="preserve">, spolu s celkovým počtem žáků ve středních školách klesal </w:t>
      </w:r>
      <w:r w:rsidR="000E2B3F" w:rsidRPr="00933A2D">
        <w:rPr>
          <w:szCs w:val="20"/>
        </w:rPr>
        <w:t>v období mezi školními rok</w:t>
      </w:r>
      <w:r w:rsidR="000E2B3F" w:rsidRPr="003236D1">
        <w:rPr>
          <w:szCs w:val="20"/>
        </w:rPr>
        <w:t>y 201</w:t>
      </w:r>
      <w:r w:rsidR="00933A2D">
        <w:rPr>
          <w:szCs w:val="20"/>
        </w:rPr>
        <w:t>5</w:t>
      </w:r>
      <w:r w:rsidR="000E2B3F" w:rsidRPr="003236D1">
        <w:rPr>
          <w:szCs w:val="20"/>
        </w:rPr>
        <w:t>/1</w:t>
      </w:r>
      <w:r w:rsidR="00933A2D">
        <w:rPr>
          <w:szCs w:val="20"/>
        </w:rPr>
        <w:t>6</w:t>
      </w:r>
      <w:r w:rsidR="000E2B3F" w:rsidRPr="003236D1">
        <w:rPr>
          <w:szCs w:val="20"/>
        </w:rPr>
        <w:t xml:space="preserve"> a 2018/19</w:t>
      </w:r>
      <w:r w:rsidR="00EE5C81" w:rsidRPr="003236D1">
        <w:rPr>
          <w:szCs w:val="20"/>
        </w:rPr>
        <w:t xml:space="preserve"> </w:t>
      </w:r>
      <w:r w:rsidRPr="003236D1">
        <w:rPr>
          <w:szCs w:val="20"/>
        </w:rPr>
        <w:t>též počet žáků</w:t>
      </w:r>
      <w:r w:rsidR="00EE5C81" w:rsidRPr="003236D1">
        <w:rPr>
          <w:szCs w:val="20"/>
        </w:rPr>
        <w:t xml:space="preserve"> odborného vzdělávání</w:t>
      </w:r>
      <w:r w:rsidRPr="003236D1">
        <w:rPr>
          <w:szCs w:val="20"/>
        </w:rPr>
        <w:t xml:space="preserve"> </w:t>
      </w:r>
      <w:r w:rsidR="00EE5C81" w:rsidRPr="003236D1">
        <w:rPr>
          <w:szCs w:val="20"/>
        </w:rPr>
        <w:t>s výučním listem</w:t>
      </w:r>
      <w:r w:rsidR="00933A2D">
        <w:rPr>
          <w:szCs w:val="20"/>
        </w:rPr>
        <w:t xml:space="preserve"> a počet žáků nástavbového studia klesal až do školního roku 2019/20</w:t>
      </w:r>
      <w:r w:rsidR="00EE5C81" w:rsidRPr="003236D1">
        <w:rPr>
          <w:szCs w:val="20"/>
        </w:rPr>
        <w:t>.</w:t>
      </w:r>
      <w:r w:rsidR="00C3647D" w:rsidRPr="003236D1">
        <w:rPr>
          <w:szCs w:val="20"/>
        </w:rPr>
        <w:t xml:space="preserve"> V následujících letech </w:t>
      </w:r>
      <w:r w:rsidR="00AE1478" w:rsidRPr="003236D1">
        <w:rPr>
          <w:szCs w:val="20"/>
        </w:rPr>
        <w:t>poslední dekády</w:t>
      </w:r>
      <w:r w:rsidR="00C3647D" w:rsidRPr="003236D1">
        <w:rPr>
          <w:szCs w:val="20"/>
        </w:rPr>
        <w:t xml:space="preserve"> </w:t>
      </w:r>
      <w:r w:rsidR="00933A2D">
        <w:rPr>
          <w:szCs w:val="20"/>
        </w:rPr>
        <w:t xml:space="preserve">však </w:t>
      </w:r>
      <w:r w:rsidR="00C3647D" w:rsidRPr="003236D1">
        <w:rPr>
          <w:szCs w:val="20"/>
        </w:rPr>
        <w:t xml:space="preserve">zaznamenaly </w:t>
      </w:r>
      <w:r w:rsidR="00933A2D">
        <w:rPr>
          <w:szCs w:val="20"/>
        </w:rPr>
        <w:t>všechny druh</w:t>
      </w:r>
      <w:r w:rsidR="00630DE9">
        <w:rPr>
          <w:szCs w:val="20"/>
        </w:rPr>
        <w:t>y</w:t>
      </w:r>
      <w:r w:rsidR="000F54F7" w:rsidRPr="003236D1">
        <w:rPr>
          <w:szCs w:val="20"/>
        </w:rPr>
        <w:t xml:space="preserve"> vzdělávání </w:t>
      </w:r>
      <w:r w:rsidR="00C3647D" w:rsidRPr="003236D1">
        <w:rPr>
          <w:szCs w:val="20"/>
        </w:rPr>
        <w:t>růst</w:t>
      </w:r>
      <w:r w:rsidR="000F54F7" w:rsidRPr="003236D1">
        <w:rPr>
          <w:szCs w:val="20"/>
        </w:rPr>
        <w:t xml:space="preserve"> počtu žáků</w:t>
      </w:r>
      <w:r w:rsidR="00D60421">
        <w:rPr>
          <w:szCs w:val="20"/>
        </w:rPr>
        <w:t>.</w:t>
      </w:r>
    </w:p>
    <w:p w14:paraId="789F2BB2" w14:textId="77777777" w:rsidR="00D60421" w:rsidRDefault="00C24392" w:rsidP="00FA7769">
      <w:pPr>
        <w:spacing w:after="120"/>
        <w:jc w:val="both"/>
        <w:rPr>
          <w:rFonts w:cs="Arial"/>
          <w:szCs w:val="20"/>
        </w:rPr>
      </w:pPr>
      <w:r w:rsidRPr="003236D1">
        <w:rPr>
          <w:rFonts w:cs="Arial"/>
          <w:szCs w:val="20"/>
        </w:rPr>
        <w:t>Počet žáků středního odborného vzdělávání s výučním</w:t>
      </w:r>
      <w:r w:rsidRPr="006636CF">
        <w:rPr>
          <w:rFonts w:cs="Arial"/>
          <w:szCs w:val="20"/>
        </w:rPr>
        <w:t xml:space="preserve"> listem se m</w:t>
      </w:r>
      <w:r w:rsidR="000E2B3F">
        <w:rPr>
          <w:rFonts w:cs="Arial"/>
          <w:szCs w:val="20"/>
        </w:rPr>
        <w:t>ezi školními roky 2018/20 a 202</w:t>
      </w:r>
      <w:r w:rsidR="00933A2D">
        <w:rPr>
          <w:rFonts w:cs="Arial"/>
          <w:szCs w:val="20"/>
        </w:rPr>
        <w:t>5</w:t>
      </w:r>
      <w:r w:rsidR="000E2B3F">
        <w:rPr>
          <w:rFonts w:cs="Arial"/>
          <w:szCs w:val="20"/>
        </w:rPr>
        <w:t>/2</w:t>
      </w:r>
      <w:r w:rsidR="00933A2D">
        <w:rPr>
          <w:rFonts w:cs="Arial"/>
          <w:szCs w:val="20"/>
        </w:rPr>
        <w:t>6</w:t>
      </w:r>
      <w:r w:rsidRPr="006636CF">
        <w:rPr>
          <w:rFonts w:cs="Arial"/>
          <w:szCs w:val="20"/>
        </w:rPr>
        <w:t xml:space="preserve"> zvýšil </w:t>
      </w:r>
      <w:r w:rsidR="00F31349">
        <w:rPr>
          <w:rFonts w:cs="Arial"/>
          <w:szCs w:val="20"/>
        </w:rPr>
        <w:t>o </w:t>
      </w:r>
      <w:r w:rsidR="000E2B3F">
        <w:rPr>
          <w:rFonts w:cs="Arial"/>
          <w:szCs w:val="20"/>
        </w:rPr>
        <w:t>2</w:t>
      </w:r>
      <w:r w:rsidR="00933A2D">
        <w:rPr>
          <w:rFonts w:cs="Arial"/>
          <w:szCs w:val="20"/>
        </w:rPr>
        <w:t>2</w:t>
      </w:r>
      <w:r w:rsidR="000E2B3F">
        <w:rPr>
          <w:rFonts w:cs="Arial"/>
          <w:szCs w:val="20"/>
        </w:rPr>
        <w:t>,</w:t>
      </w:r>
      <w:r w:rsidR="00933A2D">
        <w:rPr>
          <w:rFonts w:cs="Arial"/>
          <w:szCs w:val="20"/>
        </w:rPr>
        <w:t>2</w:t>
      </w:r>
      <w:r w:rsidRPr="006636CF">
        <w:rPr>
          <w:rFonts w:cs="Arial"/>
          <w:szCs w:val="20"/>
        </w:rPr>
        <w:t> % a počet žáků středního odborného vzdělávání s maturitní zkouškou se mezi ško</w:t>
      </w:r>
      <w:r w:rsidR="00D55EE7" w:rsidRPr="006636CF">
        <w:rPr>
          <w:rFonts w:cs="Arial"/>
          <w:szCs w:val="20"/>
        </w:rPr>
        <w:t>lními roky 2015/16</w:t>
      </w:r>
      <w:r w:rsidR="00192095">
        <w:rPr>
          <w:rFonts w:cs="Arial"/>
          <w:szCs w:val="20"/>
        </w:rPr>
        <w:t xml:space="preserve"> a 202</w:t>
      </w:r>
      <w:r w:rsidR="00933A2D">
        <w:rPr>
          <w:rFonts w:cs="Arial"/>
          <w:szCs w:val="20"/>
        </w:rPr>
        <w:t>5</w:t>
      </w:r>
      <w:r w:rsidR="00192095">
        <w:rPr>
          <w:rFonts w:cs="Arial"/>
          <w:szCs w:val="20"/>
        </w:rPr>
        <w:t>/2</w:t>
      </w:r>
      <w:r w:rsidR="00933A2D">
        <w:rPr>
          <w:rFonts w:cs="Arial"/>
          <w:szCs w:val="20"/>
        </w:rPr>
        <w:t>6</w:t>
      </w:r>
      <w:r w:rsidRPr="006636CF">
        <w:rPr>
          <w:rFonts w:cs="Arial"/>
          <w:szCs w:val="20"/>
        </w:rPr>
        <w:t xml:space="preserve"> zvýšil </w:t>
      </w:r>
      <w:r w:rsidR="003236D1">
        <w:rPr>
          <w:rFonts w:cs="Arial"/>
          <w:szCs w:val="20"/>
        </w:rPr>
        <w:t>o 3</w:t>
      </w:r>
      <w:r w:rsidR="00933A2D">
        <w:rPr>
          <w:rFonts w:cs="Arial"/>
          <w:szCs w:val="20"/>
        </w:rPr>
        <w:t>4</w:t>
      </w:r>
      <w:r w:rsidR="003236D1">
        <w:rPr>
          <w:rFonts w:cs="Arial"/>
          <w:szCs w:val="20"/>
        </w:rPr>
        <w:t>,</w:t>
      </w:r>
      <w:r w:rsidR="00933A2D">
        <w:rPr>
          <w:rFonts w:cs="Arial"/>
          <w:szCs w:val="20"/>
        </w:rPr>
        <w:t>1</w:t>
      </w:r>
      <w:r w:rsidRPr="006636CF">
        <w:rPr>
          <w:rFonts w:cs="Arial"/>
          <w:szCs w:val="20"/>
        </w:rPr>
        <w:t xml:space="preserve"> %. </w:t>
      </w:r>
    </w:p>
    <w:p w14:paraId="0A1011EC" w14:textId="77777777" w:rsidR="00D60421" w:rsidRDefault="00EE5C81" w:rsidP="00FA7769">
      <w:pPr>
        <w:spacing w:after="120"/>
        <w:jc w:val="both"/>
        <w:rPr>
          <w:szCs w:val="20"/>
        </w:rPr>
      </w:pPr>
      <w:r w:rsidRPr="006636CF">
        <w:rPr>
          <w:szCs w:val="20"/>
        </w:rPr>
        <w:t>Počet žáků nástavbo</w:t>
      </w:r>
      <w:r w:rsidR="00192095">
        <w:rPr>
          <w:szCs w:val="20"/>
        </w:rPr>
        <w:t>vého studia naopak klesal v průběhu školních let 201</w:t>
      </w:r>
      <w:r w:rsidR="00933A2D">
        <w:rPr>
          <w:szCs w:val="20"/>
        </w:rPr>
        <w:t>5</w:t>
      </w:r>
      <w:r w:rsidR="00192095">
        <w:rPr>
          <w:szCs w:val="20"/>
        </w:rPr>
        <w:t>/1</w:t>
      </w:r>
      <w:r w:rsidR="00933A2D">
        <w:rPr>
          <w:szCs w:val="20"/>
        </w:rPr>
        <w:t>6</w:t>
      </w:r>
      <w:r w:rsidR="00192095">
        <w:rPr>
          <w:szCs w:val="20"/>
        </w:rPr>
        <w:t xml:space="preserve"> až</w:t>
      </w:r>
      <w:r w:rsidRPr="00822A6C">
        <w:rPr>
          <w:szCs w:val="20"/>
        </w:rPr>
        <w:t xml:space="preserve"> 2019/20</w:t>
      </w:r>
      <w:r w:rsidR="00192095">
        <w:rPr>
          <w:szCs w:val="20"/>
        </w:rPr>
        <w:t xml:space="preserve"> a </w:t>
      </w:r>
      <w:r w:rsidR="00C3647D" w:rsidRPr="00822A6C">
        <w:rPr>
          <w:szCs w:val="20"/>
        </w:rPr>
        <w:t xml:space="preserve">celkem </w:t>
      </w:r>
      <w:r w:rsidR="00B24764" w:rsidRPr="00822A6C">
        <w:rPr>
          <w:szCs w:val="20"/>
        </w:rPr>
        <w:t xml:space="preserve">se snížil </w:t>
      </w:r>
      <w:r w:rsidR="003236D1" w:rsidRPr="00822A6C">
        <w:rPr>
          <w:szCs w:val="20"/>
        </w:rPr>
        <w:t xml:space="preserve">o </w:t>
      </w:r>
      <w:r w:rsidR="00933A2D">
        <w:rPr>
          <w:szCs w:val="20"/>
        </w:rPr>
        <w:t>33</w:t>
      </w:r>
      <w:r w:rsidR="003236D1" w:rsidRPr="00822A6C">
        <w:rPr>
          <w:szCs w:val="20"/>
        </w:rPr>
        <w:t>,</w:t>
      </w:r>
      <w:r w:rsidR="00933A2D">
        <w:rPr>
          <w:szCs w:val="20"/>
        </w:rPr>
        <w:t>8</w:t>
      </w:r>
      <w:r w:rsidR="00192095">
        <w:rPr>
          <w:szCs w:val="20"/>
        </w:rPr>
        <w:t> %</w:t>
      </w:r>
      <w:r w:rsidR="00D60421">
        <w:rPr>
          <w:szCs w:val="20"/>
        </w:rPr>
        <w:t>, a sice z 20 437 na 13 520 žáků</w:t>
      </w:r>
      <w:r w:rsidR="00192095">
        <w:rPr>
          <w:szCs w:val="20"/>
        </w:rPr>
        <w:t xml:space="preserve">. </w:t>
      </w:r>
      <w:r w:rsidR="00D60421">
        <w:rPr>
          <w:szCs w:val="20"/>
        </w:rPr>
        <w:t>V následujících školních rocích se pak pohyboval mezi 14 a 15 tisíci žáky.</w:t>
      </w:r>
      <w:r w:rsidRPr="00822A6C">
        <w:rPr>
          <w:szCs w:val="20"/>
        </w:rPr>
        <w:t xml:space="preserve"> </w:t>
      </w:r>
    </w:p>
    <w:p w14:paraId="79EFE885" w14:textId="6410E81E" w:rsidR="00822A6C" w:rsidRPr="00933A2D" w:rsidRDefault="00EE5C81" w:rsidP="00FA7769">
      <w:pPr>
        <w:spacing w:after="120"/>
        <w:jc w:val="both"/>
        <w:rPr>
          <w:rFonts w:cs="Arial"/>
          <w:szCs w:val="20"/>
        </w:rPr>
      </w:pPr>
      <w:r w:rsidRPr="00822A6C">
        <w:rPr>
          <w:szCs w:val="20"/>
        </w:rPr>
        <w:t>Po</w:t>
      </w:r>
      <w:r w:rsidR="00C3647D" w:rsidRPr="00822A6C">
        <w:rPr>
          <w:szCs w:val="20"/>
        </w:rPr>
        <w:t xml:space="preserve">čet žáků ve vzdělávání vedoucí </w:t>
      </w:r>
      <w:r w:rsidRPr="00822A6C">
        <w:rPr>
          <w:szCs w:val="20"/>
        </w:rPr>
        <w:t>pouze k závěrečné zkoušce (tedy bez udělení výučn</w:t>
      </w:r>
      <w:r w:rsidRPr="006636CF">
        <w:rPr>
          <w:szCs w:val="20"/>
        </w:rPr>
        <w:t xml:space="preserve">ího listu či maturitního vysvědčení) téměř setrvale stoupal a </w:t>
      </w:r>
      <w:r w:rsidR="00D60421">
        <w:rPr>
          <w:szCs w:val="20"/>
        </w:rPr>
        <w:t xml:space="preserve">mezi školními roky 2015/16 a 2024/25 se zvýšil </w:t>
      </w:r>
      <w:r w:rsidR="00946260">
        <w:rPr>
          <w:szCs w:val="20"/>
        </w:rPr>
        <w:t>z</w:t>
      </w:r>
      <w:r w:rsidR="00D60421">
        <w:rPr>
          <w:szCs w:val="20"/>
        </w:rPr>
        <w:t xml:space="preserve"> 2 201 na 2 959. V posledním školním roce těchto žáků mírně ubylo, a sice na 2 919 žáků. </w:t>
      </w:r>
      <w:r w:rsidR="00192095">
        <w:rPr>
          <w:szCs w:val="20"/>
        </w:rPr>
        <w:t>Toto vzdělávání však navštěvuje jen malá část žáků středních škol (jak bylo výše uvedeno, ve školním roce 202</w:t>
      </w:r>
      <w:r w:rsidR="00D60421">
        <w:rPr>
          <w:szCs w:val="20"/>
        </w:rPr>
        <w:t>5</w:t>
      </w:r>
      <w:r w:rsidR="00192095">
        <w:rPr>
          <w:szCs w:val="20"/>
        </w:rPr>
        <w:t>/2</w:t>
      </w:r>
      <w:r w:rsidR="00D60421">
        <w:rPr>
          <w:szCs w:val="20"/>
        </w:rPr>
        <w:t>6</w:t>
      </w:r>
      <w:r w:rsidR="00192095">
        <w:rPr>
          <w:szCs w:val="20"/>
        </w:rPr>
        <w:t xml:space="preserve"> tvořili 0,6 % z celku).</w:t>
      </w:r>
    </w:p>
    <w:p w14:paraId="03B8371F" w14:textId="2D118472" w:rsidR="00FA7769" w:rsidRPr="006636CF" w:rsidRDefault="00E56235" w:rsidP="00FA7769">
      <w:pPr>
        <w:spacing w:after="120"/>
        <w:jc w:val="both"/>
        <w:rPr>
          <w:szCs w:val="20"/>
        </w:rPr>
      </w:pPr>
      <w:r>
        <w:rPr>
          <w:szCs w:val="20"/>
        </w:rPr>
        <w:t>Relativně n</w:t>
      </w:r>
      <w:r w:rsidR="00EE5C81" w:rsidRPr="006636CF">
        <w:rPr>
          <w:szCs w:val="20"/>
        </w:rPr>
        <w:t xml:space="preserve">ejstabilnější v čase byl počet žáků gymnázií, který </w:t>
      </w:r>
      <w:r w:rsidR="008235E1" w:rsidRPr="006636CF">
        <w:rPr>
          <w:szCs w:val="20"/>
        </w:rPr>
        <w:t xml:space="preserve">se </w:t>
      </w:r>
      <w:r w:rsidR="000A4929">
        <w:rPr>
          <w:szCs w:val="20"/>
        </w:rPr>
        <w:t xml:space="preserve">sice </w:t>
      </w:r>
      <w:r w:rsidR="008235E1" w:rsidRPr="006636CF">
        <w:rPr>
          <w:szCs w:val="20"/>
        </w:rPr>
        <w:t>zvyšoval od školního roku 201</w:t>
      </w:r>
      <w:r w:rsidR="0072066D">
        <w:rPr>
          <w:szCs w:val="20"/>
        </w:rPr>
        <w:t>5</w:t>
      </w:r>
      <w:r w:rsidR="008235E1" w:rsidRPr="006636CF">
        <w:rPr>
          <w:szCs w:val="20"/>
        </w:rPr>
        <w:t>/1</w:t>
      </w:r>
      <w:r w:rsidR="0072066D">
        <w:rPr>
          <w:szCs w:val="20"/>
        </w:rPr>
        <w:t>6</w:t>
      </w:r>
      <w:r w:rsidR="008235E1" w:rsidRPr="006636CF">
        <w:rPr>
          <w:szCs w:val="20"/>
        </w:rPr>
        <w:t xml:space="preserve"> soustavně</w:t>
      </w:r>
      <w:r w:rsidR="000A4929">
        <w:rPr>
          <w:szCs w:val="20"/>
        </w:rPr>
        <w:t>, celkově ovšem za deset let stoupl jen o 1</w:t>
      </w:r>
      <w:r w:rsidR="0072066D">
        <w:rPr>
          <w:szCs w:val="20"/>
        </w:rPr>
        <w:t>2</w:t>
      </w:r>
      <w:r w:rsidR="000A4929">
        <w:rPr>
          <w:szCs w:val="20"/>
        </w:rPr>
        <w:t>,</w:t>
      </w:r>
      <w:r w:rsidR="0072066D">
        <w:rPr>
          <w:szCs w:val="20"/>
        </w:rPr>
        <w:t>5</w:t>
      </w:r>
      <w:r w:rsidR="000A4929">
        <w:rPr>
          <w:szCs w:val="20"/>
        </w:rPr>
        <w:t> %</w:t>
      </w:r>
      <w:r w:rsidR="008235E1" w:rsidRPr="006636CF">
        <w:rPr>
          <w:szCs w:val="20"/>
        </w:rPr>
        <w:t xml:space="preserve">. </w:t>
      </w:r>
      <w:r w:rsidR="00C3647D" w:rsidRPr="006636CF">
        <w:rPr>
          <w:szCs w:val="20"/>
        </w:rPr>
        <w:t xml:space="preserve">Jak již však bylo v této publikaci uvedeno, kapacity gymnázií jsou limitované vládní strategií a dlouhodobými záměry krajských úřadů. Proto se z populačně silných ročníků dostává na gymnázia menší podíl dětí než z těch populačně slabších. </w:t>
      </w:r>
      <w:r w:rsidR="00B24764" w:rsidRPr="006636CF">
        <w:rPr>
          <w:szCs w:val="20"/>
        </w:rPr>
        <w:t xml:space="preserve">Více </w:t>
      </w:r>
      <w:r w:rsidR="009E7EBC" w:rsidRPr="006636CF">
        <w:rPr>
          <w:szCs w:val="20"/>
        </w:rPr>
        <w:t xml:space="preserve">viz graf </w:t>
      </w:r>
      <w:r w:rsidR="000A4929">
        <w:rPr>
          <w:szCs w:val="20"/>
        </w:rPr>
        <w:t xml:space="preserve">č. </w:t>
      </w:r>
      <w:r w:rsidR="009E7EBC" w:rsidRPr="006636CF">
        <w:rPr>
          <w:szCs w:val="20"/>
        </w:rPr>
        <w:t>3.5</w:t>
      </w:r>
      <w:r w:rsidR="00FA7769" w:rsidRPr="006636CF">
        <w:rPr>
          <w:szCs w:val="20"/>
        </w:rPr>
        <w:t>.</w:t>
      </w:r>
    </w:p>
    <w:p w14:paraId="4D275D07" w14:textId="27B988D5" w:rsidR="00FA7769" w:rsidRDefault="00350E9B" w:rsidP="00FA7769">
      <w:pPr>
        <w:keepNext/>
        <w:keepLines/>
        <w:spacing w:after="120" w:line="240" w:lineRule="auto"/>
        <w:jc w:val="both"/>
        <w:rPr>
          <w:b/>
        </w:rPr>
      </w:pPr>
      <w:r w:rsidRPr="00350E9B">
        <w:rPr>
          <w:b/>
        </w:rPr>
        <w:lastRenderedPageBreak/>
        <w:t>Graf 3.5 Střední školy – vývoj počtu žáků v </w:t>
      </w:r>
      <w:r w:rsidR="000E2B3F">
        <w:rPr>
          <w:b/>
        </w:rPr>
        <w:t>různých druzích vzdělávání</w:t>
      </w:r>
    </w:p>
    <w:p w14:paraId="7A28BB4B" w14:textId="093F942A" w:rsidR="00FA7769" w:rsidRPr="00925F22" w:rsidRDefault="00772D49" w:rsidP="00FA7769">
      <w:pPr>
        <w:keepNext/>
        <w:keepLines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6723C7D4" wp14:editId="62DC23F5">
            <wp:extent cx="6120130" cy="3933825"/>
            <wp:effectExtent l="0" t="0" r="0" b="9525"/>
            <wp:docPr id="163991964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8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7A61FB7" w14:textId="5D581002" w:rsidR="00FA7769" w:rsidRPr="004A5668" w:rsidRDefault="00FA7769" w:rsidP="00FA7769">
      <w:pPr>
        <w:spacing w:after="120"/>
        <w:jc w:val="both"/>
      </w:pPr>
      <w:r w:rsidRPr="00A10C0A">
        <w:t xml:space="preserve">V jiném pohledu lze konstatovat, že podíl žáků gymnázií ze všech žáků středních škol </w:t>
      </w:r>
      <w:r w:rsidR="006F4256" w:rsidRPr="00A10C0A">
        <w:t xml:space="preserve">v prvních </w:t>
      </w:r>
      <w:r w:rsidR="003A7DBA">
        <w:t>t</w:t>
      </w:r>
      <w:r w:rsidR="00A4388E">
        <w:t>řech</w:t>
      </w:r>
      <w:r w:rsidR="00A10C0A" w:rsidRPr="00A10C0A">
        <w:t xml:space="preserve"> letech posledního desetiletí</w:t>
      </w:r>
      <w:r w:rsidRPr="00A10C0A">
        <w:t xml:space="preserve"> </w:t>
      </w:r>
      <w:r w:rsidR="00A10C0A" w:rsidRPr="00A10C0A">
        <w:t xml:space="preserve">postupně </w:t>
      </w:r>
      <w:r w:rsidRPr="00A10C0A">
        <w:t>sto</w:t>
      </w:r>
      <w:r w:rsidR="00B92A24" w:rsidRPr="00A10C0A">
        <w:t>upal</w:t>
      </w:r>
      <w:r w:rsidR="00A4388E">
        <w:t xml:space="preserve"> (z</w:t>
      </w:r>
      <w:r w:rsidR="003A7DBA">
        <w:t>e</w:t>
      </w:r>
      <w:r w:rsidR="00A4388E">
        <w:t xml:space="preserve"> </w:t>
      </w:r>
      <w:r w:rsidR="003A7DBA">
        <w:t>30</w:t>
      </w:r>
      <w:r w:rsidR="00A4388E">
        <w:t>,</w:t>
      </w:r>
      <w:r w:rsidR="003A7DBA">
        <w:t>0</w:t>
      </w:r>
      <w:r w:rsidR="00A10C0A">
        <w:t> % na 30,9 %)</w:t>
      </w:r>
      <w:r w:rsidR="006F4256">
        <w:t xml:space="preserve">, </w:t>
      </w:r>
      <w:r w:rsidR="00A10C0A">
        <w:t xml:space="preserve">v následujících </w:t>
      </w:r>
      <w:r w:rsidR="003A7DBA">
        <w:t>sedm</w:t>
      </w:r>
      <w:r w:rsidR="00A4388E">
        <w:t>i</w:t>
      </w:r>
      <w:r w:rsidR="00A10C0A">
        <w:t xml:space="preserve"> školních rocích</w:t>
      </w:r>
      <w:r w:rsidR="006F4256">
        <w:t xml:space="preserve"> </w:t>
      </w:r>
      <w:r w:rsidR="00A10C0A">
        <w:t xml:space="preserve">naopak </w:t>
      </w:r>
      <w:r w:rsidR="006F4256">
        <w:t>mírně poklesl</w:t>
      </w:r>
      <w:r w:rsidR="00A4388E">
        <w:t xml:space="preserve"> (z 30,9 % na 28,</w:t>
      </w:r>
      <w:r w:rsidR="003A7DBA">
        <w:t>0</w:t>
      </w:r>
      <w:r w:rsidR="00A10C0A">
        <w:t> %)</w:t>
      </w:r>
      <w:r w:rsidR="00B92A24">
        <w:t xml:space="preserve">. </w:t>
      </w:r>
      <w:r w:rsidRPr="00607C56">
        <w:t xml:space="preserve">Mezi chlapci </w:t>
      </w:r>
      <w:r w:rsidR="002C291A">
        <w:t>–</w:t>
      </w:r>
      <w:r w:rsidRPr="00607C56">
        <w:t xml:space="preserve"> středoškoláky</w:t>
      </w:r>
      <w:r w:rsidRPr="004A5668">
        <w:t xml:space="preserve"> byl </w:t>
      </w:r>
      <w:r w:rsidR="006F4256">
        <w:t xml:space="preserve">přitom </w:t>
      </w:r>
      <w:r w:rsidRPr="004A5668">
        <w:t xml:space="preserve">podíl žáků gymnázií </w:t>
      </w:r>
      <w:r w:rsidR="00A10C0A">
        <w:t xml:space="preserve">ve všech sledovaných rocích </w:t>
      </w:r>
      <w:r w:rsidRPr="004A5668">
        <w:t>nižší, než jak tomu bylo mezi dívkami.</w:t>
      </w:r>
      <w:r w:rsidR="00607C56">
        <w:t xml:space="preserve"> </w:t>
      </w:r>
      <w:r w:rsidR="005E60FF" w:rsidRPr="005E60FF">
        <w:t xml:space="preserve">Jak celkový ukazatel, tak i dílčí </w:t>
      </w:r>
      <w:r w:rsidR="0021606F">
        <w:t>za dívky a chlapce však vykazují</w:t>
      </w:r>
      <w:r w:rsidRPr="005E60FF">
        <w:t xml:space="preserve"> stej</w:t>
      </w:r>
      <w:r w:rsidR="00B92A24" w:rsidRPr="005E60FF">
        <w:t>ný rostoucí trend</w:t>
      </w:r>
      <w:r w:rsidR="006F4256" w:rsidRPr="005E60FF">
        <w:t xml:space="preserve"> </w:t>
      </w:r>
      <w:r w:rsidR="003D6580" w:rsidRPr="005E60FF">
        <w:t xml:space="preserve">v prvních </w:t>
      </w:r>
      <w:r w:rsidR="003A7DBA">
        <w:t>t</w:t>
      </w:r>
      <w:r w:rsidR="00A4388E">
        <w:t>řech</w:t>
      </w:r>
      <w:r w:rsidR="003D6580" w:rsidRPr="005E60FF">
        <w:t xml:space="preserve"> letech poslední </w:t>
      </w:r>
      <w:proofErr w:type="gramStart"/>
      <w:r w:rsidR="003D6580" w:rsidRPr="005E60FF">
        <w:t>dekády</w:t>
      </w:r>
      <w:proofErr w:type="gramEnd"/>
      <w:r w:rsidR="003D6580" w:rsidRPr="005E60FF">
        <w:t xml:space="preserve"> </w:t>
      </w:r>
      <w:r w:rsidR="005E60FF" w:rsidRPr="005E60FF">
        <w:t>a naopak klesající trend v</w:t>
      </w:r>
      <w:r w:rsidR="00A4388E">
        <w:t xml:space="preserve"> dalších </w:t>
      </w:r>
      <w:r w:rsidR="003A7DBA">
        <w:t>sedm</w:t>
      </w:r>
      <w:r w:rsidR="00A4388E">
        <w:t>i letech</w:t>
      </w:r>
      <w:r w:rsidR="005E60FF" w:rsidRPr="005E60FF">
        <w:t xml:space="preserve"> poslední dekády.</w:t>
      </w:r>
      <w:r w:rsidR="003A7DBA">
        <w:t xml:space="preserve"> Pouze podíl chlapců středoškoláků v gymnáziích ze všech chlapců středoškoláků se mezi posledními dvěma školními roky nezměnil.</w:t>
      </w:r>
      <w:r w:rsidR="0076747E" w:rsidRPr="005E60FF">
        <w:t xml:space="preserve"> Ve srovnání s grafem </w:t>
      </w:r>
      <w:r w:rsidR="00866DC2">
        <w:t>č. </w:t>
      </w:r>
      <w:r w:rsidR="0076747E" w:rsidRPr="005E60FF">
        <w:t>3.1 výše lze konstatovat, že podíl žáků</w:t>
      </w:r>
      <w:r w:rsidR="0076747E">
        <w:t xml:space="preserve"> v gymnáziích rostl v době, kdy celkový počet žáků na středních školách klesal, a naopak klesal v době, kdy celkový počet žáků na středních školách rostl</w:t>
      </w:r>
      <w:r w:rsidR="00A4388E">
        <w:t>. Více</w:t>
      </w:r>
      <w:r w:rsidR="00124443">
        <w:t xml:space="preserve"> viz graf </w:t>
      </w:r>
      <w:r w:rsidR="00315557">
        <w:t>č. </w:t>
      </w:r>
      <w:r w:rsidR="00124443">
        <w:t>3.6</w:t>
      </w:r>
      <w:r w:rsidR="0076747E">
        <w:t xml:space="preserve">.  </w:t>
      </w:r>
    </w:p>
    <w:p w14:paraId="0B1B5F83" w14:textId="3063C887" w:rsidR="00FA7769" w:rsidRDefault="00350E9B" w:rsidP="00586B88">
      <w:pPr>
        <w:spacing w:after="120" w:line="240" w:lineRule="auto"/>
        <w:jc w:val="both"/>
        <w:rPr>
          <w:b/>
        </w:rPr>
      </w:pPr>
      <w:r w:rsidRPr="00350E9B">
        <w:rPr>
          <w:b/>
        </w:rPr>
        <w:t xml:space="preserve">Graf 3.6 Střední školy – </w:t>
      </w:r>
      <w:r w:rsidR="007F5DA5">
        <w:rPr>
          <w:b/>
        </w:rPr>
        <w:t xml:space="preserve">vývoj </w:t>
      </w:r>
      <w:r w:rsidRPr="00350E9B">
        <w:rPr>
          <w:b/>
        </w:rPr>
        <w:t>podíl</w:t>
      </w:r>
      <w:r w:rsidR="007F5DA5">
        <w:rPr>
          <w:b/>
        </w:rPr>
        <w:t>u</w:t>
      </w:r>
      <w:r w:rsidRPr="00350E9B">
        <w:rPr>
          <w:b/>
        </w:rPr>
        <w:t xml:space="preserve"> žáků gymnázií ze všech žáků středních škol celkem a dle pohlaví </w:t>
      </w:r>
    </w:p>
    <w:p w14:paraId="342BE8A0" w14:textId="1721E19C" w:rsidR="006F4256" w:rsidRDefault="003A7DBA" w:rsidP="00586B88">
      <w:pPr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09D8E921" wp14:editId="48E4B7E9">
            <wp:extent cx="6076950" cy="2562225"/>
            <wp:effectExtent l="0" t="0" r="0" b="9525"/>
            <wp:docPr id="49123484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7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137D59E" w14:textId="77777777" w:rsidR="00946260" w:rsidRDefault="00946260" w:rsidP="00586B88">
      <w:pPr>
        <w:spacing w:after="120"/>
        <w:jc w:val="both"/>
      </w:pPr>
    </w:p>
    <w:p w14:paraId="13881945" w14:textId="09703898" w:rsidR="00F43204" w:rsidRDefault="009D6447" w:rsidP="00586B88">
      <w:pPr>
        <w:spacing w:after="120"/>
        <w:jc w:val="both"/>
      </w:pPr>
      <w:r w:rsidRPr="004A1095">
        <w:lastRenderedPageBreak/>
        <w:t>P</w:t>
      </w:r>
      <w:r w:rsidR="00FA7769" w:rsidRPr="004A1095">
        <w:t>odíl žáků v odborném vzdělávání s výučním l</w:t>
      </w:r>
      <w:r w:rsidR="00485B3C">
        <w:t>istem se mezi školními roky 201</w:t>
      </w:r>
      <w:r w:rsidR="005F06D8">
        <w:t>5</w:t>
      </w:r>
      <w:r w:rsidR="00485B3C">
        <w:t>/1</w:t>
      </w:r>
      <w:r w:rsidR="005F06D8">
        <w:t>6</w:t>
      </w:r>
      <w:r w:rsidR="00485B3C">
        <w:t xml:space="preserve"> a 202</w:t>
      </w:r>
      <w:r w:rsidR="005F06D8">
        <w:t>5</w:t>
      </w:r>
      <w:r w:rsidR="00485B3C">
        <w:t>/2</w:t>
      </w:r>
      <w:r w:rsidR="005F06D8">
        <w:t>6</w:t>
      </w:r>
      <w:r w:rsidR="00FA7769" w:rsidRPr="004A5668">
        <w:t xml:space="preserve"> držel na cca pětinové úrovni</w:t>
      </w:r>
      <w:r w:rsidR="00F43204">
        <w:t>.</w:t>
      </w:r>
      <w:r w:rsidR="004A1095">
        <w:t xml:space="preserve"> </w:t>
      </w:r>
      <w:r w:rsidR="00F43204">
        <w:t>P</w:t>
      </w:r>
      <w:r w:rsidR="00FA7769" w:rsidRPr="004A5668">
        <w:t xml:space="preserve">odíl žáků odborného vzdělávání s maturitní zkouškou </w:t>
      </w:r>
      <w:r w:rsidR="00485B3C">
        <w:t xml:space="preserve">rostl od školního roku 2015/16 </w:t>
      </w:r>
      <w:r w:rsidR="00F43204">
        <w:t xml:space="preserve">až do školního roku </w:t>
      </w:r>
      <w:r w:rsidR="00315557">
        <w:t>202</w:t>
      </w:r>
      <w:r w:rsidR="005F06D8">
        <w:t>5</w:t>
      </w:r>
      <w:r w:rsidR="00315557">
        <w:t>/2</w:t>
      </w:r>
      <w:r w:rsidR="005F06D8">
        <w:t>6</w:t>
      </w:r>
      <w:r w:rsidR="00485B3C">
        <w:t>, a sice z</w:t>
      </w:r>
      <w:r w:rsidR="00074F2A">
        <w:t>e</w:t>
      </w:r>
      <w:r w:rsidR="00485B3C">
        <w:t> 43,2 % na 4</w:t>
      </w:r>
      <w:r w:rsidR="005F06D8">
        <w:t>8</w:t>
      </w:r>
      <w:r w:rsidR="00485B3C">
        <w:t>,</w:t>
      </w:r>
      <w:r w:rsidR="005F06D8">
        <w:t>1</w:t>
      </w:r>
      <w:r w:rsidR="00485B3C">
        <w:t> %.</w:t>
      </w:r>
      <w:r w:rsidR="00FA7769" w:rsidRPr="004A5668">
        <w:t xml:space="preserve"> Podíl žáků nástavbového studia postupně klesal, a sice z</w:t>
      </w:r>
      <w:r w:rsidR="005F06D8">
        <w:t>e</w:t>
      </w:r>
      <w:r w:rsidR="00485B3C">
        <w:t> </w:t>
      </w:r>
      <w:r w:rsidR="005F06D8">
        <w:t>4</w:t>
      </w:r>
      <w:r w:rsidR="00485B3C">
        <w:t>,</w:t>
      </w:r>
      <w:r w:rsidR="005F06D8">
        <w:t>8</w:t>
      </w:r>
      <w:r w:rsidR="00485B3C">
        <w:t> % ve školním roce 201</w:t>
      </w:r>
      <w:r w:rsidR="005F06D8">
        <w:t>5</w:t>
      </w:r>
      <w:r w:rsidR="00485B3C">
        <w:t>/1</w:t>
      </w:r>
      <w:r w:rsidR="005F06D8">
        <w:t>6</w:t>
      </w:r>
      <w:r w:rsidR="00485B3C">
        <w:t xml:space="preserve"> na 2,8 % ve školním roce 2024/25</w:t>
      </w:r>
      <w:r w:rsidR="005F06D8">
        <w:t>, tutéž hodnotu si udržel i ve školním roce 2025/26</w:t>
      </w:r>
      <w:r w:rsidR="00FA7769" w:rsidRPr="004A5668">
        <w:t xml:space="preserve">. Nakonec podíl žáků ve vzdělávání zakončeném pouze vysvědčením bez získání výučního listu či maturitní zkoušky </w:t>
      </w:r>
      <w:r w:rsidR="00F43204">
        <w:t xml:space="preserve">v prvních </w:t>
      </w:r>
      <w:r w:rsidR="005F06D8">
        <w:t>t</w:t>
      </w:r>
      <w:r w:rsidR="00485B3C">
        <w:t>řech</w:t>
      </w:r>
      <w:r w:rsidR="00F43204">
        <w:t xml:space="preserve"> letech posledního desetiletí </w:t>
      </w:r>
      <w:r w:rsidR="00FA7769" w:rsidRPr="004A5668">
        <w:t>mírně stoupal</w:t>
      </w:r>
      <w:r w:rsidR="00485B3C">
        <w:t xml:space="preserve"> (z 0,</w:t>
      </w:r>
      <w:r w:rsidR="005F06D8">
        <w:t>52</w:t>
      </w:r>
      <w:r w:rsidR="00485B3C">
        <w:t> % na 0,65</w:t>
      </w:r>
      <w:r w:rsidR="00F43204">
        <w:t xml:space="preserve"> %)</w:t>
      </w:r>
      <w:r>
        <w:t xml:space="preserve">, </w:t>
      </w:r>
      <w:r w:rsidR="00F43204">
        <w:t xml:space="preserve">v dalších </w:t>
      </w:r>
      <w:r w:rsidR="005F06D8">
        <w:t>sedm</w:t>
      </w:r>
      <w:r w:rsidR="00485B3C">
        <w:t>i</w:t>
      </w:r>
      <w:r w:rsidR="00F43204">
        <w:t xml:space="preserve"> letech naopak postupně n</w:t>
      </w:r>
      <w:r w:rsidR="00BA4388">
        <w:t>epatrně klesal (z 0,65 % na 0,5</w:t>
      </w:r>
      <w:r w:rsidR="005F06D8">
        <w:t>7</w:t>
      </w:r>
      <w:r w:rsidR="00F43204">
        <w:t xml:space="preserve"> %)</w:t>
      </w:r>
      <w:r>
        <w:t xml:space="preserve">. </w:t>
      </w:r>
    </w:p>
    <w:p w14:paraId="1959B9DA" w14:textId="77777777" w:rsidR="00946260" w:rsidRDefault="00946260" w:rsidP="00946260">
      <w:pPr>
        <w:spacing w:after="0" w:line="240" w:lineRule="auto"/>
        <w:jc w:val="both"/>
      </w:pPr>
    </w:p>
    <w:p w14:paraId="673E290E" w14:textId="5C7B7EA1" w:rsidR="00FA7769" w:rsidRDefault="00350E9B" w:rsidP="002709AC">
      <w:pPr>
        <w:keepNext/>
        <w:spacing w:after="120" w:line="240" w:lineRule="auto"/>
        <w:jc w:val="both"/>
        <w:rPr>
          <w:b/>
        </w:rPr>
      </w:pPr>
      <w:r w:rsidRPr="00350E9B">
        <w:rPr>
          <w:b/>
        </w:rPr>
        <w:t xml:space="preserve">Graf 3.7 Střední školy – </w:t>
      </w:r>
      <w:r w:rsidR="007F5DA5">
        <w:rPr>
          <w:b/>
        </w:rPr>
        <w:t xml:space="preserve">vývoj </w:t>
      </w:r>
      <w:r w:rsidRPr="00350E9B">
        <w:rPr>
          <w:b/>
        </w:rPr>
        <w:t>podíl</w:t>
      </w:r>
      <w:r w:rsidR="007F5DA5">
        <w:rPr>
          <w:b/>
        </w:rPr>
        <w:t>u</w:t>
      </w:r>
      <w:r w:rsidRPr="00350E9B">
        <w:rPr>
          <w:b/>
        </w:rPr>
        <w:t xml:space="preserve"> žáků středních škol v jednotlivých druzích vzdělávání</w:t>
      </w:r>
    </w:p>
    <w:p w14:paraId="56B9F8BE" w14:textId="6042D3AE" w:rsidR="00FA7769" w:rsidRDefault="005F749E" w:rsidP="00550EA0">
      <w:pPr>
        <w:keepNext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7EBF9FCF" wp14:editId="38912483">
            <wp:extent cx="6096000" cy="5486400"/>
            <wp:effectExtent l="0" t="0" r="0" b="0"/>
            <wp:docPr id="1394811244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EC52EB2C-EC93-4E81-9F78-25EF75FAAC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7887820" w14:textId="77777777" w:rsidR="00315557" w:rsidRDefault="00315557" w:rsidP="00315557">
      <w:pPr>
        <w:spacing w:after="0" w:line="240" w:lineRule="auto"/>
        <w:jc w:val="both"/>
      </w:pPr>
    </w:p>
    <w:p w14:paraId="09753B12" w14:textId="6B2252EF" w:rsidR="00D92ECC" w:rsidRDefault="00D92ECC" w:rsidP="00D92ECC">
      <w:pPr>
        <w:spacing w:after="120"/>
        <w:jc w:val="both"/>
      </w:pPr>
      <w:r w:rsidRPr="002A411C">
        <w:t>Srovnáme</w:t>
      </w:r>
      <w:r w:rsidR="007F5DA5">
        <w:t>-</w:t>
      </w:r>
      <w:r w:rsidRPr="002A411C">
        <w:t>li</w:t>
      </w:r>
      <w:r w:rsidR="00485B3C">
        <w:t xml:space="preserve"> situaci ve školním roce 202</w:t>
      </w:r>
      <w:r w:rsidR="005F06D8">
        <w:t>5</w:t>
      </w:r>
      <w:r w:rsidR="00BA4388">
        <w:t>/</w:t>
      </w:r>
      <w:r w:rsidR="00485B3C">
        <w:t>2</w:t>
      </w:r>
      <w:r w:rsidR="005F06D8">
        <w:t>6</w:t>
      </w:r>
      <w:r w:rsidRPr="001B3D8C">
        <w:t xml:space="preserve"> v jednotlivých krajích, pak lze konstatovat, že nejvyšší podíl žáků ve středním vzdělávání bez maturitní zkoušky (tj. max. s výučním listem) zaznamenal kraj </w:t>
      </w:r>
      <w:r w:rsidR="00485B3C">
        <w:t>Karlovarský (26,</w:t>
      </w:r>
      <w:r w:rsidR="00291B3D">
        <w:t>4</w:t>
      </w:r>
      <w:r w:rsidR="001B3D8C" w:rsidRPr="001B3D8C">
        <w:t xml:space="preserve"> %) a </w:t>
      </w:r>
      <w:r w:rsidRPr="001B3D8C">
        <w:t>Ústecký (</w:t>
      </w:r>
      <w:r w:rsidR="00485B3C">
        <w:t>26,</w:t>
      </w:r>
      <w:r w:rsidR="00291B3D">
        <w:t>3</w:t>
      </w:r>
      <w:r w:rsidRPr="001B3D8C">
        <w:t> </w:t>
      </w:r>
      <w:r w:rsidR="001B3D8C" w:rsidRPr="001B3D8C">
        <w:t>%)</w:t>
      </w:r>
      <w:r w:rsidRPr="001B3D8C">
        <w:t>. Naopak v Praze byl tento podíl</w:t>
      </w:r>
      <w:r>
        <w:t xml:space="preserve"> nejnižší (1</w:t>
      </w:r>
      <w:r w:rsidR="00291B3D">
        <w:t>2</w:t>
      </w:r>
      <w:r>
        <w:t>,</w:t>
      </w:r>
      <w:r w:rsidR="00291B3D">
        <w:t>8</w:t>
      </w:r>
      <w:r w:rsidRPr="004A5668">
        <w:t> %). V Praze byl mezi středoškoláky naopak ze všech krajů ne</w:t>
      </w:r>
      <w:r w:rsidR="00A4769D">
        <w:t>jvyšší podíl žáků gymnázií (37,</w:t>
      </w:r>
      <w:r w:rsidR="00291B3D">
        <w:t>6</w:t>
      </w:r>
      <w:r w:rsidRPr="004A5668">
        <w:t> %) a nadprůměrný</w:t>
      </w:r>
      <w:r w:rsidR="002C1D8F">
        <w:t xml:space="preserve"> byl i </w:t>
      </w:r>
      <w:r w:rsidR="001B3D8C">
        <w:t>v </w:t>
      </w:r>
      <w:r>
        <w:t xml:space="preserve">Jihomoravském kraji </w:t>
      </w:r>
      <w:r w:rsidR="00A4769D">
        <w:t>(3</w:t>
      </w:r>
      <w:r w:rsidR="00CE5752">
        <w:t>0</w:t>
      </w:r>
      <w:r w:rsidR="00A4769D">
        <w:t>,</w:t>
      </w:r>
      <w:r w:rsidR="00CE5752">
        <w:t>8</w:t>
      </w:r>
      <w:r>
        <w:t> %)</w:t>
      </w:r>
      <w:r w:rsidRPr="004A5668">
        <w:t xml:space="preserve">. Nejnižší podíl žáků gymnázií zaznamenal </w:t>
      </w:r>
      <w:r w:rsidR="005B16C1">
        <w:t>kraj</w:t>
      </w:r>
      <w:r w:rsidR="001B3D8C" w:rsidRPr="004A5668">
        <w:t xml:space="preserve"> Lib</w:t>
      </w:r>
      <w:r w:rsidR="00A4769D">
        <w:t>erecký (22,</w:t>
      </w:r>
      <w:r w:rsidR="00291B3D">
        <w:t>2</w:t>
      </w:r>
      <w:r w:rsidR="001B3D8C">
        <w:t xml:space="preserve"> %) a </w:t>
      </w:r>
      <w:r>
        <w:t xml:space="preserve">Ústecký </w:t>
      </w:r>
      <w:r w:rsidR="00A4769D">
        <w:t>(2</w:t>
      </w:r>
      <w:r w:rsidR="00291B3D">
        <w:t>2</w:t>
      </w:r>
      <w:r w:rsidR="00A4769D">
        <w:t>,</w:t>
      </w:r>
      <w:r w:rsidR="00291B3D">
        <w:t>7</w:t>
      </w:r>
      <w:r>
        <w:t> %). Doplňme, že srovnání je činěno dle sídla školy</w:t>
      </w:r>
      <w:r w:rsidR="007F5DA5">
        <w:t>,</w:t>
      </w:r>
      <w:r>
        <w:t xml:space="preserve"> a nikoliv dle bydliště studentů. Např. v Praze se vzdělává též spousta žáků s trvalým pobytem ve Středočeském kraji.</w:t>
      </w:r>
    </w:p>
    <w:p w14:paraId="7167D40A" w14:textId="77777777" w:rsidR="00D92ECC" w:rsidRPr="002A411C" w:rsidRDefault="00D92ECC" w:rsidP="00566C30">
      <w:pPr>
        <w:spacing w:after="120" w:line="276" w:lineRule="auto"/>
        <w:jc w:val="right"/>
        <w:rPr>
          <w:rFonts w:asciiTheme="minorHAnsi" w:hAnsiTheme="minorHAnsi" w:cs="Arial"/>
          <w:sz w:val="18"/>
        </w:rPr>
      </w:pPr>
    </w:p>
    <w:p w14:paraId="373E6DCF" w14:textId="2B60CEB6" w:rsidR="00FA7769" w:rsidRDefault="00350E9B" w:rsidP="00FA7769">
      <w:pPr>
        <w:keepNext/>
        <w:spacing w:after="120" w:line="240" w:lineRule="auto"/>
        <w:jc w:val="both"/>
        <w:rPr>
          <w:b/>
        </w:rPr>
      </w:pPr>
      <w:r w:rsidRPr="00350E9B">
        <w:rPr>
          <w:b/>
        </w:rPr>
        <w:lastRenderedPageBreak/>
        <w:t xml:space="preserve">Graf 3.8 Střední školy – podíl žáků různého druhu vzdělávání v ČR celkem </w:t>
      </w:r>
      <w:r w:rsidR="005D10AB">
        <w:rPr>
          <w:b/>
        </w:rPr>
        <w:t xml:space="preserve">v krajích </w:t>
      </w:r>
      <w:r w:rsidRPr="00350E9B">
        <w:rPr>
          <w:b/>
        </w:rPr>
        <w:t xml:space="preserve">dle </w:t>
      </w:r>
      <w:r w:rsidR="005D10AB">
        <w:rPr>
          <w:b/>
        </w:rPr>
        <w:t>sídla školy</w:t>
      </w:r>
      <w:r w:rsidRPr="00350E9B">
        <w:rPr>
          <w:b/>
        </w:rPr>
        <w:t xml:space="preserve"> </w:t>
      </w:r>
      <w:r w:rsidR="005D10AB">
        <w:rPr>
          <w:b/>
        </w:rPr>
        <w:t xml:space="preserve">ve školním roce </w:t>
      </w:r>
      <w:r w:rsidRPr="00350E9B">
        <w:rPr>
          <w:b/>
        </w:rPr>
        <w:t>202</w:t>
      </w:r>
      <w:r w:rsidR="00E25111">
        <w:rPr>
          <w:b/>
        </w:rPr>
        <w:t>5</w:t>
      </w:r>
      <w:r w:rsidRPr="00350E9B">
        <w:rPr>
          <w:b/>
        </w:rPr>
        <w:t>/2</w:t>
      </w:r>
      <w:r w:rsidR="00E25111">
        <w:rPr>
          <w:b/>
        </w:rPr>
        <w:t>6</w:t>
      </w:r>
    </w:p>
    <w:p w14:paraId="71076082" w14:textId="7642AB7C" w:rsidR="00FA7769" w:rsidRPr="0029569A" w:rsidRDefault="00706D26" w:rsidP="00FA7769">
      <w:pPr>
        <w:keepNext/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76B9ADE1" wp14:editId="30F5BAFB">
            <wp:extent cx="6120130" cy="3258820"/>
            <wp:effectExtent l="0" t="0" r="0" b="17780"/>
            <wp:docPr id="69861526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A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30E51EA" w14:textId="15E40510" w:rsidR="009E3798" w:rsidRDefault="00B22B13" w:rsidP="00FA7769">
      <w:pPr>
        <w:spacing w:after="120"/>
        <w:jc w:val="both"/>
        <w:rPr>
          <w:rFonts w:cs="Arial"/>
          <w:szCs w:val="20"/>
        </w:rPr>
      </w:pPr>
      <w:r w:rsidRPr="00667A41">
        <w:rPr>
          <w:rFonts w:cs="Arial"/>
          <w:szCs w:val="20"/>
        </w:rPr>
        <w:t xml:space="preserve">Jak bylo uvedeno v úvodu této kapitoly, gymnázia je možné studovat v rámci osmiletého, šestiletého či čtyřletého programu. </w:t>
      </w:r>
      <w:r w:rsidR="002425D9" w:rsidRPr="00667A41">
        <w:rPr>
          <w:rFonts w:cs="Arial"/>
          <w:szCs w:val="20"/>
        </w:rPr>
        <w:t>Pokud odhlédneme od žáků plnících si na gymnáziích povinnou</w:t>
      </w:r>
      <w:r w:rsidR="004674B4" w:rsidRPr="00667A41">
        <w:rPr>
          <w:rFonts w:cs="Arial"/>
          <w:szCs w:val="20"/>
        </w:rPr>
        <w:t xml:space="preserve"> školní docházku, pak </w:t>
      </w:r>
      <w:r w:rsidR="00DC2C40" w:rsidRPr="00667A41">
        <w:rPr>
          <w:rFonts w:cs="Arial"/>
          <w:szCs w:val="20"/>
        </w:rPr>
        <w:t xml:space="preserve">ze žáků </w:t>
      </w:r>
      <w:r w:rsidR="004674B4" w:rsidRPr="00667A41">
        <w:rPr>
          <w:rFonts w:cs="Arial"/>
          <w:szCs w:val="20"/>
        </w:rPr>
        <w:t>ve vyšším</w:t>
      </w:r>
      <w:r w:rsidR="002425D9" w:rsidRPr="00667A41">
        <w:rPr>
          <w:rFonts w:cs="Arial"/>
          <w:szCs w:val="20"/>
        </w:rPr>
        <w:t xml:space="preserve"> </w:t>
      </w:r>
      <w:r w:rsidR="004674B4" w:rsidRPr="00667A41">
        <w:rPr>
          <w:rFonts w:cs="Arial"/>
          <w:szCs w:val="20"/>
        </w:rPr>
        <w:t>stupni gymnázia</w:t>
      </w:r>
      <w:r w:rsidR="002425D9" w:rsidRPr="00667A41">
        <w:rPr>
          <w:rFonts w:cs="Arial"/>
          <w:szCs w:val="20"/>
        </w:rPr>
        <w:t xml:space="preserve"> (tj. </w:t>
      </w:r>
      <w:r w:rsidR="004674B4" w:rsidRPr="00667A41">
        <w:rPr>
          <w:rFonts w:cs="Arial"/>
          <w:szCs w:val="20"/>
        </w:rPr>
        <w:t xml:space="preserve">ve </w:t>
      </w:r>
      <w:r w:rsidR="002425D9" w:rsidRPr="00667A41">
        <w:rPr>
          <w:rFonts w:cs="Arial"/>
          <w:szCs w:val="20"/>
        </w:rPr>
        <w:t xml:space="preserve">čtyřech </w:t>
      </w:r>
      <w:r w:rsidR="004674B4" w:rsidRPr="00667A41">
        <w:rPr>
          <w:rFonts w:cs="Arial"/>
          <w:szCs w:val="20"/>
        </w:rPr>
        <w:t xml:space="preserve">ročnících </w:t>
      </w:r>
      <w:r w:rsidR="002425D9" w:rsidRPr="00667A41">
        <w:rPr>
          <w:rFonts w:cs="Arial"/>
          <w:szCs w:val="20"/>
        </w:rPr>
        <w:t>před složením maturitní zk</w:t>
      </w:r>
      <w:r w:rsidR="00A4769D" w:rsidRPr="00667A41">
        <w:rPr>
          <w:rFonts w:cs="Arial"/>
          <w:szCs w:val="20"/>
        </w:rPr>
        <w:t>oušky) bylo ve školním roce 202</w:t>
      </w:r>
      <w:r w:rsidR="00D73940" w:rsidRPr="00667A41">
        <w:rPr>
          <w:rFonts w:cs="Arial"/>
          <w:szCs w:val="20"/>
        </w:rPr>
        <w:t>5</w:t>
      </w:r>
      <w:r w:rsidR="00A4769D" w:rsidRPr="00667A41">
        <w:rPr>
          <w:rFonts w:cs="Arial"/>
          <w:szCs w:val="20"/>
        </w:rPr>
        <w:t>/2</w:t>
      </w:r>
      <w:r w:rsidR="00D73940" w:rsidRPr="00667A41">
        <w:rPr>
          <w:rFonts w:cs="Arial"/>
          <w:szCs w:val="20"/>
        </w:rPr>
        <w:t>6</w:t>
      </w:r>
      <w:r w:rsidR="00DC2C40" w:rsidRPr="00667A41">
        <w:rPr>
          <w:rFonts w:cs="Arial"/>
          <w:szCs w:val="20"/>
        </w:rPr>
        <w:t xml:space="preserve"> celke</w:t>
      </w:r>
      <w:r w:rsidR="00A4769D" w:rsidRPr="00667A41">
        <w:rPr>
          <w:rFonts w:cs="Arial"/>
          <w:szCs w:val="20"/>
        </w:rPr>
        <w:t>m</w:t>
      </w:r>
      <w:r w:rsidR="00A4769D">
        <w:rPr>
          <w:rFonts w:cs="Arial"/>
          <w:szCs w:val="20"/>
        </w:rPr>
        <w:t xml:space="preserve"> 5</w:t>
      </w:r>
      <w:r w:rsidR="00667A41">
        <w:rPr>
          <w:rFonts w:cs="Arial"/>
          <w:szCs w:val="20"/>
        </w:rPr>
        <w:t>8</w:t>
      </w:r>
      <w:r w:rsidR="00A4769D">
        <w:rPr>
          <w:rFonts w:cs="Arial"/>
          <w:szCs w:val="20"/>
        </w:rPr>
        <w:t>,</w:t>
      </w:r>
      <w:r w:rsidR="00667A41">
        <w:rPr>
          <w:rFonts w:cs="Arial"/>
          <w:szCs w:val="20"/>
        </w:rPr>
        <w:t>6</w:t>
      </w:r>
      <w:r w:rsidR="002425D9">
        <w:rPr>
          <w:rFonts w:cs="Arial"/>
          <w:szCs w:val="20"/>
        </w:rPr>
        <w:t> % za</w:t>
      </w:r>
      <w:r w:rsidR="00A4769D">
        <w:rPr>
          <w:rFonts w:cs="Arial"/>
          <w:szCs w:val="20"/>
        </w:rPr>
        <w:t>psáno</w:t>
      </w:r>
      <w:r w:rsidR="00681015">
        <w:rPr>
          <w:rFonts w:cs="Arial"/>
          <w:szCs w:val="20"/>
        </w:rPr>
        <w:t xml:space="preserve"> ve č</w:t>
      </w:r>
      <w:r w:rsidR="00A4769D">
        <w:rPr>
          <w:rFonts w:cs="Arial"/>
          <w:szCs w:val="20"/>
        </w:rPr>
        <w:t xml:space="preserve">tyřletém gymnáziu, </w:t>
      </w:r>
      <w:r w:rsidR="00667A41">
        <w:rPr>
          <w:rFonts w:cs="Arial"/>
          <w:szCs w:val="20"/>
        </w:rPr>
        <w:t>8</w:t>
      </w:r>
      <w:r w:rsidR="00A4769D">
        <w:rPr>
          <w:rFonts w:cs="Arial"/>
          <w:szCs w:val="20"/>
        </w:rPr>
        <w:t>,</w:t>
      </w:r>
      <w:r w:rsidR="00667A41">
        <w:rPr>
          <w:rFonts w:cs="Arial"/>
          <w:szCs w:val="20"/>
        </w:rPr>
        <w:t>7</w:t>
      </w:r>
      <w:r w:rsidR="002425D9">
        <w:rPr>
          <w:rFonts w:cs="Arial"/>
          <w:szCs w:val="20"/>
        </w:rPr>
        <w:t xml:space="preserve"> % v šestiletém </w:t>
      </w:r>
      <w:r w:rsidR="00A4769D">
        <w:rPr>
          <w:rFonts w:cs="Arial"/>
          <w:szCs w:val="20"/>
        </w:rPr>
        <w:t>a 3</w:t>
      </w:r>
      <w:r w:rsidR="00667A41">
        <w:rPr>
          <w:rFonts w:cs="Arial"/>
          <w:szCs w:val="20"/>
        </w:rPr>
        <w:t>2</w:t>
      </w:r>
      <w:r w:rsidR="00A4769D">
        <w:rPr>
          <w:rFonts w:cs="Arial"/>
          <w:szCs w:val="20"/>
        </w:rPr>
        <w:t>,</w:t>
      </w:r>
      <w:r w:rsidR="00667A41">
        <w:rPr>
          <w:rFonts w:cs="Arial"/>
          <w:szCs w:val="20"/>
        </w:rPr>
        <w:t>6</w:t>
      </w:r>
      <w:r w:rsidR="002425D9">
        <w:rPr>
          <w:rFonts w:cs="Arial"/>
          <w:szCs w:val="20"/>
        </w:rPr>
        <w:t> % v osm</w:t>
      </w:r>
      <w:r w:rsidR="00F25ADA">
        <w:rPr>
          <w:rFonts w:cs="Arial"/>
          <w:szCs w:val="20"/>
        </w:rPr>
        <w:t xml:space="preserve">iletém. Jak je dále z grafu </w:t>
      </w:r>
      <w:r w:rsidR="00CA022E">
        <w:rPr>
          <w:rFonts w:cs="Arial"/>
          <w:szCs w:val="20"/>
        </w:rPr>
        <w:t>č. </w:t>
      </w:r>
      <w:r w:rsidR="00F25ADA">
        <w:rPr>
          <w:rFonts w:cs="Arial"/>
          <w:szCs w:val="20"/>
        </w:rPr>
        <w:t>3.9</w:t>
      </w:r>
      <w:r w:rsidR="002425D9">
        <w:rPr>
          <w:rFonts w:cs="Arial"/>
          <w:szCs w:val="20"/>
        </w:rPr>
        <w:t xml:space="preserve"> zřejmé, podíl žáků</w:t>
      </w:r>
      <w:r w:rsidR="00667A41">
        <w:rPr>
          <w:rFonts w:cs="Arial"/>
          <w:szCs w:val="20"/>
        </w:rPr>
        <w:t xml:space="preserve"> vyšších ročníků gymnázií, kteří studují v rámci čtyřletého programu, se od školního roku 2019/20 zvyšuje na úkor žáků ve víceletých gymnáziích, patrně</w:t>
      </w:r>
      <w:r w:rsidR="00D3262C">
        <w:rPr>
          <w:rFonts w:cs="Arial"/>
          <w:szCs w:val="20"/>
        </w:rPr>
        <w:t xml:space="preserve"> v reakci na zvyšující se počet obyvatel ve věku 15</w:t>
      </w:r>
      <w:r w:rsidR="002C291A">
        <w:rPr>
          <w:rFonts w:cs="Arial"/>
          <w:szCs w:val="20"/>
        </w:rPr>
        <w:t>–</w:t>
      </w:r>
      <w:r w:rsidR="00D3262C">
        <w:rPr>
          <w:rFonts w:cs="Arial"/>
          <w:szCs w:val="20"/>
        </w:rPr>
        <w:t xml:space="preserve">18 let </w:t>
      </w:r>
      <w:r w:rsidR="00CA022E">
        <w:rPr>
          <w:rFonts w:cs="Arial"/>
          <w:szCs w:val="20"/>
        </w:rPr>
        <w:t>k 1.7., </w:t>
      </w:r>
      <w:r w:rsidR="009D16E2">
        <w:rPr>
          <w:rFonts w:cs="Arial"/>
          <w:szCs w:val="20"/>
        </w:rPr>
        <w:t xml:space="preserve">tedy v době před zahájením školního roku, </w:t>
      </w:r>
      <w:r w:rsidR="00D3262C">
        <w:rPr>
          <w:rFonts w:cs="Arial"/>
          <w:szCs w:val="20"/>
        </w:rPr>
        <w:t>v</w:t>
      </w:r>
      <w:r w:rsidR="00667A41">
        <w:rPr>
          <w:rFonts w:cs="Arial"/>
          <w:szCs w:val="20"/>
        </w:rPr>
        <w:t> </w:t>
      </w:r>
      <w:r w:rsidR="009D16E2">
        <w:rPr>
          <w:rFonts w:cs="Arial"/>
          <w:szCs w:val="20"/>
        </w:rPr>
        <w:t>Česku</w:t>
      </w:r>
      <w:r w:rsidR="00667A41">
        <w:rPr>
          <w:rFonts w:cs="Arial"/>
          <w:szCs w:val="20"/>
        </w:rPr>
        <w:t xml:space="preserve"> </w:t>
      </w:r>
      <w:r w:rsidR="00D3262C">
        <w:rPr>
          <w:rFonts w:cs="Arial"/>
          <w:szCs w:val="20"/>
        </w:rPr>
        <w:t>(viz graf</w:t>
      </w:r>
      <w:r w:rsidR="009D16E2">
        <w:rPr>
          <w:rFonts w:cs="Arial"/>
          <w:szCs w:val="20"/>
        </w:rPr>
        <w:t>y</w:t>
      </w:r>
      <w:r w:rsidR="00D3262C">
        <w:rPr>
          <w:rFonts w:cs="Arial"/>
          <w:szCs w:val="20"/>
        </w:rPr>
        <w:t xml:space="preserve"> č. </w:t>
      </w:r>
      <w:r w:rsidR="009D16E2">
        <w:rPr>
          <w:rFonts w:cs="Arial"/>
          <w:szCs w:val="20"/>
        </w:rPr>
        <w:t xml:space="preserve">2.5 a </w:t>
      </w:r>
      <w:r w:rsidR="00D3262C">
        <w:rPr>
          <w:rFonts w:cs="Arial"/>
          <w:szCs w:val="20"/>
        </w:rPr>
        <w:t>3.2 výše)</w:t>
      </w:r>
      <w:r w:rsidR="00813F2D">
        <w:rPr>
          <w:rFonts w:cs="Arial"/>
          <w:szCs w:val="20"/>
        </w:rPr>
        <w:t>.</w:t>
      </w:r>
      <w:r w:rsidR="002425D9">
        <w:rPr>
          <w:rFonts w:cs="Arial"/>
          <w:szCs w:val="20"/>
        </w:rPr>
        <w:t xml:space="preserve"> </w:t>
      </w:r>
    </w:p>
    <w:p w14:paraId="17694D0F" w14:textId="77777777" w:rsidR="00B22B13" w:rsidRDefault="00C518C2" w:rsidP="005F6132">
      <w:pPr>
        <w:spacing w:after="120" w:line="240" w:lineRule="auto"/>
        <w:jc w:val="both"/>
        <w:rPr>
          <w:b/>
        </w:rPr>
      </w:pPr>
      <w:r>
        <w:rPr>
          <w:b/>
        </w:rPr>
        <w:t>Graf 3.9</w:t>
      </w:r>
      <w:r w:rsidR="009411BF">
        <w:rPr>
          <w:b/>
        </w:rPr>
        <w:t xml:space="preserve"> Gymnázia</w:t>
      </w:r>
      <w:r w:rsidR="009411BF" w:rsidRPr="00C3589B">
        <w:t xml:space="preserve"> </w:t>
      </w:r>
      <w:r w:rsidR="009411BF" w:rsidRPr="0029569A">
        <w:rPr>
          <w:b/>
        </w:rPr>
        <w:t>–</w:t>
      </w:r>
      <w:r w:rsidR="00F07BDE">
        <w:rPr>
          <w:b/>
        </w:rPr>
        <w:t xml:space="preserve"> rozložení </w:t>
      </w:r>
      <w:r w:rsidR="009411BF" w:rsidRPr="0029569A">
        <w:rPr>
          <w:b/>
        </w:rPr>
        <w:t xml:space="preserve">žáků </w:t>
      </w:r>
      <w:r w:rsidR="004674B4">
        <w:rPr>
          <w:b/>
        </w:rPr>
        <w:t>vyššího stupně gymnázia</w:t>
      </w:r>
      <w:r w:rsidR="00F07BDE">
        <w:rPr>
          <w:b/>
        </w:rPr>
        <w:t xml:space="preserve"> dle oboru </w:t>
      </w:r>
      <w:r w:rsidR="0021606F">
        <w:rPr>
          <w:b/>
        </w:rPr>
        <w:t>gymnázií</w:t>
      </w:r>
    </w:p>
    <w:p w14:paraId="3DBE0421" w14:textId="76FAC230" w:rsidR="00F07BDE" w:rsidRPr="009411BF" w:rsidRDefault="00D248D6" w:rsidP="005F6132">
      <w:pPr>
        <w:spacing w:after="120" w:line="240" w:lineRule="auto"/>
        <w:jc w:val="both"/>
        <w:rPr>
          <w:b/>
        </w:rPr>
      </w:pPr>
      <w:r>
        <w:rPr>
          <w:noProof/>
        </w:rPr>
        <w:drawing>
          <wp:inline distT="0" distB="0" distL="0" distR="0" wp14:anchorId="0CF8A20D" wp14:editId="68B93E39">
            <wp:extent cx="6066790" cy="3038475"/>
            <wp:effectExtent l="0" t="0" r="0" b="9525"/>
            <wp:docPr id="214673114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3626C8E8-1E51-496B-9979-68A798F61D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DB12AFF" w14:textId="419CE87B" w:rsidR="008D4C38" w:rsidRDefault="008D4C38" w:rsidP="00FA7769">
      <w:pPr>
        <w:spacing w:after="120"/>
        <w:jc w:val="both"/>
        <w:rPr>
          <w:rFonts w:cs="Arial"/>
          <w:szCs w:val="20"/>
        </w:rPr>
      </w:pPr>
      <w:r w:rsidRPr="00814EFF">
        <w:rPr>
          <w:rFonts w:cs="Arial"/>
          <w:szCs w:val="20"/>
        </w:rPr>
        <w:t>Mezi žáky v nižších ročnících víceletých gymnázií spadajících do povinné školní do</w:t>
      </w:r>
      <w:r w:rsidR="00D564E0" w:rsidRPr="00814EFF">
        <w:rPr>
          <w:rFonts w:cs="Arial"/>
          <w:szCs w:val="20"/>
        </w:rPr>
        <w:t>cházky bylo v</w:t>
      </w:r>
      <w:r w:rsidR="004F4F77" w:rsidRPr="00814EFF">
        <w:rPr>
          <w:rFonts w:cs="Arial"/>
          <w:szCs w:val="20"/>
        </w:rPr>
        <w:t>e školním roce 202</w:t>
      </w:r>
      <w:r w:rsidR="00814EFF" w:rsidRPr="00814EFF">
        <w:rPr>
          <w:rFonts w:cs="Arial"/>
          <w:szCs w:val="20"/>
        </w:rPr>
        <w:t>5</w:t>
      </w:r>
      <w:r w:rsidR="004F4F77" w:rsidRPr="00814EFF">
        <w:rPr>
          <w:rFonts w:cs="Arial"/>
          <w:szCs w:val="20"/>
        </w:rPr>
        <w:t>/2</w:t>
      </w:r>
      <w:r w:rsidR="00814EFF" w:rsidRPr="00814EFF">
        <w:rPr>
          <w:rFonts w:cs="Arial"/>
          <w:szCs w:val="20"/>
        </w:rPr>
        <w:t>6</w:t>
      </w:r>
      <w:r w:rsidR="00D01DF6" w:rsidRPr="00814EFF">
        <w:rPr>
          <w:rFonts w:cs="Arial"/>
          <w:szCs w:val="20"/>
        </w:rPr>
        <w:t xml:space="preserve"> přitom 5</w:t>
      </w:r>
      <w:r w:rsidR="00814EFF" w:rsidRPr="00814EFF">
        <w:rPr>
          <w:rFonts w:cs="Arial"/>
          <w:szCs w:val="20"/>
        </w:rPr>
        <w:t>1</w:t>
      </w:r>
      <w:r w:rsidR="00D01DF6" w:rsidRPr="00814EFF">
        <w:rPr>
          <w:rFonts w:cs="Arial"/>
          <w:szCs w:val="20"/>
        </w:rPr>
        <w:t>,</w:t>
      </w:r>
      <w:r w:rsidR="00814EFF" w:rsidRPr="00814EFF">
        <w:rPr>
          <w:rFonts w:cs="Arial"/>
          <w:szCs w:val="20"/>
        </w:rPr>
        <w:t>8</w:t>
      </w:r>
      <w:r w:rsidRPr="00814EFF">
        <w:rPr>
          <w:rFonts w:cs="Arial"/>
          <w:szCs w:val="20"/>
        </w:rPr>
        <w:t> % dívek</w:t>
      </w:r>
      <w:r w:rsidR="00CD43FB" w:rsidRPr="00814EFF">
        <w:rPr>
          <w:rFonts w:cs="Arial"/>
          <w:szCs w:val="20"/>
        </w:rPr>
        <w:t>. G</w:t>
      </w:r>
      <w:r w:rsidRPr="00814EFF">
        <w:rPr>
          <w:rFonts w:cs="Arial"/>
          <w:szCs w:val="20"/>
        </w:rPr>
        <w:t>enderové</w:t>
      </w:r>
      <w:r>
        <w:rPr>
          <w:rFonts w:cs="Arial"/>
          <w:szCs w:val="20"/>
        </w:rPr>
        <w:t xml:space="preserve"> složení bylo </w:t>
      </w:r>
      <w:r w:rsidR="00CD43FB">
        <w:rPr>
          <w:rFonts w:cs="Arial"/>
          <w:szCs w:val="20"/>
        </w:rPr>
        <w:t xml:space="preserve">tedy </w:t>
      </w:r>
      <w:r>
        <w:rPr>
          <w:rFonts w:cs="Arial"/>
          <w:szCs w:val="20"/>
        </w:rPr>
        <w:t xml:space="preserve">poměrně vyrovnané. Ve </w:t>
      </w:r>
      <w:r w:rsidR="004674B4">
        <w:rPr>
          <w:rFonts w:cs="Arial"/>
          <w:szCs w:val="20"/>
        </w:rPr>
        <w:t xml:space="preserve">vyšším stupni </w:t>
      </w:r>
      <w:r w:rsidR="004674B4">
        <w:rPr>
          <w:rFonts w:cs="Arial"/>
          <w:szCs w:val="20"/>
        </w:rPr>
        <w:lastRenderedPageBreak/>
        <w:t xml:space="preserve">gymnázia </w:t>
      </w:r>
      <w:r>
        <w:rPr>
          <w:rFonts w:cs="Arial"/>
          <w:szCs w:val="20"/>
        </w:rPr>
        <w:t xml:space="preserve">však již dívky </w:t>
      </w:r>
      <w:r w:rsidR="00983D6C">
        <w:rPr>
          <w:rFonts w:cs="Arial"/>
          <w:szCs w:val="20"/>
        </w:rPr>
        <w:t xml:space="preserve">tvořily </w:t>
      </w:r>
      <w:r w:rsidR="00D01DF6">
        <w:rPr>
          <w:rFonts w:cs="Arial"/>
          <w:szCs w:val="20"/>
        </w:rPr>
        <w:t>téměř tři pětiny z celku (57,</w:t>
      </w:r>
      <w:r w:rsidR="00814EFF">
        <w:rPr>
          <w:rFonts w:cs="Arial"/>
          <w:szCs w:val="20"/>
        </w:rPr>
        <w:t>7</w:t>
      </w:r>
      <w:r>
        <w:rPr>
          <w:rFonts w:cs="Arial"/>
          <w:szCs w:val="20"/>
        </w:rPr>
        <w:t> %).</w:t>
      </w:r>
      <w:r w:rsidR="004674B4">
        <w:rPr>
          <w:rFonts w:cs="Arial"/>
          <w:szCs w:val="20"/>
        </w:rPr>
        <w:t xml:space="preserve"> </w:t>
      </w:r>
      <w:r w:rsidR="009204F9">
        <w:rPr>
          <w:rFonts w:cs="Arial"/>
          <w:szCs w:val="20"/>
        </w:rPr>
        <w:t xml:space="preserve">Po ukončení povinné školní docházky </w:t>
      </w:r>
      <w:r w:rsidR="005E5D8D">
        <w:rPr>
          <w:rFonts w:cs="Arial"/>
          <w:szCs w:val="20"/>
        </w:rPr>
        <w:t xml:space="preserve">na základní škole </w:t>
      </w:r>
      <w:r w:rsidR="009204F9">
        <w:rPr>
          <w:rFonts w:cs="Arial"/>
          <w:szCs w:val="20"/>
        </w:rPr>
        <w:t>tak do</w:t>
      </w:r>
      <w:r w:rsidR="00F00C8B">
        <w:rPr>
          <w:rFonts w:cs="Arial"/>
          <w:szCs w:val="20"/>
        </w:rPr>
        <w:t xml:space="preserve"> gymnázií odcházejí ve vět</w:t>
      </w:r>
      <w:r w:rsidR="009204F9">
        <w:rPr>
          <w:rFonts w:cs="Arial"/>
          <w:szCs w:val="20"/>
        </w:rPr>
        <w:t xml:space="preserve">ší míře dívky než chlapci. </w:t>
      </w:r>
    </w:p>
    <w:p w14:paraId="50CB5DA4" w14:textId="77777777" w:rsidR="00E92235" w:rsidRDefault="00FA7769" w:rsidP="008D4C38">
      <w:pPr>
        <w:spacing w:after="120"/>
        <w:jc w:val="both"/>
        <w:rPr>
          <w:rFonts w:cs="Arial"/>
          <w:szCs w:val="20"/>
        </w:rPr>
      </w:pPr>
      <w:r w:rsidRPr="00814EFF">
        <w:rPr>
          <w:rFonts w:cs="Arial"/>
          <w:b/>
          <w:szCs w:val="20"/>
        </w:rPr>
        <w:t>V rámci středního</w:t>
      </w:r>
      <w:r w:rsidRPr="000879C8">
        <w:rPr>
          <w:rFonts w:cs="Arial"/>
          <w:b/>
          <w:szCs w:val="20"/>
        </w:rPr>
        <w:t xml:space="preserve"> odborného vzdělávání</w:t>
      </w:r>
      <w:r w:rsidRPr="0098512B">
        <w:rPr>
          <w:rFonts w:cs="Arial"/>
          <w:szCs w:val="20"/>
        </w:rPr>
        <w:t xml:space="preserve"> s výučním listem, s maturitní zkouškou či nástavbového studia se mohou navíc žáci vzdělávat </w:t>
      </w:r>
      <w:r w:rsidRPr="0098512B">
        <w:rPr>
          <w:rFonts w:cs="Arial"/>
          <w:b/>
          <w:szCs w:val="20"/>
        </w:rPr>
        <w:t>v různých oborech</w:t>
      </w:r>
      <w:r w:rsidRPr="0098512B">
        <w:rPr>
          <w:rFonts w:cs="Arial"/>
          <w:szCs w:val="20"/>
        </w:rPr>
        <w:t>, které jsou pro účely statistik uspořádány do skupin dle Klasifikace kmenových oborů vzdělávání</w:t>
      </w:r>
      <w:r w:rsidRPr="004B4219">
        <w:rPr>
          <w:rFonts w:cs="Arial"/>
          <w:szCs w:val="20"/>
        </w:rPr>
        <w:t xml:space="preserve"> (KKOV)</w:t>
      </w:r>
      <w:r w:rsidRPr="004B4219">
        <w:rPr>
          <w:rStyle w:val="Znakapoznpodarou"/>
          <w:rFonts w:cs="Arial"/>
          <w:szCs w:val="20"/>
        </w:rPr>
        <w:footnoteReference w:id="4"/>
      </w:r>
      <w:r w:rsidRPr="004B4219">
        <w:rPr>
          <w:rFonts w:cs="Arial"/>
          <w:szCs w:val="20"/>
        </w:rPr>
        <w:t xml:space="preserve">. </w:t>
      </w:r>
    </w:p>
    <w:p w14:paraId="24D430B9" w14:textId="56BC47C7" w:rsidR="00E24A9E" w:rsidRPr="004B4219" w:rsidRDefault="00E92235" w:rsidP="008D4C38">
      <w:pPr>
        <w:spacing w:after="120"/>
        <w:jc w:val="both"/>
        <w:rPr>
          <w:rFonts w:cs="Arial"/>
          <w:szCs w:val="20"/>
        </w:rPr>
      </w:pPr>
      <w:r w:rsidRPr="004B4219">
        <w:rPr>
          <w:rFonts w:cs="Arial"/>
          <w:szCs w:val="20"/>
        </w:rPr>
        <w:t>V tabulkové části této pub</w:t>
      </w:r>
      <w:r>
        <w:rPr>
          <w:rFonts w:cs="Arial"/>
          <w:szCs w:val="20"/>
        </w:rPr>
        <w:t>likace jsou k dispozici údaje o </w:t>
      </w:r>
      <w:r w:rsidRPr="004B4219">
        <w:rPr>
          <w:rFonts w:cs="Arial"/>
          <w:szCs w:val="20"/>
        </w:rPr>
        <w:t>počtech žáků jednotlivých skupin oborů vzdě</w:t>
      </w:r>
      <w:r w:rsidR="00D157F8">
        <w:rPr>
          <w:rFonts w:cs="Arial"/>
          <w:szCs w:val="20"/>
        </w:rPr>
        <w:t>l</w:t>
      </w:r>
      <w:r>
        <w:rPr>
          <w:rFonts w:cs="Arial"/>
          <w:szCs w:val="20"/>
        </w:rPr>
        <w:t xml:space="preserve">ání v desetileté časové </w:t>
      </w:r>
      <w:r w:rsidR="0098512B">
        <w:rPr>
          <w:rFonts w:cs="Arial"/>
          <w:szCs w:val="20"/>
        </w:rPr>
        <w:t>řadě, tedy od školního roku 201</w:t>
      </w:r>
      <w:r w:rsidR="00814EFF">
        <w:rPr>
          <w:rFonts w:cs="Arial"/>
          <w:szCs w:val="20"/>
        </w:rPr>
        <w:t>5</w:t>
      </w:r>
      <w:r w:rsidR="0098512B">
        <w:rPr>
          <w:rFonts w:cs="Arial"/>
          <w:szCs w:val="20"/>
        </w:rPr>
        <w:t>/1</w:t>
      </w:r>
      <w:r w:rsidR="00814EFF">
        <w:rPr>
          <w:rFonts w:cs="Arial"/>
          <w:szCs w:val="20"/>
        </w:rPr>
        <w:t>6</w:t>
      </w:r>
      <w:r w:rsidRPr="004B4219">
        <w:rPr>
          <w:rFonts w:cs="Arial"/>
          <w:szCs w:val="20"/>
        </w:rPr>
        <w:t>. Pro nástin vývoje</w:t>
      </w:r>
      <w:r>
        <w:rPr>
          <w:rFonts w:cs="Arial"/>
          <w:szCs w:val="20"/>
        </w:rPr>
        <w:t xml:space="preserve"> počtu žáků v různých skupinách oborů</w:t>
      </w:r>
      <w:r w:rsidRPr="004B4219">
        <w:rPr>
          <w:rFonts w:cs="Arial"/>
          <w:szCs w:val="20"/>
        </w:rPr>
        <w:t xml:space="preserve"> jsme však zvolili porovnání se stavem před pěti let</w:t>
      </w:r>
      <w:r>
        <w:rPr>
          <w:rFonts w:cs="Arial"/>
          <w:szCs w:val="20"/>
        </w:rPr>
        <w:t>y, nikoliv před deseti</w:t>
      </w:r>
      <w:r w:rsidRPr="004B4219">
        <w:rPr>
          <w:rFonts w:cs="Arial"/>
          <w:szCs w:val="20"/>
        </w:rPr>
        <w:t>.</w:t>
      </w:r>
    </w:p>
    <w:p w14:paraId="7B5E025E" w14:textId="465DC4D0" w:rsidR="00A32242" w:rsidRDefault="001122A8" w:rsidP="001764DA">
      <w:pPr>
        <w:spacing w:after="120"/>
        <w:jc w:val="both"/>
        <w:rPr>
          <w:rFonts w:cs="Arial"/>
          <w:szCs w:val="20"/>
        </w:rPr>
      </w:pPr>
      <w:r w:rsidRPr="00551949">
        <w:rPr>
          <w:rFonts w:cs="Arial"/>
          <w:szCs w:val="20"/>
        </w:rPr>
        <w:t xml:space="preserve">Graf </w:t>
      </w:r>
      <w:r w:rsidR="000879C8" w:rsidRPr="00551949">
        <w:rPr>
          <w:rFonts w:cs="Arial"/>
          <w:szCs w:val="20"/>
        </w:rPr>
        <w:t>č </w:t>
      </w:r>
      <w:r w:rsidRPr="00551949">
        <w:rPr>
          <w:rFonts w:cs="Arial"/>
          <w:szCs w:val="20"/>
        </w:rPr>
        <w:t>3.10</w:t>
      </w:r>
      <w:r w:rsidR="00FA7769" w:rsidRPr="00551949">
        <w:rPr>
          <w:rFonts w:cs="Arial"/>
          <w:szCs w:val="20"/>
        </w:rPr>
        <w:t xml:space="preserve"> uvádí</w:t>
      </w:r>
      <w:r w:rsidR="00FA7769" w:rsidRPr="004B4219">
        <w:rPr>
          <w:rFonts w:cs="Arial"/>
          <w:szCs w:val="20"/>
        </w:rPr>
        <w:t xml:space="preserve"> počty žáků (v tisících), kteří se vzdělávali v různých oborech </w:t>
      </w:r>
      <w:r w:rsidR="00FA7769" w:rsidRPr="004B4219">
        <w:rPr>
          <w:rFonts w:cs="Arial"/>
          <w:b/>
          <w:szCs w:val="20"/>
        </w:rPr>
        <w:t>středního</w:t>
      </w:r>
      <w:r w:rsidR="00FA7769" w:rsidRPr="004B4219">
        <w:rPr>
          <w:rFonts w:cs="Arial"/>
          <w:szCs w:val="20"/>
        </w:rPr>
        <w:t xml:space="preserve"> </w:t>
      </w:r>
      <w:r w:rsidR="00FA7769" w:rsidRPr="004B4219">
        <w:rPr>
          <w:rFonts w:cs="Arial"/>
          <w:b/>
          <w:szCs w:val="20"/>
        </w:rPr>
        <w:t>odborného vzdělávání s výučním listem</w:t>
      </w:r>
      <w:r w:rsidR="00FA7769" w:rsidRPr="004B4219">
        <w:rPr>
          <w:rFonts w:cs="Arial"/>
          <w:szCs w:val="20"/>
        </w:rPr>
        <w:t>. Zahrnuje pouze skupiny oborů, ve</w:t>
      </w:r>
      <w:r w:rsidR="0098512B">
        <w:rPr>
          <w:rFonts w:cs="Arial"/>
          <w:szCs w:val="20"/>
        </w:rPr>
        <w:t xml:space="preserve"> kterých se ve školním roce 202</w:t>
      </w:r>
      <w:r w:rsidR="00551949">
        <w:rPr>
          <w:rFonts w:cs="Arial"/>
          <w:szCs w:val="20"/>
        </w:rPr>
        <w:t>5</w:t>
      </w:r>
      <w:r w:rsidR="0098512B">
        <w:rPr>
          <w:rFonts w:cs="Arial"/>
          <w:szCs w:val="20"/>
        </w:rPr>
        <w:t>/2</w:t>
      </w:r>
      <w:r w:rsidR="00551949">
        <w:rPr>
          <w:rFonts w:cs="Arial"/>
          <w:szCs w:val="20"/>
        </w:rPr>
        <w:t>6</w:t>
      </w:r>
      <w:r w:rsidR="00FA7769" w:rsidRPr="004B4219">
        <w:rPr>
          <w:rFonts w:cs="Arial"/>
          <w:szCs w:val="20"/>
        </w:rPr>
        <w:t xml:space="preserve"> vzdělávalo více než 1 000 žáků</w:t>
      </w:r>
      <w:r w:rsidR="00D8240D">
        <w:rPr>
          <w:rFonts w:cs="Arial"/>
          <w:szCs w:val="20"/>
        </w:rPr>
        <w:t xml:space="preserve">. </w:t>
      </w:r>
    </w:p>
    <w:p w14:paraId="608DD632" w14:textId="13AEA806" w:rsidR="00A32242" w:rsidRDefault="00350E9B" w:rsidP="00A32242">
      <w:pPr>
        <w:keepNext/>
        <w:spacing w:after="120" w:line="240" w:lineRule="auto"/>
      </w:pPr>
      <w:r w:rsidRPr="00350E9B">
        <w:rPr>
          <w:b/>
        </w:rPr>
        <w:t xml:space="preserve">Graf 3.10 Střední odborné školy s výučním listem </w:t>
      </w:r>
      <w:r w:rsidR="001A5D69">
        <w:rPr>
          <w:b/>
        </w:rPr>
        <w:t>– žáci dle skupin oborů vzdělá</w:t>
      </w:r>
      <w:r w:rsidRPr="00350E9B">
        <w:rPr>
          <w:b/>
        </w:rPr>
        <w:t xml:space="preserve">ní </w:t>
      </w:r>
      <w:r>
        <w:t>(pouze skupiny </w:t>
      </w:r>
      <w:r w:rsidR="00A32242" w:rsidRPr="00461962">
        <w:t>oborů s více než</w:t>
      </w:r>
      <w:r>
        <w:t xml:space="preserve"> 1 000 žáků ve školním roce 202</w:t>
      </w:r>
      <w:r w:rsidR="00551949">
        <w:t>5</w:t>
      </w:r>
      <w:r>
        <w:t>/2</w:t>
      </w:r>
      <w:r w:rsidR="00551949">
        <w:t>6</w:t>
      </w:r>
      <w:r w:rsidR="00A32242" w:rsidRPr="00461962">
        <w:t>)</w:t>
      </w:r>
    </w:p>
    <w:p w14:paraId="3C5F145B" w14:textId="7EE8BBF0" w:rsidR="00A32242" w:rsidRPr="00461962" w:rsidRDefault="00551949" w:rsidP="00A32242">
      <w:pPr>
        <w:keepNext/>
        <w:spacing w:after="120" w:line="240" w:lineRule="auto"/>
      </w:pPr>
      <w:r>
        <w:rPr>
          <w:noProof/>
        </w:rPr>
        <w:drawing>
          <wp:inline distT="0" distB="0" distL="0" distR="0" wp14:anchorId="417EF168" wp14:editId="307695B9">
            <wp:extent cx="6143625" cy="4000500"/>
            <wp:effectExtent l="0" t="0" r="0" b="0"/>
            <wp:docPr id="78935635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FD08105" w14:textId="57BD02CF" w:rsidR="00FD3C9A" w:rsidRDefault="00461962" w:rsidP="003F03F3">
      <w:pPr>
        <w:spacing w:after="120"/>
        <w:jc w:val="both"/>
      </w:pPr>
      <w:r>
        <w:t>V</w:t>
      </w:r>
      <w:r w:rsidR="00FA7769" w:rsidRPr="004B4219">
        <w:t> počtu žá</w:t>
      </w:r>
      <w:r w:rsidR="000879C8">
        <w:t>ků vedla</w:t>
      </w:r>
      <w:r w:rsidR="0098512B">
        <w:t xml:space="preserve"> ve školních rocích 20</w:t>
      </w:r>
      <w:r w:rsidR="00052722">
        <w:t>20</w:t>
      </w:r>
      <w:r w:rsidR="0098512B">
        <w:t>/2</w:t>
      </w:r>
      <w:r w:rsidR="00052722">
        <w:t>1</w:t>
      </w:r>
      <w:r w:rsidR="00D8240D">
        <w:t xml:space="preserve"> i </w:t>
      </w:r>
      <w:r w:rsidR="0098512B">
        <w:t>202</w:t>
      </w:r>
      <w:r w:rsidR="00052722">
        <w:t>5</w:t>
      </w:r>
      <w:r w:rsidR="0098512B">
        <w:t>/2</w:t>
      </w:r>
      <w:r w:rsidR="00052722">
        <w:t>6</w:t>
      </w:r>
      <w:r w:rsidR="000879C8">
        <w:t xml:space="preserve"> skupina</w:t>
      </w:r>
      <w:r w:rsidR="00FA7769" w:rsidRPr="004B4219">
        <w:t xml:space="preserve"> oborů z oblasti </w:t>
      </w:r>
      <w:r>
        <w:rPr>
          <w:b/>
        </w:rPr>
        <w:t>strojírenství a strojírenské výroby</w:t>
      </w:r>
      <w:r w:rsidR="00FA7769" w:rsidRPr="004B4219">
        <w:t xml:space="preserve"> (s </w:t>
      </w:r>
      <w:r w:rsidR="0098512B">
        <w:t>1</w:t>
      </w:r>
      <w:r w:rsidR="00052722">
        <w:t>8</w:t>
      </w:r>
      <w:r w:rsidR="0098512B">
        <w:t> </w:t>
      </w:r>
      <w:r w:rsidR="00052722">
        <w:t>526</w:t>
      </w:r>
      <w:r w:rsidR="0098512B">
        <w:t xml:space="preserve"> žáky ve školním roce 20</w:t>
      </w:r>
      <w:r w:rsidR="00052722">
        <w:t>20</w:t>
      </w:r>
      <w:r w:rsidR="0098512B">
        <w:t>/2</w:t>
      </w:r>
      <w:r w:rsidR="00052722">
        <w:t>1</w:t>
      </w:r>
      <w:r w:rsidR="00903459">
        <w:t xml:space="preserve"> a s</w:t>
      </w:r>
      <w:r w:rsidR="00052722">
        <w:t> 20 025</w:t>
      </w:r>
      <w:r w:rsidR="009260ED">
        <w:t xml:space="preserve"> žáky</w:t>
      </w:r>
      <w:r w:rsidR="0098512B">
        <w:t xml:space="preserve"> ve školním roce 202</w:t>
      </w:r>
      <w:r w:rsidR="00052722">
        <w:t>5</w:t>
      </w:r>
      <w:r w:rsidR="0098512B">
        <w:t>/2</w:t>
      </w:r>
      <w:r w:rsidR="00052722">
        <w:t>6</w:t>
      </w:r>
      <w:r w:rsidR="00FA7769" w:rsidRPr="004B4219">
        <w:t>)</w:t>
      </w:r>
      <w:r>
        <w:t xml:space="preserve"> a dále</w:t>
      </w:r>
      <w:r w:rsidR="00FA7769" w:rsidRPr="004B4219">
        <w:t xml:space="preserve"> </w:t>
      </w:r>
      <w:r w:rsidR="00FA7769" w:rsidRPr="003F03F3">
        <w:rPr>
          <w:b/>
        </w:rPr>
        <w:t>gastronomi</w:t>
      </w:r>
      <w:r w:rsidR="009260ED" w:rsidRPr="003F03F3">
        <w:rPr>
          <w:b/>
        </w:rPr>
        <w:t>e, hotelnictví a turismus</w:t>
      </w:r>
      <w:r w:rsidR="009260ED">
        <w:t xml:space="preserve"> (se </w:t>
      </w:r>
      <w:r w:rsidR="008A6E02">
        <w:t>14</w:t>
      </w:r>
      <w:r w:rsidR="00C24392">
        <w:t> </w:t>
      </w:r>
      <w:r w:rsidR="006045E7">
        <w:t>035</w:t>
      </w:r>
      <w:r w:rsidR="00C24392">
        <w:t xml:space="preserve"> </w:t>
      </w:r>
      <w:r w:rsidR="0098512B">
        <w:t>žáky ve školním roce 20</w:t>
      </w:r>
      <w:r w:rsidR="006045E7">
        <w:t>20</w:t>
      </w:r>
      <w:r w:rsidR="0098512B">
        <w:t>/2</w:t>
      </w:r>
      <w:r w:rsidR="006045E7">
        <w:t>1</w:t>
      </w:r>
      <w:r w:rsidR="00FA7769" w:rsidRPr="004B4219">
        <w:t xml:space="preserve"> a </w:t>
      </w:r>
      <w:r w:rsidR="0098512B">
        <w:t>15 1</w:t>
      </w:r>
      <w:r w:rsidR="006045E7">
        <w:t>5</w:t>
      </w:r>
      <w:r w:rsidR="0098512B">
        <w:t>6</w:t>
      </w:r>
      <w:r w:rsidR="00D1194E">
        <w:t xml:space="preserve"> žáky ve školním ro</w:t>
      </w:r>
      <w:r w:rsidR="0098512B">
        <w:t>ce 202</w:t>
      </w:r>
      <w:r w:rsidR="006045E7">
        <w:t>5</w:t>
      </w:r>
      <w:r w:rsidR="0098512B">
        <w:t>/2</w:t>
      </w:r>
      <w:r w:rsidR="006045E7">
        <w:t>6</w:t>
      </w:r>
      <w:r w:rsidR="00FA7769" w:rsidRPr="004B4219">
        <w:t xml:space="preserve">). </w:t>
      </w:r>
      <w:r w:rsidR="00903459">
        <w:t>Přitom</w:t>
      </w:r>
      <w:r w:rsidR="0098512B">
        <w:t xml:space="preserve"> všechny skupiny oborů zobrazené v grafu zaznamenaly za pět let nárůst počtu žáků</w:t>
      </w:r>
      <w:r w:rsidR="00903459">
        <w:t xml:space="preserve">. </w:t>
      </w:r>
      <w:r w:rsidR="00E86775">
        <w:t xml:space="preserve">Pokud sledujeme </w:t>
      </w:r>
      <w:r w:rsidR="00E86775" w:rsidRPr="00FD3C9A">
        <w:rPr>
          <w:b/>
          <w:bCs/>
        </w:rPr>
        <w:t>nárůst v procentech</w:t>
      </w:r>
      <w:r w:rsidR="00E86775">
        <w:t xml:space="preserve">, pak </w:t>
      </w:r>
      <w:r w:rsidR="003C1047">
        <w:t xml:space="preserve">nejvýrazněji </w:t>
      </w:r>
      <w:r w:rsidR="00903459">
        <w:t xml:space="preserve">za posledních pět let </w:t>
      </w:r>
      <w:r w:rsidR="00E86775">
        <w:t xml:space="preserve">vzrostl počet žáků </w:t>
      </w:r>
      <w:r w:rsidR="00852B7E">
        <w:t xml:space="preserve">v </w:t>
      </w:r>
      <w:r w:rsidR="003C1047">
        <w:t xml:space="preserve">oborech </w:t>
      </w:r>
      <w:r w:rsidR="007C1EB4" w:rsidRPr="00FD3C9A">
        <w:t>pedagogických (o 45,4 %)</w:t>
      </w:r>
      <w:r w:rsidR="00FD3C9A" w:rsidRPr="00FD3C9A">
        <w:t xml:space="preserve"> a</w:t>
      </w:r>
      <w:r w:rsidR="007C1EB4" w:rsidRPr="00FD3C9A">
        <w:t xml:space="preserve"> </w:t>
      </w:r>
      <w:r w:rsidR="003D6C8E" w:rsidRPr="00FD3C9A">
        <w:t>zdravotnických</w:t>
      </w:r>
      <w:r w:rsidR="008A6E02">
        <w:t xml:space="preserve"> (o</w:t>
      </w:r>
      <w:r w:rsidR="00FD3C9A">
        <w:t> </w:t>
      </w:r>
      <w:r w:rsidR="008A6E02">
        <w:t>4</w:t>
      </w:r>
      <w:r w:rsidR="00FD3C9A">
        <w:t>1</w:t>
      </w:r>
      <w:r w:rsidR="008A6E02">
        <w:t>,</w:t>
      </w:r>
      <w:r w:rsidR="00FD3C9A">
        <w:t>2</w:t>
      </w:r>
      <w:r w:rsidR="003D6C8E">
        <w:t> %),</w:t>
      </w:r>
      <w:r w:rsidR="00FD3C9A">
        <w:t xml:space="preserve"> jedná se však o skupiny oborů s nejnižším počtem žáků. </w:t>
      </w:r>
      <w:r w:rsidR="00FD3C9A" w:rsidRPr="00FD3C9A">
        <w:rPr>
          <w:b/>
          <w:bCs/>
        </w:rPr>
        <w:t>V absolutní hodnotě</w:t>
      </w:r>
      <w:r w:rsidR="00FD3C9A">
        <w:t xml:space="preserve"> nejvíce přibylo žáků skupiny oborů elektrotechnických a výpočetních (o 2 618 žáků) a zemědělsko-lesnických (o 2 566 žáků).</w:t>
      </w:r>
    </w:p>
    <w:p w14:paraId="656D7710" w14:textId="37D8C34E" w:rsidR="006A6F1E" w:rsidRDefault="001122A8" w:rsidP="004C540F">
      <w:pPr>
        <w:spacing w:after="120"/>
        <w:jc w:val="both"/>
        <w:rPr>
          <w:rFonts w:cs="Arial"/>
          <w:szCs w:val="20"/>
        </w:rPr>
      </w:pPr>
      <w:r w:rsidRPr="00D22B9B">
        <w:rPr>
          <w:rFonts w:cs="Arial"/>
          <w:szCs w:val="20"/>
        </w:rPr>
        <w:lastRenderedPageBreak/>
        <w:t xml:space="preserve">Graf </w:t>
      </w:r>
      <w:r w:rsidR="008F5E72" w:rsidRPr="00D22B9B">
        <w:rPr>
          <w:rFonts w:cs="Arial"/>
          <w:szCs w:val="20"/>
        </w:rPr>
        <w:t>č </w:t>
      </w:r>
      <w:r w:rsidRPr="00D22B9B">
        <w:rPr>
          <w:rFonts w:cs="Arial"/>
          <w:szCs w:val="20"/>
        </w:rPr>
        <w:t>3.11</w:t>
      </w:r>
      <w:r w:rsidR="00FA7769" w:rsidRPr="00D22B9B">
        <w:rPr>
          <w:rFonts w:cs="Arial"/>
          <w:szCs w:val="20"/>
        </w:rPr>
        <w:t xml:space="preserve"> dále zahrnuje obory </w:t>
      </w:r>
      <w:r w:rsidR="00FA7769" w:rsidRPr="00D22B9B">
        <w:rPr>
          <w:rFonts w:cs="Arial"/>
          <w:b/>
          <w:szCs w:val="20"/>
        </w:rPr>
        <w:t>středního odborného vzdělávání s maturitní zkouškou</w:t>
      </w:r>
      <w:r w:rsidR="00FA7769" w:rsidRPr="00D22B9B">
        <w:rPr>
          <w:rFonts w:cs="Arial"/>
          <w:szCs w:val="20"/>
        </w:rPr>
        <w:t xml:space="preserve"> a porovnává počet žáků těch</w:t>
      </w:r>
      <w:r w:rsidR="004C540F" w:rsidRPr="00D22B9B">
        <w:rPr>
          <w:rFonts w:cs="Arial"/>
          <w:szCs w:val="20"/>
        </w:rPr>
        <w:t>to oborů ve školních</w:t>
      </w:r>
      <w:r w:rsidR="004C540F" w:rsidRPr="00457D12">
        <w:rPr>
          <w:rFonts w:cs="Arial"/>
          <w:szCs w:val="20"/>
        </w:rPr>
        <w:t xml:space="preserve"> rocíc</w:t>
      </w:r>
      <w:r w:rsidR="003F03F3" w:rsidRPr="00457D12">
        <w:rPr>
          <w:rFonts w:cs="Arial"/>
          <w:szCs w:val="20"/>
        </w:rPr>
        <w:t>h</w:t>
      </w:r>
      <w:r w:rsidR="003F03F3">
        <w:rPr>
          <w:rFonts w:cs="Arial"/>
          <w:szCs w:val="20"/>
        </w:rPr>
        <w:t xml:space="preserve"> </w:t>
      </w:r>
      <w:r w:rsidR="00967199">
        <w:rPr>
          <w:rFonts w:cs="Arial"/>
          <w:szCs w:val="20"/>
        </w:rPr>
        <w:t>20</w:t>
      </w:r>
      <w:r w:rsidR="00D22B9B">
        <w:rPr>
          <w:rFonts w:cs="Arial"/>
          <w:szCs w:val="20"/>
        </w:rPr>
        <w:t>20</w:t>
      </w:r>
      <w:r w:rsidR="00967199">
        <w:rPr>
          <w:rFonts w:cs="Arial"/>
          <w:szCs w:val="20"/>
        </w:rPr>
        <w:t>/2</w:t>
      </w:r>
      <w:r w:rsidR="00D22B9B">
        <w:rPr>
          <w:rFonts w:cs="Arial"/>
          <w:szCs w:val="20"/>
        </w:rPr>
        <w:t>1</w:t>
      </w:r>
      <w:r w:rsidR="00967199">
        <w:rPr>
          <w:rFonts w:cs="Arial"/>
          <w:szCs w:val="20"/>
        </w:rPr>
        <w:t xml:space="preserve"> a 202</w:t>
      </w:r>
      <w:r w:rsidR="00D22B9B">
        <w:rPr>
          <w:rFonts w:cs="Arial"/>
          <w:szCs w:val="20"/>
        </w:rPr>
        <w:t>5</w:t>
      </w:r>
      <w:r w:rsidR="00967199">
        <w:rPr>
          <w:rFonts w:cs="Arial"/>
          <w:szCs w:val="20"/>
        </w:rPr>
        <w:t>/2</w:t>
      </w:r>
      <w:r w:rsidR="00D22B9B">
        <w:rPr>
          <w:rFonts w:cs="Arial"/>
          <w:szCs w:val="20"/>
        </w:rPr>
        <w:t>6</w:t>
      </w:r>
      <w:r w:rsidR="00FA7769" w:rsidRPr="004A5668">
        <w:rPr>
          <w:rFonts w:cs="Arial"/>
          <w:szCs w:val="20"/>
        </w:rPr>
        <w:t xml:space="preserve"> (uvedeno v tisících). Uvádí pouze skupiny oborů s více než pěti tisíci žáky </w:t>
      </w:r>
      <w:r w:rsidR="0048304D">
        <w:rPr>
          <w:rFonts w:cs="Arial"/>
          <w:szCs w:val="20"/>
        </w:rPr>
        <w:t>v</w:t>
      </w:r>
      <w:r w:rsidR="00457D12">
        <w:rPr>
          <w:rFonts w:cs="Arial"/>
          <w:szCs w:val="20"/>
        </w:rPr>
        <w:t>e šk</w:t>
      </w:r>
      <w:r w:rsidR="00967199">
        <w:rPr>
          <w:rFonts w:cs="Arial"/>
          <w:szCs w:val="20"/>
        </w:rPr>
        <w:t>olním roce 202</w:t>
      </w:r>
      <w:r w:rsidR="00D22B9B">
        <w:rPr>
          <w:rFonts w:cs="Arial"/>
          <w:szCs w:val="20"/>
        </w:rPr>
        <w:t>5</w:t>
      </w:r>
      <w:r w:rsidR="00967199">
        <w:rPr>
          <w:rFonts w:cs="Arial"/>
          <w:szCs w:val="20"/>
        </w:rPr>
        <w:t>/2</w:t>
      </w:r>
      <w:r w:rsidR="00D22B9B">
        <w:rPr>
          <w:rFonts w:cs="Arial"/>
          <w:szCs w:val="20"/>
        </w:rPr>
        <w:t>6</w:t>
      </w:r>
      <w:r w:rsidR="00FA7769" w:rsidRPr="004A5668">
        <w:rPr>
          <w:rFonts w:cs="Arial"/>
          <w:szCs w:val="20"/>
        </w:rPr>
        <w:t>.</w:t>
      </w:r>
      <w:r w:rsidR="004C540F">
        <w:rPr>
          <w:rFonts w:cs="Arial"/>
          <w:szCs w:val="20"/>
        </w:rPr>
        <w:t xml:space="preserve"> </w:t>
      </w:r>
    </w:p>
    <w:p w14:paraId="337D8D29" w14:textId="7AEAB859" w:rsidR="00E85F38" w:rsidRPr="004A5668" w:rsidRDefault="00967199" w:rsidP="00E85F38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Ve školním roce 202</w:t>
      </w:r>
      <w:r w:rsidR="002E52E1">
        <w:rPr>
          <w:rFonts w:cs="Arial"/>
          <w:szCs w:val="20"/>
        </w:rPr>
        <w:t>5</w:t>
      </w:r>
      <w:r>
        <w:rPr>
          <w:rFonts w:cs="Arial"/>
          <w:szCs w:val="20"/>
        </w:rPr>
        <w:t>/2</w:t>
      </w:r>
      <w:r w:rsidR="002E52E1">
        <w:rPr>
          <w:rFonts w:cs="Arial"/>
          <w:szCs w:val="20"/>
        </w:rPr>
        <w:t>6</w:t>
      </w:r>
      <w:r w:rsidR="00E85F38" w:rsidRPr="004A5668">
        <w:rPr>
          <w:rFonts w:cs="Arial"/>
          <w:szCs w:val="20"/>
        </w:rPr>
        <w:t xml:space="preserve"> se mezi pět nejnavštěvovanějších skupin oborů řadila ekonomika a administrativa (</w:t>
      </w:r>
      <w:r w:rsidR="00522CB8">
        <w:rPr>
          <w:rFonts w:cs="Arial"/>
          <w:szCs w:val="20"/>
        </w:rPr>
        <w:t>3</w:t>
      </w:r>
      <w:r w:rsidR="00D22B9B">
        <w:rPr>
          <w:rFonts w:cs="Arial"/>
          <w:szCs w:val="20"/>
        </w:rPr>
        <w:t>8</w:t>
      </w:r>
      <w:r w:rsidR="007703B9">
        <w:rPr>
          <w:rFonts w:cs="Arial"/>
          <w:szCs w:val="20"/>
        </w:rPr>
        <w:t> </w:t>
      </w:r>
      <w:r w:rsidR="00D22B9B">
        <w:rPr>
          <w:rFonts w:cs="Arial"/>
          <w:szCs w:val="20"/>
        </w:rPr>
        <w:t>268</w:t>
      </w:r>
      <w:r w:rsidR="007703B9">
        <w:rPr>
          <w:rFonts w:cs="Arial"/>
          <w:szCs w:val="20"/>
        </w:rPr>
        <w:t xml:space="preserve"> </w:t>
      </w:r>
      <w:r w:rsidR="00E85F38" w:rsidRPr="004A5668">
        <w:rPr>
          <w:rFonts w:cs="Arial"/>
          <w:szCs w:val="20"/>
        </w:rPr>
        <w:t xml:space="preserve">žáků), s velkým propadem pak </w:t>
      </w:r>
      <w:r w:rsidR="00E85F38">
        <w:rPr>
          <w:rFonts w:cs="Arial"/>
          <w:szCs w:val="20"/>
        </w:rPr>
        <w:t>obecně odborná příprava (</w:t>
      </w:r>
      <w:r w:rsidR="00522CB8">
        <w:rPr>
          <w:rFonts w:cs="Arial"/>
          <w:szCs w:val="20"/>
        </w:rPr>
        <w:t>2</w:t>
      </w:r>
      <w:r w:rsidR="00D22B9B">
        <w:rPr>
          <w:rFonts w:cs="Arial"/>
          <w:szCs w:val="20"/>
        </w:rPr>
        <w:t>3</w:t>
      </w:r>
      <w:r w:rsidR="00E85F38">
        <w:rPr>
          <w:rFonts w:cs="Arial"/>
          <w:szCs w:val="20"/>
        </w:rPr>
        <w:t> </w:t>
      </w:r>
      <w:r w:rsidR="00D22B9B">
        <w:rPr>
          <w:rFonts w:cs="Arial"/>
          <w:szCs w:val="20"/>
        </w:rPr>
        <w:t>692</w:t>
      </w:r>
      <w:r w:rsidR="00E85F38">
        <w:rPr>
          <w:rFonts w:cs="Arial"/>
          <w:szCs w:val="20"/>
        </w:rPr>
        <w:t xml:space="preserve"> žáků),</w:t>
      </w:r>
      <w:r w:rsidR="00E85F38" w:rsidRPr="004A5668">
        <w:rPr>
          <w:rFonts w:cs="Arial"/>
          <w:szCs w:val="20"/>
        </w:rPr>
        <w:t xml:space="preserve"> </w:t>
      </w:r>
      <w:r w:rsidR="00522CB8">
        <w:rPr>
          <w:rFonts w:cs="Arial"/>
          <w:szCs w:val="20"/>
        </w:rPr>
        <w:t>informatické obory (</w:t>
      </w:r>
      <w:r w:rsidR="00D22B9B">
        <w:rPr>
          <w:rFonts w:cs="Arial"/>
          <w:szCs w:val="20"/>
        </w:rPr>
        <w:t>20 013</w:t>
      </w:r>
      <w:r w:rsidR="00522CB8" w:rsidRPr="004A5668">
        <w:rPr>
          <w:rFonts w:cs="Arial"/>
          <w:szCs w:val="20"/>
        </w:rPr>
        <w:t xml:space="preserve"> žáků),</w:t>
      </w:r>
      <w:r w:rsidR="00522CB8">
        <w:rPr>
          <w:rFonts w:cs="Arial"/>
          <w:szCs w:val="20"/>
        </w:rPr>
        <w:t xml:space="preserve"> </w:t>
      </w:r>
      <w:r w:rsidR="00E00370" w:rsidRPr="00E00370">
        <w:rPr>
          <w:rFonts w:cs="Arial"/>
          <w:szCs w:val="20"/>
        </w:rPr>
        <w:t>elektrotechnika, telekomunikační a výpočetní technika</w:t>
      </w:r>
      <w:r w:rsidR="00E85F38" w:rsidRPr="004A5668">
        <w:rPr>
          <w:rFonts w:cs="Arial"/>
          <w:szCs w:val="20"/>
        </w:rPr>
        <w:t xml:space="preserve"> (</w:t>
      </w:r>
      <w:r w:rsidR="007703B9">
        <w:rPr>
          <w:rFonts w:cs="Arial"/>
          <w:szCs w:val="20"/>
        </w:rPr>
        <w:t>1</w:t>
      </w:r>
      <w:r w:rsidR="00D22B9B">
        <w:rPr>
          <w:rFonts w:cs="Arial"/>
          <w:szCs w:val="20"/>
        </w:rPr>
        <w:t>8</w:t>
      </w:r>
      <w:r w:rsidR="00E85F38">
        <w:rPr>
          <w:rFonts w:cs="Arial"/>
          <w:szCs w:val="20"/>
        </w:rPr>
        <w:t> </w:t>
      </w:r>
      <w:r w:rsidR="00D22B9B">
        <w:rPr>
          <w:rFonts w:cs="Arial"/>
          <w:szCs w:val="20"/>
        </w:rPr>
        <w:t>182</w:t>
      </w:r>
      <w:r w:rsidR="00E85F38">
        <w:rPr>
          <w:rFonts w:cs="Arial"/>
          <w:szCs w:val="20"/>
        </w:rPr>
        <w:t xml:space="preserve"> </w:t>
      </w:r>
      <w:r w:rsidR="00E85F38" w:rsidRPr="004A5668">
        <w:rPr>
          <w:rFonts w:cs="Arial"/>
          <w:szCs w:val="20"/>
        </w:rPr>
        <w:t>žáků)</w:t>
      </w:r>
      <w:r w:rsidR="007703B9">
        <w:rPr>
          <w:rFonts w:cs="Arial"/>
          <w:szCs w:val="20"/>
        </w:rPr>
        <w:t xml:space="preserve"> a</w:t>
      </w:r>
      <w:r w:rsidR="00E85F38">
        <w:rPr>
          <w:rFonts w:cs="Arial"/>
          <w:szCs w:val="20"/>
        </w:rPr>
        <w:t xml:space="preserve"> </w:t>
      </w:r>
      <w:r w:rsidR="00E00370">
        <w:rPr>
          <w:rFonts w:cs="Arial"/>
          <w:szCs w:val="20"/>
        </w:rPr>
        <w:t>zdravotnictví</w:t>
      </w:r>
      <w:r w:rsidR="00E85F38">
        <w:rPr>
          <w:rFonts w:cs="Arial"/>
          <w:szCs w:val="20"/>
        </w:rPr>
        <w:t xml:space="preserve"> (</w:t>
      </w:r>
      <w:r w:rsidR="00522CB8">
        <w:rPr>
          <w:rFonts w:cs="Arial"/>
          <w:szCs w:val="20"/>
        </w:rPr>
        <w:t>1</w:t>
      </w:r>
      <w:r w:rsidR="00D22B9B">
        <w:rPr>
          <w:rFonts w:cs="Arial"/>
          <w:szCs w:val="20"/>
        </w:rPr>
        <w:t>8</w:t>
      </w:r>
      <w:r w:rsidR="00522CB8">
        <w:rPr>
          <w:rFonts w:cs="Arial"/>
          <w:szCs w:val="20"/>
        </w:rPr>
        <w:t> </w:t>
      </w:r>
      <w:r w:rsidR="00D22B9B">
        <w:rPr>
          <w:rFonts w:cs="Arial"/>
          <w:szCs w:val="20"/>
        </w:rPr>
        <w:t>136</w:t>
      </w:r>
      <w:r w:rsidR="00E85F38">
        <w:rPr>
          <w:rFonts w:cs="Arial"/>
          <w:szCs w:val="20"/>
        </w:rPr>
        <w:t xml:space="preserve"> žáků)</w:t>
      </w:r>
      <w:r w:rsidR="007703B9">
        <w:rPr>
          <w:rFonts w:cs="Arial"/>
          <w:szCs w:val="20"/>
        </w:rPr>
        <w:t>.</w:t>
      </w:r>
    </w:p>
    <w:p w14:paraId="729D2A65" w14:textId="7674BCA2" w:rsidR="008242B5" w:rsidRDefault="00E85F38" w:rsidP="004C540F">
      <w:pPr>
        <w:spacing w:after="120"/>
        <w:jc w:val="both"/>
        <w:rPr>
          <w:rFonts w:cs="Arial"/>
          <w:szCs w:val="20"/>
        </w:rPr>
      </w:pPr>
      <w:r w:rsidRPr="0009685B">
        <w:rPr>
          <w:rFonts w:cs="Arial"/>
          <w:szCs w:val="20"/>
        </w:rPr>
        <w:t>Ze skupin oborů uvedených v gr</w:t>
      </w:r>
      <w:r w:rsidR="00522CB8" w:rsidRPr="0009685B">
        <w:rPr>
          <w:rFonts w:cs="Arial"/>
          <w:szCs w:val="20"/>
        </w:rPr>
        <w:t>afu se</w:t>
      </w:r>
      <w:r w:rsidR="00522CB8">
        <w:rPr>
          <w:rFonts w:cs="Arial"/>
          <w:szCs w:val="20"/>
        </w:rPr>
        <w:t xml:space="preserve"> oproti školnímu roku 20</w:t>
      </w:r>
      <w:r w:rsidR="00B73340">
        <w:rPr>
          <w:rFonts w:cs="Arial"/>
          <w:szCs w:val="20"/>
        </w:rPr>
        <w:t>20</w:t>
      </w:r>
      <w:r w:rsidR="00522CB8">
        <w:rPr>
          <w:rFonts w:cs="Arial"/>
          <w:szCs w:val="20"/>
        </w:rPr>
        <w:t>/2</w:t>
      </w:r>
      <w:r w:rsidR="00B73340">
        <w:rPr>
          <w:rFonts w:cs="Arial"/>
          <w:szCs w:val="20"/>
        </w:rPr>
        <w:t>1</w:t>
      </w:r>
      <w:r w:rsidRPr="00415DC8">
        <w:rPr>
          <w:rFonts w:cs="Arial"/>
          <w:szCs w:val="20"/>
        </w:rPr>
        <w:t xml:space="preserve"> přitom</w:t>
      </w:r>
      <w:r w:rsidR="00522CB8">
        <w:rPr>
          <w:rFonts w:cs="Arial"/>
          <w:szCs w:val="20"/>
        </w:rPr>
        <w:t xml:space="preserve"> v</w:t>
      </w:r>
      <w:r w:rsidR="00CD5917">
        <w:rPr>
          <w:rFonts w:cs="Arial"/>
          <w:szCs w:val="20"/>
        </w:rPr>
        <w:t> relativním vyjádření</w:t>
      </w:r>
      <w:r>
        <w:rPr>
          <w:rFonts w:cs="Arial"/>
          <w:szCs w:val="20"/>
        </w:rPr>
        <w:t xml:space="preserve"> nejvíce navýšil počet žáků </w:t>
      </w:r>
      <w:r w:rsidR="00522CB8">
        <w:rPr>
          <w:rFonts w:cs="Arial"/>
          <w:szCs w:val="20"/>
        </w:rPr>
        <w:t xml:space="preserve">vzdělávajících se </w:t>
      </w:r>
      <w:r w:rsidR="00B73340">
        <w:rPr>
          <w:rFonts w:cs="Arial"/>
          <w:szCs w:val="20"/>
        </w:rPr>
        <w:t>v rámci obecně odborné přípravy</w:t>
      </w:r>
      <w:r w:rsidR="00522CB8">
        <w:rPr>
          <w:rFonts w:cs="Arial"/>
          <w:szCs w:val="20"/>
        </w:rPr>
        <w:t xml:space="preserve"> (o </w:t>
      </w:r>
      <w:r w:rsidR="00B73340">
        <w:rPr>
          <w:rFonts w:cs="Arial"/>
          <w:szCs w:val="20"/>
        </w:rPr>
        <w:t>51,5</w:t>
      </w:r>
      <w:r w:rsidR="00522CB8">
        <w:rPr>
          <w:rFonts w:cs="Arial"/>
          <w:szCs w:val="20"/>
        </w:rPr>
        <w:t> %)</w:t>
      </w:r>
      <w:r w:rsidR="00B73340">
        <w:rPr>
          <w:rFonts w:cs="Arial"/>
          <w:szCs w:val="20"/>
        </w:rPr>
        <w:t xml:space="preserve"> a ve oborech zemědělských a lesnických (o 41,4 %).</w:t>
      </w:r>
      <w:r w:rsidR="00522CB8">
        <w:rPr>
          <w:rFonts w:cs="Arial"/>
          <w:szCs w:val="20"/>
        </w:rPr>
        <w:t xml:space="preserve"> </w:t>
      </w:r>
      <w:r w:rsidR="00B73340">
        <w:rPr>
          <w:rFonts w:cs="Arial"/>
          <w:szCs w:val="20"/>
        </w:rPr>
        <w:t xml:space="preserve">O více než třetinu se také zvýšil počet žáků v oborech dopravy a spojů (o 38,3 % a ve speciálních a interdisciplinárních oborech (o </w:t>
      </w:r>
      <w:r w:rsidR="0009685B">
        <w:rPr>
          <w:rFonts w:cs="Arial"/>
          <w:szCs w:val="20"/>
        </w:rPr>
        <w:t>3</w:t>
      </w:r>
      <w:r w:rsidR="00B73340">
        <w:rPr>
          <w:rFonts w:cs="Arial"/>
          <w:szCs w:val="20"/>
        </w:rPr>
        <w:t>5,7 %).</w:t>
      </w:r>
      <w:r w:rsidR="00522CB8">
        <w:rPr>
          <w:rFonts w:cs="Arial"/>
          <w:szCs w:val="20"/>
        </w:rPr>
        <w:t xml:space="preserve"> </w:t>
      </w:r>
      <w:r w:rsidR="00522CB8" w:rsidRPr="00CF69DA">
        <w:rPr>
          <w:rFonts w:cs="Arial"/>
          <w:szCs w:val="20"/>
        </w:rPr>
        <w:t xml:space="preserve">Za pozornost stojí </w:t>
      </w:r>
      <w:r w:rsidR="009C74BE" w:rsidRPr="00CF69DA">
        <w:rPr>
          <w:rFonts w:cs="Arial"/>
          <w:szCs w:val="20"/>
        </w:rPr>
        <w:t>obory z oblasti strojírenství</w:t>
      </w:r>
      <w:r w:rsidR="009C74BE">
        <w:rPr>
          <w:rFonts w:cs="Arial"/>
          <w:szCs w:val="20"/>
        </w:rPr>
        <w:t xml:space="preserve"> a strojírenské výroby, </w:t>
      </w:r>
      <w:r w:rsidR="00F41E62">
        <w:rPr>
          <w:rFonts w:cs="Arial"/>
          <w:szCs w:val="20"/>
        </w:rPr>
        <w:t>ve kterých počet žáků mezi školními roky 2017/</w:t>
      </w:r>
      <w:r w:rsidR="0074590F">
        <w:rPr>
          <w:rFonts w:cs="Arial"/>
          <w:szCs w:val="20"/>
        </w:rPr>
        <w:t>18 a 2022/23 poklesl o 17,9 %</w:t>
      </w:r>
      <w:r w:rsidR="00CF69DA">
        <w:rPr>
          <w:rFonts w:cs="Arial"/>
          <w:szCs w:val="20"/>
        </w:rPr>
        <w:t xml:space="preserve">. Za poslední tři roky se sice o 6,1 % počet žáků v této skupině oborů zvýšil, jedná se však o nižší nárůst, než jaký byl v průměru za všechny skupiny oborů odborného středního vzdělávání s maturitní zkouškou (tj. o 15,2 %). </w:t>
      </w:r>
      <w:r w:rsidR="0074590F">
        <w:rPr>
          <w:rFonts w:cs="Arial"/>
          <w:szCs w:val="20"/>
        </w:rPr>
        <w:t xml:space="preserve"> </w:t>
      </w:r>
      <w:r w:rsidR="00CF69DA">
        <w:rPr>
          <w:rFonts w:cs="Arial"/>
          <w:szCs w:val="20"/>
        </w:rPr>
        <w:t xml:space="preserve">Z grafu je také zřejmé, že se jedná o jedinou skupinu oborů, ve </w:t>
      </w:r>
      <w:r w:rsidR="00BB0B6E">
        <w:rPr>
          <w:rFonts w:cs="Arial"/>
          <w:szCs w:val="20"/>
        </w:rPr>
        <w:t>byl počet žáků v září 2020 a 2025</w:t>
      </w:r>
      <w:r w:rsidR="00CF69DA">
        <w:rPr>
          <w:rFonts w:cs="Arial"/>
          <w:szCs w:val="20"/>
        </w:rPr>
        <w:t xml:space="preserve"> </w:t>
      </w:r>
      <w:r w:rsidR="00FD3A98">
        <w:rPr>
          <w:rFonts w:cs="Arial"/>
          <w:szCs w:val="20"/>
        </w:rPr>
        <w:t>cca</w:t>
      </w:r>
      <w:r w:rsidR="00CF69DA">
        <w:rPr>
          <w:rFonts w:cs="Arial"/>
          <w:szCs w:val="20"/>
        </w:rPr>
        <w:t xml:space="preserve"> shodný (</w:t>
      </w:r>
      <w:r w:rsidR="00BB0B6E">
        <w:rPr>
          <w:rFonts w:cs="Arial"/>
          <w:szCs w:val="20"/>
        </w:rPr>
        <w:t>v září 2025 byl</w:t>
      </w:r>
      <w:r w:rsidR="00CF69DA">
        <w:rPr>
          <w:rFonts w:cs="Arial"/>
          <w:szCs w:val="20"/>
        </w:rPr>
        <w:t xml:space="preserve"> </w:t>
      </w:r>
      <w:r w:rsidR="00FD3A98">
        <w:rPr>
          <w:rFonts w:cs="Arial"/>
          <w:szCs w:val="20"/>
        </w:rPr>
        <w:t xml:space="preserve">jen </w:t>
      </w:r>
      <w:r w:rsidR="00CF69DA">
        <w:rPr>
          <w:rFonts w:cs="Arial"/>
          <w:szCs w:val="20"/>
        </w:rPr>
        <w:t>o 16 žáků</w:t>
      </w:r>
      <w:r w:rsidR="00BB0B6E">
        <w:rPr>
          <w:rFonts w:cs="Arial"/>
          <w:szCs w:val="20"/>
        </w:rPr>
        <w:t xml:space="preserve"> vyšší</w:t>
      </w:r>
      <w:r w:rsidR="00CF69DA">
        <w:rPr>
          <w:rFonts w:cs="Arial"/>
          <w:szCs w:val="20"/>
        </w:rPr>
        <w:t>)</w:t>
      </w:r>
      <w:r w:rsidR="00F41E62">
        <w:rPr>
          <w:rFonts w:cs="Arial"/>
          <w:szCs w:val="20"/>
        </w:rPr>
        <w:t>.</w:t>
      </w:r>
    </w:p>
    <w:p w14:paraId="12704FFE" w14:textId="139B14E8" w:rsidR="003F03F3" w:rsidRDefault="001122A8" w:rsidP="003F03F3">
      <w:pPr>
        <w:keepNext/>
        <w:spacing w:after="120" w:line="240" w:lineRule="auto"/>
      </w:pPr>
      <w:r>
        <w:rPr>
          <w:b/>
        </w:rPr>
        <w:t>Graf 3.11</w:t>
      </w:r>
      <w:r w:rsidR="003F03F3">
        <w:rPr>
          <w:b/>
        </w:rPr>
        <w:t xml:space="preserve"> Střední odborné</w:t>
      </w:r>
      <w:r w:rsidR="003F03F3" w:rsidRPr="00906913">
        <w:rPr>
          <w:b/>
        </w:rPr>
        <w:t xml:space="preserve"> školy s maturitní zkouškou – žáci dle </w:t>
      </w:r>
      <w:r w:rsidR="003F03F3">
        <w:rPr>
          <w:b/>
        </w:rPr>
        <w:t xml:space="preserve">skupin </w:t>
      </w:r>
      <w:r w:rsidR="001A5D69">
        <w:rPr>
          <w:b/>
        </w:rPr>
        <w:t>oborů vzdělá</w:t>
      </w:r>
      <w:r w:rsidR="003F03F3" w:rsidRPr="00906913">
        <w:rPr>
          <w:b/>
        </w:rPr>
        <w:t xml:space="preserve">ní </w:t>
      </w:r>
      <w:r w:rsidR="003F03F3">
        <w:rPr>
          <w:b/>
        </w:rPr>
        <w:br/>
      </w:r>
      <w:r w:rsidR="003F03F3" w:rsidRPr="0043524B">
        <w:t xml:space="preserve">(pouze skupiny oborů s více než 5 000 žáky </w:t>
      </w:r>
      <w:r w:rsidR="00862E24" w:rsidRPr="0043524B">
        <w:t>ve š</w:t>
      </w:r>
      <w:r w:rsidR="00350E9B">
        <w:t>kolním roce 202</w:t>
      </w:r>
      <w:r w:rsidR="00B73340">
        <w:t>5</w:t>
      </w:r>
      <w:r w:rsidR="00350E9B">
        <w:t>/2</w:t>
      </w:r>
      <w:r w:rsidR="00B73340">
        <w:t>6</w:t>
      </w:r>
      <w:r w:rsidR="003F03F3" w:rsidRPr="0043524B">
        <w:t>)</w:t>
      </w:r>
    </w:p>
    <w:p w14:paraId="79B97AF1" w14:textId="4F38109E" w:rsidR="003F03F3" w:rsidRPr="00340984" w:rsidRDefault="00B73340" w:rsidP="00862E24">
      <w:pPr>
        <w:keepNext/>
        <w:spacing w:after="120" w:line="240" w:lineRule="auto"/>
      </w:pPr>
      <w:r>
        <w:rPr>
          <w:noProof/>
        </w:rPr>
        <w:drawing>
          <wp:inline distT="0" distB="0" distL="0" distR="0" wp14:anchorId="34E26FAA" wp14:editId="6CB955B8">
            <wp:extent cx="6019800" cy="3933825"/>
            <wp:effectExtent l="0" t="0" r="0" b="9525"/>
            <wp:docPr id="208102506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D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BAE6E2E" w14:textId="79EAA94C" w:rsidR="006526C8" w:rsidRDefault="002B1785" w:rsidP="002B1785">
      <w:pPr>
        <w:spacing w:after="120"/>
        <w:jc w:val="both"/>
        <w:rPr>
          <w:rFonts w:cs="Arial"/>
          <w:szCs w:val="20"/>
        </w:rPr>
      </w:pPr>
      <w:r w:rsidRPr="0083518B">
        <w:rPr>
          <w:rFonts w:cs="Arial"/>
          <w:b/>
          <w:szCs w:val="20"/>
        </w:rPr>
        <w:t>Srovnáme</w:t>
      </w:r>
      <w:r w:rsidR="00285736">
        <w:rPr>
          <w:rFonts w:cs="Arial"/>
          <w:b/>
          <w:szCs w:val="20"/>
        </w:rPr>
        <w:t>-</w:t>
      </w:r>
      <w:r w:rsidRPr="0083518B">
        <w:rPr>
          <w:rFonts w:cs="Arial"/>
          <w:b/>
          <w:szCs w:val="20"/>
        </w:rPr>
        <w:t>li</w:t>
      </w:r>
      <w:r w:rsidRPr="0083518B">
        <w:rPr>
          <w:rFonts w:cs="Arial"/>
          <w:szCs w:val="20"/>
        </w:rPr>
        <w:t xml:space="preserve"> nejnavštěvovanější obory vzdělávání s výučním listem a </w:t>
      </w:r>
      <w:r w:rsidR="00CD5917">
        <w:rPr>
          <w:rFonts w:cs="Arial"/>
          <w:szCs w:val="20"/>
        </w:rPr>
        <w:t xml:space="preserve">s </w:t>
      </w:r>
      <w:r w:rsidRPr="0083518B">
        <w:rPr>
          <w:rFonts w:cs="Arial"/>
          <w:szCs w:val="20"/>
        </w:rPr>
        <w:t>maturitní zkouškou,</w:t>
      </w:r>
      <w:r w:rsidRPr="00CD1661">
        <w:rPr>
          <w:rFonts w:cs="Arial"/>
          <w:szCs w:val="20"/>
        </w:rPr>
        <w:t xml:space="preserve"> lze</w:t>
      </w:r>
      <w:r w:rsidRPr="00EF4C14">
        <w:rPr>
          <w:rFonts w:cs="Arial"/>
          <w:szCs w:val="20"/>
        </w:rPr>
        <w:t xml:space="preserve"> si všimnout, </w:t>
      </w:r>
      <w:r w:rsidR="00ED14E5">
        <w:rPr>
          <w:rFonts w:cs="Arial"/>
          <w:szCs w:val="20"/>
        </w:rPr>
        <w:t>ž</w:t>
      </w:r>
      <w:r w:rsidR="00F41E62">
        <w:rPr>
          <w:rFonts w:cs="Arial"/>
          <w:szCs w:val="20"/>
        </w:rPr>
        <w:t>e u obou se ve školním roce 202</w:t>
      </w:r>
      <w:r w:rsidR="002360D2">
        <w:rPr>
          <w:rFonts w:cs="Arial"/>
          <w:szCs w:val="20"/>
        </w:rPr>
        <w:t>5</w:t>
      </w:r>
      <w:r w:rsidR="00F41E62">
        <w:rPr>
          <w:rFonts w:cs="Arial"/>
          <w:szCs w:val="20"/>
        </w:rPr>
        <w:t>/2</w:t>
      </w:r>
      <w:r w:rsidR="002360D2">
        <w:rPr>
          <w:rFonts w:cs="Arial"/>
          <w:szCs w:val="20"/>
        </w:rPr>
        <w:t>6</w:t>
      </w:r>
      <w:r w:rsidR="00ED14E5">
        <w:rPr>
          <w:rFonts w:cs="Arial"/>
          <w:szCs w:val="20"/>
        </w:rPr>
        <w:t xml:space="preserve"> mezi pět nejčastěji navštěvovaných skupin oborů řadila elektrotechnika, telekomunikační a výpočetní technika (třetí, resp. </w:t>
      </w:r>
      <w:r w:rsidR="002360D2">
        <w:rPr>
          <w:rFonts w:cs="Arial"/>
          <w:szCs w:val="20"/>
        </w:rPr>
        <w:t>čtvrtá</w:t>
      </w:r>
      <w:r w:rsidR="00ED14E5">
        <w:rPr>
          <w:rFonts w:cs="Arial"/>
          <w:szCs w:val="20"/>
        </w:rPr>
        <w:t xml:space="preserve"> v žebříčku dle počtu žáků). Jinak se tyto dvě skupiny žáků v preferencích odlišují. Zatímco žáci </w:t>
      </w:r>
      <w:r w:rsidR="00ED14E5" w:rsidRPr="005B16C1">
        <w:rPr>
          <w:rFonts w:cs="Arial"/>
          <w:i/>
          <w:szCs w:val="20"/>
        </w:rPr>
        <w:t>v učebních oborech</w:t>
      </w:r>
      <w:r w:rsidR="00ED14E5">
        <w:rPr>
          <w:rFonts w:cs="Arial"/>
          <w:szCs w:val="20"/>
        </w:rPr>
        <w:t xml:space="preserve"> dávají přednost strojírenství (nejčastěji navštěvované obory),</w:t>
      </w:r>
      <w:r w:rsidR="0083518B">
        <w:rPr>
          <w:rFonts w:cs="Arial"/>
          <w:szCs w:val="20"/>
        </w:rPr>
        <w:t xml:space="preserve"> gastrono</w:t>
      </w:r>
      <w:r w:rsidR="00ED14E5">
        <w:rPr>
          <w:rFonts w:cs="Arial"/>
          <w:szCs w:val="20"/>
        </w:rPr>
        <w:t xml:space="preserve">mii a hotelnictví (druhé nejčastěji navštěvované), zemědělství a lesnictví (čtvrté) a stavebnictví, geodézii a kartografii (páté), u žáků </w:t>
      </w:r>
      <w:r w:rsidR="00ED14E5" w:rsidRPr="005B16C1">
        <w:rPr>
          <w:rFonts w:cs="Arial"/>
          <w:i/>
          <w:szCs w:val="20"/>
        </w:rPr>
        <w:t>středního odborného vzdělávání s maturitou</w:t>
      </w:r>
      <w:r w:rsidR="00ED14E5">
        <w:rPr>
          <w:rFonts w:cs="Arial"/>
          <w:szCs w:val="20"/>
        </w:rPr>
        <w:t xml:space="preserve"> se gastronomie a hotelnictví řadí</w:t>
      </w:r>
      <w:r w:rsidR="00C24392">
        <w:rPr>
          <w:rFonts w:cs="Arial"/>
          <w:szCs w:val="20"/>
        </w:rPr>
        <w:t xml:space="preserve"> na </w:t>
      </w:r>
      <w:r w:rsidR="00F41E62">
        <w:rPr>
          <w:rFonts w:cs="Arial"/>
          <w:szCs w:val="20"/>
        </w:rPr>
        <w:t>šest</w:t>
      </w:r>
      <w:r w:rsidR="00C24392">
        <w:rPr>
          <w:rFonts w:cs="Arial"/>
          <w:szCs w:val="20"/>
        </w:rPr>
        <w:t xml:space="preserve">é místo, strojírenství </w:t>
      </w:r>
      <w:r w:rsidR="00F41E62">
        <w:rPr>
          <w:rFonts w:cs="Arial"/>
          <w:szCs w:val="20"/>
        </w:rPr>
        <w:t>na deváté</w:t>
      </w:r>
      <w:r w:rsidR="00ED14E5">
        <w:rPr>
          <w:rFonts w:cs="Arial"/>
          <w:szCs w:val="20"/>
        </w:rPr>
        <w:t xml:space="preserve"> </w:t>
      </w:r>
      <w:proofErr w:type="gramStart"/>
      <w:r w:rsidR="00ED14E5">
        <w:rPr>
          <w:rFonts w:cs="Arial"/>
          <w:szCs w:val="20"/>
        </w:rPr>
        <w:t>místo</w:t>
      </w:r>
      <w:proofErr w:type="gramEnd"/>
      <w:r w:rsidR="00285736">
        <w:rPr>
          <w:rFonts w:cs="Arial"/>
          <w:szCs w:val="20"/>
        </w:rPr>
        <w:t xml:space="preserve"> </w:t>
      </w:r>
      <w:r w:rsidR="00ED14E5">
        <w:rPr>
          <w:rFonts w:cs="Arial"/>
          <w:szCs w:val="20"/>
        </w:rPr>
        <w:t xml:space="preserve">a ještě dále v žebříčku si stojí </w:t>
      </w:r>
      <w:r w:rsidR="00517422">
        <w:rPr>
          <w:rFonts w:cs="Arial"/>
          <w:szCs w:val="20"/>
        </w:rPr>
        <w:t>stavebnictví, geodézie a kartografie</w:t>
      </w:r>
      <w:r w:rsidR="0083518B">
        <w:rPr>
          <w:rFonts w:cs="Arial"/>
          <w:szCs w:val="20"/>
        </w:rPr>
        <w:t xml:space="preserve"> (11. místo) a zemědělství a lesnictví (12. místo). Mezi pěti nejčastěji studovanými je však mj. zdravotnictví, které zaujalo u žáků</w:t>
      </w:r>
      <w:r w:rsidR="00F41E62">
        <w:rPr>
          <w:rFonts w:cs="Arial"/>
          <w:szCs w:val="20"/>
        </w:rPr>
        <w:t xml:space="preserve"> učebních oborů až desáté místo.</w:t>
      </w:r>
      <w:r w:rsidR="00B6383D">
        <w:rPr>
          <w:rFonts w:cs="Arial"/>
          <w:szCs w:val="20"/>
        </w:rPr>
        <w:t xml:space="preserve"> Typické pak jsou </w:t>
      </w:r>
      <w:r w:rsidR="00B6383D">
        <w:rPr>
          <w:rFonts w:cs="Arial"/>
          <w:szCs w:val="20"/>
        </w:rPr>
        <w:lastRenderedPageBreak/>
        <w:t>pro obory odborného vzdělávání s maturitní zkouškou ekonomické a administrativní zaměření a také lycea (obecně odborná příprava).</w:t>
      </w:r>
    </w:p>
    <w:p w14:paraId="4DC5B3A6" w14:textId="3953E469" w:rsidR="00FA7769" w:rsidRPr="00EF4C14" w:rsidRDefault="00391461" w:rsidP="00FA776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Graf </w:t>
      </w:r>
      <w:r w:rsidR="00D863A2">
        <w:rPr>
          <w:rFonts w:cs="Arial"/>
          <w:szCs w:val="20"/>
        </w:rPr>
        <w:t xml:space="preserve">č. </w:t>
      </w:r>
      <w:r>
        <w:rPr>
          <w:rFonts w:cs="Arial"/>
          <w:szCs w:val="20"/>
        </w:rPr>
        <w:t>3.12</w:t>
      </w:r>
      <w:r w:rsidR="00FA7769" w:rsidRPr="00EF4C14">
        <w:rPr>
          <w:rFonts w:cs="Arial"/>
          <w:szCs w:val="20"/>
        </w:rPr>
        <w:t xml:space="preserve"> nakonec ukazuje počty žáků nástavbového studia dle jednotlivých skupin oborů</w:t>
      </w:r>
      <w:r w:rsidR="0003718B">
        <w:rPr>
          <w:rFonts w:cs="Arial"/>
          <w:szCs w:val="20"/>
        </w:rPr>
        <w:t xml:space="preserve"> v</w:t>
      </w:r>
      <w:r w:rsidR="001A5D69">
        <w:rPr>
          <w:rFonts w:cs="Arial"/>
          <w:szCs w:val="20"/>
        </w:rPr>
        <w:t>zděl</w:t>
      </w:r>
      <w:r w:rsidR="0003718B">
        <w:rPr>
          <w:rFonts w:cs="Arial"/>
          <w:szCs w:val="20"/>
        </w:rPr>
        <w:t>ání</w:t>
      </w:r>
      <w:r w:rsidR="00FA7769" w:rsidRPr="00EF4C14">
        <w:rPr>
          <w:rFonts w:cs="Arial"/>
          <w:szCs w:val="20"/>
        </w:rPr>
        <w:t>. Znázorňuje přitom pouze obory, v</w:t>
      </w:r>
      <w:r w:rsidR="00033FA8">
        <w:rPr>
          <w:rFonts w:cs="Arial"/>
          <w:szCs w:val="20"/>
        </w:rPr>
        <w:t>e</w:t>
      </w:r>
      <w:r w:rsidR="00D863A2">
        <w:rPr>
          <w:rFonts w:cs="Arial"/>
          <w:szCs w:val="20"/>
        </w:rPr>
        <w:t xml:space="preserve"> kterých se ve školním roce 202</w:t>
      </w:r>
      <w:r w:rsidR="00A1676D">
        <w:rPr>
          <w:rFonts w:cs="Arial"/>
          <w:szCs w:val="20"/>
        </w:rPr>
        <w:t>5</w:t>
      </w:r>
      <w:r w:rsidR="00D863A2">
        <w:rPr>
          <w:rFonts w:cs="Arial"/>
          <w:szCs w:val="20"/>
        </w:rPr>
        <w:t>/2</w:t>
      </w:r>
      <w:r w:rsidR="00A1676D">
        <w:rPr>
          <w:rFonts w:cs="Arial"/>
          <w:szCs w:val="20"/>
        </w:rPr>
        <w:t>6</w:t>
      </w:r>
      <w:r w:rsidR="00FA7769" w:rsidRPr="00EF4C14">
        <w:rPr>
          <w:rFonts w:cs="Arial"/>
          <w:szCs w:val="20"/>
        </w:rPr>
        <w:t xml:space="preserve"> vzdělávalo více než 100 žáků.</w:t>
      </w:r>
    </w:p>
    <w:p w14:paraId="3489D873" w14:textId="4D49297E" w:rsidR="00FA7769" w:rsidRPr="00C24392" w:rsidRDefault="003920E0" w:rsidP="00FA7769">
      <w:pPr>
        <w:keepNext/>
        <w:spacing w:after="120" w:line="240" w:lineRule="auto"/>
      </w:pPr>
      <w:r>
        <w:rPr>
          <w:b/>
        </w:rPr>
        <w:t>Graf</w:t>
      </w:r>
      <w:r w:rsidR="00391461">
        <w:rPr>
          <w:b/>
        </w:rPr>
        <w:t xml:space="preserve"> 3.12</w:t>
      </w:r>
      <w:r w:rsidR="00FA7769" w:rsidRPr="00F603F0">
        <w:rPr>
          <w:b/>
        </w:rPr>
        <w:t xml:space="preserve"> </w:t>
      </w:r>
      <w:r w:rsidR="00FA7769">
        <w:rPr>
          <w:b/>
        </w:rPr>
        <w:t>N</w:t>
      </w:r>
      <w:r w:rsidR="00FA7769" w:rsidRPr="00F603F0">
        <w:rPr>
          <w:b/>
        </w:rPr>
        <w:t>ástavbové studium</w:t>
      </w:r>
      <w:r w:rsidR="001A5D69">
        <w:rPr>
          <w:b/>
        </w:rPr>
        <w:t xml:space="preserve"> – žáci dle skupin oborů vzděl</w:t>
      </w:r>
      <w:r w:rsidR="00FA7769" w:rsidRPr="00F603F0">
        <w:rPr>
          <w:b/>
        </w:rPr>
        <w:t xml:space="preserve">ání </w:t>
      </w:r>
      <w:r w:rsidR="00FA7769">
        <w:rPr>
          <w:b/>
        </w:rPr>
        <w:br/>
      </w:r>
      <w:r w:rsidR="00033FA8" w:rsidRPr="00C24392">
        <w:t>(</w:t>
      </w:r>
      <w:r w:rsidR="00FA7769" w:rsidRPr="00C24392">
        <w:t>pouze skupiny oborů s více n</w:t>
      </w:r>
      <w:r w:rsidR="00350E9B">
        <w:t>ež 100 žáků ve školním roce 202</w:t>
      </w:r>
      <w:r w:rsidR="001F2483">
        <w:t>5</w:t>
      </w:r>
      <w:r w:rsidR="00350E9B">
        <w:t>/2</w:t>
      </w:r>
      <w:r w:rsidR="001F2483">
        <w:t>6</w:t>
      </w:r>
      <w:r w:rsidR="00FA7769" w:rsidRPr="00C24392">
        <w:t>)</w:t>
      </w:r>
    </w:p>
    <w:p w14:paraId="274171E5" w14:textId="057AE0C9" w:rsidR="00033FA8" w:rsidRDefault="002870A1" w:rsidP="00FA7769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560E2E26" wp14:editId="03F7F8F6">
            <wp:extent cx="6115050" cy="4781550"/>
            <wp:effectExtent l="0" t="0" r="0" b="0"/>
            <wp:docPr id="86559249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E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4BB27EC" w14:textId="61811390" w:rsidR="00C018F3" w:rsidRDefault="00FA7769" w:rsidP="00FA7769">
      <w:pPr>
        <w:spacing w:after="120"/>
        <w:jc w:val="both"/>
        <w:rPr>
          <w:rFonts w:cs="Arial"/>
          <w:szCs w:val="20"/>
        </w:rPr>
      </w:pPr>
      <w:r w:rsidRPr="004A5668">
        <w:rPr>
          <w:rFonts w:cs="Arial"/>
          <w:szCs w:val="20"/>
        </w:rPr>
        <w:t xml:space="preserve">Jak je patrné, v obou sledovaných školních rocích se s velkým předstihem nejvíce žáků vzdělávalo ve skupinách oborů </w:t>
      </w:r>
      <w:r w:rsidRPr="00C018F3">
        <w:rPr>
          <w:rFonts w:cs="Arial"/>
          <w:b/>
          <w:szCs w:val="20"/>
        </w:rPr>
        <w:t>podnikání v oborech, odvětví</w:t>
      </w:r>
      <w:r w:rsidRPr="004A5668">
        <w:rPr>
          <w:rStyle w:val="Znakapoznpodarou"/>
          <w:rFonts w:cs="Arial"/>
          <w:szCs w:val="20"/>
        </w:rPr>
        <w:footnoteReference w:id="5"/>
      </w:r>
      <w:r w:rsidR="00270AF2">
        <w:rPr>
          <w:rFonts w:cs="Arial"/>
          <w:szCs w:val="20"/>
        </w:rPr>
        <w:t xml:space="preserve"> (</w:t>
      </w:r>
      <w:r w:rsidR="002115A9" w:rsidRPr="002115A9">
        <w:rPr>
          <w:rFonts w:cs="Arial"/>
          <w:szCs w:val="20"/>
        </w:rPr>
        <w:t>10</w:t>
      </w:r>
      <w:r w:rsidR="002115A9">
        <w:rPr>
          <w:rFonts w:cs="Arial"/>
          <w:szCs w:val="20"/>
        </w:rPr>
        <w:t> </w:t>
      </w:r>
      <w:r w:rsidR="00A1676D">
        <w:rPr>
          <w:rFonts w:cs="Arial"/>
          <w:szCs w:val="20"/>
        </w:rPr>
        <w:t>244</w:t>
      </w:r>
      <w:r w:rsidR="00946A6D">
        <w:rPr>
          <w:rFonts w:cs="Arial"/>
          <w:szCs w:val="20"/>
        </w:rPr>
        <w:t xml:space="preserve"> ve školním roce 202</w:t>
      </w:r>
      <w:r w:rsidR="00A1676D">
        <w:rPr>
          <w:rFonts w:cs="Arial"/>
          <w:szCs w:val="20"/>
        </w:rPr>
        <w:t>5</w:t>
      </w:r>
      <w:r w:rsidR="00946A6D">
        <w:rPr>
          <w:rFonts w:cs="Arial"/>
          <w:szCs w:val="20"/>
        </w:rPr>
        <w:t>/2</w:t>
      </w:r>
      <w:r w:rsidR="00A1676D">
        <w:rPr>
          <w:rFonts w:cs="Arial"/>
          <w:szCs w:val="20"/>
        </w:rPr>
        <w:t>6</w:t>
      </w:r>
      <w:r w:rsidRPr="004A5668">
        <w:rPr>
          <w:rFonts w:cs="Arial"/>
          <w:szCs w:val="20"/>
        </w:rPr>
        <w:t xml:space="preserve">). Již méně </w:t>
      </w:r>
      <w:r w:rsidR="00D0027F">
        <w:rPr>
          <w:rFonts w:cs="Arial"/>
          <w:szCs w:val="20"/>
        </w:rPr>
        <w:t xml:space="preserve">než tisíc </w:t>
      </w:r>
      <w:r w:rsidRPr="004A5668">
        <w:rPr>
          <w:rFonts w:cs="Arial"/>
          <w:szCs w:val="20"/>
        </w:rPr>
        <w:t>žáků</w:t>
      </w:r>
      <w:r w:rsidR="009D616E">
        <w:rPr>
          <w:rFonts w:cs="Arial"/>
          <w:szCs w:val="20"/>
        </w:rPr>
        <w:t>, ale více než 500 žáků</w:t>
      </w:r>
      <w:r w:rsidRPr="004A5668">
        <w:rPr>
          <w:rFonts w:cs="Arial"/>
          <w:szCs w:val="20"/>
        </w:rPr>
        <w:t xml:space="preserve"> se </w:t>
      </w:r>
      <w:r w:rsidR="00D0027F">
        <w:rPr>
          <w:rFonts w:cs="Arial"/>
          <w:szCs w:val="20"/>
        </w:rPr>
        <w:t>ve školním roce 202</w:t>
      </w:r>
      <w:r w:rsidR="00A1676D">
        <w:rPr>
          <w:rFonts w:cs="Arial"/>
          <w:szCs w:val="20"/>
        </w:rPr>
        <w:t>5</w:t>
      </w:r>
      <w:r w:rsidR="00D0027F">
        <w:rPr>
          <w:rFonts w:cs="Arial"/>
          <w:szCs w:val="20"/>
        </w:rPr>
        <w:t>/2</w:t>
      </w:r>
      <w:r w:rsidR="00A1676D">
        <w:rPr>
          <w:rFonts w:cs="Arial"/>
          <w:szCs w:val="20"/>
        </w:rPr>
        <w:t>6</w:t>
      </w:r>
      <w:r w:rsidRPr="004A5668">
        <w:rPr>
          <w:rFonts w:cs="Arial"/>
          <w:szCs w:val="20"/>
        </w:rPr>
        <w:t xml:space="preserve"> vzdělávalo v oborech </w:t>
      </w:r>
      <w:r w:rsidRPr="00D0027F">
        <w:rPr>
          <w:rFonts w:cs="Arial"/>
          <w:szCs w:val="20"/>
        </w:rPr>
        <w:t>strojí</w:t>
      </w:r>
      <w:r w:rsidR="00737BFE" w:rsidRPr="00D0027F">
        <w:rPr>
          <w:rFonts w:cs="Arial"/>
          <w:szCs w:val="20"/>
        </w:rPr>
        <w:t>renství a</w:t>
      </w:r>
      <w:r w:rsidR="00270AF2" w:rsidRPr="00D0027F">
        <w:rPr>
          <w:rFonts w:cs="Arial"/>
          <w:szCs w:val="20"/>
        </w:rPr>
        <w:t> strojírenská výroba</w:t>
      </w:r>
      <w:r w:rsidR="009D616E">
        <w:rPr>
          <w:rFonts w:cs="Arial"/>
          <w:szCs w:val="20"/>
        </w:rPr>
        <w:t xml:space="preserve"> (950) a</w:t>
      </w:r>
      <w:r w:rsidRPr="00D0027F">
        <w:rPr>
          <w:rFonts w:cs="Arial"/>
          <w:szCs w:val="20"/>
        </w:rPr>
        <w:t xml:space="preserve"> elektrotechnika, telekom</w:t>
      </w:r>
      <w:r w:rsidR="00737BFE" w:rsidRPr="00D0027F">
        <w:rPr>
          <w:rFonts w:cs="Arial"/>
          <w:szCs w:val="20"/>
        </w:rPr>
        <w:t>unikační a výpočetní technika</w:t>
      </w:r>
      <w:r w:rsidR="00D0027F" w:rsidRPr="00D0027F">
        <w:rPr>
          <w:rFonts w:cs="Arial"/>
          <w:szCs w:val="20"/>
        </w:rPr>
        <w:t xml:space="preserve"> </w:t>
      </w:r>
      <w:r w:rsidR="009D616E">
        <w:rPr>
          <w:rFonts w:cs="Arial"/>
          <w:szCs w:val="20"/>
        </w:rPr>
        <w:t>(789)</w:t>
      </w:r>
      <w:r w:rsidR="002115A9">
        <w:rPr>
          <w:rFonts w:cs="Arial"/>
          <w:szCs w:val="20"/>
        </w:rPr>
        <w:t xml:space="preserve">. </w:t>
      </w:r>
      <w:r w:rsidR="00D0027F">
        <w:rPr>
          <w:rFonts w:cs="Arial"/>
          <w:szCs w:val="20"/>
        </w:rPr>
        <w:t xml:space="preserve">Ostatní skupiny oborů studovalo již </w:t>
      </w:r>
      <w:r w:rsidR="009D616E">
        <w:rPr>
          <w:rFonts w:cs="Arial"/>
          <w:szCs w:val="20"/>
        </w:rPr>
        <w:t>325</w:t>
      </w:r>
      <w:r w:rsidR="00D0027F">
        <w:rPr>
          <w:rFonts w:cs="Arial"/>
          <w:szCs w:val="20"/>
        </w:rPr>
        <w:t xml:space="preserve"> žáků</w:t>
      </w:r>
      <w:r w:rsidR="009D616E">
        <w:rPr>
          <w:rFonts w:cs="Arial"/>
          <w:szCs w:val="20"/>
        </w:rPr>
        <w:t xml:space="preserve"> a méně</w:t>
      </w:r>
      <w:r w:rsidR="00D0027F">
        <w:rPr>
          <w:rFonts w:cs="Arial"/>
          <w:szCs w:val="20"/>
        </w:rPr>
        <w:t>.</w:t>
      </w:r>
    </w:p>
    <w:p w14:paraId="4A64139F" w14:textId="6A027A2D" w:rsidR="009D616E" w:rsidRDefault="00E82AA4" w:rsidP="00046247">
      <w:pPr>
        <w:pStyle w:val="Textpoznpodarou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Podíváme</w:t>
      </w:r>
      <w:r w:rsidR="0028573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li se na vývoj za pět let, pak </w:t>
      </w:r>
      <w:r w:rsidR="009D616E">
        <w:rPr>
          <w:rFonts w:ascii="Arial" w:hAnsi="Arial" w:cs="Arial"/>
        </w:rPr>
        <w:t>u většiny skupin oborů uvedených v grafu došlo k</w:t>
      </w:r>
      <w:r>
        <w:rPr>
          <w:rFonts w:ascii="Arial" w:hAnsi="Arial" w:cs="Arial"/>
        </w:rPr>
        <w:t xml:space="preserve"> </w:t>
      </w:r>
      <w:r w:rsidRPr="003B3D82">
        <w:rPr>
          <w:rFonts w:ascii="Arial" w:hAnsi="Arial" w:cs="Arial"/>
          <w:b/>
        </w:rPr>
        <w:t xml:space="preserve">navýšení </w:t>
      </w:r>
      <w:r>
        <w:rPr>
          <w:rFonts w:ascii="Arial" w:hAnsi="Arial" w:cs="Arial"/>
        </w:rPr>
        <w:t>počtu žáků nástavbového studia.</w:t>
      </w:r>
      <w:r w:rsidR="009D616E">
        <w:rPr>
          <w:rFonts w:ascii="Arial" w:hAnsi="Arial" w:cs="Arial"/>
        </w:rPr>
        <w:t xml:space="preserve"> V absolutním vyjádření se nejvíce navýšil ve skupině oborů podnikání v oborech, odvětví (o 588 žáků), ale vzhledem k velkému množství žáků, které tato skupina zahrnuje, zaznamenala nárůst jen o</w:t>
      </w:r>
      <w:r w:rsidR="00ED1581">
        <w:rPr>
          <w:rFonts w:ascii="Arial" w:hAnsi="Arial" w:cs="Arial"/>
        </w:rPr>
        <w:t> </w:t>
      </w:r>
      <w:r w:rsidR="009D616E">
        <w:rPr>
          <w:rFonts w:ascii="Arial" w:hAnsi="Arial" w:cs="Arial"/>
        </w:rPr>
        <w:t>6,1 %. Nejvyšší procentuální nárůst (více než 50%) zaznamenala skupina oborů u</w:t>
      </w:r>
      <w:r w:rsidR="009D616E" w:rsidRPr="009D616E">
        <w:rPr>
          <w:rFonts w:ascii="Arial" w:hAnsi="Arial" w:cs="Arial"/>
        </w:rPr>
        <w:t>pracování dřeva a výroba hudebních nástrojů</w:t>
      </w:r>
      <w:r w:rsidR="009D616E">
        <w:rPr>
          <w:rFonts w:ascii="Arial" w:hAnsi="Arial" w:cs="Arial"/>
        </w:rPr>
        <w:t xml:space="preserve"> (o 99,1 %, tedy se téměř zdvojnásobila), </w:t>
      </w:r>
      <w:r w:rsidR="009D616E" w:rsidRPr="009D616E">
        <w:rPr>
          <w:rFonts w:ascii="Arial" w:hAnsi="Arial" w:cs="Arial"/>
        </w:rPr>
        <w:t>speciální a interdisciplinární obory</w:t>
      </w:r>
      <w:r w:rsidR="009D616E">
        <w:rPr>
          <w:rFonts w:ascii="Arial" w:hAnsi="Arial" w:cs="Arial"/>
        </w:rPr>
        <w:t xml:space="preserve"> (o 89,2 %) a </w:t>
      </w:r>
      <w:r w:rsidR="009D616E" w:rsidRPr="009D616E">
        <w:rPr>
          <w:rFonts w:ascii="Arial" w:hAnsi="Arial" w:cs="Arial"/>
        </w:rPr>
        <w:t>pedagogika, učitelství a soc</w:t>
      </w:r>
      <w:r w:rsidR="00757DD5">
        <w:rPr>
          <w:rFonts w:ascii="Arial" w:hAnsi="Arial" w:cs="Arial"/>
        </w:rPr>
        <w:t>iální</w:t>
      </w:r>
      <w:r w:rsidR="009D616E" w:rsidRPr="009D616E">
        <w:rPr>
          <w:rFonts w:ascii="Arial" w:hAnsi="Arial" w:cs="Arial"/>
        </w:rPr>
        <w:t xml:space="preserve"> péče</w:t>
      </w:r>
      <w:r w:rsidR="009D616E">
        <w:rPr>
          <w:rFonts w:ascii="Arial" w:hAnsi="Arial" w:cs="Arial"/>
        </w:rPr>
        <w:t xml:space="preserve"> (zaznamenala nárůst o 72,6 %). </w:t>
      </w:r>
    </w:p>
    <w:p w14:paraId="3FF1AAFA" w14:textId="6C5F8259" w:rsidR="00074AD4" w:rsidRPr="00046247" w:rsidRDefault="009D616E" w:rsidP="00046247">
      <w:pPr>
        <w:pStyle w:val="Textpoznpodarou"/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tří skupin oborů došlo </w:t>
      </w:r>
      <w:r w:rsidR="00757DD5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e </w:t>
      </w:r>
      <w:r w:rsidRPr="00757DD5">
        <w:rPr>
          <w:rFonts w:ascii="Arial" w:hAnsi="Arial" w:cs="Arial"/>
          <w:b/>
          <w:bCs/>
        </w:rPr>
        <w:t>snížení</w:t>
      </w:r>
      <w:r>
        <w:rPr>
          <w:rFonts w:ascii="Arial" w:hAnsi="Arial" w:cs="Arial"/>
        </w:rPr>
        <w:t xml:space="preserve"> počtu žáků. Jedná se o obory z oblasti </w:t>
      </w:r>
      <w:r w:rsidRPr="009D616E">
        <w:rPr>
          <w:rFonts w:ascii="Arial" w:hAnsi="Arial" w:cs="Arial"/>
        </w:rPr>
        <w:t>práv</w:t>
      </w:r>
      <w:r>
        <w:rPr>
          <w:rFonts w:ascii="Arial" w:hAnsi="Arial" w:cs="Arial"/>
        </w:rPr>
        <w:t>a</w:t>
      </w:r>
      <w:r w:rsidRPr="009D616E">
        <w:rPr>
          <w:rFonts w:ascii="Arial" w:hAnsi="Arial" w:cs="Arial"/>
        </w:rPr>
        <w:t>, právní</w:t>
      </w:r>
      <w:r>
        <w:rPr>
          <w:rFonts w:ascii="Arial" w:hAnsi="Arial" w:cs="Arial"/>
        </w:rPr>
        <w:t>ch</w:t>
      </w:r>
      <w:r w:rsidRPr="009D616E">
        <w:rPr>
          <w:rFonts w:ascii="Arial" w:hAnsi="Arial" w:cs="Arial"/>
        </w:rPr>
        <w:t xml:space="preserve"> a veřejnosprávní</w:t>
      </w:r>
      <w:r>
        <w:rPr>
          <w:rFonts w:ascii="Arial" w:hAnsi="Arial" w:cs="Arial"/>
        </w:rPr>
        <w:t>ch</w:t>
      </w:r>
      <w:r w:rsidRPr="009D616E">
        <w:rPr>
          <w:rFonts w:ascii="Arial" w:hAnsi="Arial" w:cs="Arial"/>
        </w:rPr>
        <w:t xml:space="preserve"> činnost</w:t>
      </w:r>
      <w:r>
        <w:rPr>
          <w:rFonts w:ascii="Arial" w:hAnsi="Arial" w:cs="Arial"/>
        </w:rPr>
        <w:t xml:space="preserve">í (pokles o 7,7 %, neboli o 24 žáků), </w:t>
      </w:r>
      <w:r w:rsidRPr="009D616E">
        <w:rPr>
          <w:rFonts w:ascii="Arial" w:hAnsi="Arial" w:cs="Arial"/>
        </w:rPr>
        <w:t>strojírenství a strojírenská výroba</w:t>
      </w:r>
      <w:r w:rsidR="00757DD5">
        <w:rPr>
          <w:rFonts w:ascii="Arial" w:hAnsi="Arial" w:cs="Arial"/>
        </w:rPr>
        <w:t xml:space="preserve"> (pokles o 19,6 %, neboli o 232 žáků) a gastronomie, hotelnictví a turismu (pokles o 21,0 %, neboli o 86 žáků).</w:t>
      </w:r>
    </w:p>
    <w:p w14:paraId="2E0684AA" w14:textId="77777777" w:rsidR="007431D5" w:rsidRDefault="00FA7769" w:rsidP="00E85F38">
      <w:pPr>
        <w:pStyle w:val="Nadpis2"/>
      </w:pPr>
      <w:bookmarkStart w:id="5" w:name="_Toc199232057"/>
      <w:r w:rsidRPr="00AE5878">
        <w:rPr>
          <w:color w:val="CC9610"/>
        </w:rPr>
        <w:lastRenderedPageBreak/>
        <w:t>3.3 Žáci středních škol dle zdravotního postižení a integrace</w:t>
      </w:r>
      <w:bookmarkEnd w:id="5"/>
      <w:r w:rsidRPr="00AE5878">
        <w:rPr>
          <w:color w:val="CC9610"/>
        </w:rPr>
        <w:t xml:space="preserve"> </w:t>
      </w:r>
    </w:p>
    <w:p w14:paraId="4B1C3850" w14:textId="77777777" w:rsidR="007431D5" w:rsidRPr="007431D5" w:rsidRDefault="007431D5" w:rsidP="00E85F38">
      <w:pPr>
        <w:keepNext/>
        <w:spacing w:after="120" w:line="240" w:lineRule="auto"/>
      </w:pPr>
    </w:p>
    <w:p w14:paraId="14A924A4" w14:textId="0F11A169" w:rsidR="00FA7769" w:rsidRDefault="009C43F4" w:rsidP="00FA7769">
      <w:pPr>
        <w:spacing w:after="120"/>
        <w:jc w:val="both"/>
      </w:pPr>
      <w:r>
        <w:t>V oblasti vzdělávání se používá pojem „žáci</w:t>
      </w:r>
      <w:r w:rsidR="00FA7769" w:rsidRPr="004A5668">
        <w:t xml:space="preserve"> se speciálními vzdělávacími potřebami</w:t>
      </w:r>
      <w:r>
        <w:t>“.</w:t>
      </w:r>
      <w:r w:rsidR="00FA7769" w:rsidRPr="004A5668">
        <w:t xml:space="preserve"> </w:t>
      </w:r>
      <w:r>
        <w:t>Tam se</w:t>
      </w:r>
      <w:r w:rsidR="00FA7769" w:rsidRPr="004A5668">
        <w:t xml:space="preserve"> vedle žáků se zdravotním postižením řadí též žáci se zdravotním znevýhodněním (tj. zdravotním oslabením, dlouhodobým onemocněním a lehčími zdravotními poruchami vedoucími k poruchám učení a chování) a se sociálním znevýho</w:t>
      </w:r>
      <w:r w:rsidR="007D0F30">
        <w:t>dněním (</w:t>
      </w:r>
      <w:r w:rsidR="00091BCC">
        <w:t xml:space="preserve">často jimi bývají žáci </w:t>
      </w:r>
      <w:r w:rsidR="007D0F30">
        <w:t>z rodinného prostředí s </w:t>
      </w:r>
      <w:r w:rsidR="00FA7769" w:rsidRPr="004A5668">
        <w:t>nízkým sociálně kulturním postavením, ohrožení sociálně patologickými jevy, s nařízenou ústavní výchovou ne</w:t>
      </w:r>
      <w:r w:rsidR="00091BCC">
        <w:t>bo uloženou ochrannou výchovou či</w:t>
      </w:r>
      <w:r w:rsidR="00FA7769" w:rsidRPr="004A5668">
        <w:t xml:space="preserve"> žáci v  postavení azylantů a účastníků řízení o udělení azylu) </w:t>
      </w:r>
      <w:r w:rsidR="002C291A">
        <w:t>–</w:t>
      </w:r>
      <w:r w:rsidR="00FA7769" w:rsidRPr="004A5668">
        <w:t xml:space="preserve"> v</w:t>
      </w:r>
      <w:r w:rsidR="00994DFD">
        <w:t>iz § 16 školského zákona č. 561/2004 Sb.</w:t>
      </w:r>
      <w:r w:rsidR="00FA7769" w:rsidRPr="004A5668">
        <w:t xml:space="preserve"> </w:t>
      </w:r>
      <w:r w:rsidR="000C1930">
        <w:t>V</w:t>
      </w:r>
      <w:r>
        <w:t xml:space="preserve"> této analýze </w:t>
      </w:r>
      <w:r w:rsidR="000C1930">
        <w:t xml:space="preserve">se </w:t>
      </w:r>
      <w:r w:rsidR="00FA7769" w:rsidRPr="004A5668">
        <w:t xml:space="preserve">omezíme na </w:t>
      </w:r>
      <w:r w:rsidR="00994DFD">
        <w:t>žáky</w:t>
      </w:r>
      <w:r w:rsidR="00FA7769" w:rsidRPr="004A5668">
        <w:t xml:space="preserve"> se zdravotním postižením.</w:t>
      </w:r>
    </w:p>
    <w:p w14:paraId="37EF574F" w14:textId="77777777" w:rsidR="009C43F4" w:rsidRDefault="009C43F4" w:rsidP="009C43F4">
      <w:pPr>
        <w:spacing w:before="120" w:after="120"/>
        <w:jc w:val="both"/>
      </w:pPr>
      <w:r w:rsidRPr="004A5668">
        <w:t xml:space="preserve">Žáci se zdravotním postižením jsou žáci s postižením mentálním, sluchovým, se závažnými </w:t>
      </w:r>
      <w:r>
        <w:t>vadami řeči, s </w:t>
      </w:r>
      <w:r w:rsidRPr="004A5668">
        <w:t>postižením tělesným, se závažnými vývojovými poruchami učení a chování a s poruchami autistického spektra, příp. žáci s více vadami</w:t>
      </w:r>
      <w:r w:rsidRPr="004A5668">
        <w:rPr>
          <w:rStyle w:val="Znakapoznpodarou"/>
        </w:rPr>
        <w:footnoteReference w:id="6"/>
      </w:r>
      <w:r w:rsidRPr="004A5668">
        <w:t xml:space="preserve">. Ti mohou být individuálně integrováni do běžných tříd, zařazeni do speciálních tříd na běžných školách, nebo navštěvovat školy zaměřené primárně na výuku žáků se speciálními vzdělávacími potřebami (tj. školy </w:t>
      </w:r>
      <w:r>
        <w:t xml:space="preserve">pouze se speciálními třídami). </w:t>
      </w:r>
    </w:p>
    <w:p w14:paraId="73F54039" w14:textId="77777777" w:rsidR="00692076" w:rsidRPr="004A5668" w:rsidRDefault="00692076" w:rsidP="00692076">
      <w:pPr>
        <w:spacing w:after="120"/>
        <w:jc w:val="both"/>
      </w:pPr>
      <w:r>
        <w:t xml:space="preserve">Než přejdeme k prezentaci statistik, je dobré uvést, že </w:t>
      </w:r>
      <w:r w:rsidR="00EA15B8">
        <w:t>sledování vývoje počtu žáků s (daným) postižením má svá úskalí. V</w:t>
      </w:r>
      <w:r>
        <w:t xml:space="preserve">e sledovaném období mohlo kromě změn ve sledování statistik dojít ke změně diagnostiky onemocnění a zejména pak k rozšíření diagnostických kritérií, díky kterým lze přesněji a lépe </w:t>
      </w:r>
      <w:r w:rsidR="001B2306">
        <w:t>žáky s </w:t>
      </w:r>
      <w:r w:rsidR="003074E0">
        <w:t>postižením</w:t>
      </w:r>
      <w:r>
        <w:t xml:space="preserve"> kategorizovat a poskytnout jim potřebno</w:t>
      </w:r>
      <w:r w:rsidR="005E248C">
        <w:t>u podporu.</w:t>
      </w:r>
      <w:r w:rsidR="00EA15B8">
        <w:t xml:space="preserve"> </w:t>
      </w:r>
      <w:r w:rsidR="005E248C">
        <w:t>Kromě toho se zvyšuje</w:t>
      </w:r>
      <w:r>
        <w:t> informovanost odborníků i laiků co se poruch autistického spektra a vývojových poruch týče</w:t>
      </w:r>
      <w:r w:rsidR="00EA15B8">
        <w:t xml:space="preserve"> a zvyšuje se tedy šance, že se žákovi určí diagnóza a nabídne podpora</w:t>
      </w:r>
      <w:r>
        <w:t xml:space="preserve">. </w:t>
      </w:r>
      <w:r w:rsidR="005F4B47">
        <w:t xml:space="preserve">Dle aktuálně nabízené podpory </w:t>
      </w:r>
      <w:r w:rsidR="0061355B">
        <w:t>se také více či méně rodin rozhodne nechat dítě vyšetřit a určit</w:t>
      </w:r>
      <w:r w:rsidR="005F4B47">
        <w:t xml:space="preserve"> či potvrdit</w:t>
      </w:r>
      <w:r w:rsidR="0061355B">
        <w:t xml:space="preserve"> diagnózu. </w:t>
      </w:r>
      <w:r w:rsidR="004F1EBD">
        <w:t>To</w:t>
      </w:r>
      <w:r w:rsidR="00A001DC">
        <w:t xml:space="preserve"> vše může vykazování žáků s postižením ovlivnit.</w:t>
      </w:r>
    </w:p>
    <w:p w14:paraId="22ADB256" w14:textId="433858BA" w:rsidR="00FA7769" w:rsidRDefault="002D29A6" w:rsidP="00FA7769">
      <w:pPr>
        <w:spacing w:after="120"/>
        <w:jc w:val="both"/>
      </w:pPr>
      <w:r w:rsidRPr="007D292A">
        <w:t>Mezi š</w:t>
      </w:r>
      <w:r w:rsidR="0083420B" w:rsidRPr="007D292A">
        <w:t>kolními roky</w:t>
      </w:r>
      <w:r w:rsidR="000E7C6C" w:rsidRPr="007D292A">
        <w:t xml:space="preserve"> 201</w:t>
      </w:r>
      <w:r w:rsidR="007D292A" w:rsidRPr="007D292A">
        <w:t>5</w:t>
      </w:r>
      <w:r w:rsidR="000E7C6C" w:rsidRPr="007D292A">
        <w:t>/1</w:t>
      </w:r>
      <w:r w:rsidR="007D292A" w:rsidRPr="007D292A">
        <w:t>6</w:t>
      </w:r>
      <w:r w:rsidR="000E7C6C" w:rsidRPr="007D292A">
        <w:t xml:space="preserve"> a 202</w:t>
      </w:r>
      <w:r w:rsidR="007D292A" w:rsidRPr="007D292A">
        <w:t>5</w:t>
      </w:r>
      <w:r w:rsidR="000E7C6C" w:rsidRPr="007D292A">
        <w:t>/2</w:t>
      </w:r>
      <w:r w:rsidR="007D292A" w:rsidRPr="007D292A">
        <w:t>6</w:t>
      </w:r>
      <w:r w:rsidR="00FA7769" w:rsidRPr="007D292A">
        <w:t xml:space="preserve"> přibylo ve středních školách žáků </w:t>
      </w:r>
      <w:r w:rsidR="00FF0857" w:rsidRPr="007D292A">
        <w:t>s diagnostikovaným</w:t>
      </w:r>
      <w:r w:rsidR="00FA7769" w:rsidRPr="007D292A">
        <w:t xml:space="preserve"> zdravotním postižením o </w:t>
      </w:r>
      <w:r w:rsidR="007D292A" w:rsidRPr="007D292A">
        <w:t>73</w:t>
      </w:r>
      <w:r w:rsidR="000E7C6C" w:rsidRPr="007D292A">
        <w:t>,</w:t>
      </w:r>
      <w:r w:rsidR="007D292A" w:rsidRPr="007D292A">
        <w:t>1</w:t>
      </w:r>
      <w:r w:rsidR="00AB1A99" w:rsidRPr="007D292A">
        <w:t> %</w:t>
      </w:r>
      <w:r w:rsidR="002B778B" w:rsidRPr="00DE25E4">
        <w:t xml:space="preserve"> (žáků středních škol </w:t>
      </w:r>
      <w:r w:rsidR="00994DFD">
        <w:t xml:space="preserve">celkem </w:t>
      </w:r>
      <w:r w:rsidR="000E7C6C" w:rsidRPr="00DE25E4">
        <w:t>bylo ve školním roce 202</w:t>
      </w:r>
      <w:r w:rsidR="007D292A">
        <w:t>5</w:t>
      </w:r>
      <w:r w:rsidR="000E7C6C" w:rsidRPr="00DE25E4">
        <w:t>/2</w:t>
      </w:r>
      <w:r w:rsidR="007D292A">
        <w:t>6</w:t>
      </w:r>
      <w:r w:rsidR="000E7C6C" w:rsidRPr="00DE25E4">
        <w:t xml:space="preserve"> o </w:t>
      </w:r>
      <w:r w:rsidR="007D292A">
        <w:t>20</w:t>
      </w:r>
      <w:r w:rsidR="000E7C6C" w:rsidRPr="00DE25E4">
        <w:t>,</w:t>
      </w:r>
      <w:r w:rsidR="007D292A">
        <w:t>6</w:t>
      </w:r>
      <w:r w:rsidR="005F4803" w:rsidRPr="00DE25E4">
        <w:t> </w:t>
      </w:r>
      <w:r w:rsidR="002D18C2" w:rsidRPr="00DE25E4">
        <w:t>% více</w:t>
      </w:r>
      <w:r w:rsidR="002B778B" w:rsidRPr="00DE25E4">
        <w:t xml:space="preserve"> než ve školním roce 20</w:t>
      </w:r>
      <w:r w:rsidR="000E7C6C" w:rsidRPr="00DE25E4">
        <w:t>1</w:t>
      </w:r>
      <w:r w:rsidR="007D292A">
        <w:t>5</w:t>
      </w:r>
      <w:r w:rsidR="000E7C6C" w:rsidRPr="00DE25E4">
        <w:t>/1</w:t>
      </w:r>
      <w:r w:rsidR="007D292A">
        <w:t>6</w:t>
      </w:r>
      <w:r w:rsidR="002B778B" w:rsidRPr="00DE25E4">
        <w:t>)</w:t>
      </w:r>
      <w:r w:rsidR="00FA7769" w:rsidRPr="00DE25E4">
        <w:t>.</w:t>
      </w:r>
      <w:r w:rsidR="00FA7769" w:rsidRPr="004A5668">
        <w:t xml:space="preserve"> </w:t>
      </w:r>
      <w:r w:rsidR="00840090">
        <w:t>Celkově</w:t>
      </w:r>
      <w:r w:rsidR="005B5339">
        <w:t xml:space="preserve"> se</w:t>
      </w:r>
      <w:r w:rsidR="00840090">
        <w:t xml:space="preserve"> </w:t>
      </w:r>
      <w:r w:rsidR="00FA7769" w:rsidRPr="004A5668">
        <w:t>za sledov</w:t>
      </w:r>
      <w:r w:rsidR="007A3120">
        <w:t>ané období zvýšil podíl</w:t>
      </w:r>
      <w:r w:rsidR="00FA7769" w:rsidRPr="004A5668">
        <w:t xml:space="preserve"> žáků s diagnostikovaným postižením</w:t>
      </w:r>
      <w:r w:rsidR="007A3120">
        <w:t xml:space="preserve"> ze všech žáků středních škol</w:t>
      </w:r>
      <w:r w:rsidR="00FA7769" w:rsidRPr="004A5668">
        <w:t xml:space="preserve"> </w:t>
      </w:r>
      <w:r w:rsidR="005B5339">
        <w:t>z</w:t>
      </w:r>
      <w:r w:rsidR="000E7C6C">
        <w:t>e 4,</w:t>
      </w:r>
      <w:r w:rsidR="007D292A">
        <w:t>7</w:t>
      </w:r>
      <w:r w:rsidR="005B5339">
        <w:t xml:space="preserve"> % </w:t>
      </w:r>
      <w:r w:rsidR="000E7C6C">
        <w:t>ve školním roce 201</w:t>
      </w:r>
      <w:r w:rsidR="007D292A">
        <w:t>5</w:t>
      </w:r>
      <w:r w:rsidR="000E7C6C">
        <w:t>/1</w:t>
      </w:r>
      <w:r w:rsidR="007D292A">
        <w:t>6</w:t>
      </w:r>
      <w:r w:rsidR="00351746">
        <w:t xml:space="preserve"> </w:t>
      </w:r>
      <w:r w:rsidR="000E7C6C">
        <w:t>na 6,</w:t>
      </w:r>
      <w:r w:rsidR="007D292A">
        <w:t>7</w:t>
      </w:r>
      <w:r w:rsidR="00840090">
        <w:t xml:space="preserve"> % </w:t>
      </w:r>
      <w:r w:rsidR="000E7C6C">
        <w:t>ve školním roce 202</w:t>
      </w:r>
      <w:r w:rsidR="007D292A">
        <w:t>5</w:t>
      </w:r>
      <w:r w:rsidR="000E7C6C">
        <w:t>/2</w:t>
      </w:r>
      <w:r w:rsidR="007D292A">
        <w:t>6</w:t>
      </w:r>
      <w:r w:rsidR="00351746">
        <w:t xml:space="preserve"> </w:t>
      </w:r>
      <w:r w:rsidR="00124443">
        <w:t xml:space="preserve">– viz graf </w:t>
      </w:r>
      <w:r w:rsidR="000F5E18">
        <w:t>č. </w:t>
      </w:r>
      <w:r w:rsidR="00124443">
        <w:t>3.13</w:t>
      </w:r>
      <w:r w:rsidR="00FA7769" w:rsidRPr="004A5668">
        <w:t xml:space="preserve">. </w:t>
      </w:r>
    </w:p>
    <w:p w14:paraId="7C9F48CF" w14:textId="77777777" w:rsidR="00994DFD" w:rsidRDefault="00994DFD" w:rsidP="00EF1474">
      <w:pPr>
        <w:spacing w:after="120" w:line="240" w:lineRule="auto"/>
        <w:rPr>
          <w:b/>
          <w:noProof/>
        </w:rPr>
      </w:pPr>
      <w:r>
        <w:rPr>
          <w:b/>
          <w:noProof/>
        </w:rPr>
        <w:t>Graf 3.13</w:t>
      </w:r>
      <w:r w:rsidRPr="001A4C13">
        <w:rPr>
          <w:b/>
          <w:noProof/>
        </w:rPr>
        <w:t xml:space="preserve"> </w:t>
      </w:r>
      <w:r>
        <w:rPr>
          <w:b/>
        </w:rPr>
        <w:t>Střední školy</w:t>
      </w:r>
      <w:r w:rsidRPr="00C3589B">
        <w:t xml:space="preserve"> </w:t>
      </w:r>
      <w:r>
        <w:rPr>
          <w:b/>
          <w:noProof/>
        </w:rPr>
        <w:t>–</w:t>
      </w:r>
      <w:r w:rsidRPr="001A4C13">
        <w:rPr>
          <w:b/>
          <w:noProof/>
        </w:rPr>
        <w:t xml:space="preserve"> </w:t>
      </w:r>
      <w:r>
        <w:rPr>
          <w:b/>
          <w:noProof/>
        </w:rPr>
        <w:t xml:space="preserve">počet a </w:t>
      </w:r>
      <w:r w:rsidRPr="001A4C13">
        <w:rPr>
          <w:b/>
          <w:noProof/>
        </w:rPr>
        <w:t>podíl žáků se zdravotním postižením</w:t>
      </w:r>
      <w:r>
        <w:rPr>
          <w:b/>
          <w:noProof/>
        </w:rPr>
        <w:t>, integrace do běžných tříd</w:t>
      </w:r>
    </w:p>
    <w:p w14:paraId="05B9168D" w14:textId="043C8E18" w:rsidR="00994DFD" w:rsidRDefault="007D292A" w:rsidP="00EF1474">
      <w:pPr>
        <w:spacing w:after="120" w:line="240" w:lineRule="auto"/>
        <w:rPr>
          <w:b/>
          <w:noProof/>
        </w:rPr>
      </w:pPr>
      <w:r>
        <w:rPr>
          <w:noProof/>
        </w:rPr>
        <w:drawing>
          <wp:inline distT="0" distB="0" distL="0" distR="0" wp14:anchorId="2223D7A2" wp14:editId="36E2B06B">
            <wp:extent cx="6153150" cy="3209925"/>
            <wp:effectExtent l="0" t="0" r="0" b="0"/>
            <wp:docPr id="358560359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4F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8A2E1B0" w14:textId="137E2FCD" w:rsidR="00C67F74" w:rsidRDefault="00C67F74" w:rsidP="00EF1474">
      <w:pPr>
        <w:spacing w:after="120"/>
        <w:jc w:val="both"/>
      </w:pPr>
      <w:r w:rsidRPr="004A5668">
        <w:lastRenderedPageBreak/>
        <w:t>Při porovnání se situací v základních školách lze konstatovat, že podíl žáků se zdravotním pos</w:t>
      </w:r>
      <w:r>
        <w:t>tižením byl ve škol</w:t>
      </w:r>
      <w:r w:rsidR="000E7C6C">
        <w:t>ním roce 202</w:t>
      </w:r>
      <w:r w:rsidR="00A41621">
        <w:t>5</w:t>
      </w:r>
      <w:r w:rsidR="000E7C6C">
        <w:t>/2</w:t>
      </w:r>
      <w:r w:rsidR="00A41621">
        <w:t>6</w:t>
      </w:r>
      <w:r w:rsidRPr="004A5668">
        <w:t xml:space="preserve"> v základních školách </w:t>
      </w:r>
      <w:r w:rsidR="000E7C6C">
        <w:t>výrazně vyšší (1</w:t>
      </w:r>
      <w:r w:rsidR="00A41621">
        <w:t>3</w:t>
      </w:r>
      <w:r w:rsidR="000E7C6C">
        <w:t>,</w:t>
      </w:r>
      <w:r w:rsidR="00A41621">
        <w:t>7</w:t>
      </w:r>
      <w:r w:rsidR="000E7C6C">
        <w:t> % oproti 6,</w:t>
      </w:r>
      <w:r w:rsidR="00A41621">
        <w:t>7</w:t>
      </w:r>
      <w:r w:rsidRPr="004A5668">
        <w:t xml:space="preserve"> %). </w:t>
      </w:r>
      <w:r>
        <w:t>To může být ovlivněné skutečností</w:t>
      </w:r>
      <w:r w:rsidRPr="004A5668">
        <w:t>, že základní vzdělávání je na rozdíl od středního povinné</w:t>
      </w:r>
      <w:r>
        <w:t xml:space="preserve"> pro všechny děti bez rozdílu</w:t>
      </w:r>
      <w:r w:rsidRPr="004A5668">
        <w:t>.</w:t>
      </w:r>
      <w:r>
        <w:t xml:space="preserve"> Svou úlohu však mohou sehrát i případné rozdíly v nárocích na různé formy podpory na jednotlivých úrovních vzdělávání, příp. jejich kompetence a subjektivně vnímaná potřeba je využívat. </w:t>
      </w:r>
      <w:r w:rsidR="009E7E46">
        <w:t>V obou stupních vz</w:t>
      </w:r>
      <w:r w:rsidR="000E7C6C">
        <w:t xml:space="preserve">dělávání se však za poslední </w:t>
      </w:r>
      <w:r w:rsidR="00A41621">
        <w:t>čtyři</w:t>
      </w:r>
      <w:r w:rsidR="009E7E46">
        <w:t xml:space="preserve"> roky podíl žáků s diagnostikovaným postižením zvýšil (u žáků základních škol z 11,6 %</w:t>
      </w:r>
      <w:r w:rsidR="000E7C6C">
        <w:t xml:space="preserve"> ve školním roce 2021/22 na 1</w:t>
      </w:r>
      <w:r w:rsidR="000A3411">
        <w:t>3</w:t>
      </w:r>
      <w:r w:rsidR="000E7C6C">
        <w:t>,</w:t>
      </w:r>
      <w:r w:rsidR="000A3411">
        <w:t>7</w:t>
      </w:r>
      <w:r w:rsidR="000E7C6C">
        <w:t xml:space="preserve"> % ve školním roce 202</w:t>
      </w:r>
      <w:r w:rsidR="000A3411">
        <w:t>5</w:t>
      </w:r>
      <w:r w:rsidR="000E7C6C">
        <w:t>/2</w:t>
      </w:r>
      <w:r w:rsidR="000A3411">
        <w:t>6</w:t>
      </w:r>
      <w:r w:rsidR="000E7C6C">
        <w:t>; u žáků středních škol z 5,4 % na 6,</w:t>
      </w:r>
      <w:r w:rsidR="000A3411">
        <w:t>7</w:t>
      </w:r>
      <w:r w:rsidR="000E7C6C">
        <w:t> %).</w:t>
      </w:r>
    </w:p>
    <w:p w14:paraId="0BB8D4D6" w14:textId="1550C0E4" w:rsidR="00994DFD" w:rsidRDefault="00994DFD" w:rsidP="00994DFD">
      <w:pPr>
        <w:spacing w:after="120"/>
        <w:jc w:val="both"/>
      </w:pPr>
      <w:r>
        <w:t>Vedle toho se mezi školními roky 201</w:t>
      </w:r>
      <w:r w:rsidR="000A3411">
        <w:t>5</w:t>
      </w:r>
      <w:r>
        <w:t>/1</w:t>
      </w:r>
      <w:r w:rsidR="000A3411">
        <w:t>6</w:t>
      </w:r>
      <w:r>
        <w:t xml:space="preserve"> a 2020/21</w:t>
      </w:r>
      <w:r w:rsidRPr="004A5668">
        <w:t xml:space="preserve"> </w:t>
      </w:r>
      <w:r>
        <w:t>výrazně zvýšil</w:t>
      </w:r>
      <w:r w:rsidRPr="004A5668">
        <w:t xml:space="preserve"> podíl žáků se zdravotním postižením </w:t>
      </w:r>
      <w:r w:rsidRPr="00A70867">
        <w:rPr>
          <w:b/>
        </w:rPr>
        <w:t>integrovaných do běžných tříd</w:t>
      </w:r>
      <w:r w:rsidRPr="00A70867">
        <w:t>,</w:t>
      </w:r>
      <w:r>
        <w:rPr>
          <w:b/>
        </w:rPr>
        <w:t xml:space="preserve"> </w:t>
      </w:r>
      <w:r>
        <w:t>a sice ze 4</w:t>
      </w:r>
      <w:r w:rsidR="000A3411">
        <w:t>7</w:t>
      </w:r>
      <w:r>
        <w:t>,</w:t>
      </w:r>
      <w:r w:rsidR="000A3411">
        <w:t>4</w:t>
      </w:r>
      <w:r>
        <w:t> % na 68,7</w:t>
      </w:r>
      <w:r w:rsidRPr="00A70867">
        <w:t> %.</w:t>
      </w:r>
      <w:r w:rsidRPr="004A5668">
        <w:t xml:space="preserve"> </w:t>
      </w:r>
      <w:r>
        <w:t>Ve školním roce 2021/22 ovlivněném pandemii onemocnění covid</w:t>
      </w:r>
      <w:r w:rsidR="002C291A">
        <w:t>–</w:t>
      </w:r>
      <w:r>
        <w:t>19 došlo k mírnému poklesu na 67,0 %, poté však znovu rostl a ve školním roce 202</w:t>
      </w:r>
      <w:r w:rsidR="000A3411">
        <w:t>5</w:t>
      </w:r>
      <w:r>
        <w:t>/2</w:t>
      </w:r>
      <w:r w:rsidR="000A3411">
        <w:t>6</w:t>
      </w:r>
      <w:r>
        <w:t xml:space="preserve"> již činil 7</w:t>
      </w:r>
      <w:r w:rsidR="000A3411">
        <w:t>4</w:t>
      </w:r>
      <w:r>
        <w:t>,</w:t>
      </w:r>
      <w:r w:rsidR="000A3411">
        <w:t>1</w:t>
      </w:r>
      <w:r>
        <w:t> %, což je za uplynulých 10 let nejvyšší podíl</w:t>
      </w:r>
      <w:r w:rsidRPr="00BA002F">
        <w:t xml:space="preserve">. </w:t>
      </w:r>
      <w:r w:rsidRPr="000A3411">
        <w:t>Obdobný vývoj zaznamenaly i základní školy, v mateřských školách byl podíl integrovaných dětí s postižením v čase trvale rostoucí (tj. bez přerušení).</w:t>
      </w:r>
      <w:r w:rsidRPr="00BA002F">
        <w:t xml:space="preserve"> </w:t>
      </w:r>
    </w:p>
    <w:p w14:paraId="4CC9DC8D" w14:textId="2F255E89" w:rsidR="00994DFD" w:rsidRDefault="00994DFD" w:rsidP="00994DFD">
      <w:pPr>
        <w:spacing w:after="120"/>
        <w:jc w:val="both"/>
      </w:pPr>
      <w:r w:rsidRPr="002B3518">
        <w:t>Zároveň lze říci, že</w:t>
      </w:r>
      <w:r w:rsidRPr="001F0BEB">
        <w:t xml:space="preserve"> </w:t>
      </w:r>
      <w:r w:rsidRPr="001F0BEB">
        <w:rPr>
          <w:b/>
        </w:rPr>
        <w:t>v soukromých</w:t>
      </w:r>
      <w:r w:rsidRPr="001F0BEB">
        <w:t xml:space="preserve"> středních školách byl ve školním roce 202</w:t>
      </w:r>
      <w:r w:rsidR="002B3518">
        <w:t>5</w:t>
      </w:r>
      <w:r w:rsidRPr="001F0BEB">
        <w:t>/2</w:t>
      </w:r>
      <w:r w:rsidR="002B3518">
        <w:t>6</w:t>
      </w:r>
      <w:r w:rsidRPr="001F0BEB">
        <w:t xml:space="preserve"> podíl žáků s postižením nižší (6,</w:t>
      </w:r>
      <w:r w:rsidR="002B3518">
        <w:t>1</w:t>
      </w:r>
      <w:r w:rsidRPr="001F0BEB">
        <w:t xml:space="preserve"> %) než ve školách </w:t>
      </w:r>
      <w:r w:rsidRPr="001F0BEB">
        <w:rPr>
          <w:b/>
        </w:rPr>
        <w:t>veřejných</w:t>
      </w:r>
      <w:r w:rsidRPr="001F0BEB">
        <w:t xml:space="preserve"> (6,</w:t>
      </w:r>
      <w:r w:rsidR="002B3518">
        <w:t>8</w:t>
      </w:r>
      <w:r w:rsidRPr="001F0BEB">
        <w:t xml:space="preserve"> %) a zejména </w:t>
      </w:r>
      <w:r w:rsidRPr="001F0BEB">
        <w:rPr>
          <w:b/>
        </w:rPr>
        <w:t>církevních</w:t>
      </w:r>
      <w:r w:rsidRPr="001F0BEB">
        <w:t xml:space="preserve"> (7,</w:t>
      </w:r>
      <w:r w:rsidR="002B3518">
        <w:t>6</w:t>
      </w:r>
      <w:r w:rsidRPr="001F0BEB">
        <w:t xml:space="preserve"> %). </w:t>
      </w:r>
    </w:p>
    <w:p w14:paraId="771ED9A5" w14:textId="5029773C" w:rsidR="00994DFD" w:rsidRDefault="00994DFD" w:rsidP="00994DFD">
      <w:pPr>
        <w:spacing w:after="120"/>
        <w:jc w:val="both"/>
      </w:pPr>
      <w:r w:rsidRPr="00652DB6">
        <w:t>Připomeňme pro srovnání, že ve</w:t>
      </w:r>
      <w:r>
        <w:t xml:space="preserve"> školním roce 202</w:t>
      </w:r>
      <w:r w:rsidR="002B3518">
        <w:t>5</w:t>
      </w:r>
      <w:r>
        <w:t>/2</w:t>
      </w:r>
      <w:r w:rsidR="002B3518">
        <w:t>6</w:t>
      </w:r>
      <w:r>
        <w:t xml:space="preserve"> byl p</w:t>
      </w:r>
      <w:r w:rsidRPr="00B91BFF">
        <w:t xml:space="preserve">odíl žáků </w:t>
      </w:r>
      <w:r w:rsidRPr="00FE12D7">
        <w:rPr>
          <w:i/>
        </w:rPr>
        <w:t>základních škol</w:t>
      </w:r>
      <w:r>
        <w:t xml:space="preserve"> </w:t>
      </w:r>
      <w:r w:rsidRPr="00B91BFF">
        <w:t xml:space="preserve">se zdravotním </w:t>
      </w:r>
      <w:r w:rsidRPr="001F0BEB">
        <w:t>postižením ve školách veřejného zřizovatele naopak nižší (1</w:t>
      </w:r>
      <w:r w:rsidR="002B3518">
        <w:t>3</w:t>
      </w:r>
      <w:r w:rsidRPr="001F0BEB">
        <w:t>,</w:t>
      </w:r>
      <w:r w:rsidR="002B3518">
        <w:t>6</w:t>
      </w:r>
      <w:r w:rsidRPr="001F0BEB">
        <w:t> %) než ve školách zřizovatele soukromého (1</w:t>
      </w:r>
      <w:r w:rsidR="00652DB6">
        <w:t>5</w:t>
      </w:r>
      <w:r w:rsidRPr="001F0BEB">
        <w:t>,</w:t>
      </w:r>
      <w:r w:rsidR="00652DB6">
        <w:t>1</w:t>
      </w:r>
      <w:r w:rsidRPr="001F0BEB">
        <w:t> %), i zde však nejvyššího podílu dosáhly školy církevní (2</w:t>
      </w:r>
      <w:r w:rsidR="00652DB6">
        <w:t>4</w:t>
      </w:r>
      <w:r w:rsidRPr="001F0BEB">
        <w:t xml:space="preserve">,7 %). </w:t>
      </w:r>
    </w:p>
    <w:p w14:paraId="4762BE15" w14:textId="13246E1A" w:rsidR="00FA7769" w:rsidRDefault="00FA7769" w:rsidP="00FA7769">
      <w:pPr>
        <w:spacing w:after="120"/>
        <w:jc w:val="both"/>
      </w:pPr>
      <w:r w:rsidRPr="00141215">
        <w:t xml:space="preserve">Tabulka </w:t>
      </w:r>
      <w:r w:rsidR="00463A10" w:rsidRPr="00141215">
        <w:t>č. </w:t>
      </w:r>
      <w:r w:rsidRPr="00141215">
        <w:t>3.</w:t>
      </w:r>
      <w:r w:rsidR="006E0507" w:rsidRPr="00141215">
        <w:t>2</w:t>
      </w:r>
      <w:r w:rsidRPr="00141215">
        <w:t xml:space="preserve"> uvádí kromě</w:t>
      </w:r>
      <w:r w:rsidRPr="004A5668">
        <w:t xml:space="preserve"> celkového počtu žáků </w:t>
      </w:r>
      <w:r w:rsidR="00B91BFF">
        <w:t xml:space="preserve">středních škol </w:t>
      </w:r>
      <w:r w:rsidRPr="004A5668">
        <w:t>s</w:t>
      </w:r>
      <w:r w:rsidR="00927F1E">
        <w:t xml:space="preserve"> diagnostikovaným </w:t>
      </w:r>
      <w:r w:rsidRPr="004A5668">
        <w:t>postižením ve školníc</w:t>
      </w:r>
      <w:r w:rsidR="00AA72CB">
        <w:t>h rocích 201</w:t>
      </w:r>
      <w:r w:rsidR="00141215">
        <w:t>5</w:t>
      </w:r>
      <w:r w:rsidR="00AA72CB">
        <w:t>/1</w:t>
      </w:r>
      <w:r w:rsidR="00141215">
        <w:t>6</w:t>
      </w:r>
      <w:r w:rsidR="00AA72CB">
        <w:t>, 20</w:t>
      </w:r>
      <w:r w:rsidR="00141215">
        <w:t>20</w:t>
      </w:r>
      <w:r w:rsidR="00AA72CB">
        <w:t>/2</w:t>
      </w:r>
      <w:r w:rsidR="00141215">
        <w:t>1</w:t>
      </w:r>
      <w:r w:rsidR="00AA72CB">
        <w:t xml:space="preserve"> a 202</w:t>
      </w:r>
      <w:r w:rsidR="00141215">
        <w:t>5</w:t>
      </w:r>
      <w:r w:rsidR="00AA72CB">
        <w:t>/2</w:t>
      </w:r>
      <w:r w:rsidR="00141215">
        <w:t>6</w:t>
      </w:r>
      <w:r w:rsidRPr="004A5668">
        <w:t xml:space="preserve"> i podíl žáků s různými druhy postižení z tohoto celku. </w:t>
      </w:r>
    </w:p>
    <w:p w14:paraId="32230A90" w14:textId="6849BF55" w:rsidR="00835473" w:rsidRDefault="001D69DC" w:rsidP="00873EC0">
      <w:pPr>
        <w:keepNext/>
        <w:spacing w:after="120" w:line="240" w:lineRule="auto"/>
        <w:jc w:val="both"/>
        <w:rPr>
          <w:b/>
        </w:rPr>
      </w:pPr>
      <w:r w:rsidRPr="00873EC0">
        <w:rPr>
          <w:b/>
        </w:rPr>
        <w:t>Tab. 3.2 Střední školy</w:t>
      </w:r>
      <w:r w:rsidRPr="00873EC0">
        <w:t xml:space="preserve"> </w:t>
      </w:r>
      <w:r w:rsidR="002C291A">
        <w:rPr>
          <w:b/>
        </w:rPr>
        <w:t>–</w:t>
      </w:r>
      <w:r w:rsidRPr="00873EC0">
        <w:rPr>
          <w:b/>
        </w:rPr>
        <w:t xml:space="preserve"> podíl zastoupení jednotlivých druhů postižení na celkovém počtu postižených žáků</w:t>
      </w:r>
      <w:r w:rsidR="00FD1C01" w:rsidRPr="00873EC0">
        <w:rPr>
          <w:b/>
        </w:rPr>
        <w:t>, podíl dívek s</w:t>
      </w:r>
      <w:r w:rsidR="005F0B0A">
        <w:rPr>
          <w:b/>
        </w:rPr>
        <w:t> </w:t>
      </w:r>
      <w:r w:rsidR="00835473" w:rsidRPr="00873EC0">
        <w:rPr>
          <w:b/>
        </w:rPr>
        <w:t>postižením</w:t>
      </w:r>
    </w:p>
    <w:p w14:paraId="0559157A" w14:textId="77777777" w:rsidR="005F0B0A" w:rsidRPr="00574BFB" w:rsidRDefault="005F0B0A" w:rsidP="008E16D6">
      <w:pPr>
        <w:spacing w:after="0" w:line="276" w:lineRule="auto"/>
        <w:rPr>
          <w:rFonts w:asciiTheme="minorHAnsi" w:hAnsiTheme="minorHAnsi" w:cs="Arial"/>
          <w:sz w:val="16"/>
          <w:szCs w:val="16"/>
        </w:rPr>
      </w:pPr>
      <w:r w:rsidRPr="008E16D6">
        <w:rPr>
          <w:rFonts w:cs="Arial"/>
          <w:sz w:val="16"/>
          <w:szCs w:val="16"/>
        </w:rPr>
        <w:t>Zdroj: ČSÚ</w:t>
      </w:r>
      <w:r w:rsidRPr="008E16D6">
        <w:rPr>
          <w:rFonts w:cs="Arial"/>
          <w:noProof/>
          <w:sz w:val="16"/>
          <w:szCs w:val="16"/>
        </w:rPr>
        <w:t xml:space="preserve"> </w:t>
      </w:r>
      <w:r w:rsidRPr="00574BFB">
        <w:rPr>
          <w:rFonts w:cs="Arial"/>
          <w:sz w:val="16"/>
          <w:szCs w:val="16"/>
        </w:rPr>
        <w:t>podle údajů MŠMT</w:t>
      </w:r>
    </w:p>
    <w:tbl>
      <w:tblPr>
        <w:tblW w:w="9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97"/>
        <w:gridCol w:w="648"/>
        <w:gridCol w:w="1008"/>
        <w:gridCol w:w="697"/>
        <w:gridCol w:w="648"/>
        <w:gridCol w:w="1008"/>
        <w:gridCol w:w="694"/>
        <w:gridCol w:w="644"/>
        <w:gridCol w:w="1022"/>
      </w:tblGrid>
      <w:tr w:rsidR="00141215" w:rsidRPr="00141215" w14:paraId="41944D38" w14:textId="77777777" w:rsidTr="00141215">
        <w:trPr>
          <w:trHeight w:val="320"/>
        </w:trPr>
        <w:tc>
          <w:tcPr>
            <w:tcW w:w="26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20C615BA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6A3C38FD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2015/16</w:t>
            </w:r>
          </w:p>
        </w:tc>
        <w:tc>
          <w:tcPr>
            <w:tcW w:w="23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2363397F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2020/21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8EFDE"/>
            <w:noWrap/>
            <w:vAlign w:val="center"/>
            <w:hideMark/>
          </w:tcPr>
          <w:p w14:paraId="30A19315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2025/26</w:t>
            </w:r>
          </w:p>
        </w:tc>
      </w:tr>
      <w:tr w:rsidR="00141215" w:rsidRPr="00141215" w14:paraId="66885DEA" w14:textId="77777777" w:rsidTr="00141215">
        <w:trPr>
          <w:trHeight w:val="473"/>
        </w:trPr>
        <w:tc>
          <w:tcPr>
            <w:tcW w:w="26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6326D9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03D633F1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vAlign w:val="center"/>
            <w:hideMark/>
          </w:tcPr>
          <w:p w14:paraId="4B93679C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z toho dívky</w:t>
            </w:r>
            <w:r w:rsidRPr="00141215">
              <w:rPr>
                <w:rFonts w:cs="Arial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3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70FABB50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EFDE"/>
            <w:vAlign w:val="center"/>
            <w:hideMark/>
          </w:tcPr>
          <w:p w14:paraId="5DF0DEA0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z toho dívky</w:t>
            </w:r>
            <w:r w:rsidRPr="00141215">
              <w:rPr>
                <w:rFonts w:cs="Arial"/>
                <w:color w:val="000000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13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8EFDE"/>
            <w:noWrap/>
            <w:vAlign w:val="center"/>
            <w:hideMark/>
          </w:tcPr>
          <w:p w14:paraId="7C9995FC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Celkem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8EFDE"/>
            <w:vAlign w:val="center"/>
            <w:hideMark/>
          </w:tcPr>
          <w:p w14:paraId="2B1BDA09" w14:textId="0069C11D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Cs/>
                <w:color w:val="000000"/>
                <w:sz w:val="16"/>
                <w:szCs w:val="16"/>
              </w:rPr>
              <w:t>z toho dívky</w:t>
            </w:r>
            <w:r w:rsidRPr="00141215">
              <w:rPr>
                <w:rFonts w:cs="Arial"/>
                <w:color w:val="000000"/>
                <w:sz w:val="16"/>
                <w:szCs w:val="16"/>
                <w:vertAlign w:val="superscript"/>
              </w:rPr>
              <w:t>1)</w:t>
            </w:r>
          </w:p>
        </w:tc>
      </w:tr>
      <w:tr w:rsidR="00141215" w:rsidRPr="00141215" w14:paraId="0CC245F1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7C143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počet žáků s postižením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B0DE65B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20 046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4B01AE" w14:textId="0E998872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C5B23" w14:textId="56313B15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37,9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29108E9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25 209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0F9927" w14:textId="251E503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34416" w14:textId="2EC4E45C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36,1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707CE71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34 690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87A5B6" w14:textId="16F7780A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100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CF6BB" w14:textId="5279774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38,0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2BB685EA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1F882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      dle druhu postižení:</w:t>
            </w:r>
          </w:p>
        </w:tc>
        <w:tc>
          <w:tcPr>
            <w:tcW w:w="13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AA7516B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v tom: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B4691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FFF1A91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v tom: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0A1C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338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4AFC16C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v tom: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F944" w14:textId="77777777" w:rsidR="00141215" w:rsidRPr="00141215" w:rsidRDefault="00141215" w:rsidP="00141215">
            <w:pPr>
              <w:spacing w:after="0" w:line="240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141215" w:rsidRPr="00141215" w14:paraId="27435172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C1E2E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se závažnými vývojovými poruchami učení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15E78B7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8 566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049F28E" w14:textId="331427F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42,7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DE8B" w14:textId="39B46EEB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33,7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606853BC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12 567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D614856" w14:textId="18E11704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49,9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0DA71" w14:textId="34BE1E85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33,9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F68FAAA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17 652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9652EE3" w14:textId="4B43885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50,9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4A038" w14:textId="40726E15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37,8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01DD7D36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858BB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mentálně postižení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B90E15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6 955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22880C" w14:textId="274E5BE4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34,7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1757" w14:textId="5A10027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44,1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EEE3C6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4 724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490D093" w14:textId="0E3CA77C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18,7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E9356" w14:textId="7CA5B08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47,9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870E5A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4 532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03E70CE" w14:textId="78D1C76B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13,1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A6E11" w14:textId="00F6037C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48,5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5A273769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93DD6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se závažnými vývojovými poruchami chování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865FD95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653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BBE0883" w14:textId="04280AE8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3,3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932BA" w14:textId="333C5C7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32,2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CFBD8B2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2 133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4B4F750" w14:textId="47F1E7E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8,5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078F3" w14:textId="7B73021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28,8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4ACE7A8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4 275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3FE8A8" w14:textId="22DC49F6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12,3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D3998" w14:textId="78F05614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36,8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3AACF2AE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5A404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s poruchami autistického spektra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AF2045E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837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19E7EF6" w14:textId="0F3707E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9841A" w14:textId="2DB3052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17,8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58CDA007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1268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3810A6D" w14:textId="265AA166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5,0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9E84A" w14:textId="06230EEF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15,9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7D13FEB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1983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8DD677" w14:textId="780E2008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60A1" w14:textId="372339A6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19,5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300329CF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D029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se závažnými vadami řeči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CC6B4C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93CF124" w14:textId="4D37D7E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0,8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BC433" w14:textId="47D9D2E1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27,5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2A2B55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707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7148CA5" w14:textId="7DEE920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8A4E" w14:textId="0A00A8B1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28,1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E1AAFA0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1440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D04612" w14:textId="50EFBF8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FC2D" w14:textId="5D676866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32,6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77A53115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7AD6A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tělesně postižení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8746C5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56DEFBF" w14:textId="72638E3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34290" w14:textId="0A7BEB8A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40,7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D6D4F6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58CDC85" w14:textId="44651DCA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49E94" w14:textId="565434D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47,6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745973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09867C4" w14:textId="18946CC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1C5FC" w14:textId="631CFBC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47,3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439BB908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8D8FC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sluchově postižení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688F3D1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FE8294" w14:textId="7053BC21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41F96" w14:textId="4F07D2E4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46,6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E9CA3B2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A40B436" w14:textId="7634A2F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1,8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E5F92" w14:textId="777AF756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47,9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0CB549B8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D9DDFB" w14:textId="111CC424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59A42" w14:textId="69F2E7C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46,5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3BD46174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646B1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zrakově postižení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9A2C587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807BA0" w14:textId="57652A6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369B7" w14:textId="7A3252C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43,6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23CB5AFD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6E56A7" w14:textId="5C5D2D6E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F2E17" w14:textId="436F8E0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44,2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729817FF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FDD8434" w14:textId="179D4A02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1,1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58E65" w14:textId="26B21D1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46,4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  <w:tr w:rsidR="00141215" w:rsidRPr="00141215" w14:paraId="7F6E2579" w14:textId="77777777" w:rsidTr="00141215">
        <w:trPr>
          <w:trHeight w:val="305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71C9" w14:textId="77777777" w:rsidR="00141215" w:rsidRPr="00141215" w:rsidRDefault="00141215" w:rsidP="00141215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postižení více vadami</w:t>
            </w:r>
            <w:r w:rsidRPr="00141215">
              <w:rPr>
                <w:rFonts w:cs="Arial"/>
                <w:color w:val="000000"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153921A9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1447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BCD0A9D" w14:textId="5F18D1B0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7,2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D080C" w14:textId="779EE0AD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43,3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38CA7420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2530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9D5B934" w14:textId="7DA4C24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10,0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EE7F8" w14:textId="29A8C96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37,5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694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center"/>
            <w:hideMark/>
          </w:tcPr>
          <w:p w14:paraId="4D85D408" w14:textId="77777777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3335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2426ED" w14:textId="082CF9A9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9,6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61AC7" w14:textId="1A1237B3" w:rsidR="00141215" w:rsidRPr="00141215" w:rsidRDefault="00141215" w:rsidP="00141215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41215">
              <w:rPr>
                <w:rFonts w:cs="Arial"/>
                <w:color w:val="000000"/>
                <w:sz w:val="16"/>
                <w:szCs w:val="16"/>
              </w:rPr>
              <w:t>35,5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141215">
              <w:rPr>
                <w:rFonts w:cs="Arial"/>
                <w:color w:val="000000"/>
                <w:sz w:val="16"/>
                <w:szCs w:val="16"/>
              </w:rPr>
              <w:t>%</w:t>
            </w:r>
          </w:p>
        </w:tc>
      </w:tr>
    </w:tbl>
    <w:p w14:paraId="706EE9BE" w14:textId="77777777" w:rsidR="00141215" w:rsidRDefault="00141215" w:rsidP="00233DA6">
      <w:pPr>
        <w:keepNext/>
        <w:spacing w:before="120" w:after="0" w:line="240" w:lineRule="auto"/>
        <w:jc w:val="both"/>
        <w:rPr>
          <w:sz w:val="16"/>
          <w:szCs w:val="16"/>
          <w:vertAlign w:val="superscript"/>
        </w:rPr>
      </w:pPr>
    </w:p>
    <w:p w14:paraId="4DEBC559" w14:textId="2548AF04" w:rsidR="004F1EBD" w:rsidRPr="00574BFB" w:rsidRDefault="00745EA0" w:rsidP="00233DA6">
      <w:pPr>
        <w:keepNext/>
        <w:spacing w:before="120" w:after="0" w:line="240" w:lineRule="auto"/>
        <w:jc w:val="both"/>
        <w:rPr>
          <w:sz w:val="16"/>
          <w:szCs w:val="16"/>
        </w:rPr>
      </w:pPr>
      <w:r w:rsidRPr="00574BFB">
        <w:rPr>
          <w:sz w:val="16"/>
          <w:szCs w:val="16"/>
          <w:vertAlign w:val="superscript"/>
        </w:rPr>
        <w:t>1</w:t>
      </w:r>
      <w:r w:rsidR="001D69DC" w:rsidRPr="00574BFB">
        <w:rPr>
          <w:sz w:val="16"/>
          <w:szCs w:val="16"/>
          <w:vertAlign w:val="superscript"/>
        </w:rPr>
        <w:t>)</w:t>
      </w:r>
      <w:r w:rsidR="001D69DC" w:rsidRPr="00574BFB">
        <w:rPr>
          <w:sz w:val="16"/>
          <w:szCs w:val="16"/>
        </w:rPr>
        <w:t xml:space="preserve"> podíl dívek z celkového počtu žáků s postižením a ze žáků s jednotlivými druhy postižení</w:t>
      </w:r>
    </w:p>
    <w:p w14:paraId="68FED7DF" w14:textId="77777777" w:rsidR="001D69DC" w:rsidRPr="00233DA6" w:rsidRDefault="00745EA0" w:rsidP="00F63578">
      <w:pPr>
        <w:spacing w:before="120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2</w:t>
      </w:r>
      <w:r w:rsidR="004F1EBD" w:rsidRPr="00907168">
        <w:rPr>
          <w:rFonts w:cs="Arial"/>
          <w:sz w:val="16"/>
          <w:szCs w:val="16"/>
          <w:vertAlign w:val="superscript"/>
        </w:rPr>
        <w:t>)</w:t>
      </w:r>
      <w:r w:rsidR="0060614A">
        <w:rPr>
          <w:rFonts w:cs="Arial"/>
          <w:sz w:val="16"/>
          <w:szCs w:val="16"/>
        </w:rPr>
        <w:t xml:space="preserve"> za postiženého více vadami </w:t>
      </w:r>
      <w:r w:rsidR="004F1EBD" w:rsidRPr="00907168">
        <w:rPr>
          <w:rFonts w:cs="Arial"/>
          <w:sz w:val="16"/>
          <w:szCs w:val="16"/>
        </w:rPr>
        <w:t>po</w:t>
      </w:r>
      <w:r w:rsidR="0060614A">
        <w:rPr>
          <w:rFonts w:cs="Arial"/>
          <w:sz w:val="16"/>
          <w:szCs w:val="16"/>
        </w:rPr>
        <w:t>važujeme žáka</w:t>
      </w:r>
      <w:r w:rsidR="004F1EBD" w:rsidRPr="00907168">
        <w:rPr>
          <w:rFonts w:cs="Arial"/>
          <w:sz w:val="16"/>
          <w:szCs w:val="16"/>
        </w:rPr>
        <w:t xml:space="preserve"> se dvěma nebo více druhy postižení, ze kterých by každé opravňovalo k poskytování podpůrných opatř</w:t>
      </w:r>
      <w:r w:rsidR="00233DA6">
        <w:rPr>
          <w:rFonts w:cs="Arial"/>
          <w:sz w:val="16"/>
          <w:szCs w:val="16"/>
        </w:rPr>
        <w:t>ení ve vyšších stupních podpory</w:t>
      </w:r>
    </w:p>
    <w:p w14:paraId="13AC7F79" w14:textId="7BDB7E36" w:rsidR="006A3A1C" w:rsidRDefault="006A3A1C" w:rsidP="008D600C">
      <w:pPr>
        <w:spacing w:after="120"/>
        <w:jc w:val="both"/>
      </w:pPr>
      <w:r w:rsidRPr="00D2085D">
        <w:t>Jak</w:t>
      </w:r>
      <w:r w:rsidR="00DC16DD" w:rsidRPr="00D2085D">
        <w:t xml:space="preserve"> </w:t>
      </w:r>
      <w:r w:rsidR="00835473" w:rsidRPr="00D2085D">
        <w:t>je patrné, ve školním ro</w:t>
      </w:r>
      <w:r w:rsidR="007A1FBA">
        <w:t>ce 202</w:t>
      </w:r>
      <w:r w:rsidR="00377D9B">
        <w:t>5</w:t>
      </w:r>
      <w:r w:rsidR="007A1FBA">
        <w:t>/2</w:t>
      </w:r>
      <w:r w:rsidR="00377D9B">
        <w:t>6</w:t>
      </w:r>
      <w:r w:rsidR="003E588D" w:rsidRPr="00D2085D">
        <w:t xml:space="preserve"> zaujímali žáci s</w:t>
      </w:r>
      <w:r w:rsidRPr="00D2085D">
        <w:t xml:space="preserve"> </w:t>
      </w:r>
      <w:r w:rsidR="00CB0332" w:rsidRPr="00D2085D">
        <w:rPr>
          <w:b/>
          <w:i/>
        </w:rPr>
        <w:t xml:space="preserve">vývojovými </w:t>
      </w:r>
      <w:r w:rsidRPr="00D2085D">
        <w:rPr>
          <w:b/>
          <w:i/>
        </w:rPr>
        <w:t>poruchami učení</w:t>
      </w:r>
      <w:r w:rsidRPr="00D2085D">
        <w:t xml:space="preserve"> polovinu všech ž</w:t>
      </w:r>
      <w:r w:rsidR="007A1FBA">
        <w:t>áků s postižením (50,</w:t>
      </w:r>
      <w:r w:rsidR="00377D9B">
        <w:t>9</w:t>
      </w:r>
      <w:r w:rsidR="007A1FBA">
        <w:t xml:space="preserve"> %). </w:t>
      </w:r>
      <w:r w:rsidR="00377D9B">
        <w:t>Ve</w:t>
      </w:r>
      <w:r w:rsidR="007A1FBA">
        <w:t xml:space="preserve"> školním r</w:t>
      </w:r>
      <w:r w:rsidR="00377D9B">
        <w:t>oce</w:t>
      </w:r>
      <w:r w:rsidR="007A1FBA">
        <w:t xml:space="preserve"> 201</w:t>
      </w:r>
      <w:r w:rsidR="00377D9B">
        <w:t>5</w:t>
      </w:r>
      <w:r w:rsidR="007A1FBA">
        <w:t>/1</w:t>
      </w:r>
      <w:r w:rsidR="00377D9B">
        <w:t>6 činil 42,7 %</w:t>
      </w:r>
      <w:r w:rsidR="002A687A" w:rsidRPr="00D2085D">
        <w:t xml:space="preserve"> a absolutní počet těchto žáků se </w:t>
      </w:r>
      <w:r w:rsidR="007A1FBA">
        <w:t>za posledních 10 let zdvojnásobil</w:t>
      </w:r>
      <w:r w:rsidR="002A687A" w:rsidRPr="00D2085D">
        <w:t>.</w:t>
      </w:r>
      <w:r w:rsidR="002A687A">
        <w:t xml:space="preserve"> </w:t>
      </w:r>
      <w:r w:rsidR="008D600C" w:rsidRPr="007A1FBA">
        <w:t>K výrazn</w:t>
      </w:r>
      <w:r w:rsidR="00A70AA5">
        <w:t>ému</w:t>
      </w:r>
      <w:r w:rsidR="008D600C" w:rsidRPr="007A1FBA">
        <w:t xml:space="preserve"> nárůstu </w:t>
      </w:r>
      <w:r w:rsidR="00A70AA5">
        <w:t>došlo také u</w:t>
      </w:r>
      <w:r w:rsidR="008D600C" w:rsidRPr="007A1FBA">
        <w:t> počtu a podílu žáků s</w:t>
      </w:r>
      <w:r w:rsidR="008D600C" w:rsidRPr="007A1FBA">
        <w:rPr>
          <w:b/>
          <w:i/>
        </w:rPr>
        <w:t> vývojovými poruchami chování</w:t>
      </w:r>
      <w:r w:rsidR="008D600C" w:rsidRPr="007A1FBA">
        <w:t>.</w:t>
      </w:r>
      <w:r w:rsidR="007A1FBA">
        <w:t xml:space="preserve"> Ve školním roce 201</w:t>
      </w:r>
      <w:r w:rsidR="00377D9B">
        <w:t>5</w:t>
      </w:r>
      <w:r w:rsidR="007A1FBA">
        <w:t>/1</w:t>
      </w:r>
      <w:r w:rsidR="00377D9B">
        <w:t>6</w:t>
      </w:r>
      <w:r w:rsidR="002E5F37">
        <w:t xml:space="preserve"> </w:t>
      </w:r>
      <w:r w:rsidR="002E5F37" w:rsidRPr="004A5668">
        <w:t>byl</w:t>
      </w:r>
      <w:r w:rsidR="008D600C">
        <w:t>o</w:t>
      </w:r>
      <w:r w:rsidR="002E5F37" w:rsidRPr="004A5668">
        <w:t xml:space="preserve"> </w:t>
      </w:r>
      <w:r w:rsidR="002E5F37">
        <w:t>ve středních školác</w:t>
      </w:r>
      <w:r w:rsidR="008D600C">
        <w:t>h zaznamenáno</w:t>
      </w:r>
      <w:r w:rsidR="002E5F37">
        <w:t xml:space="preserve"> jen </w:t>
      </w:r>
      <w:r w:rsidR="00377D9B">
        <w:t>3</w:t>
      </w:r>
      <w:r w:rsidR="007A1FBA">
        <w:t>,</w:t>
      </w:r>
      <w:r w:rsidR="00377D9B">
        <w:t>3</w:t>
      </w:r>
      <w:r w:rsidR="00A934FF">
        <w:t> </w:t>
      </w:r>
      <w:r w:rsidR="002E5F37">
        <w:t xml:space="preserve">% žáků </w:t>
      </w:r>
      <w:r w:rsidR="002E5F37" w:rsidRPr="004A5668">
        <w:t>s diagnostikovanou závažnou poruchou chování</w:t>
      </w:r>
      <w:r w:rsidR="002E5F37">
        <w:t xml:space="preserve"> ze všech žáků s postižením</w:t>
      </w:r>
      <w:r w:rsidR="002E5F37" w:rsidRPr="004A5668">
        <w:t>, ve školním roce 2</w:t>
      </w:r>
      <w:r w:rsidR="007A1FBA">
        <w:t>02</w:t>
      </w:r>
      <w:r w:rsidR="00377D9B">
        <w:t>5</w:t>
      </w:r>
      <w:r w:rsidR="007A1FBA">
        <w:t>/2</w:t>
      </w:r>
      <w:r w:rsidR="00377D9B">
        <w:t>6</w:t>
      </w:r>
      <w:r w:rsidR="002E5F37">
        <w:t xml:space="preserve"> jich však byla již</w:t>
      </w:r>
      <w:r w:rsidR="007A1FBA">
        <w:t xml:space="preserve"> osmi</w:t>
      </w:r>
      <w:r w:rsidR="002E5F37">
        <w:t>na</w:t>
      </w:r>
      <w:r w:rsidR="007A1FBA">
        <w:t xml:space="preserve"> (1</w:t>
      </w:r>
      <w:r w:rsidR="00377D9B">
        <w:t>2</w:t>
      </w:r>
      <w:r w:rsidR="007A1FBA">
        <w:t>,</w:t>
      </w:r>
      <w:r w:rsidR="00377D9B">
        <w:t>3</w:t>
      </w:r>
      <w:r w:rsidR="008D600C">
        <w:t xml:space="preserve"> %)</w:t>
      </w:r>
      <w:r w:rsidR="002E5F37">
        <w:t xml:space="preserve">. </w:t>
      </w:r>
      <w:r w:rsidR="008D600C">
        <w:t xml:space="preserve">Naopak, zatímco podíl žáků </w:t>
      </w:r>
      <w:r w:rsidR="008D600C" w:rsidRPr="008D600C">
        <w:rPr>
          <w:b/>
          <w:i/>
        </w:rPr>
        <w:t>s mentálním postižením</w:t>
      </w:r>
      <w:r w:rsidR="007A1FBA">
        <w:t xml:space="preserve"> </w:t>
      </w:r>
      <w:r w:rsidR="00DC5AF6">
        <w:t xml:space="preserve">ze všech žáků s postižením </w:t>
      </w:r>
      <w:r w:rsidR="007A1FBA">
        <w:t>byl ve školním roce 201</w:t>
      </w:r>
      <w:r w:rsidR="00377D9B">
        <w:t>5</w:t>
      </w:r>
      <w:r w:rsidR="007A1FBA">
        <w:t>/1</w:t>
      </w:r>
      <w:r w:rsidR="00377D9B">
        <w:t>6</w:t>
      </w:r>
      <w:r w:rsidR="008D600C">
        <w:t xml:space="preserve"> </w:t>
      </w:r>
      <w:r w:rsidR="00273770">
        <w:t xml:space="preserve">více než </w:t>
      </w:r>
      <w:r w:rsidR="007A1FBA">
        <w:t>třetinový</w:t>
      </w:r>
      <w:r w:rsidR="00273770">
        <w:t xml:space="preserve"> (</w:t>
      </w:r>
      <w:r w:rsidR="00D2085D">
        <w:t>3</w:t>
      </w:r>
      <w:r w:rsidR="00377D9B">
        <w:t>4</w:t>
      </w:r>
      <w:r w:rsidR="007A1FBA">
        <w:t>,</w:t>
      </w:r>
      <w:r w:rsidR="00377D9B">
        <w:t>7</w:t>
      </w:r>
      <w:r w:rsidR="008D600C">
        <w:t xml:space="preserve"> %</w:t>
      </w:r>
      <w:r w:rsidR="00273770">
        <w:t>)</w:t>
      </w:r>
      <w:r w:rsidR="008D600C">
        <w:t xml:space="preserve">, ve školním roce </w:t>
      </w:r>
      <w:r w:rsidR="00DC5AF6">
        <w:t>202</w:t>
      </w:r>
      <w:r w:rsidR="00377D9B">
        <w:t>5</w:t>
      </w:r>
      <w:r w:rsidR="00DC5AF6">
        <w:t>/2</w:t>
      </w:r>
      <w:r w:rsidR="00377D9B">
        <w:t>6</w:t>
      </w:r>
      <w:r w:rsidR="00DC5AF6">
        <w:t xml:space="preserve"> již byl</w:t>
      </w:r>
      <w:r w:rsidR="007A1FBA">
        <w:t xml:space="preserve"> jen 13,</w:t>
      </w:r>
      <w:r w:rsidR="00377D9B">
        <w:t>1</w:t>
      </w:r>
      <w:r w:rsidR="008D600C">
        <w:t>%</w:t>
      </w:r>
      <w:r w:rsidR="00DC5AF6">
        <w:t xml:space="preserve"> (zde mohla sehrát roli </w:t>
      </w:r>
      <w:r w:rsidR="00DC5AF6">
        <w:lastRenderedPageBreak/>
        <w:t>změna metodiky)</w:t>
      </w:r>
      <w:r w:rsidR="008D600C">
        <w:t>.</w:t>
      </w:r>
      <w:r w:rsidRPr="004A5668">
        <w:t xml:space="preserve"> </w:t>
      </w:r>
      <w:r w:rsidR="002E5F37">
        <w:t>Vedle žáků se závažnými vývojovými poruchami</w:t>
      </w:r>
      <w:r w:rsidRPr="004A5668">
        <w:t xml:space="preserve"> se </w:t>
      </w:r>
      <w:r w:rsidR="007565CF">
        <w:t xml:space="preserve">za posledních 10 let </w:t>
      </w:r>
      <w:r w:rsidRPr="004A5668">
        <w:t>zvýšil podíl</w:t>
      </w:r>
      <w:r w:rsidR="002E5F37">
        <w:t>, jaký ze žáků s postižením tvoří žáci</w:t>
      </w:r>
      <w:r w:rsidRPr="004A5668">
        <w:t xml:space="preserve"> s diagnostikovanou </w:t>
      </w:r>
      <w:r w:rsidRPr="008D600C">
        <w:rPr>
          <w:b/>
          <w:i/>
        </w:rPr>
        <w:t>poru</w:t>
      </w:r>
      <w:r w:rsidR="00DC16DD" w:rsidRPr="008D600C">
        <w:rPr>
          <w:b/>
          <w:i/>
        </w:rPr>
        <w:t>chou autistického spektra</w:t>
      </w:r>
      <w:r w:rsidR="00DC16DD">
        <w:t xml:space="preserve"> (z</w:t>
      </w:r>
      <w:r w:rsidR="002E5F37">
        <w:t>e</w:t>
      </w:r>
      <w:r w:rsidR="00DC16DD">
        <w:t xml:space="preserve"> </w:t>
      </w:r>
      <w:r w:rsidR="00377D9B">
        <w:t>4,2</w:t>
      </w:r>
      <w:r w:rsidR="00DC5AF6">
        <w:t> % na 5</w:t>
      </w:r>
      <w:r w:rsidR="007A1FBA">
        <w:t>,7</w:t>
      </w:r>
      <w:r w:rsidR="007565CF">
        <w:t xml:space="preserve"> %) a </w:t>
      </w:r>
      <w:r w:rsidR="007565CF" w:rsidRPr="008D600C">
        <w:rPr>
          <w:b/>
          <w:i/>
        </w:rPr>
        <w:t>s</w:t>
      </w:r>
      <w:r w:rsidR="008D600C" w:rsidRPr="008D600C">
        <w:rPr>
          <w:b/>
          <w:i/>
        </w:rPr>
        <w:t>e závažnými</w:t>
      </w:r>
      <w:r w:rsidR="007565CF" w:rsidRPr="008D600C">
        <w:rPr>
          <w:b/>
          <w:i/>
        </w:rPr>
        <w:t> va</w:t>
      </w:r>
      <w:r w:rsidR="008D600C" w:rsidRPr="008D600C">
        <w:rPr>
          <w:b/>
          <w:i/>
        </w:rPr>
        <w:t>dami řeči</w:t>
      </w:r>
      <w:r w:rsidR="00273770">
        <w:t xml:space="preserve"> (z </w:t>
      </w:r>
      <w:r w:rsidR="007A1FBA">
        <w:t>0,</w:t>
      </w:r>
      <w:r w:rsidR="00377D9B">
        <w:t>8</w:t>
      </w:r>
      <w:r w:rsidR="008D600C">
        <w:t> %</w:t>
      </w:r>
      <w:r w:rsidR="007A1FBA">
        <w:t xml:space="preserve"> na 4,</w:t>
      </w:r>
      <w:r w:rsidR="00377D9B">
        <w:t>2</w:t>
      </w:r>
      <w:r w:rsidR="00DC16DD">
        <w:t> %).</w:t>
      </w:r>
    </w:p>
    <w:p w14:paraId="5BA3094A" w14:textId="77777777" w:rsidR="002220EC" w:rsidRPr="002220EC" w:rsidRDefault="002220EC" w:rsidP="00FA7769">
      <w:pPr>
        <w:spacing w:after="120"/>
        <w:jc w:val="both"/>
        <w:rPr>
          <w:rFonts w:cs="Arial"/>
          <w:szCs w:val="20"/>
        </w:rPr>
      </w:pPr>
      <w:r w:rsidRPr="00967556">
        <w:rPr>
          <w:rFonts w:cs="Arial"/>
          <w:szCs w:val="20"/>
        </w:rPr>
        <w:t>Nutno poznamenat, že vlivem metodických změn souvisejících s přijetím „inkluzivní novely“ školského zákona</w:t>
      </w:r>
      <w:r w:rsidRPr="00D105FB">
        <w:t xml:space="preserve"> </w:t>
      </w:r>
      <w:r w:rsidRPr="00967556">
        <w:rPr>
          <w:rFonts w:cs="Arial"/>
          <w:szCs w:val="20"/>
        </w:rPr>
        <w:t xml:space="preserve">roku 2016 je statistika vykazovaných zdravotních postižení či znevýhodnění od roku 2016/17 hůře srovnatelná se staršími údaji. </w:t>
      </w:r>
    </w:p>
    <w:p w14:paraId="0BE7A06E" w14:textId="1514B0EF" w:rsidR="00994DFD" w:rsidRDefault="002220EC" w:rsidP="00FA7769">
      <w:pPr>
        <w:spacing w:after="120"/>
        <w:jc w:val="both"/>
      </w:pPr>
      <w:r>
        <w:t xml:space="preserve">V tabulce </w:t>
      </w:r>
      <w:r w:rsidR="00463A10">
        <w:t>č. </w:t>
      </w:r>
      <w:r w:rsidR="00FA7769" w:rsidRPr="004A5668">
        <w:t xml:space="preserve">3.2 </w:t>
      </w:r>
      <w:r w:rsidR="000050C6">
        <w:t xml:space="preserve">výše </w:t>
      </w:r>
      <w:r w:rsidR="00FA7769" w:rsidRPr="004A5668">
        <w:t xml:space="preserve">je také uveden </w:t>
      </w:r>
      <w:r w:rsidR="00FA7769" w:rsidRPr="003C592F">
        <w:rPr>
          <w:b/>
          <w:i/>
        </w:rPr>
        <w:t>podíl dívek ze všech žáků středních škol se zdravotním po</w:t>
      </w:r>
      <w:r w:rsidR="007565CF" w:rsidRPr="003C592F">
        <w:rPr>
          <w:b/>
          <w:i/>
        </w:rPr>
        <w:t>stižením</w:t>
      </w:r>
      <w:r w:rsidR="007565CF">
        <w:t xml:space="preserve"> v</w:t>
      </w:r>
      <w:r w:rsidR="007A1FBA">
        <w:t>e školních rocích 201</w:t>
      </w:r>
      <w:r w:rsidR="00377D9B">
        <w:t>5</w:t>
      </w:r>
      <w:r w:rsidR="007A1FBA">
        <w:t>/1</w:t>
      </w:r>
      <w:r w:rsidR="00377D9B">
        <w:t>6</w:t>
      </w:r>
      <w:r w:rsidR="007A1FBA">
        <w:t>, 20</w:t>
      </w:r>
      <w:r w:rsidR="00377D9B">
        <w:t>20</w:t>
      </w:r>
      <w:r w:rsidR="007A1FBA">
        <w:t>/2</w:t>
      </w:r>
      <w:r w:rsidR="00377D9B">
        <w:t>1</w:t>
      </w:r>
      <w:r w:rsidR="00FA7769" w:rsidRPr="004A5668">
        <w:t xml:space="preserve"> </w:t>
      </w:r>
      <w:r w:rsidR="007A1FBA">
        <w:t>a 202</w:t>
      </w:r>
      <w:r w:rsidR="00377D9B">
        <w:t>5</w:t>
      </w:r>
      <w:r w:rsidR="007A1FBA">
        <w:t>/2</w:t>
      </w:r>
      <w:r w:rsidR="00377D9B">
        <w:t>6</w:t>
      </w:r>
      <w:r w:rsidR="007A1FBA">
        <w:t xml:space="preserve"> </w:t>
      </w:r>
      <w:r w:rsidR="00FA7769" w:rsidRPr="004A5668">
        <w:t xml:space="preserve">a dále podíl dívek ze žáků s postižením konkrétního druhu. Zde je patrné, že </w:t>
      </w:r>
      <w:r w:rsidR="00377D9B">
        <w:t xml:space="preserve">chlapci mívají </w:t>
      </w:r>
      <w:r w:rsidR="00FA7769" w:rsidRPr="008D600C">
        <w:t xml:space="preserve">častěji potvrzenou </w:t>
      </w:r>
      <w:r w:rsidR="00377D9B">
        <w:t xml:space="preserve">nějakou </w:t>
      </w:r>
      <w:r w:rsidR="00FA7769" w:rsidRPr="008A08DA">
        <w:t xml:space="preserve">diagnózu </w:t>
      </w:r>
      <w:r w:rsidR="00377D9B">
        <w:t>než dívky</w:t>
      </w:r>
      <w:r w:rsidR="00FA7769" w:rsidRPr="008A08DA">
        <w:t>.</w:t>
      </w:r>
      <w:r w:rsidR="00FA7769" w:rsidRPr="008D600C">
        <w:t xml:space="preserve"> </w:t>
      </w:r>
      <w:r w:rsidR="00377D9B">
        <w:t>Chlapci tak</w:t>
      </w:r>
      <w:r w:rsidR="00FA7769" w:rsidRPr="008D600C">
        <w:t xml:space="preserve"> tvořili </w:t>
      </w:r>
      <w:r w:rsidR="008D600C" w:rsidRPr="008D600C">
        <w:t>62</w:t>
      </w:r>
      <w:r w:rsidR="008A08DA">
        <w:t>,</w:t>
      </w:r>
      <w:r w:rsidR="00377D9B">
        <w:t>1</w:t>
      </w:r>
      <w:r w:rsidR="00DC16DD">
        <w:t> %</w:t>
      </w:r>
      <w:r w:rsidR="00FA7769" w:rsidRPr="004A5668">
        <w:t xml:space="preserve"> </w:t>
      </w:r>
      <w:r w:rsidR="00FA7769" w:rsidRPr="007D2336">
        <w:t xml:space="preserve">všech </w:t>
      </w:r>
      <w:r w:rsidR="008A08DA" w:rsidRPr="007D2336">
        <w:t>postižených ve školním roce 2014/15</w:t>
      </w:r>
      <w:r w:rsidR="00FA7769" w:rsidRPr="007D2336">
        <w:t xml:space="preserve"> a </w:t>
      </w:r>
      <w:r w:rsidR="008A08DA" w:rsidRPr="007D2336">
        <w:t>62,</w:t>
      </w:r>
      <w:r w:rsidR="00377D9B">
        <w:t>0</w:t>
      </w:r>
      <w:r w:rsidR="00DC16DD" w:rsidRPr="007D2336">
        <w:t> %</w:t>
      </w:r>
      <w:r w:rsidR="00FA7769" w:rsidRPr="007D2336">
        <w:t xml:space="preserve"> všech </w:t>
      </w:r>
      <w:r w:rsidR="008A08DA" w:rsidRPr="007D2336">
        <w:t>postižených ve školním roce 202</w:t>
      </w:r>
      <w:r w:rsidR="00377D9B">
        <w:t>5</w:t>
      </w:r>
      <w:r w:rsidR="008A08DA" w:rsidRPr="007D2336">
        <w:t>/2</w:t>
      </w:r>
      <w:r w:rsidR="00377D9B">
        <w:t>6</w:t>
      </w:r>
      <w:r w:rsidR="00FA7769" w:rsidRPr="007D2336">
        <w:t>. Výrazné rozdíly mezi chlapci</w:t>
      </w:r>
      <w:r w:rsidR="00FA7769" w:rsidRPr="009F5068">
        <w:t xml:space="preserve"> a dívkami jsou</w:t>
      </w:r>
      <w:r w:rsidR="00FA7769" w:rsidRPr="004A5668">
        <w:t xml:space="preserve"> přitom zejmé</w:t>
      </w:r>
      <w:r w:rsidR="00DF4FB7">
        <w:t>na v četnosti postižení poruchami autistického spektra</w:t>
      </w:r>
      <w:r w:rsidR="00FA7769" w:rsidRPr="004A5668">
        <w:t xml:space="preserve"> </w:t>
      </w:r>
      <w:r w:rsidR="00FA7769" w:rsidRPr="007D2336">
        <w:t>(</w:t>
      </w:r>
      <w:r w:rsidR="00086A75" w:rsidRPr="007D2336">
        <w:t xml:space="preserve">ve školním </w:t>
      </w:r>
      <w:r w:rsidR="007D2336" w:rsidRPr="007D2336">
        <w:t>roce 202</w:t>
      </w:r>
      <w:r w:rsidR="00377D9B">
        <w:t>5</w:t>
      </w:r>
      <w:r w:rsidR="007D2336" w:rsidRPr="007D2336">
        <w:t>/2</w:t>
      </w:r>
      <w:r w:rsidR="00377D9B">
        <w:t>6</w:t>
      </w:r>
      <w:r w:rsidR="00CB0332" w:rsidRPr="007D2336">
        <w:t xml:space="preserve"> tvořily dívky </w:t>
      </w:r>
      <w:r w:rsidR="00FA7769" w:rsidRPr="007D2336">
        <w:t xml:space="preserve">jen </w:t>
      </w:r>
      <w:r w:rsidR="003C592F">
        <w:t>1</w:t>
      </w:r>
      <w:r w:rsidR="00377D9B">
        <w:t>9</w:t>
      </w:r>
      <w:r w:rsidR="003C592F">
        <w:t>,</w:t>
      </w:r>
      <w:r w:rsidR="00377D9B">
        <w:t>5</w:t>
      </w:r>
      <w:r w:rsidR="00CB0332" w:rsidRPr="007D2336">
        <w:t xml:space="preserve"> % </w:t>
      </w:r>
      <w:r w:rsidR="00235E86" w:rsidRPr="007D2336">
        <w:t xml:space="preserve">takto </w:t>
      </w:r>
      <w:r w:rsidR="00CB0332" w:rsidRPr="007D2336">
        <w:t>postižených</w:t>
      </w:r>
      <w:r w:rsidR="00FA7769" w:rsidRPr="007D2336">
        <w:t>)</w:t>
      </w:r>
      <w:r w:rsidR="00377D9B">
        <w:t xml:space="preserve"> a dále v závažných vadách řeči (</w:t>
      </w:r>
      <w:r w:rsidR="00B6286F">
        <w:t xml:space="preserve">podíl dívek byl méně než třetinový, 32,6 %). </w:t>
      </w:r>
      <w:r w:rsidR="00FA7769" w:rsidRPr="004A5668">
        <w:t>Oproti tomu mezi žáky s mentálním</w:t>
      </w:r>
      <w:r w:rsidR="00D92018">
        <w:t>, sluchovým</w:t>
      </w:r>
      <w:r w:rsidR="00086A75">
        <w:t>, zrakovým</w:t>
      </w:r>
      <w:r w:rsidR="00D92018">
        <w:t xml:space="preserve"> a tělesným</w:t>
      </w:r>
      <w:r w:rsidR="00FA7769" w:rsidRPr="004A5668">
        <w:t xml:space="preserve"> </w:t>
      </w:r>
      <w:r w:rsidR="00D92018" w:rsidRPr="004A5668">
        <w:t xml:space="preserve">postižením </w:t>
      </w:r>
      <w:r w:rsidR="00FA7769" w:rsidRPr="004A5668">
        <w:t>byl ve středních školách podíl dívek a chlapců</w:t>
      </w:r>
      <w:r w:rsidR="003D002C">
        <w:t xml:space="preserve"> poměrně</w:t>
      </w:r>
      <w:r w:rsidR="00FA7769" w:rsidRPr="004A5668">
        <w:t xml:space="preserve"> vyrovnaný</w:t>
      </w:r>
      <w:r w:rsidR="00ED1581">
        <w:t xml:space="preserve"> (více viz tabulkovou přílohu).</w:t>
      </w:r>
    </w:p>
    <w:p w14:paraId="3AB0DD9B" w14:textId="77777777" w:rsidR="00ED1581" w:rsidRPr="004A5668" w:rsidRDefault="00ED1581" w:rsidP="00ED1581">
      <w:pPr>
        <w:spacing w:after="0" w:line="240" w:lineRule="auto"/>
        <w:jc w:val="both"/>
      </w:pPr>
    </w:p>
    <w:p w14:paraId="50024B64" w14:textId="77777777" w:rsidR="00FA7769" w:rsidRPr="00AE5878" w:rsidRDefault="004F77D6" w:rsidP="00386026">
      <w:pPr>
        <w:pStyle w:val="Nadpis2"/>
        <w:rPr>
          <w:color w:val="CC9610"/>
        </w:rPr>
      </w:pPr>
      <w:bookmarkStart w:id="6" w:name="_Toc199232058"/>
      <w:r w:rsidRPr="00AE5878">
        <w:rPr>
          <w:color w:val="CC9610"/>
        </w:rPr>
        <w:t>3</w:t>
      </w:r>
      <w:r w:rsidR="00FA7769" w:rsidRPr="00AE5878">
        <w:rPr>
          <w:color w:val="CC9610"/>
        </w:rPr>
        <w:t>.4 Žáci středních škol dle státní příslušnosti</w:t>
      </w:r>
      <w:bookmarkEnd w:id="6"/>
    </w:p>
    <w:p w14:paraId="03131459" w14:textId="77777777" w:rsidR="009D5646" w:rsidRDefault="009D5646" w:rsidP="009D5646">
      <w:pPr>
        <w:spacing w:before="120"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Mezi žáky s cizím státním občanstvím se nezapočítávají žáci s českou a jinou státní příslušností – každý žák je veden jen pod jednou státní příslušností. </w:t>
      </w:r>
    </w:p>
    <w:p w14:paraId="0E0045B8" w14:textId="6FE1408C" w:rsidR="006D7DA0" w:rsidRDefault="00FA7769" w:rsidP="00161404">
      <w:pPr>
        <w:spacing w:before="120" w:after="120"/>
        <w:jc w:val="both"/>
        <w:rPr>
          <w:rFonts w:cs="Arial"/>
          <w:szCs w:val="20"/>
        </w:rPr>
      </w:pPr>
      <w:r w:rsidRPr="004A5668">
        <w:rPr>
          <w:rFonts w:cs="Arial"/>
          <w:szCs w:val="20"/>
        </w:rPr>
        <w:t>Do středních ško</w:t>
      </w:r>
      <w:r w:rsidR="003C29D4">
        <w:rPr>
          <w:rFonts w:cs="Arial"/>
          <w:szCs w:val="20"/>
        </w:rPr>
        <w:t xml:space="preserve">l docházelo ve školním </w:t>
      </w:r>
      <w:r w:rsidR="0021790B">
        <w:rPr>
          <w:rFonts w:cs="Arial"/>
          <w:szCs w:val="20"/>
        </w:rPr>
        <w:t>roce 202</w:t>
      </w:r>
      <w:r w:rsidR="005F5908">
        <w:rPr>
          <w:rFonts w:cs="Arial"/>
          <w:szCs w:val="20"/>
        </w:rPr>
        <w:t>5</w:t>
      </w:r>
      <w:r w:rsidR="0021790B">
        <w:rPr>
          <w:rFonts w:cs="Arial"/>
          <w:szCs w:val="20"/>
        </w:rPr>
        <w:t>/</w:t>
      </w:r>
      <w:r w:rsidR="0021790B" w:rsidRPr="00C351DC">
        <w:rPr>
          <w:rFonts w:cs="Arial"/>
          <w:szCs w:val="20"/>
        </w:rPr>
        <w:t>2</w:t>
      </w:r>
      <w:r w:rsidR="005F5908" w:rsidRPr="00C351DC">
        <w:rPr>
          <w:rFonts w:cs="Arial"/>
          <w:szCs w:val="20"/>
        </w:rPr>
        <w:t>6</w:t>
      </w:r>
      <w:r w:rsidRPr="00C351DC">
        <w:rPr>
          <w:rFonts w:cs="Arial"/>
          <w:szCs w:val="20"/>
        </w:rPr>
        <w:t xml:space="preserve"> celkem </w:t>
      </w:r>
      <w:r w:rsidR="0021790B" w:rsidRPr="00C351DC">
        <w:rPr>
          <w:rFonts w:cs="Arial"/>
          <w:szCs w:val="20"/>
        </w:rPr>
        <w:t>2</w:t>
      </w:r>
      <w:r w:rsidR="00C351DC" w:rsidRPr="00C351DC">
        <w:rPr>
          <w:rFonts w:cs="Arial"/>
          <w:szCs w:val="20"/>
        </w:rPr>
        <w:t>4</w:t>
      </w:r>
      <w:r w:rsidR="00C351DC">
        <w:rPr>
          <w:rFonts w:cs="Arial"/>
          <w:szCs w:val="20"/>
        </w:rPr>
        <w:t> 993</w:t>
      </w:r>
      <w:r w:rsidR="002A074E">
        <w:rPr>
          <w:rFonts w:cs="Arial"/>
          <w:szCs w:val="20"/>
        </w:rPr>
        <w:t xml:space="preserve"> </w:t>
      </w:r>
      <w:r w:rsidRPr="004A5668">
        <w:rPr>
          <w:rFonts w:cs="Arial"/>
          <w:szCs w:val="20"/>
        </w:rPr>
        <w:t>žáků s jiným než č</w:t>
      </w:r>
      <w:r w:rsidR="003C29D4">
        <w:rPr>
          <w:rFonts w:cs="Arial"/>
          <w:szCs w:val="20"/>
        </w:rPr>
        <w:t>eským st</w:t>
      </w:r>
      <w:r w:rsidR="002A074E">
        <w:rPr>
          <w:rFonts w:cs="Arial"/>
          <w:szCs w:val="20"/>
        </w:rPr>
        <w:t xml:space="preserve">átním občanstvím, což je </w:t>
      </w:r>
      <w:r w:rsidR="0021790B">
        <w:rPr>
          <w:rFonts w:cs="Arial"/>
          <w:szCs w:val="20"/>
        </w:rPr>
        <w:t>4,</w:t>
      </w:r>
      <w:r w:rsidR="00C351DC">
        <w:rPr>
          <w:rFonts w:cs="Arial"/>
          <w:szCs w:val="20"/>
        </w:rPr>
        <w:t>9</w:t>
      </w:r>
      <w:r w:rsidRPr="004A5668">
        <w:rPr>
          <w:rFonts w:cs="Arial"/>
          <w:szCs w:val="20"/>
        </w:rPr>
        <w:t> % ze všech žáků středních škol</w:t>
      </w:r>
      <w:r w:rsidR="002A074E">
        <w:rPr>
          <w:rFonts w:cs="Arial"/>
          <w:szCs w:val="20"/>
        </w:rPr>
        <w:t xml:space="preserve"> a zároveň nejvyšší </w:t>
      </w:r>
      <w:r w:rsidR="00E725AB">
        <w:rPr>
          <w:rFonts w:cs="Arial"/>
          <w:szCs w:val="20"/>
        </w:rPr>
        <w:t>po</w:t>
      </w:r>
      <w:r w:rsidR="002A074E">
        <w:rPr>
          <w:rFonts w:cs="Arial"/>
          <w:szCs w:val="20"/>
        </w:rPr>
        <w:t xml:space="preserve">díl za uplynulých deset </w:t>
      </w:r>
      <w:proofErr w:type="gramStart"/>
      <w:r w:rsidR="002A074E">
        <w:rPr>
          <w:rFonts w:cs="Arial"/>
          <w:szCs w:val="20"/>
        </w:rPr>
        <w:t xml:space="preserve">let  </w:t>
      </w:r>
      <w:r w:rsidR="002C291A">
        <w:rPr>
          <w:rFonts w:cs="Arial"/>
          <w:szCs w:val="20"/>
        </w:rPr>
        <w:t>–</w:t>
      </w:r>
      <w:proofErr w:type="gramEnd"/>
      <w:r w:rsidR="002A074E">
        <w:rPr>
          <w:rFonts w:cs="Arial"/>
          <w:szCs w:val="20"/>
        </w:rPr>
        <w:t xml:space="preserve"> v předešlých devíti letech se tento podíl postupně zvyšoval z</w:t>
      </w:r>
      <w:r w:rsidR="0021790B">
        <w:rPr>
          <w:rFonts w:cs="Arial"/>
          <w:szCs w:val="20"/>
        </w:rPr>
        <w:t>e 2,</w:t>
      </w:r>
      <w:r w:rsidR="00C351DC">
        <w:rPr>
          <w:rFonts w:cs="Arial"/>
          <w:szCs w:val="20"/>
        </w:rPr>
        <w:t>1</w:t>
      </w:r>
      <w:r w:rsidR="002A074E">
        <w:rPr>
          <w:rFonts w:cs="Arial"/>
          <w:szCs w:val="20"/>
        </w:rPr>
        <w:t xml:space="preserve"> % </w:t>
      </w:r>
      <w:r w:rsidR="0021790B">
        <w:rPr>
          <w:rFonts w:cs="Arial"/>
          <w:szCs w:val="20"/>
        </w:rPr>
        <w:t>ve školním roce 201</w:t>
      </w:r>
      <w:r w:rsidR="00C351DC">
        <w:rPr>
          <w:rFonts w:cs="Arial"/>
          <w:szCs w:val="20"/>
        </w:rPr>
        <w:t>5</w:t>
      </w:r>
      <w:r w:rsidR="0021790B">
        <w:rPr>
          <w:rFonts w:cs="Arial"/>
          <w:szCs w:val="20"/>
        </w:rPr>
        <w:t>/</w:t>
      </w:r>
      <w:r w:rsidR="0021790B" w:rsidRPr="00C351DC">
        <w:rPr>
          <w:rFonts w:cs="Arial"/>
          <w:szCs w:val="20"/>
        </w:rPr>
        <w:t>1</w:t>
      </w:r>
      <w:r w:rsidR="00C351DC" w:rsidRPr="00C351DC">
        <w:rPr>
          <w:rFonts w:cs="Arial"/>
          <w:szCs w:val="20"/>
        </w:rPr>
        <w:t>6</w:t>
      </w:r>
      <w:r w:rsidRPr="00C351DC">
        <w:rPr>
          <w:rFonts w:cs="Arial"/>
          <w:szCs w:val="20"/>
        </w:rPr>
        <w:t>.</w:t>
      </w:r>
      <w:r w:rsidR="007D4E09" w:rsidRPr="00C351DC">
        <w:rPr>
          <w:rFonts w:cs="Arial"/>
          <w:szCs w:val="20"/>
        </w:rPr>
        <w:t xml:space="preserve"> </w:t>
      </w:r>
      <w:r w:rsidR="003C592F" w:rsidRPr="00C351DC">
        <w:rPr>
          <w:rFonts w:cs="Arial"/>
          <w:szCs w:val="20"/>
        </w:rPr>
        <w:t>Absolutní počet</w:t>
      </w:r>
      <w:r w:rsidR="003C592F">
        <w:rPr>
          <w:rFonts w:cs="Arial"/>
          <w:szCs w:val="20"/>
        </w:rPr>
        <w:t xml:space="preserve"> </w:t>
      </w:r>
      <w:r w:rsidR="00F07EA2">
        <w:rPr>
          <w:rFonts w:cs="Arial"/>
          <w:szCs w:val="20"/>
        </w:rPr>
        <w:t xml:space="preserve">žáků </w:t>
      </w:r>
      <w:r w:rsidR="003C592F">
        <w:rPr>
          <w:rFonts w:cs="Arial"/>
          <w:szCs w:val="20"/>
        </w:rPr>
        <w:t>ciz</w:t>
      </w:r>
      <w:r w:rsidR="00F07EA2">
        <w:rPr>
          <w:rFonts w:cs="Arial"/>
          <w:szCs w:val="20"/>
        </w:rPr>
        <w:t>í státní příslušnosti</w:t>
      </w:r>
      <w:r w:rsidR="003C592F">
        <w:rPr>
          <w:rFonts w:cs="Arial"/>
          <w:szCs w:val="20"/>
        </w:rPr>
        <w:t xml:space="preserve"> na středních školách </w:t>
      </w:r>
      <w:r w:rsidR="00F07EA2">
        <w:rPr>
          <w:rFonts w:cs="Arial"/>
          <w:szCs w:val="20"/>
        </w:rPr>
        <w:t xml:space="preserve">se za 10 let </w:t>
      </w:r>
      <w:r w:rsidR="00C351DC">
        <w:rPr>
          <w:rFonts w:cs="Arial"/>
          <w:szCs w:val="20"/>
        </w:rPr>
        <w:t>téměř ztrojnásobil</w:t>
      </w:r>
      <w:r w:rsidR="003C592F">
        <w:rPr>
          <w:rFonts w:cs="Arial"/>
          <w:szCs w:val="20"/>
        </w:rPr>
        <w:t xml:space="preserve">. </w:t>
      </w:r>
      <w:r w:rsidR="00F07EA2">
        <w:rPr>
          <w:rFonts w:cs="Arial"/>
          <w:szCs w:val="20"/>
        </w:rPr>
        <w:t>K největšímu nárůstu (o</w:t>
      </w:r>
      <w:r w:rsidR="00C351DC">
        <w:rPr>
          <w:rFonts w:cs="Arial"/>
          <w:szCs w:val="20"/>
        </w:rPr>
        <w:t> </w:t>
      </w:r>
      <w:r w:rsidR="00F07EA2">
        <w:rPr>
          <w:rFonts w:cs="Arial"/>
          <w:szCs w:val="20"/>
        </w:rPr>
        <w:t>40,5</w:t>
      </w:r>
      <w:r w:rsidR="00C351DC">
        <w:rPr>
          <w:rFonts w:cs="Arial"/>
          <w:szCs w:val="20"/>
        </w:rPr>
        <w:t> </w:t>
      </w:r>
      <w:r w:rsidR="00F07EA2">
        <w:rPr>
          <w:rFonts w:cs="Arial"/>
          <w:szCs w:val="20"/>
        </w:rPr>
        <w:t>%) došlo</w:t>
      </w:r>
      <w:r w:rsidR="006D7DA0">
        <w:rPr>
          <w:rFonts w:cs="Arial"/>
          <w:szCs w:val="20"/>
        </w:rPr>
        <w:t xml:space="preserve"> mezi šk</w:t>
      </w:r>
      <w:r w:rsidR="00F07EA2">
        <w:rPr>
          <w:rFonts w:cs="Arial"/>
          <w:szCs w:val="20"/>
        </w:rPr>
        <w:t>olními roky 2021/22 a 2022/23, a to z důvodu, že k 30. </w:t>
      </w:r>
      <w:r w:rsidR="006D7DA0">
        <w:rPr>
          <w:rFonts w:cs="Arial"/>
          <w:szCs w:val="20"/>
        </w:rPr>
        <w:t xml:space="preserve">9. 2022 byli mezi žáky poprvé zahrnuty děti uprchlíků z Ukrajiny. </w:t>
      </w:r>
    </w:p>
    <w:p w14:paraId="3B7F5DD7" w14:textId="72A8C3DF" w:rsidR="00FA7769" w:rsidRPr="004A5668" w:rsidRDefault="00FA7769" w:rsidP="00ED1581">
      <w:pPr>
        <w:spacing w:before="120" w:after="120"/>
        <w:jc w:val="both"/>
        <w:rPr>
          <w:rFonts w:cs="Arial"/>
          <w:szCs w:val="20"/>
        </w:rPr>
      </w:pPr>
      <w:r w:rsidRPr="00D73DBD">
        <w:rPr>
          <w:rFonts w:cs="Arial"/>
          <w:b/>
          <w:szCs w:val="20"/>
        </w:rPr>
        <w:t>Ze všech krajů</w:t>
      </w:r>
      <w:r w:rsidRPr="00D73DBD">
        <w:rPr>
          <w:rFonts w:cs="Arial"/>
          <w:szCs w:val="20"/>
        </w:rPr>
        <w:t xml:space="preserve"> byl podíl</w:t>
      </w:r>
      <w:r w:rsidRPr="004A5668">
        <w:rPr>
          <w:rFonts w:cs="Arial"/>
          <w:szCs w:val="20"/>
        </w:rPr>
        <w:t xml:space="preserve"> cizinců </w:t>
      </w:r>
      <w:r w:rsidR="008F560C">
        <w:rPr>
          <w:rFonts w:cs="Arial"/>
          <w:szCs w:val="20"/>
        </w:rPr>
        <w:t xml:space="preserve">mezi žáky </w:t>
      </w:r>
      <w:r w:rsidR="006829A2">
        <w:rPr>
          <w:rFonts w:cs="Arial"/>
          <w:szCs w:val="20"/>
        </w:rPr>
        <w:t>tradičně nejvyšší v Praze (</w:t>
      </w:r>
      <w:r w:rsidR="009F3AC3">
        <w:rPr>
          <w:rFonts w:cs="Arial"/>
          <w:szCs w:val="20"/>
        </w:rPr>
        <w:t>8,6</w:t>
      </w:r>
      <w:r w:rsidRPr="004A5668">
        <w:rPr>
          <w:rFonts w:cs="Arial"/>
          <w:szCs w:val="20"/>
        </w:rPr>
        <w:t xml:space="preserve"> %), </w:t>
      </w:r>
      <w:r w:rsidR="006829A2">
        <w:rPr>
          <w:rFonts w:cs="Arial"/>
          <w:szCs w:val="20"/>
        </w:rPr>
        <w:t>dále v kraji Karlovarském (</w:t>
      </w:r>
      <w:r w:rsidR="009F3AC3">
        <w:rPr>
          <w:rFonts w:cs="Arial"/>
          <w:szCs w:val="20"/>
        </w:rPr>
        <w:t>8,2</w:t>
      </w:r>
      <w:r w:rsidR="003C29D4">
        <w:rPr>
          <w:rFonts w:cs="Arial"/>
          <w:szCs w:val="20"/>
        </w:rPr>
        <w:t> %</w:t>
      </w:r>
      <w:r w:rsidR="006829A2">
        <w:rPr>
          <w:rFonts w:cs="Arial"/>
          <w:szCs w:val="20"/>
        </w:rPr>
        <w:t>) a Plzeňském (5</w:t>
      </w:r>
      <w:r w:rsidR="007D4E09">
        <w:rPr>
          <w:rFonts w:cs="Arial"/>
          <w:szCs w:val="20"/>
        </w:rPr>
        <w:t>,8</w:t>
      </w:r>
      <w:r w:rsidRPr="004A5668">
        <w:rPr>
          <w:rFonts w:cs="Arial"/>
          <w:szCs w:val="20"/>
        </w:rPr>
        <w:t xml:space="preserve"> %). Naopak v kraji </w:t>
      </w:r>
      <w:r w:rsidR="00017D11">
        <w:rPr>
          <w:rFonts w:cs="Arial"/>
          <w:szCs w:val="20"/>
        </w:rPr>
        <w:t>Olomouckém</w:t>
      </w:r>
      <w:r w:rsidR="00E725AB">
        <w:rPr>
          <w:rFonts w:cs="Arial"/>
          <w:szCs w:val="20"/>
        </w:rPr>
        <w:t xml:space="preserve">, </w:t>
      </w:r>
      <w:r w:rsidR="00E725AB" w:rsidRPr="004A5668">
        <w:rPr>
          <w:rFonts w:cs="Arial"/>
          <w:szCs w:val="20"/>
        </w:rPr>
        <w:t>Moravskoslezském</w:t>
      </w:r>
      <w:r w:rsidR="00E725AB">
        <w:rPr>
          <w:rFonts w:cs="Arial"/>
          <w:szCs w:val="20"/>
        </w:rPr>
        <w:t>, Zlínském</w:t>
      </w:r>
      <w:r w:rsidRPr="004A5668">
        <w:rPr>
          <w:rFonts w:cs="Arial"/>
          <w:szCs w:val="20"/>
        </w:rPr>
        <w:t xml:space="preserve"> a na Vysočině </w:t>
      </w:r>
      <w:r w:rsidR="00E725AB">
        <w:rPr>
          <w:rFonts w:cs="Arial"/>
          <w:szCs w:val="20"/>
        </w:rPr>
        <w:t>dosahoval podíl c</w:t>
      </w:r>
      <w:r w:rsidR="006829A2">
        <w:rPr>
          <w:rFonts w:cs="Arial"/>
          <w:szCs w:val="20"/>
        </w:rPr>
        <w:t xml:space="preserve">izinců nejnižších hodnot </w:t>
      </w:r>
      <w:r w:rsidR="009F3AC3">
        <w:rPr>
          <w:rFonts w:cs="Arial"/>
          <w:szCs w:val="20"/>
        </w:rPr>
        <w:t>(</w:t>
      </w:r>
      <w:r w:rsidR="006829A2">
        <w:rPr>
          <w:rFonts w:cs="Arial"/>
          <w:szCs w:val="20"/>
        </w:rPr>
        <w:t>3</w:t>
      </w:r>
      <w:r w:rsidR="00E725AB">
        <w:rPr>
          <w:rFonts w:cs="Arial"/>
          <w:szCs w:val="20"/>
        </w:rPr>
        <w:t> %</w:t>
      </w:r>
      <w:r w:rsidR="009F3AC3">
        <w:rPr>
          <w:rFonts w:cs="Arial"/>
          <w:szCs w:val="20"/>
        </w:rPr>
        <w:t xml:space="preserve"> a méně</w:t>
      </w:r>
      <w:r w:rsidR="00E725AB">
        <w:rPr>
          <w:rFonts w:cs="Arial"/>
          <w:szCs w:val="20"/>
        </w:rPr>
        <w:t>)</w:t>
      </w:r>
      <w:r w:rsidR="006829A2">
        <w:rPr>
          <w:rFonts w:cs="Arial"/>
          <w:szCs w:val="20"/>
        </w:rPr>
        <w:t xml:space="preserve"> </w:t>
      </w:r>
      <w:r w:rsidR="002C291A">
        <w:rPr>
          <w:rFonts w:cs="Arial"/>
          <w:szCs w:val="20"/>
        </w:rPr>
        <w:t>–</w:t>
      </w:r>
      <w:r w:rsidR="003E423A">
        <w:rPr>
          <w:rFonts w:cs="Arial"/>
          <w:szCs w:val="20"/>
        </w:rPr>
        <w:t xml:space="preserve"> viz graf </w:t>
      </w:r>
      <w:r w:rsidR="00D604CE">
        <w:rPr>
          <w:rFonts w:cs="Arial"/>
          <w:szCs w:val="20"/>
        </w:rPr>
        <w:t>č. </w:t>
      </w:r>
      <w:r w:rsidR="003E423A">
        <w:rPr>
          <w:rFonts w:cs="Arial"/>
          <w:szCs w:val="20"/>
        </w:rPr>
        <w:t>3</w:t>
      </w:r>
      <w:r w:rsidR="00124443">
        <w:rPr>
          <w:rFonts w:cs="Arial"/>
          <w:szCs w:val="20"/>
        </w:rPr>
        <w:t>.14</w:t>
      </w:r>
      <w:r w:rsidRPr="004A5668">
        <w:rPr>
          <w:rFonts w:cs="Arial"/>
          <w:szCs w:val="20"/>
        </w:rPr>
        <w:t xml:space="preserve">. </w:t>
      </w:r>
    </w:p>
    <w:p w14:paraId="203FE237" w14:textId="264CE7AD" w:rsidR="00FA7769" w:rsidRDefault="00FA7769" w:rsidP="00ED1581">
      <w:pPr>
        <w:spacing w:after="120" w:line="240" w:lineRule="auto"/>
        <w:rPr>
          <w:b/>
        </w:rPr>
      </w:pPr>
      <w:r w:rsidRPr="00C3589B">
        <w:rPr>
          <w:b/>
        </w:rPr>
        <w:t>G</w:t>
      </w:r>
      <w:r>
        <w:rPr>
          <w:b/>
        </w:rPr>
        <w:t>raf</w:t>
      </w:r>
      <w:r w:rsidRPr="00C3589B">
        <w:rPr>
          <w:b/>
        </w:rPr>
        <w:t xml:space="preserve"> </w:t>
      </w:r>
      <w:r w:rsidR="00124443">
        <w:rPr>
          <w:b/>
        </w:rPr>
        <w:t>3.14</w:t>
      </w:r>
      <w:r w:rsidRPr="00C3589B">
        <w:t xml:space="preserve"> </w:t>
      </w:r>
      <w:r>
        <w:rPr>
          <w:b/>
        </w:rPr>
        <w:t>Střední školy</w:t>
      </w:r>
      <w:r w:rsidRPr="00C3589B">
        <w:t xml:space="preserve"> </w:t>
      </w:r>
      <w:r w:rsidR="002C291A">
        <w:t>–</w:t>
      </w:r>
      <w:r w:rsidRPr="00C3589B">
        <w:t xml:space="preserve"> </w:t>
      </w:r>
      <w:r w:rsidRPr="00C3589B">
        <w:rPr>
          <w:b/>
        </w:rPr>
        <w:t xml:space="preserve">podíl žáků s cizí státní příslušností </w:t>
      </w:r>
      <w:r>
        <w:rPr>
          <w:b/>
        </w:rPr>
        <w:t xml:space="preserve">celkem, </w:t>
      </w:r>
      <w:r w:rsidRPr="00C3589B">
        <w:rPr>
          <w:b/>
        </w:rPr>
        <w:t xml:space="preserve">dle kraje a </w:t>
      </w:r>
      <w:r>
        <w:rPr>
          <w:b/>
        </w:rPr>
        <w:t xml:space="preserve">dle </w:t>
      </w:r>
      <w:r w:rsidR="000537A2">
        <w:rPr>
          <w:b/>
        </w:rPr>
        <w:t xml:space="preserve">zřizovatele </w:t>
      </w:r>
      <w:r w:rsidR="005D10AB">
        <w:rPr>
          <w:b/>
        </w:rPr>
        <w:t xml:space="preserve">ve školním roce </w:t>
      </w:r>
      <w:r w:rsidR="000537A2">
        <w:rPr>
          <w:b/>
        </w:rPr>
        <w:t>202</w:t>
      </w:r>
      <w:r w:rsidR="009F3AC3">
        <w:rPr>
          <w:b/>
        </w:rPr>
        <w:t>5</w:t>
      </w:r>
      <w:r w:rsidR="000537A2">
        <w:rPr>
          <w:b/>
        </w:rPr>
        <w:t>/2</w:t>
      </w:r>
      <w:r w:rsidR="009F3AC3">
        <w:rPr>
          <w:b/>
        </w:rPr>
        <w:t>6</w:t>
      </w:r>
    </w:p>
    <w:p w14:paraId="4DD61B0A" w14:textId="28D758D1" w:rsidR="00FA7769" w:rsidRPr="003C29D4" w:rsidRDefault="00D73DBD" w:rsidP="00ED1581">
      <w:pPr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68771B1C" wp14:editId="7C241694">
            <wp:extent cx="6120130" cy="3295650"/>
            <wp:effectExtent l="0" t="0" r="0" b="0"/>
            <wp:docPr id="428220328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6BFB297" w14:textId="0F833483" w:rsidR="00ED1581" w:rsidRDefault="00ED1581" w:rsidP="00ED1581">
      <w:pPr>
        <w:spacing w:before="120" w:after="120"/>
        <w:jc w:val="both"/>
        <w:rPr>
          <w:rFonts w:cs="Arial"/>
          <w:szCs w:val="20"/>
        </w:rPr>
      </w:pPr>
      <w:r w:rsidRPr="004A5668">
        <w:rPr>
          <w:rFonts w:cs="Arial"/>
          <w:szCs w:val="20"/>
        </w:rPr>
        <w:lastRenderedPageBreak/>
        <w:t>Ten samý graf také ukazuje, že ve středních školách veře</w:t>
      </w:r>
      <w:r>
        <w:rPr>
          <w:rFonts w:cs="Arial"/>
          <w:szCs w:val="20"/>
        </w:rPr>
        <w:t xml:space="preserve">jného zřizovatele byl </w:t>
      </w:r>
      <w:r w:rsidRPr="004A5668">
        <w:rPr>
          <w:rFonts w:cs="Arial"/>
          <w:szCs w:val="20"/>
        </w:rPr>
        <w:t>nižší podíl žá</w:t>
      </w:r>
      <w:r>
        <w:rPr>
          <w:rFonts w:cs="Arial"/>
          <w:szCs w:val="20"/>
        </w:rPr>
        <w:t>ků cizí státní příslušnosti (4,6</w:t>
      </w:r>
      <w:r w:rsidRPr="004A5668">
        <w:rPr>
          <w:rFonts w:cs="Arial"/>
          <w:szCs w:val="20"/>
        </w:rPr>
        <w:t> %) než ve středních ško</w:t>
      </w:r>
      <w:r>
        <w:rPr>
          <w:rFonts w:cs="Arial"/>
          <w:szCs w:val="20"/>
        </w:rPr>
        <w:t>lách zřizovatele soukromého (6,3</w:t>
      </w:r>
      <w:r w:rsidRPr="004A5668">
        <w:rPr>
          <w:rFonts w:cs="Arial"/>
          <w:szCs w:val="20"/>
        </w:rPr>
        <w:t> %). Ještě nižší podíl žáků cizí státní příslušnosti však zaznamenaly ško</w:t>
      </w:r>
      <w:r>
        <w:rPr>
          <w:rFonts w:cs="Arial"/>
          <w:szCs w:val="20"/>
        </w:rPr>
        <w:t>ly s církevním zřizovatelem (3,0</w:t>
      </w:r>
      <w:r w:rsidRPr="004A5668">
        <w:rPr>
          <w:rFonts w:cs="Arial"/>
          <w:szCs w:val="20"/>
        </w:rPr>
        <w:t xml:space="preserve"> %). </w:t>
      </w:r>
    </w:p>
    <w:p w14:paraId="29D83E47" w14:textId="4F6F2A89" w:rsidR="00541A82" w:rsidRDefault="00541A82" w:rsidP="00541A82">
      <w:pPr>
        <w:spacing w:after="120"/>
        <w:jc w:val="both"/>
        <w:rPr>
          <w:rFonts w:cs="Arial"/>
          <w:szCs w:val="20"/>
        </w:rPr>
      </w:pPr>
      <w:r w:rsidRPr="00373C99">
        <w:rPr>
          <w:rFonts w:cs="Arial"/>
          <w:szCs w:val="20"/>
        </w:rPr>
        <w:t xml:space="preserve">Země původu cizinců vzdělávajících se na </w:t>
      </w:r>
      <w:r w:rsidR="0060614A" w:rsidRPr="00373C99">
        <w:rPr>
          <w:rFonts w:cs="Arial"/>
          <w:szCs w:val="20"/>
        </w:rPr>
        <w:t>středn</w:t>
      </w:r>
      <w:r w:rsidRPr="00373C99">
        <w:rPr>
          <w:rFonts w:cs="Arial"/>
          <w:szCs w:val="20"/>
        </w:rPr>
        <w:t>ích š</w:t>
      </w:r>
      <w:r w:rsidR="007D4E09" w:rsidRPr="00373C99">
        <w:rPr>
          <w:rFonts w:cs="Arial"/>
          <w:szCs w:val="20"/>
        </w:rPr>
        <w:t>kolách v ČR ve š</w:t>
      </w:r>
      <w:r w:rsidR="006829A2" w:rsidRPr="00373C99">
        <w:rPr>
          <w:rFonts w:cs="Arial"/>
          <w:szCs w:val="20"/>
        </w:rPr>
        <w:t>kolním roce 202</w:t>
      </w:r>
      <w:r w:rsidR="003B777C">
        <w:rPr>
          <w:rFonts w:cs="Arial"/>
          <w:szCs w:val="20"/>
        </w:rPr>
        <w:t>5</w:t>
      </w:r>
      <w:r w:rsidR="006829A2" w:rsidRPr="00373C99">
        <w:rPr>
          <w:rFonts w:cs="Arial"/>
          <w:szCs w:val="20"/>
        </w:rPr>
        <w:t>/2</w:t>
      </w:r>
      <w:r w:rsidR="003B777C">
        <w:rPr>
          <w:rFonts w:cs="Arial"/>
          <w:szCs w:val="20"/>
        </w:rPr>
        <w:t>6</w:t>
      </w:r>
      <w:r w:rsidR="00373C99" w:rsidRPr="00373C99">
        <w:rPr>
          <w:rFonts w:cs="Arial"/>
          <w:szCs w:val="20"/>
        </w:rPr>
        <w:t xml:space="preserve"> lze rozdělit na státy EU (1</w:t>
      </w:r>
      <w:r w:rsidR="003B777C">
        <w:rPr>
          <w:rFonts w:cs="Arial"/>
          <w:szCs w:val="20"/>
        </w:rPr>
        <w:t>6</w:t>
      </w:r>
      <w:r w:rsidR="00373C99" w:rsidRPr="00373C99">
        <w:rPr>
          <w:rFonts w:cs="Arial"/>
          <w:szCs w:val="20"/>
        </w:rPr>
        <w:t>,2</w:t>
      </w:r>
      <w:r w:rsidRPr="00373C99">
        <w:rPr>
          <w:rFonts w:cs="Arial"/>
          <w:szCs w:val="20"/>
        </w:rPr>
        <w:t> % cizi</w:t>
      </w:r>
      <w:r w:rsidR="00373C99" w:rsidRPr="00373C99">
        <w:rPr>
          <w:rFonts w:cs="Arial"/>
          <w:szCs w:val="20"/>
        </w:rPr>
        <w:t>nců), ostatní</w:t>
      </w:r>
      <w:r w:rsidR="00373C99">
        <w:rPr>
          <w:rFonts w:cs="Arial"/>
          <w:szCs w:val="20"/>
        </w:rPr>
        <w:t xml:space="preserve"> evropské státy (6</w:t>
      </w:r>
      <w:r w:rsidR="003B777C">
        <w:rPr>
          <w:rFonts w:cs="Arial"/>
          <w:szCs w:val="20"/>
        </w:rPr>
        <w:t>8</w:t>
      </w:r>
      <w:r w:rsidR="00373C99">
        <w:rPr>
          <w:rFonts w:cs="Arial"/>
          <w:szCs w:val="20"/>
        </w:rPr>
        <w:t>,4</w:t>
      </w:r>
      <w:r>
        <w:rPr>
          <w:rFonts w:cs="Arial"/>
          <w:szCs w:val="20"/>
        </w:rPr>
        <w:t> % cizinců) a ostatní státy světa</w:t>
      </w:r>
      <w:r w:rsidR="00373C99">
        <w:rPr>
          <w:rFonts w:cs="Arial"/>
          <w:szCs w:val="20"/>
        </w:rPr>
        <w:t>, příp. nezjištěná občanství (1</w:t>
      </w:r>
      <w:r w:rsidR="003B777C">
        <w:rPr>
          <w:rFonts w:cs="Arial"/>
          <w:szCs w:val="20"/>
        </w:rPr>
        <w:t>5</w:t>
      </w:r>
      <w:r w:rsidR="00373C99">
        <w:rPr>
          <w:rFonts w:cs="Arial"/>
          <w:szCs w:val="20"/>
        </w:rPr>
        <w:t>,4</w:t>
      </w:r>
      <w:r>
        <w:rPr>
          <w:rFonts w:cs="Arial"/>
          <w:szCs w:val="20"/>
        </w:rPr>
        <w:t xml:space="preserve"> %). Každé z této skupiny přitom dominuje jeden stát. </w:t>
      </w:r>
      <w:r w:rsidRPr="006F049A">
        <w:rPr>
          <w:rFonts w:cs="Arial"/>
          <w:b/>
          <w:szCs w:val="20"/>
        </w:rPr>
        <w:t>Ze států EU</w:t>
      </w:r>
      <w:r w:rsidR="00373C99">
        <w:rPr>
          <w:rFonts w:cs="Arial"/>
          <w:szCs w:val="20"/>
        </w:rPr>
        <w:t xml:space="preserve"> je to Slovensko, 69,</w:t>
      </w:r>
      <w:r w:rsidR="003B777C">
        <w:rPr>
          <w:rFonts w:cs="Arial"/>
          <w:szCs w:val="20"/>
        </w:rPr>
        <w:t>0</w:t>
      </w:r>
      <w:r>
        <w:rPr>
          <w:rFonts w:cs="Arial"/>
          <w:szCs w:val="20"/>
        </w:rPr>
        <w:t xml:space="preserve"> % žáků cizinců původem z EU tvořili právě Slováci. </w:t>
      </w:r>
      <w:r w:rsidRPr="006F049A">
        <w:rPr>
          <w:rFonts w:cs="Arial"/>
          <w:b/>
          <w:szCs w:val="20"/>
        </w:rPr>
        <w:t>Ze států Evropy, které nejsou v EU</w:t>
      </w:r>
      <w:r w:rsidR="007F236A">
        <w:rPr>
          <w:rFonts w:cs="Arial"/>
          <w:szCs w:val="20"/>
        </w:rPr>
        <w:t xml:space="preserve">, silně převažuje </w:t>
      </w:r>
      <w:r w:rsidR="00D604CE">
        <w:rPr>
          <w:rFonts w:cs="Arial"/>
          <w:szCs w:val="20"/>
        </w:rPr>
        <w:t>Ukrajina,</w:t>
      </w:r>
      <w:r w:rsidR="00373C99">
        <w:rPr>
          <w:rFonts w:cs="Arial"/>
          <w:szCs w:val="20"/>
        </w:rPr>
        <w:t xml:space="preserve"> 9</w:t>
      </w:r>
      <w:r w:rsidR="003B777C">
        <w:rPr>
          <w:rFonts w:cs="Arial"/>
          <w:szCs w:val="20"/>
        </w:rPr>
        <w:t>2</w:t>
      </w:r>
      <w:r w:rsidR="00373C99">
        <w:rPr>
          <w:rFonts w:cs="Arial"/>
          <w:szCs w:val="20"/>
        </w:rPr>
        <w:t>,</w:t>
      </w:r>
      <w:r w:rsidR="003B777C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 % žáků cizinců původem z Evropy mimo EU tvořili Ukrajinci. </w:t>
      </w:r>
      <w:r>
        <w:rPr>
          <w:rFonts w:cs="Arial"/>
          <w:b/>
          <w:szCs w:val="20"/>
        </w:rPr>
        <w:t>Ze států</w:t>
      </w:r>
      <w:r w:rsidRPr="006F049A">
        <w:rPr>
          <w:rFonts w:cs="Arial"/>
          <w:b/>
          <w:szCs w:val="20"/>
        </w:rPr>
        <w:t xml:space="preserve"> mimo Evropu</w:t>
      </w:r>
      <w:r>
        <w:rPr>
          <w:rFonts w:cs="Arial"/>
          <w:szCs w:val="20"/>
        </w:rPr>
        <w:t xml:space="preserve"> je zase </w:t>
      </w:r>
      <w:r w:rsidR="00D604CE">
        <w:rPr>
          <w:rFonts w:cs="Arial"/>
          <w:szCs w:val="20"/>
        </w:rPr>
        <w:t>nejčetněji zastoupený Vietnam,</w:t>
      </w:r>
      <w:r>
        <w:rPr>
          <w:rFonts w:cs="Arial"/>
          <w:szCs w:val="20"/>
        </w:rPr>
        <w:t xml:space="preserve"> </w:t>
      </w:r>
      <w:r w:rsidR="00D604CE">
        <w:rPr>
          <w:rFonts w:cs="Arial"/>
          <w:szCs w:val="20"/>
        </w:rPr>
        <w:t>dvě třetiny žáků</w:t>
      </w:r>
      <w:r>
        <w:rPr>
          <w:rFonts w:cs="Arial"/>
          <w:szCs w:val="20"/>
        </w:rPr>
        <w:t xml:space="preserve"> z mimoevrop</w:t>
      </w:r>
      <w:r w:rsidR="00373C99">
        <w:rPr>
          <w:rFonts w:cs="Arial"/>
          <w:szCs w:val="20"/>
        </w:rPr>
        <w:t>ských zemí tvořili Vietnamci (67,</w:t>
      </w:r>
      <w:r w:rsidR="003B777C">
        <w:rPr>
          <w:rFonts w:cs="Arial"/>
          <w:szCs w:val="20"/>
        </w:rPr>
        <w:t>0</w:t>
      </w:r>
      <w:r>
        <w:rPr>
          <w:rFonts w:cs="Arial"/>
          <w:szCs w:val="20"/>
        </w:rPr>
        <w:t> %).</w:t>
      </w:r>
    </w:p>
    <w:p w14:paraId="67D9F5FE" w14:textId="11F3858A" w:rsidR="00541A82" w:rsidRDefault="00124443" w:rsidP="00541A82">
      <w:pPr>
        <w:spacing w:after="120"/>
        <w:jc w:val="both"/>
        <w:rPr>
          <w:rFonts w:cs="Arial"/>
          <w:szCs w:val="20"/>
        </w:rPr>
      </w:pPr>
      <w:r w:rsidRPr="006105DB">
        <w:rPr>
          <w:rFonts w:cs="Arial"/>
          <w:szCs w:val="20"/>
        </w:rPr>
        <w:t xml:space="preserve">Graf </w:t>
      </w:r>
      <w:r w:rsidR="00D42BAE">
        <w:rPr>
          <w:rFonts w:cs="Arial"/>
          <w:szCs w:val="20"/>
        </w:rPr>
        <w:t xml:space="preserve">č. </w:t>
      </w:r>
      <w:r w:rsidRPr="006105DB">
        <w:rPr>
          <w:rFonts w:cs="Arial"/>
          <w:szCs w:val="20"/>
        </w:rPr>
        <w:t>3.15</w:t>
      </w:r>
      <w:r w:rsidR="00541A82" w:rsidRPr="006105DB">
        <w:rPr>
          <w:rFonts w:cs="Arial"/>
          <w:szCs w:val="20"/>
        </w:rPr>
        <w:t xml:space="preserve"> níže</w:t>
      </w:r>
      <w:r w:rsidR="00541A82" w:rsidRPr="008D178B">
        <w:rPr>
          <w:rFonts w:cs="Arial"/>
          <w:szCs w:val="20"/>
        </w:rPr>
        <w:t xml:space="preserve"> ukazuje toto rozložení celkem a také v dělení na jednotlivé kraje.</w:t>
      </w:r>
      <w:r w:rsidR="00541A82">
        <w:rPr>
          <w:rFonts w:cs="Arial"/>
          <w:szCs w:val="20"/>
        </w:rPr>
        <w:t xml:space="preserve"> Ty jsou řazené dle podílu, j</w:t>
      </w:r>
      <w:r w:rsidR="00373C99">
        <w:rPr>
          <w:rFonts w:cs="Arial"/>
          <w:szCs w:val="20"/>
        </w:rPr>
        <w:t>aký tvořili ve školním roce 202</w:t>
      </w:r>
      <w:r w:rsidR="003A3463">
        <w:rPr>
          <w:rFonts w:cs="Arial"/>
          <w:szCs w:val="20"/>
        </w:rPr>
        <w:t>5</w:t>
      </w:r>
      <w:r w:rsidR="00373C99">
        <w:rPr>
          <w:rFonts w:cs="Arial"/>
          <w:szCs w:val="20"/>
        </w:rPr>
        <w:t>/2</w:t>
      </w:r>
      <w:r w:rsidR="003A3463">
        <w:rPr>
          <w:rFonts w:cs="Arial"/>
          <w:szCs w:val="20"/>
        </w:rPr>
        <w:t>6</w:t>
      </w:r>
      <w:r w:rsidR="00541A82">
        <w:rPr>
          <w:rFonts w:cs="Arial"/>
          <w:szCs w:val="20"/>
        </w:rPr>
        <w:t xml:space="preserve"> cizinci původem ze Slovenska, Ukrajiny či Vietnamu ze všech cizinců vzdělávajících se na </w:t>
      </w:r>
      <w:r w:rsidR="0060614A">
        <w:rPr>
          <w:rFonts w:cs="Arial"/>
          <w:szCs w:val="20"/>
        </w:rPr>
        <w:t>stře</w:t>
      </w:r>
      <w:r w:rsidR="009D558D">
        <w:rPr>
          <w:rFonts w:cs="Arial"/>
          <w:szCs w:val="20"/>
        </w:rPr>
        <w:t>dních školách v Česku</w:t>
      </w:r>
      <w:r w:rsidR="00541A82" w:rsidRPr="001D3DF1">
        <w:rPr>
          <w:rFonts w:cs="Arial"/>
          <w:szCs w:val="20"/>
        </w:rPr>
        <w:t xml:space="preserve">. Tato </w:t>
      </w:r>
      <w:r w:rsidR="00541A82" w:rsidRPr="001D3DF1">
        <w:rPr>
          <w:rFonts w:cs="Arial"/>
          <w:b/>
          <w:szCs w:val="20"/>
        </w:rPr>
        <w:t>tři občanství</w:t>
      </w:r>
      <w:r w:rsidR="00541A82" w:rsidRPr="001D3DF1">
        <w:rPr>
          <w:rFonts w:cs="Arial"/>
          <w:szCs w:val="20"/>
        </w:rPr>
        <w:t xml:space="preserve"> </w:t>
      </w:r>
      <w:r w:rsidR="00541A82">
        <w:rPr>
          <w:rFonts w:cs="Arial"/>
          <w:szCs w:val="20"/>
        </w:rPr>
        <w:t>mělo v České republice celk</w:t>
      </w:r>
      <w:r w:rsidR="006105DB">
        <w:rPr>
          <w:rFonts w:cs="Arial"/>
          <w:szCs w:val="20"/>
        </w:rPr>
        <w:t xml:space="preserve">em </w:t>
      </w:r>
      <w:r w:rsidR="00373C99" w:rsidRPr="00373C99">
        <w:rPr>
          <w:rFonts w:cs="Arial"/>
          <w:szCs w:val="20"/>
        </w:rPr>
        <w:t>8</w:t>
      </w:r>
      <w:r w:rsidR="003A3463">
        <w:rPr>
          <w:rFonts w:cs="Arial"/>
          <w:szCs w:val="20"/>
        </w:rPr>
        <w:t>4</w:t>
      </w:r>
      <w:r w:rsidR="006105DB" w:rsidRPr="00373C99">
        <w:rPr>
          <w:rFonts w:cs="Arial"/>
          <w:szCs w:val="20"/>
        </w:rPr>
        <w:t>,</w:t>
      </w:r>
      <w:r w:rsidR="003A3463">
        <w:rPr>
          <w:rFonts w:cs="Arial"/>
          <w:szCs w:val="20"/>
        </w:rPr>
        <w:t>6</w:t>
      </w:r>
      <w:r w:rsidR="00541A82" w:rsidRPr="00373C99">
        <w:rPr>
          <w:rFonts w:cs="Arial"/>
          <w:szCs w:val="20"/>
        </w:rPr>
        <w:t> % ze žáků středních škol cizí státní příslušnosti</w:t>
      </w:r>
      <w:r w:rsidR="006105DB" w:rsidRPr="00373C99">
        <w:rPr>
          <w:rFonts w:cs="Arial"/>
          <w:szCs w:val="20"/>
        </w:rPr>
        <w:t xml:space="preserve"> (ještě v září 2021, tj. před propuknutím války na Ukrajině, to bylo 69,1 </w:t>
      </w:r>
      <w:r w:rsidR="006105DB" w:rsidRPr="00CE4D8B">
        <w:rPr>
          <w:rFonts w:cs="Arial"/>
          <w:szCs w:val="20"/>
        </w:rPr>
        <w:t>%)</w:t>
      </w:r>
      <w:r w:rsidR="00541A82" w:rsidRPr="00CE4D8B">
        <w:rPr>
          <w:rFonts w:cs="Arial"/>
          <w:szCs w:val="20"/>
        </w:rPr>
        <w:t>.</w:t>
      </w:r>
      <w:r w:rsidR="006105DB" w:rsidRPr="00CE4D8B">
        <w:rPr>
          <w:rFonts w:cs="Arial"/>
          <w:szCs w:val="20"/>
        </w:rPr>
        <w:t xml:space="preserve"> Přitom v</w:t>
      </w:r>
      <w:r w:rsidR="00373C99" w:rsidRPr="00CE4D8B">
        <w:rPr>
          <w:rFonts w:cs="Arial"/>
          <w:szCs w:val="20"/>
        </w:rPr>
        <w:t>e</w:t>
      </w:r>
      <w:r w:rsidR="006105DB" w:rsidRPr="00CE4D8B">
        <w:rPr>
          <w:rFonts w:cs="Arial"/>
          <w:szCs w:val="20"/>
        </w:rPr>
        <w:t> </w:t>
      </w:r>
      <w:r w:rsidR="00373C99" w:rsidRPr="00CE4D8B">
        <w:rPr>
          <w:rFonts w:cs="Arial"/>
          <w:szCs w:val="20"/>
        </w:rPr>
        <w:t>Zlíns</w:t>
      </w:r>
      <w:r w:rsidR="006105DB" w:rsidRPr="00CE4D8B">
        <w:rPr>
          <w:rFonts w:cs="Arial"/>
          <w:szCs w:val="20"/>
        </w:rPr>
        <w:t>kém</w:t>
      </w:r>
      <w:r w:rsidR="00541A82" w:rsidRPr="00CE4D8B">
        <w:rPr>
          <w:rFonts w:cs="Arial"/>
          <w:szCs w:val="20"/>
        </w:rPr>
        <w:t xml:space="preserve"> kraji tvořili žáci těchto tří občanství </w:t>
      </w:r>
      <w:r w:rsidR="00373C99" w:rsidRPr="00CE4D8B">
        <w:rPr>
          <w:rFonts w:cs="Arial"/>
          <w:szCs w:val="20"/>
        </w:rPr>
        <w:t>9</w:t>
      </w:r>
      <w:r w:rsidR="00CE4D8B" w:rsidRPr="00CE4D8B">
        <w:rPr>
          <w:rFonts w:cs="Arial"/>
          <w:szCs w:val="20"/>
        </w:rPr>
        <w:t>2</w:t>
      </w:r>
      <w:r w:rsidR="00373C99" w:rsidRPr="00CE4D8B">
        <w:rPr>
          <w:rFonts w:cs="Arial"/>
          <w:szCs w:val="20"/>
        </w:rPr>
        <w:t>,</w:t>
      </w:r>
      <w:r w:rsidR="00CE4D8B" w:rsidRPr="00CE4D8B">
        <w:rPr>
          <w:rFonts w:cs="Arial"/>
          <w:szCs w:val="20"/>
        </w:rPr>
        <w:t>4</w:t>
      </w:r>
      <w:r w:rsidR="00541A82" w:rsidRPr="00CE4D8B">
        <w:rPr>
          <w:rFonts w:cs="Arial"/>
          <w:szCs w:val="20"/>
        </w:rPr>
        <w:t> %</w:t>
      </w:r>
      <w:r w:rsidR="00BE0228" w:rsidRPr="00CE4D8B">
        <w:rPr>
          <w:rFonts w:cs="Arial"/>
          <w:szCs w:val="20"/>
        </w:rPr>
        <w:t xml:space="preserve"> </w:t>
      </w:r>
      <w:r w:rsidR="00373C99" w:rsidRPr="00CE4D8B">
        <w:rPr>
          <w:rFonts w:cs="Arial"/>
          <w:szCs w:val="20"/>
        </w:rPr>
        <w:t xml:space="preserve">všech cizinců ve středních školách </w:t>
      </w:r>
      <w:r w:rsidR="00BE0228" w:rsidRPr="00CE4D8B">
        <w:rPr>
          <w:rFonts w:cs="Arial"/>
          <w:szCs w:val="20"/>
        </w:rPr>
        <w:t xml:space="preserve">a </w:t>
      </w:r>
      <w:r w:rsidR="00CE4D8B" w:rsidRPr="00CE4D8B">
        <w:rPr>
          <w:rFonts w:cs="Arial"/>
          <w:szCs w:val="20"/>
        </w:rPr>
        <w:t>90% podíl přesáhly</w:t>
      </w:r>
      <w:r w:rsidR="00BE0228" w:rsidRPr="00CE4D8B">
        <w:rPr>
          <w:rFonts w:cs="Arial"/>
          <w:szCs w:val="20"/>
        </w:rPr>
        <w:t xml:space="preserve"> </w:t>
      </w:r>
      <w:r w:rsidR="00CE4D8B" w:rsidRPr="00CE4D8B">
        <w:rPr>
          <w:rFonts w:cs="Arial"/>
          <w:szCs w:val="20"/>
        </w:rPr>
        <w:t>také</w:t>
      </w:r>
      <w:r w:rsidR="00BE0228" w:rsidRPr="00CE4D8B">
        <w:rPr>
          <w:rFonts w:cs="Arial"/>
          <w:szCs w:val="20"/>
        </w:rPr>
        <w:t xml:space="preserve"> kraj</w:t>
      </w:r>
      <w:r w:rsidR="00CE4D8B" w:rsidRPr="00CE4D8B">
        <w:rPr>
          <w:rFonts w:cs="Arial"/>
          <w:szCs w:val="20"/>
        </w:rPr>
        <w:t>e</w:t>
      </w:r>
      <w:r w:rsidR="00BE0228" w:rsidRPr="00CE4D8B">
        <w:rPr>
          <w:rFonts w:cs="Arial"/>
          <w:szCs w:val="20"/>
        </w:rPr>
        <w:t xml:space="preserve"> </w:t>
      </w:r>
      <w:r w:rsidR="00373C99" w:rsidRPr="00CE4D8B">
        <w:rPr>
          <w:rFonts w:cs="Arial"/>
          <w:szCs w:val="20"/>
        </w:rPr>
        <w:t>Olomoucký (90,</w:t>
      </w:r>
      <w:r w:rsidR="00CE4D8B" w:rsidRPr="00CE4D8B">
        <w:rPr>
          <w:rFonts w:cs="Arial"/>
          <w:szCs w:val="20"/>
        </w:rPr>
        <w:t>9</w:t>
      </w:r>
      <w:r w:rsidR="00BE0228" w:rsidRPr="00CE4D8B">
        <w:rPr>
          <w:rFonts w:cs="Arial"/>
          <w:szCs w:val="20"/>
        </w:rPr>
        <w:t> %)</w:t>
      </w:r>
      <w:r w:rsidR="00373C99" w:rsidRPr="00CE4D8B">
        <w:rPr>
          <w:rFonts w:cs="Arial"/>
          <w:szCs w:val="20"/>
        </w:rPr>
        <w:t>, Královéhradecký (</w:t>
      </w:r>
      <w:r w:rsidR="00CE4D8B" w:rsidRPr="00CE4D8B">
        <w:rPr>
          <w:rFonts w:cs="Arial"/>
          <w:szCs w:val="20"/>
        </w:rPr>
        <w:t>90,7</w:t>
      </w:r>
      <w:r w:rsidR="00373C99" w:rsidRPr="00CE4D8B">
        <w:rPr>
          <w:rFonts w:cs="Arial"/>
          <w:szCs w:val="20"/>
        </w:rPr>
        <w:t> %) a Pardubický (</w:t>
      </w:r>
      <w:r w:rsidR="00CE4D8B" w:rsidRPr="00CE4D8B">
        <w:rPr>
          <w:rFonts w:cs="Arial"/>
          <w:szCs w:val="20"/>
        </w:rPr>
        <w:t>90</w:t>
      </w:r>
      <w:r w:rsidR="00373C99" w:rsidRPr="00CE4D8B">
        <w:rPr>
          <w:rFonts w:cs="Arial"/>
          <w:szCs w:val="20"/>
        </w:rPr>
        <w:t>,3 %)</w:t>
      </w:r>
      <w:r w:rsidR="00541A82" w:rsidRPr="00CE4D8B">
        <w:rPr>
          <w:rFonts w:cs="Arial"/>
          <w:szCs w:val="20"/>
        </w:rPr>
        <w:t xml:space="preserve">. Naopak </w:t>
      </w:r>
      <w:r w:rsidR="00BE0228" w:rsidRPr="00CE4D8B">
        <w:rPr>
          <w:rFonts w:cs="Arial"/>
          <w:szCs w:val="20"/>
        </w:rPr>
        <w:t xml:space="preserve">jednoznačně nejnižší </w:t>
      </w:r>
      <w:r w:rsidR="00541A82" w:rsidRPr="00CE4D8B">
        <w:rPr>
          <w:rFonts w:cs="Arial"/>
          <w:szCs w:val="20"/>
        </w:rPr>
        <w:t>podíl</w:t>
      </w:r>
      <w:r w:rsidR="00CE4D8B" w:rsidRPr="00CE4D8B">
        <w:rPr>
          <w:rFonts w:cs="Arial"/>
          <w:szCs w:val="20"/>
        </w:rPr>
        <w:t xml:space="preserve"> </w:t>
      </w:r>
      <w:r w:rsidR="00DE53C0" w:rsidRPr="00CE4D8B">
        <w:rPr>
          <w:rFonts w:cs="Arial"/>
          <w:szCs w:val="20"/>
        </w:rPr>
        <w:t>byl zaznamenán</w:t>
      </w:r>
      <w:r w:rsidR="00DE53C0">
        <w:rPr>
          <w:rFonts w:cs="Arial"/>
          <w:szCs w:val="20"/>
        </w:rPr>
        <w:t xml:space="preserve"> mezi žáky</w:t>
      </w:r>
      <w:r w:rsidR="00BE0228">
        <w:rPr>
          <w:rFonts w:cs="Arial"/>
          <w:szCs w:val="20"/>
        </w:rPr>
        <w:t xml:space="preserve"> vzdělávající</w:t>
      </w:r>
      <w:r w:rsidR="00DE53C0">
        <w:rPr>
          <w:rFonts w:cs="Arial"/>
          <w:szCs w:val="20"/>
        </w:rPr>
        <w:t>mi</w:t>
      </w:r>
      <w:r w:rsidR="00BE0228">
        <w:rPr>
          <w:rFonts w:cs="Arial"/>
          <w:szCs w:val="20"/>
        </w:rPr>
        <w:t xml:space="preserve"> se v Praze</w:t>
      </w:r>
      <w:r w:rsidR="00541A82">
        <w:rPr>
          <w:rFonts w:cs="Arial"/>
          <w:szCs w:val="20"/>
        </w:rPr>
        <w:t xml:space="preserve"> (</w:t>
      </w:r>
      <w:r w:rsidR="00373C99">
        <w:rPr>
          <w:rFonts w:cs="Arial"/>
          <w:szCs w:val="20"/>
        </w:rPr>
        <w:t>7</w:t>
      </w:r>
      <w:r w:rsidR="00CE4D8B">
        <w:rPr>
          <w:rFonts w:cs="Arial"/>
          <w:szCs w:val="20"/>
        </w:rPr>
        <w:t>6</w:t>
      </w:r>
      <w:r w:rsidR="00373C99">
        <w:rPr>
          <w:rFonts w:cs="Arial"/>
          <w:szCs w:val="20"/>
        </w:rPr>
        <w:t>,</w:t>
      </w:r>
      <w:r w:rsidR="00CE4D8B">
        <w:rPr>
          <w:rFonts w:cs="Arial"/>
          <w:szCs w:val="20"/>
        </w:rPr>
        <w:t>3</w:t>
      </w:r>
      <w:r w:rsidR="00BE0228">
        <w:rPr>
          <w:rFonts w:cs="Arial"/>
          <w:szCs w:val="20"/>
        </w:rPr>
        <w:t> %)</w:t>
      </w:r>
      <w:r w:rsidR="00012F22">
        <w:rPr>
          <w:rFonts w:cs="Arial"/>
          <w:szCs w:val="20"/>
        </w:rPr>
        <w:t>.</w:t>
      </w:r>
      <w:r w:rsidR="00CE4D8B">
        <w:rPr>
          <w:rFonts w:cs="Arial"/>
          <w:szCs w:val="20"/>
        </w:rPr>
        <w:t xml:space="preserve"> </w:t>
      </w:r>
      <w:r w:rsidR="00012F22">
        <w:rPr>
          <w:rFonts w:cs="Arial"/>
          <w:szCs w:val="20"/>
        </w:rPr>
        <w:t>N</w:t>
      </w:r>
      <w:r w:rsidR="00CE4D8B">
        <w:rPr>
          <w:rFonts w:cs="Arial"/>
          <w:szCs w:val="20"/>
        </w:rPr>
        <w:t>ižšího podílu, než je celorepublikový průměr, dosáhly také kraje Karlovarský (83 %) a Liberecký (83,4 %)</w:t>
      </w:r>
      <w:r w:rsidR="00541A82">
        <w:rPr>
          <w:rFonts w:cs="Arial"/>
          <w:szCs w:val="20"/>
        </w:rPr>
        <w:t>.</w:t>
      </w:r>
    </w:p>
    <w:p w14:paraId="4E7EB8F8" w14:textId="52BBC33F" w:rsidR="00541A82" w:rsidRDefault="000537A2" w:rsidP="00541A82">
      <w:pPr>
        <w:keepNext/>
        <w:spacing w:after="120"/>
        <w:jc w:val="both"/>
        <w:rPr>
          <w:rFonts w:cs="Arial"/>
          <w:b/>
          <w:spacing w:val="-6"/>
          <w:szCs w:val="20"/>
        </w:rPr>
      </w:pPr>
      <w:r w:rsidRPr="000537A2">
        <w:rPr>
          <w:b/>
        </w:rPr>
        <w:t>Graf 3.15 Střední školy – rozložení žáků</w:t>
      </w:r>
      <w:r w:rsidR="002C291A">
        <w:rPr>
          <w:b/>
        </w:rPr>
        <w:t>–</w:t>
      </w:r>
      <w:r w:rsidRPr="000537A2">
        <w:rPr>
          <w:b/>
        </w:rPr>
        <w:t xml:space="preserve">cizinců dle země původu celkem a v dělení na kraje </w:t>
      </w:r>
      <w:r w:rsidR="0037435C">
        <w:rPr>
          <w:b/>
        </w:rPr>
        <w:t xml:space="preserve">ve školním roce </w:t>
      </w:r>
      <w:r w:rsidRPr="000537A2">
        <w:rPr>
          <w:b/>
        </w:rPr>
        <w:t>202</w:t>
      </w:r>
      <w:r w:rsidR="00A024A3">
        <w:rPr>
          <w:b/>
        </w:rPr>
        <w:t>5</w:t>
      </w:r>
      <w:r w:rsidRPr="000537A2">
        <w:rPr>
          <w:b/>
        </w:rPr>
        <w:t>/2</w:t>
      </w:r>
      <w:r w:rsidR="00A024A3">
        <w:rPr>
          <w:b/>
        </w:rPr>
        <w:t>6</w:t>
      </w:r>
    </w:p>
    <w:p w14:paraId="6E8AD8DC" w14:textId="0487E12D" w:rsidR="00FA7769" w:rsidRPr="00A32860" w:rsidRDefault="00A024A3" w:rsidP="00494032">
      <w:pPr>
        <w:keepNext/>
        <w:spacing w:after="120" w:line="240" w:lineRule="auto"/>
        <w:rPr>
          <w:i/>
        </w:rPr>
      </w:pPr>
      <w:r>
        <w:rPr>
          <w:noProof/>
        </w:rPr>
        <w:drawing>
          <wp:inline distT="0" distB="0" distL="0" distR="0" wp14:anchorId="6BD6351D" wp14:editId="2BDEBB12">
            <wp:extent cx="6047740" cy="4648200"/>
            <wp:effectExtent l="0" t="0" r="0" b="0"/>
            <wp:docPr id="737787120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1C0F873" w14:textId="140F06BC" w:rsidR="00ED1581" w:rsidRDefault="00F27B3D" w:rsidP="00A32860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Jak </w:t>
      </w:r>
      <w:r w:rsidR="00EC765E">
        <w:rPr>
          <w:rFonts w:cs="Arial"/>
          <w:szCs w:val="20"/>
        </w:rPr>
        <w:t>dále</w:t>
      </w:r>
      <w:r>
        <w:rPr>
          <w:rFonts w:cs="Arial"/>
          <w:szCs w:val="20"/>
        </w:rPr>
        <w:t xml:space="preserve"> z graf </w:t>
      </w:r>
      <w:r w:rsidR="00EC765E">
        <w:rPr>
          <w:rFonts w:cs="Arial"/>
          <w:szCs w:val="20"/>
        </w:rPr>
        <w:t xml:space="preserve">č. 3.15 </w:t>
      </w:r>
      <w:r>
        <w:rPr>
          <w:rFonts w:cs="Arial"/>
          <w:szCs w:val="20"/>
        </w:rPr>
        <w:t>znázorňuje, ž</w:t>
      </w:r>
      <w:r w:rsidR="00ED1581">
        <w:rPr>
          <w:rFonts w:cs="Arial"/>
          <w:szCs w:val="20"/>
        </w:rPr>
        <w:t>áci</w:t>
      </w:r>
      <w:r w:rsidR="00ED1581" w:rsidRPr="00817E0D">
        <w:rPr>
          <w:rFonts w:cs="Arial"/>
          <w:szCs w:val="20"/>
        </w:rPr>
        <w:t xml:space="preserve"> </w:t>
      </w:r>
      <w:r w:rsidR="00ED1581" w:rsidRPr="00817E0D">
        <w:rPr>
          <w:rFonts w:cs="Arial"/>
          <w:b/>
          <w:szCs w:val="20"/>
        </w:rPr>
        <w:t>slovenské státní příslušnosti</w:t>
      </w:r>
      <w:r w:rsidR="00ED1581" w:rsidRPr="00817E0D">
        <w:rPr>
          <w:rFonts w:cs="Arial"/>
          <w:szCs w:val="20"/>
        </w:rPr>
        <w:t xml:space="preserve"> tvořili mezi všemi žáky cizí státní příslušnosti jednoznačně nejvyšší podíl v kraji Zlínském (22,1 % oproti méně</w:t>
      </w:r>
      <w:r w:rsidR="00ED1581">
        <w:rPr>
          <w:rFonts w:cs="Arial"/>
          <w:szCs w:val="20"/>
        </w:rPr>
        <w:t xml:space="preserve"> než 15% podílu u ostatních krajů</w:t>
      </w:r>
      <w:r w:rsidR="00ED1581" w:rsidRPr="006C4690">
        <w:rPr>
          <w:rFonts w:cs="Arial"/>
          <w:szCs w:val="20"/>
        </w:rPr>
        <w:t>) a nejmenší</w:t>
      </w:r>
      <w:r w:rsidR="00ED1581">
        <w:rPr>
          <w:rFonts w:cs="Arial"/>
          <w:szCs w:val="20"/>
        </w:rPr>
        <w:t xml:space="preserve"> naopak v kraji Karlovarském (4,4 %) a Ústeckém (5,1 %). V </w:t>
      </w:r>
      <w:r w:rsidR="00ED1581" w:rsidRPr="00817E0D">
        <w:rPr>
          <w:rFonts w:cs="Arial"/>
          <w:szCs w:val="20"/>
        </w:rPr>
        <w:t>kraji Karlovarském zas mezi</w:t>
      </w:r>
      <w:r w:rsidR="00ED1581">
        <w:rPr>
          <w:rFonts w:cs="Arial"/>
          <w:szCs w:val="20"/>
        </w:rPr>
        <w:t xml:space="preserve"> cizinci tvořili oproti jiným krajům výraznější podíl </w:t>
      </w:r>
      <w:r w:rsidR="00ED1581" w:rsidRPr="00F81C62">
        <w:rPr>
          <w:rFonts w:cs="Arial"/>
          <w:b/>
          <w:szCs w:val="20"/>
        </w:rPr>
        <w:t>Vietnamci</w:t>
      </w:r>
      <w:r w:rsidR="00ED1581">
        <w:rPr>
          <w:rFonts w:cs="Arial"/>
          <w:szCs w:val="20"/>
        </w:rPr>
        <w:t xml:space="preserve">, následuje kraj Ústecký se 17,3 %. V ostatních krajích </w:t>
      </w:r>
      <w:r w:rsidR="00ED1581">
        <w:rPr>
          <w:rFonts w:cs="Arial"/>
          <w:szCs w:val="20"/>
        </w:rPr>
        <w:lastRenderedPageBreak/>
        <w:t xml:space="preserve">tvořili </w:t>
      </w:r>
      <w:r w:rsidR="00ED1581" w:rsidRPr="00817E0D">
        <w:rPr>
          <w:rFonts w:cs="Arial"/>
          <w:szCs w:val="20"/>
        </w:rPr>
        <w:t xml:space="preserve">Vietnamci méně než 15% podíl cizinců, nejmenší v kraji Pardubickém a Středočeském (shodně 5,5 %). Pokud se jedná o </w:t>
      </w:r>
      <w:r w:rsidR="00ED1581" w:rsidRPr="00817E0D">
        <w:rPr>
          <w:rFonts w:cs="Arial"/>
          <w:b/>
          <w:szCs w:val="20"/>
        </w:rPr>
        <w:t>Ukrajince</w:t>
      </w:r>
      <w:r w:rsidR="00ED1581" w:rsidRPr="00817E0D">
        <w:rPr>
          <w:rFonts w:cs="Arial"/>
          <w:szCs w:val="20"/>
        </w:rPr>
        <w:t>, po začlenění</w:t>
      </w:r>
      <w:r w:rsidR="00ED1581">
        <w:rPr>
          <w:rFonts w:cs="Arial"/>
          <w:szCs w:val="20"/>
        </w:rPr>
        <w:t xml:space="preserve"> mnohých dětí ukrajinských uprchlíků do českých středních škol tvořili nejvyšší podíl mezi žáky cizí státní </w:t>
      </w:r>
      <w:r w:rsidR="00ED1581" w:rsidRPr="00B45342">
        <w:rPr>
          <w:rFonts w:cs="Arial"/>
          <w:szCs w:val="20"/>
        </w:rPr>
        <w:t>příslušnost</w:t>
      </w:r>
      <w:r w:rsidR="00ED1581">
        <w:rPr>
          <w:rFonts w:cs="Arial"/>
          <w:szCs w:val="20"/>
        </w:rPr>
        <w:t>i v kraji Královéhradeckém (75,0</w:t>
      </w:r>
      <w:r w:rsidR="00ED1581" w:rsidRPr="00B45342">
        <w:rPr>
          <w:rFonts w:cs="Arial"/>
          <w:szCs w:val="20"/>
        </w:rPr>
        <w:t xml:space="preserve"> %) a nejmenší </w:t>
      </w:r>
      <w:r w:rsidR="00ED1581">
        <w:rPr>
          <w:rFonts w:cs="Arial"/>
          <w:szCs w:val="20"/>
        </w:rPr>
        <w:t>v kraji Karlovarském (49,8</w:t>
      </w:r>
      <w:r w:rsidR="00ED1581" w:rsidRPr="00B45342">
        <w:rPr>
          <w:rFonts w:cs="Arial"/>
          <w:szCs w:val="20"/>
        </w:rPr>
        <w:t xml:space="preserve"> %</w:t>
      </w:r>
      <w:r w:rsidR="00ED1581">
        <w:rPr>
          <w:rFonts w:cs="Arial"/>
          <w:szCs w:val="20"/>
        </w:rPr>
        <w:t xml:space="preserve"> – v ostatních krajích tvořil více než polovinu všech cizinců</w:t>
      </w:r>
      <w:r w:rsidR="00ED1581" w:rsidRPr="00B45342">
        <w:rPr>
          <w:rFonts w:cs="Arial"/>
          <w:szCs w:val="20"/>
        </w:rPr>
        <w:t>).</w:t>
      </w:r>
    </w:p>
    <w:p w14:paraId="5FAE56CC" w14:textId="1CAE3200" w:rsidR="00A32860" w:rsidRDefault="00A32860" w:rsidP="00A32860">
      <w:pPr>
        <w:spacing w:after="120"/>
        <w:jc w:val="both"/>
        <w:rPr>
          <w:rFonts w:cs="Arial"/>
          <w:szCs w:val="20"/>
        </w:rPr>
      </w:pPr>
      <w:r w:rsidRPr="00B75F2A">
        <w:rPr>
          <w:rFonts w:cs="Arial"/>
          <w:szCs w:val="20"/>
        </w:rPr>
        <w:t>Odhlédneme</w:t>
      </w:r>
      <w:r w:rsidR="0037435C">
        <w:rPr>
          <w:rFonts w:cs="Arial"/>
          <w:szCs w:val="20"/>
        </w:rPr>
        <w:t>-</w:t>
      </w:r>
      <w:r w:rsidRPr="00B75F2A">
        <w:rPr>
          <w:rFonts w:cs="Arial"/>
          <w:szCs w:val="20"/>
        </w:rPr>
        <w:t xml:space="preserve">li od relativních ukazatelů, pak byl ze všech krajů </w:t>
      </w:r>
      <w:r w:rsidRPr="00B75F2A">
        <w:rPr>
          <w:rFonts w:cs="Arial"/>
          <w:b/>
          <w:szCs w:val="20"/>
        </w:rPr>
        <w:t>nejvyšší počet</w:t>
      </w:r>
      <w:r w:rsidRPr="00B75F2A">
        <w:rPr>
          <w:rFonts w:cs="Arial"/>
          <w:szCs w:val="20"/>
        </w:rPr>
        <w:t xml:space="preserve"> Slováků, Vietnamců i Ukrajinců</w:t>
      </w:r>
      <w:r w:rsidR="0070384E" w:rsidRPr="00B75F2A">
        <w:rPr>
          <w:rFonts w:cs="Arial"/>
          <w:szCs w:val="20"/>
        </w:rPr>
        <w:t xml:space="preserve"> na středních školách</w:t>
      </w:r>
      <w:r w:rsidRPr="00B75F2A">
        <w:rPr>
          <w:rFonts w:cs="Arial"/>
          <w:szCs w:val="20"/>
        </w:rPr>
        <w:t xml:space="preserve"> </w:t>
      </w:r>
      <w:r w:rsidRPr="00B75F2A">
        <w:rPr>
          <w:rFonts w:cs="Arial"/>
          <w:b/>
          <w:szCs w:val="20"/>
        </w:rPr>
        <w:t xml:space="preserve">v Praze </w:t>
      </w:r>
      <w:r w:rsidR="00B75F2A" w:rsidRPr="00B75F2A">
        <w:rPr>
          <w:rFonts w:cs="Arial"/>
          <w:szCs w:val="20"/>
        </w:rPr>
        <w:t>(</w:t>
      </w:r>
      <w:r w:rsidR="001E0AA0">
        <w:rPr>
          <w:rFonts w:cs="Arial"/>
          <w:szCs w:val="20"/>
        </w:rPr>
        <w:t>865</w:t>
      </w:r>
      <w:r w:rsidRPr="00B75F2A">
        <w:rPr>
          <w:rFonts w:cs="Arial"/>
          <w:szCs w:val="20"/>
        </w:rPr>
        <w:t>,</w:t>
      </w:r>
      <w:r w:rsidR="0070384E">
        <w:rPr>
          <w:rFonts w:cs="Arial"/>
          <w:szCs w:val="20"/>
        </w:rPr>
        <w:t xml:space="preserve"> resp. </w:t>
      </w:r>
      <w:r w:rsidR="00B75F2A">
        <w:rPr>
          <w:rFonts w:cs="Arial"/>
          <w:szCs w:val="20"/>
        </w:rPr>
        <w:t>6</w:t>
      </w:r>
      <w:r w:rsidR="001E0AA0">
        <w:rPr>
          <w:rFonts w:cs="Arial"/>
          <w:szCs w:val="20"/>
        </w:rPr>
        <w:t>91</w:t>
      </w:r>
      <w:r w:rsidRPr="0070384E">
        <w:rPr>
          <w:rFonts w:cs="Arial"/>
          <w:szCs w:val="20"/>
        </w:rPr>
        <w:t xml:space="preserve">, resp. </w:t>
      </w:r>
      <w:r w:rsidR="00B75F2A">
        <w:rPr>
          <w:rFonts w:cs="Arial"/>
          <w:szCs w:val="20"/>
        </w:rPr>
        <w:t>3 </w:t>
      </w:r>
      <w:r w:rsidR="001E0AA0">
        <w:rPr>
          <w:rFonts w:cs="Arial"/>
          <w:szCs w:val="20"/>
        </w:rPr>
        <w:t>845</w:t>
      </w:r>
      <w:r w:rsidRPr="0070384E">
        <w:rPr>
          <w:rFonts w:cs="Arial"/>
          <w:szCs w:val="20"/>
        </w:rPr>
        <w:t xml:space="preserve"> žáků</w:t>
      </w:r>
      <w:r w:rsidRPr="00B75F2A">
        <w:rPr>
          <w:rFonts w:cs="Arial"/>
          <w:szCs w:val="20"/>
        </w:rPr>
        <w:t>). Ze všech středoškoláků slovenské</w:t>
      </w:r>
      <w:r>
        <w:rPr>
          <w:rFonts w:cs="Arial"/>
          <w:szCs w:val="20"/>
        </w:rPr>
        <w:t xml:space="preserve"> státní příslušnosti se jich na střední</w:t>
      </w:r>
      <w:r w:rsidR="00A10AA2">
        <w:rPr>
          <w:rFonts w:cs="Arial"/>
          <w:szCs w:val="20"/>
        </w:rPr>
        <w:t>ch školách v Praze vzdělávalo 3</w:t>
      </w:r>
      <w:r w:rsidR="001E0AA0">
        <w:rPr>
          <w:rFonts w:cs="Arial"/>
          <w:szCs w:val="20"/>
        </w:rPr>
        <w:t>1</w:t>
      </w:r>
      <w:r>
        <w:rPr>
          <w:rFonts w:cs="Arial"/>
          <w:szCs w:val="20"/>
        </w:rPr>
        <w:t>,</w:t>
      </w:r>
      <w:r w:rsidR="001E0AA0">
        <w:rPr>
          <w:rFonts w:cs="Arial"/>
          <w:szCs w:val="20"/>
        </w:rPr>
        <w:t>0</w:t>
      </w:r>
      <w:r w:rsidR="00B75F2A">
        <w:rPr>
          <w:rFonts w:cs="Arial"/>
          <w:szCs w:val="20"/>
        </w:rPr>
        <w:t> </w:t>
      </w:r>
      <w:r>
        <w:rPr>
          <w:rFonts w:cs="Arial"/>
          <w:szCs w:val="20"/>
        </w:rPr>
        <w:t>%, z žáků ukr</w:t>
      </w:r>
      <w:r w:rsidR="00B75F2A">
        <w:rPr>
          <w:rFonts w:cs="Arial"/>
          <w:szCs w:val="20"/>
        </w:rPr>
        <w:t>ajinské státní příslušnosti 24,</w:t>
      </w:r>
      <w:r w:rsidR="001E0AA0">
        <w:rPr>
          <w:rFonts w:cs="Arial"/>
          <w:szCs w:val="20"/>
        </w:rPr>
        <w:t>4</w:t>
      </w:r>
      <w:r>
        <w:rPr>
          <w:rFonts w:cs="Arial"/>
          <w:szCs w:val="20"/>
        </w:rPr>
        <w:t> % a ze žáků v</w:t>
      </w:r>
      <w:r w:rsidR="00B75F2A">
        <w:rPr>
          <w:rFonts w:cs="Arial"/>
          <w:szCs w:val="20"/>
        </w:rPr>
        <w:t>ietnamské státní příslušnosti 26</w:t>
      </w:r>
      <w:r w:rsidR="00A10AA2">
        <w:rPr>
          <w:rFonts w:cs="Arial"/>
          <w:szCs w:val="20"/>
        </w:rPr>
        <w:t>,</w:t>
      </w:r>
      <w:r w:rsidR="001E0AA0">
        <w:rPr>
          <w:rFonts w:cs="Arial"/>
          <w:szCs w:val="20"/>
        </w:rPr>
        <w:t>8</w:t>
      </w:r>
      <w:r>
        <w:rPr>
          <w:rFonts w:cs="Arial"/>
          <w:szCs w:val="20"/>
        </w:rPr>
        <w:t xml:space="preserve"> %. </w:t>
      </w:r>
      <w:r w:rsidR="0070384E">
        <w:rPr>
          <w:rFonts w:cs="Arial"/>
          <w:szCs w:val="20"/>
        </w:rPr>
        <w:t>Ze žáků ruské státní příslušnosti se jich pak v </w:t>
      </w:r>
      <w:r w:rsidR="00A10AA2">
        <w:rPr>
          <w:rFonts w:cs="Arial"/>
          <w:szCs w:val="20"/>
        </w:rPr>
        <w:t xml:space="preserve">Praze </w:t>
      </w:r>
      <w:r w:rsidR="00B75F2A">
        <w:rPr>
          <w:rFonts w:cs="Arial"/>
          <w:szCs w:val="20"/>
        </w:rPr>
        <w:t xml:space="preserve">vzdělávaly </w:t>
      </w:r>
      <w:r w:rsidR="001E0AA0">
        <w:rPr>
          <w:rFonts w:cs="Arial"/>
          <w:szCs w:val="20"/>
        </w:rPr>
        <w:t>téměř dvě třetiny</w:t>
      </w:r>
      <w:r w:rsidR="00B75F2A">
        <w:rPr>
          <w:rFonts w:cs="Arial"/>
          <w:szCs w:val="20"/>
        </w:rPr>
        <w:t xml:space="preserve"> (6</w:t>
      </w:r>
      <w:r w:rsidR="001E0AA0">
        <w:rPr>
          <w:rFonts w:cs="Arial"/>
          <w:szCs w:val="20"/>
        </w:rPr>
        <w:t>3</w:t>
      </w:r>
      <w:r w:rsidR="00B75F2A">
        <w:rPr>
          <w:rFonts w:cs="Arial"/>
          <w:szCs w:val="20"/>
        </w:rPr>
        <w:t>,</w:t>
      </w:r>
      <w:r w:rsidR="001E0AA0">
        <w:rPr>
          <w:rFonts w:cs="Arial"/>
          <w:szCs w:val="20"/>
        </w:rPr>
        <w:t>1</w:t>
      </w:r>
      <w:r w:rsidR="0070384E">
        <w:rPr>
          <w:rFonts w:cs="Arial"/>
          <w:szCs w:val="20"/>
        </w:rPr>
        <w:t> </w:t>
      </w:r>
      <w:r w:rsidR="0070384E" w:rsidRPr="00B75F2A">
        <w:rPr>
          <w:rFonts w:cs="Arial"/>
          <w:szCs w:val="20"/>
        </w:rPr>
        <w:t>%).</w:t>
      </w:r>
      <w:r w:rsidR="00A10AA2" w:rsidRPr="00B75F2A">
        <w:rPr>
          <w:rFonts w:cs="Arial"/>
          <w:szCs w:val="20"/>
        </w:rPr>
        <w:t xml:space="preserve"> </w:t>
      </w:r>
    </w:p>
    <w:p w14:paraId="48232CD1" w14:textId="77777777" w:rsidR="00ED1581" w:rsidRDefault="00FA7769" w:rsidP="00994DFD">
      <w:pPr>
        <w:spacing w:after="120"/>
        <w:jc w:val="both"/>
      </w:pPr>
      <w:r w:rsidRPr="00C746AC">
        <w:t xml:space="preserve">Pokud se jedná o </w:t>
      </w:r>
      <w:r w:rsidRPr="00C746AC">
        <w:rPr>
          <w:b/>
        </w:rPr>
        <w:t>vývoj</w:t>
      </w:r>
      <w:r w:rsidR="0012148A" w:rsidRPr="00C746AC">
        <w:rPr>
          <w:b/>
        </w:rPr>
        <w:t xml:space="preserve"> v čase</w:t>
      </w:r>
      <w:r w:rsidR="0012148A" w:rsidRPr="00C746AC">
        <w:t>,</w:t>
      </w:r>
      <w:r w:rsidR="00256EC9" w:rsidRPr="00C746AC">
        <w:t xml:space="preserve"> mezi</w:t>
      </w:r>
      <w:r w:rsidR="00B75F2A" w:rsidRPr="00C746AC">
        <w:t xml:space="preserve"> školními roky 201</w:t>
      </w:r>
      <w:r w:rsidR="00C746AC" w:rsidRPr="00C746AC">
        <w:t>5</w:t>
      </w:r>
      <w:r w:rsidR="00B75F2A" w:rsidRPr="00C746AC">
        <w:t>/1</w:t>
      </w:r>
      <w:r w:rsidR="00C746AC" w:rsidRPr="00C746AC">
        <w:t>6</w:t>
      </w:r>
      <w:r w:rsidR="00B75F2A" w:rsidRPr="00C746AC">
        <w:t xml:space="preserve"> a 202</w:t>
      </w:r>
      <w:r w:rsidR="00C746AC" w:rsidRPr="00C746AC">
        <w:t>5</w:t>
      </w:r>
      <w:r w:rsidR="00B75F2A" w:rsidRPr="00C746AC">
        <w:t>/2</w:t>
      </w:r>
      <w:r w:rsidR="00C746AC" w:rsidRPr="00C746AC">
        <w:t>6</w:t>
      </w:r>
      <w:r w:rsidRPr="00C746AC">
        <w:t xml:space="preserve"> se zvýšil podíl žáků cizí státní příslušnosti </w:t>
      </w:r>
      <w:r w:rsidR="00DE53C0" w:rsidRPr="00C746AC">
        <w:t>ze všech žáků na</w:t>
      </w:r>
      <w:r w:rsidRPr="00C746AC">
        <w:t xml:space="preserve"> stř</w:t>
      </w:r>
      <w:r w:rsidR="001A4E80" w:rsidRPr="00C746AC">
        <w:t>edních</w:t>
      </w:r>
      <w:r w:rsidR="001A4E80" w:rsidRPr="007034E1">
        <w:t xml:space="preserve"> školách </w:t>
      </w:r>
      <w:r w:rsidR="00B75F2A">
        <w:t>z 2,</w:t>
      </w:r>
      <w:r w:rsidR="00C746AC">
        <w:t>1</w:t>
      </w:r>
      <w:r w:rsidR="00B75F2A">
        <w:t> % na 4,</w:t>
      </w:r>
      <w:r w:rsidR="00C746AC">
        <w:t>9</w:t>
      </w:r>
      <w:r w:rsidR="00C321F3" w:rsidRPr="007034E1">
        <w:t> %</w:t>
      </w:r>
      <w:r w:rsidR="00EA62A4">
        <w:t xml:space="preserve">. Ještě ve školním roce 2021/22 přitom dosahoval hodnoty 2,3 % </w:t>
      </w:r>
      <w:r w:rsidR="002C291A">
        <w:t>–</w:t>
      </w:r>
      <w:r w:rsidRPr="007034E1">
        <w:t xml:space="preserve"> viz</w:t>
      </w:r>
      <w:r w:rsidR="00124443">
        <w:t xml:space="preserve"> graf </w:t>
      </w:r>
      <w:r w:rsidR="00D03676">
        <w:t>č. </w:t>
      </w:r>
      <w:r w:rsidR="00124443">
        <w:t>3.16</w:t>
      </w:r>
      <w:r w:rsidRPr="007034E1">
        <w:t>.</w:t>
      </w:r>
      <w:r w:rsidRPr="004A5668">
        <w:t xml:space="preserve"> </w:t>
      </w:r>
    </w:p>
    <w:p w14:paraId="67E3E4D2" w14:textId="77777777" w:rsidR="00ED1581" w:rsidRDefault="00ED1581" w:rsidP="00ED1581">
      <w:pPr>
        <w:keepNext/>
        <w:spacing w:after="120" w:line="240" w:lineRule="auto"/>
        <w:rPr>
          <w:b/>
        </w:rPr>
      </w:pPr>
      <w:r w:rsidRPr="00180ED8">
        <w:rPr>
          <w:b/>
        </w:rPr>
        <w:t>G</w:t>
      </w:r>
      <w:r>
        <w:rPr>
          <w:b/>
        </w:rPr>
        <w:t>raf</w:t>
      </w:r>
      <w:r w:rsidRPr="00180ED8">
        <w:rPr>
          <w:b/>
        </w:rPr>
        <w:t xml:space="preserve"> </w:t>
      </w:r>
      <w:r>
        <w:rPr>
          <w:b/>
        </w:rPr>
        <w:t>3.16</w:t>
      </w:r>
      <w:r w:rsidRPr="00180ED8">
        <w:rPr>
          <w:b/>
        </w:rPr>
        <w:t xml:space="preserve"> </w:t>
      </w:r>
      <w:r>
        <w:rPr>
          <w:b/>
        </w:rPr>
        <w:t>Střední školy</w:t>
      </w:r>
      <w:r w:rsidRPr="00180ED8">
        <w:rPr>
          <w:b/>
        </w:rPr>
        <w:t xml:space="preserve"> </w:t>
      </w:r>
      <w:r>
        <w:rPr>
          <w:b/>
        </w:rPr>
        <w:t>–</w:t>
      </w:r>
      <w:r w:rsidRPr="00180ED8">
        <w:rPr>
          <w:b/>
        </w:rPr>
        <w:t xml:space="preserve"> vývoj podílu žáků cizí </w:t>
      </w:r>
      <w:r>
        <w:rPr>
          <w:b/>
        </w:rPr>
        <w:t>státní příslušnosti v čase</w:t>
      </w:r>
    </w:p>
    <w:p w14:paraId="2F4759A8" w14:textId="7BD98791" w:rsidR="00ED1581" w:rsidRPr="00ED1581" w:rsidRDefault="00ED1581" w:rsidP="00ED1581">
      <w:pPr>
        <w:keepNext/>
        <w:spacing w:after="120" w:line="240" w:lineRule="auto"/>
        <w:rPr>
          <w:b/>
        </w:rPr>
      </w:pPr>
      <w:r>
        <w:rPr>
          <w:noProof/>
        </w:rPr>
        <w:drawing>
          <wp:inline distT="0" distB="0" distL="0" distR="0" wp14:anchorId="7C4BC9A3" wp14:editId="02837F02">
            <wp:extent cx="6048375" cy="4162425"/>
            <wp:effectExtent l="0" t="0" r="0" b="0"/>
            <wp:docPr id="1385083667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5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E44B916" w14:textId="1938BBF3" w:rsidR="000E1FA2" w:rsidRDefault="00994DFD" w:rsidP="00994DFD">
      <w:pPr>
        <w:spacing w:after="120"/>
        <w:jc w:val="both"/>
      </w:pPr>
      <w:r w:rsidRPr="009D029E">
        <w:t>Kromě</w:t>
      </w:r>
      <w:r w:rsidRPr="009D029E">
        <w:rPr>
          <w:b/>
          <w:szCs w:val="28"/>
        </w:rPr>
        <w:t xml:space="preserve"> </w:t>
      </w:r>
      <w:r w:rsidRPr="009D029E">
        <w:t xml:space="preserve">celkového podílu žáků cizí státní příslušnosti znázorňuje graf </w:t>
      </w:r>
      <w:r w:rsidR="00E23C3B">
        <w:t xml:space="preserve">č. 3.16 </w:t>
      </w:r>
      <w:r w:rsidRPr="009D029E">
        <w:t xml:space="preserve">také </w:t>
      </w:r>
      <w:r w:rsidRPr="009D029E">
        <w:rPr>
          <w:b/>
        </w:rPr>
        <w:t xml:space="preserve">podíl žáků </w:t>
      </w:r>
      <w:r w:rsidRPr="00DB7FBF">
        <w:rPr>
          <w:b/>
        </w:rPr>
        <w:t>původem ze Slovenska, Ukrajiny Vietnamu a Ruska</w:t>
      </w:r>
      <w:r w:rsidRPr="00DB7FBF">
        <w:t>. Mezi školními roky 2016/17 a 2021/22 tvořili tito žáci v čase stabilně cca 79 % všech cizinců na středních školách. Ve školním roce 2022/23 tento podíl poprvé přesáhl hranici čtyř pětin a činil 83,9 %, a do školního roku 202</w:t>
      </w:r>
      <w:r w:rsidR="00C746AC">
        <w:t>5</w:t>
      </w:r>
      <w:r w:rsidRPr="00DB7FBF">
        <w:t>/2</w:t>
      </w:r>
      <w:r w:rsidR="00C746AC">
        <w:t>6</w:t>
      </w:r>
      <w:r w:rsidRPr="00DB7FBF">
        <w:t xml:space="preserve"> se</w:t>
      </w:r>
      <w:r w:rsidRPr="009D029E">
        <w:t xml:space="preserve"> dále zvýšil na 8</w:t>
      </w:r>
      <w:r w:rsidR="00C746AC">
        <w:t>7</w:t>
      </w:r>
      <w:r>
        <w:t>,</w:t>
      </w:r>
      <w:r w:rsidR="00C746AC">
        <w:t>6</w:t>
      </w:r>
      <w:r w:rsidR="00D03676">
        <w:t> </w:t>
      </w:r>
      <w:r w:rsidRPr="009D029E">
        <w:t xml:space="preserve">%. Přitom počet cizinců původem z Ukrajiny v uplynulých deseti letech </w:t>
      </w:r>
      <w:r>
        <w:t xml:space="preserve">soustavně rostl. Ve školním roce 2022/23 se oproti předchozímu zvýšil </w:t>
      </w:r>
      <w:r w:rsidR="00C746AC">
        <w:t xml:space="preserve">na </w:t>
      </w:r>
      <w:r>
        <w:t>2,3</w:t>
      </w:r>
      <w:r w:rsidR="00C746AC">
        <w:t>násobek</w:t>
      </w:r>
      <w:r>
        <w:t xml:space="preserve"> a za další </w:t>
      </w:r>
      <w:r w:rsidR="00C746AC">
        <w:t>tři</w:t>
      </w:r>
      <w:r>
        <w:t xml:space="preserve"> roky </w:t>
      </w:r>
      <w:r w:rsidR="00C746AC">
        <w:t>se opět více než zdvojnásobil</w:t>
      </w:r>
      <w:r>
        <w:t xml:space="preserve">. </w:t>
      </w:r>
      <w:r w:rsidR="00E23C3B">
        <w:t>Ve školním roce 2025/26</w:t>
      </w:r>
      <w:r>
        <w:t xml:space="preserve"> byl tak </w:t>
      </w:r>
      <w:r w:rsidR="00C746AC">
        <w:t>téměř 7</w:t>
      </w:r>
      <w:r>
        <w:t>krát vyšší než ve školním roce 201</w:t>
      </w:r>
      <w:r w:rsidR="00C746AC">
        <w:t>5</w:t>
      </w:r>
      <w:r>
        <w:t>/1</w:t>
      </w:r>
      <w:r w:rsidR="00C746AC">
        <w:t>6</w:t>
      </w:r>
      <w:r>
        <w:t xml:space="preserve">. </w:t>
      </w:r>
    </w:p>
    <w:p w14:paraId="6D7D46D3" w14:textId="21830B68" w:rsidR="00994DFD" w:rsidRPr="00994DFD" w:rsidRDefault="00E23C3B" w:rsidP="00FA7769">
      <w:pPr>
        <w:spacing w:after="120"/>
        <w:jc w:val="both"/>
      </w:pPr>
      <w:r>
        <w:t>Přitom</w:t>
      </w:r>
      <w:r w:rsidR="00B1485E" w:rsidRPr="00896CB9">
        <w:t xml:space="preserve"> zejména</w:t>
      </w:r>
      <w:r w:rsidR="00B1485E" w:rsidRPr="00C746AC">
        <w:t xml:space="preserve"> v posledních třech letech rostl prudce podíl žáků s ukrajinským státním občanstvím </w:t>
      </w:r>
      <w:r w:rsidR="00B1485E" w:rsidRPr="00C746AC">
        <w:rPr>
          <w:b/>
        </w:rPr>
        <w:t>ze všech žáků středních škol</w:t>
      </w:r>
      <w:r w:rsidR="00B1485E">
        <w:t>.</w:t>
      </w:r>
      <w:r w:rsidR="000E1FA2">
        <w:t xml:space="preserve"> </w:t>
      </w:r>
      <w:r w:rsidR="00994DFD">
        <w:t>V porovnání s tím lze říci, že podíl žáků původem ze Slovenska</w:t>
      </w:r>
      <w:r w:rsidR="00896CB9">
        <w:t xml:space="preserve">, </w:t>
      </w:r>
      <w:r w:rsidR="00994DFD">
        <w:t xml:space="preserve">Vietnamu </w:t>
      </w:r>
      <w:r w:rsidR="00896CB9">
        <w:t>a</w:t>
      </w:r>
      <w:r w:rsidR="00994DFD">
        <w:t xml:space="preserve"> ostatních zemí byl v čase poměrně stabilní. </w:t>
      </w:r>
      <w:r w:rsidR="00896CB9">
        <w:t xml:space="preserve">Mezi zářím 2023 a 2024 se pouze </w:t>
      </w:r>
      <w:r w:rsidR="00994DFD">
        <w:t xml:space="preserve">meziročně zvýšil podíl žáků vietnamské státní příslušnosti </w:t>
      </w:r>
      <w:r w:rsidR="00B1485E">
        <w:t xml:space="preserve">ze všech žáků středních škol </w:t>
      </w:r>
      <w:r w:rsidR="000E1FA2">
        <w:t>z 0,4 % na 0,5 </w:t>
      </w:r>
      <w:r w:rsidR="00994DFD">
        <w:t>% a po</w:t>
      </w:r>
      <w:r w:rsidR="00896CB9">
        <w:t>díl</w:t>
      </w:r>
      <w:r w:rsidR="00994DFD">
        <w:t xml:space="preserve"> žáků z ostatních zemí z 0,5 % na 0,6 %. Naopak se </w:t>
      </w:r>
      <w:r w:rsidR="00896CB9">
        <w:t>m</w:t>
      </w:r>
      <w:r w:rsidR="00896CB9" w:rsidRPr="00896CB9">
        <w:t xml:space="preserve">ezi zářím 2023 a 2024 </w:t>
      </w:r>
      <w:r w:rsidR="00994DFD">
        <w:t xml:space="preserve">snížil podíl žáků z Ruské federace z 0,2 % na 0,1 %. </w:t>
      </w:r>
    </w:p>
    <w:p w14:paraId="5190A391" w14:textId="4CA5E3C2" w:rsidR="00FA7769" w:rsidRPr="004A5668" w:rsidRDefault="00FA7769" w:rsidP="00D03676">
      <w:pPr>
        <w:jc w:val="both"/>
      </w:pPr>
      <w:r w:rsidRPr="00102C65">
        <w:lastRenderedPageBreak/>
        <w:t xml:space="preserve">Absolutní počty žáků </w:t>
      </w:r>
      <w:r w:rsidR="006B4CFE" w:rsidRPr="00102C65">
        <w:t xml:space="preserve">středních škol </w:t>
      </w:r>
      <w:r w:rsidR="00BE0761" w:rsidRPr="00102C65">
        <w:t xml:space="preserve">cizí státní příslušnosti </w:t>
      </w:r>
      <w:r w:rsidRPr="00102C65">
        <w:t>ve škol</w:t>
      </w:r>
      <w:r w:rsidR="00F77C2A" w:rsidRPr="00102C65">
        <w:t xml:space="preserve">ním </w:t>
      </w:r>
      <w:r w:rsidR="00EF67B0" w:rsidRPr="00102C65">
        <w:t>roce 202</w:t>
      </w:r>
      <w:r w:rsidR="00CA02F9" w:rsidRPr="00102C65">
        <w:t>5</w:t>
      </w:r>
      <w:r w:rsidR="00EF67B0" w:rsidRPr="00102C65">
        <w:t>/2</w:t>
      </w:r>
      <w:r w:rsidR="00CA02F9" w:rsidRPr="00102C65">
        <w:t>6</w:t>
      </w:r>
      <w:r w:rsidR="00A019D7" w:rsidRPr="00102C65">
        <w:t xml:space="preserve"> uvádí tabulka </w:t>
      </w:r>
      <w:r w:rsidR="000E1FA2" w:rsidRPr="00102C65">
        <w:t xml:space="preserve">č. </w:t>
      </w:r>
      <w:r w:rsidR="00A019D7" w:rsidRPr="00102C65">
        <w:t>3</w:t>
      </w:r>
      <w:r w:rsidR="00E3792E" w:rsidRPr="00102C65">
        <w:t>.3</w:t>
      </w:r>
      <w:r w:rsidRPr="00102C65">
        <w:t>, ve které je výčet zemí, které jsou původem více než 100 žáků středních škol. Jak je patrné, z cizi</w:t>
      </w:r>
      <w:r w:rsidR="00C529FE" w:rsidRPr="00102C65">
        <w:t>nců tvořili ve</w:t>
      </w:r>
      <w:r w:rsidR="00EF67B0" w:rsidRPr="00102C65">
        <w:t xml:space="preserve"> školním roce 202</w:t>
      </w:r>
      <w:r w:rsidR="00CA02F9" w:rsidRPr="00102C65">
        <w:t>5</w:t>
      </w:r>
      <w:r w:rsidR="00EF67B0" w:rsidRPr="00102C65">
        <w:t>/2</w:t>
      </w:r>
      <w:r w:rsidR="00CA02F9" w:rsidRPr="00102C65">
        <w:t>6</w:t>
      </w:r>
      <w:r w:rsidRPr="00102C65">
        <w:t xml:space="preserve"> nejv</w:t>
      </w:r>
      <w:r w:rsidR="002C412F" w:rsidRPr="00102C65">
        <w:t>yšší podíl žáci s ukrajinskou státní příslušností</w:t>
      </w:r>
      <w:r w:rsidR="00EF67B0" w:rsidRPr="00102C65">
        <w:t xml:space="preserve"> (</w:t>
      </w:r>
      <w:r w:rsidR="00D518BC">
        <w:t>63</w:t>
      </w:r>
      <w:r w:rsidR="00EF67B0" w:rsidRPr="00102C65">
        <w:t>,</w:t>
      </w:r>
      <w:r w:rsidR="00D518BC">
        <w:t>1</w:t>
      </w:r>
      <w:r w:rsidRPr="00102C65">
        <w:t xml:space="preserve"> %) a dále </w:t>
      </w:r>
      <w:r w:rsidR="002C412F" w:rsidRPr="00102C65">
        <w:t>se slovenskou</w:t>
      </w:r>
      <w:r w:rsidR="00EF67B0" w:rsidRPr="00102C65">
        <w:t xml:space="preserve"> (1</w:t>
      </w:r>
      <w:r w:rsidR="00D518BC">
        <w:t>1</w:t>
      </w:r>
      <w:r w:rsidR="00EF67B0" w:rsidRPr="00102C65">
        <w:t>,</w:t>
      </w:r>
      <w:r w:rsidR="00102C65" w:rsidRPr="00102C65">
        <w:t>2</w:t>
      </w:r>
      <w:r w:rsidR="006B4CFE" w:rsidRPr="00102C65">
        <w:t> %)</w:t>
      </w:r>
      <w:r w:rsidRPr="00102C65">
        <w:t xml:space="preserve"> a </w:t>
      </w:r>
      <w:r w:rsidR="002C412F" w:rsidRPr="00102C65">
        <w:t>vietnamskou</w:t>
      </w:r>
      <w:r w:rsidRPr="00102C65">
        <w:t xml:space="preserve"> (</w:t>
      </w:r>
      <w:r w:rsidR="00E35365" w:rsidRPr="00102C65">
        <w:t>1</w:t>
      </w:r>
      <w:r w:rsidR="00D518BC">
        <w:t>0</w:t>
      </w:r>
      <w:r w:rsidR="00EF67B0" w:rsidRPr="00102C65">
        <w:t>,</w:t>
      </w:r>
      <w:r w:rsidR="00D518BC">
        <w:t>3</w:t>
      </w:r>
      <w:r w:rsidR="006B4CFE" w:rsidRPr="00102C65">
        <w:t> %)</w:t>
      </w:r>
      <w:r w:rsidRPr="00102C65">
        <w:t>. Podíl žáků cizin</w:t>
      </w:r>
      <w:r w:rsidR="00C529FE" w:rsidRPr="00102C65">
        <w:t>ců</w:t>
      </w:r>
      <w:r w:rsidR="006B4CFE" w:rsidRPr="00102C65">
        <w:t xml:space="preserve"> původem</w:t>
      </w:r>
      <w:r w:rsidR="006B4CFE">
        <w:t xml:space="preserve"> z Ruska tvoř</w:t>
      </w:r>
      <w:r w:rsidR="00EF67B0">
        <w:t>il dále 3,</w:t>
      </w:r>
      <w:r w:rsidR="00D518BC">
        <w:t>0</w:t>
      </w:r>
      <w:r w:rsidR="00F8241E">
        <w:t xml:space="preserve"> %. </w:t>
      </w:r>
      <w:r w:rsidRPr="004A5668">
        <w:t>Ostatn</w:t>
      </w:r>
      <w:r w:rsidR="00554D58">
        <w:t xml:space="preserve">í země </w:t>
      </w:r>
      <w:r w:rsidR="00D518BC">
        <w:t xml:space="preserve">s více než 100 žáků na našich středních školách </w:t>
      </w:r>
      <w:r w:rsidR="00554D58">
        <w:t>zaujímaly</w:t>
      </w:r>
      <w:r w:rsidRPr="004A5668">
        <w:t xml:space="preserve"> </w:t>
      </w:r>
      <w:r w:rsidR="00EF67B0">
        <w:t>0,</w:t>
      </w:r>
      <w:r w:rsidR="00D518BC">
        <w:t>4</w:t>
      </w:r>
      <w:r w:rsidR="00EF67B0">
        <w:t> % až 1,</w:t>
      </w:r>
      <w:r w:rsidR="00D518BC">
        <w:t>4</w:t>
      </w:r>
      <w:r w:rsidR="006B4CFE">
        <w:t> %</w:t>
      </w:r>
      <w:r w:rsidRPr="004A5668">
        <w:t xml:space="preserve"> z celkového počtu cizinců.    </w:t>
      </w:r>
    </w:p>
    <w:p w14:paraId="09CE6A46" w14:textId="2B41BD62" w:rsidR="00DF6746" w:rsidRDefault="00E3792E" w:rsidP="0037435C">
      <w:pPr>
        <w:keepNext/>
        <w:spacing w:after="0" w:line="240" w:lineRule="auto"/>
        <w:jc w:val="both"/>
      </w:pPr>
      <w:r w:rsidRPr="00DF6746">
        <w:rPr>
          <w:b/>
        </w:rPr>
        <w:t xml:space="preserve">Tabulka 3.3 </w:t>
      </w:r>
      <w:r w:rsidR="00FA7769" w:rsidRPr="00DF6746">
        <w:rPr>
          <w:b/>
        </w:rPr>
        <w:t>Střední školy – počet žáků cizí státní přís</w:t>
      </w:r>
      <w:r w:rsidR="000E1FA2">
        <w:rPr>
          <w:b/>
        </w:rPr>
        <w:t>lušnosti dle státního občanství</w:t>
      </w:r>
      <w:r w:rsidR="0037435C">
        <w:rPr>
          <w:b/>
        </w:rPr>
        <w:t xml:space="preserve"> ve školním roce </w:t>
      </w:r>
      <w:r w:rsidR="000E1FA2">
        <w:rPr>
          <w:b/>
        </w:rPr>
        <w:t>202</w:t>
      </w:r>
      <w:r w:rsidR="007362B8">
        <w:rPr>
          <w:b/>
        </w:rPr>
        <w:t>5</w:t>
      </w:r>
      <w:r w:rsidR="000E1FA2">
        <w:rPr>
          <w:b/>
        </w:rPr>
        <w:t>/2</w:t>
      </w:r>
      <w:r w:rsidR="007362B8">
        <w:rPr>
          <w:b/>
        </w:rPr>
        <w:t>6</w:t>
      </w:r>
      <w:r w:rsidR="000E1FA2">
        <w:t xml:space="preserve"> </w:t>
      </w:r>
      <w:r w:rsidR="00FA7769" w:rsidRPr="000E1FA2">
        <w:t xml:space="preserve">(pouze </w:t>
      </w:r>
      <w:r w:rsidR="0037435C">
        <w:t>země s více než 100 žáků daného státního občanství</w:t>
      </w:r>
      <w:r w:rsidR="000E1FA2" w:rsidRPr="000E1FA2">
        <w:t>)</w:t>
      </w:r>
      <w:r w:rsidR="00DF6746" w:rsidRPr="000E1FA2">
        <w:t xml:space="preserve"> </w:t>
      </w:r>
    </w:p>
    <w:p w14:paraId="04CC43F2" w14:textId="11716941" w:rsidR="0037435C" w:rsidRPr="0037435C" w:rsidRDefault="0037435C" w:rsidP="0037435C">
      <w:pPr>
        <w:spacing w:before="120" w:after="120"/>
        <w:jc w:val="both"/>
        <w:rPr>
          <w:rFonts w:cs="Arial"/>
          <w:sz w:val="18"/>
        </w:rPr>
      </w:pPr>
      <w:r w:rsidRPr="00F94849">
        <w:rPr>
          <w:rFonts w:cs="Arial"/>
          <w:sz w:val="18"/>
        </w:rPr>
        <w:t>Zdroj: ČSÚ</w:t>
      </w:r>
      <w:r w:rsidRPr="00F94849">
        <w:rPr>
          <w:rFonts w:cs="Arial"/>
          <w:noProof/>
        </w:rPr>
        <w:t xml:space="preserve"> </w:t>
      </w:r>
      <w:r w:rsidRPr="00307699">
        <w:rPr>
          <w:rFonts w:cs="Arial"/>
          <w:sz w:val="18"/>
        </w:rPr>
        <w:t>podle údajů MŠMT</w:t>
      </w:r>
    </w:p>
    <w:tbl>
      <w:tblPr>
        <w:tblW w:w="4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1440"/>
        <w:gridCol w:w="1532"/>
      </w:tblGrid>
      <w:tr w:rsidR="004A19B9" w:rsidRPr="004A19B9" w14:paraId="7E325FD1" w14:textId="77777777" w:rsidTr="004A19B9">
        <w:trPr>
          <w:trHeight w:val="945"/>
        </w:trPr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2ECFA3B3" w14:textId="77777777" w:rsidR="004A19B9" w:rsidRPr="004A19B9" w:rsidRDefault="004A19B9" w:rsidP="004A19B9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bookmarkStart w:id="7" w:name="_Toc199232059"/>
            <w:r w:rsidRPr="004A19B9">
              <w:rPr>
                <w:rFonts w:cs="Arial"/>
                <w:b/>
                <w:bCs/>
                <w:color w:val="000000"/>
                <w:sz w:val="16"/>
                <w:szCs w:val="16"/>
              </w:rPr>
              <w:t>Země původu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EFDE"/>
            <w:noWrap/>
            <w:vAlign w:val="center"/>
            <w:hideMark/>
          </w:tcPr>
          <w:p w14:paraId="6EC7CCDC" w14:textId="77777777" w:rsidR="004A19B9" w:rsidRPr="004A19B9" w:rsidRDefault="004A19B9" w:rsidP="004A19B9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A19B9">
              <w:rPr>
                <w:rFonts w:cs="Arial"/>
                <w:b/>
                <w:bCs/>
                <w:color w:val="000000"/>
                <w:sz w:val="16"/>
                <w:szCs w:val="16"/>
              </w:rPr>
              <w:t>Počet žáků</w:t>
            </w:r>
          </w:p>
        </w:tc>
        <w:tc>
          <w:tcPr>
            <w:tcW w:w="15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8EFDE"/>
            <w:vAlign w:val="center"/>
            <w:hideMark/>
          </w:tcPr>
          <w:p w14:paraId="020B1507" w14:textId="77777777" w:rsidR="004A19B9" w:rsidRPr="004A19B9" w:rsidRDefault="004A19B9" w:rsidP="004A19B9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A19B9">
              <w:rPr>
                <w:rFonts w:cs="Arial"/>
                <w:b/>
                <w:bCs/>
                <w:color w:val="000000"/>
                <w:sz w:val="16"/>
                <w:szCs w:val="16"/>
              </w:rPr>
              <w:t>Podíl ze všech žáků cizí státní příslušnosti</w:t>
            </w:r>
          </w:p>
        </w:tc>
      </w:tr>
      <w:tr w:rsidR="00D518BC" w:rsidRPr="00D518BC" w14:paraId="4A4B5712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92D08F" w14:textId="192EBBEE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Ukrajina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57E3A1" w14:textId="140B112D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15</w:t>
            </w:r>
            <w:r w:rsidR="007362B8">
              <w:rPr>
                <w:sz w:val="16"/>
                <w:szCs w:val="16"/>
              </w:rPr>
              <w:t xml:space="preserve"> </w:t>
            </w:r>
            <w:r w:rsidRPr="00CA02F9">
              <w:rPr>
                <w:sz w:val="16"/>
                <w:szCs w:val="16"/>
              </w:rPr>
              <w:t>768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45DB3" w14:textId="37AB6B46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63,1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7AE21648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582C79" w14:textId="7894B3B6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Slovensko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AEFD1E" w14:textId="079EA426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</w:t>
            </w:r>
            <w:r w:rsidR="007362B8">
              <w:rPr>
                <w:sz w:val="16"/>
                <w:szCs w:val="16"/>
              </w:rPr>
              <w:t xml:space="preserve"> </w:t>
            </w:r>
            <w:r w:rsidRPr="00CA02F9">
              <w:rPr>
                <w:sz w:val="16"/>
                <w:szCs w:val="16"/>
              </w:rPr>
              <w:t>794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1359A" w14:textId="463F3A77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11,2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35121B08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7DB0FB" w14:textId="75FD4969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Vietnam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6FB79E8" w14:textId="6C0BED24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</w:t>
            </w:r>
            <w:r w:rsidR="007362B8">
              <w:rPr>
                <w:sz w:val="16"/>
                <w:szCs w:val="16"/>
              </w:rPr>
              <w:t xml:space="preserve"> </w:t>
            </w:r>
            <w:r w:rsidRPr="00CA02F9">
              <w:rPr>
                <w:sz w:val="16"/>
                <w:szCs w:val="16"/>
              </w:rPr>
              <w:t>575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08243" w14:textId="02B2BF80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10,3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54A01EC1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2A3E1D1" w14:textId="51D4097A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Rusko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1AD596" w14:textId="6064615C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759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099FD" w14:textId="1E6943EE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3,0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28A6DBD9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DC8B386" w14:textId="1488CD57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Mongolsko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79BD440" w14:textId="42673EB3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356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A7A68" w14:textId="475FBE4E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1,4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66F21DDB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44CD53F" w14:textId="55DDC4F3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Rumunsko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29D9B51" w14:textId="45BA1344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298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C4C90" w14:textId="3F1493B2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1,2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5DA18BA8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17049D3" w14:textId="2CCDC97A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Bulharsko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CD19BC" w14:textId="57514E2E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234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14BB1" w14:textId="1372F9F2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0,9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3373FB27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9779B61" w14:textId="24E7D2C5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Maďarsko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C908892" w14:textId="2AF7D8FE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209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40295" w14:textId="3CEB6A11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236D26E9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76C5BD" w14:textId="0D813C4F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Polsko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8C8A78" w14:textId="17E3C7C1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208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213D" w14:textId="2E50EE03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74C38821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D7A74F7" w14:textId="5DB6DF9B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Čína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DE5E3AC" w14:textId="100BB929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202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C2351" w14:textId="71C7A8C7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6A58BBC3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4A528D" w14:textId="4DCD76E7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Moldavsko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4DA8BE" w14:textId="2D710B90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194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F395F" w14:textId="13A2C345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52348C6C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9282844" w14:textId="582E3D63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Bělorusko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9D9F48" w14:textId="3E6D3421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153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45A2E" w14:textId="6629F3F9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0,6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  <w:tr w:rsidR="00D518BC" w:rsidRPr="00D518BC" w14:paraId="0B923249" w14:textId="77777777" w:rsidTr="00D518BC">
        <w:trPr>
          <w:trHeight w:val="284"/>
        </w:trPr>
        <w:tc>
          <w:tcPr>
            <w:tcW w:w="14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FBF2DC" w14:textId="75AA448D" w:rsidR="00D518BC" w:rsidRPr="00CA02F9" w:rsidRDefault="00D518BC" w:rsidP="00D518B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Kazachstán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0A0C3C8" w14:textId="626FA003" w:rsidR="00D518BC" w:rsidRPr="00CA02F9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CA02F9">
              <w:rPr>
                <w:sz w:val="16"/>
                <w:szCs w:val="16"/>
              </w:rPr>
              <w:t>104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38BAE" w14:textId="7281835A" w:rsidR="00D518BC" w:rsidRPr="00D518BC" w:rsidRDefault="00D518BC" w:rsidP="00D518BC">
            <w:pPr>
              <w:spacing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D518BC"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 xml:space="preserve"> </w:t>
            </w:r>
            <w:r w:rsidRPr="00D518BC">
              <w:rPr>
                <w:sz w:val="16"/>
                <w:szCs w:val="16"/>
              </w:rPr>
              <w:t>%</w:t>
            </w:r>
          </w:p>
        </w:tc>
      </w:tr>
    </w:tbl>
    <w:p w14:paraId="798DB543" w14:textId="052EC03A" w:rsidR="004A19B9" w:rsidRDefault="004A19B9" w:rsidP="00386026">
      <w:pPr>
        <w:pStyle w:val="Nadpis1"/>
        <w:rPr>
          <w:color w:val="CC9610"/>
        </w:rPr>
      </w:pPr>
    </w:p>
    <w:bookmarkEnd w:id="7"/>
    <w:p w14:paraId="4380E3EE" w14:textId="68DF6F70" w:rsidR="00ED1581" w:rsidRPr="00ED1581" w:rsidRDefault="00ED1581" w:rsidP="00ED1581">
      <w:pPr>
        <w:spacing w:after="0" w:line="240" w:lineRule="auto"/>
      </w:pPr>
    </w:p>
    <w:sectPr w:rsidR="00ED1581" w:rsidRPr="00ED1581" w:rsidSect="00E23E9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1134" w:right="1134" w:bottom="1418" w:left="1134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94D6F" w14:textId="77777777" w:rsidR="00836A63" w:rsidRDefault="00836A63" w:rsidP="00E71A58">
      <w:r>
        <w:separator/>
      </w:r>
    </w:p>
  </w:endnote>
  <w:endnote w:type="continuationSeparator" w:id="0">
    <w:p w14:paraId="2103385F" w14:textId="77777777" w:rsidR="00836A63" w:rsidRDefault="00836A63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23737" w14:textId="4415A8D6" w:rsidR="00E23E9E" w:rsidRDefault="00000000" w:rsidP="00E23E9E">
    <w:pPr>
      <w:pStyle w:val="Zpat"/>
      <w:tabs>
        <w:tab w:val="clear" w:pos="4820"/>
        <w:tab w:val="clear" w:pos="9639"/>
        <w:tab w:val="left" w:pos="5460"/>
      </w:tabs>
    </w:pPr>
    <w:sdt>
      <w:sdtPr>
        <w:id w:val="-1597247439"/>
        <w:docPartObj>
          <w:docPartGallery w:val="Page Numbers (Bottom of Page)"/>
          <w:docPartUnique/>
        </w:docPartObj>
      </w:sdtPr>
      <w:sdtContent>
        <w:r w:rsidR="00E23E9E">
          <w:fldChar w:fldCharType="begin"/>
        </w:r>
        <w:r w:rsidR="00E23E9E">
          <w:instrText>PAGE   \* MERGEFORMAT</w:instrText>
        </w:r>
        <w:r w:rsidR="00E23E9E">
          <w:fldChar w:fldCharType="separate"/>
        </w:r>
        <w:r w:rsidR="00E23E9E">
          <w:t>2</w:t>
        </w:r>
        <w:r w:rsidR="00E23E9E">
          <w:fldChar w:fldCharType="end"/>
        </w:r>
      </w:sdtContent>
    </w:sdt>
    <w:r w:rsidR="00E23E9E">
      <w:t xml:space="preserve">                                                                                       Školní rok 202</w:t>
    </w:r>
    <w:r w:rsidR="006F282F">
      <w:t>5</w:t>
    </w:r>
    <w:r w:rsidR="00E23E9E">
      <w:t>/2</w:t>
    </w:r>
    <w:r w:rsidR="006F282F">
      <w:t>6</w:t>
    </w:r>
    <w:r w:rsidR="00561EBD">
      <w:t xml:space="preserve">                                                                                   </w:t>
    </w:r>
    <w:r w:rsidR="00F53068">
      <w:t xml:space="preserve"> </w:t>
    </w:r>
    <w:r w:rsidR="00561EBD">
      <w:t xml:space="preserve">    </w:t>
    </w:r>
    <w:r w:rsidR="00F53068">
      <w:t>ČSÚ</w:t>
    </w:r>
  </w:p>
  <w:p w14:paraId="41D3D8C8" w14:textId="4060D666" w:rsidR="001A5D69" w:rsidRPr="00F310A4" w:rsidRDefault="001A5D69" w:rsidP="00F310A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131736"/>
      <w:docPartObj>
        <w:docPartGallery w:val="Page Numbers (Bottom of Page)"/>
        <w:docPartUnique/>
      </w:docPartObj>
    </w:sdtPr>
    <w:sdtContent>
      <w:p w14:paraId="56999D55" w14:textId="33B742DA" w:rsidR="00E23E9E" w:rsidRDefault="00E23E9E">
        <w:pPr>
          <w:pStyle w:val="Zpat"/>
          <w:jc w:val="right"/>
        </w:pPr>
        <w:r>
          <w:rPr>
            <w:szCs w:val="16"/>
            <w:lang w:eastAsia="cs-CZ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4A1AF70" wp14:editId="10C75F34">
                  <wp:simplePos x="0" y="0"/>
                  <wp:positionH relativeFrom="column">
                    <wp:posOffset>2356485</wp:posOffset>
                  </wp:positionH>
                  <wp:positionV relativeFrom="paragraph">
                    <wp:posOffset>-15875</wp:posOffset>
                  </wp:positionV>
                  <wp:extent cx="1590675" cy="238125"/>
                  <wp:effectExtent l="0" t="0" r="0" b="0"/>
                  <wp:wrapNone/>
                  <wp:docPr id="1863762359" name="Obdélník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590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22F89D" w14:textId="0CFF8035" w:rsidR="00E23E9E" w:rsidRPr="00E23E9E" w:rsidRDefault="00E23E9E" w:rsidP="00E23E9E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Školní rok 202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E23E9E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/2</w:t>
                              </w:r>
                              <w:r w:rsidR="006F282F">
                                <w:rPr>
                                  <w:color w:val="000000" w:themeColor="text1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54A1AF70" id="Obdélník 7" o:spid="_x0000_s1026" style="position:absolute;left:0;text-align:left;margin-left:185.55pt;margin-top:-1.25pt;width:125.2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" filled="f" stroked="f">
                  <v:textbox>
                    <w:txbxContent>
                      <w:p w14:paraId="6F22F89D" w14:textId="0CFF8035" w:rsidR="00E23E9E" w:rsidRPr="00E23E9E" w:rsidRDefault="00E23E9E" w:rsidP="00E23E9E">
                        <w:pPr>
                          <w:jc w:val="center"/>
                          <w:rPr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Školní rok 202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5</w:t>
                        </w:r>
                        <w:r w:rsidRPr="00E23E9E">
                          <w:rPr>
                            <w:color w:val="000000" w:themeColor="text1"/>
                            <w:sz w:val="16"/>
                            <w:szCs w:val="16"/>
                          </w:rPr>
                          <w:t>/2</w:t>
                        </w:r>
                        <w:r w:rsidR="006F282F">
                          <w:rPr>
                            <w:color w:val="000000" w:themeColor="text1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D3E66" w14:textId="210B961F" w:rsidR="001A5D69" w:rsidRPr="00F310A4" w:rsidRDefault="00F53068" w:rsidP="00561EBD">
    <w:pPr>
      <w:pStyle w:val="Zpat"/>
    </w:pPr>
    <w:r>
      <w:t>ČSÚ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9380286"/>
      <w:docPartObj>
        <w:docPartGallery w:val="Page Numbers (Bottom of Page)"/>
        <w:docPartUnique/>
      </w:docPartObj>
    </w:sdtPr>
    <w:sdtContent>
      <w:p w14:paraId="55555B0A" w14:textId="66A6EBC2" w:rsidR="00E23E9E" w:rsidRDefault="00E23E9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B20A2A" w14:textId="0EFA12F9" w:rsidR="001A5D69" w:rsidRDefault="00D70477">
    <w:pPr>
      <w:pStyle w:val="Zpat"/>
    </w:pPr>
    <w:r>
      <w:t>ČSÚ</w:t>
    </w:r>
    <w:r>
      <w:tab/>
      <w:t>Školní rok 2025/26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48A3" w14:textId="77777777" w:rsidR="00836A63" w:rsidRDefault="00836A63" w:rsidP="00E71A58">
      <w:r>
        <w:separator/>
      </w:r>
    </w:p>
  </w:footnote>
  <w:footnote w:type="continuationSeparator" w:id="0">
    <w:p w14:paraId="39DC5273" w14:textId="77777777" w:rsidR="00836A63" w:rsidRDefault="00836A63" w:rsidP="00E71A58">
      <w:r>
        <w:continuationSeparator/>
      </w:r>
    </w:p>
  </w:footnote>
  <w:footnote w:id="1">
    <w:p w14:paraId="3CFAE3CF" w14:textId="789847B8" w:rsidR="001A5D69" w:rsidRPr="00C02B48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Podle mezinárodní klasifikace ISCED se takové vzdělávání nazývá nižš</w:t>
      </w:r>
      <w:r>
        <w:rPr>
          <w:rFonts w:ascii="Arial" w:hAnsi="Arial" w:cs="Arial"/>
          <w:sz w:val="18"/>
          <w:szCs w:val="18"/>
        </w:rPr>
        <w:t>í sekundární a v Česku se do něj započítává i </w:t>
      </w:r>
      <w:r w:rsidRPr="00C02B48">
        <w:rPr>
          <w:rFonts w:ascii="Arial" w:hAnsi="Arial" w:cs="Arial"/>
          <w:sz w:val="18"/>
          <w:szCs w:val="18"/>
        </w:rPr>
        <w:t>2. stupeň základních škol a 1.</w:t>
      </w:r>
      <w:r w:rsidR="002C291A">
        <w:rPr>
          <w:rFonts w:ascii="Arial" w:hAnsi="Arial" w:cs="Arial"/>
          <w:sz w:val="18"/>
          <w:szCs w:val="18"/>
        </w:rPr>
        <w:t>–</w:t>
      </w:r>
      <w:r w:rsidRPr="00C02B48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 xml:space="preserve">. ročník osmileté konzervatoře – více viz zde: </w:t>
      </w:r>
      <w:hyperlink r:id="rId1" w:history="1">
        <w:r w:rsidRPr="00C02B48">
          <w:rPr>
            <w:rStyle w:val="Hypertextovodkaz"/>
            <w:rFonts w:ascii="Arial" w:hAnsi="Arial" w:cs="Arial"/>
            <w:sz w:val="18"/>
            <w:szCs w:val="18"/>
          </w:rPr>
          <w:t>www.czso.cz/csu/czso/klasifikace_vzdelani_cz_isced_2011</w:t>
        </w:r>
      </w:hyperlink>
    </w:p>
  </w:footnote>
  <w:footnote w:id="2">
    <w:p w14:paraId="00025897" w14:textId="1E6BCB84" w:rsidR="001A5D69" w:rsidRPr="00C02B48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Školou je myšlen subjekt s</w:t>
      </w:r>
      <w:r w:rsidR="003C368A">
        <w:rPr>
          <w:rFonts w:ascii="Arial" w:hAnsi="Arial" w:cs="Arial"/>
          <w:sz w:val="18"/>
          <w:szCs w:val="18"/>
        </w:rPr>
        <w:t> rezortním identifikátorem (IZO) v Rejstříku škol a školských zařízení</w:t>
      </w:r>
      <w:r w:rsidRPr="00C02B48">
        <w:rPr>
          <w:rFonts w:ascii="Arial" w:hAnsi="Arial" w:cs="Arial"/>
          <w:sz w:val="18"/>
          <w:szCs w:val="18"/>
        </w:rPr>
        <w:t>, které může zahrnovat více odloučených pracovišť.</w:t>
      </w:r>
    </w:p>
  </w:footnote>
  <w:footnote w:id="3">
    <w:p w14:paraId="750D4AE8" w14:textId="3970B0BA" w:rsidR="001A5D69" w:rsidRPr="00C02B48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Připomeňme</w:t>
      </w:r>
      <w:r w:rsidRPr="00383B78">
        <w:rPr>
          <w:rFonts w:ascii="Arial" w:hAnsi="Arial" w:cs="Arial"/>
          <w:sz w:val="18"/>
          <w:szCs w:val="18"/>
        </w:rPr>
        <w:t>, že 96,</w:t>
      </w:r>
      <w:r w:rsidR="00B634DD">
        <w:rPr>
          <w:rFonts w:ascii="Arial" w:hAnsi="Arial" w:cs="Arial"/>
          <w:sz w:val="18"/>
          <w:szCs w:val="18"/>
        </w:rPr>
        <w:t>0</w:t>
      </w:r>
      <w:r w:rsidRPr="00383B78">
        <w:rPr>
          <w:rFonts w:ascii="Arial" w:hAnsi="Arial" w:cs="Arial"/>
          <w:sz w:val="18"/>
          <w:szCs w:val="18"/>
        </w:rPr>
        <w:t xml:space="preserve"> % žáků základních</w:t>
      </w:r>
      <w:r w:rsidRPr="00C02B48">
        <w:rPr>
          <w:rFonts w:ascii="Arial" w:hAnsi="Arial" w:cs="Arial"/>
          <w:sz w:val="18"/>
          <w:szCs w:val="18"/>
        </w:rPr>
        <w:t xml:space="preserve"> škol navštěvovaly školy veřejného zřizovatele. U středních škol tak hrají soukromé školy mnohem větší úlohu než u škol základních.</w:t>
      </w:r>
    </w:p>
  </w:footnote>
  <w:footnote w:id="4">
    <w:p w14:paraId="19FF8D03" w14:textId="21201938" w:rsidR="001A5D69" w:rsidRPr="00C02B48" w:rsidRDefault="001A5D69" w:rsidP="00FA7769">
      <w:pPr>
        <w:pStyle w:val="Textpoznpodarou"/>
        <w:rPr>
          <w:rFonts w:ascii="Arial" w:hAnsi="Arial" w:cs="Arial"/>
          <w:sz w:val="18"/>
          <w:szCs w:val="18"/>
        </w:rPr>
      </w:pPr>
      <w:r w:rsidRPr="00C02B48">
        <w:rPr>
          <w:rStyle w:val="Znakapoznpodarou"/>
          <w:rFonts w:ascii="Arial" w:hAnsi="Arial" w:cs="Arial"/>
          <w:sz w:val="18"/>
          <w:szCs w:val="18"/>
        </w:rPr>
        <w:footnoteRef/>
      </w:r>
      <w:r w:rsidRPr="00C02B48">
        <w:rPr>
          <w:rFonts w:ascii="Arial" w:hAnsi="Arial" w:cs="Arial"/>
          <w:sz w:val="18"/>
          <w:szCs w:val="18"/>
        </w:rPr>
        <w:t xml:space="preserve"> více o této klasifikaci viz zde: </w:t>
      </w:r>
      <w:hyperlink r:id="rId2" w:history="1">
        <w:r w:rsidRPr="00C02B48">
          <w:rPr>
            <w:rStyle w:val="Hypertextovodkaz"/>
            <w:rFonts w:ascii="Arial" w:hAnsi="Arial" w:cs="Arial"/>
            <w:sz w:val="18"/>
            <w:szCs w:val="18"/>
          </w:rPr>
          <w:t>www.czso.cz/csu/czso/klasifikace_kmenovych_oboru_vzdelani_</w:t>
        </w:r>
        <w:r w:rsidR="002C291A">
          <w:rPr>
            <w:rStyle w:val="Hypertextovodkaz"/>
            <w:rFonts w:ascii="Arial" w:hAnsi="Arial" w:cs="Arial"/>
            <w:sz w:val="18"/>
            <w:szCs w:val="18"/>
          </w:rPr>
          <w:t>–</w:t>
        </w:r>
        <w:r w:rsidRPr="00C02B48">
          <w:rPr>
            <w:rStyle w:val="Hypertextovodkaz"/>
            <w:rFonts w:ascii="Arial" w:hAnsi="Arial" w:cs="Arial"/>
            <w:sz w:val="18"/>
            <w:szCs w:val="18"/>
          </w:rPr>
          <w:t>kkov</w:t>
        </w:r>
        <w:r w:rsidR="002C291A">
          <w:rPr>
            <w:rStyle w:val="Hypertextovodkaz"/>
            <w:rFonts w:ascii="Arial" w:hAnsi="Arial" w:cs="Arial"/>
            <w:sz w:val="18"/>
            <w:szCs w:val="18"/>
          </w:rPr>
          <w:t>–</w:t>
        </w:r>
      </w:hyperlink>
      <w:r w:rsidRPr="00C02B48">
        <w:rPr>
          <w:rFonts w:ascii="Arial" w:hAnsi="Arial" w:cs="Arial"/>
          <w:sz w:val="18"/>
          <w:szCs w:val="18"/>
        </w:rPr>
        <w:t xml:space="preserve"> </w:t>
      </w:r>
    </w:p>
  </w:footnote>
  <w:footnote w:id="5">
    <w:p w14:paraId="7BD16E8C" w14:textId="77777777" w:rsidR="001A5D69" w:rsidRPr="0088001A" w:rsidRDefault="001A5D69" w:rsidP="00FA7769">
      <w:pPr>
        <w:pStyle w:val="Textpoznpodarou"/>
        <w:rPr>
          <w:rFonts w:ascii="Arial" w:hAnsi="Arial" w:cs="Arial"/>
          <w:sz w:val="18"/>
          <w:szCs w:val="18"/>
        </w:rPr>
      </w:pPr>
      <w:r w:rsidRPr="0088001A">
        <w:rPr>
          <w:rStyle w:val="Znakapoznpodarou"/>
          <w:rFonts w:ascii="Arial" w:hAnsi="Arial" w:cs="Arial"/>
          <w:sz w:val="18"/>
          <w:szCs w:val="18"/>
        </w:rPr>
        <w:footnoteRef/>
      </w:r>
      <w:r w:rsidRPr="0088001A">
        <w:rPr>
          <w:rFonts w:ascii="Arial" w:hAnsi="Arial" w:cs="Arial"/>
          <w:sz w:val="18"/>
          <w:szCs w:val="18"/>
        </w:rPr>
        <w:t xml:space="preserve"> Zahrnuje podnikání, administrativu, ekonomiku a management různých odvětví.</w:t>
      </w:r>
    </w:p>
  </w:footnote>
  <w:footnote w:id="6">
    <w:p w14:paraId="2C8AF57C" w14:textId="77777777" w:rsidR="001A5D69" w:rsidRPr="00A70867" w:rsidRDefault="001A5D69" w:rsidP="00665915">
      <w:pPr>
        <w:pStyle w:val="Textpoznpodarou"/>
        <w:rPr>
          <w:rFonts w:ascii="Arial" w:hAnsi="Arial" w:cs="Arial"/>
          <w:sz w:val="18"/>
          <w:szCs w:val="18"/>
        </w:rPr>
      </w:pPr>
      <w:r w:rsidRPr="00A70867">
        <w:rPr>
          <w:rStyle w:val="Znakapoznpodarou"/>
          <w:rFonts w:ascii="Arial" w:hAnsi="Arial" w:cs="Arial"/>
          <w:sz w:val="18"/>
          <w:szCs w:val="18"/>
        </w:rPr>
        <w:footnoteRef/>
      </w:r>
      <w:r w:rsidRPr="00A70867">
        <w:rPr>
          <w:rFonts w:ascii="Arial" w:hAnsi="Arial" w:cs="Arial"/>
          <w:sz w:val="18"/>
          <w:szCs w:val="18"/>
        </w:rPr>
        <w:t xml:space="preserve"> Za postižené více vadami se považuje dítě se dvěma nebo více druhy postižení, ze</w:t>
      </w:r>
      <w:r>
        <w:rPr>
          <w:rFonts w:ascii="Arial" w:hAnsi="Arial" w:cs="Arial"/>
          <w:sz w:val="18"/>
          <w:szCs w:val="18"/>
        </w:rPr>
        <w:t xml:space="preserve"> kterých by každé opravňovalo k </w:t>
      </w:r>
      <w:r w:rsidRPr="00A70867">
        <w:rPr>
          <w:rFonts w:ascii="Arial" w:hAnsi="Arial" w:cs="Arial"/>
          <w:sz w:val="18"/>
          <w:szCs w:val="18"/>
        </w:rPr>
        <w:t>poskytování podpůrných opatření ve vyšších stupních podpory.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CA4AF" w14:textId="6FB95322" w:rsidR="001A5D69" w:rsidRPr="005859FB" w:rsidRDefault="00561EBD" w:rsidP="005859FB">
    <w:pPr>
      <w:pStyle w:val="Zhlav"/>
    </w:pPr>
    <w:r>
      <w:t>ŠKOLY A ŠKOLSKÁ ZAŘÍZENÍ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5A02" w14:textId="4FCE1FD9" w:rsidR="001A5D69" w:rsidRPr="006F5416" w:rsidRDefault="00561EBD" w:rsidP="00937AE2">
    <w:pPr>
      <w:pStyle w:val="Zhlav"/>
    </w:pPr>
    <w:r>
      <w:t>ŠKOLY A ŠKOLSKÁ ZAŘÍZENÍ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63C3" w14:textId="55AA9791" w:rsidR="001A5D69" w:rsidRDefault="00561EBD">
    <w:pPr>
      <w:pStyle w:val="Zhlav"/>
    </w:pPr>
    <w:r>
      <w:t>ŠKOLY A ŠKOLSKÁ ZAŘÍZENÍ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2032D4"/>
    <w:multiLevelType w:val="hybridMultilevel"/>
    <w:tmpl w:val="865A8EB2"/>
    <w:lvl w:ilvl="0" w:tplc="F68AA2A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86CF8"/>
    <w:multiLevelType w:val="hybridMultilevel"/>
    <w:tmpl w:val="8F04F4D0"/>
    <w:lvl w:ilvl="0" w:tplc="551462F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sz w:val="16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3C0581"/>
    <w:multiLevelType w:val="hybridMultilevel"/>
    <w:tmpl w:val="B43AA336"/>
    <w:lvl w:ilvl="0" w:tplc="DD7EA3F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515D5"/>
    <w:multiLevelType w:val="hybridMultilevel"/>
    <w:tmpl w:val="694E5828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8D4AED"/>
    <w:multiLevelType w:val="hybridMultilevel"/>
    <w:tmpl w:val="891EC2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660CAC"/>
    <w:multiLevelType w:val="hybridMultilevel"/>
    <w:tmpl w:val="D66EF99C"/>
    <w:lvl w:ilvl="0" w:tplc="578C2E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E18D8"/>
    <w:multiLevelType w:val="hybridMultilevel"/>
    <w:tmpl w:val="89806270"/>
    <w:lvl w:ilvl="0" w:tplc="578C2E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353796B"/>
    <w:multiLevelType w:val="hybridMultilevel"/>
    <w:tmpl w:val="B86EC8CA"/>
    <w:lvl w:ilvl="0" w:tplc="0434936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B3FC5"/>
    <w:multiLevelType w:val="hybridMultilevel"/>
    <w:tmpl w:val="BE22CC88"/>
    <w:lvl w:ilvl="0" w:tplc="7A5E05C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072045">
    <w:abstractNumId w:val="16"/>
  </w:num>
  <w:num w:numId="2" w16cid:durableId="753012015">
    <w:abstractNumId w:val="8"/>
  </w:num>
  <w:num w:numId="3" w16cid:durableId="1054281812">
    <w:abstractNumId w:val="3"/>
  </w:num>
  <w:num w:numId="4" w16cid:durableId="807018477">
    <w:abstractNumId w:val="2"/>
  </w:num>
  <w:num w:numId="5" w16cid:durableId="338311021">
    <w:abstractNumId w:val="1"/>
  </w:num>
  <w:num w:numId="6" w16cid:durableId="799226045">
    <w:abstractNumId w:val="0"/>
  </w:num>
  <w:num w:numId="7" w16cid:durableId="812873556">
    <w:abstractNumId w:val="9"/>
  </w:num>
  <w:num w:numId="8" w16cid:durableId="1474786936">
    <w:abstractNumId w:val="7"/>
  </w:num>
  <w:num w:numId="9" w16cid:durableId="1827088980">
    <w:abstractNumId w:val="6"/>
  </w:num>
  <w:num w:numId="10" w16cid:durableId="527915467">
    <w:abstractNumId w:val="5"/>
  </w:num>
  <w:num w:numId="11" w16cid:durableId="1205872569">
    <w:abstractNumId w:val="4"/>
  </w:num>
  <w:num w:numId="12" w16cid:durableId="978455490">
    <w:abstractNumId w:val="14"/>
  </w:num>
  <w:num w:numId="13" w16cid:durableId="922881525">
    <w:abstractNumId w:val="17"/>
  </w:num>
  <w:num w:numId="14" w16cid:durableId="270360960">
    <w:abstractNumId w:val="20"/>
  </w:num>
  <w:num w:numId="15" w16cid:durableId="1260675628">
    <w:abstractNumId w:val="15"/>
  </w:num>
  <w:num w:numId="16" w16cid:durableId="764494647">
    <w:abstractNumId w:val="10"/>
  </w:num>
  <w:num w:numId="17" w16cid:durableId="1617714048">
    <w:abstractNumId w:val="19"/>
  </w:num>
  <w:num w:numId="18" w16cid:durableId="1111439888">
    <w:abstractNumId w:val="12"/>
  </w:num>
  <w:num w:numId="19" w16cid:durableId="545484873">
    <w:abstractNumId w:val="13"/>
  </w:num>
  <w:num w:numId="20" w16cid:durableId="526483282">
    <w:abstractNumId w:val="18"/>
  </w:num>
  <w:num w:numId="21" w16cid:durableId="529027771">
    <w:abstractNumId w:val="11"/>
  </w:num>
  <w:num w:numId="22" w16cid:durableId="1790318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C12"/>
    <w:rsid w:val="00000B07"/>
    <w:rsid w:val="00000EF7"/>
    <w:rsid w:val="00001C7F"/>
    <w:rsid w:val="00001F1A"/>
    <w:rsid w:val="0000209D"/>
    <w:rsid w:val="000023AD"/>
    <w:rsid w:val="00002954"/>
    <w:rsid w:val="00002D74"/>
    <w:rsid w:val="000031F2"/>
    <w:rsid w:val="000037B4"/>
    <w:rsid w:val="00003B34"/>
    <w:rsid w:val="00004450"/>
    <w:rsid w:val="000046F2"/>
    <w:rsid w:val="00004D5A"/>
    <w:rsid w:val="000050C6"/>
    <w:rsid w:val="000051FE"/>
    <w:rsid w:val="000052EB"/>
    <w:rsid w:val="000056D5"/>
    <w:rsid w:val="00007555"/>
    <w:rsid w:val="0000767A"/>
    <w:rsid w:val="00010702"/>
    <w:rsid w:val="00010A21"/>
    <w:rsid w:val="000114E0"/>
    <w:rsid w:val="00011849"/>
    <w:rsid w:val="00011E0C"/>
    <w:rsid w:val="00012274"/>
    <w:rsid w:val="00012510"/>
    <w:rsid w:val="000129C3"/>
    <w:rsid w:val="00012C40"/>
    <w:rsid w:val="00012F22"/>
    <w:rsid w:val="00012F6E"/>
    <w:rsid w:val="000136A4"/>
    <w:rsid w:val="0001389E"/>
    <w:rsid w:val="00013F31"/>
    <w:rsid w:val="00014284"/>
    <w:rsid w:val="00014499"/>
    <w:rsid w:val="00014D8F"/>
    <w:rsid w:val="00014F55"/>
    <w:rsid w:val="00015CF8"/>
    <w:rsid w:val="00016992"/>
    <w:rsid w:val="00016CA9"/>
    <w:rsid w:val="00017BDF"/>
    <w:rsid w:val="00017D11"/>
    <w:rsid w:val="00017D13"/>
    <w:rsid w:val="00021636"/>
    <w:rsid w:val="000216C6"/>
    <w:rsid w:val="00021BA7"/>
    <w:rsid w:val="00022148"/>
    <w:rsid w:val="000224E7"/>
    <w:rsid w:val="000234D6"/>
    <w:rsid w:val="00023AA4"/>
    <w:rsid w:val="00023D29"/>
    <w:rsid w:val="00023F23"/>
    <w:rsid w:val="00024EB8"/>
    <w:rsid w:val="000253CC"/>
    <w:rsid w:val="0002572C"/>
    <w:rsid w:val="000259A0"/>
    <w:rsid w:val="00026389"/>
    <w:rsid w:val="00026C84"/>
    <w:rsid w:val="00026E8D"/>
    <w:rsid w:val="0002773A"/>
    <w:rsid w:val="00030B6D"/>
    <w:rsid w:val="00030F52"/>
    <w:rsid w:val="00031209"/>
    <w:rsid w:val="000314D4"/>
    <w:rsid w:val="00031AE0"/>
    <w:rsid w:val="000322EF"/>
    <w:rsid w:val="000330C0"/>
    <w:rsid w:val="00033587"/>
    <w:rsid w:val="00033EFE"/>
    <w:rsid w:val="00033FA8"/>
    <w:rsid w:val="00033FCD"/>
    <w:rsid w:val="000344B6"/>
    <w:rsid w:val="000346D2"/>
    <w:rsid w:val="00035401"/>
    <w:rsid w:val="0003595E"/>
    <w:rsid w:val="000367D8"/>
    <w:rsid w:val="000368A6"/>
    <w:rsid w:val="00036B68"/>
    <w:rsid w:val="00036C45"/>
    <w:rsid w:val="0003718B"/>
    <w:rsid w:val="000373E4"/>
    <w:rsid w:val="00040343"/>
    <w:rsid w:val="0004057F"/>
    <w:rsid w:val="000406B9"/>
    <w:rsid w:val="0004121F"/>
    <w:rsid w:val="000413F5"/>
    <w:rsid w:val="000414A4"/>
    <w:rsid w:val="000418A8"/>
    <w:rsid w:val="00041CEC"/>
    <w:rsid w:val="000421D8"/>
    <w:rsid w:val="00042472"/>
    <w:rsid w:val="00042719"/>
    <w:rsid w:val="00043865"/>
    <w:rsid w:val="000442C8"/>
    <w:rsid w:val="0004467E"/>
    <w:rsid w:val="00044B61"/>
    <w:rsid w:val="0004548F"/>
    <w:rsid w:val="000455C6"/>
    <w:rsid w:val="000456A5"/>
    <w:rsid w:val="000459D5"/>
    <w:rsid w:val="00045C29"/>
    <w:rsid w:val="00045D31"/>
    <w:rsid w:val="00046247"/>
    <w:rsid w:val="00046372"/>
    <w:rsid w:val="00046393"/>
    <w:rsid w:val="00046430"/>
    <w:rsid w:val="0004694F"/>
    <w:rsid w:val="000469D8"/>
    <w:rsid w:val="00046C2B"/>
    <w:rsid w:val="00046D4E"/>
    <w:rsid w:val="000473B9"/>
    <w:rsid w:val="0004758E"/>
    <w:rsid w:val="000476CE"/>
    <w:rsid w:val="00047B4D"/>
    <w:rsid w:val="000504CE"/>
    <w:rsid w:val="00050A4A"/>
    <w:rsid w:val="000512A3"/>
    <w:rsid w:val="000518AB"/>
    <w:rsid w:val="00051EBB"/>
    <w:rsid w:val="000522E4"/>
    <w:rsid w:val="00052722"/>
    <w:rsid w:val="000530DE"/>
    <w:rsid w:val="000532DE"/>
    <w:rsid w:val="000537A2"/>
    <w:rsid w:val="0005392F"/>
    <w:rsid w:val="00054851"/>
    <w:rsid w:val="00054EB9"/>
    <w:rsid w:val="00054F20"/>
    <w:rsid w:val="0005583F"/>
    <w:rsid w:val="0005612A"/>
    <w:rsid w:val="000564AE"/>
    <w:rsid w:val="00056B3A"/>
    <w:rsid w:val="00056F13"/>
    <w:rsid w:val="00056F30"/>
    <w:rsid w:val="00056F98"/>
    <w:rsid w:val="000600CC"/>
    <w:rsid w:val="00060162"/>
    <w:rsid w:val="00060973"/>
    <w:rsid w:val="00060A25"/>
    <w:rsid w:val="000610E1"/>
    <w:rsid w:val="0006164B"/>
    <w:rsid w:val="00062476"/>
    <w:rsid w:val="00062CD3"/>
    <w:rsid w:val="00062EC5"/>
    <w:rsid w:val="00062F22"/>
    <w:rsid w:val="000631CF"/>
    <w:rsid w:val="00063A01"/>
    <w:rsid w:val="000640E1"/>
    <w:rsid w:val="00064491"/>
    <w:rsid w:val="00064844"/>
    <w:rsid w:val="000648BE"/>
    <w:rsid w:val="00064A90"/>
    <w:rsid w:val="00065051"/>
    <w:rsid w:val="00065432"/>
    <w:rsid w:val="0006559B"/>
    <w:rsid w:val="00065939"/>
    <w:rsid w:val="00065D55"/>
    <w:rsid w:val="00065DC9"/>
    <w:rsid w:val="00066168"/>
    <w:rsid w:val="000662EC"/>
    <w:rsid w:val="00066569"/>
    <w:rsid w:val="00066F37"/>
    <w:rsid w:val="00067D57"/>
    <w:rsid w:val="00067EFF"/>
    <w:rsid w:val="00070110"/>
    <w:rsid w:val="00070303"/>
    <w:rsid w:val="0007048F"/>
    <w:rsid w:val="000712B3"/>
    <w:rsid w:val="00071DDF"/>
    <w:rsid w:val="00072D5C"/>
    <w:rsid w:val="00072DC6"/>
    <w:rsid w:val="00072FCD"/>
    <w:rsid w:val="0007464E"/>
    <w:rsid w:val="00074945"/>
    <w:rsid w:val="00074AD4"/>
    <w:rsid w:val="00074F2A"/>
    <w:rsid w:val="00075235"/>
    <w:rsid w:val="0007535D"/>
    <w:rsid w:val="000759B0"/>
    <w:rsid w:val="00076DFC"/>
    <w:rsid w:val="0007740A"/>
    <w:rsid w:val="00077BD2"/>
    <w:rsid w:val="00081CB3"/>
    <w:rsid w:val="00081DD4"/>
    <w:rsid w:val="00082393"/>
    <w:rsid w:val="0008263E"/>
    <w:rsid w:val="00082C19"/>
    <w:rsid w:val="00083744"/>
    <w:rsid w:val="00083E6D"/>
    <w:rsid w:val="0008474B"/>
    <w:rsid w:val="000851C8"/>
    <w:rsid w:val="00085395"/>
    <w:rsid w:val="00085B98"/>
    <w:rsid w:val="00085FF4"/>
    <w:rsid w:val="00086A75"/>
    <w:rsid w:val="00087634"/>
    <w:rsid w:val="000879C8"/>
    <w:rsid w:val="00087CAE"/>
    <w:rsid w:val="00087D9B"/>
    <w:rsid w:val="00087F2B"/>
    <w:rsid w:val="0009041B"/>
    <w:rsid w:val="0009074B"/>
    <w:rsid w:val="00090EE1"/>
    <w:rsid w:val="000910EB"/>
    <w:rsid w:val="00091134"/>
    <w:rsid w:val="000916D1"/>
    <w:rsid w:val="000917DE"/>
    <w:rsid w:val="000917FC"/>
    <w:rsid w:val="00091BCC"/>
    <w:rsid w:val="00091D15"/>
    <w:rsid w:val="00091E88"/>
    <w:rsid w:val="000921D2"/>
    <w:rsid w:val="00092EDC"/>
    <w:rsid w:val="0009362C"/>
    <w:rsid w:val="00093A69"/>
    <w:rsid w:val="00094B99"/>
    <w:rsid w:val="00095F97"/>
    <w:rsid w:val="00096211"/>
    <w:rsid w:val="000966A8"/>
    <w:rsid w:val="0009685B"/>
    <w:rsid w:val="000974D1"/>
    <w:rsid w:val="0009799E"/>
    <w:rsid w:val="00097A5E"/>
    <w:rsid w:val="00097BF1"/>
    <w:rsid w:val="000A0794"/>
    <w:rsid w:val="000A1183"/>
    <w:rsid w:val="000A256D"/>
    <w:rsid w:val="000A2E13"/>
    <w:rsid w:val="000A3411"/>
    <w:rsid w:val="000A3878"/>
    <w:rsid w:val="000A3A2C"/>
    <w:rsid w:val="000A3C52"/>
    <w:rsid w:val="000A3D2E"/>
    <w:rsid w:val="000A4929"/>
    <w:rsid w:val="000A4CB3"/>
    <w:rsid w:val="000A62A4"/>
    <w:rsid w:val="000A633A"/>
    <w:rsid w:val="000A6708"/>
    <w:rsid w:val="000A708D"/>
    <w:rsid w:val="000A71E5"/>
    <w:rsid w:val="000A7838"/>
    <w:rsid w:val="000B1029"/>
    <w:rsid w:val="000B1FBB"/>
    <w:rsid w:val="000B238D"/>
    <w:rsid w:val="000B2821"/>
    <w:rsid w:val="000B30F3"/>
    <w:rsid w:val="000B30FA"/>
    <w:rsid w:val="000B31A5"/>
    <w:rsid w:val="000B3675"/>
    <w:rsid w:val="000B399A"/>
    <w:rsid w:val="000B3A31"/>
    <w:rsid w:val="000B48AE"/>
    <w:rsid w:val="000B4AD2"/>
    <w:rsid w:val="000B4FBC"/>
    <w:rsid w:val="000B5174"/>
    <w:rsid w:val="000B55B4"/>
    <w:rsid w:val="000B55D2"/>
    <w:rsid w:val="000B5612"/>
    <w:rsid w:val="000B5943"/>
    <w:rsid w:val="000B5EC1"/>
    <w:rsid w:val="000B6250"/>
    <w:rsid w:val="000B6537"/>
    <w:rsid w:val="000B680C"/>
    <w:rsid w:val="000B6A02"/>
    <w:rsid w:val="000B7078"/>
    <w:rsid w:val="000B741A"/>
    <w:rsid w:val="000B785C"/>
    <w:rsid w:val="000B7EE5"/>
    <w:rsid w:val="000C0FB7"/>
    <w:rsid w:val="000C12F5"/>
    <w:rsid w:val="000C14A1"/>
    <w:rsid w:val="000C1930"/>
    <w:rsid w:val="000C276F"/>
    <w:rsid w:val="000C2A76"/>
    <w:rsid w:val="000C2FE5"/>
    <w:rsid w:val="000C2FF8"/>
    <w:rsid w:val="000C3380"/>
    <w:rsid w:val="000C3408"/>
    <w:rsid w:val="000C342A"/>
    <w:rsid w:val="000C353B"/>
    <w:rsid w:val="000C49BD"/>
    <w:rsid w:val="000C4FDA"/>
    <w:rsid w:val="000C5757"/>
    <w:rsid w:val="000C5ACF"/>
    <w:rsid w:val="000C5FB8"/>
    <w:rsid w:val="000C6151"/>
    <w:rsid w:val="000C61DB"/>
    <w:rsid w:val="000C6354"/>
    <w:rsid w:val="000C6AFD"/>
    <w:rsid w:val="000C7030"/>
    <w:rsid w:val="000C76BD"/>
    <w:rsid w:val="000C78D0"/>
    <w:rsid w:val="000D06F1"/>
    <w:rsid w:val="000D0F6D"/>
    <w:rsid w:val="000D0FF4"/>
    <w:rsid w:val="000D12ED"/>
    <w:rsid w:val="000D3BF8"/>
    <w:rsid w:val="000D421D"/>
    <w:rsid w:val="000D5637"/>
    <w:rsid w:val="000D5D2D"/>
    <w:rsid w:val="000D68B4"/>
    <w:rsid w:val="000D7B11"/>
    <w:rsid w:val="000E0123"/>
    <w:rsid w:val="000E028D"/>
    <w:rsid w:val="000E08CA"/>
    <w:rsid w:val="000E090D"/>
    <w:rsid w:val="000E1FA2"/>
    <w:rsid w:val="000E257A"/>
    <w:rsid w:val="000E2B3F"/>
    <w:rsid w:val="000E2EFF"/>
    <w:rsid w:val="000E305F"/>
    <w:rsid w:val="000E3DFE"/>
    <w:rsid w:val="000E5084"/>
    <w:rsid w:val="000E55BB"/>
    <w:rsid w:val="000E5792"/>
    <w:rsid w:val="000E5D4D"/>
    <w:rsid w:val="000E6FBD"/>
    <w:rsid w:val="000E7C6C"/>
    <w:rsid w:val="000F0087"/>
    <w:rsid w:val="000F01DD"/>
    <w:rsid w:val="000F08DE"/>
    <w:rsid w:val="000F1077"/>
    <w:rsid w:val="000F187D"/>
    <w:rsid w:val="000F1C2C"/>
    <w:rsid w:val="000F1D75"/>
    <w:rsid w:val="000F1ECE"/>
    <w:rsid w:val="000F281C"/>
    <w:rsid w:val="000F29D7"/>
    <w:rsid w:val="000F2B5C"/>
    <w:rsid w:val="000F2F9C"/>
    <w:rsid w:val="000F3289"/>
    <w:rsid w:val="000F331D"/>
    <w:rsid w:val="000F4153"/>
    <w:rsid w:val="000F42DB"/>
    <w:rsid w:val="000F4596"/>
    <w:rsid w:val="000F4C96"/>
    <w:rsid w:val="000F51EF"/>
    <w:rsid w:val="000F54F7"/>
    <w:rsid w:val="000F5AE1"/>
    <w:rsid w:val="000F5B6B"/>
    <w:rsid w:val="000F5BD3"/>
    <w:rsid w:val="000F5CBB"/>
    <w:rsid w:val="000F5E18"/>
    <w:rsid w:val="000F5FF8"/>
    <w:rsid w:val="000F6264"/>
    <w:rsid w:val="000F6286"/>
    <w:rsid w:val="000F65AB"/>
    <w:rsid w:val="000F6A4A"/>
    <w:rsid w:val="000F7184"/>
    <w:rsid w:val="000F7372"/>
    <w:rsid w:val="000F785A"/>
    <w:rsid w:val="0010092F"/>
    <w:rsid w:val="00100F5C"/>
    <w:rsid w:val="00101154"/>
    <w:rsid w:val="001018C6"/>
    <w:rsid w:val="00102266"/>
    <w:rsid w:val="00102C09"/>
    <w:rsid w:val="00102C63"/>
    <w:rsid w:val="00102C65"/>
    <w:rsid w:val="00102D0D"/>
    <w:rsid w:val="00102F77"/>
    <w:rsid w:val="00103093"/>
    <w:rsid w:val="00103103"/>
    <w:rsid w:val="00103951"/>
    <w:rsid w:val="0010437D"/>
    <w:rsid w:val="00104C4C"/>
    <w:rsid w:val="00105E3B"/>
    <w:rsid w:val="001063CD"/>
    <w:rsid w:val="00106559"/>
    <w:rsid w:val="0010682E"/>
    <w:rsid w:val="00106B1B"/>
    <w:rsid w:val="00106F93"/>
    <w:rsid w:val="00106FEC"/>
    <w:rsid w:val="001070DB"/>
    <w:rsid w:val="001100BA"/>
    <w:rsid w:val="00110CB1"/>
    <w:rsid w:val="00111346"/>
    <w:rsid w:val="001122A8"/>
    <w:rsid w:val="00112537"/>
    <w:rsid w:val="001125B3"/>
    <w:rsid w:val="00112736"/>
    <w:rsid w:val="00112D0E"/>
    <w:rsid w:val="001130E6"/>
    <w:rsid w:val="00113341"/>
    <w:rsid w:val="0011492A"/>
    <w:rsid w:val="00114C62"/>
    <w:rsid w:val="0011559C"/>
    <w:rsid w:val="00115826"/>
    <w:rsid w:val="00115D88"/>
    <w:rsid w:val="0011775B"/>
    <w:rsid w:val="00117E86"/>
    <w:rsid w:val="00120C63"/>
    <w:rsid w:val="00120CA7"/>
    <w:rsid w:val="00121059"/>
    <w:rsid w:val="001210D7"/>
    <w:rsid w:val="0012148A"/>
    <w:rsid w:val="001218C6"/>
    <w:rsid w:val="0012192F"/>
    <w:rsid w:val="00122106"/>
    <w:rsid w:val="00122206"/>
    <w:rsid w:val="0012250C"/>
    <w:rsid w:val="0012443A"/>
    <w:rsid w:val="00124443"/>
    <w:rsid w:val="00124CA5"/>
    <w:rsid w:val="00124D68"/>
    <w:rsid w:val="001259E3"/>
    <w:rsid w:val="00125D69"/>
    <w:rsid w:val="00126CE3"/>
    <w:rsid w:val="001301C4"/>
    <w:rsid w:val="00130ABD"/>
    <w:rsid w:val="001313EE"/>
    <w:rsid w:val="00131474"/>
    <w:rsid w:val="00131A45"/>
    <w:rsid w:val="001322DD"/>
    <w:rsid w:val="001325E0"/>
    <w:rsid w:val="0013313C"/>
    <w:rsid w:val="001337D0"/>
    <w:rsid w:val="001338DA"/>
    <w:rsid w:val="00133F68"/>
    <w:rsid w:val="00134C78"/>
    <w:rsid w:val="00135094"/>
    <w:rsid w:val="001350AD"/>
    <w:rsid w:val="001352DA"/>
    <w:rsid w:val="00135B02"/>
    <w:rsid w:val="00135B65"/>
    <w:rsid w:val="00135E64"/>
    <w:rsid w:val="0013625F"/>
    <w:rsid w:val="0013679A"/>
    <w:rsid w:val="00136894"/>
    <w:rsid w:val="00140190"/>
    <w:rsid w:val="00140345"/>
    <w:rsid w:val="001405FA"/>
    <w:rsid w:val="00140C07"/>
    <w:rsid w:val="00141215"/>
    <w:rsid w:val="00141253"/>
    <w:rsid w:val="00141591"/>
    <w:rsid w:val="00141828"/>
    <w:rsid w:val="001425C3"/>
    <w:rsid w:val="00142903"/>
    <w:rsid w:val="00142DEB"/>
    <w:rsid w:val="00142E1E"/>
    <w:rsid w:val="001430AD"/>
    <w:rsid w:val="00143103"/>
    <w:rsid w:val="00143649"/>
    <w:rsid w:val="00143675"/>
    <w:rsid w:val="001437FE"/>
    <w:rsid w:val="0014441E"/>
    <w:rsid w:val="00144C2B"/>
    <w:rsid w:val="00144CC4"/>
    <w:rsid w:val="001456D0"/>
    <w:rsid w:val="00145F4F"/>
    <w:rsid w:val="0014609C"/>
    <w:rsid w:val="00147A96"/>
    <w:rsid w:val="0015049E"/>
    <w:rsid w:val="001505DC"/>
    <w:rsid w:val="00150D28"/>
    <w:rsid w:val="0015235C"/>
    <w:rsid w:val="001526C3"/>
    <w:rsid w:val="00152969"/>
    <w:rsid w:val="00152CDD"/>
    <w:rsid w:val="001532A2"/>
    <w:rsid w:val="00153654"/>
    <w:rsid w:val="001548D3"/>
    <w:rsid w:val="00154E7D"/>
    <w:rsid w:val="0015575E"/>
    <w:rsid w:val="001557EB"/>
    <w:rsid w:val="00156D16"/>
    <w:rsid w:val="00157CE5"/>
    <w:rsid w:val="00157E69"/>
    <w:rsid w:val="001601BB"/>
    <w:rsid w:val="001603E4"/>
    <w:rsid w:val="00160C9C"/>
    <w:rsid w:val="00160CCF"/>
    <w:rsid w:val="001612A9"/>
    <w:rsid w:val="00161404"/>
    <w:rsid w:val="00161648"/>
    <w:rsid w:val="00161691"/>
    <w:rsid w:val="0016256B"/>
    <w:rsid w:val="00162DAF"/>
    <w:rsid w:val="001635E3"/>
    <w:rsid w:val="00163793"/>
    <w:rsid w:val="00163B40"/>
    <w:rsid w:val="001646AA"/>
    <w:rsid w:val="00164B11"/>
    <w:rsid w:val="00164DC5"/>
    <w:rsid w:val="00164E89"/>
    <w:rsid w:val="00165363"/>
    <w:rsid w:val="001667C0"/>
    <w:rsid w:val="00167DB6"/>
    <w:rsid w:val="00167ED3"/>
    <w:rsid w:val="001706D6"/>
    <w:rsid w:val="001710FD"/>
    <w:rsid w:val="001714F2"/>
    <w:rsid w:val="001715FF"/>
    <w:rsid w:val="00171A39"/>
    <w:rsid w:val="00171AB7"/>
    <w:rsid w:val="001720A3"/>
    <w:rsid w:val="00172128"/>
    <w:rsid w:val="00173641"/>
    <w:rsid w:val="00173F33"/>
    <w:rsid w:val="00175720"/>
    <w:rsid w:val="0017647F"/>
    <w:rsid w:val="001764DA"/>
    <w:rsid w:val="0017666C"/>
    <w:rsid w:val="00180AF0"/>
    <w:rsid w:val="00180B35"/>
    <w:rsid w:val="00180C3A"/>
    <w:rsid w:val="00180CEE"/>
    <w:rsid w:val="00181007"/>
    <w:rsid w:val="001810E3"/>
    <w:rsid w:val="00181C5F"/>
    <w:rsid w:val="0018265D"/>
    <w:rsid w:val="00182836"/>
    <w:rsid w:val="00182E90"/>
    <w:rsid w:val="0018479F"/>
    <w:rsid w:val="00184B08"/>
    <w:rsid w:val="00184DA9"/>
    <w:rsid w:val="00185010"/>
    <w:rsid w:val="001859DA"/>
    <w:rsid w:val="00185EC0"/>
    <w:rsid w:val="00186298"/>
    <w:rsid w:val="001867EC"/>
    <w:rsid w:val="001875B9"/>
    <w:rsid w:val="00190DB8"/>
    <w:rsid w:val="00190F5D"/>
    <w:rsid w:val="001918B2"/>
    <w:rsid w:val="00192060"/>
    <w:rsid w:val="00192095"/>
    <w:rsid w:val="001921A2"/>
    <w:rsid w:val="001928AC"/>
    <w:rsid w:val="00192B52"/>
    <w:rsid w:val="00192D7B"/>
    <w:rsid w:val="00192FD9"/>
    <w:rsid w:val="00193657"/>
    <w:rsid w:val="00193677"/>
    <w:rsid w:val="001947BA"/>
    <w:rsid w:val="00196098"/>
    <w:rsid w:val="00196337"/>
    <w:rsid w:val="0019696B"/>
    <w:rsid w:val="00196C57"/>
    <w:rsid w:val="00197101"/>
    <w:rsid w:val="00197136"/>
    <w:rsid w:val="001A0168"/>
    <w:rsid w:val="001A05D8"/>
    <w:rsid w:val="001A06C3"/>
    <w:rsid w:val="001A0A6E"/>
    <w:rsid w:val="001A13AF"/>
    <w:rsid w:val="001A1415"/>
    <w:rsid w:val="001A2D20"/>
    <w:rsid w:val="001A3186"/>
    <w:rsid w:val="001A3486"/>
    <w:rsid w:val="001A3AF5"/>
    <w:rsid w:val="001A406A"/>
    <w:rsid w:val="001A4D56"/>
    <w:rsid w:val="001A4E80"/>
    <w:rsid w:val="001A552F"/>
    <w:rsid w:val="001A59E2"/>
    <w:rsid w:val="001A5D69"/>
    <w:rsid w:val="001A67BF"/>
    <w:rsid w:val="001A71FB"/>
    <w:rsid w:val="001A79B9"/>
    <w:rsid w:val="001B0975"/>
    <w:rsid w:val="001B0BCC"/>
    <w:rsid w:val="001B0FE4"/>
    <w:rsid w:val="001B1027"/>
    <w:rsid w:val="001B15CC"/>
    <w:rsid w:val="001B1637"/>
    <w:rsid w:val="001B18FD"/>
    <w:rsid w:val="001B1E51"/>
    <w:rsid w:val="001B2306"/>
    <w:rsid w:val="001B267B"/>
    <w:rsid w:val="001B2768"/>
    <w:rsid w:val="001B2A54"/>
    <w:rsid w:val="001B2CA9"/>
    <w:rsid w:val="001B3110"/>
    <w:rsid w:val="001B3415"/>
    <w:rsid w:val="001B373F"/>
    <w:rsid w:val="001B3B75"/>
    <w:rsid w:val="001B3D8C"/>
    <w:rsid w:val="001B427F"/>
    <w:rsid w:val="001B4729"/>
    <w:rsid w:val="001B49D4"/>
    <w:rsid w:val="001B4AA0"/>
    <w:rsid w:val="001B4C3F"/>
    <w:rsid w:val="001B4F24"/>
    <w:rsid w:val="001B5267"/>
    <w:rsid w:val="001B5BEF"/>
    <w:rsid w:val="001B5D9B"/>
    <w:rsid w:val="001B667A"/>
    <w:rsid w:val="001B6C09"/>
    <w:rsid w:val="001B760A"/>
    <w:rsid w:val="001B7D45"/>
    <w:rsid w:val="001C0596"/>
    <w:rsid w:val="001C05CD"/>
    <w:rsid w:val="001C0797"/>
    <w:rsid w:val="001C0B47"/>
    <w:rsid w:val="001C0E7F"/>
    <w:rsid w:val="001C0F94"/>
    <w:rsid w:val="001C2608"/>
    <w:rsid w:val="001C26E8"/>
    <w:rsid w:val="001C2CF2"/>
    <w:rsid w:val="001C3868"/>
    <w:rsid w:val="001C38E8"/>
    <w:rsid w:val="001C7478"/>
    <w:rsid w:val="001C7C35"/>
    <w:rsid w:val="001C7D93"/>
    <w:rsid w:val="001C7E4C"/>
    <w:rsid w:val="001D004F"/>
    <w:rsid w:val="001D00F3"/>
    <w:rsid w:val="001D0882"/>
    <w:rsid w:val="001D0BA3"/>
    <w:rsid w:val="001D0E9E"/>
    <w:rsid w:val="001D1464"/>
    <w:rsid w:val="001D2566"/>
    <w:rsid w:val="001D2643"/>
    <w:rsid w:val="001D2DE1"/>
    <w:rsid w:val="001D3014"/>
    <w:rsid w:val="001D31E0"/>
    <w:rsid w:val="001D3A55"/>
    <w:rsid w:val="001D3DF1"/>
    <w:rsid w:val="001D4165"/>
    <w:rsid w:val="001D492A"/>
    <w:rsid w:val="001D5419"/>
    <w:rsid w:val="001D68B2"/>
    <w:rsid w:val="001D69DC"/>
    <w:rsid w:val="001D79AB"/>
    <w:rsid w:val="001D7B82"/>
    <w:rsid w:val="001D7EE6"/>
    <w:rsid w:val="001D7FE0"/>
    <w:rsid w:val="001E06CC"/>
    <w:rsid w:val="001E07F5"/>
    <w:rsid w:val="001E09A2"/>
    <w:rsid w:val="001E0AA0"/>
    <w:rsid w:val="001E1367"/>
    <w:rsid w:val="001E1D8B"/>
    <w:rsid w:val="001E219D"/>
    <w:rsid w:val="001E238F"/>
    <w:rsid w:val="001E2E39"/>
    <w:rsid w:val="001E2EF7"/>
    <w:rsid w:val="001E33E3"/>
    <w:rsid w:val="001E35C8"/>
    <w:rsid w:val="001E3828"/>
    <w:rsid w:val="001E4332"/>
    <w:rsid w:val="001E459E"/>
    <w:rsid w:val="001E54AB"/>
    <w:rsid w:val="001E57F4"/>
    <w:rsid w:val="001E5AE6"/>
    <w:rsid w:val="001E5D08"/>
    <w:rsid w:val="001E6244"/>
    <w:rsid w:val="001E6591"/>
    <w:rsid w:val="001E667E"/>
    <w:rsid w:val="001E69AB"/>
    <w:rsid w:val="001E79C5"/>
    <w:rsid w:val="001F0349"/>
    <w:rsid w:val="001F0BEB"/>
    <w:rsid w:val="001F1082"/>
    <w:rsid w:val="001F12FA"/>
    <w:rsid w:val="001F1388"/>
    <w:rsid w:val="001F1585"/>
    <w:rsid w:val="001F16D9"/>
    <w:rsid w:val="001F2483"/>
    <w:rsid w:val="001F27C0"/>
    <w:rsid w:val="001F2A39"/>
    <w:rsid w:val="001F31CB"/>
    <w:rsid w:val="001F3597"/>
    <w:rsid w:val="001F3824"/>
    <w:rsid w:val="001F3CE1"/>
    <w:rsid w:val="001F3E55"/>
    <w:rsid w:val="001F3FFA"/>
    <w:rsid w:val="001F4054"/>
    <w:rsid w:val="001F4158"/>
    <w:rsid w:val="001F4597"/>
    <w:rsid w:val="001F4EB4"/>
    <w:rsid w:val="001F612F"/>
    <w:rsid w:val="001F6190"/>
    <w:rsid w:val="001F66D6"/>
    <w:rsid w:val="001F6802"/>
    <w:rsid w:val="001F6E06"/>
    <w:rsid w:val="001F6E14"/>
    <w:rsid w:val="001F7008"/>
    <w:rsid w:val="001F7BB8"/>
    <w:rsid w:val="00200886"/>
    <w:rsid w:val="00201203"/>
    <w:rsid w:val="002013DA"/>
    <w:rsid w:val="002014A3"/>
    <w:rsid w:val="00202A2D"/>
    <w:rsid w:val="00202B3F"/>
    <w:rsid w:val="00202EB2"/>
    <w:rsid w:val="00203E1E"/>
    <w:rsid w:val="002041CD"/>
    <w:rsid w:val="00204C84"/>
    <w:rsid w:val="002050EA"/>
    <w:rsid w:val="00205D2D"/>
    <w:rsid w:val="00206C36"/>
    <w:rsid w:val="00206DCF"/>
    <w:rsid w:val="002070EA"/>
    <w:rsid w:val="00207344"/>
    <w:rsid w:val="00207C9D"/>
    <w:rsid w:val="00207D8A"/>
    <w:rsid w:val="002104B7"/>
    <w:rsid w:val="00210B09"/>
    <w:rsid w:val="00211120"/>
    <w:rsid w:val="00211418"/>
    <w:rsid w:val="002115A9"/>
    <w:rsid w:val="00211611"/>
    <w:rsid w:val="002118B9"/>
    <w:rsid w:val="002125AB"/>
    <w:rsid w:val="0021267E"/>
    <w:rsid w:val="002137B4"/>
    <w:rsid w:val="002142E4"/>
    <w:rsid w:val="00214868"/>
    <w:rsid w:val="00214ED2"/>
    <w:rsid w:val="00214F7C"/>
    <w:rsid w:val="00215001"/>
    <w:rsid w:val="0021570E"/>
    <w:rsid w:val="0021603A"/>
    <w:rsid w:val="0021606F"/>
    <w:rsid w:val="00216B72"/>
    <w:rsid w:val="00216DA0"/>
    <w:rsid w:val="002177DE"/>
    <w:rsid w:val="0021790B"/>
    <w:rsid w:val="00217C5B"/>
    <w:rsid w:val="00220828"/>
    <w:rsid w:val="00220E24"/>
    <w:rsid w:val="002210BD"/>
    <w:rsid w:val="00221292"/>
    <w:rsid w:val="0022139E"/>
    <w:rsid w:val="002214CF"/>
    <w:rsid w:val="002217B5"/>
    <w:rsid w:val="0022196E"/>
    <w:rsid w:val="002220EC"/>
    <w:rsid w:val="00222820"/>
    <w:rsid w:val="002230DF"/>
    <w:rsid w:val="00223116"/>
    <w:rsid w:val="00223643"/>
    <w:rsid w:val="002238A9"/>
    <w:rsid w:val="00223B46"/>
    <w:rsid w:val="00223CFB"/>
    <w:rsid w:val="00224AD1"/>
    <w:rsid w:val="002252E0"/>
    <w:rsid w:val="002255F6"/>
    <w:rsid w:val="002257AD"/>
    <w:rsid w:val="002263DE"/>
    <w:rsid w:val="002264DE"/>
    <w:rsid w:val="00226A91"/>
    <w:rsid w:val="00226CCB"/>
    <w:rsid w:val="002276C1"/>
    <w:rsid w:val="00227766"/>
    <w:rsid w:val="00227850"/>
    <w:rsid w:val="00227A53"/>
    <w:rsid w:val="00230643"/>
    <w:rsid w:val="002306E3"/>
    <w:rsid w:val="00230C6E"/>
    <w:rsid w:val="00230EAA"/>
    <w:rsid w:val="0023118E"/>
    <w:rsid w:val="0023119C"/>
    <w:rsid w:val="00231497"/>
    <w:rsid w:val="00231509"/>
    <w:rsid w:val="002323B8"/>
    <w:rsid w:val="00233109"/>
    <w:rsid w:val="00233137"/>
    <w:rsid w:val="00233286"/>
    <w:rsid w:val="00233DA6"/>
    <w:rsid w:val="002347DB"/>
    <w:rsid w:val="00234D02"/>
    <w:rsid w:val="00234EEC"/>
    <w:rsid w:val="00235806"/>
    <w:rsid w:val="00235E86"/>
    <w:rsid w:val="002360D2"/>
    <w:rsid w:val="00236443"/>
    <w:rsid w:val="00236C95"/>
    <w:rsid w:val="00236D42"/>
    <w:rsid w:val="002371BD"/>
    <w:rsid w:val="00237602"/>
    <w:rsid w:val="0023779C"/>
    <w:rsid w:val="0024028A"/>
    <w:rsid w:val="00240627"/>
    <w:rsid w:val="002415B7"/>
    <w:rsid w:val="00241924"/>
    <w:rsid w:val="00241E94"/>
    <w:rsid w:val="002425D9"/>
    <w:rsid w:val="00242861"/>
    <w:rsid w:val="00242DE7"/>
    <w:rsid w:val="00243563"/>
    <w:rsid w:val="002436BA"/>
    <w:rsid w:val="00243B3A"/>
    <w:rsid w:val="002445DD"/>
    <w:rsid w:val="00244A15"/>
    <w:rsid w:val="00245327"/>
    <w:rsid w:val="00246452"/>
    <w:rsid w:val="002465D1"/>
    <w:rsid w:val="00246A74"/>
    <w:rsid w:val="00246B89"/>
    <w:rsid w:val="00247319"/>
    <w:rsid w:val="0024799E"/>
    <w:rsid w:val="00247C96"/>
    <w:rsid w:val="00247D0D"/>
    <w:rsid w:val="00247FB4"/>
    <w:rsid w:val="002507A1"/>
    <w:rsid w:val="00251922"/>
    <w:rsid w:val="00252397"/>
    <w:rsid w:val="0025269C"/>
    <w:rsid w:val="002535BC"/>
    <w:rsid w:val="002538CE"/>
    <w:rsid w:val="00253C0F"/>
    <w:rsid w:val="002542AC"/>
    <w:rsid w:val="00254402"/>
    <w:rsid w:val="00254712"/>
    <w:rsid w:val="0025502A"/>
    <w:rsid w:val="00255762"/>
    <w:rsid w:val="002557E8"/>
    <w:rsid w:val="00255C49"/>
    <w:rsid w:val="00255CD0"/>
    <w:rsid w:val="00256B48"/>
    <w:rsid w:val="00256EC9"/>
    <w:rsid w:val="00256F7E"/>
    <w:rsid w:val="00256F94"/>
    <w:rsid w:val="00257D71"/>
    <w:rsid w:val="002602E7"/>
    <w:rsid w:val="00260D12"/>
    <w:rsid w:val="00261B88"/>
    <w:rsid w:val="00261FA0"/>
    <w:rsid w:val="00262B1F"/>
    <w:rsid w:val="00262EA9"/>
    <w:rsid w:val="00262FEC"/>
    <w:rsid w:val="0026319C"/>
    <w:rsid w:val="002633D1"/>
    <w:rsid w:val="00263D62"/>
    <w:rsid w:val="00263D67"/>
    <w:rsid w:val="00263F0E"/>
    <w:rsid w:val="002647C8"/>
    <w:rsid w:val="00265171"/>
    <w:rsid w:val="002651FD"/>
    <w:rsid w:val="0026558F"/>
    <w:rsid w:val="00265B9E"/>
    <w:rsid w:val="00266FDB"/>
    <w:rsid w:val="00267A0A"/>
    <w:rsid w:val="002700E5"/>
    <w:rsid w:val="00270163"/>
    <w:rsid w:val="002707C5"/>
    <w:rsid w:val="002709AC"/>
    <w:rsid w:val="00270AF2"/>
    <w:rsid w:val="00270D37"/>
    <w:rsid w:val="00271465"/>
    <w:rsid w:val="00271D58"/>
    <w:rsid w:val="00271F00"/>
    <w:rsid w:val="002733D2"/>
    <w:rsid w:val="002736DC"/>
    <w:rsid w:val="00273770"/>
    <w:rsid w:val="00273C0F"/>
    <w:rsid w:val="0027456E"/>
    <w:rsid w:val="00274584"/>
    <w:rsid w:val="0027522C"/>
    <w:rsid w:val="00275F01"/>
    <w:rsid w:val="002776BC"/>
    <w:rsid w:val="002777BE"/>
    <w:rsid w:val="00280058"/>
    <w:rsid w:val="00280182"/>
    <w:rsid w:val="00280ACF"/>
    <w:rsid w:val="00280B02"/>
    <w:rsid w:val="00280F71"/>
    <w:rsid w:val="00282237"/>
    <w:rsid w:val="002823FA"/>
    <w:rsid w:val="0028262C"/>
    <w:rsid w:val="00282B80"/>
    <w:rsid w:val="0028381B"/>
    <w:rsid w:val="00283BE6"/>
    <w:rsid w:val="00284002"/>
    <w:rsid w:val="0028435E"/>
    <w:rsid w:val="002845C2"/>
    <w:rsid w:val="0028505C"/>
    <w:rsid w:val="0028535B"/>
    <w:rsid w:val="00285412"/>
    <w:rsid w:val="002856DB"/>
    <w:rsid w:val="00285736"/>
    <w:rsid w:val="00285863"/>
    <w:rsid w:val="002870A1"/>
    <w:rsid w:val="00287859"/>
    <w:rsid w:val="00287C53"/>
    <w:rsid w:val="00290CCE"/>
    <w:rsid w:val="00291B3D"/>
    <w:rsid w:val="0029203C"/>
    <w:rsid w:val="0029206D"/>
    <w:rsid w:val="002921A5"/>
    <w:rsid w:val="00292E29"/>
    <w:rsid w:val="002934A9"/>
    <w:rsid w:val="0029432F"/>
    <w:rsid w:val="00294868"/>
    <w:rsid w:val="00294E81"/>
    <w:rsid w:val="0029557F"/>
    <w:rsid w:val="00295582"/>
    <w:rsid w:val="00295AA1"/>
    <w:rsid w:val="00295AF5"/>
    <w:rsid w:val="002962CB"/>
    <w:rsid w:val="00296721"/>
    <w:rsid w:val="00296FD7"/>
    <w:rsid w:val="00297001"/>
    <w:rsid w:val="00297952"/>
    <w:rsid w:val="002A00BE"/>
    <w:rsid w:val="002A0626"/>
    <w:rsid w:val="002A0636"/>
    <w:rsid w:val="002A074E"/>
    <w:rsid w:val="002A0A11"/>
    <w:rsid w:val="002A1002"/>
    <w:rsid w:val="002A138B"/>
    <w:rsid w:val="002A15DC"/>
    <w:rsid w:val="002A1622"/>
    <w:rsid w:val="002A166D"/>
    <w:rsid w:val="002A16D4"/>
    <w:rsid w:val="002A1A03"/>
    <w:rsid w:val="002A230C"/>
    <w:rsid w:val="002A245C"/>
    <w:rsid w:val="002A2746"/>
    <w:rsid w:val="002A411C"/>
    <w:rsid w:val="002A4A08"/>
    <w:rsid w:val="002A4A62"/>
    <w:rsid w:val="002A4AFC"/>
    <w:rsid w:val="002A542C"/>
    <w:rsid w:val="002A548E"/>
    <w:rsid w:val="002A5CCF"/>
    <w:rsid w:val="002A6044"/>
    <w:rsid w:val="002A6330"/>
    <w:rsid w:val="002A687A"/>
    <w:rsid w:val="002A6DB2"/>
    <w:rsid w:val="002A7388"/>
    <w:rsid w:val="002B0758"/>
    <w:rsid w:val="002B08E1"/>
    <w:rsid w:val="002B10CA"/>
    <w:rsid w:val="002B1785"/>
    <w:rsid w:val="002B1A87"/>
    <w:rsid w:val="002B2D12"/>
    <w:rsid w:val="002B2E95"/>
    <w:rsid w:val="002B3505"/>
    <w:rsid w:val="002B3518"/>
    <w:rsid w:val="002B3551"/>
    <w:rsid w:val="002B3866"/>
    <w:rsid w:val="002B3A9F"/>
    <w:rsid w:val="002B4097"/>
    <w:rsid w:val="002B4892"/>
    <w:rsid w:val="002B4DD5"/>
    <w:rsid w:val="002B5022"/>
    <w:rsid w:val="002B5656"/>
    <w:rsid w:val="002B59D2"/>
    <w:rsid w:val="002B5BEA"/>
    <w:rsid w:val="002B636D"/>
    <w:rsid w:val="002B6B3C"/>
    <w:rsid w:val="002B6B6E"/>
    <w:rsid w:val="002B6D70"/>
    <w:rsid w:val="002B7648"/>
    <w:rsid w:val="002B778B"/>
    <w:rsid w:val="002B7DA7"/>
    <w:rsid w:val="002C08AB"/>
    <w:rsid w:val="002C0916"/>
    <w:rsid w:val="002C0EA0"/>
    <w:rsid w:val="002C111E"/>
    <w:rsid w:val="002C18C3"/>
    <w:rsid w:val="002C1D8F"/>
    <w:rsid w:val="002C291A"/>
    <w:rsid w:val="002C2A05"/>
    <w:rsid w:val="002C327D"/>
    <w:rsid w:val="002C36FB"/>
    <w:rsid w:val="002C381E"/>
    <w:rsid w:val="002C412F"/>
    <w:rsid w:val="002C43BD"/>
    <w:rsid w:val="002C4AB4"/>
    <w:rsid w:val="002C4B6C"/>
    <w:rsid w:val="002C4F23"/>
    <w:rsid w:val="002C565F"/>
    <w:rsid w:val="002C5C25"/>
    <w:rsid w:val="002C60D3"/>
    <w:rsid w:val="002C6538"/>
    <w:rsid w:val="002C671E"/>
    <w:rsid w:val="002C6907"/>
    <w:rsid w:val="002C6B92"/>
    <w:rsid w:val="002C70F4"/>
    <w:rsid w:val="002C75A1"/>
    <w:rsid w:val="002C78B4"/>
    <w:rsid w:val="002C7C68"/>
    <w:rsid w:val="002C7F14"/>
    <w:rsid w:val="002D005A"/>
    <w:rsid w:val="002D0196"/>
    <w:rsid w:val="002D0E59"/>
    <w:rsid w:val="002D182D"/>
    <w:rsid w:val="002D18C2"/>
    <w:rsid w:val="002D19C0"/>
    <w:rsid w:val="002D1B1C"/>
    <w:rsid w:val="002D1BF7"/>
    <w:rsid w:val="002D1C83"/>
    <w:rsid w:val="002D1DE5"/>
    <w:rsid w:val="002D23AB"/>
    <w:rsid w:val="002D2691"/>
    <w:rsid w:val="002D29A6"/>
    <w:rsid w:val="002D29BD"/>
    <w:rsid w:val="002D2EEC"/>
    <w:rsid w:val="002D3B3C"/>
    <w:rsid w:val="002D41B1"/>
    <w:rsid w:val="002D539C"/>
    <w:rsid w:val="002D5FC9"/>
    <w:rsid w:val="002D612E"/>
    <w:rsid w:val="002D64AE"/>
    <w:rsid w:val="002D6936"/>
    <w:rsid w:val="002D6E13"/>
    <w:rsid w:val="002D71BE"/>
    <w:rsid w:val="002D74C7"/>
    <w:rsid w:val="002E02A1"/>
    <w:rsid w:val="002E0956"/>
    <w:rsid w:val="002E0F50"/>
    <w:rsid w:val="002E149D"/>
    <w:rsid w:val="002E17AE"/>
    <w:rsid w:val="002E247C"/>
    <w:rsid w:val="002E26D6"/>
    <w:rsid w:val="002E2D1F"/>
    <w:rsid w:val="002E3CFA"/>
    <w:rsid w:val="002E3F80"/>
    <w:rsid w:val="002E4875"/>
    <w:rsid w:val="002E4AC4"/>
    <w:rsid w:val="002E4E4C"/>
    <w:rsid w:val="002E5226"/>
    <w:rsid w:val="002E52E1"/>
    <w:rsid w:val="002E5318"/>
    <w:rsid w:val="002E58C0"/>
    <w:rsid w:val="002E59FC"/>
    <w:rsid w:val="002E5CAD"/>
    <w:rsid w:val="002E5F37"/>
    <w:rsid w:val="002E6D52"/>
    <w:rsid w:val="002F071D"/>
    <w:rsid w:val="002F0C16"/>
    <w:rsid w:val="002F1672"/>
    <w:rsid w:val="002F17ED"/>
    <w:rsid w:val="002F1BFB"/>
    <w:rsid w:val="002F2084"/>
    <w:rsid w:val="002F2353"/>
    <w:rsid w:val="002F2988"/>
    <w:rsid w:val="002F2D90"/>
    <w:rsid w:val="002F3389"/>
    <w:rsid w:val="002F3688"/>
    <w:rsid w:val="002F3B0B"/>
    <w:rsid w:val="002F411F"/>
    <w:rsid w:val="002F41E8"/>
    <w:rsid w:val="002F47F1"/>
    <w:rsid w:val="002F558C"/>
    <w:rsid w:val="002F5A49"/>
    <w:rsid w:val="002F627B"/>
    <w:rsid w:val="002F69A3"/>
    <w:rsid w:val="002F6C29"/>
    <w:rsid w:val="002F72C4"/>
    <w:rsid w:val="0030014C"/>
    <w:rsid w:val="003002C3"/>
    <w:rsid w:val="00301E8A"/>
    <w:rsid w:val="00301F58"/>
    <w:rsid w:val="00302221"/>
    <w:rsid w:val="003022BB"/>
    <w:rsid w:val="0030240C"/>
    <w:rsid w:val="0030251C"/>
    <w:rsid w:val="00302A37"/>
    <w:rsid w:val="00302A46"/>
    <w:rsid w:val="00303067"/>
    <w:rsid w:val="00303A31"/>
    <w:rsid w:val="00303A8C"/>
    <w:rsid w:val="0030454B"/>
    <w:rsid w:val="00304771"/>
    <w:rsid w:val="00304A2F"/>
    <w:rsid w:val="00304AB8"/>
    <w:rsid w:val="003052D4"/>
    <w:rsid w:val="00305385"/>
    <w:rsid w:val="00305760"/>
    <w:rsid w:val="003064B9"/>
    <w:rsid w:val="00306AFC"/>
    <w:rsid w:val="00306C5B"/>
    <w:rsid w:val="003074E0"/>
    <w:rsid w:val="00307C21"/>
    <w:rsid w:val="00307C40"/>
    <w:rsid w:val="003107F5"/>
    <w:rsid w:val="00310E17"/>
    <w:rsid w:val="00312793"/>
    <w:rsid w:val="00312AD5"/>
    <w:rsid w:val="00312D27"/>
    <w:rsid w:val="00312DB4"/>
    <w:rsid w:val="0031357F"/>
    <w:rsid w:val="00313C5D"/>
    <w:rsid w:val="00313CE8"/>
    <w:rsid w:val="00314672"/>
    <w:rsid w:val="00314806"/>
    <w:rsid w:val="003149F2"/>
    <w:rsid w:val="00314F7B"/>
    <w:rsid w:val="0031553A"/>
    <w:rsid w:val="00315557"/>
    <w:rsid w:val="00316BB8"/>
    <w:rsid w:val="00316DF1"/>
    <w:rsid w:val="003179AB"/>
    <w:rsid w:val="003209D6"/>
    <w:rsid w:val="00320B48"/>
    <w:rsid w:val="00320D78"/>
    <w:rsid w:val="00321184"/>
    <w:rsid w:val="00321924"/>
    <w:rsid w:val="00321A66"/>
    <w:rsid w:val="003222E0"/>
    <w:rsid w:val="00322668"/>
    <w:rsid w:val="0032270C"/>
    <w:rsid w:val="00322978"/>
    <w:rsid w:val="0032326A"/>
    <w:rsid w:val="00323469"/>
    <w:rsid w:val="003236C9"/>
    <w:rsid w:val="003236D1"/>
    <w:rsid w:val="003239E7"/>
    <w:rsid w:val="00323B86"/>
    <w:rsid w:val="00323E14"/>
    <w:rsid w:val="00324B37"/>
    <w:rsid w:val="00324B63"/>
    <w:rsid w:val="00324F73"/>
    <w:rsid w:val="0032519A"/>
    <w:rsid w:val="003254B9"/>
    <w:rsid w:val="003259D2"/>
    <w:rsid w:val="00325C6E"/>
    <w:rsid w:val="00325F75"/>
    <w:rsid w:val="0032656E"/>
    <w:rsid w:val="00326916"/>
    <w:rsid w:val="00326DF4"/>
    <w:rsid w:val="00327CB2"/>
    <w:rsid w:val="00327CB6"/>
    <w:rsid w:val="0033050D"/>
    <w:rsid w:val="0033084C"/>
    <w:rsid w:val="00330ACA"/>
    <w:rsid w:val="00331500"/>
    <w:rsid w:val="003315D6"/>
    <w:rsid w:val="00331F80"/>
    <w:rsid w:val="00332190"/>
    <w:rsid w:val="003323A1"/>
    <w:rsid w:val="00332ADE"/>
    <w:rsid w:val="00332EB7"/>
    <w:rsid w:val="00333182"/>
    <w:rsid w:val="00333872"/>
    <w:rsid w:val="00333894"/>
    <w:rsid w:val="0033440D"/>
    <w:rsid w:val="0033478D"/>
    <w:rsid w:val="003347EF"/>
    <w:rsid w:val="003349E3"/>
    <w:rsid w:val="00335665"/>
    <w:rsid w:val="00335B1B"/>
    <w:rsid w:val="00336618"/>
    <w:rsid w:val="00336918"/>
    <w:rsid w:val="00337DB8"/>
    <w:rsid w:val="00340154"/>
    <w:rsid w:val="00340268"/>
    <w:rsid w:val="00340772"/>
    <w:rsid w:val="00340799"/>
    <w:rsid w:val="0034095F"/>
    <w:rsid w:val="00340984"/>
    <w:rsid w:val="00340DD0"/>
    <w:rsid w:val="00341C24"/>
    <w:rsid w:val="00341D4B"/>
    <w:rsid w:val="00341E22"/>
    <w:rsid w:val="00342AB5"/>
    <w:rsid w:val="00342AFE"/>
    <w:rsid w:val="00343A00"/>
    <w:rsid w:val="00344668"/>
    <w:rsid w:val="003456FB"/>
    <w:rsid w:val="00345CBF"/>
    <w:rsid w:val="003462B3"/>
    <w:rsid w:val="003462D9"/>
    <w:rsid w:val="003469A7"/>
    <w:rsid w:val="00346B67"/>
    <w:rsid w:val="0034745A"/>
    <w:rsid w:val="003478CD"/>
    <w:rsid w:val="00347B39"/>
    <w:rsid w:val="00350828"/>
    <w:rsid w:val="00350C8D"/>
    <w:rsid w:val="00350E9B"/>
    <w:rsid w:val="00351333"/>
    <w:rsid w:val="00351746"/>
    <w:rsid w:val="003518C1"/>
    <w:rsid w:val="0035288C"/>
    <w:rsid w:val="003529CC"/>
    <w:rsid w:val="00352ACA"/>
    <w:rsid w:val="0035303F"/>
    <w:rsid w:val="00354158"/>
    <w:rsid w:val="00354528"/>
    <w:rsid w:val="00354AB9"/>
    <w:rsid w:val="00354B7E"/>
    <w:rsid w:val="00354CA6"/>
    <w:rsid w:val="00354DF0"/>
    <w:rsid w:val="003553A8"/>
    <w:rsid w:val="003559B3"/>
    <w:rsid w:val="003568B8"/>
    <w:rsid w:val="00357126"/>
    <w:rsid w:val="003572D9"/>
    <w:rsid w:val="003573FE"/>
    <w:rsid w:val="003576A7"/>
    <w:rsid w:val="00357A9C"/>
    <w:rsid w:val="00360C86"/>
    <w:rsid w:val="00361099"/>
    <w:rsid w:val="0036143F"/>
    <w:rsid w:val="00361C42"/>
    <w:rsid w:val="003623D9"/>
    <w:rsid w:val="003630D1"/>
    <w:rsid w:val="0036391F"/>
    <w:rsid w:val="00363B5A"/>
    <w:rsid w:val="00363CE9"/>
    <w:rsid w:val="00363E22"/>
    <w:rsid w:val="003641BD"/>
    <w:rsid w:val="003641C9"/>
    <w:rsid w:val="0036435D"/>
    <w:rsid w:val="003657F3"/>
    <w:rsid w:val="00365AF1"/>
    <w:rsid w:val="00365CC1"/>
    <w:rsid w:val="00366D15"/>
    <w:rsid w:val="00367C55"/>
    <w:rsid w:val="00367EFD"/>
    <w:rsid w:val="003705B2"/>
    <w:rsid w:val="00370AF5"/>
    <w:rsid w:val="00370F6F"/>
    <w:rsid w:val="0037191E"/>
    <w:rsid w:val="00371955"/>
    <w:rsid w:val="00371B66"/>
    <w:rsid w:val="00371F82"/>
    <w:rsid w:val="00372189"/>
    <w:rsid w:val="00372511"/>
    <w:rsid w:val="00372A3C"/>
    <w:rsid w:val="0037313F"/>
    <w:rsid w:val="003731F2"/>
    <w:rsid w:val="00373C99"/>
    <w:rsid w:val="0037435C"/>
    <w:rsid w:val="003747A9"/>
    <w:rsid w:val="00375265"/>
    <w:rsid w:val="00375A1E"/>
    <w:rsid w:val="00375AF7"/>
    <w:rsid w:val="00375E87"/>
    <w:rsid w:val="00375F54"/>
    <w:rsid w:val="0037628A"/>
    <w:rsid w:val="0037674A"/>
    <w:rsid w:val="00376965"/>
    <w:rsid w:val="00376DED"/>
    <w:rsid w:val="00377C3B"/>
    <w:rsid w:val="00377D23"/>
    <w:rsid w:val="00377D9B"/>
    <w:rsid w:val="00380129"/>
    <w:rsid w:val="003818DC"/>
    <w:rsid w:val="00381C72"/>
    <w:rsid w:val="00382276"/>
    <w:rsid w:val="0038253C"/>
    <w:rsid w:val="00383117"/>
    <w:rsid w:val="0038313E"/>
    <w:rsid w:val="00383B35"/>
    <w:rsid w:val="00383B78"/>
    <w:rsid w:val="00384327"/>
    <w:rsid w:val="00384853"/>
    <w:rsid w:val="003849B1"/>
    <w:rsid w:val="00385324"/>
    <w:rsid w:val="00385CF8"/>
    <w:rsid w:val="00385D98"/>
    <w:rsid w:val="00385F7B"/>
    <w:rsid w:val="00386026"/>
    <w:rsid w:val="003865D4"/>
    <w:rsid w:val="00386648"/>
    <w:rsid w:val="00386890"/>
    <w:rsid w:val="00386913"/>
    <w:rsid w:val="0038765F"/>
    <w:rsid w:val="0039087F"/>
    <w:rsid w:val="00390B55"/>
    <w:rsid w:val="003911F6"/>
    <w:rsid w:val="00391461"/>
    <w:rsid w:val="00391D00"/>
    <w:rsid w:val="003920E0"/>
    <w:rsid w:val="0039216A"/>
    <w:rsid w:val="00392A7E"/>
    <w:rsid w:val="00392E92"/>
    <w:rsid w:val="003937BE"/>
    <w:rsid w:val="00393B69"/>
    <w:rsid w:val="00394089"/>
    <w:rsid w:val="003940DD"/>
    <w:rsid w:val="0039418D"/>
    <w:rsid w:val="0039425B"/>
    <w:rsid w:val="0039433F"/>
    <w:rsid w:val="00394628"/>
    <w:rsid w:val="00394935"/>
    <w:rsid w:val="003955CF"/>
    <w:rsid w:val="00395755"/>
    <w:rsid w:val="00396009"/>
    <w:rsid w:val="003965CB"/>
    <w:rsid w:val="00396769"/>
    <w:rsid w:val="003A00BC"/>
    <w:rsid w:val="003A0153"/>
    <w:rsid w:val="003A0AD5"/>
    <w:rsid w:val="003A0B07"/>
    <w:rsid w:val="003A1F52"/>
    <w:rsid w:val="003A2B4D"/>
    <w:rsid w:val="003A3463"/>
    <w:rsid w:val="003A366E"/>
    <w:rsid w:val="003A3808"/>
    <w:rsid w:val="003A3897"/>
    <w:rsid w:val="003A3BF4"/>
    <w:rsid w:val="003A4117"/>
    <w:rsid w:val="003A4175"/>
    <w:rsid w:val="003A478C"/>
    <w:rsid w:val="003A4975"/>
    <w:rsid w:val="003A52A3"/>
    <w:rsid w:val="003A5525"/>
    <w:rsid w:val="003A62B2"/>
    <w:rsid w:val="003A672D"/>
    <w:rsid w:val="003A6B38"/>
    <w:rsid w:val="003A7054"/>
    <w:rsid w:val="003A73ED"/>
    <w:rsid w:val="003A78F5"/>
    <w:rsid w:val="003A7D34"/>
    <w:rsid w:val="003A7DBA"/>
    <w:rsid w:val="003B0994"/>
    <w:rsid w:val="003B09D0"/>
    <w:rsid w:val="003B0F31"/>
    <w:rsid w:val="003B177C"/>
    <w:rsid w:val="003B194B"/>
    <w:rsid w:val="003B1A01"/>
    <w:rsid w:val="003B26F9"/>
    <w:rsid w:val="003B3482"/>
    <w:rsid w:val="003B3BDD"/>
    <w:rsid w:val="003B3D82"/>
    <w:rsid w:val="003B4194"/>
    <w:rsid w:val="003B41E7"/>
    <w:rsid w:val="003B4E9A"/>
    <w:rsid w:val="003B5A32"/>
    <w:rsid w:val="003B5DE1"/>
    <w:rsid w:val="003B6803"/>
    <w:rsid w:val="003B702C"/>
    <w:rsid w:val="003B777C"/>
    <w:rsid w:val="003B7A27"/>
    <w:rsid w:val="003C0201"/>
    <w:rsid w:val="003C0905"/>
    <w:rsid w:val="003C0FA2"/>
    <w:rsid w:val="003C1047"/>
    <w:rsid w:val="003C1626"/>
    <w:rsid w:val="003C1E9E"/>
    <w:rsid w:val="003C210A"/>
    <w:rsid w:val="003C2296"/>
    <w:rsid w:val="003C22EA"/>
    <w:rsid w:val="003C23F0"/>
    <w:rsid w:val="003C29D4"/>
    <w:rsid w:val="003C3490"/>
    <w:rsid w:val="003C368A"/>
    <w:rsid w:val="003C3F3A"/>
    <w:rsid w:val="003C56CF"/>
    <w:rsid w:val="003C592F"/>
    <w:rsid w:val="003C60D5"/>
    <w:rsid w:val="003C670D"/>
    <w:rsid w:val="003C6725"/>
    <w:rsid w:val="003C72EB"/>
    <w:rsid w:val="003C77D2"/>
    <w:rsid w:val="003D002C"/>
    <w:rsid w:val="003D0C63"/>
    <w:rsid w:val="003D1AB2"/>
    <w:rsid w:val="003D1D17"/>
    <w:rsid w:val="003D1D86"/>
    <w:rsid w:val="003D2891"/>
    <w:rsid w:val="003D2C5E"/>
    <w:rsid w:val="003D3B6C"/>
    <w:rsid w:val="003D3C6D"/>
    <w:rsid w:val="003D3E71"/>
    <w:rsid w:val="003D4408"/>
    <w:rsid w:val="003D475C"/>
    <w:rsid w:val="003D49C4"/>
    <w:rsid w:val="003D50FD"/>
    <w:rsid w:val="003D55A8"/>
    <w:rsid w:val="003D5685"/>
    <w:rsid w:val="003D57A6"/>
    <w:rsid w:val="003D623E"/>
    <w:rsid w:val="003D6580"/>
    <w:rsid w:val="003D6920"/>
    <w:rsid w:val="003D6C8E"/>
    <w:rsid w:val="003D6DD5"/>
    <w:rsid w:val="003D7031"/>
    <w:rsid w:val="003D75F8"/>
    <w:rsid w:val="003D7781"/>
    <w:rsid w:val="003E0225"/>
    <w:rsid w:val="003E088E"/>
    <w:rsid w:val="003E12D7"/>
    <w:rsid w:val="003E1B34"/>
    <w:rsid w:val="003E1C65"/>
    <w:rsid w:val="003E2A90"/>
    <w:rsid w:val="003E399E"/>
    <w:rsid w:val="003E3AA2"/>
    <w:rsid w:val="003E423A"/>
    <w:rsid w:val="003E4C91"/>
    <w:rsid w:val="003E544A"/>
    <w:rsid w:val="003E5516"/>
    <w:rsid w:val="003E588D"/>
    <w:rsid w:val="003E5D11"/>
    <w:rsid w:val="003E614F"/>
    <w:rsid w:val="003E6406"/>
    <w:rsid w:val="003E69A6"/>
    <w:rsid w:val="003E7358"/>
    <w:rsid w:val="003E7721"/>
    <w:rsid w:val="003F00C0"/>
    <w:rsid w:val="003F03F3"/>
    <w:rsid w:val="003F042C"/>
    <w:rsid w:val="003F09E2"/>
    <w:rsid w:val="003F0A1B"/>
    <w:rsid w:val="003F0B89"/>
    <w:rsid w:val="003F0D02"/>
    <w:rsid w:val="003F1FEE"/>
    <w:rsid w:val="003F21C9"/>
    <w:rsid w:val="003F2333"/>
    <w:rsid w:val="003F2571"/>
    <w:rsid w:val="003F2A51"/>
    <w:rsid w:val="003F313C"/>
    <w:rsid w:val="003F32BA"/>
    <w:rsid w:val="003F4AD5"/>
    <w:rsid w:val="003F4B2C"/>
    <w:rsid w:val="003F4D1E"/>
    <w:rsid w:val="003F4F46"/>
    <w:rsid w:val="003F551C"/>
    <w:rsid w:val="003F69AB"/>
    <w:rsid w:val="003F79D4"/>
    <w:rsid w:val="003F7BE7"/>
    <w:rsid w:val="003F7CBF"/>
    <w:rsid w:val="003F7D23"/>
    <w:rsid w:val="004001E8"/>
    <w:rsid w:val="00400270"/>
    <w:rsid w:val="00400AB7"/>
    <w:rsid w:val="0040115E"/>
    <w:rsid w:val="00401BDE"/>
    <w:rsid w:val="0040211E"/>
    <w:rsid w:val="004021EF"/>
    <w:rsid w:val="00404248"/>
    <w:rsid w:val="00404D97"/>
    <w:rsid w:val="004064C7"/>
    <w:rsid w:val="004064CE"/>
    <w:rsid w:val="00406BFC"/>
    <w:rsid w:val="00406EE8"/>
    <w:rsid w:val="00407604"/>
    <w:rsid w:val="004078AB"/>
    <w:rsid w:val="00407A3A"/>
    <w:rsid w:val="00407C13"/>
    <w:rsid w:val="00410578"/>
    <w:rsid w:val="00410638"/>
    <w:rsid w:val="00410EA2"/>
    <w:rsid w:val="004122AC"/>
    <w:rsid w:val="004127B7"/>
    <w:rsid w:val="00412D31"/>
    <w:rsid w:val="00412F57"/>
    <w:rsid w:val="00413868"/>
    <w:rsid w:val="00413E1C"/>
    <w:rsid w:val="00414002"/>
    <w:rsid w:val="004148A0"/>
    <w:rsid w:val="004148D5"/>
    <w:rsid w:val="0041531C"/>
    <w:rsid w:val="004154EA"/>
    <w:rsid w:val="00415543"/>
    <w:rsid w:val="004158F1"/>
    <w:rsid w:val="004159AB"/>
    <w:rsid w:val="00415C5A"/>
    <w:rsid w:val="00415DC8"/>
    <w:rsid w:val="0041678D"/>
    <w:rsid w:val="004172A5"/>
    <w:rsid w:val="00417690"/>
    <w:rsid w:val="0042049A"/>
    <w:rsid w:val="004206EA"/>
    <w:rsid w:val="0042072E"/>
    <w:rsid w:val="004212A0"/>
    <w:rsid w:val="00421390"/>
    <w:rsid w:val="00421529"/>
    <w:rsid w:val="004217B2"/>
    <w:rsid w:val="00422398"/>
    <w:rsid w:val="00424838"/>
    <w:rsid w:val="004259A4"/>
    <w:rsid w:val="00425ED7"/>
    <w:rsid w:val="004277D2"/>
    <w:rsid w:val="004279CC"/>
    <w:rsid w:val="00427F43"/>
    <w:rsid w:val="00430599"/>
    <w:rsid w:val="004306B2"/>
    <w:rsid w:val="00430D4D"/>
    <w:rsid w:val="00430DA6"/>
    <w:rsid w:val="004312B1"/>
    <w:rsid w:val="0043159F"/>
    <w:rsid w:val="00431664"/>
    <w:rsid w:val="00432466"/>
    <w:rsid w:val="0043281A"/>
    <w:rsid w:val="00432A58"/>
    <w:rsid w:val="00432C37"/>
    <w:rsid w:val="004333D3"/>
    <w:rsid w:val="00433688"/>
    <w:rsid w:val="004337BF"/>
    <w:rsid w:val="00433FAA"/>
    <w:rsid w:val="004340E2"/>
    <w:rsid w:val="00434617"/>
    <w:rsid w:val="00434A91"/>
    <w:rsid w:val="0043524B"/>
    <w:rsid w:val="0043572A"/>
    <w:rsid w:val="00435A4B"/>
    <w:rsid w:val="00435E99"/>
    <w:rsid w:val="004361CB"/>
    <w:rsid w:val="004370BF"/>
    <w:rsid w:val="00437F64"/>
    <w:rsid w:val="0044021E"/>
    <w:rsid w:val="00440553"/>
    <w:rsid w:val="00440900"/>
    <w:rsid w:val="00440B62"/>
    <w:rsid w:val="00441212"/>
    <w:rsid w:val="004414E2"/>
    <w:rsid w:val="00441910"/>
    <w:rsid w:val="004428F1"/>
    <w:rsid w:val="00442BA0"/>
    <w:rsid w:val="00442BB7"/>
    <w:rsid w:val="00442D9C"/>
    <w:rsid w:val="00443026"/>
    <w:rsid w:val="00443055"/>
    <w:rsid w:val="00443C54"/>
    <w:rsid w:val="00443FCB"/>
    <w:rsid w:val="0044401C"/>
    <w:rsid w:val="004441A0"/>
    <w:rsid w:val="004452E3"/>
    <w:rsid w:val="00445435"/>
    <w:rsid w:val="0044562F"/>
    <w:rsid w:val="00445793"/>
    <w:rsid w:val="00445EAB"/>
    <w:rsid w:val="00446283"/>
    <w:rsid w:val="004462FB"/>
    <w:rsid w:val="004469F3"/>
    <w:rsid w:val="004470B4"/>
    <w:rsid w:val="00447211"/>
    <w:rsid w:val="00447D45"/>
    <w:rsid w:val="00450719"/>
    <w:rsid w:val="00450D65"/>
    <w:rsid w:val="00450F58"/>
    <w:rsid w:val="00450FAB"/>
    <w:rsid w:val="00451257"/>
    <w:rsid w:val="004512E7"/>
    <w:rsid w:val="00451517"/>
    <w:rsid w:val="0045190F"/>
    <w:rsid w:val="004519A4"/>
    <w:rsid w:val="00451E4E"/>
    <w:rsid w:val="0045349D"/>
    <w:rsid w:val="00453B74"/>
    <w:rsid w:val="00454412"/>
    <w:rsid w:val="0045467A"/>
    <w:rsid w:val="004546C5"/>
    <w:rsid w:val="00454D57"/>
    <w:rsid w:val="0045502E"/>
    <w:rsid w:val="00455888"/>
    <w:rsid w:val="0045598A"/>
    <w:rsid w:val="00456626"/>
    <w:rsid w:val="00456635"/>
    <w:rsid w:val="00456FA2"/>
    <w:rsid w:val="00457D12"/>
    <w:rsid w:val="00460AFE"/>
    <w:rsid w:val="00460BE0"/>
    <w:rsid w:val="00460FB3"/>
    <w:rsid w:val="004615E9"/>
    <w:rsid w:val="00461962"/>
    <w:rsid w:val="00461F84"/>
    <w:rsid w:val="004621CA"/>
    <w:rsid w:val="0046244A"/>
    <w:rsid w:val="00463A10"/>
    <w:rsid w:val="00463F0F"/>
    <w:rsid w:val="00465AD1"/>
    <w:rsid w:val="00465F15"/>
    <w:rsid w:val="0046686D"/>
    <w:rsid w:val="0046749D"/>
    <w:rsid w:val="004674B4"/>
    <w:rsid w:val="004676AB"/>
    <w:rsid w:val="00467B66"/>
    <w:rsid w:val="00467C2E"/>
    <w:rsid w:val="00470072"/>
    <w:rsid w:val="004705CF"/>
    <w:rsid w:val="004706B9"/>
    <w:rsid w:val="00470907"/>
    <w:rsid w:val="0047094F"/>
    <w:rsid w:val="004710EF"/>
    <w:rsid w:val="00471682"/>
    <w:rsid w:val="00471995"/>
    <w:rsid w:val="00472549"/>
    <w:rsid w:val="00472920"/>
    <w:rsid w:val="00472C1E"/>
    <w:rsid w:val="00472C32"/>
    <w:rsid w:val="00472F1F"/>
    <w:rsid w:val="0047385C"/>
    <w:rsid w:val="00474C68"/>
    <w:rsid w:val="00474DB2"/>
    <w:rsid w:val="0047521B"/>
    <w:rsid w:val="00475855"/>
    <w:rsid w:val="004759BC"/>
    <w:rsid w:val="00475AF3"/>
    <w:rsid w:val="00475EC1"/>
    <w:rsid w:val="00476240"/>
    <w:rsid w:val="00476432"/>
    <w:rsid w:val="00476439"/>
    <w:rsid w:val="00476555"/>
    <w:rsid w:val="00476632"/>
    <w:rsid w:val="0047671E"/>
    <w:rsid w:val="00476D99"/>
    <w:rsid w:val="0047735C"/>
    <w:rsid w:val="0047768D"/>
    <w:rsid w:val="004776BC"/>
    <w:rsid w:val="004777C3"/>
    <w:rsid w:val="0047789C"/>
    <w:rsid w:val="004808C5"/>
    <w:rsid w:val="00480931"/>
    <w:rsid w:val="004810F2"/>
    <w:rsid w:val="00481382"/>
    <w:rsid w:val="0048139F"/>
    <w:rsid w:val="004813F3"/>
    <w:rsid w:val="0048153E"/>
    <w:rsid w:val="00481775"/>
    <w:rsid w:val="00481E40"/>
    <w:rsid w:val="004825D7"/>
    <w:rsid w:val="00482870"/>
    <w:rsid w:val="00482A74"/>
    <w:rsid w:val="00482BCC"/>
    <w:rsid w:val="00482D4C"/>
    <w:rsid w:val="00482FF8"/>
    <w:rsid w:val="0048304D"/>
    <w:rsid w:val="0048310F"/>
    <w:rsid w:val="0048363B"/>
    <w:rsid w:val="00483EF7"/>
    <w:rsid w:val="004840DF"/>
    <w:rsid w:val="004845F6"/>
    <w:rsid w:val="00484ECE"/>
    <w:rsid w:val="00485633"/>
    <w:rsid w:val="004859DF"/>
    <w:rsid w:val="00485A59"/>
    <w:rsid w:val="00485B3C"/>
    <w:rsid w:val="00485E1A"/>
    <w:rsid w:val="00486400"/>
    <w:rsid w:val="004864B7"/>
    <w:rsid w:val="00486535"/>
    <w:rsid w:val="004868C1"/>
    <w:rsid w:val="00487577"/>
    <w:rsid w:val="004876F1"/>
    <w:rsid w:val="00487E3F"/>
    <w:rsid w:val="00490099"/>
    <w:rsid w:val="004900FF"/>
    <w:rsid w:val="00490233"/>
    <w:rsid w:val="00490C3E"/>
    <w:rsid w:val="00490CE7"/>
    <w:rsid w:val="004915CB"/>
    <w:rsid w:val="00491DD2"/>
    <w:rsid w:val="004924DC"/>
    <w:rsid w:val="00492E62"/>
    <w:rsid w:val="00493D1D"/>
    <w:rsid w:val="00493FB0"/>
    <w:rsid w:val="00494032"/>
    <w:rsid w:val="00494CE2"/>
    <w:rsid w:val="00494D0B"/>
    <w:rsid w:val="00495DE3"/>
    <w:rsid w:val="0049606B"/>
    <w:rsid w:val="0049632C"/>
    <w:rsid w:val="00496E16"/>
    <w:rsid w:val="00496EF6"/>
    <w:rsid w:val="00497C65"/>
    <w:rsid w:val="004A0765"/>
    <w:rsid w:val="004A0E86"/>
    <w:rsid w:val="004A1095"/>
    <w:rsid w:val="004A14E4"/>
    <w:rsid w:val="004A19B9"/>
    <w:rsid w:val="004A1BD1"/>
    <w:rsid w:val="004A29A0"/>
    <w:rsid w:val="004A2C68"/>
    <w:rsid w:val="004A3212"/>
    <w:rsid w:val="004A3B7D"/>
    <w:rsid w:val="004A4CD3"/>
    <w:rsid w:val="004A507A"/>
    <w:rsid w:val="004A61C5"/>
    <w:rsid w:val="004A6219"/>
    <w:rsid w:val="004A64E8"/>
    <w:rsid w:val="004A6769"/>
    <w:rsid w:val="004A77DF"/>
    <w:rsid w:val="004B0F1E"/>
    <w:rsid w:val="004B1190"/>
    <w:rsid w:val="004B11C6"/>
    <w:rsid w:val="004B1415"/>
    <w:rsid w:val="004B1417"/>
    <w:rsid w:val="004B17B4"/>
    <w:rsid w:val="004B1933"/>
    <w:rsid w:val="004B1B4F"/>
    <w:rsid w:val="004B257C"/>
    <w:rsid w:val="004B29D1"/>
    <w:rsid w:val="004B2FD2"/>
    <w:rsid w:val="004B316B"/>
    <w:rsid w:val="004B3710"/>
    <w:rsid w:val="004B3A63"/>
    <w:rsid w:val="004B4219"/>
    <w:rsid w:val="004B4398"/>
    <w:rsid w:val="004B4A61"/>
    <w:rsid w:val="004B4B45"/>
    <w:rsid w:val="004B55B7"/>
    <w:rsid w:val="004B5727"/>
    <w:rsid w:val="004B59BC"/>
    <w:rsid w:val="004B6468"/>
    <w:rsid w:val="004B6681"/>
    <w:rsid w:val="004B6906"/>
    <w:rsid w:val="004B74A6"/>
    <w:rsid w:val="004B7BA2"/>
    <w:rsid w:val="004B7D50"/>
    <w:rsid w:val="004B7EF6"/>
    <w:rsid w:val="004C048E"/>
    <w:rsid w:val="004C0561"/>
    <w:rsid w:val="004C07FA"/>
    <w:rsid w:val="004C08D4"/>
    <w:rsid w:val="004C0913"/>
    <w:rsid w:val="004C0AD8"/>
    <w:rsid w:val="004C0F09"/>
    <w:rsid w:val="004C166A"/>
    <w:rsid w:val="004C171D"/>
    <w:rsid w:val="004C179F"/>
    <w:rsid w:val="004C1A1B"/>
    <w:rsid w:val="004C22B4"/>
    <w:rsid w:val="004C24EC"/>
    <w:rsid w:val="004C274B"/>
    <w:rsid w:val="004C384C"/>
    <w:rsid w:val="004C3867"/>
    <w:rsid w:val="004C39B9"/>
    <w:rsid w:val="004C3B46"/>
    <w:rsid w:val="004C3F1D"/>
    <w:rsid w:val="004C3F87"/>
    <w:rsid w:val="004C4CD0"/>
    <w:rsid w:val="004C540F"/>
    <w:rsid w:val="004C5D51"/>
    <w:rsid w:val="004C5F00"/>
    <w:rsid w:val="004C6E5B"/>
    <w:rsid w:val="004C70DC"/>
    <w:rsid w:val="004C7328"/>
    <w:rsid w:val="004C737D"/>
    <w:rsid w:val="004C7558"/>
    <w:rsid w:val="004D0211"/>
    <w:rsid w:val="004D0540"/>
    <w:rsid w:val="004D0794"/>
    <w:rsid w:val="004D0963"/>
    <w:rsid w:val="004D17E1"/>
    <w:rsid w:val="004D17F6"/>
    <w:rsid w:val="004D1CBF"/>
    <w:rsid w:val="004D1CCB"/>
    <w:rsid w:val="004D22C0"/>
    <w:rsid w:val="004D245B"/>
    <w:rsid w:val="004D2910"/>
    <w:rsid w:val="004D2A8C"/>
    <w:rsid w:val="004D318C"/>
    <w:rsid w:val="004D3712"/>
    <w:rsid w:val="004D3837"/>
    <w:rsid w:val="004D3C55"/>
    <w:rsid w:val="004D3DFA"/>
    <w:rsid w:val="004D3E32"/>
    <w:rsid w:val="004D46D7"/>
    <w:rsid w:val="004D4A6B"/>
    <w:rsid w:val="004D556B"/>
    <w:rsid w:val="004D57AF"/>
    <w:rsid w:val="004D5B7D"/>
    <w:rsid w:val="004D5C99"/>
    <w:rsid w:val="004D60D5"/>
    <w:rsid w:val="004D6F21"/>
    <w:rsid w:val="004D7997"/>
    <w:rsid w:val="004E0056"/>
    <w:rsid w:val="004E0215"/>
    <w:rsid w:val="004E0A54"/>
    <w:rsid w:val="004E0B58"/>
    <w:rsid w:val="004E169F"/>
    <w:rsid w:val="004E346A"/>
    <w:rsid w:val="004E3572"/>
    <w:rsid w:val="004E38DF"/>
    <w:rsid w:val="004E3CC6"/>
    <w:rsid w:val="004E3D94"/>
    <w:rsid w:val="004E4671"/>
    <w:rsid w:val="004E48DF"/>
    <w:rsid w:val="004E4B10"/>
    <w:rsid w:val="004E543C"/>
    <w:rsid w:val="004E55D7"/>
    <w:rsid w:val="004E5A65"/>
    <w:rsid w:val="004E5D67"/>
    <w:rsid w:val="004E60EC"/>
    <w:rsid w:val="004E63C0"/>
    <w:rsid w:val="004E66F1"/>
    <w:rsid w:val="004E6B07"/>
    <w:rsid w:val="004E6C86"/>
    <w:rsid w:val="004E78BD"/>
    <w:rsid w:val="004E79A9"/>
    <w:rsid w:val="004F02D3"/>
    <w:rsid w:val="004F03B8"/>
    <w:rsid w:val="004F06F5"/>
    <w:rsid w:val="004F092A"/>
    <w:rsid w:val="004F0B89"/>
    <w:rsid w:val="004F11A0"/>
    <w:rsid w:val="004F122E"/>
    <w:rsid w:val="004F19A0"/>
    <w:rsid w:val="004F1B02"/>
    <w:rsid w:val="004F1EBD"/>
    <w:rsid w:val="004F201B"/>
    <w:rsid w:val="004F24A3"/>
    <w:rsid w:val="004F33A0"/>
    <w:rsid w:val="004F476E"/>
    <w:rsid w:val="004F4C68"/>
    <w:rsid w:val="004F4F77"/>
    <w:rsid w:val="004F5AE3"/>
    <w:rsid w:val="004F6FD4"/>
    <w:rsid w:val="004F747D"/>
    <w:rsid w:val="004F77D6"/>
    <w:rsid w:val="004F7F98"/>
    <w:rsid w:val="0050037C"/>
    <w:rsid w:val="0050089B"/>
    <w:rsid w:val="00500A8A"/>
    <w:rsid w:val="00500B11"/>
    <w:rsid w:val="005012A9"/>
    <w:rsid w:val="00501314"/>
    <w:rsid w:val="005015FB"/>
    <w:rsid w:val="0050167C"/>
    <w:rsid w:val="005019F7"/>
    <w:rsid w:val="005021BD"/>
    <w:rsid w:val="00502BA3"/>
    <w:rsid w:val="00502CB8"/>
    <w:rsid w:val="00503D39"/>
    <w:rsid w:val="00503D96"/>
    <w:rsid w:val="00504DF0"/>
    <w:rsid w:val="005056C6"/>
    <w:rsid w:val="00505790"/>
    <w:rsid w:val="00505884"/>
    <w:rsid w:val="00505A3F"/>
    <w:rsid w:val="00505AEB"/>
    <w:rsid w:val="0050610D"/>
    <w:rsid w:val="00506AF6"/>
    <w:rsid w:val="00506B7E"/>
    <w:rsid w:val="00506EA4"/>
    <w:rsid w:val="00507289"/>
    <w:rsid w:val="00507481"/>
    <w:rsid w:val="005075AB"/>
    <w:rsid w:val="0050784A"/>
    <w:rsid w:val="00507EC8"/>
    <w:rsid w:val="00510068"/>
    <w:rsid w:val="005104EF"/>
    <w:rsid w:val="00510840"/>
    <w:rsid w:val="005108C0"/>
    <w:rsid w:val="00511873"/>
    <w:rsid w:val="00512A2F"/>
    <w:rsid w:val="0051310E"/>
    <w:rsid w:val="00513B7E"/>
    <w:rsid w:val="00514D72"/>
    <w:rsid w:val="00515079"/>
    <w:rsid w:val="00515AD4"/>
    <w:rsid w:val="00515C40"/>
    <w:rsid w:val="00515C74"/>
    <w:rsid w:val="00516090"/>
    <w:rsid w:val="0051644E"/>
    <w:rsid w:val="005166A1"/>
    <w:rsid w:val="00517422"/>
    <w:rsid w:val="005179C9"/>
    <w:rsid w:val="0052007E"/>
    <w:rsid w:val="00520319"/>
    <w:rsid w:val="0052041E"/>
    <w:rsid w:val="005204AA"/>
    <w:rsid w:val="005207AA"/>
    <w:rsid w:val="00521013"/>
    <w:rsid w:val="00522CB8"/>
    <w:rsid w:val="00522D7D"/>
    <w:rsid w:val="0052337A"/>
    <w:rsid w:val="005239EA"/>
    <w:rsid w:val="00523CD0"/>
    <w:rsid w:val="00525137"/>
    <w:rsid w:val="005251DD"/>
    <w:rsid w:val="005257ED"/>
    <w:rsid w:val="00525CEF"/>
    <w:rsid w:val="00525DCD"/>
    <w:rsid w:val="00525FFC"/>
    <w:rsid w:val="00526384"/>
    <w:rsid w:val="00526565"/>
    <w:rsid w:val="00527897"/>
    <w:rsid w:val="00527F80"/>
    <w:rsid w:val="005302AB"/>
    <w:rsid w:val="00530D76"/>
    <w:rsid w:val="0053167A"/>
    <w:rsid w:val="00531A2D"/>
    <w:rsid w:val="00532CE7"/>
    <w:rsid w:val="00532E6A"/>
    <w:rsid w:val="0053324C"/>
    <w:rsid w:val="00533B1A"/>
    <w:rsid w:val="00534151"/>
    <w:rsid w:val="00534A28"/>
    <w:rsid w:val="00534C8F"/>
    <w:rsid w:val="005357C0"/>
    <w:rsid w:val="00535DB8"/>
    <w:rsid w:val="00536262"/>
    <w:rsid w:val="00536B9B"/>
    <w:rsid w:val="00537086"/>
    <w:rsid w:val="005370C4"/>
    <w:rsid w:val="005371CE"/>
    <w:rsid w:val="005372CF"/>
    <w:rsid w:val="00537DAF"/>
    <w:rsid w:val="00537E46"/>
    <w:rsid w:val="00541508"/>
    <w:rsid w:val="005417EE"/>
    <w:rsid w:val="00541A82"/>
    <w:rsid w:val="00541BBF"/>
    <w:rsid w:val="00541C4C"/>
    <w:rsid w:val="00541CED"/>
    <w:rsid w:val="005422E2"/>
    <w:rsid w:val="005432F2"/>
    <w:rsid w:val="00543A02"/>
    <w:rsid w:val="005442CC"/>
    <w:rsid w:val="005443D3"/>
    <w:rsid w:val="00544604"/>
    <w:rsid w:val="00545528"/>
    <w:rsid w:val="00545E45"/>
    <w:rsid w:val="00546316"/>
    <w:rsid w:val="005465CB"/>
    <w:rsid w:val="00550C5B"/>
    <w:rsid w:val="00550EA0"/>
    <w:rsid w:val="00551949"/>
    <w:rsid w:val="0055207F"/>
    <w:rsid w:val="005524F6"/>
    <w:rsid w:val="005525D0"/>
    <w:rsid w:val="00552B4D"/>
    <w:rsid w:val="00552D10"/>
    <w:rsid w:val="00553164"/>
    <w:rsid w:val="0055327E"/>
    <w:rsid w:val="0055371D"/>
    <w:rsid w:val="005546D0"/>
    <w:rsid w:val="00554CFE"/>
    <w:rsid w:val="00554D58"/>
    <w:rsid w:val="0055553C"/>
    <w:rsid w:val="005556E4"/>
    <w:rsid w:val="0055586A"/>
    <w:rsid w:val="0055599F"/>
    <w:rsid w:val="00555ABA"/>
    <w:rsid w:val="0055655A"/>
    <w:rsid w:val="00556B98"/>
    <w:rsid w:val="00556D68"/>
    <w:rsid w:val="00556F5E"/>
    <w:rsid w:val="0055728A"/>
    <w:rsid w:val="00557A73"/>
    <w:rsid w:val="00557C3F"/>
    <w:rsid w:val="00557FDA"/>
    <w:rsid w:val="00560FD5"/>
    <w:rsid w:val="005614F4"/>
    <w:rsid w:val="00561803"/>
    <w:rsid w:val="00561BEF"/>
    <w:rsid w:val="00561EBD"/>
    <w:rsid w:val="00561F02"/>
    <w:rsid w:val="0056217C"/>
    <w:rsid w:val="00562411"/>
    <w:rsid w:val="00562680"/>
    <w:rsid w:val="00562FDC"/>
    <w:rsid w:val="00563009"/>
    <w:rsid w:val="00563BED"/>
    <w:rsid w:val="0056448B"/>
    <w:rsid w:val="005647BF"/>
    <w:rsid w:val="00564AA1"/>
    <w:rsid w:val="00564B8A"/>
    <w:rsid w:val="00565030"/>
    <w:rsid w:val="005658FE"/>
    <w:rsid w:val="00565F8E"/>
    <w:rsid w:val="0056647F"/>
    <w:rsid w:val="00566C30"/>
    <w:rsid w:val="00566DB2"/>
    <w:rsid w:val="00566DE3"/>
    <w:rsid w:val="0056714A"/>
    <w:rsid w:val="00567BF8"/>
    <w:rsid w:val="00567C89"/>
    <w:rsid w:val="00567D00"/>
    <w:rsid w:val="00570A11"/>
    <w:rsid w:val="00570A93"/>
    <w:rsid w:val="005711EE"/>
    <w:rsid w:val="0057144D"/>
    <w:rsid w:val="00571E5F"/>
    <w:rsid w:val="00572436"/>
    <w:rsid w:val="00572C39"/>
    <w:rsid w:val="0057364B"/>
    <w:rsid w:val="00573A3B"/>
    <w:rsid w:val="00574773"/>
    <w:rsid w:val="00574BFB"/>
    <w:rsid w:val="00574CB1"/>
    <w:rsid w:val="00575722"/>
    <w:rsid w:val="00576164"/>
    <w:rsid w:val="0057644B"/>
    <w:rsid w:val="00576730"/>
    <w:rsid w:val="00576D54"/>
    <w:rsid w:val="005772A0"/>
    <w:rsid w:val="00580A46"/>
    <w:rsid w:val="0058115F"/>
    <w:rsid w:val="00581E84"/>
    <w:rsid w:val="00582B45"/>
    <w:rsid w:val="00582D45"/>
    <w:rsid w:val="00583885"/>
    <w:rsid w:val="00583AB0"/>
    <w:rsid w:val="00583F4F"/>
    <w:rsid w:val="00583FFD"/>
    <w:rsid w:val="00584187"/>
    <w:rsid w:val="00584360"/>
    <w:rsid w:val="00584E6F"/>
    <w:rsid w:val="00584F85"/>
    <w:rsid w:val="005852EF"/>
    <w:rsid w:val="00585357"/>
    <w:rsid w:val="005859FB"/>
    <w:rsid w:val="00585E51"/>
    <w:rsid w:val="00585FE9"/>
    <w:rsid w:val="0058622A"/>
    <w:rsid w:val="00586579"/>
    <w:rsid w:val="00586ADF"/>
    <w:rsid w:val="00586B88"/>
    <w:rsid w:val="00586D63"/>
    <w:rsid w:val="00590212"/>
    <w:rsid w:val="005911BE"/>
    <w:rsid w:val="005912E8"/>
    <w:rsid w:val="00591F79"/>
    <w:rsid w:val="00592E50"/>
    <w:rsid w:val="005930A7"/>
    <w:rsid w:val="00593152"/>
    <w:rsid w:val="0059439A"/>
    <w:rsid w:val="00594553"/>
    <w:rsid w:val="00594C1B"/>
    <w:rsid w:val="00594CCF"/>
    <w:rsid w:val="00594F9D"/>
    <w:rsid w:val="005956BF"/>
    <w:rsid w:val="005973F7"/>
    <w:rsid w:val="00597650"/>
    <w:rsid w:val="00597A4F"/>
    <w:rsid w:val="00597F44"/>
    <w:rsid w:val="005A04B3"/>
    <w:rsid w:val="005A10F2"/>
    <w:rsid w:val="005A12A9"/>
    <w:rsid w:val="005A16D1"/>
    <w:rsid w:val="005A1896"/>
    <w:rsid w:val="005A21E0"/>
    <w:rsid w:val="005A28FF"/>
    <w:rsid w:val="005A2E08"/>
    <w:rsid w:val="005A3DF8"/>
    <w:rsid w:val="005A4018"/>
    <w:rsid w:val="005A40F7"/>
    <w:rsid w:val="005A435A"/>
    <w:rsid w:val="005A4362"/>
    <w:rsid w:val="005A4745"/>
    <w:rsid w:val="005A4DB5"/>
    <w:rsid w:val="005A4FE1"/>
    <w:rsid w:val="005A50C2"/>
    <w:rsid w:val="005A5387"/>
    <w:rsid w:val="005A5549"/>
    <w:rsid w:val="005A5A57"/>
    <w:rsid w:val="005A5F01"/>
    <w:rsid w:val="005A6EA7"/>
    <w:rsid w:val="005A7595"/>
    <w:rsid w:val="005A7DC6"/>
    <w:rsid w:val="005B0664"/>
    <w:rsid w:val="005B1193"/>
    <w:rsid w:val="005B121D"/>
    <w:rsid w:val="005B16C1"/>
    <w:rsid w:val="005B1A3E"/>
    <w:rsid w:val="005B2851"/>
    <w:rsid w:val="005B2ADE"/>
    <w:rsid w:val="005B2E28"/>
    <w:rsid w:val="005B4376"/>
    <w:rsid w:val="005B4CDC"/>
    <w:rsid w:val="005B5339"/>
    <w:rsid w:val="005B6D93"/>
    <w:rsid w:val="005B7060"/>
    <w:rsid w:val="005B7266"/>
    <w:rsid w:val="005B7954"/>
    <w:rsid w:val="005C00E4"/>
    <w:rsid w:val="005C06ED"/>
    <w:rsid w:val="005C0816"/>
    <w:rsid w:val="005C25CE"/>
    <w:rsid w:val="005C2B85"/>
    <w:rsid w:val="005C2C7C"/>
    <w:rsid w:val="005C3526"/>
    <w:rsid w:val="005C3DEA"/>
    <w:rsid w:val="005C4435"/>
    <w:rsid w:val="005C54A3"/>
    <w:rsid w:val="005C5707"/>
    <w:rsid w:val="005C5DF4"/>
    <w:rsid w:val="005C5FA9"/>
    <w:rsid w:val="005C66D4"/>
    <w:rsid w:val="005C6A99"/>
    <w:rsid w:val="005C78CC"/>
    <w:rsid w:val="005C7E65"/>
    <w:rsid w:val="005D0A47"/>
    <w:rsid w:val="005D0F95"/>
    <w:rsid w:val="005D10AB"/>
    <w:rsid w:val="005D12D8"/>
    <w:rsid w:val="005D13D5"/>
    <w:rsid w:val="005D15D9"/>
    <w:rsid w:val="005D1AF5"/>
    <w:rsid w:val="005D1B2E"/>
    <w:rsid w:val="005D1E23"/>
    <w:rsid w:val="005D213D"/>
    <w:rsid w:val="005D2CF3"/>
    <w:rsid w:val="005D2D0E"/>
    <w:rsid w:val="005D2D8C"/>
    <w:rsid w:val="005D2FE7"/>
    <w:rsid w:val="005D3B87"/>
    <w:rsid w:val="005D3C3F"/>
    <w:rsid w:val="005D51C7"/>
    <w:rsid w:val="005D5802"/>
    <w:rsid w:val="005D5E36"/>
    <w:rsid w:val="005D697E"/>
    <w:rsid w:val="005D74F2"/>
    <w:rsid w:val="005D7890"/>
    <w:rsid w:val="005D7896"/>
    <w:rsid w:val="005D7A21"/>
    <w:rsid w:val="005E0D30"/>
    <w:rsid w:val="005E0D48"/>
    <w:rsid w:val="005E0DF4"/>
    <w:rsid w:val="005E248C"/>
    <w:rsid w:val="005E27AB"/>
    <w:rsid w:val="005E2B98"/>
    <w:rsid w:val="005E3B7C"/>
    <w:rsid w:val="005E444E"/>
    <w:rsid w:val="005E4BC8"/>
    <w:rsid w:val="005E4C42"/>
    <w:rsid w:val="005E565A"/>
    <w:rsid w:val="005E5A21"/>
    <w:rsid w:val="005E5D8D"/>
    <w:rsid w:val="005E60FF"/>
    <w:rsid w:val="005E62C0"/>
    <w:rsid w:val="005E635F"/>
    <w:rsid w:val="005E6580"/>
    <w:rsid w:val="005E745C"/>
    <w:rsid w:val="005E7ACB"/>
    <w:rsid w:val="005E7C78"/>
    <w:rsid w:val="005E7D81"/>
    <w:rsid w:val="005E7F0B"/>
    <w:rsid w:val="005F06D8"/>
    <w:rsid w:val="005F0B0A"/>
    <w:rsid w:val="005F11D9"/>
    <w:rsid w:val="005F21D1"/>
    <w:rsid w:val="005F2886"/>
    <w:rsid w:val="005F28BD"/>
    <w:rsid w:val="005F37C9"/>
    <w:rsid w:val="005F3894"/>
    <w:rsid w:val="005F3EB1"/>
    <w:rsid w:val="005F425D"/>
    <w:rsid w:val="005F4803"/>
    <w:rsid w:val="005F4B47"/>
    <w:rsid w:val="005F5425"/>
    <w:rsid w:val="005F5469"/>
    <w:rsid w:val="005F5908"/>
    <w:rsid w:val="005F5A7F"/>
    <w:rsid w:val="005F6132"/>
    <w:rsid w:val="005F629A"/>
    <w:rsid w:val="005F7160"/>
    <w:rsid w:val="005F72D9"/>
    <w:rsid w:val="005F7313"/>
    <w:rsid w:val="005F749E"/>
    <w:rsid w:val="005F7C09"/>
    <w:rsid w:val="0060011F"/>
    <w:rsid w:val="0060042F"/>
    <w:rsid w:val="00600991"/>
    <w:rsid w:val="00601A76"/>
    <w:rsid w:val="00601B56"/>
    <w:rsid w:val="00601DBC"/>
    <w:rsid w:val="00602738"/>
    <w:rsid w:val="006033F3"/>
    <w:rsid w:val="006035DE"/>
    <w:rsid w:val="00603B3F"/>
    <w:rsid w:val="00603BFF"/>
    <w:rsid w:val="006040E1"/>
    <w:rsid w:val="00604307"/>
    <w:rsid w:val="006045E7"/>
    <w:rsid w:val="0060487F"/>
    <w:rsid w:val="00604EAD"/>
    <w:rsid w:val="0060540C"/>
    <w:rsid w:val="00605DA7"/>
    <w:rsid w:val="0060614A"/>
    <w:rsid w:val="00606485"/>
    <w:rsid w:val="006068B6"/>
    <w:rsid w:val="00606EB6"/>
    <w:rsid w:val="00607517"/>
    <w:rsid w:val="0060761E"/>
    <w:rsid w:val="0060788B"/>
    <w:rsid w:val="00607C56"/>
    <w:rsid w:val="00607EFE"/>
    <w:rsid w:val="00607FE9"/>
    <w:rsid w:val="006104FB"/>
    <w:rsid w:val="006105DB"/>
    <w:rsid w:val="00610A6E"/>
    <w:rsid w:val="00610DCE"/>
    <w:rsid w:val="00611323"/>
    <w:rsid w:val="0061139F"/>
    <w:rsid w:val="006113F2"/>
    <w:rsid w:val="00611862"/>
    <w:rsid w:val="006125E0"/>
    <w:rsid w:val="00612868"/>
    <w:rsid w:val="00612A2F"/>
    <w:rsid w:val="00612F37"/>
    <w:rsid w:val="00612F79"/>
    <w:rsid w:val="0061355B"/>
    <w:rsid w:val="00614AFC"/>
    <w:rsid w:val="00615038"/>
    <w:rsid w:val="006156B1"/>
    <w:rsid w:val="00615B99"/>
    <w:rsid w:val="00615EAD"/>
    <w:rsid w:val="00616E05"/>
    <w:rsid w:val="00617310"/>
    <w:rsid w:val="00617559"/>
    <w:rsid w:val="00617820"/>
    <w:rsid w:val="0062025C"/>
    <w:rsid w:val="00620EC8"/>
    <w:rsid w:val="006212A3"/>
    <w:rsid w:val="006219B9"/>
    <w:rsid w:val="006224A6"/>
    <w:rsid w:val="006228D0"/>
    <w:rsid w:val="00622A88"/>
    <w:rsid w:val="00622D81"/>
    <w:rsid w:val="00623816"/>
    <w:rsid w:val="00624093"/>
    <w:rsid w:val="006247D8"/>
    <w:rsid w:val="00624E95"/>
    <w:rsid w:val="0062515F"/>
    <w:rsid w:val="00625912"/>
    <w:rsid w:val="00625C21"/>
    <w:rsid w:val="00625E06"/>
    <w:rsid w:val="0062655C"/>
    <w:rsid w:val="00626B5A"/>
    <w:rsid w:val="006275DD"/>
    <w:rsid w:val="00627BFD"/>
    <w:rsid w:val="00627C9F"/>
    <w:rsid w:val="00630A60"/>
    <w:rsid w:val="00630C9E"/>
    <w:rsid w:val="00630DE9"/>
    <w:rsid w:val="0063152A"/>
    <w:rsid w:val="00631A36"/>
    <w:rsid w:val="00632291"/>
    <w:rsid w:val="006323A4"/>
    <w:rsid w:val="0063271F"/>
    <w:rsid w:val="0063288A"/>
    <w:rsid w:val="006328A5"/>
    <w:rsid w:val="00632C0E"/>
    <w:rsid w:val="006330CA"/>
    <w:rsid w:val="00633690"/>
    <w:rsid w:val="00633A51"/>
    <w:rsid w:val="00633BB4"/>
    <w:rsid w:val="006346BB"/>
    <w:rsid w:val="00635492"/>
    <w:rsid w:val="006359BE"/>
    <w:rsid w:val="00635AC0"/>
    <w:rsid w:val="00635B0D"/>
    <w:rsid w:val="0063655E"/>
    <w:rsid w:val="0063694F"/>
    <w:rsid w:val="00637454"/>
    <w:rsid w:val="00637C49"/>
    <w:rsid w:val="006401AF"/>
    <w:rsid w:val="006404A7"/>
    <w:rsid w:val="006405F3"/>
    <w:rsid w:val="00640949"/>
    <w:rsid w:val="00640A36"/>
    <w:rsid w:val="00641312"/>
    <w:rsid w:val="00642B69"/>
    <w:rsid w:val="00642E65"/>
    <w:rsid w:val="00643F07"/>
    <w:rsid w:val="00644505"/>
    <w:rsid w:val="00644652"/>
    <w:rsid w:val="00644BF0"/>
    <w:rsid w:val="00644E4F"/>
    <w:rsid w:val="006451E4"/>
    <w:rsid w:val="00645B33"/>
    <w:rsid w:val="00647176"/>
    <w:rsid w:val="00647202"/>
    <w:rsid w:val="006474CA"/>
    <w:rsid w:val="00647B42"/>
    <w:rsid w:val="0065031F"/>
    <w:rsid w:val="0065060A"/>
    <w:rsid w:val="00651007"/>
    <w:rsid w:val="006516CB"/>
    <w:rsid w:val="00651766"/>
    <w:rsid w:val="00652057"/>
    <w:rsid w:val="00652670"/>
    <w:rsid w:val="006526C8"/>
    <w:rsid w:val="00652DB6"/>
    <w:rsid w:val="006536FB"/>
    <w:rsid w:val="006542B9"/>
    <w:rsid w:val="00654C2C"/>
    <w:rsid w:val="006554E1"/>
    <w:rsid w:val="0065575E"/>
    <w:rsid w:val="00655A7E"/>
    <w:rsid w:val="00655E4D"/>
    <w:rsid w:val="006563BB"/>
    <w:rsid w:val="006571DE"/>
    <w:rsid w:val="006573C7"/>
    <w:rsid w:val="00657705"/>
    <w:rsid w:val="0065778A"/>
    <w:rsid w:val="0065797A"/>
    <w:rsid w:val="00657E87"/>
    <w:rsid w:val="00657FC5"/>
    <w:rsid w:val="006601F2"/>
    <w:rsid w:val="006602B2"/>
    <w:rsid w:val="0066099F"/>
    <w:rsid w:val="00660B39"/>
    <w:rsid w:val="00660E2F"/>
    <w:rsid w:val="00660E30"/>
    <w:rsid w:val="006613BF"/>
    <w:rsid w:val="00661484"/>
    <w:rsid w:val="0066180D"/>
    <w:rsid w:val="00661A5F"/>
    <w:rsid w:val="00661BF2"/>
    <w:rsid w:val="0066204E"/>
    <w:rsid w:val="0066276A"/>
    <w:rsid w:val="006636CF"/>
    <w:rsid w:val="00663890"/>
    <w:rsid w:val="00663AD4"/>
    <w:rsid w:val="00663B7A"/>
    <w:rsid w:val="0066457C"/>
    <w:rsid w:val="00664803"/>
    <w:rsid w:val="00664C80"/>
    <w:rsid w:val="00665590"/>
    <w:rsid w:val="00665915"/>
    <w:rsid w:val="00665BA4"/>
    <w:rsid w:val="00665D83"/>
    <w:rsid w:val="00666763"/>
    <w:rsid w:val="00666E82"/>
    <w:rsid w:val="00667954"/>
    <w:rsid w:val="006679B7"/>
    <w:rsid w:val="00667A41"/>
    <w:rsid w:val="00667AF2"/>
    <w:rsid w:val="00667B14"/>
    <w:rsid w:val="00670F73"/>
    <w:rsid w:val="006710C9"/>
    <w:rsid w:val="00671A24"/>
    <w:rsid w:val="006727C3"/>
    <w:rsid w:val="0067420E"/>
    <w:rsid w:val="0067425E"/>
    <w:rsid w:val="0067441C"/>
    <w:rsid w:val="00674476"/>
    <w:rsid w:val="00674483"/>
    <w:rsid w:val="00674938"/>
    <w:rsid w:val="0067494D"/>
    <w:rsid w:val="00674ADC"/>
    <w:rsid w:val="00674D5F"/>
    <w:rsid w:val="00674D89"/>
    <w:rsid w:val="00675655"/>
    <w:rsid w:val="00675839"/>
    <w:rsid w:val="00675844"/>
    <w:rsid w:val="00675A30"/>
    <w:rsid w:val="00675E37"/>
    <w:rsid w:val="00676306"/>
    <w:rsid w:val="00676AA2"/>
    <w:rsid w:val="00677072"/>
    <w:rsid w:val="00680269"/>
    <w:rsid w:val="0068051C"/>
    <w:rsid w:val="006809A4"/>
    <w:rsid w:val="00680CF4"/>
    <w:rsid w:val="00681015"/>
    <w:rsid w:val="0068174E"/>
    <w:rsid w:val="00681B26"/>
    <w:rsid w:val="00681DCE"/>
    <w:rsid w:val="006820C9"/>
    <w:rsid w:val="006824C6"/>
    <w:rsid w:val="0068260E"/>
    <w:rsid w:val="006829A2"/>
    <w:rsid w:val="00682FEB"/>
    <w:rsid w:val="00683148"/>
    <w:rsid w:val="00683F3C"/>
    <w:rsid w:val="00684200"/>
    <w:rsid w:val="0068563E"/>
    <w:rsid w:val="0068594C"/>
    <w:rsid w:val="00686382"/>
    <w:rsid w:val="0068663F"/>
    <w:rsid w:val="00686D74"/>
    <w:rsid w:val="00686FBD"/>
    <w:rsid w:val="00690514"/>
    <w:rsid w:val="00690DB2"/>
    <w:rsid w:val="00691399"/>
    <w:rsid w:val="00691F6D"/>
    <w:rsid w:val="00692076"/>
    <w:rsid w:val="00692667"/>
    <w:rsid w:val="00692750"/>
    <w:rsid w:val="00692F27"/>
    <w:rsid w:val="0069347A"/>
    <w:rsid w:val="00693910"/>
    <w:rsid w:val="00693D18"/>
    <w:rsid w:val="00694677"/>
    <w:rsid w:val="00695148"/>
    <w:rsid w:val="00695398"/>
    <w:rsid w:val="00695BEF"/>
    <w:rsid w:val="006964CE"/>
    <w:rsid w:val="006965F2"/>
    <w:rsid w:val="0069693B"/>
    <w:rsid w:val="0069697E"/>
    <w:rsid w:val="00696E75"/>
    <w:rsid w:val="0069706C"/>
    <w:rsid w:val="00697189"/>
    <w:rsid w:val="00697416"/>
    <w:rsid w:val="00697448"/>
    <w:rsid w:val="006976CD"/>
    <w:rsid w:val="00697750"/>
    <w:rsid w:val="006977F6"/>
    <w:rsid w:val="00697A13"/>
    <w:rsid w:val="00697D69"/>
    <w:rsid w:val="006A005E"/>
    <w:rsid w:val="006A071F"/>
    <w:rsid w:val="006A0B3B"/>
    <w:rsid w:val="006A0E34"/>
    <w:rsid w:val="006A0FA1"/>
    <w:rsid w:val="006A109C"/>
    <w:rsid w:val="006A10D9"/>
    <w:rsid w:val="006A1142"/>
    <w:rsid w:val="006A140D"/>
    <w:rsid w:val="006A14A5"/>
    <w:rsid w:val="006A20A9"/>
    <w:rsid w:val="006A232C"/>
    <w:rsid w:val="006A25C6"/>
    <w:rsid w:val="006A3A1C"/>
    <w:rsid w:val="006A3A46"/>
    <w:rsid w:val="006A50F0"/>
    <w:rsid w:val="006A574B"/>
    <w:rsid w:val="006A5807"/>
    <w:rsid w:val="006A5E34"/>
    <w:rsid w:val="006A60BA"/>
    <w:rsid w:val="006A696A"/>
    <w:rsid w:val="006A6F1E"/>
    <w:rsid w:val="006A715C"/>
    <w:rsid w:val="006A746A"/>
    <w:rsid w:val="006A7715"/>
    <w:rsid w:val="006A787D"/>
    <w:rsid w:val="006A78A9"/>
    <w:rsid w:val="006B155E"/>
    <w:rsid w:val="006B182D"/>
    <w:rsid w:val="006B263E"/>
    <w:rsid w:val="006B3132"/>
    <w:rsid w:val="006B3329"/>
    <w:rsid w:val="006B344A"/>
    <w:rsid w:val="006B354C"/>
    <w:rsid w:val="006B3EFC"/>
    <w:rsid w:val="006B4CFE"/>
    <w:rsid w:val="006B4D4F"/>
    <w:rsid w:val="006B5118"/>
    <w:rsid w:val="006B51B8"/>
    <w:rsid w:val="006B5B78"/>
    <w:rsid w:val="006B649A"/>
    <w:rsid w:val="006B6F44"/>
    <w:rsid w:val="006B784C"/>
    <w:rsid w:val="006B78D8"/>
    <w:rsid w:val="006B791E"/>
    <w:rsid w:val="006B7C94"/>
    <w:rsid w:val="006B7FF7"/>
    <w:rsid w:val="006C02D4"/>
    <w:rsid w:val="006C045E"/>
    <w:rsid w:val="006C0861"/>
    <w:rsid w:val="006C098E"/>
    <w:rsid w:val="006C0F44"/>
    <w:rsid w:val="006C113F"/>
    <w:rsid w:val="006C1225"/>
    <w:rsid w:val="006C123E"/>
    <w:rsid w:val="006C1714"/>
    <w:rsid w:val="006C191F"/>
    <w:rsid w:val="006C2989"/>
    <w:rsid w:val="006C3128"/>
    <w:rsid w:val="006C32C0"/>
    <w:rsid w:val="006C3657"/>
    <w:rsid w:val="006C3C0C"/>
    <w:rsid w:val="006C3C1A"/>
    <w:rsid w:val="006C40B8"/>
    <w:rsid w:val="006C414B"/>
    <w:rsid w:val="006C435E"/>
    <w:rsid w:val="006C4690"/>
    <w:rsid w:val="006C46E7"/>
    <w:rsid w:val="006C48E4"/>
    <w:rsid w:val="006C56D4"/>
    <w:rsid w:val="006C5CAD"/>
    <w:rsid w:val="006C6924"/>
    <w:rsid w:val="006C70CB"/>
    <w:rsid w:val="006C785B"/>
    <w:rsid w:val="006C7CA6"/>
    <w:rsid w:val="006D0261"/>
    <w:rsid w:val="006D02AC"/>
    <w:rsid w:val="006D1923"/>
    <w:rsid w:val="006D1C1C"/>
    <w:rsid w:val="006D1C4D"/>
    <w:rsid w:val="006D22F7"/>
    <w:rsid w:val="006D25DB"/>
    <w:rsid w:val="006D2605"/>
    <w:rsid w:val="006D29E3"/>
    <w:rsid w:val="006D2F03"/>
    <w:rsid w:val="006D3D19"/>
    <w:rsid w:val="006D3E8A"/>
    <w:rsid w:val="006D431E"/>
    <w:rsid w:val="006D4462"/>
    <w:rsid w:val="006D4D82"/>
    <w:rsid w:val="006D4EA7"/>
    <w:rsid w:val="006D5470"/>
    <w:rsid w:val="006D551A"/>
    <w:rsid w:val="006D55DF"/>
    <w:rsid w:val="006D5AB7"/>
    <w:rsid w:val="006D5CC2"/>
    <w:rsid w:val="006D61F6"/>
    <w:rsid w:val="006D64E2"/>
    <w:rsid w:val="006D6D8D"/>
    <w:rsid w:val="006D6F22"/>
    <w:rsid w:val="006D7401"/>
    <w:rsid w:val="006D7525"/>
    <w:rsid w:val="006D774B"/>
    <w:rsid w:val="006D7DA0"/>
    <w:rsid w:val="006E0507"/>
    <w:rsid w:val="006E0594"/>
    <w:rsid w:val="006E07FD"/>
    <w:rsid w:val="006E0B4B"/>
    <w:rsid w:val="006E0D8A"/>
    <w:rsid w:val="006E0F4C"/>
    <w:rsid w:val="006E1651"/>
    <w:rsid w:val="006E16EE"/>
    <w:rsid w:val="006E1AB9"/>
    <w:rsid w:val="006E1FD8"/>
    <w:rsid w:val="006E279A"/>
    <w:rsid w:val="006E28D6"/>
    <w:rsid w:val="006E28E7"/>
    <w:rsid w:val="006E2ADF"/>
    <w:rsid w:val="006E2B19"/>
    <w:rsid w:val="006E2E69"/>
    <w:rsid w:val="006E313B"/>
    <w:rsid w:val="006E32A1"/>
    <w:rsid w:val="006E3819"/>
    <w:rsid w:val="006E3F15"/>
    <w:rsid w:val="006E4EA1"/>
    <w:rsid w:val="006E502F"/>
    <w:rsid w:val="006E54EC"/>
    <w:rsid w:val="006E5E0F"/>
    <w:rsid w:val="006E6395"/>
    <w:rsid w:val="006E63F2"/>
    <w:rsid w:val="006E6518"/>
    <w:rsid w:val="006E686C"/>
    <w:rsid w:val="006E687D"/>
    <w:rsid w:val="006E6A96"/>
    <w:rsid w:val="006E6D7E"/>
    <w:rsid w:val="006E702A"/>
    <w:rsid w:val="006E7356"/>
    <w:rsid w:val="006E73CC"/>
    <w:rsid w:val="006E7DC2"/>
    <w:rsid w:val="006F0003"/>
    <w:rsid w:val="006F0222"/>
    <w:rsid w:val="006F049A"/>
    <w:rsid w:val="006F07EA"/>
    <w:rsid w:val="006F12D8"/>
    <w:rsid w:val="006F1812"/>
    <w:rsid w:val="006F1D1E"/>
    <w:rsid w:val="006F2672"/>
    <w:rsid w:val="006F282F"/>
    <w:rsid w:val="006F289F"/>
    <w:rsid w:val="006F2A2E"/>
    <w:rsid w:val="006F3A08"/>
    <w:rsid w:val="006F3F8E"/>
    <w:rsid w:val="006F4256"/>
    <w:rsid w:val="006F4DCF"/>
    <w:rsid w:val="006F4E77"/>
    <w:rsid w:val="006F51D6"/>
    <w:rsid w:val="006F5416"/>
    <w:rsid w:val="006F565E"/>
    <w:rsid w:val="006F5D76"/>
    <w:rsid w:val="006F6245"/>
    <w:rsid w:val="006F7137"/>
    <w:rsid w:val="006F7855"/>
    <w:rsid w:val="007005C1"/>
    <w:rsid w:val="00700A8C"/>
    <w:rsid w:val="00700AD4"/>
    <w:rsid w:val="00700BF3"/>
    <w:rsid w:val="00701473"/>
    <w:rsid w:val="007028C4"/>
    <w:rsid w:val="00702FBE"/>
    <w:rsid w:val="007034E1"/>
    <w:rsid w:val="0070373B"/>
    <w:rsid w:val="0070384E"/>
    <w:rsid w:val="00703C14"/>
    <w:rsid w:val="00703CA8"/>
    <w:rsid w:val="00703E54"/>
    <w:rsid w:val="00704B79"/>
    <w:rsid w:val="00704EB8"/>
    <w:rsid w:val="007050BC"/>
    <w:rsid w:val="0070548C"/>
    <w:rsid w:val="00705698"/>
    <w:rsid w:val="00705C42"/>
    <w:rsid w:val="00705CCF"/>
    <w:rsid w:val="00705CF6"/>
    <w:rsid w:val="00706789"/>
    <w:rsid w:val="00706AD4"/>
    <w:rsid w:val="00706D26"/>
    <w:rsid w:val="0070742B"/>
    <w:rsid w:val="007078E1"/>
    <w:rsid w:val="00710DF3"/>
    <w:rsid w:val="00712EA7"/>
    <w:rsid w:val="0071367E"/>
    <w:rsid w:val="00713A19"/>
    <w:rsid w:val="007140BE"/>
    <w:rsid w:val="00715458"/>
    <w:rsid w:val="007164A4"/>
    <w:rsid w:val="00716502"/>
    <w:rsid w:val="00716DA1"/>
    <w:rsid w:val="00716E7B"/>
    <w:rsid w:val="00716F56"/>
    <w:rsid w:val="00717529"/>
    <w:rsid w:val="007176C8"/>
    <w:rsid w:val="00717F46"/>
    <w:rsid w:val="0072037E"/>
    <w:rsid w:val="0072066D"/>
    <w:rsid w:val="00720AC6"/>
    <w:rsid w:val="007211F5"/>
    <w:rsid w:val="00721349"/>
    <w:rsid w:val="00721546"/>
    <w:rsid w:val="00721E7C"/>
    <w:rsid w:val="0072209E"/>
    <w:rsid w:val="007224B7"/>
    <w:rsid w:val="007239D4"/>
    <w:rsid w:val="0072462E"/>
    <w:rsid w:val="0072483C"/>
    <w:rsid w:val="00724FAF"/>
    <w:rsid w:val="0072534A"/>
    <w:rsid w:val="00725699"/>
    <w:rsid w:val="00725A37"/>
    <w:rsid w:val="00725BB5"/>
    <w:rsid w:val="00725F62"/>
    <w:rsid w:val="00725F6A"/>
    <w:rsid w:val="0072606C"/>
    <w:rsid w:val="00726317"/>
    <w:rsid w:val="00726A27"/>
    <w:rsid w:val="00727164"/>
    <w:rsid w:val="00730047"/>
    <w:rsid w:val="00730183"/>
    <w:rsid w:val="00730AE8"/>
    <w:rsid w:val="007312F9"/>
    <w:rsid w:val="00731B27"/>
    <w:rsid w:val="00733ACD"/>
    <w:rsid w:val="007362B8"/>
    <w:rsid w:val="00736542"/>
    <w:rsid w:val="00736A9E"/>
    <w:rsid w:val="00736CD1"/>
    <w:rsid w:val="007370F0"/>
    <w:rsid w:val="007374CC"/>
    <w:rsid w:val="00737861"/>
    <w:rsid w:val="00737BFE"/>
    <w:rsid w:val="00737BFF"/>
    <w:rsid w:val="00740195"/>
    <w:rsid w:val="00740242"/>
    <w:rsid w:val="00741358"/>
    <w:rsid w:val="00741493"/>
    <w:rsid w:val="007417E5"/>
    <w:rsid w:val="00742929"/>
    <w:rsid w:val="00742A80"/>
    <w:rsid w:val="00742B1F"/>
    <w:rsid w:val="00742C9A"/>
    <w:rsid w:val="007431D5"/>
    <w:rsid w:val="00743769"/>
    <w:rsid w:val="00743A8F"/>
    <w:rsid w:val="00744D5D"/>
    <w:rsid w:val="0074590F"/>
    <w:rsid w:val="00745B7F"/>
    <w:rsid w:val="00745EA0"/>
    <w:rsid w:val="00746DE3"/>
    <w:rsid w:val="00746E70"/>
    <w:rsid w:val="007479B2"/>
    <w:rsid w:val="007504EB"/>
    <w:rsid w:val="007508C0"/>
    <w:rsid w:val="00750D8A"/>
    <w:rsid w:val="00750D9B"/>
    <w:rsid w:val="00751378"/>
    <w:rsid w:val="00751437"/>
    <w:rsid w:val="0075206D"/>
    <w:rsid w:val="00752180"/>
    <w:rsid w:val="007523AD"/>
    <w:rsid w:val="00752A1E"/>
    <w:rsid w:val="00752CE6"/>
    <w:rsid w:val="00752EE2"/>
    <w:rsid w:val="007530E2"/>
    <w:rsid w:val="00753310"/>
    <w:rsid w:val="0075333A"/>
    <w:rsid w:val="007535C0"/>
    <w:rsid w:val="007535D5"/>
    <w:rsid w:val="00753B5F"/>
    <w:rsid w:val="00754592"/>
    <w:rsid w:val="007550FA"/>
    <w:rsid w:val="00755202"/>
    <w:rsid w:val="00755D3A"/>
    <w:rsid w:val="007564B0"/>
    <w:rsid w:val="007565CF"/>
    <w:rsid w:val="007569B6"/>
    <w:rsid w:val="00756F12"/>
    <w:rsid w:val="007578D3"/>
    <w:rsid w:val="00757DD5"/>
    <w:rsid w:val="007609C6"/>
    <w:rsid w:val="007615EC"/>
    <w:rsid w:val="0076175D"/>
    <w:rsid w:val="00761AB2"/>
    <w:rsid w:val="00761B7D"/>
    <w:rsid w:val="00761F38"/>
    <w:rsid w:val="00762AA4"/>
    <w:rsid w:val="0076309B"/>
    <w:rsid w:val="007631DF"/>
    <w:rsid w:val="0076320E"/>
    <w:rsid w:val="00763358"/>
    <w:rsid w:val="007633E5"/>
    <w:rsid w:val="007634D4"/>
    <w:rsid w:val="00764826"/>
    <w:rsid w:val="00764F49"/>
    <w:rsid w:val="0076521E"/>
    <w:rsid w:val="00765856"/>
    <w:rsid w:val="007659FC"/>
    <w:rsid w:val="00765A38"/>
    <w:rsid w:val="007660BB"/>
    <w:rsid w:val="007661E9"/>
    <w:rsid w:val="007667B6"/>
    <w:rsid w:val="00766D07"/>
    <w:rsid w:val="00766E66"/>
    <w:rsid w:val="0076714F"/>
    <w:rsid w:val="0076747E"/>
    <w:rsid w:val="007703B9"/>
    <w:rsid w:val="0077214A"/>
    <w:rsid w:val="00772D49"/>
    <w:rsid w:val="00772FF2"/>
    <w:rsid w:val="0077322A"/>
    <w:rsid w:val="00773731"/>
    <w:rsid w:val="00773BBA"/>
    <w:rsid w:val="00774213"/>
    <w:rsid w:val="0077433A"/>
    <w:rsid w:val="007746A0"/>
    <w:rsid w:val="00775132"/>
    <w:rsid w:val="00775DD3"/>
    <w:rsid w:val="00776169"/>
    <w:rsid w:val="00776527"/>
    <w:rsid w:val="00777381"/>
    <w:rsid w:val="00777DE0"/>
    <w:rsid w:val="007803E2"/>
    <w:rsid w:val="007804AC"/>
    <w:rsid w:val="00780946"/>
    <w:rsid w:val="00780EF1"/>
    <w:rsid w:val="00780F58"/>
    <w:rsid w:val="00781059"/>
    <w:rsid w:val="00781313"/>
    <w:rsid w:val="00781543"/>
    <w:rsid w:val="0078164C"/>
    <w:rsid w:val="00781971"/>
    <w:rsid w:val="007822A7"/>
    <w:rsid w:val="007825CF"/>
    <w:rsid w:val="0078356A"/>
    <w:rsid w:val="00783ABF"/>
    <w:rsid w:val="00784111"/>
    <w:rsid w:val="007848FD"/>
    <w:rsid w:val="00784EA7"/>
    <w:rsid w:val="00785B1D"/>
    <w:rsid w:val="00785FE7"/>
    <w:rsid w:val="00786086"/>
    <w:rsid w:val="00786187"/>
    <w:rsid w:val="00786A92"/>
    <w:rsid w:val="00786CA6"/>
    <w:rsid w:val="0078703E"/>
    <w:rsid w:val="00787060"/>
    <w:rsid w:val="0079044F"/>
    <w:rsid w:val="00790764"/>
    <w:rsid w:val="00790CE1"/>
    <w:rsid w:val="0079116F"/>
    <w:rsid w:val="00791CDB"/>
    <w:rsid w:val="00791E24"/>
    <w:rsid w:val="0079254D"/>
    <w:rsid w:val="007925AD"/>
    <w:rsid w:val="00792798"/>
    <w:rsid w:val="00792912"/>
    <w:rsid w:val="0079312D"/>
    <w:rsid w:val="007931A7"/>
    <w:rsid w:val="00793462"/>
    <w:rsid w:val="0079361F"/>
    <w:rsid w:val="00793731"/>
    <w:rsid w:val="00793BE9"/>
    <w:rsid w:val="00793C43"/>
    <w:rsid w:val="00794071"/>
    <w:rsid w:val="0079432E"/>
    <w:rsid w:val="0079453C"/>
    <w:rsid w:val="0079466B"/>
    <w:rsid w:val="00794677"/>
    <w:rsid w:val="00794D81"/>
    <w:rsid w:val="00794FBA"/>
    <w:rsid w:val="00795460"/>
    <w:rsid w:val="00795A2C"/>
    <w:rsid w:val="00796030"/>
    <w:rsid w:val="007963F4"/>
    <w:rsid w:val="007968CD"/>
    <w:rsid w:val="0079704D"/>
    <w:rsid w:val="007971E5"/>
    <w:rsid w:val="0079785C"/>
    <w:rsid w:val="007A00F0"/>
    <w:rsid w:val="007A113A"/>
    <w:rsid w:val="007A123E"/>
    <w:rsid w:val="007A1396"/>
    <w:rsid w:val="007A1FBA"/>
    <w:rsid w:val="007A2284"/>
    <w:rsid w:val="007A3120"/>
    <w:rsid w:val="007A3852"/>
    <w:rsid w:val="007A39C3"/>
    <w:rsid w:val="007A43D5"/>
    <w:rsid w:val="007A4559"/>
    <w:rsid w:val="007A502A"/>
    <w:rsid w:val="007A556A"/>
    <w:rsid w:val="007A5F50"/>
    <w:rsid w:val="007A64BE"/>
    <w:rsid w:val="007A6A37"/>
    <w:rsid w:val="007A71E5"/>
    <w:rsid w:val="007A7A06"/>
    <w:rsid w:val="007A7C30"/>
    <w:rsid w:val="007B0601"/>
    <w:rsid w:val="007B0971"/>
    <w:rsid w:val="007B13A0"/>
    <w:rsid w:val="007B22F0"/>
    <w:rsid w:val="007B2325"/>
    <w:rsid w:val="007B34FF"/>
    <w:rsid w:val="007B352D"/>
    <w:rsid w:val="007B3860"/>
    <w:rsid w:val="007B3F02"/>
    <w:rsid w:val="007B47A0"/>
    <w:rsid w:val="007B49F7"/>
    <w:rsid w:val="007B4B2D"/>
    <w:rsid w:val="007B4C74"/>
    <w:rsid w:val="007B4E03"/>
    <w:rsid w:val="007B4E7C"/>
    <w:rsid w:val="007B5262"/>
    <w:rsid w:val="007B5543"/>
    <w:rsid w:val="007B59AA"/>
    <w:rsid w:val="007B5C87"/>
    <w:rsid w:val="007B5DAD"/>
    <w:rsid w:val="007B6689"/>
    <w:rsid w:val="007B6784"/>
    <w:rsid w:val="007B763E"/>
    <w:rsid w:val="007B7947"/>
    <w:rsid w:val="007B7EF6"/>
    <w:rsid w:val="007C0027"/>
    <w:rsid w:val="007C0866"/>
    <w:rsid w:val="007C1652"/>
    <w:rsid w:val="007C1AE8"/>
    <w:rsid w:val="007C1CF4"/>
    <w:rsid w:val="007C1D85"/>
    <w:rsid w:val="007C1EB4"/>
    <w:rsid w:val="007C3D62"/>
    <w:rsid w:val="007C3F36"/>
    <w:rsid w:val="007C4476"/>
    <w:rsid w:val="007C4926"/>
    <w:rsid w:val="007C52AF"/>
    <w:rsid w:val="007C5AD2"/>
    <w:rsid w:val="007C656A"/>
    <w:rsid w:val="007C6E00"/>
    <w:rsid w:val="007C79C9"/>
    <w:rsid w:val="007D0482"/>
    <w:rsid w:val="007D04D9"/>
    <w:rsid w:val="007D0EEB"/>
    <w:rsid w:val="007D0F30"/>
    <w:rsid w:val="007D12CF"/>
    <w:rsid w:val="007D174C"/>
    <w:rsid w:val="007D21BE"/>
    <w:rsid w:val="007D2336"/>
    <w:rsid w:val="007D287E"/>
    <w:rsid w:val="007D292A"/>
    <w:rsid w:val="007D2DDF"/>
    <w:rsid w:val="007D3017"/>
    <w:rsid w:val="007D34F0"/>
    <w:rsid w:val="007D39D5"/>
    <w:rsid w:val="007D3BFE"/>
    <w:rsid w:val="007D40DF"/>
    <w:rsid w:val="007D4E09"/>
    <w:rsid w:val="007D580B"/>
    <w:rsid w:val="007D61D5"/>
    <w:rsid w:val="007D6705"/>
    <w:rsid w:val="007D6964"/>
    <w:rsid w:val="007D747C"/>
    <w:rsid w:val="007D767A"/>
    <w:rsid w:val="007D7EAB"/>
    <w:rsid w:val="007D7EC2"/>
    <w:rsid w:val="007E19FA"/>
    <w:rsid w:val="007E1CB1"/>
    <w:rsid w:val="007E1DAD"/>
    <w:rsid w:val="007E2849"/>
    <w:rsid w:val="007E33A1"/>
    <w:rsid w:val="007E37D3"/>
    <w:rsid w:val="007E45E7"/>
    <w:rsid w:val="007E4968"/>
    <w:rsid w:val="007E579F"/>
    <w:rsid w:val="007E5E24"/>
    <w:rsid w:val="007E60A6"/>
    <w:rsid w:val="007E722A"/>
    <w:rsid w:val="007E782A"/>
    <w:rsid w:val="007E79A8"/>
    <w:rsid w:val="007E7DA8"/>
    <w:rsid w:val="007E7E61"/>
    <w:rsid w:val="007F00E7"/>
    <w:rsid w:val="007F050A"/>
    <w:rsid w:val="007F0682"/>
    <w:rsid w:val="007F0845"/>
    <w:rsid w:val="007F08B4"/>
    <w:rsid w:val="007F0B36"/>
    <w:rsid w:val="007F0C1F"/>
    <w:rsid w:val="007F0E01"/>
    <w:rsid w:val="007F0EEA"/>
    <w:rsid w:val="007F145F"/>
    <w:rsid w:val="007F1A7C"/>
    <w:rsid w:val="007F1C0F"/>
    <w:rsid w:val="007F1CE6"/>
    <w:rsid w:val="007F1D44"/>
    <w:rsid w:val="007F236A"/>
    <w:rsid w:val="007F2B29"/>
    <w:rsid w:val="007F3792"/>
    <w:rsid w:val="007F3CDD"/>
    <w:rsid w:val="007F3D63"/>
    <w:rsid w:val="007F5DA5"/>
    <w:rsid w:val="007F66C3"/>
    <w:rsid w:val="007F773C"/>
    <w:rsid w:val="007F7756"/>
    <w:rsid w:val="007F7A02"/>
    <w:rsid w:val="008006C5"/>
    <w:rsid w:val="00800D34"/>
    <w:rsid w:val="008018C6"/>
    <w:rsid w:val="00801E93"/>
    <w:rsid w:val="008020EA"/>
    <w:rsid w:val="0080256A"/>
    <w:rsid w:val="008026EB"/>
    <w:rsid w:val="008029E7"/>
    <w:rsid w:val="00802E27"/>
    <w:rsid w:val="00803022"/>
    <w:rsid w:val="008032AD"/>
    <w:rsid w:val="008033E5"/>
    <w:rsid w:val="0080348F"/>
    <w:rsid w:val="00803B38"/>
    <w:rsid w:val="00803E0A"/>
    <w:rsid w:val="008043AA"/>
    <w:rsid w:val="00804598"/>
    <w:rsid w:val="008046E3"/>
    <w:rsid w:val="00804A57"/>
    <w:rsid w:val="00805BAD"/>
    <w:rsid w:val="008065B0"/>
    <w:rsid w:val="00806BB0"/>
    <w:rsid w:val="00806E8C"/>
    <w:rsid w:val="00807739"/>
    <w:rsid w:val="00807C82"/>
    <w:rsid w:val="00807D5C"/>
    <w:rsid w:val="0081099F"/>
    <w:rsid w:val="008111F7"/>
    <w:rsid w:val="00811FCF"/>
    <w:rsid w:val="00812129"/>
    <w:rsid w:val="008128DC"/>
    <w:rsid w:val="00812A2E"/>
    <w:rsid w:val="0081310E"/>
    <w:rsid w:val="00813CB4"/>
    <w:rsid w:val="00813F2D"/>
    <w:rsid w:val="00813FBA"/>
    <w:rsid w:val="00813FC0"/>
    <w:rsid w:val="00814EFF"/>
    <w:rsid w:val="00814F12"/>
    <w:rsid w:val="008151C4"/>
    <w:rsid w:val="00815282"/>
    <w:rsid w:val="00815862"/>
    <w:rsid w:val="008168F7"/>
    <w:rsid w:val="00816905"/>
    <w:rsid w:val="008170DE"/>
    <w:rsid w:val="00817E0D"/>
    <w:rsid w:val="00817EDF"/>
    <w:rsid w:val="00820729"/>
    <w:rsid w:val="00820979"/>
    <w:rsid w:val="00820D0D"/>
    <w:rsid w:val="00820D2F"/>
    <w:rsid w:val="0082185D"/>
    <w:rsid w:val="00821CC7"/>
    <w:rsid w:val="00821E58"/>
    <w:rsid w:val="00821F86"/>
    <w:rsid w:val="00821FF6"/>
    <w:rsid w:val="00822098"/>
    <w:rsid w:val="008227E9"/>
    <w:rsid w:val="00822905"/>
    <w:rsid w:val="00822A6C"/>
    <w:rsid w:val="00822C4D"/>
    <w:rsid w:val="008235E1"/>
    <w:rsid w:val="008236C2"/>
    <w:rsid w:val="008237DA"/>
    <w:rsid w:val="00823EFB"/>
    <w:rsid w:val="0082404D"/>
    <w:rsid w:val="008242B5"/>
    <w:rsid w:val="00824828"/>
    <w:rsid w:val="008249EA"/>
    <w:rsid w:val="008259F4"/>
    <w:rsid w:val="00825B78"/>
    <w:rsid w:val="00825C0B"/>
    <w:rsid w:val="00825C4D"/>
    <w:rsid w:val="00825D36"/>
    <w:rsid w:val="00825E53"/>
    <w:rsid w:val="008262CE"/>
    <w:rsid w:val="0082649F"/>
    <w:rsid w:val="008273A1"/>
    <w:rsid w:val="0082744E"/>
    <w:rsid w:val="00827673"/>
    <w:rsid w:val="0083001C"/>
    <w:rsid w:val="00830020"/>
    <w:rsid w:val="00830127"/>
    <w:rsid w:val="00830C39"/>
    <w:rsid w:val="00830ED0"/>
    <w:rsid w:val="0083143E"/>
    <w:rsid w:val="00831CDE"/>
    <w:rsid w:val="008327E7"/>
    <w:rsid w:val="0083420B"/>
    <w:rsid w:val="00834304"/>
    <w:rsid w:val="00834C4F"/>
    <w:rsid w:val="00834FAA"/>
    <w:rsid w:val="0083518B"/>
    <w:rsid w:val="00835473"/>
    <w:rsid w:val="00835A7A"/>
    <w:rsid w:val="00835C56"/>
    <w:rsid w:val="00835FEC"/>
    <w:rsid w:val="00836086"/>
    <w:rsid w:val="00836418"/>
    <w:rsid w:val="00836A63"/>
    <w:rsid w:val="00836E96"/>
    <w:rsid w:val="00837655"/>
    <w:rsid w:val="00837809"/>
    <w:rsid w:val="008378ED"/>
    <w:rsid w:val="00837B49"/>
    <w:rsid w:val="00837CCD"/>
    <w:rsid w:val="00840090"/>
    <w:rsid w:val="008401BF"/>
    <w:rsid w:val="00840579"/>
    <w:rsid w:val="008409C4"/>
    <w:rsid w:val="00840FEC"/>
    <w:rsid w:val="008410CE"/>
    <w:rsid w:val="0084284C"/>
    <w:rsid w:val="00842F19"/>
    <w:rsid w:val="0084303A"/>
    <w:rsid w:val="0084336E"/>
    <w:rsid w:val="00843694"/>
    <w:rsid w:val="008439AD"/>
    <w:rsid w:val="00843E2C"/>
    <w:rsid w:val="008440A3"/>
    <w:rsid w:val="00844AFF"/>
    <w:rsid w:val="00844D3B"/>
    <w:rsid w:val="00844E44"/>
    <w:rsid w:val="00844E55"/>
    <w:rsid w:val="00844F6F"/>
    <w:rsid w:val="00845028"/>
    <w:rsid w:val="00845562"/>
    <w:rsid w:val="00845951"/>
    <w:rsid w:val="008466A2"/>
    <w:rsid w:val="00846728"/>
    <w:rsid w:val="00846BFD"/>
    <w:rsid w:val="0084700A"/>
    <w:rsid w:val="0084708F"/>
    <w:rsid w:val="008471A9"/>
    <w:rsid w:val="008474B0"/>
    <w:rsid w:val="00847787"/>
    <w:rsid w:val="008477C8"/>
    <w:rsid w:val="008479D6"/>
    <w:rsid w:val="00847B49"/>
    <w:rsid w:val="00850564"/>
    <w:rsid w:val="00850C9E"/>
    <w:rsid w:val="0085114D"/>
    <w:rsid w:val="00852217"/>
    <w:rsid w:val="008524D2"/>
    <w:rsid w:val="00852AC6"/>
    <w:rsid w:val="00852B7E"/>
    <w:rsid w:val="00852E72"/>
    <w:rsid w:val="00853DA1"/>
    <w:rsid w:val="008544AB"/>
    <w:rsid w:val="00854BA5"/>
    <w:rsid w:val="00855080"/>
    <w:rsid w:val="00855408"/>
    <w:rsid w:val="00855D26"/>
    <w:rsid w:val="00856AFE"/>
    <w:rsid w:val="00856D65"/>
    <w:rsid w:val="00856E24"/>
    <w:rsid w:val="008576E9"/>
    <w:rsid w:val="00857B9B"/>
    <w:rsid w:val="00860385"/>
    <w:rsid w:val="008606E6"/>
    <w:rsid w:val="00861219"/>
    <w:rsid w:val="008619F8"/>
    <w:rsid w:val="00861B41"/>
    <w:rsid w:val="00861B79"/>
    <w:rsid w:val="00861F55"/>
    <w:rsid w:val="00862720"/>
    <w:rsid w:val="00862B65"/>
    <w:rsid w:val="00862E24"/>
    <w:rsid w:val="00862EBD"/>
    <w:rsid w:val="00863152"/>
    <w:rsid w:val="008632A1"/>
    <w:rsid w:val="00863434"/>
    <w:rsid w:val="00863B35"/>
    <w:rsid w:val="00863C3F"/>
    <w:rsid w:val="00863CD6"/>
    <w:rsid w:val="00864B5E"/>
    <w:rsid w:val="00864BCD"/>
    <w:rsid w:val="00864C2A"/>
    <w:rsid w:val="00864CB6"/>
    <w:rsid w:val="00865B42"/>
    <w:rsid w:val="00865D24"/>
    <w:rsid w:val="00865E4C"/>
    <w:rsid w:val="0086647D"/>
    <w:rsid w:val="008664AD"/>
    <w:rsid w:val="00866B8E"/>
    <w:rsid w:val="00866D45"/>
    <w:rsid w:val="00866DC2"/>
    <w:rsid w:val="00866E70"/>
    <w:rsid w:val="00867384"/>
    <w:rsid w:val="00867861"/>
    <w:rsid w:val="008701E4"/>
    <w:rsid w:val="008705F1"/>
    <w:rsid w:val="0087080F"/>
    <w:rsid w:val="00870A7F"/>
    <w:rsid w:val="00871530"/>
    <w:rsid w:val="008716FA"/>
    <w:rsid w:val="0087206E"/>
    <w:rsid w:val="00872D39"/>
    <w:rsid w:val="008737D3"/>
    <w:rsid w:val="00873CF4"/>
    <w:rsid w:val="00873EC0"/>
    <w:rsid w:val="00874235"/>
    <w:rsid w:val="008749E0"/>
    <w:rsid w:val="0087537A"/>
    <w:rsid w:val="00875626"/>
    <w:rsid w:val="00875A32"/>
    <w:rsid w:val="00875AE0"/>
    <w:rsid w:val="00876086"/>
    <w:rsid w:val="008763BD"/>
    <w:rsid w:val="0087647D"/>
    <w:rsid w:val="0087653E"/>
    <w:rsid w:val="00876AF5"/>
    <w:rsid w:val="00876F05"/>
    <w:rsid w:val="00877281"/>
    <w:rsid w:val="0088001A"/>
    <w:rsid w:val="008801C6"/>
    <w:rsid w:val="0088047D"/>
    <w:rsid w:val="00880CD7"/>
    <w:rsid w:val="0088120C"/>
    <w:rsid w:val="008814AF"/>
    <w:rsid w:val="0088208F"/>
    <w:rsid w:val="008821C9"/>
    <w:rsid w:val="008828F2"/>
    <w:rsid w:val="0088366B"/>
    <w:rsid w:val="00884DC5"/>
    <w:rsid w:val="00886C33"/>
    <w:rsid w:val="00886FB3"/>
    <w:rsid w:val="008873D4"/>
    <w:rsid w:val="008874BD"/>
    <w:rsid w:val="0088789E"/>
    <w:rsid w:val="008878CE"/>
    <w:rsid w:val="00890060"/>
    <w:rsid w:val="00890C63"/>
    <w:rsid w:val="00890ED1"/>
    <w:rsid w:val="0089106C"/>
    <w:rsid w:val="00891D6A"/>
    <w:rsid w:val="00891E2E"/>
    <w:rsid w:val="0089372E"/>
    <w:rsid w:val="0089378D"/>
    <w:rsid w:val="008938B0"/>
    <w:rsid w:val="00893E85"/>
    <w:rsid w:val="00894031"/>
    <w:rsid w:val="0089426A"/>
    <w:rsid w:val="00894AE9"/>
    <w:rsid w:val="00894F9E"/>
    <w:rsid w:val="008951EA"/>
    <w:rsid w:val="0089533C"/>
    <w:rsid w:val="008954DD"/>
    <w:rsid w:val="0089618C"/>
    <w:rsid w:val="008965F0"/>
    <w:rsid w:val="00896CB9"/>
    <w:rsid w:val="00897263"/>
    <w:rsid w:val="00897362"/>
    <w:rsid w:val="00897878"/>
    <w:rsid w:val="00897B42"/>
    <w:rsid w:val="00897D09"/>
    <w:rsid w:val="00897F49"/>
    <w:rsid w:val="00897FCC"/>
    <w:rsid w:val="008A06F1"/>
    <w:rsid w:val="008A085F"/>
    <w:rsid w:val="008A08DA"/>
    <w:rsid w:val="008A2232"/>
    <w:rsid w:val="008A28EF"/>
    <w:rsid w:val="008A2DFF"/>
    <w:rsid w:val="008A31A9"/>
    <w:rsid w:val="008A391C"/>
    <w:rsid w:val="008A3AC6"/>
    <w:rsid w:val="008A48F9"/>
    <w:rsid w:val="008A4B32"/>
    <w:rsid w:val="008A5096"/>
    <w:rsid w:val="008A509B"/>
    <w:rsid w:val="008A594C"/>
    <w:rsid w:val="008A5D2C"/>
    <w:rsid w:val="008A60EB"/>
    <w:rsid w:val="008A657D"/>
    <w:rsid w:val="008A662C"/>
    <w:rsid w:val="008A6E02"/>
    <w:rsid w:val="008A75BD"/>
    <w:rsid w:val="008A79DC"/>
    <w:rsid w:val="008A7A60"/>
    <w:rsid w:val="008B0F4C"/>
    <w:rsid w:val="008B1102"/>
    <w:rsid w:val="008B1DDA"/>
    <w:rsid w:val="008B21EE"/>
    <w:rsid w:val="008B2237"/>
    <w:rsid w:val="008B2D4D"/>
    <w:rsid w:val="008B2D7F"/>
    <w:rsid w:val="008B2F9E"/>
    <w:rsid w:val="008B3029"/>
    <w:rsid w:val="008B305A"/>
    <w:rsid w:val="008B36D5"/>
    <w:rsid w:val="008B3A0F"/>
    <w:rsid w:val="008B3E2E"/>
    <w:rsid w:val="008B4385"/>
    <w:rsid w:val="008B4825"/>
    <w:rsid w:val="008B4C0B"/>
    <w:rsid w:val="008B56EA"/>
    <w:rsid w:val="008B5760"/>
    <w:rsid w:val="008B57CF"/>
    <w:rsid w:val="008B65B4"/>
    <w:rsid w:val="008B6CBD"/>
    <w:rsid w:val="008B785C"/>
    <w:rsid w:val="008B7B1C"/>
    <w:rsid w:val="008B7C02"/>
    <w:rsid w:val="008B7D2B"/>
    <w:rsid w:val="008B7DE0"/>
    <w:rsid w:val="008C0049"/>
    <w:rsid w:val="008C044E"/>
    <w:rsid w:val="008C069D"/>
    <w:rsid w:val="008C0E88"/>
    <w:rsid w:val="008C0FC4"/>
    <w:rsid w:val="008C14B6"/>
    <w:rsid w:val="008C177C"/>
    <w:rsid w:val="008C2218"/>
    <w:rsid w:val="008C224B"/>
    <w:rsid w:val="008C2B16"/>
    <w:rsid w:val="008C3112"/>
    <w:rsid w:val="008C3787"/>
    <w:rsid w:val="008C54FF"/>
    <w:rsid w:val="008C5D60"/>
    <w:rsid w:val="008C5E8B"/>
    <w:rsid w:val="008C60BB"/>
    <w:rsid w:val="008C61BA"/>
    <w:rsid w:val="008C6EF2"/>
    <w:rsid w:val="008C704D"/>
    <w:rsid w:val="008C70B1"/>
    <w:rsid w:val="008C772D"/>
    <w:rsid w:val="008C7A74"/>
    <w:rsid w:val="008C7D85"/>
    <w:rsid w:val="008D0C64"/>
    <w:rsid w:val="008D130E"/>
    <w:rsid w:val="008D14F5"/>
    <w:rsid w:val="008D178B"/>
    <w:rsid w:val="008D1793"/>
    <w:rsid w:val="008D1E6A"/>
    <w:rsid w:val="008D2A16"/>
    <w:rsid w:val="008D3FC8"/>
    <w:rsid w:val="008D4499"/>
    <w:rsid w:val="008D4594"/>
    <w:rsid w:val="008D47DD"/>
    <w:rsid w:val="008D4C38"/>
    <w:rsid w:val="008D56A9"/>
    <w:rsid w:val="008D600C"/>
    <w:rsid w:val="008D6345"/>
    <w:rsid w:val="008D6537"/>
    <w:rsid w:val="008D6C23"/>
    <w:rsid w:val="008D7F6C"/>
    <w:rsid w:val="008E0066"/>
    <w:rsid w:val="008E0E9C"/>
    <w:rsid w:val="008E16D6"/>
    <w:rsid w:val="008E1FA4"/>
    <w:rsid w:val="008E21E4"/>
    <w:rsid w:val="008E2325"/>
    <w:rsid w:val="008E2912"/>
    <w:rsid w:val="008E2BBF"/>
    <w:rsid w:val="008E2C57"/>
    <w:rsid w:val="008E31FF"/>
    <w:rsid w:val="008E3973"/>
    <w:rsid w:val="008E4FDC"/>
    <w:rsid w:val="008E5A83"/>
    <w:rsid w:val="008E679C"/>
    <w:rsid w:val="008E6D38"/>
    <w:rsid w:val="008E6F06"/>
    <w:rsid w:val="008E7290"/>
    <w:rsid w:val="008E7985"/>
    <w:rsid w:val="008E7B8B"/>
    <w:rsid w:val="008E7ECD"/>
    <w:rsid w:val="008E7FE8"/>
    <w:rsid w:val="008F029B"/>
    <w:rsid w:val="008F09EB"/>
    <w:rsid w:val="008F0B68"/>
    <w:rsid w:val="008F15A4"/>
    <w:rsid w:val="008F1FBE"/>
    <w:rsid w:val="008F284B"/>
    <w:rsid w:val="008F3FC9"/>
    <w:rsid w:val="008F41A4"/>
    <w:rsid w:val="008F560C"/>
    <w:rsid w:val="008F566F"/>
    <w:rsid w:val="008F585B"/>
    <w:rsid w:val="008F5959"/>
    <w:rsid w:val="008F5B32"/>
    <w:rsid w:val="008F5E72"/>
    <w:rsid w:val="008F706B"/>
    <w:rsid w:val="008F711D"/>
    <w:rsid w:val="008F726D"/>
    <w:rsid w:val="008F73A4"/>
    <w:rsid w:val="008F76A0"/>
    <w:rsid w:val="008F76C1"/>
    <w:rsid w:val="009003A8"/>
    <w:rsid w:val="00900832"/>
    <w:rsid w:val="00900E51"/>
    <w:rsid w:val="00901010"/>
    <w:rsid w:val="00901750"/>
    <w:rsid w:val="00901AA9"/>
    <w:rsid w:val="00902500"/>
    <w:rsid w:val="00902A0A"/>
    <w:rsid w:val="00902EFF"/>
    <w:rsid w:val="009031CD"/>
    <w:rsid w:val="00903459"/>
    <w:rsid w:val="00903B7A"/>
    <w:rsid w:val="00903E19"/>
    <w:rsid w:val="00904A3E"/>
    <w:rsid w:val="00904AB5"/>
    <w:rsid w:val="00905358"/>
    <w:rsid w:val="00905623"/>
    <w:rsid w:val="0090564F"/>
    <w:rsid w:val="00905AD2"/>
    <w:rsid w:val="00906401"/>
    <w:rsid w:val="00906B3E"/>
    <w:rsid w:val="00907168"/>
    <w:rsid w:val="0090753F"/>
    <w:rsid w:val="0090755A"/>
    <w:rsid w:val="009077D9"/>
    <w:rsid w:val="00907EBD"/>
    <w:rsid w:val="00910196"/>
    <w:rsid w:val="009105D3"/>
    <w:rsid w:val="0091155E"/>
    <w:rsid w:val="00911727"/>
    <w:rsid w:val="0091175C"/>
    <w:rsid w:val="00911858"/>
    <w:rsid w:val="009119E1"/>
    <w:rsid w:val="009129BA"/>
    <w:rsid w:val="00912A92"/>
    <w:rsid w:val="00912B6E"/>
    <w:rsid w:val="009137FD"/>
    <w:rsid w:val="0091435B"/>
    <w:rsid w:val="0091489A"/>
    <w:rsid w:val="00914981"/>
    <w:rsid w:val="009153A6"/>
    <w:rsid w:val="00916363"/>
    <w:rsid w:val="0091728D"/>
    <w:rsid w:val="00917585"/>
    <w:rsid w:val="009179E2"/>
    <w:rsid w:val="0092016E"/>
    <w:rsid w:val="009204F9"/>
    <w:rsid w:val="00920B74"/>
    <w:rsid w:val="0092116D"/>
    <w:rsid w:val="00921324"/>
    <w:rsid w:val="0092148D"/>
    <w:rsid w:val="0092171C"/>
    <w:rsid w:val="00921757"/>
    <w:rsid w:val="0092180B"/>
    <w:rsid w:val="00921CD2"/>
    <w:rsid w:val="00921F14"/>
    <w:rsid w:val="009222CC"/>
    <w:rsid w:val="00922614"/>
    <w:rsid w:val="0092269D"/>
    <w:rsid w:val="00922AE2"/>
    <w:rsid w:val="009232E2"/>
    <w:rsid w:val="00924243"/>
    <w:rsid w:val="00924A1B"/>
    <w:rsid w:val="00924AC8"/>
    <w:rsid w:val="0092597A"/>
    <w:rsid w:val="009260ED"/>
    <w:rsid w:val="00926FA8"/>
    <w:rsid w:val="00927074"/>
    <w:rsid w:val="00927F1E"/>
    <w:rsid w:val="0093045A"/>
    <w:rsid w:val="0093090E"/>
    <w:rsid w:val="00930E88"/>
    <w:rsid w:val="00930EB8"/>
    <w:rsid w:val="00931216"/>
    <w:rsid w:val="0093145C"/>
    <w:rsid w:val="00931B43"/>
    <w:rsid w:val="00931E2D"/>
    <w:rsid w:val="00931F92"/>
    <w:rsid w:val="00932443"/>
    <w:rsid w:val="00932C43"/>
    <w:rsid w:val="00932CF9"/>
    <w:rsid w:val="009334D3"/>
    <w:rsid w:val="00933A2D"/>
    <w:rsid w:val="00933A78"/>
    <w:rsid w:val="00934640"/>
    <w:rsid w:val="00934C18"/>
    <w:rsid w:val="00934CB7"/>
    <w:rsid w:val="00934DF9"/>
    <w:rsid w:val="00935505"/>
    <w:rsid w:val="0093681D"/>
    <w:rsid w:val="00937AE2"/>
    <w:rsid w:val="00937BB0"/>
    <w:rsid w:val="0094006F"/>
    <w:rsid w:val="00940F44"/>
    <w:rsid w:val="00941056"/>
    <w:rsid w:val="009411BF"/>
    <w:rsid w:val="009413C3"/>
    <w:rsid w:val="0094153B"/>
    <w:rsid w:val="00942B41"/>
    <w:rsid w:val="00943B8C"/>
    <w:rsid w:val="0094403C"/>
    <w:rsid w:val="00944196"/>
    <w:rsid w:val="0094427A"/>
    <w:rsid w:val="0094522E"/>
    <w:rsid w:val="0094591D"/>
    <w:rsid w:val="00945C14"/>
    <w:rsid w:val="00945CC2"/>
    <w:rsid w:val="00946019"/>
    <w:rsid w:val="00946260"/>
    <w:rsid w:val="00946A6D"/>
    <w:rsid w:val="00946C2B"/>
    <w:rsid w:val="00946C44"/>
    <w:rsid w:val="00946C4D"/>
    <w:rsid w:val="0094734A"/>
    <w:rsid w:val="00947879"/>
    <w:rsid w:val="009500B4"/>
    <w:rsid w:val="00950A63"/>
    <w:rsid w:val="0095105D"/>
    <w:rsid w:val="0095179C"/>
    <w:rsid w:val="00953268"/>
    <w:rsid w:val="009534EF"/>
    <w:rsid w:val="0095383B"/>
    <w:rsid w:val="00953BC7"/>
    <w:rsid w:val="00954CD6"/>
    <w:rsid w:val="00955AF5"/>
    <w:rsid w:val="00955ED8"/>
    <w:rsid w:val="0095613B"/>
    <w:rsid w:val="00956B96"/>
    <w:rsid w:val="00956FCF"/>
    <w:rsid w:val="00957206"/>
    <w:rsid w:val="00957C21"/>
    <w:rsid w:val="00960451"/>
    <w:rsid w:val="009606E0"/>
    <w:rsid w:val="009609C2"/>
    <w:rsid w:val="00960A67"/>
    <w:rsid w:val="00961889"/>
    <w:rsid w:val="0096193E"/>
    <w:rsid w:val="00961B51"/>
    <w:rsid w:val="00961D85"/>
    <w:rsid w:val="00962680"/>
    <w:rsid w:val="00962D52"/>
    <w:rsid w:val="009630EA"/>
    <w:rsid w:val="00963599"/>
    <w:rsid w:val="00963EC3"/>
    <w:rsid w:val="00964897"/>
    <w:rsid w:val="00964F7D"/>
    <w:rsid w:val="009650EA"/>
    <w:rsid w:val="0096524B"/>
    <w:rsid w:val="00965271"/>
    <w:rsid w:val="00965C99"/>
    <w:rsid w:val="009666A6"/>
    <w:rsid w:val="00967199"/>
    <w:rsid w:val="00967556"/>
    <w:rsid w:val="009677A0"/>
    <w:rsid w:val="00967EA6"/>
    <w:rsid w:val="009700E6"/>
    <w:rsid w:val="009716B7"/>
    <w:rsid w:val="00971D2C"/>
    <w:rsid w:val="00971D5F"/>
    <w:rsid w:val="00972906"/>
    <w:rsid w:val="00972E02"/>
    <w:rsid w:val="0097368A"/>
    <w:rsid w:val="00973AB4"/>
    <w:rsid w:val="00973ED6"/>
    <w:rsid w:val="009746BF"/>
    <w:rsid w:val="00974923"/>
    <w:rsid w:val="00974C26"/>
    <w:rsid w:val="009758E1"/>
    <w:rsid w:val="009758E4"/>
    <w:rsid w:val="00977C06"/>
    <w:rsid w:val="009801DA"/>
    <w:rsid w:val="009808FB"/>
    <w:rsid w:val="00980A74"/>
    <w:rsid w:val="00980D3D"/>
    <w:rsid w:val="00980E0D"/>
    <w:rsid w:val="009810AD"/>
    <w:rsid w:val="00981442"/>
    <w:rsid w:val="00981B06"/>
    <w:rsid w:val="00981F9E"/>
    <w:rsid w:val="009821A9"/>
    <w:rsid w:val="00982555"/>
    <w:rsid w:val="00983686"/>
    <w:rsid w:val="00983847"/>
    <w:rsid w:val="00983D6C"/>
    <w:rsid w:val="00984B93"/>
    <w:rsid w:val="00985087"/>
    <w:rsid w:val="0098512B"/>
    <w:rsid w:val="00985546"/>
    <w:rsid w:val="00985CFA"/>
    <w:rsid w:val="00986217"/>
    <w:rsid w:val="00986850"/>
    <w:rsid w:val="00986D42"/>
    <w:rsid w:val="00986E0F"/>
    <w:rsid w:val="00987317"/>
    <w:rsid w:val="009873D7"/>
    <w:rsid w:val="00987A30"/>
    <w:rsid w:val="009900AC"/>
    <w:rsid w:val="0099086B"/>
    <w:rsid w:val="00990AD8"/>
    <w:rsid w:val="00990B2E"/>
    <w:rsid w:val="00990B87"/>
    <w:rsid w:val="00990EE8"/>
    <w:rsid w:val="009919D2"/>
    <w:rsid w:val="00992B46"/>
    <w:rsid w:val="00992B76"/>
    <w:rsid w:val="00992CF3"/>
    <w:rsid w:val="00993759"/>
    <w:rsid w:val="009937E8"/>
    <w:rsid w:val="00994128"/>
    <w:rsid w:val="00994385"/>
    <w:rsid w:val="009943A7"/>
    <w:rsid w:val="0099493D"/>
    <w:rsid w:val="00994C73"/>
    <w:rsid w:val="00994DFD"/>
    <w:rsid w:val="0099587D"/>
    <w:rsid w:val="009968D6"/>
    <w:rsid w:val="00997154"/>
    <w:rsid w:val="0099746B"/>
    <w:rsid w:val="00997C3D"/>
    <w:rsid w:val="00997D1B"/>
    <w:rsid w:val="009A03D1"/>
    <w:rsid w:val="009A08D1"/>
    <w:rsid w:val="009A0F7E"/>
    <w:rsid w:val="009A1475"/>
    <w:rsid w:val="009A1CAB"/>
    <w:rsid w:val="009A1F93"/>
    <w:rsid w:val="009A205C"/>
    <w:rsid w:val="009A31BD"/>
    <w:rsid w:val="009A33AF"/>
    <w:rsid w:val="009A35C0"/>
    <w:rsid w:val="009A39C3"/>
    <w:rsid w:val="009A3C3F"/>
    <w:rsid w:val="009A3FDE"/>
    <w:rsid w:val="009A486E"/>
    <w:rsid w:val="009A4DF3"/>
    <w:rsid w:val="009A60D1"/>
    <w:rsid w:val="009A6D4F"/>
    <w:rsid w:val="009A72FB"/>
    <w:rsid w:val="009A77EE"/>
    <w:rsid w:val="009A79DA"/>
    <w:rsid w:val="009A7E12"/>
    <w:rsid w:val="009B009D"/>
    <w:rsid w:val="009B0A72"/>
    <w:rsid w:val="009B0B7D"/>
    <w:rsid w:val="009B15CB"/>
    <w:rsid w:val="009B2ABD"/>
    <w:rsid w:val="009B314E"/>
    <w:rsid w:val="009B3B17"/>
    <w:rsid w:val="009B3D90"/>
    <w:rsid w:val="009B42BA"/>
    <w:rsid w:val="009B431C"/>
    <w:rsid w:val="009B48E9"/>
    <w:rsid w:val="009B4A3F"/>
    <w:rsid w:val="009B5030"/>
    <w:rsid w:val="009B545D"/>
    <w:rsid w:val="009B54FC"/>
    <w:rsid w:val="009B58A1"/>
    <w:rsid w:val="009B5C57"/>
    <w:rsid w:val="009B63BB"/>
    <w:rsid w:val="009B682E"/>
    <w:rsid w:val="009B6B9B"/>
    <w:rsid w:val="009B6FD3"/>
    <w:rsid w:val="009B7784"/>
    <w:rsid w:val="009B7B22"/>
    <w:rsid w:val="009C0334"/>
    <w:rsid w:val="009C03FE"/>
    <w:rsid w:val="009C161E"/>
    <w:rsid w:val="009C1750"/>
    <w:rsid w:val="009C1899"/>
    <w:rsid w:val="009C1924"/>
    <w:rsid w:val="009C1BF6"/>
    <w:rsid w:val="009C2E29"/>
    <w:rsid w:val="009C2F39"/>
    <w:rsid w:val="009C2F86"/>
    <w:rsid w:val="009C38B4"/>
    <w:rsid w:val="009C39BB"/>
    <w:rsid w:val="009C43F4"/>
    <w:rsid w:val="009C51CC"/>
    <w:rsid w:val="009C5365"/>
    <w:rsid w:val="009C554B"/>
    <w:rsid w:val="009C5728"/>
    <w:rsid w:val="009C58D3"/>
    <w:rsid w:val="009C719E"/>
    <w:rsid w:val="009C74BE"/>
    <w:rsid w:val="009C75AC"/>
    <w:rsid w:val="009C76C6"/>
    <w:rsid w:val="009C7CB5"/>
    <w:rsid w:val="009D029E"/>
    <w:rsid w:val="009D0EEB"/>
    <w:rsid w:val="009D16E2"/>
    <w:rsid w:val="009D25D3"/>
    <w:rsid w:val="009D263C"/>
    <w:rsid w:val="009D27B1"/>
    <w:rsid w:val="009D28BE"/>
    <w:rsid w:val="009D29B8"/>
    <w:rsid w:val="009D2F70"/>
    <w:rsid w:val="009D3312"/>
    <w:rsid w:val="009D384B"/>
    <w:rsid w:val="009D3ACD"/>
    <w:rsid w:val="009D465D"/>
    <w:rsid w:val="009D4B0B"/>
    <w:rsid w:val="009D5451"/>
    <w:rsid w:val="009D558D"/>
    <w:rsid w:val="009D5646"/>
    <w:rsid w:val="009D5E94"/>
    <w:rsid w:val="009D5F2A"/>
    <w:rsid w:val="009D616E"/>
    <w:rsid w:val="009D6447"/>
    <w:rsid w:val="009D6D5A"/>
    <w:rsid w:val="009D70B7"/>
    <w:rsid w:val="009D76C5"/>
    <w:rsid w:val="009E0C36"/>
    <w:rsid w:val="009E0D38"/>
    <w:rsid w:val="009E1E30"/>
    <w:rsid w:val="009E209B"/>
    <w:rsid w:val="009E22C3"/>
    <w:rsid w:val="009E28B0"/>
    <w:rsid w:val="009E2B1F"/>
    <w:rsid w:val="009E2DFC"/>
    <w:rsid w:val="009E2EF0"/>
    <w:rsid w:val="009E34DE"/>
    <w:rsid w:val="009E3798"/>
    <w:rsid w:val="009E4708"/>
    <w:rsid w:val="009E47D2"/>
    <w:rsid w:val="009E4D9A"/>
    <w:rsid w:val="009E4F4B"/>
    <w:rsid w:val="009E5273"/>
    <w:rsid w:val="009E5353"/>
    <w:rsid w:val="009E5757"/>
    <w:rsid w:val="009E5B0F"/>
    <w:rsid w:val="009E5C40"/>
    <w:rsid w:val="009E5DDB"/>
    <w:rsid w:val="009E6027"/>
    <w:rsid w:val="009E6107"/>
    <w:rsid w:val="009E63EE"/>
    <w:rsid w:val="009E685E"/>
    <w:rsid w:val="009E7554"/>
    <w:rsid w:val="009E78FB"/>
    <w:rsid w:val="009E7E46"/>
    <w:rsid w:val="009E7EBC"/>
    <w:rsid w:val="009F0181"/>
    <w:rsid w:val="009F0F9B"/>
    <w:rsid w:val="009F2213"/>
    <w:rsid w:val="009F2ACC"/>
    <w:rsid w:val="009F2DDE"/>
    <w:rsid w:val="009F3088"/>
    <w:rsid w:val="009F30B2"/>
    <w:rsid w:val="009F3AC3"/>
    <w:rsid w:val="009F41B6"/>
    <w:rsid w:val="009F420E"/>
    <w:rsid w:val="009F4311"/>
    <w:rsid w:val="009F453A"/>
    <w:rsid w:val="009F4646"/>
    <w:rsid w:val="009F496E"/>
    <w:rsid w:val="009F4A16"/>
    <w:rsid w:val="009F4CA7"/>
    <w:rsid w:val="009F4FF3"/>
    <w:rsid w:val="009F5068"/>
    <w:rsid w:val="009F5D0B"/>
    <w:rsid w:val="009F5F1A"/>
    <w:rsid w:val="009F6A87"/>
    <w:rsid w:val="009F7060"/>
    <w:rsid w:val="009F768F"/>
    <w:rsid w:val="009F77E6"/>
    <w:rsid w:val="00A001DC"/>
    <w:rsid w:val="00A007BE"/>
    <w:rsid w:val="00A00BB7"/>
    <w:rsid w:val="00A01694"/>
    <w:rsid w:val="00A019D7"/>
    <w:rsid w:val="00A0215E"/>
    <w:rsid w:val="00A0237F"/>
    <w:rsid w:val="00A024A3"/>
    <w:rsid w:val="00A02C6B"/>
    <w:rsid w:val="00A02EC2"/>
    <w:rsid w:val="00A04793"/>
    <w:rsid w:val="00A04FF2"/>
    <w:rsid w:val="00A0528C"/>
    <w:rsid w:val="00A053F0"/>
    <w:rsid w:val="00A05653"/>
    <w:rsid w:val="00A0634B"/>
    <w:rsid w:val="00A06ACB"/>
    <w:rsid w:val="00A07DDE"/>
    <w:rsid w:val="00A10AA2"/>
    <w:rsid w:val="00A10C0A"/>
    <w:rsid w:val="00A10D66"/>
    <w:rsid w:val="00A114AF"/>
    <w:rsid w:val="00A1213F"/>
    <w:rsid w:val="00A12430"/>
    <w:rsid w:val="00A12895"/>
    <w:rsid w:val="00A13141"/>
    <w:rsid w:val="00A13266"/>
    <w:rsid w:val="00A137DA"/>
    <w:rsid w:val="00A13997"/>
    <w:rsid w:val="00A139DA"/>
    <w:rsid w:val="00A14114"/>
    <w:rsid w:val="00A14B97"/>
    <w:rsid w:val="00A15244"/>
    <w:rsid w:val="00A1533E"/>
    <w:rsid w:val="00A153D6"/>
    <w:rsid w:val="00A15848"/>
    <w:rsid w:val="00A16413"/>
    <w:rsid w:val="00A16459"/>
    <w:rsid w:val="00A1676D"/>
    <w:rsid w:val="00A16AA6"/>
    <w:rsid w:val="00A16B2D"/>
    <w:rsid w:val="00A16FAD"/>
    <w:rsid w:val="00A200A0"/>
    <w:rsid w:val="00A20649"/>
    <w:rsid w:val="00A21419"/>
    <w:rsid w:val="00A215D6"/>
    <w:rsid w:val="00A21E00"/>
    <w:rsid w:val="00A21E7D"/>
    <w:rsid w:val="00A223DF"/>
    <w:rsid w:val="00A2281F"/>
    <w:rsid w:val="00A22821"/>
    <w:rsid w:val="00A22ADD"/>
    <w:rsid w:val="00A2318A"/>
    <w:rsid w:val="00A234D7"/>
    <w:rsid w:val="00A23943"/>
    <w:rsid w:val="00A2397C"/>
    <w:rsid w:val="00A23E43"/>
    <w:rsid w:val="00A23EB2"/>
    <w:rsid w:val="00A23EC6"/>
    <w:rsid w:val="00A2415A"/>
    <w:rsid w:val="00A2440B"/>
    <w:rsid w:val="00A24565"/>
    <w:rsid w:val="00A24FFF"/>
    <w:rsid w:val="00A253BB"/>
    <w:rsid w:val="00A2569A"/>
    <w:rsid w:val="00A257A1"/>
    <w:rsid w:val="00A2582F"/>
    <w:rsid w:val="00A26279"/>
    <w:rsid w:val="00A266F6"/>
    <w:rsid w:val="00A26719"/>
    <w:rsid w:val="00A269A0"/>
    <w:rsid w:val="00A26CAF"/>
    <w:rsid w:val="00A272D1"/>
    <w:rsid w:val="00A2744B"/>
    <w:rsid w:val="00A278D8"/>
    <w:rsid w:val="00A301F0"/>
    <w:rsid w:val="00A302E6"/>
    <w:rsid w:val="00A303E5"/>
    <w:rsid w:val="00A307D0"/>
    <w:rsid w:val="00A3081A"/>
    <w:rsid w:val="00A30F65"/>
    <w:rsid w:val="00A311F1"/>
    <w:rsid w:val="00A31232"/>
    <w:rsid w:val="00A315CE"/>
    <w:rsid w:val="00A318B7"/>
    <w:rsid w:val="00A31F6F"/>
    <w:rsid w:val="00A320DC"/>
    <w:rsid w:val="00A32242"/>
    <w:rsid w:val="00A32746"/>
    <w:rsid w:val="00A32860"/>
    <w:rsid w:val="00A32AB8"/>
    <w:rsid w:val="00A32CCC"/>
    <w:rsid w:val="00A35946"/>
    <w:rsid w:val="00A3606B"/>
    <w:rsid w:val="00A370B4"/>
    <w:rsid w:val="00A3783A"/>
    <w:rsid w:val="00A37E6D"/>
    <w:rsid w:val="00A40E97"/>
    <w:rsid w:val="00A41621"/>
    <w:rsid w:val="00A418BC"/>
    <w:rsid w:val="00A4388E"/>
    <w:rsid w:val="00A4410C"/>
    <w:rsid w:val="00A44A95"/>
    <w:rsid w:val="00A44AB1"/>
    <w:rsid w:val="00A46D24"/>
    <w:rsid w:val="00A46DE0"/>
    <w:rsid w:val="00A4769D"/>
    <w:rsid w:val="00A47E15"/>
    <w:rsid w:val="00A501C2"/>
    <w:rsid w:val="00A501CD"/>
    <w:rsid w:val="00A50D73"/>
    <w:rsid w:val="00A50F93"/>
    <w:rsid w:val="00A52272"/>
    <w:rsid w:val="00A52505"/>
    <w:rsid w:val="00A526A8"/>
    <w:rsid w:val="00A52879"/>
    <w:rsid w:val="00A52B55"/>
    <w:rsid w:val="00A52CAD"/>
    <w:rsid w:val="00A52D8B"/>
    <w:rsid w:val="00A53EA7"/>
    <w:rsid w:val="00A53FC7"/>
    <w:rsid w:val="00A54049"/>
    <w:rsid w:val="00A547D5"/>
    <w:rsid w:val="00A549B5"/>
    <w:rsid w:val="00A5517F"/>
    <w:rsid w:val="00A551F4"/>
    <w:rsid w:val="00A55AD2"/>
    <w:rsid w:val="00A56736"/>
    <w:rsid w:val="00A57466"/>
    <w:rsid w:val="00A575C2"/>
    <w:rsid w:val="00A57781"/>
    <w:rsid w:val="00A6027C"/>
    <w:rsid w:val="00A6144D"/>
    <w:rsid w:val="00A61CC5"/>
    <w:rsid w:val="00A61F79"/>
    <w:rsid w:val="00A62973"/>
    <w:rsid w:val="00A62CE1"/>
    <w:rsid w:val="00A62D4A"/>
    <w:rsid w:val="00A6312A"/>
    <w:rsid w:val="00A63BD8"/>
    <w:rsid w:val="00A63DBF"/>
    <w:rsid w:val="00A63F9F"/>
    <w:rsid w:val="00A64358"/>
    <w:rsid w:val="00A644FC"/>
    <w:rsid w:val="00A651B7"/>
    <w:rsid w:val="00A65A2D"/>
    <w:rsid w:val="00A65D20"/>
    <w:rsid w:val="00A65D75"/>
    <w:rsid w:val="00A66704"/>
    <w:rsid w:val="00A6741E"/>
    <w:rsid w:val="00A675A2"/>
    <w:rsid w:val="00A675CE"/>
    <w:rsid w:val="00A675D7"/>
    <w:rsid w:val="00A678C7"/>
    <w:rsid w:val="00A67C12"/>
    <w:rsid w:val="00A70867"/>
    <w:rsid w:val="00A70AA5"/>
    <w:rsid w:val="00A7163A"/>
    <w:rsid w:val="00A71967"/>
    <w:rsid w:val="00A72776"/>
    <w:rsid w:val="00A72AF3"/>
    <w:rsid w:val="00A738A6"/>
    <w:rsid w:val="00A73E6E"/>
    <w:rsid w:val="00A74F9F"/>
    <w:rsid w:val="00A7580C"/>
    <w:rsid w:val="00A7595D"/>
    <w:rsid w:val="00A7597A"/>
    <w:rsid w:val="00A75E40"/>
    <w:rsid w:val="00A760DA"/>
    <w:rsid w:val="00A77AC1"/>
    <w:rsid w:val="00A77D1D"/>
    <w:rsid w:val="00A77DAE"/>
    <w:rsid w:val="00A8049F"/>
    <w:rsid w:val="00A80884"/>
    <w:rsid w:val="00A81F47"/>
    <w:rsid w:val="00A82704"/>
    <w:rsid w:val="00A8279E"/>
    <w:rsid w:val="00A829CC"/>
    <w:rsid w:val="00A83811"/>
    <w:rsid w:val="00A83D70"/>
    <w:rsid w:val="00A83D86"/>
    <w:rsid w:val="00A8427E"/>
    <w:rsid w:val="00A846E8"/>
    <w:rsid w:val="00A84A16"/>
    <w:rsid w:val="00A84CFC"/>
    <w:rsid w:val="00A8566E"/>
    <w:rsid w:val="00A857C0"/>
    <w:rsid w:val="00A85952"/>
    <w:rsid w:val="00A86046"/>
    <w:rsid w:val="00A8629B"/>
    <w:rsid w:val="00A87415"/>
    <w:rsid w:val="00A87568"/>
    <w:rsid w:val="00A87643"/>
    <w:rsid w:val="00A90149"/>
    <w:rsid w:val="00A905FD"/>
    <w:rsid w:val="00A90CCA"/>
    <w:rsid w:val="00A911FA"/>
    <w:rsid w:val="00A918A5"/>
    <w:rsid w:val="00A9246D"/>
    <w:rsid w:val="00A934FF"/>
    <w:rsid w:val="00A9395E"/>
    <w:rsid w:val="00A93ABE"/>
    <w:rsid w:val="00A93B5E"/>
    <w:rsid w:val="00A93ECC"/>
    <w:rsid w:val="00A94DA8"/>
    <w:rsid w:val="00A95388"/>
    <w:rsid w:val="00A96351"/>
    <w:rsid w:val="00A970E0"/>
    <w:rsid w:val="00A97EBD"/>
    <w:rsid w:val="00AA0BD9"/>
    <w:rsid w:val="00AA2850"/>
    <w:rsid w:val="00AA2996"/>
    <w:rsid w:val="00AA2A4B"/>
    <w:rsid w:val="00AA349D"/>
    <w:rsid w:val="00AA3CCD"/>
    <w:rsid w:val="00AA3F3C"/>
    <w:rsid w:val="00AA4283"/>
    <w:rsid w:val="00AA4671"/>
    <w:rsid w:val="00AA4FBB"/>
    <w:rsid w:val="00AA52A7"/>
    <w:rsid w:val="00AA52BF"/>
    <w:rsid w:val="00AA559A"/>
    <w:rsid w:val="00AA5630"/>
    <w:rsid w:val="00AA6078"/>
    <w:rsid w:val="00AA72CB"/>
    <w:rsid w:val="00AA765A"/>
    <w:rsid w:val="00AB058B"/>
    <w:rsid w:val="00AB070A"/>
    <w:rsid w:val="00AB0787"/>
    <w:rsid w:val="00AB0BD2"/>
    <w:rsid w:val="00AB0E4F"/>
    <w:rsid w:val="00AB10C9"/>
    <w:rsid w:val="00AB1A99"/>
    <w:rsid w:val="00AB1C66"/>
    <w:rsid w:val="00AB1DD2"/>
    <w:rsid w:val="00AB26B9"/>
    <w:rsid w:val="00AB2AB6"/>
    <w:rsid w:val="00AB2AF1"/>
    <w:rsid w:val="00AB2C96"/>
    <w:rsid w:val="00AB362F"/>
    <w:rsid w:val="00AB3EAF"/>
    <w:rsid w:val="00AB4548"/>
    <w:rsid w:val="00AB5CB7"/>
    <w:rsid w:val="00AB5E95"/>
    <w:rsid w:val="00AB60AF"/>
    <w:rsid w:val="00AB6565"/>
    <w:rsid w:val="00AB6B04"/>
    <w:rsid w:val="00AB6CDA"/>
    <w:rsid w:val="00AB71A5"/>
    <w:rsid w:val="00AB73B3"/>
    <w:rsid w:val="00AB7BDE"/>
    <w:rsid w:val="00AB7E90"/>
    <w:rsid w:val="00AB7F8F"/>
    <w:rsid w:val="00AC0370"/>
    <w:rsid w:val="00AC05A9"/>
    <w:rsid w:val="00AC0E45"/>
    <w:rsid w:val="00AC1AA3"/>
    <w:rsid w:val="00AC28AF"/>
    <w:rsid w:val="00AC3191"/>
    <w:rsid w:val="00AC3903"/>
    <w:rsid w:val="00AC39E7"/>
    <w:rsid w:val="00AC4B87"/>
    <w:rsid w:val="00AC4E0E"/>
    <w:rsid w:val="00AC65AD"/>
    <w:rsid w:val="00AC6993"/>
    <w:rsid w:val="00AC6F31"/>
    <w:rsid w:val="00AC7933"/>
    <w:rsid w:val="00AC7DE1"/>
    <w:rsid w:val="00AD00C5"/>
    <w:rsid w:val="00AD0904"/>
    <w:rsid w:val="00AD1220"/>
    <w:rsid w:val="00AD1491"/>
    <w:rsid w:val="00AD14FD"/>
    <w:rsid w:val="00AD157F"/>
    <w:rsid w:val="00AD19D1"/>
    <w:rsid w:val="00AD284B"/>
    <w:rsid w:val="00AD2F0B"/>
    <w:rsid w:val="00AD306C"/>
    <w:rsid w:val="00AD35BE"/>
    <w:rsid w:val="00AD364E"/>
    <w:rsid w:val="00AD3C1C"/>
    <w:rsid w:val="00AD40A2"/>
    <w:rsid w:val="00AD425D"/>
    <w:rsid w:val="00AD43A0"/>
    <w:rsid w:val="00AD4BEB"/>
    <w:rsid w:val="00AD4D36"/>
    <w:rsid w:val="00AD4F5D"/>
    <w:rsid w:val="00AD53D8"/>
    <w:rsid w:val="00AD5482"/>
    <w:rsid w:val="00AD5762"/>
    <w:rsid w:val="00AD5C0D"/>
    <w:rsid w:val="00AD5D4C"/>
    <w:rsid w:val="00AD68AD"/>
    <w:rsid w:val="00AD6B02"/>
    <w:rsid w:val="00AD6F93"/>
    <w:rsid w:val="00AD7091"/>
    <w:rsid w:val="00AD727F"/>
    <w:rsid w:val="00AD7909"/>
    <w:rsid w:val="00AD7B1C"/>
    <w:rsid w:val="00AD7CDF"/>
    <w:rsid w:val="00AD7D10"/>
    <w:rsid w:val="00AE081E"/>
    <w:rsid w:val="00AE09B3"/>
    <w:rsid w:val="00AE13E3"/>
    <w:rsid w:val="00AE1478"/>
    <w:rsid w:val="00AE1A83"/>
    <w:rsid w:val="00AE208C"/>
    <w:rsid w:val="00AE2487"/>
    <w:rsid w:val="00AE3172"/>
    <w:rsid w:val="00AE37DE"/>
    <w:rsid w:val="00AE39B0"/>
    <w:rsid w:val="00AE45E1"/>
    <w:rsid w:val="00AE53D3"/>
    <w:rsid w:val="00AE5878"/>
    <w:rsid w:val="00AE5AF3"/>
    <w:rsid w:val="00AE675E"/>
    <w:rsid w:val="00AE6810"/>
    <w:rsid w:val="00AE69B6"/>
    <w:rsid w:val="00AE6DBA"/>
    <w:rsid w:val="00AF1130"/>
    <w:rsid w:val="00AF1AE9"/>
    <w:rsid w:val="00AF1B7E"/>
    <w:rsid w:val="00AF27CB"/>
    <w:rsid w:val="00AF3158"/>
    <w:rsid w:val="00AF332B"/>
    <w:rsid w:val="00AF388B"/>
    <w:rsid w:val="00AF4B13"/>
    <w:rsid w:val="00AF50E3"/>
    <w:rsid w:val="00AF5EA5"/>
    <w:rsid w:val="00AF7377"/>
    <w:rsid w:val="00AF74E9"/>
    <w:rsid w:val="00AF7A65"/>
    <w:rsid w:val="00B007C7"/>
    <w:rsid w:val="00B00913"/>
    <w:rsid w:val="00B00AB5"/>
    <w:rsid w:val="00B013C9"/>
    <w:rsid w:val="00B01436"/>
    <w:rsid w:val="00B01593"/>
    <w:rsid w:val="00B019D8"/>
    <w:rsid w:val="00B01D63"/>
    <w:rsid w:val="00B01F64"/>
    <w:rsid w:val="00B02382"/>
    <w:rsid w:val="00B028BA"/>
    <w:rsid w:val="00B02D21"/>
    <w:rsid w:val="00B038C5"/>
    <w:rsid w:val="00B03F2F"/>
    <w:rsid w:val="00B04AE7"/>
    <w:rsid w:val="00B04C66"/>
    <w:rsid w:val="00B04CD0"/>
    <w:rsid w:val="00B055AA"/>
    <w:rsid w:val="00B05F02"/>
    <w:rsid w:val="00B06699"/>
    <w:rsid w:val="00B06B47"/>
    <w:rsid w:val="00B07173"/>
    <w:rsid w:val="00B105AF"/>
    <w:rsid w:val="00B10827"/>
    <w:rsid w:val="00B10A4D"/>
    <w:rsid w:val="00B1170B"/>
    <w:rsid w:val="00B118A0"/>
    <w:rsid w:val="00B11E54"/>
    <w:rsid w:val="00B122B8"/>
    <w:rsid w:val="00B1238E"/>
    <w:rsid w:val="00B130C2"/>
    <w:rsid w:val="00B13131"/>
    <w:rsid w:val="00B13743"/>
    <w:rsid w:val="00B138AE"/>
    <w:rsid w:val="00B13EC1"/>
    <w:rsid w:val="00B1434A"/>
    <w:rsid w:val="00B1485E"/>
    <w:rsid w:val="00B1524A"/>
    <w:rsid w:val="00B15735"/>
    <w:rsid w:val="00B158A0"/>
    <w:rsid w:val="00B16443"/>
    <w:rsid w:val="00B169A5"/>
    <w:rsid w:val="00B16C12"/>
    <w:rsid w:val="00B17124"/>
    <w:rsid w:val="00B17139"/>
    <w:rsid w:val="00B17B4A"/>
    <w:rsid w:val="00B17E71"/>
    <w:rsid w:val="00B17FDE"/>
    <w:rsid w:val="00B202AE"/>
    <w:rsid w:val="00B203BF"/>
    <w:rsid w:val="00B2071F"/>
    <w:rsid w:val="00B20843"/>
    <w:rsid w:val="00B224C2"/>
    <w:rsid w:val="00B22645"/>
    <w:rsid w:val="00B22B13"/>
    <w:rsid w:val="00B2346F"/>
    <w:rsid w:val="00B235FD"/>
    <w:rsid w:val="00B2379C"/>
    <w:rsid w:val="00B23984"/>
    <w:rsid w:val="00B2416A"/>
    <w:rsid w:val="00B2426E"/>
    <w:rsid w:val="00B2465F"/>
    <w:rsid w:val="00B24764"/>
    <w:rsid w:val="00B254E9"/>
    <w:rsid w:val="00B2559D"/>
    <w:rsid w:val="00B25AE7"/>
    <w:rsid w:val="00B25BE0"/>
    <w:rsid w:val="00B26602"/>
    <w:rsid w:val="00B2687D"/>
    <w:rsid w:val="00B26950"/>
    <w:rsid w:val="00B26D77"/>
    <w:rsid w:val="00B270AD"/>
    <w:rsid w:val="00B2747E"/>
    <w:rsid w:val="00B277E5"/>
    <w:rsid w:val="00B30607"/>
    <w:rsid w:val="00B30ACA"/>
    <w:rsid w:val="00B30B23"/>
    <w:rsid w:val="00B30BF2"/>
    <w:rsid w:val="00B30D77"/>
    <w:rsid w:val="00B30FF3"/>
    <w:rsid w:val="00B31746"/>
    <w:rsid w:val="00B319BF"/>
    <w:rsid w:val="00B31A9E"/>
    <w:rsid w:val="00B322B8"/>
    <w:rsid w:val="00B322DD"/>
    <w:rsid w:val="00B32316"/>
    <w:rsid w:val="00B32662"/>
    <w:rsid w:val="00B32DDB"/>
    <w:rsid w:val="00B33134"/>
    <w:rsid w:val="00B3378B"/>
    <w:rsid w:val="00B33BA5"/>
    <w:rsid w:val="00B34138"/>
    <w:rsid w:val="00B34528"/>
    <w:rsid w:val="00B345F0"/>
    <w:rsid w:val="00B34E1A"/>
    <w:rsid w:val="00B35583"/>
    <w:rsid w:val="00B35603"/>
    <w:rsid w:val="00B35EBA"/>
    <w:rsid w:val="00B361AA"/>
    <w:rsid w:val="00B36310"/>
    <w:rsid w:val="00B36665"/>
    <w:rsid w:val="00B3705F"/>
    <w:rsid w:val="00B375FB"/>
    <w:rsid w:val="00B37720"/>
    <w:rsid w:val="00B37E7E"/>
    <w:rsid w:val="00B402FC"/>
    <w:rsid w:val="00B4044D"/>
    <w:rsid w:val="00B40B01"/>
    <w:rsid w:val="00B414E6"/>
    <w:rsid w:val="00B4167E"/>
    <w:rsid w:val="00B4173F"/>
    <w:rsid w:val="00B421EA"/>
    <w:rsid w:val="00B423DF"/>
    <w:rsid w:val="00B42B52"/>
    <w:rsid w:val="00B43B29"/>
    <w:rsid w:val="00B448D4"/>
    <w:rsid w:val="00B45342"/>
    <w:rsid w:val="00B4550F"/>
    <w:rsid w:val="00B457F9"/>
    <w:rsid w:val="00B45BA3"/>
    <w:rsid w:val="00B45CEC"/>
    <w:rsid w:val="00B46604"/>
    <w:rsid w:val="00B46D32"/>
    <w:rsid w:val="00B46F88"/>
    <w:rsid w:val="00B46FAF"/>
    <w:rsid w:val="00B4728C"/>
    <w:rsid w:val="00B4793B"/>
    <w:rsid w:val="00B5000C"/>
    <w:rsid w:val="00B500F5"/>
    <w:rsid w:val="00B50212"/>
    <w:rsid w:val="00B519B3"/>
    <w:rsid w:val="00B5249D"/>
    <w:rsid w:val="00B530CD"/>
    <w:rsid w:val="00B53263"/>
    <w:rsid w:val="00B53DD0"/>
    <w:rsid w:val="00B5462B"/>
    <w:rsid w:val="00B546C2"/>
    <w:rsid w:val="00B54B65"/>
    <w:rsid w:val="00B54D31"/>
    <w:rsid w:val="00B555BC"/>
    <w:rsid w:val="00B55B2B"/>
    <w:rsid w:val="00B55F5E"/>
    <w:rsid w:val="00B56E41"/>
    <w:rsid w:val="00B5747B"/>
    <w:rsid w:val="00B5752E"/>
    <w:rsid w:val="00B576E5"/>
    <w:rsid w:val="00B577DB"/>
    <w:rsid w:val="00B57926"/>
    <w:rsid w:val="00B57DC4"/>
    <w:rsid w:val="00B57DD3"/>
    <w:rsid w:val="00B61CD5"/>
    <w:rsid w:val="00B62075"/>
    <w:rsid w:val="00B6286F"/>
    <w:rsid w:val="00B62C18"/>
    <w:rsid w:val="00B62DF6"/>
    <w:rsid w:val="00B634DD"/>
    <w:rsid w:val="00B6383D"/>
    <w:rsid w:val="00B63879"/>
    <w:rsid w:val="00B63A11"/>
    <w:rsid w:val="00B64393"/>
    <w:rsid w:val="00B6460D"/>
    <w:rsid w:val="00B64671"/>
    <w:rsid w:val="00B64C24"/>
    <w:rsid w:val="00B64FC3"/>
    <w:rsid w:val="00B65961"/>
    <w:rsid w:val="00B6608F"/>
    <w:rsid w:val="00B66E68"/>
    <w:rsid w:val="00B678DE"/>
    <w:rsid w:val="00B679FB"/>
    <w:rsid w:val="00B67F19"/>
    <w:rsid w:val="00B67F8E"/>
    <w:rsid w:val="00B705AA"/>
    <w:rsid w:val="00B70A55"/>
    <w:rsid w:val="00B710B4"/>
    <w:rsid w:val="00B71171"/>
    <w:rsid w:val="00B719CA"/>
    <w:rsid w:val="00B71B28"/>
    <w:rsid w:val="00B71B9B"/>
    <w:rsid w:val="00B71DCF"/>
    <w:rsid w:val="00B72326"/>
    <w:rsid w:val="00B72563"/>
    <w:rsid w:val="00B72A0A"/>
    <w:rsid w:val="00B73340"/>
    <w:rsid w:val="00B735DA"/>
    <w:rsid w:val="00B7390C"/>
    <w:rsid w:val="00B73C78"/>
    <w:rsid w:val="00B74104"/>
    <w:rsid w:val="00B744C2"/>
    <w:rsid w:val="00B74510"/>
    <w:rsid w:val="00B74518"/>
    <w:rsid w:val="00B74A51"/>
    <w:rsid w:val="00B74B8F"/>
    <w:rsid w:val="00B74ECB"/>
    <w:rsid w:val="00B74F7C"/>
    <w:rsid w:val="00B75A6F"/>
    <w:rsid w:val="00B75F2A"/>
    <w:rsid w:val="00B7617F"/>
    <w:rsid w:val="00B7631E"/>
    <w:rsid w:val="00B7682E"/>
    <w:rsid w:val="00B76D1E"/>
    <w:rsid w:val="00B7794F"/>
    <w:rsid w:val="00B804CA"/>
    <w:rsid w:val="00B80BFE"/>
    <w:rsid w:val="00B80EC6"/>
    <w:rsid w:val="00B81138"/>
    <w:rsid w:val="00B82599"/>
    <w:rsid w:val="00B827F5"/>
    <w:rsid w:val="00B836A2"/>
    <w:rsid w:val="00B838C1"/>
    <w:rsid w:val="00B83A3F"/>
    <w:rsid w:val="00B84020"/>
    <w:rsid w:val="00B84A71"/>
    <w:rsid w:val="00B84C86"/>
    <w:rsid w:val="00B84E7D"/>
    <w:rsid w:val="00B85002"/>
    <w:rsid w:val="00B850BB"/>
    <w:rsid w:val="00B85577"/>
    <w:rsid w:val="00B85965"/>
    <w:rsid w:val="00B85B9D"/>
    <w:rsid w:val="00B85E83"/>
    <w:rsid w:val="00B86080"/>
    <w:rsid w:val="00B8770C"/>
    <w:rsid w:val="00B879B8"/>
    <w:rsid w:val="00B87A46"/>
    <w:rsid w:val="00B90313"/>
    <w:rsid w:val="00B9104B"/>
    <w:rsid w:val="00B9110D"/>
    <w:rsid w:val="00B91BFF"/>
    <w:rsid w:val="00B91D10"/>
    <w:rsid w:val="00B91E8F"/>
    <w:rsid w:val="00B92510"/>
    <w:rsid w:val="00B9263A"/>
    <w:rsid w:val="00B92A24"/>
    <w:rsid w:val="00B92D1D"/>
    <w:rsid w:val="00B92E48"/>
    <w:rsid w:val="00B93526"/>
    <w:rsid w:val="00B938C5"/>
    <w:rsid w:val="00B93BDF"/>
    <w:rsid w:val="00B941A5"/>
    <w:rsid w:val="00B948C7"/>
    <w:rsid w:val="00B94C0A"/>
    <w:rsid w:val="00B95940"/>
    <w:rsid w:val="00B95BBC"/>
    <w:rsid w:val="00B963C5"/>
    <w:rsid w:val="00B97292"/>
    <w:rsid w:val="00BA002F"/>
    <w:rsid w:val="00BA095A"/>
    <w:rsid w:val="00BA16F7"/>
    <w:rsid w:val="00BA1C90"/>
    <w:rsid w:val="00BA1CA7"/>
    <w:rsid w:val="00BA2ED0"/>
    <w:rsid w:val="00BA33BD"/>
    <w:rsid w:val="00BA3BF9"/>
    <w:rsid w:val="00BA3D5E"/>
    <w:rsid w:val="00BA4060"/>
    <w:rsid w:val="00BA4388"/>
    <w:rsid w:val="00BA51C2"/>
    <w:rsid w:val="00BA62EE"/>
    <w:rsid w:val="00BA643B"/>
    <w:rsid w:val="00BA6584"/>
    <w:rsid w:val="00BA71C6"/>
    <w:rsid w:val="00BA74FC"/>
    <w:rsid w:val="00BA751A"/>
    <w:rsid w:val="00BA75C4"/>
    <w:rsid w:val="00BB073E"/>
    <w:rsid w:val="00BB0B31"/>
    <w:rsid w:val="00BB0B6E"/>
    <w:rsid w:val="00BB1A67"/>
    <w:rsid w:val="00BB20B8"/>
    <w:rsid w:val="00BB27F9"/>
    <w:rsid w:val="00BB3181"/>
    <w:rsid w:val="00BB4314"/>
    <w:rsid w:val="00BB46F3"/>
    <w:rsid w:val="00BB4B8C"/>
    <w:rsid w:val="00BB4CB1"/>
    <w:rsid w:val="00BB4F98"/>
    <w:rsid w:val="00BB4FA9"/>
    <w:rsid w:val="00BB5500"/>
    <w:rsid w:val="00BB57B4"/>
    <w:rsid w:val="00BB5D0E"/>
    <w:rsid w:val="00BB602B"/>
    <w:rsid w:val="00BB650A"/>
    <w:rsid w:val="00BB743E"/>
    <w:rsid w:val="00BB7729"/>
    <w:rsid w:val="00BB79B0"/>
    <w:rsid w:val="00BB7E73"/>
    <w:rsid w:val="00BC05D1"/>
    <w:rsid w:val="00BC062D"/>
    <w:rsid w:val="00BC0655"/>
    <w:rsid w:val="00BC106A"/>
    <w:rsid w:val="00BC1475"/>
    <w:rsid w:val="00BC189C"/>
    <w:rsid w:val="00BC1EB9"/>
    <w:rsid w:val="00BC1F07"/>
    <w:rsid w:val="00BC36BD"/>
    <w:rsid w:val="00BC375B"/>
    <w:rsid w:val="00BC40EB"/>
    <w:rsid w:val="00BC47BA"/>
    <w:rsid w:val="00BC5623"/>
    <w:rsid w:val="00BC5BC4"/>
    <w:rsid w:val="00BC650D"/>
    <w:rsid w:val="00BC68D0"/>
    <w:rsid w:val="00BC6B40"/>
    <w:rsid w:val="00BC6C8D"/>
    <w:rsid w:val="00BC6E84"/>
    <w:rsid w:val="00BC7154"/>
    <w:rsid w:val="00BC7B5B"/>
    <w:rsid w:val="00BC7C96"/>
    <w:rsid w:val="00BD0155"/>
    <w:rsid w:val="00BD1198"/>
    <w:rsid w:val="00BD12F7"/>
    <w:rsid w:val="00BD1A3A"/>
    <w:rsid w:val="00BD1E43"/>
    <w:rsid w:val="00BD215A"/>
    <w:rsid w:val="00BD2217"/>
    <w:rsid w:val="00BD3339"/>
    <w:rsid w:val="00BD366B"/>
    <w:rsid w:val="00BD3D66"/>
    <w:rsid w:val="00BD3DB6"/>
    <w:rsid w:val="00BD536B"/>
    <w:rsid w:val="00BD5621"/>
    <w:rsid w:val="00BD5D71"/>
    <w:rsid w:val="00BD5DCE"/>
    <w:rsid w:val="00BD6D50"/>
    <w:rsid w:val="00BD723D"/>
    <w:rsid w:val="00BD797E"/>
    <w:rsid w:val="00BE01A0"/>
    <w:rsid w:val="00BE0228"/>
    <w:rsid w:val="00BE03D0"/>
    <w:rsid w:val="00BE04CB"/>
    <w:rsid w:val="00BE0761"/>
    <w:rsid w:val="00BE08F1"/>
    <w:rsid w:val="00BE0C74"/>
    <w:rsid w:val="00BE1043"/>
    <w:rsid w:val="00BE1230"/>
    <w:rsid w:val="00BE149C"/>
    <w:rsid w:val="00BE18B9"/>
    <w:rsid w:val="00BE1967"/>
    <w:rsid w:val="00BE1C7B"/>
    <w:rsid w:val="00BE23AB"/>
    <w:rsid w:val="00BE2424"/>
    <w:rsid w:val="00BE2427"/>
    <w:rsid w:val="00BE2495"/>
    <w:rsid w:val="00BE47D4"/>
    <w:rsid w:val="00BE4825"/>
    <w:rsid w:val="00BE5673"/>
    <w:rsid w:val="00BE5C27"/>
    <w:rsid w:val="00BE5EAB"/>
    <w:rsid w:val="00BE65BD"/>
    <w:rsid w:val="00BE69E4"/>
    <w:rsid w:val="00BE6BD1"/>
    <w:rsid w:val="00BE6C7E"/>
    <w:rsid w:val="00BE6ECE"/>
    <w:rsid w:val="00BE777A"/>
    <w:rsid w:val="00BE7C41"/>
    <w:rsid w:val="00BF0EF8"/>
    <w:rsid w:val="00BF1578"/>
    <w:rsid w:val="00BF17D5"/>
    <w:rsid w:val="00BF1E74"/>
    <w:rsid w:val="00BF2253"/>
    <w:rsid w:val="00BF3795"/>
    <w:rsid w:val="00BF38C9"/>
    <w:rsid w:val="00BF3FD4"/>
    <w:rsid w:val="00BF4AC4"/>
    <w:rsid w:val="00BF4B10"/>
    <w:rsid w:val="00BF5528"/>
    <w:rsid w:val="00BF631C"/>
    <w:rsid w:val="00BF6435"/>
    <w:rsid w:val="00BF668B"/>
    <w:rsid w:val="00BF6967"/>
    <w:rsid w:val="00BF6DA5"/>
    <w:rsid w:val="00BF7F41"/>
    <w:rsid w:val="00C00686"/>
    <w:rsid w:val="00C00D76"/>
    <w:rsid w:val="00C0105C"/>
    <w:rsid w:val="00C01061"/>
    <w:rsid w:val="00C018F3"/>
    <w:rsid w:val="00C019FF"/>
    <w:rsid w:val="00C01A3E"/>
    <w:rsid w:val="00C022AA"/>
    <w:rsid w:val="00C02B48"/>
    <w:rsid w:val="00C02D95"/>
    <w:rsid w:val="00C0347C"/>
    <w:rsid w:val="00C03ADC"/>
    <w:rsid w:val="00C04F65"/>
    <w:rsid w:val="00C0508D"/>
    <w:rsid w:val="00C0764C"/>
    <w:rsid w:val="00C07DEE"/>
    <w:rsid w:val="00C10572"/>
    <w:rsid w:val="00C10F57"/>
    <w:rsid w:val="00C11A0B"/>
    <w:rsid w:val="00C11AAD"/>
    <w:rsid w:val="00C120BE"/>
    <w:rsid w:val="00C1228E"/>
    <w:rsid w:val="00C12BF2"/>
    <w:rsid w:val="00C13767"/>
    <w:rsid w:val="00C1452B"/>
    <w:rsid w:val="00C145C2"/>
    <w:rsid w:val="00C14AD1"/>
    <w:rsid w:val="00C151F0"/>
    <w:rsid w:val="00C15656"/>
    <w:rsid w:val="00C159CB"/>
    <w:rsid w:val="00C15D8C"/>
    <w:rsid w:val="00C15F04"/>
    <w:rsid w:val="00C164FA"/>
    <w:rsid w:val="00C16859"/>
    <w:rsid w:val="00C16E0E"/>
    <w:rsid w:val="00C200FA"/>
    <w:rsid w:val="00C20769"/>
    <w:rsid w:val="00C209C1"/>
    <w:rsid w:val="00C21435"/>
    <w:rsid w:val="00C21ACE"/>
    <w:rsid w:val="00C21B0F"/>
    <w:rsid w:val="00C21F94"/>
    <w:rsid w:val="00C22AC1"/>
    <w:rsid w:val="00C22DC5"/>
    <w:rsid w:val="00C22E3D"/>
    <w:rsid w:val="00C24392"/>
    <w:rsid w:val="00C25884"/>
    <w:rsid w:val="00C25935"/>
    <w:rsid w:val="00C25C1F"/>
    <w:rsid w:val="00C26109"/>
    <w:rsid w:val="00C270EE"/>
    <w:rsid w:val="00C2721C"/>
    <w:rsid w:val="00C27913"/>
    <w:rsid w:val="00C2797D"/>
    <w:rsid w:val="00C27ECC"/>
    <w:rsid w:val="00C303A4"/>
    <w:rsid w:val="00C30B6E"/>
    <w:rsid w:val="00C31450"/>
    <w:rsid w:val="00C321F3"/>
    <w:rsid w:val="00C32951"/>
    <w:rsid w:val="00C3368F"/>
    <w:rsid w:val="00C33845"/>
    <w:rsid w:val="00C33851"/>
    <w:rsid w:val="00C33B68"/>
    <w:rsid w:val="00C33CD5"/>
    <w:rsid w:val="00C34E99"/>
    <w:rsid w:val="00C350BB"/>
    <w:rsid w:val="00C351DC"/>
    <w:rsid w:val="00C35ABD"/>
    <w:rsid w:val="00C36343"/>
    <w:rsid w:val="00C3647D"/>
    <w:rsid w:val="00C36590"/>
    <w:rsid w:val="00C36A79"/>
    <w:rsid w:val="00C36AE9"/>
    <w:rsid w:val="00C36DD5"/>
    <w:rsid w:val="00C36ECC"/>
    <w:rsid w:val="00C377A5"/>
    <w:rsid w:val="00C377DC"/>
    <w:rsid w:val="00C40033"/>
    <w:rsid w:val="00C405D4"/>
    <w:rsid w:val="00C415E8"/>
    <w:rsid w:val="00C41C09"/>
    <w:rsid w:val="00C41EE8"/>
    <w:rsid w:val="00C41EF8"/>
    <w:rsid w:val="00C423C7"/>
    <w:rsid w:val="00C42590"/>
    <w:rsid w:val="00C42661"/>
    <w:rsid w:val="00C43254"/>
    <w:rsid w:val="00C435E2"/>
    <w:rsid w:val="00C435F3"/>
    <w:rsid w:val="00C43835"/>
    <w:rsid w:val="00C43F18"/>
    <w:rsid w:val="00C440A8"/>
    <w:rsid w:val="00C443B2"/>
    <w:rsid w:val="00C4449F"/>
    <w:rsid w:val="00C4513B"/>
    <w:rsid w:val="00C466DE"/>
    <w:rsid w:val="00C476A1"/>
    <w:rsid w:val="00C47C6E"/>
    <w:rsid w:val="00C5058F"/>
    <w:rsid w:val="00C50C66"/>
    <w:rsid w:val="00C511B4"/>
    <w:rsid w:val="00C513DA"/>
    <w:rsid w:val="00C518C2"/>
    <w:rsid w:val="00C52581"/>
    <w:rsid w:val="00C529B5"/>
    <w:rsid w:val="00C529FE"/>
    <w:rsid w:val="00C5305A"/>
    <w:rsid w:val="00C535EE"/>
    <w:rsid w:val="00C53BD5"/>
    <w:rsid w:val="00C53C00"/>
    <w:rsid w:val="00C53C81"/>
    <w:rsid w:val="00C54697"/>
    <w:rsid w:val="00C5471F"/>
    <w:rsid w:val="00C54948"/>
    <w:rsid w:val="00C54A07"/>
    <w:rsid w:val="00C54C03"/>
    <w:rsid w:val="00C5591F"/>
    <w:rsid w:val="00C56D37"/>
    <w:rsid w:val="00C573D2"/>
    <w:rsid w:val="00C57E2E"/>
    <w:rsid w:val="00C60C6D"/>
    <w:rsid w:val="00C62097"/>
    <w:rsid w:val="00C62D0D"/>
    <w:rsid w:val="00C63203"/>
    <w:rsid w:val="00C635EE"/>
    <w:rsid w:val="00C63A91"/>
    <w:rsid w:val="00C63A95"/>
    <w:rsid w:val="00C63F83"/>
    <w:rsid w:val="00C6409E"/>
    <w:rsid w:val="00C6429D"/>
    <w:rsid w:val="00C6455D"/>
    <w:rsid w:val="00C655C0"/>
    <w:rsid w:val="00C656AA"/>
    <w:rsid w:val="00C66D25"/>
    <w:rsid w:val="00C67100"/>
    <w:rsid w:val="00C674BA"/>
    <w:rsid w:val="00C67551"/>
    <w:rsid w:val="00C67F74"/>
    <w:rsid w:val="00C70110"/>
    <w:rsid w:val="00C70515"/>
    <w:rsid w:val="00C708F8"/>
    <w:rsid w:val="00C71000"/>
    <w:rsid w:val="00C719C3"/>
    <w:rsid w:val="00C71E08"/>
    <w:rsid w:val="00C72D9C"/>
    <w:rsid w:val="00C7311F"/>
    <w:rsid w:val="00C734DA"/>
    <w:rsid w:val="00C73885"/>
    <w:rsid w:val="00C73895"/>
    <w:rsid w:val="00C740CD"/>
    <w:rsid w:val="00C746AC"/>
    <w:rsid w:val="00C747B1"/>
    <w:rsid w:val="00C75024"/>
    <w:rsid w:val="00C75AC6"/>
    <w:rsid w:val="00C76518"/>
    <w:rsid w:val="00C76869"/>
    <w:rsid w:val="00C76C60"/>
    <w:rsid w:val="00C778C6"/>
    <w:rsid w:val="00C77964"/>
    <w:rsid w:val="00C77CF8"/>
    <w:rsid w:val="00C80E75"/>
    <w:rsid w:val="00C8143B"/>
    <w:rsid w:val="00C81593"/>
    <w:rsid w:val="00C815A0"/>
    <w:rsid w:val="00C81F13"/>
    <w:rsid w:val="00C82191"/>
    <w:rsid w:val="00C8253A"/>
    <w:rsid w:val="00C8311E"/>
    <w:rsid w:val="00C83A20"/>
    <w:rsid w:val="00C83C52"/>
    <w:rsid w:val="00C842AC"/>
    <w:rsid w:val="00C843EF"/>
    <w:rsid w:val="00C85E13"/>
    <w:rsid w:val="00C86052"/>
    <w:rsid w:val="00C862A7"/>
    <w:rsid w:val="00C86927"/>
    <w:rsid w:val="00C87E10"/>
    <w:rsid w:val="00C87F5C"/>
    <w:rsid w:val="00C90604"/>
    <w:rsid w:val="00C90824"/>
    <w:rsid w:val="00C90CF4"/>
    <w:rsid w:val="00C9124A"/>
    <w:rsid w:val="00C913D4"/>
    <w:rsid w:val="00C91DD5"/>
    <w:rsid w:val="00C92523"/>
    <w:rsid w:val="00C9253E"/>
    <w:rsid w:val="00C9265F"/>
    <w:rsid w:val="00C927BF"/>
    <w:rsid w:val="00C92EB6"/>
    <w:rsid w:val="00C9317D"/>
    <w:rsid w:val="00C93389"/>
    <w:rsid w:val="00C93DAD"/>
    <w:rsid w:val="00C947A2"/>
    <w:rsid w:val="00C94FC3"/>
    <w:rsid w:val="00C9584A"/>
    <w:rsid w:val="00C95AD8"/>
    <w:rsid w:val="00C97566"/>
    <w:rsid w:val="00C9760F"/>
    <w:rsid w:val="00C97ACE"/>
    <w:rsid w:val="00CA022E"/>
    <w:rsid w:val="00CA02F9"/>
    <w:rsid w:val="00CA152A"/>
    <w:rsid w:val="00CA1EAF"/>
    <w:rsid w:val="00CA2143"/>
    <w:rsid w:val="00CA26C6"/>
    <w:rsid w:val="00CA3D5C"/>
    <w:rsid w:val="00CA3F86"/>
    <w:rsid w:val="00CA3FF4"/>
    <w:rsid w:val="00CA447F"/>
    <w:rsid w:val="00CA4D0C"/>
    <w:rsid w:val="00CA4D4C"/>
    <w:rsid w:val="00CA4ED5"/>
    <w:rsid w:val="00CA4EE5"/>
    <w:rsid w:val="00CA5374"/>
    <w:rsid w:val="00CA54C8"/>
    <w:rsid w:val="00CA6088"/>
    <w:rsid w:val="00CA663A"/>
    <w:rsid w:val="00CA6949"/>
    <w:rsid w:val="00CA6E63"/>
    <w:rsid w:val="00CA77E6"/>
    <w:rsid w:val="00CA7AB6"/>
    <w:rsid w:val="00CA7BA6"/>
    <w:rsid w:val="00CB00EA"/>
    <w:rsid w:val="00CB0178"/>
    <w:rsid w:val="00CB0332"/>
    <w:rsid w:val="00CB0820"/>
    <w:rsid w:val="00CB0D11"/>
    <w:rsid w:val="00CB0F7B"/>
    <w:rsid w:val="00CB1284"/>
    <w:rsid w:val="00CB13ED"/>
    <w:rsid w:val="00CB16F8"/>
    <w:rsid w:val="00CB1944"/>
    <w:rsid w:val="00CB1D1E"/>
    <w:rsid w:val="00CB2810"/>
    <w:rsid w:val="00CB30CE"/>
    <w:rsid w:val="00CB378B"/>
    <w:rsid w:val="00CB381A"/>
    <w:rsid w:val="00CB4229"/>
    <w:rsid w:val="00CB441B"/>
    <w:rsid w:val="00CB47C0"/>
    <w:rsid w:val="00CB4930"/>
    <w:rsid w:val="00CB5BCF"/>
    <w:rsid w:val="00CB5FDE"/>
    <w:rsid w:val="00CB6029"/>
    <w:rsid w:val="00CB6665"/>
    <w:rsid w:val="00CB6743"/>
    <w:rsid w:val="00CB6A00"/>
    <w:rsid w:val="00CB7204"/>
    <w:rsid w:val="00CB724B"/>
    <w:rsid w:val="00CB74FC"/>
    <w:rsid w:val="00CC05BF"/>
    <w:rsid w:val="00CC0F51"/>
    <w:rsid w:val="00CC1016"/>
    <w:rsid w:val="00CC1230"/>
    <w:rsid w:val="00CC1E8C"/>
    <w:rsid w:val="00CC23A1"/>
    <w:rsid w:val="00CC2508"/>
    <w:rsid w:val="00CC2A83"/>
    <w:rsid w:val="00CC2E7D"/>
    <w:rsid w:val="00CC402C"/>
    <w:rsid w:val="00CC407F"/>
    <w:rsid w:val="00CC4B01"/>
    <w:rsid w:val="00CC6003"/>
    <w:rsid w:val="00CC7480"/>
    <w:rsid w:val="00CC78AE"/>
    <w:rsid w:val="00CD067E"/>
    <w:rsid w:val="00CD0AB6"/>
    <w:rsid w:val="00CD10A5"/>
    <w:rsid w:val="00CD1342"/>
    <w:rsid w:val="00CD1661"/>
    <w:rsid w:val="00CD1BD7"/>
    <w:rsid w:val="00CD1CF3"/>
    <w:rsid w:val="00CD2020"/>
    <w:rsid w:val="00CD2076"/>
    <w:rsid w:val="00CD2C82"/>
    <w:rsid w:val="00CD3660"/>
    <w:rsid w:val="00CD374B"/>
    <w:rsid w:val="00CD43FB"/>
    <w:rsid w:val="00CD4965"/>
    <w:rsid w:val="00CD4B05"/>
    <w:rsid w:val="00CD5917"/>
    <w:rsid w:val="00CD5ED1"/>
    <w:rsid w:val="00CD65E4"/>
    <w:rsid w:val="00CD6C14"/>
    <w:rsid w:val="00CD750B"/>
    <w:rsid w:val="00CD7BEB"/>
    <w:rsid w:val="00CE01D4"/>
    <w:rsid w:val="00CE1234"/>
    <w:rsid w:val="00CE147C"/>
    <w:rsid w:val="00CE17AB"/>
    <w:rsid w:val="00CE1D97"/>
    <w:rsid w:val="00CE1E03"/>
    <w:rsid w:val="00CE21B0"/>
    <w:rsid w:val="00CE236C"/>
    <w:rsid w:val="00CE262B"/>
    <w:rsid w:val="00CE2E77"/>
    <w:rsid w:val="00CE2E85"/>
    <w:rsid w:val="00CE3254"/>
    <w:rsid w:val="00CE3554"/>
    <w:rsid w:val="00CE36EE"/>
    <w:rsid w:val="00CE3862"/>
    <w:rsid w:val="00CE427F"/>
    <w:rsid w:val="00CE4D8B"/>
    <w:rsid w:val="00CE5495"/>
    <w:rsid w:val="00CE5616"/>
    <w:rsid w:val="00CE5752"/>
    <w:rsid w:val="00CE5869"/>
    <w:rsid w:val="00CE670B"/>
    <w:rsid w:val="00CE6C40"/>
    <w:rsid w:val="00CE72A2"/>
    <w:rsid w:val="00CE79B1"/>
    <w:rsid w:val="00CF0747"/>
    <w:rsid w:val="00CF0EEF"/>
    <w:rsid w:val="00CF1998"/>
    <w:rsid w:val="00CF2338"/>
    <w:rsid w:val="00CF27F9"/>
    <w:rsid w:val="00CF2AB4"/>
    <w:rsid w:val="00CF3170"/>
    <w:rsid w:val="00CF4455"/>
    <w:rsid w:val="00CF4596"/>
    <w:rsid w:val="00CF4ADA"/>
    <w:rsid w:val="00CF51EC"/>
    <w:rsid w:val="00CF5953"/>
    <w:rsid w:val="00CF5C8B"/>
    <w:rsid w:val="00CF5EF9"/>
    <w:rsid w:val="00CF5FA9"/>
    <w:rsid w:val="00CF6172"/>
    <w:rsid w:val="00CF6778"/>
    <w:rsid w:val="00CF68F6"/>
    <w:rsid w:val="00CF69DA"/>
    <w:rsid w:val="00CF6BBF"/>
    <w:rsid w:val="00CF6E63"/>
    <w:rsid w:val="00CF7119"/>
    <w:rsid w:val="00CF7159"/>
    <w:rsid w:val="00CF72A7"/>
    <w:rsid w:val="00CF73AE"/>
    <w:rsid w:val="00CF7401"/>
    <w:rsid w:val="00CF7AC0"/>
    <w:rsid w:val="00D0027F"/>
    <w:rsid w:val="00D01DF6"/>
    <w:rsid w:val="00D01EE5"/>
    <w:rsid w:val="00D0203C"/>
    <w:rsid w:val="00D0246C"/>
    <w:rsid w:val="00D02673"/>
    <w:rsid w:val="00D0291B"/>
    <w:rsid w:val="00D02BD8"/>
    <w:rsid w:val="00D03676"/>
    <w:rsid w:val="00D040DD"/>
    <w:rsid w:val="00D049A0"/>
    <w:rsid w:val="00D04DCE"/>
    <w:rsid w:val="00D05238"/>
    <w:rsid w:val="00D05520"/>
    <w:rsid w:val="00D0581B"/>
    <w:rsid w:val="00D05DD3"/>
    <w:rsid w:val="00D05F98"/>
    <w:rsid w:val="00D0680C"/>
    <w:rsid w:val="00D06A5E"/>
    <w:rsid w:val="00D06DA3"/>
    <w:rsid w:val="00D0738A"/>
    <w:rsid w:val="00D077FD"/>
    <w:rsid w:val="00D105FB"/>
    <w:rsid w:val="00D10873"/>
    <w:rsid w:val="00D10B73"/>
    <w:rsid w:val="00D10FE5"/>
    <w:rsid w:val="00D11162"/>
    <w:rsid w:val="00D1194E"/>
    <w:rsid w:val="00D12107"/>
    <w:rsid w:val="00D124E7"/>
    <w:rsid w:val="00D12ED9"/>
    <w:rsid w:val="00D12F18"/>
    <w:rsid w:val="00D13080"/>
    <w:rsid w:val="00D13103"/>
    <w:rsid w:val="00D1342D"/>
    <w:rsid w:val="00D136EF"/>
    <w:rsid w:val="00D13986"/>
    <w:rsid w:val="00D1424B"/>
    <w:rsid w:val="00D14285"/>
    <w:rsid w:val="00D147BA"/>
    <w:rsid w:val="00D1535D"/>
    <w:rsid w:val="00D157F8"/>
    <w:rsid w:val="00D15ABB"/>
    <w:rsid w:val="00D15BED"/>
    <w:rsid w:val="00D15C54"/>
    <w:rsid w:val="00D15EDC"/>
    <w:rsid w:val="00D1640F"/>
    <w:rsid w:val="00D168A1"/>
    <w:rsid w:val="00D16C00"/>
    <w:rsid w:val="00D17008"/>
    <w:rsid w:val="00D17891"/>
    <w:rsid w:val="00D17B39"/>
    <w:rsid w:val="00D2085D"/>
    <w:rsid w:val="00D21774"/>
    <w:rsid w:val="00D21B68"/>
    <w:rsid w:val="00D21C8C"/>
    <w:rsid w:val="00D222BB"/>
    <w:rsid w:val="00D22B9B"/>
    <w:rsid w:val="00D235B7"/>
    <w:rsid w:val="00D23CB7"/>
    <w:rsid w:val="00D23D3E"/>
    <w:rsid w:val="00D2410E"/>
    <w:rsid w:val="00D24370"/>
    <w:rsid w:val="00D248D6"/>
    <w:rsid w:val="00D251CD"/>
    <w:rsid w:val="00D25A65"/>
    <w:rsid w:val="00D25F28"/>
    <w:rsid w:val="00D265CF"/>
    <w:rsid w:val="00D26867"/>
    <w:rsid w:val="00D26AEA"/>
    <w:rsid w:val="00D26C4E"/>
    <w:rsid w:val="00D26E62"/>
    <w:rsid w:val="00D27515"/>
    <w:rsid w:val="00D27973"/>
    <w:rsid w:val="00D279FE"/>
    <w:rsid w:val="00D27C4D"/>
    <w:rsid w:val="00D307D1"/>
    <w:rsid w:val="00D30925"/>
    <w:rsid w:val="00D30CC4"/>
    <w:rsid w:val="00D30F9D"/>
    <w:rsid w:val="00D310D1"/>
    <w:rsid w:val="00D31836"/>
    <w:rsid w:val="00D324D1"/>
    <w:rsid w:val="00D324DB"/>
    <w:rsid w:val="00D3262C"/>
    <w:rsid w:val="00D3307C"/>
    <w:rsid w:val="00D33C33"/>
    <w:rsid w:val="00D33E43"/>
    <w:rsid w:val="00D341B4"/>
    <w:rsid w:val="00D34261"/>
    <w:rsid w:val="00D3434E"/>
    <w:rsid w:val="00D343F5"/>
    <w:rsid w:val="00D3469F"/>
    <w:rsid w:val="00D347A6"/>
    <w:rsid w:val="00D35512"/>
    <w:rsid w:val="00D3576C"/>
    <w:rsid w:val="00D36129"/>
    <w:rsid w:val="00D368AB"/>
    <w:rsid w:val="00D37541"/>
    <w:rsid w:val="00D37886"/>
    <w:rsid w:val="00D37EF3"/>
    <w:rsid w:val="00D40EEB"/>
    <w:rsid w:val="00D417AD"/>
    <w:rsid w:val="00D4181F"/>
    <w:rsid w:val="00D42BAE"/>
    <w:rsid w:val="00D4320A"/>
    <w:rsid w:val="00D446A6"/>
    <w:rsid w:val="00D447B0"/>
    <w:rsid w:val="00D44E0F"/>
    <w:rsid w:val="00D456FD"/>
    <w:rsid w:val="00D4579E"/>
    <w:rsid w:val="00D4645C"/>
    <w:rsid w:val="00D469C1"/>
    <w:rsid w:val="00D46E9B"/>
    <w:rsid w:val="00D46EA5"/>
    <w:rsid w:val="00D479F6"/>
    <w:rsid w:val="00D47B79"/>
    <w:rsid w:val="00D47E5F"/>
    <w:rsid w:val="00D5097D"/>
    <w:rsid w:val="00D50EEA"/>
    <w:rsid w:val="00D50F46"/>
    <w:rsid w:val="00D51846"/>
    <w:rsid w:val="00D518BC"/>
    <w:rsid w:val="00D51A94"/>
    <w:rsid w:val="00D52B4D"/>
    <w:rsid w:val="00D5363B"/>
    <w:rsid w:val="00D539D2"/>
    <w:rsid w:val="00D53FD4"/>
    <w:rsid w:val="00D549EB"/>
    <w:rsid w:val="00D54D3E"/>
    <w:rsid w:val="00D54EB0"/>
    <w:rsid w:val="00D54FF6"/>
    <w:rsid w:val="00D55479"/>
    <w:rsid w:val="00D55965"/>
    <w:rsid w:val="00D55B06"/>
    <w:rsid w:val="00D55DB1"/>
    <w:rsid w:val="00D55E3B"/>
    <w:rsid w:val="00D55EE7"/>
    <w:rsid w:val="00D561C3"/>
    <w:rsid w:val="00D564E0"/>
    <w:rsid w:val="00D56752"/>
    <w:rsid w:val="00D56C0B"/>
    <w:rsid w:val="00D56CD4"/>
    <w:rsid w:val="00D56DBD"/>
    <w:rsid w:val="00D56EB1"/>
    <w:rsid w:val="00D57F33"/>
    <w:rsid w:val="00D60421"/>
    <w:rsid w:val="00D604CE"/>
    <w:rsid w:val="00D60538"/>
    <w:rsid w:val="00D61155"/>
    <w:rsid w:val="00D614ED"/>
    <w:rsid w:val="00D61D8A"/>
    <w:rsid w:val="00D6249A"/>
    <w:rsid w:val="00D638C5"/>
    <w:rsid w:val="00D64050"/>
    <w:rsid w:val="00D6423C"/>
    <w:rsid w:val="00D6444F"/>
    <w:rsid w:val="00D64541"/>
    <w:rsid w:val="00D652AB"/>
    <w:rsid w:val="00D65631"/>
    <w:rsid w:val="00D65B49"/>
    <w:rsid w:val="00D661F1"/>
    <w:rsid w:val="00D66223"/>
    <w:rsid w:val="00D664E5"/>
    <w:rsid w:val="00D66AA4"/>
    <w:rsid w:val="00D67895"/>
    <w:rsid w:val="00D70477"/>
    <w:rsid w:val="00D70AFB"/>
    <w:rsid w:val="00D70C04"/>
    <w:rsid w:val="00D72E09"/>
    <w:rsid w:val="00D72EAB"/>
    <w:rsid w:val="00D73940"/>
    <w:rsid w:val="00D73DBD"/>
    <w:rsid w:val="00D73F44"/>
    <w:rsid w:val="00D74140"/>
    <w:rsid w:val="00D74353"/>
    <w:rsid w:val="00D7485A"/>
    <w:rsid w:val="00D74A8A"/>
    <w:rsid w:val="00D74CAF"/>
    <w:rsid w:val="00D74D79"/>
    <w:rsid w:val="00D75716"/>
    <w:rsid w:val="00D762E4"/>
    <w:rsid w:val="00D765E4"/>
    <w:rsid w:val="00D773B1"/>
    <w:rsid w:val="00D77A29"/>
    <w:rsid w:val="00D80035"/>
    <w:rsid w:val="00D806BF"/>
    <w:rsid w:val="00D80743"/>
    <w:rsid w:val="00D8084C"/>
    <w:rsid w:val="00D80BF8"/>
    <w:rsid w:val="00D81795"/>
    <w:rsid w:val="00D8240D"/>
    <w:rsid w:val="00D82CE6"/>
    <w:rsid w:val="00D830E8"/>
    <w:rsid w:val="00D83180"/>
    <w:rsid w:val="00D8357D"/>
    <w:rsid w:val="00D83ED8"/>
    <w:rsid w:val="00D84385"/>
    <w:rsid w:val="00D84424"/>
    <w:rsid w:val="00D84A46"/>
    <w:rsid w:val="00D861CC"/>
    <w:rsid w:val="00D863A2"/>
    <w:rsid w:val="00D86831"/>
    <w:rsid w:val="00D87284"/>
    <w:rsid w:val="00D87693"/>
    <w:rsid w:val="00D878A3"/>
    <w:rsid w:val="00D87FDA"/>
    <w:rsid w:val="00D90588"/>
    <w:rsid w:val="00D908DE"/>
    <w:rsid w:val="00D90C09"/>
    <w:rsid w:val="00D91045"/>
    <w:rsid w:val="00D91139"/>
    <w:rsid w:val="00D9113E"/>
    <w:rsid w:val="00D91214"/>
    <w:rsid w:val="00D914B5"/>
    <w:rsid w:val="00D91B71"/>
    <w:rsid w:val="00D92018"/>
    <w:rsid w:val="00D922D9"/>
    <w:rsid w:val="00D92ECC"/>
    <w:rsid w:val="00D934A7"/>
    <w:rsid w:val="00D93623"/>
    <w:rsid w:val="00D93822"/>
    <w:rsid w:val="00D93E86"/>
    <w:rsid w:val="00D93FD6"/>
    <w:rsid w:val="00D945F1"/>
    <w:rsid w:val="00D94BA0"/>
    <w:rsid w:val="00D9514C"/>
    <w:rsid w:val="00D951D0"/>
    <w:rsid w:val="00D96D3A"/>
    <w:rsid w:val="00D96DD0"/>
    <w:rsid w:val="00D971E2"/>
    <w:rsid w:val="00D9725E"/>
    <w:rsid w:val="00D972A3"/>
    <w:rsid w:val="00D97835"/>
    <w:rsid w:val="00D97C8B"/>
    <w:rsid w:val="00D97CE0"/>
    <w:rsid w:val="00DA0972"/>
    <w:rsid w:val="00DA0FF7"/>
    <w:rsid w:val="00DA114F"/>
    <w:rsid w:val="00DA1643"/>
    <w:rsid w:val="00DA17E9"/>
    <w:rsid w:val="00DA1F73"/>
    <w:rsid w:val="00DA3725"/>
    <w:rsid w:val="00DA3D5C"/>
    <w:rsid w:val="00DA42AC"/>
    <w:rsid w:val="00DA4497"/>
    <w:rsid w:val="00DA46A4"/>
    <w:rsid w:val="00DA491A"/>
    <w:rsid w:val="00DA59F1"/>
    <w:rsid w:val="00DA5C3E"/>
    <w:rsid w:val="00DA5C77"/>
    <w:rsid w:val="00DA6216"/>
    <w:rsid w:val="00DA6250"/>
    <w:rsid w:val="00DA666C"/>
    <w:rsid w:val="00DA72AD"/>
    <w:rsid w:val="00DA72C6"/>
    <w:rsid w:val="00DA7414"/>
    <w:rsid w:val="00DA79B8"/>
    <w:rsid w:val="00DA7A30"/>
    <w:rsid w:val="00DA7C0C"/>
    <w:rsid w:val="00DB002B"/>
    <w:rsid w:val="00DB0A08"/>
    <w:rsid w:val="00DB135E"/>
    <w:rsid w:val="00DB150F"/>
    <w:rsid w:val="00DB200A"/>
    <w:rsid w:val="00DB2053"/>
    <w:rsid w:val="00DB2EC8"/>
    <w:rsid w:val="00DB3586"/>
    <w:rsid w:val="00DB3CAB"/>
    <w:rsid w:val="00DB3D28"/>
    <w:rsid w:val="00DB560E"/>
    <w:rsid w:val="00DB5CF0"/>
    <w:rsid w:val="00DB5D5B"/>
    <w:rsid w:val="00DB5E7B"/>
    <w:rsid w:val="00DB644B"/>
    <w:rsid w:val="00DB6DB5"/>
    <w:rsid w:val="00DB70F4"/>
    <w:rsid w:val="00DB7FBF"/>
    <w:rsid w:val="00DC017F"/>
    <w:rsid w:val="00DC1103"/>
    <w:rsid w:val="00DC16DD"/>
    <w:rsid w:val="00DC1A31"/>
    <w:rsid w:val="00DC1BB4"/>
    <w:rsid w:val="00DC1C8F"/>
    <w:rsid w:val="00DC1D4C"/>
    <w:rsid w:val="00DC2A28"/>
    <w:rsid w:val="00DC2C40"/>
    <w:rsid w:val="00DC32B7"/>
    <w:rsid w:val="00DC3846"/>
    <w:rsid w:val="00DC3A95"/>
    <w:rsid w:val="00DC3F00"/>
    <w:rsid w:val="00DC4FB4"/>
    <w:rsid w:val="00DC5AF6"/>
    <w:rsid w:val="00DC5B3B"/>
    <w:rsid w:val="00DC5ED1"/>
    <w:rsid w:val="00DC6DEB"/>
    <w:rsid w:val="00DC7CE5"/>
    <w:rsid w:val="00DD0A11"/>
    <w:rsid w:val="00DD129F"/>
    <w:rsid w:val="00DD2205"/>
    <w:rsid w:val="00DD2702"/>
    <w:rsid w:val="00DD2DEC"/>
    <w:rsid w:val="00DD2F6B"/>
    <w:rsid w:val="00DD39AD"/>
    <w:rsid w:val="00DD3EC1"/>
    <w:rsid w:val="00DD4C17"/>
    <w:rsid w:val="00DD4EA5"/>
    <w:rsid w:val="00DD51D4"/>
    <w:rsid w:val="00DD5695"/>
    <w:rsid w:val="00DD56D9"/>
    <w:rsid w:val="00DD5E4C"/>
    <w:rsid w:val="00DD5F3A"/>
    <w:rsid w:val="00DD60DD"/>
    <w:rsid w:val="00DD6503"/>
    <w:rsid w:val="00DD7093"/>
    <w:rsid w:val="00DE0131"/>
    <w:rsid w:val="00DE0939"/>
    <w:rsid w:val="00DE1243"/>
    <w:rsid w:val="00DE1B3B"/>
    <w:rsid w:val="00DE241F"/>
    <w:rsid w:val="00DE25E4"/>
    <w:rsid w:val="00DE2B8D"/>
    <w:rsid w:val="00DE3364"/>
    <w:rsid w:val="00DE37E6"/>
    <w:rsid w:val="00DE3811"/>
    <w:rsid w:val="00DE461E"/>
    <w:rsid w:val="00DE4933"/>
    <w:rsid w:val="00DE4D44"/>
    <w:rsid w:val="00DE50C8"/>
    <w:rsid w:val="00DE5304"/>
    <w:rsid w:val="00DE53C0"/>
    <w:rsid w:val="00DE6B7C"/>
    <w:rsid w:val="00DE6E08"/>
    <w:rsid w:val="00DE701A"/>
    <w:rsid w:val="00DE76C0"/>
    <w:rsid w:val="00DE7A08"/>
    <w:rsid w:val="00DF09D3"/>
    <w:rsid w:val="00DF0D37"/>
    <w:rsid w:val="00DF1418"/>
    <w:rsid w:val="00DF3477"/>
    <w:rsid w:val="00DF40F7"/>
    <w:rsid w:val="00DF42FF"/>
    <w:rsid w:val="00DF4636"/>
    <w:rsid w:val="00DF4680"/>
    <w:rsid w:val="00DF495F"/>
    <w:rsid w:val="00DF4C06"/>
    <w:rsid w:val="00DF4FB7"/>
    <w:rsid w:val="00DF5C90"/>
    <w:rsid w:val="00DF603C"/>
    <w:rsid w:val="00DF62FC"/>
    <w:rsid w:val="00DF6738"/>
    <w:rsid w:val="00DF6746"/>
    <w:rsid w:val="00DF6A1E"/>
    <w:rsid w:val="00DF6F25"/>
    <w:rsid w:val="00DF7EE4"/>
    <w:rsid w:val="00E000EB"/>
    <w:rsid w:val="00E00370"/>
    <w:rsid w:val="00E009CD"/>
    <w:rsid w:val="00E0119D"/>
    <w:rsid w:val="00E01794"/>
    <w:rsid w:val="00E01868"/>
    <w:rsid w:val="00E01B2A"/>
    <w:rsid w:val="00E01C0E"/>
    <w:rsid w:val="00E02298"/>
    <w:rsid w:val="00E02580"/>
    <w:rsid w:val="00E02721"/>
    <w:rsid w:val="00E02CAC"/>
    <w:rsid w:val="00E03F9A"/>
    <w:rsid w:val="00E04694"/>
    <w:rsid w:val="00E048E2"/>
    <w:rsid w:val="00E053DF"/>
    <w:rsid w:val="00E062D4"/>
    <w:rsid w:val="00E06A97"/>
    <w:rsid w:val="00E07451"/>
    <w:rsid w:val="00E074C6"/>
    <w:rsid w:val="00E07C3D"/>
    <w:rsid w:val="00E07C9D"/>
    <w:rsid w:val="00E10733"/>
    <w:rsid w:val="00E11060"/>
    <w:rsid w:val="00E1142F"/>
    <w:rsid w:val="00E12199"/>
    <w:rsid w:val="00E1221E"/>
    <w:rsid w:val="00E12B1E"/>
    <w:rsid w:val="00E12C34"/>
    <w:rsid w:val="00E132D0"/>
    <w:rsid w:val="00E1368B"/>
    <w:rsid w:val="00E13D22"/>
    <w:rsid w:val="00E14A62"/>
    <w:rsid w:val="00E15503"/>
    <w:rsid w:val="00E16105"/>
    <w:rsid w:val="00E16A92"/>
    <w:rsid w:val="00E17124"/>
    <w:rsid w:val="00E17253"/>
    <w:rsid w:val="00E17262"/>
    <w:rsid w:val="00E1747A"/>
    <w:rsid w:val="00E176D2"/>
    <w:rsid w:val="00E1798C"/>
    <w:rsid w:val="00E2038F"/>
    <w:rsid w:val="00E20D1A"/>
    <w:rsid w:val="00E20E62"/>
    <w:rsid w:val="00E20E76"/>
    <w:rsid w:val="00E20EB6"/>
    <w:rsid w:val="00E20F4F"/>
    <w:rsid w:val="00E21607"/>
    <w:rsid w:val="00E22372"/>
    <w:rsid w:val="00E22AF3"/>
    <w:rsid w:val="00E22D39"/>
    <w:rsid w:val="00E23C3B"/>
    <w:rsid w:val="00E23E9E"/>
    <w:rsid w:val="00E24A9E"/>
    <w:rsid w:val="00E24E4A"/>
    <w:rsid w:val="00E2501D"/>
    <w:rsid w:val="00E25111"/>
    <w:rsid w:val="00E253A2"/>
    <w:rsid w:val="00E25A61"/>
    <w:rsid w:val="00E25D6F"/>
    <w:rsid w:val="00E268B3"/>
    <w:rsid w:val="00E26B00"/>
    <w:rsid w:val="00E27228"/>
    <w:rsid w:val="00E2750F"/>
    <w:rsid w:val="00E276D1"/>
    <w:rsid w:val="00E276E6"/>
    <w:rsid w:val="00E27CE6"/>
    <w:rsid w:val="00E27D6C"/>
    <w:rsid w:val="00E30151"/>
    <w:rsid w:val="00E30A74"/>
    <w:rsid w:val="00E30ECA"/>
    <w:rsid w:val="00E30F00"/>
    <w:rsid w:val="00E31086"/>
    <w:rsid w:val="00E3147D"/>
    <w:rsid w:val="00E31618"/>
    <w:rsid w:val="00E31754"/>
    <w:rsid w:val="00E3175A"/>
    <w:rsid w:val="00E317EF"/>
    <w:rsid w:val="00E3217E"/>
    <w:rsid w:val="00E32873"/>
    <w:rsid w:val="00E3309D"/>
    <w:rsid w:val="00E337F5"/>
    <w:rsid w:val="00E337FB"/>
    <w:rsid w:val="00E33A43"/>
    <w:rsid w:val="00E34002"/>
    <w:rsid w:val="00E34866"/>
    <w:rsid w:val="00E348A2"/>
    <w:rsid w:val="00E34B4A"/>
    <w:rsid w:val="00E34BE6"/>
    <w:rsid w:val="00E34F45"/>
    <w:rsid w:val="00E34FDA"/>
    <w:rsid w:val="00E35365"/>
    <w:rsid w:val="00E3543A"/>
    <w:rsid w:val="00E35689"/>
    <w:rsid w:val="00E35B87"/>
    <w:rsid w:val="00E3621C"/>
    <w:rsid w:val="00E3792E"/>
    <w:rsid w:val="00E37CE3"/>
    <w:rsid w:val="00E37E33"/>
    <w:rsid w:val="00E37EC9"/>
    <w:rsid w:val="00E4059B"/>
    <w:rsid w:val="00E40BA2"/>
    <w:rsid w:val="00E40EDE"/>
    <w:rsid w:val="00E411BD"/>
    <w:rsid w:val="00E41A97"/>
    <w:rsid w:val="00E41AA5"/>
    <w:rsid w:val="00E425E3"/>
    <w:rsid w:val="00E4390D"/>
    <w:rsid w:val="00E4498A"/>
    <w:rsid w:val="00E44BA2"/>
    <w:rsid w:val="00E45675"/>
    <w:rsid w:val="00E45804"/>
    <w:rsid w:val="00E45E2A"/>
    <w:rsid w:val="00E46A9B"/>
    <w:rsid w:val="00E47E16"/>
    <w:rsid w:val="00E50156"/>
    <w:rsid w:val="00E51328"/>
    <w:rsid w:val="00E5190F"/>
    <w:rsid w:val="00E519A3"/>
    <w:rsid w:val="00E524FA"/>
    <w:rsid w:val="00E53470"/>
    <w:rsid w:val="00E539F6"/>
    <w:rsid w:val="00E53E70"/>
    <w:rsid w:val="00E54004"/>
    <w:rsid w:val="00E5443E"/>
    <w:rsid w:val="00E54455"/>
    <w:rsid w:val="00E549C1"/>
    <w:rsid w:val="00E54A2F"/>
    <w:rsid w:val="00E5516A"/>
    <w:rsid w:val="00E55BF1"/>
    <w:rsid w:val="00E560A9"/>
    <w:rsid w:val="00E56235"/>
    <w:rsid w:val="00E5623C"/>
    <w:rsid w:val="00E56294"/>
    <w:rsid w:val="00E577B0"/>
    <w:rsid w:val="00E57F14"/>
    <w:rsid w:val="00E6024C"/>
    <w:rsid w:val="00E60518"/>
    <w:rsid w:val="00E60853"/>
    <w:rsid w:val="00E60900"/>
    <w:rsid w:val="00E622A4"/>
    <w:rsid w:val="00E62459"/>
    <w:rsid w:val="00E62996"/>
    <w:rsid w:val="00E63E64"/>
    <w:rsid w:val="00E64A4E"/>
    <w:rsid w:val="00E6519D"/>
    <w:rsid w:val="00E659A8"/>
    <w:rsid w:val="00E666C3"/>
    <w:rsid w:val="00E6673A"/>
    <w:rsid w:val="00E66D62"/>
    <w:rsid w:val="00E67270"/>
    <w:rsid w:val="00E67696"/>
    <w:rsid w:val="00E702F4"/>
    <w:rsid w:val="00E702F6"/>
    <w:rsid w:val="00E70345"/>
    <w:rsid w:val="00E70470"/>
    <w:rsid w:val="00E70750"/>
    <w:rsid w:val="00E7106F"/>
    <w:rsid w:val="00E71A16"/>
    <w:rsid w:val="00E71A58"/>
    <w:rsid w:val="00E72162"/>
    <w:rsid w:val="00E725AB"/>
    <w:rsid w:val="00E726D5"/>
    <w:rsid w:val="00E7272C"/>
    <w:rsid w:val="00E729EE"/>
    <w:rsid w:val="00E72A7A"/>
    <w:rsid w:val="00E72E53"/>
    <w:rsid w:val="00E735B9"/>
    <w:rsid w:val="00E7385F"/>
    <w:rsid w:val="00E738AF"/>
    <w:rsid w:val="00E73946"/>
    <w:rsid w:val="00E73C13"/>
    <w:rsid w:val="00E73D99"/>
    <w:rsid w:val="00E75C94"/>
    <w:rsid w:val="00E75CB2"/>
    <w:rsid w:val="00E75E92"/>
    <w:rsid w:val="00E7658D"/>
    <w:rsid w:val="00E7658F"/>
    <w:rsid w:val="00E7691C"/>
    <w:rsid w:val="00E77711"/>
    <w:rsid w:val="00E777B8"/>
    <w:rsid w:val="00E77B55"/>
    <w:rsid w:val="00E77C07"/>
    <w:rsid w:val="00E77CAE"/>
    <w:rsid w:val="00E81A83"/>
    <w:rsid w:val="00E81B0E"/>
    <w:rsid w:val="00E81D45"/>
    <w:rsid w:val="00E81ECD"/>
    <w:rsid w:val="00E820A0"/>
    <w:rsid w:val="00E8270C"/>
    <w:rsid w:val="00E82AA4"/>
    <w:rsid w:val="00E82E32"/>
    <w:rsid w:val="00E83223"/>
    <w:rsid w:val="00E8343F"/>
    <w:rsid w:val="00E83560"/>
    <w:rsid w:val="00E83741"/>
    <w:rsid w:val="00E85F38"/>
    <w:rsid w:val="00E865BB"/>
    <w:rsid w:val="00E86775"/>
    <w:rsid w:val="00E86C73"/>
    <w:rsid w:val="00E86E4A"/>
    <w:rsid w:val="00E87117"/>
    <w:rsid w:val="00E87800"/>
    <w:rsid w:val="00E878C4"/>
    <w:rsid w:val="00E90299"/>
    <w:rsid w:val="00E90549"/>
    <w:rsid w:val="00E9070E"/>
    <w:rsid w:val="00E90836"/>
    <w:rsid w:val="00E90D90"/>
    <w:rsid w:val="00E9114D"/>
    <w:rsid w:val="00E91487"/>
    <w:rsid w:val="00E91552"/>
    <w:rsid w:val="00E9185E"/>
    <w:rsid w:val="00E92137"/>
    <w:rsid w:val="00E92235"/>
    <w:rsid w:val="00E92CEE"/>
    <w:rsid w:val="00E92F33"/>
    <w:rsid w:val="00E93820"/>
    <w:rsid w:val="00E9401A"/>
    <w:rsid w:val="00E941F4"/>
    <w:rsid w:val="00E94344"/>
    <w:rsid w:val="00E94690"/>
    <w:rsid w:val="00E94780"/>
    <w:rsid w:val="00E95388"/>
    <w:rsid w:val="00E956AE"/>
    <w:rsid w:val="00E96034"/>
    <w:rsid w:val="00E96222"/>
    <w:rsid w:val="00E96ACA"/>
    <w:rsid w:val="00E96C79"/>
    <w:rsid w:val="00EA0C68"/>
    <w:rsid w:val="00EA1042"/>
    <w:rsid w:val="00EA15B8"/>
    <w:rsid w:val="00EA1938"/>
    <w:rsid w:val="00EA268E"/>
    <w:rsid w:val="00EA2C94"/>
    <w:rsid w:val="00EA32BC"/>
    <w:rsid w:val="00EA3D1E"/>
    <w:rsid w:val="00EA43FD"/>
    <w:rsid w:val="00EA4AE7"/>
    <w:rsid w:val="00EA52BF"/>
    <w:rsid w:val="00EA5C81"/>
    <w:rsid w:val="00EA5CF7"/>
    <w:rsid w:val="00EA6180"/>
    <w:rsid w:val="00EA62A4"/>
    <w:rsid w:val="00EA64C7"/>
    <w:rsid w:val="00EA6CB1"/>
    <w:rsid w:val="00EA7A3A"/>
    <w:rsid w:val="00EA7E4D"/>
    <w:rsid w:val="00EB02BC"/>
    <w:rsid w:val="00EB093F"/>
    <w:rsid w:val="00EB1AEB"/>
    <w:rsid w:val="00EB1C38"/>
    <w:rsid w:val="00EB2621"/>
    <w:rsid w:val="00EB3140"/>
    <w:rsid w:val="00EB3C65"/>
    <w:rsid w:val="00EB3EAA"/>
    <w:rsid w:val="00EB4511"/>
    <w:rsid w:val="00EB4BD8"/>
    <w:rsid w:val="00EB5489"/>
    <w:rsid w:val="00EB5A25"/>
    <w:rsid w:val="00EB617D"/>
    <w:rsid w:val="00EB70BD"/>
    <w:rsid w:val="00EB70EC"/>
    <w:rsid w:val="00EC03D7"/>
    <w:rsid w:val="00EC0BFA"/>
    <w:rsid w:val="00EC0FF3"/>
    <w:rsid w:val="00EC16D0"/>
    <w:rsid w:val="00EC1885"/>
    <w:rsid w:val="00EC20E8"/>
    <w:rsid w:val="00EC214F"/>
    <w:rsid w:val="00EC2E26"/>
    <w:rsid w:val="00EC2FA3"/>
    <w:rsid w:val="00EC31DB"/>
    <w:rsid w:val="00EC3220"/>
    <w:rsid w:val="00EC3A74"/>
    <w:rsid w:val="00EC4AFC"/>
    <w:rsid w:val="00EC5218"/>
    <w:rsid w:val="00EC53A0"/>
    <w:rsid w:val="00EC5EF6"/>
    <w:rsid w:val="00EC639B"/>
    <w:rsid w:val="00EC6668"/>
    <w:rsid w:val="00EC67A4"/>
    <w:rsid w:val="00EC750A"/>
    <w:rsid w:val="00EC765E"/>
    <w:rsid w:val="00EC7E98"/>
    <w:rsid w:val="00ED0547"/>
    <w:rsid w:val="00ED14E5"/>
    <w:rsid w:val="00ED1581"/>
    <w:rsid w:val="00ED161E"/>
    <w:rsid w:val="00ED1A7D"/>
    <w:rsid w:val="00ED1D90"/>
    <w:rsid w:val="00ED2C74"/>
    <w:rsid w:val="00ED3075"/>
    <w:rsid w:val="00ED35C1"/>
    <w:rsid w:val="00ED3A3B"/>
    <w:rsid w:val="00ED4076"/>
    <w:rsid w:val="00ED4166"/>
    <w:rsid w:val="00ED45F7"/>
    <w:rsid w:val="00ED4D0E"/>
    <w:rsid w:val="00ED6159"/>
    <w:rsid w:val="00ED62C6"/>
    <w:rsid w:val="00ED64C1"/>
    <w:rsid w:val="00ED76BB"/>
    <w:rsid w:val="00EE01E1"/>
    <w:rsid w:val="00EE06BC"/>
    <w:rsid w:val="00EE0B04"/>
    <w:rsid w:val="00EE0D40"/>
    <w:rsid w:val="00EE15E8"/>
    <w:rsid w:val="00EE1A1C"/>
    <w:rsid w:val="00EE1A4D"/>
    <w:rsid w:val="00EE1B52"/>
    <w:rsid w:val="00EE31C0"/>
    <w:rsid w:val="00EE3446"/>
    <w:rsid w:val="00EE34DA"/>
    <w:rsid w:val="00EE39B7"/>
    <w:rsid w:val="00EE3E78"/>
    <w:rsid w:val="00EE4B1B"/>
    <w:rsid w:val="00EE4E5E"/>
    <w:rsid w:val="00EE507B"/>
    <w:rsid w:val="00EE5266"/>
    <w:rsid w:val="00EE5C81"/>
    <w:rsid w:val="00EE743A"/>
    <w:rsid w:val="00EE7EAD"/>
    <w:rsid w:val="00EF0135"/>
    <w:rsid w:val="00EF05B5"/>
    <w:rsid w:val="00EF05F9"/>
    <w:rsid w:val="00EF08B5"/>
    <w:rsid w:val="00EF0CF6"/>
    <w:rsid w:val="00EF1109"/>
    <w:rsid w:val="00EF130D"/>
    <w:rsid w:val="00EF13AE"/>
    <w:rsid w:val="00EF1474"/>
    <w:rsid w:val="00EF150D"/>
    <w:rsid w:val="00EF1975"/>
    <w:rsid w:val="00EF1F5A"/>
    <w:rsid w:val="00EF4549"/>
    <w:rsid w:val="00EF467D"/>
    <w:rsid w:val="00EF47BF"/>
    <w:rsid w:val="00EF4BD9"/>
    <w:rsid w:val="00EF4C6B"/>
    <w:rsid w:val="00EF4C92"/>
    <w:rsid w:val="00EF5104"/>
    <w:rsid w:val="00EF52DE"/>
    <w:rsid w:val="00EF67B0"/>
    <w:rsid w:val="00EF6922"/>
    <w:rsid w:val="00EF735D"/>
    <w:rsid w:val="00EF73DD"/>
    <w:rsid w:val="00EF7856"/>
    <w:rsid w:val="00EF7906"/>
    <w:rsid w:val="00EF7D91"/>
    <w:rsid w:val="00EF7F32"/>
    <w:rsid w:val="00F00C8B"/>
    <w:rsid w:val="00F01056"/>
    <w:rsid w:val="00F024CB"/>
    <w:rsid w:val="00F025AC"/>
    <w:rsid w:val="00F027DB"/>
    <w:rsid w:val="00F02C35"/>
    <w:rsid w:val="00F038C6"/>
    <w:rsid w:val="00F04808"/>
    <w:rsid w:val="00F04811"/>
    <w:rsid w:val="00F0488C"/>
    <w:rsid w:val="00F0542A"/>
    <w:rsid w:val="00F0557C"/>
    <w:rsid w:val="00F05F5E"/>
    <w:rsid w:val="00F060AD"/>
    <w:rsid w:val="00F06207"/>
    <w:rsid w:val="00F06CE2"/>
    <w:rsid w:val="00F07B5F"/>
    <w:rsid w:val="00F07BDE"/>
    <w:rsid w:val="00F07EA2"/>
    <w:rsid w:val="00F1007A"/>
    <w:rsid w:val="00F10927"/>
    <w:rsid w:val="00F10F11"/>
    <w:rsid w:val="00F112A1"/>
    <w:rsid w:val="00F11AAF"/>
    <w:rsid w:val="00F13389"/>
    <w:rsid w:val="00F13BAC"/>
    <w:rsid w:val="00F14652"/>
    <w:rsid w:val="00F14B7E"/>
    <w:rsid w:val="00F15AAA"/>
    <w:rsid w:val="00F15BEF"/>
    <w:rsid w:val="00F160A2"/>
    <w:rsid w:val="00F16D65"/>
    <w:rsid w:val="00F16F36"/>
    <w:rsid w:val="00F1715D"/>
    <w:rsid w:val="00F176C0"/>
    <w:rsid w:val="00F20218"/>
    <w:rsid w:val="00F20D63"/>
    <w:rsid w:val="00F20ED9"/>
    <w:rsid w:val="00F21755"/>
    <w:rsid w:val="00F21AE9"/>
    <w:rsid w:val="00F21E2A"/>
    <w:rsid w:val="00F224C1"/>
    <w:rsid w:val="00F22798"/>
    <w:rsid w:val="00F22802"/>
    <w:rsid w:val="00F229CF"/>
    <w:rsid w:val="00F22AA8"/>
    <w:rsid w:val="00F22C15"/>
    <w:rsid w:val="00F2376F"/>
    <w:rsid w:val="00F240A9"/>
    <w:rsid w:val="00F2425B"/>
    <w:rsid w:val="00F24407"/>
    <w:rsid w:val="00F244A4"/>
    <w:rsid w:val="00F24782"/>
    <w:rsid w:val="00F24D7F"/>
    <w:rsid w:val="00F24FAA"/>
    <w:rsid w:val="00F2534C"/>
    <w:rsid w:val="00F2570D"/>
    <w:rsid w:val="00F258C3"/>
    <w:rsid w:val="00F25ADA"/>
    <w:rsid w:val="00F26168"/>
    <w:rsid w:val="00F26639"/>
    <w:rsid w:val="00F26D00"/>
    <w:rsid w:val="00F26DFA"/>
    <w:rsid w:val="00F26FED"/>
    <w:rsid w:val="00F27093"/>
    <w:rsid w:val="00F27863"/>
    <w:rsid w:val="00F27B3D"/>
    <w:rsid w:val="00F30709"/>
    <w:rsid w:val="00F31090"/>
    <w:rsid w:val="00F310A4"/>
    <w:rsid w:val="00F31349"/>
    <w:rsid w:val="00F318B0"/>
    <w:rsid w:val="00F32735"/>
    <w:rsid w:val="00F32E8C"/>
    <w:rsid w:val="00F32F52"/>
    <w:rsid w:val="00F332EF"/>
    <w:rsid w:val="00F3364D"/>
    <w:rsid w:val="00F33AAA"/>
    <w:rsid w:val="00F341B2"/>
    <w:rsid w:val="00F35931"/>
    <w:rsid w:val="00F36597"/>
    <w:rsid w:val="00F3681F"/>
    <w:rsid w:val="00F368BD"/>
    <w:rsid w:val="00F36ABF"/>
    <w:rsid w:val="00F36D30"/>
    <w:rsid w:val="00F36ECA"/>
    <w:rsid w:val="00F37773"/>
    <w:rsid w:val="00F37AEB"/>
    <w:rsid w:val="00F40195"/>
    <w:rsid w:val="00F40ECF"/>
    <w:rsid w:val="00F41054"/>
    <w:rsid w:val="00F4172A"/>
    <w:rsid w:val="00F41A27"/>
    <w:rsid w:val="00F41CB6"/>
    <w:rsid w:val="00F41E62"/>
    <w:rsid w:val="00F424D3"/>
    <w:rsid w:val="00F42674"/>
    <w:rsid w:val="00F427D2"/>
    <w:rsid w:val="00F42D7F"/>
    <w:rsid w:val="00F43204"/>
    <w:rsid w:val="00F436B9"/>
    <w:rsid w:val="00F437CC"/>
    <w:rsid w:val="00F4384B"/>
    <w:rsid w:val="00F449E7"/>
    <w:rsid w:val="00F44CB7"/>
    <w:rsid w:val="00F44CF1"/>
    <w:rsid w:val="00F4549F"/>
    <w:rsid w:val="00F458BA"/>
    <w:rsid w:val="00F45E4C"/>
    <w:rsid w:val="00F46888"/>
    <w:rsid w:val="00F47067"/>
    <w:rsid w:val="00F4729D"/>
    <w:rsid w:val="00F472A0"/>
    <w:rsid w:val="00F47682"/>
    <w:rsid w:val="00F476BD"/>
    <w:rsid w:val="00F47D58"/>
    <w:rsid w:val="00F50488"/>
    <w:rsid w:val="00F50800"/>
    <w:rsid w:val="00F50D49"/>
    <w:rsid w:val="00F50F9C"/>
    <w:rsid w:val="00F515BD"/>
    <w:rsid w:val="00F51A59"/>
    <w:rsid w:val="00F525EB"/>
    <w:rsid w:val="00F5271A"/>
    <w:rsid w:val="00F52DDE"/>
    <w:rsid w:val="00F53068"/>
    <w:rsid w:val="00F533EE"/>
    <w:rsid w:val="00F54510"/>
    <w:rsid w:val="00F54A1D"/>
    <w:rsid w:val="00F54A43"/>
    <w:rsid w:val="00F55011"/>
    <w:rsid w:val="00F55690"/>
    <w:rsid w:val="00F557C6"/>
    <w:rsid w:val="00F562DC"/>
    <w:rsid w:val="00F5645E"/>
    <w:rsid w:val="00F56523"/>
    <w:rsid w:val="00F56A7D"/>
    <w:rsid w:val="00F56E07"/>
    <w:rsid w:val="00F57279"/>
    <w:rsid w:val="00F57536"/>
    <w:rsid w:val="00F57735"/>
    <w:rsid w:val="00F602DC"/>
    <w:rsid w:val="00F60300"/>
    <w:rsid w:val="00F619A9"/>
    <w:rsid w:val="00F61AE5"/>
    <w:rsid w:val="00F61D19"/>
    <w:rsid w:val="00F62272"/>
    <w:rsid w:val="00F62279"/>
    <w:rsid w:val="00F62818"/>
    <w:rsid w:val="00F63578"/>
    <w:rsid w:val="00F63C10"/>
    <w:rsid w:val="00F63DDE"/>
    <w:rsid w:val="00F63FB7"/>
    <w:rsid w:val="00F646F7"/>
    <w:rsid w:val="00F649D2"/>
    <w:rsid w:val="00F64A2E"/>
    <w:rsid w:val="00F64BCC"/>
    <w:rsid w:val="00F64D09"/>
    <w:rsid w:val="00F65359"/>
    <w:rsid w:val="00F655E5"/>
    <w:rsid w:val="00F6602B"/>
    <w:rsid w:val="00F66871"/>
    <w:rsid w:val="00F66C16"/>
    <w:rsid w:val="00F67275"/>
    <w:rsid w:val="00F674B7"/>
    <w:rsid w:val="00F678BC"/>
    <w:rsid w:val="00F708F5"/>
    <w:rsid w:val="00F70FAD"/>
    <w:rsid w:val="00F710DF"/>
    <w:rsid w:val="00F71389"/>
    <w:rsid w:val="00F713B3"/>
    <w:rsid w:val="00F71565"/>
    <w:rsid w:val="00F7181C"/>
    <w:rsid w:val="00F71C04"/>
    <w:rsid w:val="00F7260E"/>
    <w:rsid w:val="00F72C84"/>
    <w:rsid w:val="00F72E1C"/>
    <w:rsid w:val="00F7308E"/>
    <w:rsid w:val="00F73949"/>
    <w:rsid w:val="00F73A0C"/>
    <w:rsid w:val="00F73C46"/>
    <w:rsid w:val="00F747F7"/>
    <w:rsid w:val="00F74A05"/>
    <w:rsid w:val="00F7524D"/>
    <w:rsid w:val="00F756DB"/>
    <w:rsid w:val="00F756FC"/>
    <w:rsid w:val="00F759C1"/>
    <w:rsid w:val="00F7650F"/>
    <w:rsid w:val="00F76682"/>
    <w:rsid w:val="00F76B17"/>
    <w:rsid w:val="00F76BE9"/>
    <w:rsid w:val="00F76DC8"/>
    <w:rsid w:val="00F773BC"/>
    <w:rsid w:val="00F77C0C"/>
    <w:rsid w:val="00F77C2A"/>
    <w:rsid w:val="00F80CA3"/>
    <w:rsid w:val="00F81355"/>
    <w:rsid w:val="00F81C62"/>
    <w:rsid w:val="00F81D2E"/>
    <w:rsid w:val="00F8241E"/>
    <w:rsid w:val="00F8284E"/>
    <w:rsid w:val="00F8312A"/>
    <w:rsid w:val="00F8377E"/>
    <w:rsid w:val="00F83B06"/>
    <w:rsid w:val="00F84568"/>
    <w:rsid w:val="00F84BB6"/>
    <w:rsid w:val="00F84F2E"/>
    <w:rsid w:val="00F85066"/>
    <w:rsid w:val="00F85073"/>
    <w:rsid w:val="00F85243"/>
    <w:rsid w:val="00F8526E"/>
    <w:rsid w:val="00F85CBA"/>
    <w:rsid w:val="00F86B92"/>
    <w:rsid w:val="00F86F09"/>
    <w:rsid w:val="00F900F5"/>
    <w:rsid w:val="00F90247"/>
    <w:rsid w:val="00F90500"/>
    <w:rsid w:val="00F91170"/>
    <w:rsid w:val="00F9129D"/>
    <w:rsid w:val="00F9158F"/>
    <w:rsid w:val="00F9170F"/>
    <w:rsid w:val="00F92054"/>
    <w:rsid w:val="00F9212D"/>
    <w:rsid w:val="00F928F4"/>
    <w:rsid w:val="00F939DE"/>
    <w:rsid w:val="00F93AE3"/>
    <w:rsid w:val="00F94252"/>
    <w:rsid w:val="00F94468"/>
    <w:rsid w:val="00F946A3"/>
    <w:rsid w:val="00F96DEA"/>
    <w:rsid w:val="00F96EC7"/>
    <w:rsid w:val="00F9748B"/>
    <w:rsid w:val="00F9780B"/>
    <w:rsid w:val="00F97AA1"/>
    <w:rsid w:val="00F97AB8"/>
    <w:rsid w:val="00FA003F"/>
    <w:rsid w:val="00FA00B9"/>
    <w:rsid w:val="00FA0510"/>
    <w:rsid w:val="00FA104E"/>
    <w:rsid w:val="00FA1061"/>
    <w:rsid w:val="00FA11D4"/>
    <w:rsid w:val="00FA1BC1"/>
    <w:rsid w:val="00FA1BDD"/>
    <w:rsid w:val="00FA1C75"/>
    <w:rsid w:val="00FA1CB4"/>
    <w:rsid w:val="00FA20BF"/>
    <w:rsid w:val="00FA29C5"/>
    <w:rsid w:val="00FA3371"/>
    <w:rsid w:val="00FA3561"/>
    <w:rsid w:val="00FA3640"/>
    <w:rsid w:val="00FA42FD"/>
    <w:rsid w:val="00FA43FB"/>
    <w:rsid w:val="00FA4F40"/>
    <w:rsid w:val="00FA4FC9"/>
    <w:rsid w:val="00FA5C16"/>
    <w:rsid w:val="00FA5D4D"/>
    <w:rsid w:val="00FA5DCD"/>
    <w:rsid w:val="00FA7026"/>
    <w:rsid w:val="00FA7769"/>
    <w:rsid w:val="00FA7981"/>
    <w:rsid w:val="00FB02C7"/>
    <w:rsid w:val="00FB0947"/>
    <w:rsid w:val="00FB0DE1"/>
    <w:rsid w:val="00FB0EE2"/>
    <w:rsid w:val="00FB0FFC"/>
    <w:rsid w:val="00FB1537"/>
    <w:rsid w:val="00FB1917"/>
    <w:rsid w:val="00FB1969"/>
    <w:rsid w:val="00FB1A10"/>
    <w:rsid w:val="00FB3376"/>
    <w:rsid w:val="00FB3AE5"/>
    <w:rsid w:val="00FB4A9D"/>
    <w:rsid w:val="00FB506F"/>
    <w:rsid w:val="00FB509F"/>
    <w:rsid w:val="00FB542E"/>
    <w:rsid w:val="00FB55A4"/>
    <w:rsid w:val="00FB6202"/>
    <w:rsid w:val="00FB625B"/>
    <w:rsid w:val="00FB74A7"/>
    <w:rsid w:val="00FC03F1"/>
    <w:rsid w:val="00FC070C"/>
    <w:rsid w:val="00FC0D70"/>
    <w:rsid w:val="00FC0E27"/>
    <w:rsid w:val="00FC0E5F"/>
    <w:rsid w:val="00FC1044"/>
    <w:rsid w:val="00FC1878"/>
    <w:rsid w:val="00FC1A95"/>
    <w:rsid w:val="00FC29A1"/>
    <w:rsid w:val="00FC2BB4"/>
    <w:rsid w:val="00FC393F"/>
    <w:rsid w:val="00FC3D5B"/>
    <w:rsid w:val="00FC43AD"/>
    <w:rsid w:val="00FC4493"/>
    <w:rsid w:val="00FC45B8"/>
    <w:rsid w:val="00FC4FD9"/>
    <w:rsid w:val="00FC54AF"/>
    <w:rsid w:val="00FC56DE"/>
    <w:rsid w:val="00FC5ADE"/>
    <w:rsid w:val="00FC684B"/>
    <w:rsid w:val="00FD095C"/>
    <w:rsid w:val="00FD1C01"/>
    <w:rsid w:val="00FD1C6E"/>
    <w:rsid w:val="00FD1CFB"/>
    <w:rsid w:val="00FD1E73"/>
    <w:rsid w:val="00FD25CE"/>
    <w:rsid w:val="00FD3265"/>
    <w:rsid w:val="00FD3A98"/>
    <w:rsid w:val="00FD3C9A"/>
    <w:rsid w:val="00FD5197"/>
    <w:rsid w:val="00FD562C"/>
    <w:rsid w:val="00FD5721"/>
    <w:rsid w:val="00FD57AF"/>
    <w:rsid w:val="00FD6260"/>
    <w:rsid w:val="00FD763A"/>
    <w:rsid w:val="00FE0731"/>
    <w:rsid w:val="00FE0851"/>
    <w:rsid w:val="00FE090A"/>
    <w:rsid w:val="00FE1249"/>
    <w:rsid w:val="00FE12D7"/>
    <w:rsid w:val="00FE1DDE"/>
    <w:rsid w:val="00FE1FDB"/>
    <w:rsid w:val="00FE2331"/>
    <w:rsid w:val="00FE26AE"/>
    <w:rsid w:val="00FE2718"/>
    <w:rsid w:val="00FE2F78"/>
    <w:rsid w:val="00FE2FDF"/>
    <w:rsid w:val="00FE3589"/>
    <w:rsid w:val="00FE39A5"/>
    <w:rsid w:val="00FE3AFE"/>
    <w:rsid w:val="00FE3E5D"/>
    <w:rsid w:val="00FE3EA2"/>
    <w:rsid w:val="00FE4713"/>
    <w:rsid w:val="00FE478B"/>
    <w:rsid w:val="00FE5814"/>
    <w:rsid w:val="00FE5881"/>
    <w:rsid w:val="00FE6465"/>
    <w:rsid w:val="00FE7186"/>
    <w:rsid w:val="00FE7756"/>
    <w:rsid w:val="00FF0857"/>
    <w:rsid w:val="00FF0A11"/>
    <w:rsid w:val="00FF10B5"/>
    <w:rsid w:val="00FF1DFF"/>
    <w:rsid w:val="00FF1F6F"/>
    <w:rsid w:val="00FF23D7"/>
    <w:rsid w:val="00FF2E61"/>
    <w:rsid w:val="00FF3029"/>
    <w:rsid w:val="00FF330F"/>
    <w:rsid w:val="00FF33A4"/>
    <w:rsid w:val="00FF4357"/>
    <w:rsid w:val="00FF462C"/>
    <w:rsid w:val="00FF46E5"/>
    <w:rsid w:val="00FF4C28"/>
    <w:rsid w:val="00FF51BF"/>
    <w:rsid w:val="00FF5281"/>
    <w:rsid w:val="00FF6B7E"/>
    <w:rsid w:val="00FF7347"/>
    <w:rsid w:val="00FF7372"/>
    <w:rsid w:val="00FF755A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096614D4"/>
  <w15:docId w15:val="{9AB8C5BE-3889-483F-8395-A8134207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478B"/>
    <w:pPr>
      <w:spacing w:after="240" w:line="288" w:lineRule="auto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900FF"/>
    <w:pPr>
      <w:keepNext/>
      <w:keepLines/>
      <w:spacing w:after="100" w:line="288" w:lineRule="auto"/>
      <w:contextualSpacing/>
      <w:outlineLvl w:val="0"/>
    </w:pPr>
    <w:rPr>
      <w:rFonts w:ascii="Arial" w:eastAsia="MS Gothic" w:hAnsi="Arial"/>
      <w:b/>
      <w:bCs/>
      <w:color w:val="C00000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4900FF"/>
    <w:pPr>
      <w:keepNext/>
      <w:keepLines/>
      <w:spacing w:line="288" w:lineRule="auto"/>
      <w:outlineLvl w:val="1"/>
    </w:pPr>
    <w:rPr>
      <w:rFonts w:ascii="Arial" w:eastAsia="MS Gothic" w:hAnsi="Arial"/>
      <w:b/>
      <w:bCs/>
      <w:color w:val="BC091B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4900FF"/>
    <w:pPr>
      <w:keepNext/>
      <w:keepLines/>
      <w:spacing w:line="288" w:lineRule="auto"/>
      <w:outlineLvl w:val="2"/>
    </w:pPr>
    <w:rPr>
      <w:rFonts w:ascii="Arial" w:eastAsia="MS Gothic" w:hAnsi="Arial"/>
      <w:b/>
      <w:bCs/>
      <w:color w:val="BC091B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900FF"/>
    <w:pPr>
      <w:keepNext/>
      <w:keepLines/>
      <w:spacing w:line="288" w:lineRule="auto"/>
      <w:outlineLvl w:val="3"/>
    </w:pPr>
    <w:rPr>
      <w:rFonts w:ascii="Arial" w:eastAsia="MS Gothic" w:hAnsi="Arial"/>
      <w:b/>
      <w:bCs/>
      <w:iCs/>
      <w:color w:val="BC091B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14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14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14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14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30F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900FF"/>
    <w:rPr>
      <w:rFonts w:ascii="Arial" w:eastAsia="MS Gothic" w:hAnsi="Arial"/>
      <w:b/>
      <w:bCs/>
      <w:color w:val="C00000"/>
      <w:sz w:val="32"/>
      <w:szCs w:val="28"/>
    </w:rPr>
  </w:style>
  <w:style w:type="character" w:customStyle="1" w:styleId="Nadpis2Char">
    <w:name w:val="Nadpis 2 Char"/>
    <w:link w:val="Nadpis2"/>
    <w:uiPriority w:val="9"/>
    <w:rsid w:val="004900FF"/>
    <w:rPr>
      <w:rFonts w:ascii="Arial" w:eastAsia="MS Gothic" w:hAnsi="Arial"/>
      <w:b/>
      <w:bCs/>
      <w:color w:val="BC091B"/>
      <w:sz w:val="28"/>
      <w:szCs w:val="26"/>
    </w:rPr>
  </w:style>
  <w:style w:type="character" w:customStyle="1" w:styleId="Nadpis3Char">
    <w:name w:val="Nadpis 3 Char"/>
    <w:link w:val="Nadpis3"/>
    <w:uiPriority w:val="9"/>
    <w:rsid w:val="004900FF"/>
    <w:rPr>
      <w:rFonts w:ascii="Arial" w:eastAsia="MS Gothic" w:hAnsi="Arial"/>
      <w:b/>
      <w:bCs/>
      <w:color w:val="BC091B"/>
      <w:sz w:val="24"/>
      <w:szCs w:val="24"/>
    </w:rPr>
  </w:style>
  <w:style w:type="character" w:customStyle="1" w:styleId="Nadpis4Char">
    <w:name w:val="Nadpis 4 Char"/>
    <w:link w:val="Nadpis4"/>
    <w:uiPriority w:val="9"/>
    <w:rsid w:val="004900FF"/>
    <w:rPr>
      <w:rFonts w:ascii="Arial" w:eastAsia="MS Gothic" w:hAnsi="Arial"/>
      <w:b/>
      <w:bCs/>
      <w:iCs/>
      <w:color w:val="BC091B"/>
      <w:szCs w:val="24"/>
    </w:rPr>
  </w:style>
  <w:style w:type="character" w:customStyle="1" w:styleId="Nadpis9Char">
    <w:name w:val="Nadpis 9 Char"/>
    <w:link w:val="Nadpis9"/>
    <w:uiPriority w:val="9"/>
    <w:semiHidden/>
    <w:rsid w:val="00A30F65"/>
    <w:rPr>
      <w:rFonts w:ascii="Cambria" w:eastAsia="Times New Roman" w:hAnsi="Cambria" w:cs="Times New Roman"/>
      <w:sz w:val="22"/>
      <w:szCs w:val="22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4900FF"/>
    <w:pPr>
      <w:spacing w:after="80" w:line="288" w:lineRule="auto"/>
    </w:pPr>
    <w:rPr>
      <w:rFonts w:ascii="Arial" w:eastAsia="Times New Roman" w:hAnsi="Arial"/>
      <w:b/>
      <w:color w:val="BC091B"/>
      <w:sz w:val="32"/>
      <w:szCs w:val="24"/>
      <w:lang w:eastAsia="cs-CZ"/>
    </w:rPr>
  </w:style>
  <w:style w:type="paragraph" w:customStyle="1" w:styleId="Box1">
    <w:name w:val="Box 1"/>
    <w:next w:val="Normln"/>
    <w:qFormat/>
    <w:rsid w:val="004900FF"/>
    <w:pPr>
      <w:shd w:val="clear" w:color="auto" w:fill="F5DADD"/>
      <w:spacing w:before="240" w:after="240" w:line="288" w:lineRule="auto"/>
      <w:ind w:left="709"/>
      <w:contextualSpacing/>
    </w:pPr>
    <w:rPr>
      <w:rFonts w:ascii="Arial" w:hAnsi="Arial" w:cs="Arial"/>
      <w:lang w:eastAsia="cs-CZ"/>
    </w:rPr>
  </w:style>
  <w:style w:type="paragraph" w:customStyle="1" w:styleId="Box2">
    <w:name w:val="Box 2"/>
    <w:qFormat/>
    <w:rsid w:val="004900FF"/>
    <w:pPr>
      <w:spacing w:before="240" w:after="240" w:line="288" w:lineRule="auto"/>
      <w:ind w:left="709"/>
      <w:contextualSpacing/>
    </w:pPr>
    <w:rPr>
      <w:rFonts w:ascii="Arial" w:hAnsi="Arial" w:cs="Arial"/>
      <w:color w:val="BC091B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104C4C"/>
    <w:pPr>
      <w:spacing w:after="40"/>
      <w:contextualSpacing/>
    </w:pPr>
    <w:rPr>
      <w:b/>
      <w:caps/>
      <w:color w:val="BD1B21"/>
      <w:sz w:val="24"/>
    </w:rPr>
  </w:style>
  <w:style w:type="paragraph" w:customStyle="1" w:styleId="TLKontakty">
    <w:name w:val="TL Kontakty"/>
    <w:qFormat/>
    <w:rsid w:val="008E6F06"/>
    <w:pPr>
      <w:spacing w:after="160" w:line="259" w:lineRule="auto"/>
      <w:contextualSpacing/>
    </w:pPr>
    <w:rPr>
      <w:rFonts w:ascii="Arial" w:eastAsia="Times New Roman" w:hAnsi="Arial"/>
      <w:b/>
      <w:color w:val="0071BC"/>
      <w:lang w:eastAsia="cs-CZ"/>
    </w:rPr>
  </w:style>
  <w:style w:type="paragraph" w:styleId="Nzev">
    <w:name w:val="Title"/>
    <w:link w:val="NzevChar"/>
    <w:uiPriority w:val="10"/>
    <w:qFormat/>
    <w:rsid w:val="004900FF"/>
    <w:pPr>
      <w:spacing w:line="288" w:lineRule="auto"/>
    </w:pPr>
    <w:rPr>
      <w:rFonts w:ascii="Arial" w:eastAsia="Times New Roman" w:hAnsi="Arial"/>
      <w:b/>
      <w:bCs/>
      <w:caps/>
      <w:color w:val="BC091B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4900FF"/>
    <w:rPr>
      <w:rFonts w:ascii="Arial" w:eastAsia="Times New Roman" w:hAnsi="Arial"/>
      <w:b/>
      <w:bCs/>
      <w:caps/>
      <w:color w:val="BC091B"/>
      <w:kern w:val="28"/>
      <w:sz w:val="56"/>
      <w:szCs w:val="32"/>
    </w:rPr>
  </w:style>
  <w:style w:type="paragraph" w:styleId="Podnadpis">
    <w:name w:val="Subtitle"/>
    <w:link w:val="PodnadpisChar"/>
    <w:uiPriority w:val="11"/>
    <w:qFormat/>
    <w:rsid w:val="004900FF"/>
    <w:pPr>
      <w:spacing w:line="288" w:lineRule="auto"/>
    </w:pPr>
    <w:rPr>
      <w:rFonts w:ascii="Arial" w:eastAsia="Times New Roman" w:hAnsi="Arial" w:cs="Arial"/>
      <w:b/>
      <w:color w:val="BC091B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4900FF"/>
    <w:rPr>
      <w:rFonts w:ascii="Arial" w:eastAsia="Times New Roman" w:hAnsi="Arial" w:cs="Arial"/>
      <w:b/>
      <w:color w:val="BC091B"/>
      <w:sz w:val="28"/>
      <w:szCs w:val="24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paragraph" w:styleId="Odstavecseseznamem">
    <w:name w:val="List Paragraph"/>
    <w:basedOn w:val="Normln"/>
    <w:uiPriority w:val="34"/>
    <w:qFormat/>
    <w:rsid w:val="00A67C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nhideWhenUsed/>
    <w:rsid w:val="00A67C12"/>
    <w:pPr>
      <w:spacing w:after="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A67C12"/>
    <w:rPr>
      <w:rFonts w:asciiTheme="minorHAnsi" w:eastAsiaTheme="minorHAnsi" w:hAnsiTheme="minorHAnsi" w:cstheme="minorBidi"/>
    </w:rPr>
  </w:style>
  <w:style w:type="character" w:styleId="Znakapoznpodarou">
    <w:name w:val="footnote reference"/>
    <w:basedOn w:val="Standardnpsmoodstavce"/>
    <w:semiHidden/>
    <w:unhideWhenUsed/>
    <w:rsid w:val="00A67C12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67C12"/>
    <w:rPr>
      <w:rFonts w:ascii="Arial" w:eastAsia="Times New Roman" w:hAnsi="Arial" w:cs="Arial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A67C12"/>
    <w:pPr>
      <w:widowControl w:val="0"/>
      <w:tabs>
        <w:tab w:val="left" w:pos="0"/>
        <w:tab w:val="left" w:pos="601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cs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585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859F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859FB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9FB"/>
    <w:rPr>
      <w:rFonts w:ascii="Arial" w:eastAsia="Times New Roman" w:hAnsi="Arial"/>
      <w:b/>
      <w:bCs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F6B7E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</w:rPr>
  </w:style>
  <w:style w:type="character" w:styleId="AkronymHTML">
    <w:name w:val="HTML Acronym"/>
    <w:basedOn w:val="Standardnpsmoodstavce"/>
    <w:uiPriority w:val="99"/>
    <w:semiHidden/>
    <w:unhideWhenUsed/>
    <w:rsid w:val="00FF6B7E"/>
  </w:style>
  <w:style w:type="character" w:styleId="Sledovanodkaz">
    <w:name w:val="FollowedHyperlink"/>
    <w:basedOn w:val="Standardnpsmoodstavce"/>
    <w:uiPriority w:val="99"/>
    <w:semiHidden/>
    <w:unhideWhenUsed/>
    <w:rsid w:val="00FF6B7E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FF6B7E"/>
    <w:rPr>
      <w:rFonts w:asciiTheme="minorHAnsi" w:eastAsiaTheme="minorHAnsi" w:hAnsiTheme="minorHAnsi" w:cstheme="minorBidi"/>
      <w:sz w:val="22"/>
      <w:szCs w:val="22"/>
    </w:rPr>
  </w:style>
  <w:style w:type="table" w:customStyle="1" w:styleId="Tabulkasmkou4zvraznn21">
    <w:name w:val="Tabulka s mřížkou 4 – zvýraznění 21"/>
    <w:basedOn w:val="Normlntabulka"/>
    <w:uiPriority w:val="49"/>
    <w:rsid w:val="00FF6B7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Default">
    <w:name w:val="Default"/>
    <w:rsid w:val="00FA776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A776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510068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14ED"/>
    <w:rPr>
      <w:rFonts w:ascii="Arial" w:eastAsiaTheme="majorEastAsia" w:hAnsi="Arial" w:cstheme="majorBidi"/>
      <w:color w:val="365F91" w:themeColor="accent1" w:themeShade="B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14ED"/>
    <w:rPr>
      <w:rFonts w:ascii="Arial" w:eastAsiaTheme="majorEastAsia" w:hAnsi="Arial" w:cstheme="majorBidi"/>
      <w:i/>
      <w:iCs/>
      <w:color w:val="595959" w:themeColor="text1" w:themeTint="A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14ED"/>
    <w:rPr>
      <w:rFonts w:ascii="Arial" w:eastAsiaTheme="majorEastAsia" w:hAnsi="Arial" w:cstheme="majorBidi"/>
      <w:color w:val="595959" w:themeColor="text1" w:themeTint="A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14ED"/>
    <w:rPr>
      <w:rFonts w:ascii="Arial" w:eastAsiaTheme="majorEastAsia" w:hAnsi="Arial" w:cstheme="majorBidi"/>
      <w:i/>
      <w:iCs/>
      <w:color w:val="272727" w:themeColor="text1" w:themeTint="D8"/>
      <w:szCs w:val="24"/>
      <w:lang w:eastAsia="cs-CZ"/>
    </w:rPr>
  </w:style>
  <w:style w:type="paragraph" w:styleId="Citt">
    <w:name w:val="Quote"/>
    <w:basedOn w:val="Normln"/>
    <w:next w:val="Normln"/>
    <w:link w:val="CittChar"/>
    <w:uiPriority w:val="29"/>
    <w:qFormat/>
    <w:rsid w:val="00D614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14ED"/>
    <w:rPr>
      <w:rFonts w:ascii="Arial" w:eastAsia="Times New Roman" w:hAnsi="Arial"/>
      <w:i/>
      <w:iCs/>
      <w:color w:val="404040" w:themeColor="text1" w:themeTint="BF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D614ED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14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14ED"/>
    <w:rPr>
      <w:rFonts w:ascii="Arial" w:eastAsia="Times New Roman" w:hAnsi="Arial"/>
      <w:i/>
      <w:iCs/>
      <w:color w:val="365F91" w:themeColor="accent1" w:themeShade="BF"/>
      <w:szCs w:val="24"/>
      <w:lang w:eastAsia="cs-CZ"/>
    </w:rPr>
  </w:style>
  <w:style w:type="character" w:styleId="Odkazintenzivn">
    <w:name w:val="Intense Reference"/>
    <w:basedOn w:val="Standardnpsmoodstavce"/>
    <w:uiPriority w:val="32"/>
    <w:qFormat/>
    <w:rsid w:val="00D614ED"/>
    <w:rPr>
      <w:b/>
      <w:bCs/>
      <w:smallCaps/>
      <w:color w:val="365F91" w:themeColor="accent1" w:themeShade="BF"/>
      <w:spacing w:val="5"/>
    </w:rPr>
  </w:style>
  <w:style w:type="character" w:customStyle="1" w:styleId="ZkladntextodsazenChar1">
    <w:name w:val="Základní text odsazený Char1"/>
    <w:basedOn w:val="Standardnpsmoodstavce"/>
    <w:uiPriority w:val="99"/>
    <w:semiHidden/>
    <w:rsid w:val="00D614ED"/>
    <w:rPr>
      <w:rFonts w:ascii="Arial" w:eastAsia="Times New Roman" w:hAnsi="Arial" w:cs="Times New Roman"/>
      <w:sz w:val="20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A42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header" Target="header3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zso.cz/csu/czso/klasifikace_kmenovych_oboru_vzdelani_-kkov-" TargetMode="External"/><Relationship Id="rId1" Type="http://schemas.openxmlformats.org/officeDocument/2006/relationships/hyperlink" Target="http://www.czso.cz/csu/czso/klasifikace_vzdelani_cz_isced_201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C:\Users\kasparova3676\Desktop\&#352;A&#352;Z_aktual\&#352;a&#352;Z_grafy_2025.xlsx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0.xml"/><Relationship Id="rId2" Type="http://schemas.openxmlformats.org/officeDocument/2006/relationships/oleObject" Target="file:///\\ABFS2\DATA\DATA\ZPRAC\TECHNOL\oddeleni_6301\02_Vzd&#283;l&#225;v&#225;n&#237;\01_Region&#225;ln&#237;%20&#353;kolstv&#237;\&#352;koly%20a%20&#353;kolsk&#225;%20za&#345;&#237;zen&#237;%202025-26\&#352;a&#352;Z_grafy_2025.xlsx" TargetMode="External"/><Relationship Id="rId1" Type="http://schemas.openxmlformats.org/officeDocument/2006/relationships/themeOverride" Target="../theme/themeOverrid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1.xml"/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7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2.xml"/><Relationship Id="rId2" Type="http://schemas.openxmlformats.org/officeDocument/2006/relationships/oleObject" Target="file:///\\ABFS2\DATA\DATA\ZPRAC\TECHNOL\oddeleni_6301\02_Vzd&#283;l&#225;v&#225;n&#237;\01_Region&#225;ln&#237;%20&#353;kolstv&#237;\&#352;koly%20a%20&#353;kolsk&#225;%20za&#345;&#237;zen&#237;%202025-26\&#352;a&#352;Z_grafy_2025.xlsx" TargetMode="External"/><Relationship Id="rId1" Type="http://schemas.openxmlformats.org/officeDocument/2006/relationships/themeOverride" Target="../theme/themeOverride8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3.xml"/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9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4.xml"/><Relationship Id="rId2" Type="http://schemas.openxmlformats.org/officeDocument/2006/relationships/oleObject" Target="file:///\\ABFS2\DATA\DATA\ZPRAC\TECHNOL\oddeleni_6301\02_Vzd&#283;l&#225;v&#225;n&#237;\01_Region&#225;ln&#237;%20&#353;kolstv&#237;\&#352;koly%20a%20&#353;kolsk&#225;%20za&#345;&#237;zen&#237;%202025-26\&#352;a&#352;Z_grafy_2025.xlsx" TargetMode="External"/><Relationship Id="rId1" Type="http://schemas.openxmlformats.org/officeDocument/2006/relationships/themeOverride" Target="../theme/themeOverride10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5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1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6.xml"/><Relationship Id="rId2" Type="http://schemas.openxmlformats.org/officeDocument/2006/relationships/oleObject" Target="file:///\\ABFS2\DATA\DATA\ZPRAC\TECHNOL\oddeleni_6301\02_Vzd&#283;l&#225;v&#225;n&#237;\01_Region&#225;ln&#237;%20&#353;kolstv&#237;\&#352;koly%20a%20&#353;kolsk&#225;%20za&#345;&#237;zen&#237;%202025-26\&#352;a&#352;Z_grafy_2025.xlsx" TargetMode="External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Users\kasparova3676\Desktop\&#352;A&#352;Z_aktual\&#352;a&#352;Z_grafy_2025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Users\kasparova3676\Desktop\&#352;A&#352;Z_aktual\&#352;a&#352;Z_grafy_2025%20(version%201)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C:\Users\kasparova3676\Desktop\&#352;A&#352;Z_aktual\&#352;a&#352;Z_grafy_2025%20(version%201).xlsx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C:\Users\kasparova3676\Desktop\&#352;A&#352;Z_aktual\&#352;a&#352;Z_grafy_2025%20(version%201)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7.xml"/><Relationship Id="rId4" Type="http://schemas.openxmlformats.org/officeDocument/2006/relationships/oleObject" Target="file:///C:\Users\kasparova3676\Desktop\&#352;A&#352;Z_aktual\&#352;a&#352;Z_grafy_2025%20(version%201).xlsx" TargetMode="Externa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8.xml"/><Relationship Id="rId2" Type="http://schemas.openxmlformats.org/officeDocument/2006/relationships/oleObject" Target="file:///\\ABFS2\DATA\DATA\ZPRAC\TECHNOL\oddeleni_6301\02_Vzd&#283;l&#225;v&#225;n&#237;\01_Region&#225;ln&#237;%20&#353;kolstv&#237;\&#352;koly%20a%20&#353;kolsk&#225;%20za&#345;&#237;zen&#237;%202025-26\&#352;a&#352;Z_grafy_2025.xlsx" TargetMode="External"/><Relationship Id="rId1" Type="http://schemas.openxmlformats.org/officeDocument/2006/relationships/themeOverride" Target="../theme/themeOverrid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9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63938970245542E-2"/>
          <c:y val="3.8698328935795952E-2"/>
          <c:w val="0.93530273669062391"/>
          <c:h val="0.721167137126727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'T3.1'!$B$3</c:f>
              <c:strCache>
                <c:ptCount val="1"/>
                <c:pt idx="0">
                  <c:v>počet žáků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'T3.1'!$A$4:$A$14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'T3.1'!$B$4:$B$14</c:f>
              <c:numCache>
                <c:formatCode>#\ ##0_ ;\-#\ ##0\ </c:formatCode>
                <c:ptCount val="11"/>
                <c:pt idx="0">
                  <c:v>427107</c:v>
                </c:pt>
                <c:pt idx="1">
                  <c:v>424849</c:v>
                </c:pt>
                <c:pt idx="2">
                  <c:v>421535</c:v>
                </c:pt>
                <c:pt idx="3">
                  <c:v>420814</c:v>
                </c:pt>
                <c:pt idx="4">
                  <c:v>423838</c:v>
                </c:pt>
                <c:pt idx="5">
                  <c:v>432906</c:v>
                </c:pt>
                <c:pt idx="6">
                  <c:v>446254</c:v>
                </c:pt>
                <c:pt idx="7">
                  <c:v>463200</c:v>
                </c:pt>
                <c:pt idx="8">
                  <c:v>484758</c:v>
                </c:pt>
                <c:pt idx="9">
                  <c:v>503189</c:v>
                </c:pt>
                <c:pt idx="10">
                  <c:v>514881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78-4EB6-8D5B-0C07FACBC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191516160"/>
        <c:axId val="160820608"/>
      </c:barChart>
      <c:lineChart>
        <c:grouping val="standard"/>
        <c:varyColors val="0"/>
        <c:ser>
          <c:idx val="1"/>
          <c:order val="1"/>
          <c:tx>
            <c:strRef>
              <c:f>'T3.1'!$C$3</c:f>
              <c:strCache>
                <c:ptCount val="1"/>
                <c:pt idx="0">
                  <c:v>podíl žáků v jiné než denní formě</c:v>
                </c:pt>
              </c:strCache>
            </c:strRef>
          </c:tx>
          <c:spPr>
            <a:ln>
              <a:solidFill>
                <a:srgbClr val="0071BC"/>
              </a:solidFill>
            </a:ln>
          </c:spPr>
          <c:marker>
            <c:symbol val="none"/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'T3.1'!$A$4:$A$14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'T3.1'!$C$4:$C$14</c:f>
              <c:numCache>
                <c:formatCode>0.0%</c:formatCode>
                <c:ptCount val="11"/>
                <c:pt idx="0">
                  <c:v>5.0282481907344058E-2</c:v>
                </c:pt>
                <c:pt idx="1">
                  <c:v>4.8869127619460093E-2</c:v>
                </c:pt>
                <c:pt idx="2">
                  <c:v>4.3927550499958487E-2</c:v>
                </c:pt>
                <c:pt idx="3">
                  <c:v>4.0058077915658699E-2</c:v>
                </c:pt>
                <c:pt idx="4">
                  <c:v>3.7160424501814372E-2</c:v>
                </c:pt>
                <c:pt idx="5">
                  <c:v>3.6044776464174672E-2</c:v>
                </c:pt>
                <c:pt idx="6">
                  <c:v>3.5939173654465841E-2</c:v>
                </c:pt>
                <c:pt idx="7">
                  <c:v>3.3255613126079449E-2</c:v>
                </c:pt>
                <c:pt idx="8">
                  <c:v>3.202010075130271E-2</c:v>
                </c:pt>
                <c:pt idx="9">
                  <c:v>3.0640574416372378E-2</c:v>
                </c:pt>
                <c:pt idx="10">
                  <c:v>2.9975858499342565E-2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78-4EB6-8D5B-0C07FACBC29B}"/>
            </c:ext>
          </c:extLst>
        </c:ser>
        <c:ser>
          <c:idx val="2"/>
          <c:order val="2"/>
          <c:tx>
            <c:strRef>
              <c:f>'T3.1'!$D$3</c:f>
              <c:strCache>
                <c:ptCount val="1"/>
                <c:pt idx="0">
                  <c:v>podíl žáků v soukromých a církevních školách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ymbol val="none"/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'T3.1'!$A$4:$A$14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'T3.1'!$D$4:$D$14</c:f>
              <c:numCache>
                <c:formatCode>0.0%</c:formatCode>
                <c:ptCount val="11"/>
                <c:pt idx="0">
                  <c:v>0.15173949385048713</c:v>
                </c:pt>
                <c:pt idx="1">
                  <c:v>0.15694988101654941</c:v>
                </c:pt>
                <c:pt idx="2">
                  <c:v>0.1607838020567687</c:v>
                </c:pt>
                <c:pt idx="3">
                  <c:v>0.16147989372977134</c:v>
                </c:pt>
                <c:pt idx="4">
                  <c:v>0.16397774621435549</c:v>
                </c:pt>
                <c:pt idx="5">
                  <c:v>0.16665742678549153</c:v>
                </c:pt>
                <c:pt idx="6">
                  <c:v>0.17127241436491325</c:v>
                </c:pt>
                <c:pt idx="7">
                  <c:v>0.17560449050086355</c:v>
                </c:pt>
                <c:pt idx="8">
                  <c:v>0.17913061775153788</c:v>
                </c:pt>
                <c:pt idx="9">
                  <c:v>0.18159975675143933</c:v>
                </c:pt>
                <c:pt idx="10">
                  <c:v>0.18424063035924806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878-4EB6-8D5B-0C07FACBC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3466880"/>
        <c:axId val="160821184"/>
      </c:lineChart>
      <c:catAx>
        <c:axId val="191516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60820608"/>
        <c:crosses val="autoZero"/>
        <c:auto val="1"/>
        <c:lblAlgn val="ctr"/>
        <c:lblOffset val="100"/>
        <c:noMultiLvlLbl val="0"/>
      </c:catAx>
      <c:valAx>
        <c:axId val="160820608"/>
        <c:scaling>
          <c:orientation val="minMax"/>
          <c:max val="650000"/>
          <c:min val="0"/>
        </c:scaling>
        <c:delete val="0"/>
        <c:axPos val="l"/>
        <c:majorGridlines>
          <c:spPr>
            <a:ln>
              <a:noFill/>
            </a:ln>
          </c:spPr>
        </c:majorGridlines>
        <c:numFmt formatCode="#\ ##0_ ;\-#\ ##0\ " sourceLinked="1"/>
        <c:majorTickMark val="out"/>
        <c:minorTickMark val="none"/>
        <c:tickLblPos val="none"/>
        <c:spPr>
          <a:ln>
            <a:noFill/>
          </a:ln>
        </c:spPr>
        <c:crossAx val="191516160"/>
        <c:crosses val="autoZero"/>
        <c:crossBetween val="between"/>
        <c:majorUnit val="50000"/>
      </c:valAx>
      <c:valAx>
        <c:axId val="160821184"/>
        <c:scaling>
          <c:orientation val="minMax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crossAx val="193466880"/>
        <c:crosses val="max"/>
        <c:crossBetween val="between"/>
      </c:valAx>
      <c:catAx>
        <c:axId val="19346688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60821184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5.4153604631196811E-2"/>
          <c:y val="0.86334005083137699"/>
          <c:w val="0.9"/>
          <c:h val="5.2227231490522788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4288978917110502"/>
          <c:y val="4.5267489711934158E-2"/>
          <c:w val="0.62333976294773452"/>
          <c:h val="0.82210702415739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'3.10'!$B$4</c:f>
              <c:strCache>
                <c:ptCount val="1"/>
                <c:pt idx="0">
                  <c:v>2025/26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'3.10'!$A$5:$A$15</c:f>
              <c:strCache>
                <c:ptCount val="11"/>
                <c:pt idx="0">
                  <c:v>pedagogika, učitelství a sociální péče</c:v>
                </c:pt>
                <c:pt idx="1">
                  <c:v>zdravotnictví</c:v>
                </c:pt>
                <c:pt idx="2">
                  <c:v>zpracování dřeva a výroba hudebních nástrojů</c:v>
                </c:pt>
                <c:pt idx="3">
                  <c:v>obchod</c:v>
                </c:pt>
                <c:pt idx="4">
                  <c:v>potravinářství a potravinářská chemie</c:v>
                </c:pt>
                <c:pt idx="5">
                  <c:v>osobní a provozní služby</c:v>
                </c:pt>
                <c:pt idx="6">
                  <c:v>stavebnictví, geodézie a kartografie</c:v>
                </c:pt>
                <c:pt idx="7">
                  <c:v>zemědělství a lesnictví</c:v>
                </c:pt>
                <c:pt idx="8">
                  <c:v>elektrotechnika, telekom. 
a výpočetní technika</c:v>
                </c:pt>
                <c:pt idx="9">
                  <c:v>gastronomie, hotelnictví a turismus</c:v>
                </c:pt>
                <c:pt idx="10">
                  <c:v>strojírenství a strojírenská výroba</c:v>
                </c:pt>
              </c:strCache>
            </c:strRef>
          </c:cat>
          <c:val>
            <c:numRef>
              <c:f>'3.10'!$B$5:$B$15</c:f>
              <c:numCache>
                <c:formatCode>0.0</c:formatCode>
                <c:ptCount val="11"/>
                <c:pt idx="0">
                  <c:v>1.1850000000000001</c:v>
                </c:pt>
                <c:pt idx="1">
                  <c:v>2.266</c:v>
                </c:pt>
                <c:pt idx="2">
                  <c:v>5.8220000000000001</c:v>
                </c:pt>
                <c:pt idx="3">
                  <c:v>6.524</c:v>
                </c:pt>
                <c:pt idx="4">
                  <c:v>8.18</c:v>
                </c:pt>
                <c:pt idx="5">
                  <c:v>8.3369999999999997</c:v>
                </c:pt>
                <c:pt idx="6">
                  <c:v>9.3190000000000008</c:v>
                </c:pt>
                <c:pt idx="7">
                  <c:v>11.939</c:v>
                </c:pt>
                <c:pt idx="8">
                  <c:v>13.336</c:v>
                </c:pt>
                <c:pt idx="9">
                  <c:v>15.156000000000001</c:v>
                </c:pt>
                <c:pt idx="10">
                  <c:v>20.024999999999999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DC-4DD1-B9C9-A37014172369}"/>
            </c:ext>
          </c:extLst>
        </c:ser>
        <c:ser>
          <c:idx val="1"/>
          <c:order val="1"/>
          <c:tx>
            <c:strRef>
              <c:f>'3.10'!$C$4</c:f>
              <c:strCache>
                <c:ptCount val="1"/>
                <c:pt idx="0">
                  <c:v>2020/21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'3.10'!$A$5:$A$15</c:f>
              <c:strCache>
                <c:ptCount val="11"/>
                <c:pt idx="0">
                  <c:v>pedagogika, učitelství a sociální péče</c:v>
                </c:pt>
                <c:pt idx="1">
                  <c:v>zdravotnictví</c:v>
                </c:pt>
                <c:pt idx="2">
                  <c:v>zpracování dřeva a výroba hudebních nástrojů</c:v>
                </c:pt>
                <c:pt idx="3">
                  <c:v>obchod</c:v>
                </c:pt>
                <c:pt idx="4">
                  <c:v>potravinářství a potravinářská chemie</c:v>
                </c:pt>
                <c:pt idx="5">
                  <c:v>osobní a provozní služby</c:v>
                </c:pt>
                <c:pt idx="6">
                  <c:v>stavebnictví, geodézie a kartografie</c:v>
                </c:pt>
                <c:pt idx="7">
                  <c:v>zemědělství a lesnictví</c:v>
                </c:pt>
                <c:pt idx="8">
                  <c:v>elektrotechnika, telekom. 
a výpočetní technika</c:v>
                </c:pt>
                <c:pt idx="9">
                  <c:v>gastronomie, hotelnictví a turismus</c:v>
                </c:pt>
                <c:pt idx="10">
                  <c:v>strojírenství a strojírenská výroba</c:v>
                </c:pt>
              </c:strCache>
            </c:strRef>
          </c:cat>
          <c:val>
            <c:numRef>
              <c:f>'3.10'!$C$5:$C$15</c:f>
              <c:numCache>
                <c:formatCode>0.0</c:formatCode>
                <c:ptCount val="11"/>
                <c:pt idx="0">
                  <c:v>0.81499999999999995</c:v>
                </c:pt>
                <c:pt idx="1">
                  <c:v>1.605</c:v>
                </c:pt>
                <c:pt idx="2">
                  <c:v>4.8869999999999996</c:v>
                </c:pt>
                <c:pt idx="3">
                  <c:v>5.3949999999999996</c:v>
                </c:pt>
                <c:pt idx="4">
                  <c:v>7.1749999999999998</c:v>
                </c:pt>
                <c:pt idx="5">
                  <c:v>7.476</c:v>
                </c:pt>
                <c:pt idx="6">
                  <c:v>7.2910000000000004</c:v>
                </c:pt>
                <c:pt idx="7">
                  <c:v>9.3729999999999993</c:v>
                </c:pt>
                <c:pt idx="8">
                  <c:v>10.718</c:v>
                </c:pt>
                <c:pt idx="9">
                  <c:v>14.035</c:v>
                </c:pt>
                <c:pt idx="10">
                  <c:v>18.526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DC-4DD1-B9C9-A370141723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250994176"/>
        <c:axId val="242103936"/>
      </c:barChart>
      <c:catAx>
        <c:axId val="2509941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242103936"/>
        <c:crosses val="autoZero"/>
        <c:auto val="1"/>
        <c:lblAlgn val="ctr"/>
        <c:lblOffset val="100"/>
        <c:noMultiLvlLbl val="0"/>
      </c:catAx>
      <c:valAx>
        <c:axId val="242103936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250994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0502628974656854"/>
          <c:y val="0.6521525550046986"/>
          <c:w val="0.13967419646314702"/>
          <c:h val="0.1621012590817452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35029046676722525"/>
          <c:y val="3.0131826741996232E-2"/>
          <c:w val="0.61350566680043728"/>
          <c:h val="0.8495490606047125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'3.11'!$B$4</c:f>
              <c:strCache>
                <c:ptCount val="1"/>
                <c:pt idx="0">
                  <c:v>2025/26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'3.11'!$A$5:$A$18</c:f>
              <c:strCache>
                <c:ptCount val="14"/>
                <c:pt idx="0">
                  <c:v>doprava a spoje</c:v>
                </c:pt>
                <c:pt idx="1">
                  <c:v>speciální a interdisciplinární obory</c:v>
                </c:pt>
                <c:pt idx="2">
                  <c:v>zemědělství a lesnictví</c:v>
                </c:pt>
                <c:pt idx="3">
                  <c:v>stavebnictví, geodézie a kartografie</c:v>
                </c:pt>
                <c:pt idx="4">
                  <c:v>umění a užité umění</c:v>
                </c:pt>
                <c:pt idx="5">
                  <c:v>strojírenství a strojírenská výroba</c:v>
                </c:pt>
                <c:pt idx="6">
                  <c:v>právo, právní a veřejnosprávní činnost</c:v>
                </c:pt>
                <c:pt idx="7">
                  <c:v>pedagogika, učitelství a soc. péče</c:v>
                </c:pt>
                <c:pt idx="8">
                  <c:v>gastronomie, hotelnictví a turismus</c:v>
                </c:pt>
                <c:pt idx="9">
                  <c:v>zdravotnictví</c:v>
                </c:pt>
                <c:pt idx="10">
                  <c:v>elektrotechnika, telekom. a výp. techn.</c:v>
                </c:pt>
                <c:pt idx="11">
                  <c:v>informatické obory</c:v>
                </c:pt>
                <c:pt idx="12">
                  <c:v>obecně odborná příprava</c:v>
                </c:pt>
                <c:pt idx="13">
                  <c:v>ekonomika a administrativa</c:v>
                </c:pt>
              </c:strCache>
            </c:strRef>
          </c:cat>
          <c:val>
            <c:numRef>
              <c:f>'3.11'!$B$5:$B$18</c:f>
              <c:numCache>
                <c:formatCode>0.0</c:formatCode>
                <c:ptCount val="14"/>
                <c:pt idx="0">
                  <c:v>5.0670000000000002</c:v>
                </c:pt>
                <c:pt idx="1">
                  <c:v>6.4580000000000002</c:v>
                </c:pt>
                <c:pt idx="2">
                  <c:v>8.5589999999999993</c:v>
                </c:pt>
                <c:pt idx="3">
                  <c:v>11.041</c:v>
                </c:pt>
                <c:pt idx="4">
                  <c:v>13.467000000000001</c:v>
                </c:pt>
                <c:pt idx="5">
                  <c:v>15.032999999999999</c:v>
                </c:pt>
                <c:pt idx="6">
                  <c:v>15.457000000000001</c:v>
                </c:pt>
                <c:pt idx="7">
                  <c:v>16.219000000000001</c:v>
                </c:pt>
                <c:pt idx="8">
                  <c:v>17.346</c:v>
                </c:pt>
                <c:pt idx="9">
                  <c:v>18.135999999999999</c:v>
                </c:pt>
                <c:pt idx="10">
                  <c:v>18.181999999999999</c:v>
                </c:pt>
                <c:pt idx="11">
                  <c:v>20.013000000000002</c:v>
                </c:pt>
                <c:pt idx="12">
                  <c:v>23.692</c:v>
                </c:pt>
                <c:pt idx="13">
                  <c:v>38.268000000000001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1-4935-82EB-5857B387966E}"/>
            </c:ext>
          </c:extLst>
        </c:ser>
        <c:ser>
          <c:idx val="1"/>
          <c:order val="1"/>
          <c:tx>
            <c:strRef>
              <c:f>'3.11'!$C$4</c:f>
              <c:strCache>
                <c:ptCount val="1"/>
                <c:pt idx="0">
                  <c:v>2020/21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'3.11'!$A$5:$A$18</c:f>
              <c:strCache>
                <c:ptCount val="14"/>
                <c:pt idx="0">
                  <c:v>doprava a spoje</c:v>
                </c:pt>
                <c:pt idx="1">
                  <c:v>speciální a interdisciplinární obory</c:v>
                </c:pt>
                <c:pt idx="2">
                  <c:v>zemědělství a lesnictví</c:v>
                </c:pt>
                <c:pt idx="3">
                  <c:v>stavebnictví, geodézie a kartografie</c:v>
                </c:pt>
                <c:pt idx="4">
                  <c:v>umění a užité umění</c:v>
                </c:pt>
                <c:pt idx="5">
                  <c:v>strojírenství a strojírenská výroba</c:v>
                </c:pt>
                <c:pt idx="6">
                  <c:v>právo, právní a veřejnosprávní činnost</c:v>
                </c:pt>
                <c:pt idx="7">
                  <c:v>pedagogika, učitelství a soc. péče</c:v>
                </c:pt>
                <c:pt idx="8">
                  <c:v>gastronomie, hotelnictví a turismus</c:v>
                </c:pt>
                <c:pt idx="9">
                  <c:v>zdravotnictví</c:v>
                </c:pt>
                <c:pt idx="10">
                  <c:v>elektrotechnika, telekom. a výp. techn.</c:v>
                </c:pt>
                <c:pt idx="11">
                  <c:v>informatické obory</c:v>
                </c:pt>
                <c:pt idx="12">
                  <c:v>obecně odborná příprava</c:v>
                </c:pt>
                <c:pt idx="13">
                  <c:v>ekonomika a administrativa</c:v>
                </c:pt>
              </c:strCache>
            </c:strRef>
          </c:cat>
          <c:val>
            <c:numRef>
              <c:f>'3.11'!$C$5:$C$18</c:f>
              <c:numCache>
                <c:formatCode>0.0</c:formatCode>
                <c:ptCount val="14"/>
                <c:pt idx="0">
                  <c:v>3.6629999999999998</c:v>
                </c:pt>
                <c:pt idx="1">
                  <c:v>4.7590000000000003</c:v>
                </c:pt>
                <c:pt idx="2">
                  <c:v>6.0540000000000003</c:v>
                </c:pt>
                <c:pt idx="3">
                  <c:v>8.3309999999999995</c:v>
                </c:pt>
                <c:pt idx="4">
                  <c:v>11.811</c:v>
                </c:pt>
                <c:pt idx="5">
                  <c:v>15.016999999999999</c:v>
                </c:pt>
                <c:pt idx="6">
                  <c:v>12.406000000000001</c:v>
                </c:pt>
                <c:pt idx="7">
                  <c:v>13.712</c:v>
                </c:pt>
                <c:pt idx="8">
                  <c:v>13.068</c:v>
                </c:pt>
                <c:pt idx="9">
                  <c:v>15.379</c:v>
                </c:pt>
                <c:pt idx="10">
                  <c:v>14.154</c:v>
                </c:pt>
                <c:pt idx="11">
                  <c:v>15.664</c:v>
                </c:pt>
                <c:pt idx="12">
                  <c:v>15.64</c:v>
                </c:pt>
                <c:pt idx="13">
                  <c:v>28.908999999999999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81-4935-82EB-5857B38796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194290176"/>
        <c:axId val="193497344"/>
      </c:barChart>
      <c:catAx>
        <c:axId val="19429017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93497344"/>
        <c:crosses val="autoZero"/>
        <c:auto val="1"/>
        <c:lblAlgn val="ctr"/>
        <c:lblOffset val="100"/>
        <c:noMultiLvlLbl val="0"/>
      </c:catAx>
      <c:valAx>
        <c:axId val="193497344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0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9429017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2668891663267363"/>
          <c:y val="0.73781129053783534"/>
          <c:w val="0.12402856236377047"/>
          <c:h val="0.10026720020653156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0615211967761983"/>
          <c:y val="4.3650793650793648E-2"/>
          <c:w val="0.53977259026367286"/>
          <c:h val="0.8498906684283512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'3.12'!$B$3</c:f>
              <c:strCache>
                <c:ptCount val="1"/>
                <c:pt idx="0">
                  <c:v>2025/26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'3.12'!$A$4:$A$16</c:f>
              <c:strCache>
                <c:ptCount val="13"/>
                <c:pt idx="0">
                  <c:v>potravinářství a potravinářská chemie</c:v>
                </c:pt>
                <c:pt idx="1">
                  <c:v>umění a užité umění</c:v>
                </c:pt>
                <c:pt idx="2">
                  <c:v>zemědělství a lesnictví</c:v>
                </c:pt>
                <c:pt idx="3">
                  <c:v>stavebnictví, geodézie a kartografie</c:v>
                </c:pt>
                <c:pt idx="4">
                  <c:v>osobní a provozní služby</c:v>
                </c:pt>
                <c:pt idx="5">
                  <c:v>pedagogika, učitelství a soc. péče</c:v>
                </c:pt>
                <c:pt idx="6">
                  <c:v>speciální a interdisciplinární obory</c:v>
                </c:pt>
                <c:pt idx="7">
                  <c:v>právo, právní a veřejnosprávní činnost</c:v>
                </c:pt>
                <c:pt idx="8">
                  <c:v>gastronomie, hotelnictví a turismus</c:v>
                </c:pt>
                <c:pt idx="9">
                  <c:v>zpracování dřeva a výroba hudebních nástrojů</c:v>
                </c:pt>
                <c:pt idx="10">
                  <c:v>elektrotechnika, telekom. a výpočetní technika</c:v>
                </c:pt>
                <c:pt idx="11">
                  <c:v>strojírenství a strojírenská výroba</c:v>
                </c:pt>
                <c:pt idx="12">
                  <c:v>podnikání v oborech, odvětví</c:v>
                </c:pt>
              </c:strCache>
            </c:strRef>
          </c:cat>
          <c:val>
            <c:numRef>
              <c:f>'3.12'!$B$4:$B$16</c:f>
              <c:numCache>
                <c:formatCode>#,##0</c:formatCode>
                <c:ptCount val="13"/>
                <c:pt idx="0">
                  <c:v>101</c:v>
                </c:pt>
                <c:pt idx="1">
                  <c:v>102</c:v>
                </c:pt>
                <c:pt idx="2">
                  <c:v>207</c:v>
                </c:pt>
                <c:pt idx="3">
                  <c:v>219</c:v>
                </c:pt>
                <c:pt idx="4">
                  <c:v>221</c:v>
                </c:pt>
                <c:pt idx="5">
                  <c:v>252</c:v>
                </c:pt>
                <c:pt idx="6">
                  <c:v>280</c:v>
                </c:pt>
                <c:pt idx="7">
                  <c:v>288</c:v>
                </c:pt>
                <c:pt idx="8">
                  <c:v>323</c:v>
                </c:pt>
                <c:pt idx="9">
                  <c:v>325</c:v>
                </c:pt>
                <c:pt idx="10">
                  <c:v>789</c:v>
                </c:pt>
                <c:pt idx="11">
                  <c:v>950</c:v>
                </c:pt>
                <c:pt idx="12">
                  <c:v>10244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09-4B07-A55B-F152665F1FAF}"/>
            </c:ext>
          </c:extLst>
        </c:ser>
        <c:ser>
          <c:idx val="1"/>
          <c:order val="1"/>
          <c:tx>
            <c:strRef>
              <c:f>'3.12'!$C$3</c:f>
              <c:strCache>
                <c:ptCount val="1"/>
                <c:pt idx="0">
                  <c:v>2020/21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'3.12'!$A$4:$A$16</c:f>
              <c:strCache>
                <c:ptCount val="13"/>
                <c:pt idx="0">
                  <c:v>potravinářství a potravinářská chemie</c:v>
                </c:pt>
                <c:pt idx="1">
                  <c:v>umění a užité umění</c:v>
                </c:pt>
                <c:pt idx="2">
                  <c:v>zemědělství a lesnictví</c:v>
                </c:pt>
                <c:pt idx="3">
                  <c:v>stavebnictví, geodézie a kartografie</c:v>
                </c:pt>
                <c:pt idx="4">
                  <c:v>osobní a provozní služby</c:v>
                </c:pt>
                <c:pt idx="5">
                  <c:v>pedagogika, učitelství a soc. péče</c:v>
                </c:pt>
                <c:pt idx="6">
                  <c:v>speciální a interdisciplinární obory</c:v>
                </c:pt>
                <c:pt idx="7">
                  <c:v>právo, právní a veřejnosprávní činnost</c:v>
                </c:pt>
                <c:pt idx="8">
                  <c:v>gastronomie, hotelnictví a turismus</c:v>
                </c:pt>
                <c:pt idx="9">
                  <c:v>zpracování dřeva a výroba hudebních nástrojů</c:v>
                </c:pt>
                <c:pt idx="10">
                  <c:v>elektrotechnika, telekom. a výpočetní technika</c:v>
                </c:pt>
                <c:pt idx="11">
                  <c:v>strojírenství a strojírenská výroba</c:v>
                </c:pt>
                <c:pt idx="12">
                  <c:v>podnikání v oborech, odvětví</c:v>
                </c:pt>
              </c:strCache>
            </c:strRef>
          </c:cat>
          <c:val>
            <c:numRef>
              <c:f>'3.12'!$C$4:$C$16</c:f>
              <c:numCache>
                <c:formatCode>#,##0</c:formatCode>
                <c:ptCount val="13"/>
                <c:pt idx="0">
                  <c:v>74</c:v>
                </c:pt>
                <c:pt idx="1">
                  <c:v>100</c:v>
                </c:pt>
                <c:pt idx="2">
                  <c:v>146</c:v>
                </c:pt>
                <c:pt idx="3">
                  <c:v>147</c:v>
                </c:pt>
                <c:pt idx="4">
                  <c:v>200</c:v>
                </c:pt>
                <c:pt idx="5">
                  <c:v>146</c:v>
                </c:pt>
                <c:pt idx="6">
                  <c:v>148</c:v>
                </c:pt>
                <c:pt idx="7">
                  <c:v>312</c:v>
                </c:pt>
                <c:pt idx="8">
                  <c:v>409</c:v>
                </c:pt>
                <c:pt idx="9">
                  <c:v>163</c:v>
                </c:pt>
                <c:pt idx="10">
                  <c:v>694</c:v>
                </c:pt>
                <c:pt idx="11">
                  <c:v>1182</c:v>
                </c:pt>
                <c:pt idx="12">
                  <c:v>9656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09-4B07-A55B-F152665F1F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axId val="251183616"/>
        <c:axId val="250888768"/>
      </c:barChart>
      <c:catAx>
        <c:axId val="25118361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0888768"/>
        <c:crosses val="autoZero"/>
        <c:auto val="1"/>
        <c:lblAlgn val="ctr"/>
        <c:lblOffset val="100"/>
        <c:noMultiLvlLbl val="0"/>
      </c:catAx>
      <c:valAx>
        <c:axId val="250888768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11836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81321003098911682"/>
          <c:y val="0.75023324914574352"/>
          <c:w val="0.13648948087096591"/>
          <c:h val="0.13599143267468924"/>
        </c:manualLayout>
      </c:layout>
      <c:overlay val="0"/>
      <c:txPr>
        <a:bodyPr/>
        <a:lstStyle/>
        <a:p>
          <a:pPr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5528105283135916E-2"/>
          <c:y val="6.4887497371433914E-2"/>
          <c:w val="0.9364083193304541"/>
          <c:h val="0.688364992951548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'3.13'!$B$3</c:f>
              <c:strCache>
                <c:ptCount val="1"/>
                <c:pt idx="0">
                  <c:v>počet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'3.13'!$A$4:$A$14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'3.13'!$B$4:$B$14</c:f>
              <c:numCache>
                <c:formatCode>#\ ##0_ ;\-#\ ##0\ </c:formatCode>
                <c:ptCount val="11"/>
                <c:pt idx="0">
                  <c:v>20046</c:v>
                </c:pt>
                <c:pt idx="1">
                  <c:v>20335</c:v>
                </c:pt>
                <c:pt idx="2">
                  <c:v>22316</c:v>
                </c:pt>
                <c:pt idx="3">
                  <c:v>22067</c:v>
                </c:pt>
                <c:pt idx="4">
                  <c:v>25052</c:v>
                </c:pt>
                <c:pt idx="5">
                  <c:v>25209</c:v>
                </c:pt>
                <c:pt idx="6">
                  <c:v>24271</c:v>
                </c:pt>
                <c:pt idx="7">
                  <c:v>26910</c:v>
                </c:pt>
                <c:pt idx="8">
                  <c:v>29762</c:v>
                </c:pt>
                <c:pt idx="9">
                  <c:v>32852</c:v>
                </c:pt>
                <c:pt idx="10">
                  <c:v>34690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0F-445D-9A73-F9BBC5489F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"/>
        <c:axId val="194352128"/>
        <c:axId val="194022208"/>
      </c:barChart>
      <c:lineChart>
        <c:grouping val="standard"/>
        <c:varyColors val="0"/>
        <c:ser>
          <c:idx val="1"/>
          <c:order val="1"/>
          <c:tx>
            <c:strRef>
              <c:f>'3.13'!$C$3</c:f>
              <c:strCache>
                <c:ptCount val="1"/>
                <c:pt idx="0">
                  <c:v>podíl ze všech žáků SŠ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'3.13'!$A$4:$A$14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'3.13'!$C$4:$C$14</c:f>
              <c:numCache>
                <c:formatCode>0.0%</c:formatCode>
                <c:ptCount val="11"/>
                <c:pt idx="0">
                  <c:v>4.6934374758549967E-2</c:v>
                </c:pt>
                <c:pt idx="1">
                  <c:v>4.7864064644144153E-2</c:v>
                </c:pt>
                <c:pt idx="2">
                  <c:v>5.2939850783446214E-2</c:v>
                </c:pt>
                <c:pt idx="3">
                  <c:v>5.2438844715242364E-2</c:v>
                </c:pt>
                <c:pt idx="4">
                  <c:v>5.9107489182187535E-2</c:v>
                </c:pt>
                <c:pt idx="5">
                  <c:v>5.8232041135950992E-2</c:v>
                </c:pt>
                <c:pt idx="6">
                  <c:v>5.4388308003961869E-2</c:v>
                </c:pt>
                <c:pt idx="7">
                  <c:v>5.809585492227979E-2</c:v>
                </c:pt>
                <c:pt idx="8">
                  <c:v>6.1395582950668166E-2</c:v>
                </c:pt>
                <c:pt idx="9">
                  <c:v>6.5287595714532715E-2</c:v>
                </c:pt>
                <c:pt idx="10">
                  <c:v>6.737479145666668E-2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0F-445D-9A73-F9BBC5489F1F}"/>
            </c:ext>
          </c:extLst>
        </c:ser>
        <c:ser>
          <c:idx val="2"/>
          <c:order val="2"/>
          <c:tx>
            <c:strRef>
              <c:f>'3.13'!$D$3</c:f>
              <c:strCache>
                <c:ptCount val="1"/>
                <c:pt idx="0">
                  <c:v>podíl v běžných třídách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>
                    <a:solidFill>
                      <a:schemeClr val="accent3"/>
                    </a:solidFill>
                  </a:defRPr>
                </a:pPr>
                <a:endParaRPr lang="cs-CZ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'3.13'!$A$4:$A$14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'3.13'!$D$4:$D$14</c:f>
              <c:numCache>
                <c:formatCode>0.0%</c:formatCode>
                <c:ptCount val="11"/>
                <c:pt idx="0">
                  <c:v>0.47415943330340216</c:v>
                </c:pt>
                <c:pt idx="1">
                  <c:v>0.51546594541431034</c:v>
                </c:pt>
                <c:pt idx="2">
                  <c:v>0.58186951066499371</c:v>
                </c:pt>
                <c:pt idx="3">
                  <c:v>0.64363076086463955</c:v>
                </c:pt>
                <c:pt idx="4">
                  <c:v>0.68082388631646173</c:v>
                </c:pt>
                <c:pt idx="5">
                  <c:v>0.68701654171129356</c:v>
                </c:pt>
                <c:pt idx="6">
                  <c:v>0.67018252235177789</c:v>
                </c:pt>
                <c:pt idx="7">
                  <c:v>0.69728725380899292</c:v>
                </c:pt>
                <c:pt idx="8">
                  <c:v>0.71510651165916272</c:v>
                </c:pt>
                <c:pt idx="9">
                  <c:v>0.72896627298185801</c:v>
                </c:pt>
                <c:pt idx="10">
                  <c:v>0.74116460074949553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50F-445D-9A73-F9BBC5489F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26188991"/>
        <c:axId val="826186079"/>
      </c:lineChart>
      <c:catAx>
        <c:axId val="1943521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94022208"/>
        <c:crosses val="autoZero"/>
        <c:auto val="1"/>
        <c:lblAlgn val="ctr"/>
        <c:lblOffset val="100"/>
        <c:noMultiLvlLbl val="0"/>
      </c:catAx>
      <c:valAx>
        <c:axId val="194022208"/>
        <c:scaling>
          <c:orientation val="minMax"/>
          <c:max val="35000"/>
        </c:scaling>
        <c:delete val="0"/>
        <c:axPos val="l"/>
        <c:majorGridlines>
          <c:spPr>
            <a:ln>
              <a:noFill/>
            </a:ln>
          </c:spPr>
        </c:majorGridlines>
        <c:numFmt formatCode="#,##0" sourceLinked="0"/>
        <c:majorTickMark val="out"/>
        <c:minorTickMark val="none"/>
        <c:tickLblPos val="none"/>
        <c:spPr>
          <a:ln>
            <a:noFill/>
          </a:ln>
        </c:spPr>
        <c:crossAx val="194352128"/>
        <c:crosses val="autoZero"/>
        <c:crossBetween val="between"/>
      </c:valAx>
      <c:valAx>
        <c:axId val="826186079"/>
        <c:scaling>
          <c:orientation val="minMax"/>
          <c:max val="1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crossAx val="826188991"/>
        <c:crosses val="max"/>
        <c:crossBetween val="between"/>
      </c:valAx>
      <c:catAx>
        <c:axId val="826188991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826186079"/>
        <c:crosses val="autoZero"/>
        <c:auto val="1"/>
        <c:lblAlgn val="ctr"/>
        <c:lblOffset val="100"/>
        <c:noMultiLvlLbl val="0"/>
      </c:catAx>
    </c:plotArea>
    <c:legend>
      <c:legendPos val="b"/>
      <c:layout>
        <c:manualLayout>
          <c:xMode val="edge"/>
          <c:yMode val="edge"/>
          <c:x val="4.3277182944724497E-2"/>
          <c:y val="0.83443881087564353"/>
          <c:w val="0.92520342364611829"/>
          <c:h val="5.873626330833275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790230249654812"/>
          <c:y val="3.1746127887860173E-2"/>
          <c:w val="0.78929664597612503"/>
          <c:h val="0.84975268936453352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A1BC"/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0071BC"/>
              </a:solidFill>
            </c:spPr>
            <c:extLst>
              <c:ext xmlns:c16="http://schemas.microsoft.com/office/drawing/2014/chart" uri="{C3380CC4-5D6E-409C-BE32-E72D297353CC}">
                <c16:uniqueId val="{00000001-0494-4732-9FA0-D8CF9BBA99F8}"/>
              </c:ext>
            </c:extLst>
          </c:dPt>
          <c:dPt>
            <c:idx val="1"/>
            <c:invertIfNegative val="0"/>
            <c:bubble3D val="0"/>
            <c:spPr>
              <a:solidFill>
                <a:srgbClr val="BC5B80"/>
              </a:solidFill>
            </c:spPr>
            <c:extLst>
              <c:ext xmlns:c16="http://schemas.microsoft.com/office/drawing/2014/chart" uri="{C3380CC4-5D6E-409C-BE32-E72D297353CC}">
                <c16:uniqueId val="{00000003-0494-4732-9FA0-D8CF9BBA99F8}"/>
              </c:ext>
            </c:extLst>
          </c:dPt>
          <c:dPt>
            <c:idx val="2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5-0494-4732-9FA0-D8CF9BBA99F8}"/>
              </c:ext>
            </c:extLst>
          </c:dPt>
          <c:dPt>
            <c:idx val="4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7-0494-4732-9FA0-D8CF9BBA99F8}"/>
              </c:ext>
            </c:extLst>
          </c:dPt>
          <c:dPt>
            <c:idx val="5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9-0494-4732-9FA0-D8CF9BBA99F8}"/>
              </c:ext>
            </c:extLst>
          </c:dPt>
          <c:dPt>
            <c:idx val="6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B-0494-4732-9FA0-D8CF9BBA99F8}"/>
              </c:ext>
            </c:extLst>
          </c:dPt>
          <c:dPt>
            <c:idx val="7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D-0494-4732-9FA0-D8CF9BBA99F8}"/>
              </c:ext>
            </c:extLst>
          </c:dPt>
          <c:dPt>
            <c:idx val="8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F-0494-4732-9FA0-D8CF9BBA99F8}"/>
              </c:ext>
            </c:extLst>
          </c:dPt>
          <c:dPt>
            <c:idx val="9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1-0494-4732-9FA0-D8CF9BBA99F8}"/>
              </c:ext>
            </c:extLst>
          </c:dPt>
          <c:dPt>
            <c:idx val="10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3-0494-4732-9FA0-D8CF9BBA99F8}"/>
              </c:ext>
            </c:extLst>
          </c:dPt>
          <c:dPt>
            <c:idx val="11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5-0494-4732-9FA0-D8CF9BBA99F8}"/>
              </c:ext>
            </c:extLst>
          </c:dPt>
          <c:dPt>
            <c:idx val="12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7-0494-4732-9FA0-D8CF9BBA99F8}"/>
              </c:ext>
            </c:extLst>
          </c:dPt>
          <c:dPt>
            <c:idx val="13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9-0494-4732-9FA0-D8CF9BBA99F8}"/>
              </c:ext>
            </c:extLst>
          </c:dPt>
          <c:dPt>
            <c:idx val="14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B-0494-4732-9FA0-D8CF9BBA99F8}"/>
              </c:ext>
            </c:extLst>
          </c:dPt>
          <c:dPt>
            <c:idx val="15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D-0494-4732-9FA0-D8CF9BBA99F8}"/>
              </c:ext>
            </c:extLst>
          </c:dPt>
          <c:dPt>
            <c:idx val="16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1F-0494-4732-9FA0-D8CF9BBA99F8}"/>
              </c:ext>
            </c:extLst>
          </c:dPt>
          <c:dPt>
            <c:idx val="17"/>
            <c:invertIfNegative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21-0494-4732-9FA0-D8CF9BBA99F8}"/>
              </c:ext>
            </c:extLst>
          </c:dPt>
          <c:dPt>
            <c:idx val="19"/>
            <c:invertIfNegative val="0"/>
            <c:bubble3D val="0"/>
            <c:spPr>
              <a:solidFill>
                <a:srgbClr val="BC091B"/>
              </a:solidFill>
            </c:spPr>
            <c:extLst>
              <c:ext xmlns:c16="http://schemas.microsoft.com/office/drawing/2014/chart" uri="{C3380CC4-5D6E-409C-BE32-E72D297353CC}">
                <c16:uniqueId val="{00000023-0494-4732-9FA0-D8CF9BBA99F8}"/>
              </c:ext>
            </c:extLst>
          </c:dPt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'3.14'!$A$3:$A$22</c:f>
              <c:strCache>
                <c:ptCount val="20"/>
                <c:pt idx="0">
                  <c:v>církevní</c:v>
                </c:pt>
                <c:pt idx="1">
                  <c:v>soukromý</c:v>
                </c:pt>
                <c:pt idx="2">
                  <c:v>veřejný</c:v>
                </c:pt>
                <c:pt idx="4">
                  <c:v>Olomoucký</c:v>
                </c:pt>
                <c:pt idx="5">
                  <c:v>Moravskoslezský</c:v>
                </c:pt>
                <c:pt idx="6">
                  <c:v>Zlínský</c:v>
                </c:pt>
                <c:pt idx="7">
                  <c:v>Vysočina</c:v>
                </c:pt>
                <c:pt idx="8">
                  <c:v>Královéhradecký</c:v>
                </c:pt>
                <c:pt idx="9">
                  <c:v>Pardubický</c:v>
                </c:pt>
                <c:pt idx="10">
                  <c:v>Jihomoravský</c:v>
                </c:pt>
                <c:pt idx="11">
                  <c:v>Jihočeský</c:v>
                </c:pt>
                <c:pt idx="12">
                  <c:v>Ústecký</c:v>
                </c:pt>
                <c:pt idx="13">
                  <c:v>Liberecký</c:v>
                </c:pt>
                <c:pt idx="14">
                  <c:v>Středočeský</c:v>
                </c:pt>
                <c:pt idx="15">
                  <c:v>Plzeňský</c:v>
                </c:pt>
                <c:pt idx="16">
                  <c:v>Karlovarský</c:v>
                </c:pt>
                <c:pt idx="17">
                  <c:v>Praha</c:v>
                </c:pt>
                <c:pt idx="19">
                  <c:v>Česko</c:v>
                </c:pt>
              </c:strCache>
            </c:strRef>
          </c:cat>
          <c:val>
            <c:numRef>
              <c:f>'3.14'!$B$3:$B$22</c:f>
              <c:numCache>
                <c:formatCode>0.0%</c:formatCode>
                <c:ptCount val="20"/>
                <c:pt idx="0">
                  <c:v>2.959028831562974E-2</c:v>
                </c:pt>
                <c:pt idx="1">
                  <c:v>6.2951807228915663E-2</c:v>
                </c:pt>
                <c:pt idx="2">
                  <c:v>4.6230732234608406E-2</c:v>
                </c:pt>
                <c:pt idx="4">
                  <c:v>2.3019441453992779E-2</c:v>
                </c:pt>
                <c:pt idx="5">
                  <c:v>2.5953917050691243E-2</c:v>
                </c:pt>
                <c:pt idx="6">
                  <c:v>2.7423354778420731E-2</c:v>
                </c:pt>
                <c:pt idx="7">
                  <c:v>3.0317310713163681E-2</c:v>
                </c:pt>
                <c:pt idx="8">
                  <c:v>3.6809145853054684E-2</c:v>
                </c:pt>
                <c:pt idx="9">
                  <c:v>3.7450472416946053E-2</c:v>
                </c:pt>
                <c:pt idx="10">
                  <c:v>4.1591710441102395E-2</c:v>
                </c:pt>
                <c:pt idx="11">
                  <c:v>4.1945120261156106E-2</c:v>
                </c:pt>
                <c:pt idx="12">
                  <c:v>4.5486776794390317E-2</c:v>
                </c:pt>
                <c:pt idx="13">
                  <c:v>4.8853234598374984E-2</c:v>
                </c:pt>
                <c:pt idx="14">
                  <c:v>5.6664959890766343E-2</c:v>
                </c:pt>
                <c:pt idx="15">
                  <c:v>6.6032495486737952E-2</c:v>
                </c:pt>
                <c:pt idx="16">
                  <c:v>8.1979260226994366E-2</c:v>
                </c:pt>
                <c:pt idx="17">
                  <c:v>8.5615112960185771E-2</c:v>
                </c:pt>
                <c:pt idx="19">
                  <c:v>4.8541313429705114E-2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0494-4732-9FA0-D8CF9BBA99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axId val="255728128"/>
        <c:axId val="250893376"/>
      </c:barChart>
      <c:catAx>
        <c:axId val="255728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0893376"/>
        <c:crosses val="autoZero"/>
        <c:auto val="1"/>
        <c:lblAlgn val="ctr"/>
        <c:lblOffset val="100"/>
        <c:noMultiLvlLbl val="0"/>
      </c:catAx>
      <c:valAx>
        <c:axId val="250893376"/>
        <c:scaling>
          <c:orientation val="minMax"/>
          <c:max val="9.0000000000000024E-2"/>
        </c:scaling>
        <c:delete val="0"/>
        <c:axPos val="b"/>
        <c:majorGridlines>
          <c:spPr>
            <a:ln>
              <a:noFill/>
            </a:ln>
          </c:spPr>
        </c:majorGridlines>
        <c:numFmt formatCode="0\ %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5572812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549749162497064"/>
          <c:y val="3.1238271966753849E-2"/>
          <c:w val="0.83537023747714023"/>
          <c:h val="0.76637517871241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'3.15'!$C$3</c:f>
              <c:strCache>
                <c:ptCount val="1"/>
                <c:pt idx="0">
                  <c:v>Slovensko</c:v>
                </c:pt>
              </c:strCache>
            </c:strRef>
          </c:tx>
          <c:spPr>
            <a:solidFill>
              <a:srgbClr val="7CA5D8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'3.15'!$C$4:$C$18</c:f>
              <c:numCache>
                <c:formatCode>0.0</c:formatCode>
                <c:ptCount val="15"/>
                <c:pt idx="0">
                  <c:v>12.219240005650516</c:v>
                </c:pt>
                <c:pt idx="1">
                  <c:v>4.3824701195219129</c:v>
                </c:pt>
                <c:pt idx="2">
                  <c:v>8.1052631578947363</c:v>
                </c:pt>
                <c:pt idx="3">
                  <c:v>11.179130156443804</c:v>
                </c:pt>
                <c:pt idx="4">
                  <c:v>5.0808314087759809</c:v>
                </c:pt>
                <c:pt idx="5">
                  <c:v>13.18607764390897</c:v>
                </c:pt>
                <c:pt idx="6">
                  <c:v>14.53287197231834</c:v>
                </c:pt>
                <c:pt idx="7">
                  <c:v>9.1968911917098435</c:v>
                </c:pt>
                <c:pt idx="8">
                  <c:v>13.423295454545455</c:v>
                </c:pt>
                <c:pt idx="9">
                  <c:v>11.987381703470032</c:v>
                </c:pt>
                <c:pt idx="10">
                  <c:v>5.5800293685756248</c:v>
                </c:pt>
                <c:pt idx="11">
                  <c:v>10.478128179043743</c:v>
                </c:pt>
                <c:pt idx="12">
                  <c:v>6.8249258160237387</c:v>
                </c:pt>
                <c:pt idx="13">
                  <c:v>11.691884456671252</c:v>
                </c:pt>
                <c:pt idx="14">
                  <c:v>22.149410222804718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A7-4A9F-9230-760F8B82C63E}"/>
            </c:ext>
          </c:extLst>
        </c:ser>
        <c:ser>
          <c:idx val="1"/>
          <c:order val="1"/>
          <c:tx>
            <c:strRef>
              <c:f>'3.15'!$D$3</c:f>
              <c:strCache>
                <c:ptCount val="1"/>
                <c:pt idx="0">
                  <c:v>Ukrajina</c:v>
                </c:pt>
              </c:strCache>
            </c:strRef>
          </c:tx>
          <c:spPr>
            <a:solidFill>
              <a:srgbClr val="E6C48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'3.15'!$D$4:$D$18</c:f>
              <c:numCache>
                <c:formatCode>0.0</c:formatCode>
                <c:ptCount val="15"/>
                <c:pt idx="0">
                  <c:v>54.315581296793333</c:v>
                </c:pt>
                <c:pt idx="1">
                  <c:v>49.800796812749006</c:v>
                </c:pt>
                <c:pt idx="2">
                  <c:v>67.473684210526315</c:v>
                </c:pt>
                <c:pt idx="3">
                  <c:v>63.089665106229745</c:v>
                </c:pt>
                <c:pt idx="4">
                  <c:v>63.337182448036955</c:v>
                </c:pt>
                <c:pt idx="5">
                  <c:v>67.302543507362785</c:v>
                </c:pt>
                <c:pt idx="6">
                  <c:v>65.484429065743939</c:v>
                </c:pt>
                <c:pt idx="7">
                  <c:v>70.984455958549219</c:v>
                </c:pt>
                <c:pt idx="8">
                  <c:v>66.05113636363636</c:v>
                </c:pt>
                <c:pt idx="9">
                  <c:v>62.670872765509991</c:v>
                </c:pt>
                <c:pt idx="10">
                  <c:v>73.568281938325995</c:v>
                </c:pt>
                <c:pt idx="11">
                  <c:v>74.36419125127162</c:v>
                </c:pt>
                <c:pt idx="12">
                  <c:v>74.975272007912949</c:v>
                </c:pt>
                <c:pt idx="13">
                  <c:v>69.876203576341126</c:v>
                </c:pt>
                <c:pt idx="14">
                  <c:v>64.35124508519003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A7-4A9F-9230-760F8B82C63E}"/>
            </c:ext>
          </c:extLst>
        </c:ser>
        <c:ser>
          <c:idx val="2"/>
          <c:order val="2"/>
          <c:tx>
            <c:strRef>
              <c:f>'3.15'!$E$3</c:f>
              <c:strCache>
                <c:ptCount val="1"/>
                <c:pt idx="0">
                  <c:v>Vietnam</c:v>
                </c:pt>
              </c:strCache>
            </c:strRef>
          </c:tx>
          <c:spPr>
            <a:solidFill>
              <a:srgbClr val="D8A7B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'3.15'!$E$4:$E$18</c:f>
              <c:numCache>
                <c:formatCode>0.0</c:formatCode>
                <c:ptCount val="15"/>
                <c:pt idx="0">
                  <c:v>9.7612657154965401</c:v>
                </c:pt>
                <c:pt idx="1">
                  <c:v>28.784860557768926</c:v>
                </c:pt>
                <c:pt idx="2">
                  <c:v>7.7894736842105265</c:v>
                </c:pt>
                <c:pt idx="3">
                  <c:v>10.302884807746169</c:v>
                </c:pt>
                <c:pt idx="4">
                  <c:v>17.321016166281755</c:v>
                </c:pt>
                <c:pt idx="5">
                  <c:v>5.5220883534136549</c:v>
                </c:pt>
                <c:pt idx="6">
                  <c:v>8.1314878892733553</c:v>
                </c:pt>
                <c:pt idx="7">
                  <c:v>8.0310880829015545</c:v>
                </c:pt>
                <c:pt idx="8">
                  <c:v>8.9488636363636367</c:v>
                </c:pt>
                <c:pt idx="9">
                  <c:v>14.511041009463725</c:v>
                </c:pt>
                <c:pt idx="10">
                  <c:v>10.79295154185022</c:v>
                </c:pt>
                <c:pt idx="11">
                  <c:v>5.4933875890132242</c:v>
                </c:pt>
                <c:pt idx="12">
                  <c:v>8.9020771513353125</c:v>
                </c:pt>
                <c:pt idx="13">
                  <c:v>9.3535075653370026</c:v>
                </c:pt>
                <c:pt idx="14">
                  <c:v>5.8977719528178243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A7-4A9F-9230-760F8B82C63E}"/>
            </c:ext>
          </c:extLst>
        </c:ser>
        <c:ser>
          <c:idx val="3"/>
          <c:order val="3"/>
          <c:tx>
            <c:strRef>
              <c:f>'3.15'!$F$3</c:f>
              <c:strCache>
                <c:ptCount val="1"/>
                <c:pt idx="0">
                  <c:v>jiné státy EU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DA7-4A9F-9230-760F8B82C63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DA7-4A9F-9230-760F8B82C63E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DA7-4A9F-9230-760F8B82C6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'3.15'!$F$4:$F$18</c:f>
              <c:numCache>
                <c:formatCode>0.0</c:formatCode>
                <c:ptCount val="15"/>
                <c:pt idx="0">
                  <c:v>6.794745020483119</c:v>
                </c:pt>
                <c:pt idx="1">
                  <c:v>4.5816733067729087</c:v>
                </c:pt>
                <c:pt idx="2">
                  <c:v>6.1052631578947363</c:v>
                </c:pt>
                <c:pt idx="3">
                  <c:v>5.013403753050854</c:v>
                </c:pt>
                <c:pt idx="4">
                  <c:v>3.2332563510392611</c:v>
                </c:pt>
                <c:pt idx="5">
                  <c:v>5.3212851405622494</c:v>
                </c:pt>
                <c:pt idx="6">
                  <c:v>4.1522491349480966</c:v>
                </c:pt>
                <c:pt idx="7">
                  <c:v>3.6269430051813467</c:v>
                </c:pt>
                <c:pt idx="8">
                  <c:v>5.46875</c:v>
                </c:pt>
                <c:pt idx="9">
                  <c:v>5.573080967402734</c:v>
                </c:pt>
                <c:pt idx="10">
                  <c:v>3.5976505139500734</c:v>
                </c:pt>
                <c:pt idx="11">
                  <c:v>2.6449643947100712</c:v>
                </c:pt>
                <c:pt idx="12">
                  <c:v>3.2640949554896146</c:v>
                </c:pt>
                <c:pt idx="13">
                  <c:v>2.7510316368638237</c:v>
                </c:pt>
                <c:pt idx="14">
                  <c:v>2.3591087811271296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A7-4A9F-9230-760F8B82C63E}"/>
            </c:ext>
          </c:extLst>
        </c:ser>
        <c:ser>
          <c:idx val="4"/>
          <c:order val="4"/>
          <c:tx>
            <c:strRef>
              <c:f>'3.15'!$G$3</c:f>
              <c:strCache>
                <c:ptCount val="1"/>
                <c:pt idx="0">
                  <c:v>jiné státy Evropy (kromě EU)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dLbl>
              <c:idx val="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18A-4FEB-B033-103580A8ACDF}"/>
                </c:ext>
              </c:extLst>
            </c:dLbl>
            <c:dLbl>
              <c:idx val="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8A-4FEB-B033-103580A8ACDF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DA7-4A9F-9230-760F8B82C63E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DA7-4A9F-9230-760F8B82C63E}"/>
                </c:ext>
              </c:extLst>
            </c:dLbl>
            <c:dLbl>
              <c:idx val="1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DA7-4A9F-9230-760F8B82C63E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DA7-4A9F-9230-760F8B82C6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'3.15'!$G$4:$G$18</c:f>
              <c:numCache>
                <c:formatCode>0.0</c:formatCode>
                <c:ptCount val="15"/>
                <c:pt idx="0">
                  <c:v>9.8460234496397785</c:v>
                </c:pt>
                <c:pt idx="1">
                  <c:v>7.6693227091633469</c:v>
                </c:pt>
                <c:pt idx="2">
                  <c:v>3.4736842105263155</c:v>
                </c:pt>
                <c:pt idx="3">
                  <c:v>5.329492257832193</c:v>
                </c:pt>
                <c:pt idx="4">
                  <c:v>4.1570438799076213</c:v>
                </c:pt>
                <c:pt idx="5">
                  <c:v>4.6854082998661308</c:v>
                </c:pt>
                <c:pt idx="6">
                  <c:v>3.2871972318339098</c:v>
                </c:pt>
                <c:pt idx="7">
                  <c:v>2.2020725388601035</c:v>
                </c:pt>
                <c:pt idx="8">
                  <c:v>1.8465909090909092</c:v>
                </c:pt>
                <c:pt idx="9">
                  <c:v>2.786540483701367</c:v>
                </c:pt>
                <c:pt idx="10">
                  <c:v>2.8634361233480177</c:v>
                </c:pt>
                <c:pt idx="11">
                  <c:v>1.9328585961342828</c:v>
                </c:pt>
                <c:pt idx="12">
                  <c:v>3.6597428288822944</c:v>
                </c:pt>
                <c:pt idx="13">
                  <c:v>4.1265474552957357</c:v>
                </c:pt>
                <c:pt idx="14">
                  <c:v>2.0969855832241153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A7-4A9F-9230-760F8B82C63E}"/>
            </c:ext>
          </c:extLst>
        </c:ser>
        <c:ser>
          <c:idx val="5"/>
          <c:order val="5"/>
          <c:tx>
            <c:strRef>
              <c:f>'3.15'!$H$3</c:f>
              <c:strCache>
                <c:ptCount val="1"/>
                <c:pt idx="0">
                  <c:v>jiné (mimoevrospké a nezjištěné)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DA7-4A9F-9230-760F8B82C63E}"/>
                </c:ext>
              </c:extLst>
            </c:dLbl>
            <c:dLbl>
              <c:idx val="1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DA7-4A9F-9230-760F8B82C6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'3.15'!$B$4:$B$18</c:f>
              <c:strCache>
                <c:ptCount val="15"/>
                <c:pt idx="0">
                  <c:v>Praha</c:v>
                </c:pt>
                <c:pt idx="1">
                  <c:v>Karlovarský</c:v>
                </c:pt>
                <c:pt idx="2">
                  <c:v>Liberecký</c:v>
                </c:pt>
                <c:pt idx="3">
                  <c:v>Česko</c:v>
                </c:pt>
                <c:pt idx="4">
                  <c:v>Ústecký</c:v>
                </c:pt>
                <c:pt idx="5">
                  <c:v>Středočeský</c:v>
                </c:pt>
                <c:pt idx="6">
                  <c:v>Jihomoravský</c:v>
                </c:pt>
                <c:pt idx="7">
                  <c:v>Vysočina</c:v>
                </c:pt>
                <c:pt idx="8">
                  <c:v>Moravskoslezský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Pardubický</c:v>
                </c:pt>
                <c:pt idx="12">
                  <c:v>Královéhradecký</c:v>
                </c:pt>
                <c:pt idx="13">
                  <c:v>Olomoucký</c:v>
                </c:pt>
                <c:pt idx="14">
                  <c:v>Zlínský</c:v>
                </c:pt>
              </c:strCache>
            </c:strRef>
          </c:cat>
          <c:val>
            <c:numRef>
              <c:f>'3.15'!$H$4:$H$18</c:f>
              <c:numCache>
                <c:formatCode>0.0</c:formatCode>
                <c:ptCount val="15"/>
                <c:pt idx="0">
                  <c:v>7.0631445119367147</c:v>
                </c:pt>
                <c:pt idx="1">
                  <c:v>4.7808764940239046</c:v>
                </c:pt>
                <c:pt idx="2">
                  <c:v>7.052631578947369</c:v>
                </c:pt>
                <c:pt idx="3">
                  <c:v>5.0854239186972352</c:v>
                </c:pt>
                <c:pt idx="4">
                  <c:v>6.8706697459584296</c:v>
                </c:pt>
                <c:pt idx="5">
                  <c:v>3.9825970548862117</c:v>
                </c:pt>
                <c:pt idx="6">
                  <c:v>4.4117647058823533</c:v>
                </c:pt>
                <c:pt idx="7">
                  <c:v>5.9585492227979273</c:v>
                </c:pt>
                <c:pt idx="8">
                  <c:v>4.2613636363636358</c:v>
                </c:pt>
                <c:pt idx="9">
                  <c:v>2.4710830704521554</c:v>
                </c:pt>
                <c:pt idx="10">
                  <c:v>3.5976505139500734</c:v>
                </c:pt>
                <c:pt idx="11">
                  <c:v>5.0864699898270604</c:v>
                </c:pt>
                <c:pt idx="12">
                  <c:v>2.3738872403560833</c:v>
                </c:pt>
                <c:pt idx="13">
                  <c:v>2.200825309491059</c:v>
                </c:pt>
                <c:pt idx="14">
                  <c:v>3.1454783748361725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DA7-4A9F-9230-760F8B82C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"/>
        <c:overlap val="100"/>
        <c:axId val="203939840"/>
        <c:axId val="203621504"/>
      </c:barChart>
      <c:catAx>
        <c:axId val="2039398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03621504"/>
        <c:crosses val="autoZero"/>
        <c:auto val="1"/>
        <c:lblAlgn val="ctr"/>
        <c:lblOffset val="100"/>
        <c:noMultiLvlLbl val="0"/>
      </c:catAx>
      <c:valAx>
        <c:axId val="2036215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2039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370273854365434"/>
          <c:y val="0.85356016473550567"/>
          <c:w val="0.84899780744542586"/>
          <c:h val="8.750234258100915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3879992550787718E-2"/>
          <c:y val="3.9033309164478801E-2"/>
          <c:w val="0.91818075451411951"/>
          <c:h val="0.849967769518223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'3.16'!$B$4</c:f>
              <c:strCache>
                <c:ptCount val="1"/>
                <c:pt idx="0">
                  <c:v>Ukrajiny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numFmt formatCode="0.0\ %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'3.16'!$B$5:$B$15</c:f>
              <c:numCache>
                <c:formatCode>0.0%</c:formatCode>
                <c:ptCount val="11"/>
                <c:pt idx="0">
                  <c:v>5.3874087757868633E-3</c:v>
                </c:pt>
                <c:pt idx="1">
                  <c:v>6.1104062855273289E-3</c:v>
                </c:pt>
                <c:pt idx="2">
                  <c:v>6.4265126264722973E-3</c:v>
                </c:pt>
                <c:pt idx="3">
                  <c:v>6.6418892907555357E-3</c:v>
                </c:pt>
                <c:pt idx="4">
                  <c:v>6.8634714206843184E-3</c:v>
                </c:pt>
                <c:pt idx="5">
                  <c:v>6.9183610298771559E-3</c:v>
                </c:pt>
                <c:pt idx="6">
                  <c:v>6.9736069592653514E-3</c:v>
                </c:pt>
                <c:pt idx="7">
                  <c:v>1.5246113989637307E-2</c:v>
                </c:pt>
                <c:pt idx="8">
                  <c:v>1.9892399919134909E-2</c:v>
                </c:pt>
                <c:pt idx="9">
                  <c:v>2.548744110065999E-2</c:v>
                </c:pt>
                <c:pt idx="10">
                  <c:v>3.0624552080966282E-2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51-471B-8FDD-BF62AAE28CE4}"/>
            </c:ext>
          </c:extLst>
        </c:ser>
        <c:ser>
          <c:idx val="1"/>
          <c:order val="1"/>
          <c:tx>
            <c:strRef>
              <c:f>'3.16'!$C$4</c:f>
              <c:strCache>
                <c:ptCount val="1"/>
                <c:pt idx="0">
                  <c:v>Slovensko</c:v>
                </c:pt>
              </c:strCache>
            </c:strRef>
          </c:tx>
          <c:spPr>
            <a:solidFill>
              <a:srgbClr val="7CA5D8"/>
            </a:solidFill>
          </c:spPr>
          <c:invertIfNegative val="0"/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'3.16'!$C$5:$C$15</c:f>
              <c:numCache>
                <c:formatCode>0.0%</c:formatCode>
                <c:ptCount val="11"/>
                <c:pt idx="0">
                  <c:v>3.9849499071661198E-3</c:v>
                </c:pt>
                <c:pt idx="1">
                  <c:v>4.1779549910674141E-3</c:v>
                </c:pt>
                <c:pt idx="2">
                  <c:v>4.3839776056555212E-3</c:v>
                </c:pt>
                <c:pt idx="3">
                  <c:v>4.3368329000461016E-3</c:v>
                </c:pt>
                <c:pt idx="4">
                  <c:v>4.2610620095413811E-3</c:v>
                </c:pt>
                <c:pt idx="5">
                  <c:v>4.3358142414288555E-3</c:v>
                </c:pt>
                <c:pt idx="6">
                  <c:v>4.4884751733317799E-3</c:v>
                </c:pt>
                <c:pt idx="7">
                  <c:v>4.4516407599309157E-3</c:v>
                </c:pt>
                <c:pt idx="8">
                  <c:v>4.6373654483267942E-3</c:v>
                </c:pt>
                <c:pt idx="9">
                  <c:v>5.0259445258143557E-3</c:v>
                </c:pt>
                <c:pt idx="10">
                  <c:v>5.426496607954071E-3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51-471B-8FDD-BF62AAE28CE4}"/>
            </c:ext>
          </c:extLst>
        </c:ser>
        <c:ser>
          <c:idx val="2"/>
          <c:order val="2"/>
          <c:tx>
            <c:strRef>
              <c:f>'3.16'!$D$4</c:f>
              <c:strCache>
                <c:ptCount val="1"/>
                <c:pt idx="0">
                  <c:v>Vietnamu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'3.16'!$D$5:$D$15</c:f>
              <c:numCache>
                <c:formatCode>0.0%</c:formatCode>
                <c:ptCount val="11"/>
                <c:pt idx="0">
                  <c:v>4.212059273203202E-3</c:v>
                </c:pt>
                <c:pt idx="1">
                  <c:v>4.0767425602978944E-3</c:v>
                </c:pt>
                <c:pt idx="2">
                  <c:v>3.9806896224512797E-3</c:v>
                </c:pt>
                <c:pt idx="3">
                  <c:v>3.9518647193296803E-3</c:v>
                </c:pt>
                <c:pt idx="4">
                  <c:v>3.9873725338454786E-3</c:v>
                </c:pt>
                <c:pt idx="5">
                  <c:v>4.0239682517682826E-3</c:v>
                </c:pt>
                <c:pt idx="6">
                  <c:v>4.1142488358647767E-3</c:v>
                </c:pt>
                <c:pt idx="7">
                  <c:v>4.0846286701208979E-3</c:v>
                </c:pt>
                <c:pt idx="8">
                  <c:v>4.3341213553979513E-3</c:v>
                </c:pt>
                <c:pt idx="9">
                  <c:v>4.6622640796996758E-3</c:v>
                </c:pt>
                <c:pt idx="10">
                  <c:v>5.0011556068295391E-3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51-471B-8FDD-BF62AAE28CE4}"/>
            </c:ext>
          </c:extLst>
        </c:ser>
        <c:ser>
          <c:idx val="3"/>
          <c:order val="3"/>
          <c:tx>
            <c:strRef>
              <c:f>'3.16'!$E$4</c:f>
              <c:strCache>
                <c:ptCount val="1"/>
                <c:pt idx="0">
                  <c:v>Ruska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'3.16'!$E$5:$E$15</c:f>
              <c:numCache>
                <c:formatCode>0.0%</c:formatCode>
                <c:ptCount val="11"/>
                <c:pt idx="0">
                  <c:v>2.378795009213148E-3</c:v>
                </c:pt>
                <c:pt idx="1">
                  <c:v>2.3984992314916593E-3</c:v>
                </c:pt>
                <c:pt idx="2">
                  <c:v>2.4173556169713073E-3</c:v>
                </c:pt>
                <c:pt idx="3">
                  <c:v>2.4452608515876371E-3</c:v>
                </c:pt>
                <c:pt idx="4">
                  <c:v>2.4985961617410425E-3</c:v>
                </c:pt>
                <c:pt idx="5">
                  <c:v>2.4554984222902895E-3</c:v>
                </c:pt>
                <c:pt idx="6">
                  <c:v>2.1691682315452634E-3</c:v>
                </c:pt>
                <c:pt idx="7">
                  <c:v>1.7962003454231434E-3</c:v>
                </c:pt>
                <c:pt idx="8">
                  <c:v>1.5347864295174086E-3</c:v>
                </c:pt>
                <c:pt idx="9">
                  <c:v>1.4447851602479387E-3</c:v>
                </c:pt>
                <c:pt idx="10">
                  <c:v>1.4741270312946099E-3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51-471B-8FDD-BF62AAE28CE4}"/>
            </c:ext>
          </c:extLst>
        </c:ser>
        <c:ser>
          <c:idx val="4"/>
          <c:order val="4"/>
          <c:tx>
            <c:strRef>
              <c:f>'3.16'!$F$4</c:f>
              <c:strCache>
                <c:ptCount val="1"/>
                <c:pt idx="0">
                  <c:v>ostatní</c:v>
                </c:pt>
              </c:strCache>
            </c:strRef>
          </c:tx>
          <c:spPr>
            <a:solidFill>
              <a:srgbClr val="B8BBC0"/>
            </a:solidFill>
          </c:spPr>
          <c:invertIfNegative val="0"/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'3.16'!$F$5:$F$15</c:f>
              <c:numCache>
                <c:formatCode>0.0%</c:formatCode>
                <c:ptCount val="11"/>
                <c:pt idx="0">
                  <c:v>4.5538939890940678E-3</c:v>
                </c:pt>
                <c:pt idx="1">
                  <c:v>4.5686820493869591E-3</c:v>
                </c:pt>
                <c:pt idx="2">
                  <c:v>4.6045998552907827E-3</c:v>
                </c:pt>
                <c:pt idx="3">
                  <c:v>4.7360591615297973E-3</c:v>
                </c:pt>
                <c:pt idx="4">
                  <c:v>4.7942846087420197E-3</c:v>
                </c:pt>
                <c:pt idx="5">
                  <c:v>4.7908783893039139E-3</c:v>
                </c:pt>
                <c:pt idx="6">
                  <c:v>4.7820299649975126E-3</c:v>
                </c:pt>
                <c:pt idx="7">
                  <c:v>4.9222797927461143E-3</c:v>
                </c:pt>
                <c:pt idx="8">
                  <c:v>5.0499424455088928E-3</c:v>
                </c:pt>
                <c:pt idx="9">
                  <c:v>5.5645095580388283E-3</c:v>
                </c:pt>
                <c:pt idx="10">
                  <c:v>6.0149821026606147E-3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51-471B-8FDD-BF62AAE28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255834112"/>
        <c:axId val="256123456"/>
      </c:barChart>
      <c:scatterChart>
        <c:scatterStyle val="lineMarker"/>
        <c:varyColors val="0"/>
        <c:ser>
          <c:idx val="5"/>
          <c:order val="5"/>
          <c:tx>
            <c:strRef>
              <c:f>'3.16'!$G$4</c:f>
              <c:strCache>
                <c:ptCount val="1"/>
                <c:pt idx="0">
                  <c:v>celkem</c:v>
                </c:pt>
              </c:strCache>
            </c:strRef>
          </c:tx>
          <c:spPr>
            <a:ln w="28575">
              <a:noFill/>
            </a:ln>
          </c:spPr>
          <c:marker>
            <c:spPr>
              <a:solidFill>
                <a:sysClr val="windowText" lastClr="000000"/>
              </a:solidFill>
              <a:ln>
                <a:noFill/>
              </a:ln>
            </c:spPr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strRef>
              <c:f>'3.16'!$A$5:$A$15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xVal>
          <c:yVal>
            <c:numRef>
              <c:f>'3.16'!$G$5:$G$15</c:f>
              <c:numCache>
                <c:formatCode>0.0%</c:formatCode>
                <c:ptCount val="11"/>
                <c:pt idx="0">
                  <c:v>2.0517106954463401E-2</c:v>
                </c:pt>
                <c:pt idx="1">
                  <c:v>2.1332285117771254E-2</c:v>
                </c:pt>
                <c:pt idx="2">
                  <c:v>2.1813135326841187E-2</c:v>
                </c:pt>
                <c:pt idx="3">
                  <c:v>2.2111906923248752E-2</c:v>
                </c:pt>
                <c:pt idx="4">
                  <c:v>2.240478673455424E-2</c:v>
                </c:pt>
                <c:pt idx="5">
                  <c:v>2.2524520334668497E-2</c:v>
                </c:pt>
                <c:pt idx="6">
                  <c:v>2.2527529165004685E-2</c:v>
                </c:pt>
                <c:pt idx="7">
                  <c:v>3.0500863557858377E-2</c:v>
                </c:pt>
                <c:pt idx="8">
                  <c:v>3.5448615597885959E-2</c:v>
                </c:pt>
                <c:pt idx="9">
                  <c:v>4.2184944424460788E-2</c:v>
                </c:pt>
                <c:pt idx="10">
                  <c:v>4.8541313429705114E-2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9251-471B-8FDD-BF62AAE28C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5834112"/>
        <c:axId val="256123456"/>
      </c:scatterChart>
      <c:catAx>
        <c:axId val="255834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256123456"/>
        <c:crosses val="autoZero"/>
        <c:auto val="1"/>
        <c:lblAlgn val="ctr"/>
        <c:lblOffset val="100"/>
        <c:noMultiLvlLbl val="0"/>
      </c:catAx>
      <c:valAx>
        <c:axId val="256123456"/>
        <c:scaling>
          <c:orientation val="minMax"/>
          <c:max val="5.000000000000001E-2"/>
        </c:scaling>
        <c:delete val="0"/>
        <c:axPos val="l"/>
        <c:majorGridlines>
          <c:spPr>
            <a:ln>
              <a:noFill/>
            </a:ln>
          </c:spPr>
        </c:majorGridlines>
        <c:numFmt formatCode="0.0\ %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25583411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8467663268590703E-2"/>
          <c:y val="5.2495032048887627E-2"/>
          <c:w val="0.68036414259174238"/>
          <c:h val="5.6340002091768891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5.1310727041509886E-2"/>
          <c:y val="5.0925925925925923E-2"/>
          <c:w val="0.91813358204054951"/>
          <c:h val="0.7719367891513558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1"/>
            <c:invertIfNegative val="0"/>
            <c:bubble3D val="0"/>
            <c:spPr>
              <a:solidFill>
                <a:srgbClr val="E6C48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FDF9-499E-B612-22EC9F4D1AE7}"/>
              </c:ext>
            </c:extLst>
          </c:dPt>
          <c:dPt>
            <c:idx val="12"/>
            <c:invertIfNegative val="0"/>
            <c:bubble3D val="0"/>
            <c:spPr>
              <a:solidFill>
                <a:srgbClr val="E6C48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FDF9-499E-B612-22EC9F4D1AE7}"/>
              </c:ext>
            </c:extLst>
          </c:dPt>
          <c:dPt>
            <c:idx val="13"/>
            <c:invertIfNegative val="0"/>
            <c:bubble3D val="0"/>
            <c:spPr>
              <a:solidFill>
                <a:srgbClr val="E6C48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FDF9-499E-B612-22EC9F4D1AE7}"/>
              </c:ext>
            </c:extLst>
          </c:dPt>
          <c:dPt>
            <c:idx val="14"/>
            <c:invertIfNegative val="0"/>
            <c:bubble3D val="0"/>
            <c:spPr>
              <a:solidFill>
                <a:srgbClr val="E6C48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FDF9-499E-B612-22EC9F4D1AE7}"/>
              </c:ext>
            </c:extLst>
          </c:dPt>
          <c:dPt>
            <c:idx val="15"/>
            <c:invertIfNegative val="0"/>
            <c:bubble3D val="0"/>
            <c:spPr>
              <a:solidFill>
                <a:srgbClr val="E6C483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FDF9-499E-B612-22EC9F4D1A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'T3.2_SŠ_populace'!$A$16:$A$31</c:f>
              <c:numCache>
                <c:formatCode>General</c:formatCode>
                <c:ptCount val="1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  <c:pt idx="11">
                  <c:v>2026</c:v>
                </c:pt>
                <c:pt idx="12">
                  <c:v>2027</c:v>
                </c:pt>
                <c:pt idx="13">
                  <c:v>2028</c:v>
                </c:pt>
                <c:pt idx="14">
                  <c:v>2029</c:v>
                </c:pt>
                <c:pt idx="15">
                  <c:v>2030</c:v>
                </c:pt>
              </c:numCache>
            </c:numRef>
          </c:cat>
          <c:val>
            <c:numRef>
              <c:f>'T3.2_SŠ_populace'!$B$16:$B$31</c:f>
              <c:numCache>
                <c:formatCode>0.0</c:formatCode>
                <c:ptCount val="16"/>
                <c:pt idx="0">
                  <c:v>364.45400000000001</c:v>
                </c:pt>
                <c:pt idx="1">
                  <c:v>365.12799999999999</c:v>
                </c:pt>
                <c:pt idx="2">
                  <c:v>367.30099999999999</c:v>
                </c:pt>
                <c:pt idx="3">
                  <c:v>372.20600000000002</c:v>
                </c:pt>
                <c:pt idx="4">
                  <c:v>379.32400000000001</c:v>
                </c:pt>
                <c:pt idx="5">
                  <c:v>389.29700000000003</c:v>
                </c:pt>
                <c:pt idx="6">
                  <c:v>399.02</c:v>
                </c:pt>
                <c:pt idx="7">
                  <c:v>434.76</c:v>
                </c:pt>
                <c:pt idx="8">
                  <c:v>468.43400000000003</c:v>
                </c:pt>
                <c:pt idx="9">
                  <c:v>491.24099999999999</c:v>
                </c:pt>
                <c:pt idx="10">
                  <c:v>507.08</c:v>
                </c:pt>
                <c:pt idx="11">
                  <c:v>500.38499999999999</c:v>
                </c:pt>
                <c:pt idx="12">
                  <c:v>487.47</c:v>
                </c:pt>
                <c:pt idx="13">
                  <c:v>475.88600000000002</c:v>
                </c:pt>
                <c:pt idx="14">
                  <c:v>467.04</c:v>
                </c:pt>
                <c:pt idx="15">
                  <c:v>464.46199999999999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DF9-499E-B612-22EC9F4D1A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"/>
        <c:overlap val="-27"/>
        <c:axId val="150467647"/>
        <c:axId val="150465983"/>
      </c:barChart>
      <c:catAx>
        <c:axId val="150467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50465983"/>
        <c:crosses val="autoZero"/>
        <c:auto val="1"/>
        <c:lblAlgn val="ctr"/>
        <c:lblOffset val="100"/>
        <c:noMultiLvlLbl val="0"/>
      </c:catAx>
      <c:valAx>
        <c:axId val="1504659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/>
                  <a:t>tis.</a:t>
                </a:r>
              </a:p>
            </c:rich>
          </c:tx>
          <c:layout>
            <c:manualLayout>
              <c:xMode val="edge"/>
              <c:yMode val="edge"/>
              <c:x val="5.5555555555555558E-3"/>
              <c:y val="0.38551691455234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0" sourceLinked="0"/>
        <c:majorTickMark val="none"/>
        <c:minorTickMark val="none"/>
        <c:tickLblPos val="none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5046764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1.2315093105475381E-2"/>
          <c:y val="2.4670410822303125E-2"/>
          <c:w val="0.96955479934093414"/>
          <c:h val="0.616740802136575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'3.3'!$C$3</c:f>
              <c:strCache>
                <c:ptCount val="1"/>
                <c:pt idx="0">
                  <c:v>počet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800">
                    <a:solidFill>
                      <a:schemeClr val="bg1"/>
                    </a:solidFill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'3.3'!$B$4:$B$17</c:f>
              <c:strCache>
                <c:ptCount val="14"/>
                <c:pt idx="0">
                  <c:v>Praha</c:v>
                </c:pt>
                <c:pt idx="1">
                  <c:v>Jihomoravský</c:v>
                </c:pt>
                <c:pt idx="2">
                  <c:v>Moravskoslezský</c:v>
                </c:pt>
                <c:pt idx="3">
                  <c:v>Středočeský</c:v>
                </c:pt>
                <c:pt idx="4">
                  <c:v>Ústecký</c:v>
                </c:pt>
                <c:pt idx="5">
                  <c:v>Jihočeský</c:v>
                </c:pt>
                <c:pt idx="6">
                  <c:v>Olomoucký</c:v>
                </c:pt>
                <c:pt idx="7">
                  <c:v>Plzeňský</c:v>
                </c:pt>
                <c:pt idx="8">
                  <c:v>Zlínský</c:v>
                </c:pt>
                <c:pt idx="9">
                  <c:v>Královéhradecký</c:v>
                </c:pt>
                <c:pt idx="10">
                  <c:v>Pardubický</c:v>
                </c:pt>
                <c:pt idx="11">
                  <c:v>Vysočina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cat>
          <c:val>
            <c:numRef>
              <c:f>'3.3'!$C$4:$C$17</c:f>
              <c:numCache>
                <c:formatCode>#\ ##0_ ;\-#\ ##0\ </c:formatCode>
                <c:ptCount val="14"/>
                <c:pt idx="0">
                  <c:v>82684</c:v>
                </c:pt>
                <c:pt idx="1">
                  <c:v>55588</c:v>
                </c:pt>
                <c:pt idx="2">
                  <c:v>54250</c:v>
                </c:pt>
                <c:pt idx="3">
                  <c:v>52731</c:v>
                </c:pt>
                <c:pt idx="4">
                  <c:v>38077</c:v>
                </c:pt>
                <c:pt idx="5">
                  <c:v>32471</c:v>
                </c:pt>
                <c:pt idx="6">
                  <c:v>31582</c:v>
                </c:pt>
                <c:pt idx="7">
                  <c:v>28804</c:v>
                </c:pt>
                <c:pt idx="8">
                  <c:v>27823</c:v>
                </c:pt>
                <c:pt idx="9">
                  <c:v>27466</c:v>
                </c:pt>
                <c:pt idx="10">
                  <c:v>26248</c:v>
                </c:pt>
                <c:pt idx="11">
                  <c:v>25464</c:v>
                </c:pt>
                <c:pt idx="12">
                  <c:v>19446</c:v>
                </c:pt>
                <c:pt idx="13">
                  <c:v>12247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2C-4137-91C3-440A8E616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"/>
        <c:axId val="233277440"/>
        <c:axId val="160822912"/>
      </c:barChart>
      <c:scatterChart>
        <c:scatterStyle val="lineMarker"/>
        <c:varyColors val="0"/>
        <c:ser>
          <c:idx val="1"/>
          <c:order val="1"/>
          <c:tx>
            <c:strRef>
              <c:f>'3.3'!$D$3</c:f>
              <c:strCache>
                <c:ptCount val="1"/>
                <c:pt idx="0">
                  <c:v>podíl z celkového počtu žáků středních škol v ČR</c:v>
                </c:pt>
              </c:strCache>
            </c:strRef>
          </c:tx>
          <c:spPr>
            <a:ln w="19050">
              <a:noFill/>
            </a:ln>
          </c:spPr>
          <c:marker>
            <c:spPr>
              <a:solidFill>
                <a:srgbClr val="BC5B80"/>
              </a:solidFill>
              <a:ln>
                <a:noFill/>
              </a:ln>
            </c:spPr>
          </c:marker>
          <c:dLbls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xVal>
            <c:strRef>
              <c:f>'3.3'!$B$4:$B$17</c:f>
              <c:strCache>
                <c:ptCount val="14"/>
                <c:pt idx="0">
                  <c:v>Praha</c:v>
                </c:pt>
                <c:pt idx="1">
                  <c:v>Jihomoravský</c:v>
                </c:pt>
                <c:pt idx="2">
                  <c:v>Moravskoslezský</c:v>
                </c:pt>
                <c:pt idx="3">
                  <c:v>Středočeský</c:v>
                </c:pt>
                <c:pt idx="4">
                  <c:v>Ústecký</c:v>
                </c:pt>
                <c:pt idx="5">
                  <c:v>Jihočeský</c:v>
                </c:pt>
                <c:pt idx="6">
                  <c:v>Olomoucký</c:v>
                </c:pt>
                <c:pt idx="7">
                  <c:v>Plzeňský</c:v>
                </c:pt>
                <c:pt idx="8">
                  <c:v>Zlínský</c:v>
                </c:pt>
                <c:pt idx="9">
                  <c:v>Královéhradecký</c:v>
                </c:pt>
                <c:pt idx="10">
                  <c:v>Pardubický</c:v>
                </c:pt>
                <c:pt idx="11">
                  <c:v>Vysočina</c:v>
                </c:pt>
                <c:pt idx="12">
                  <c:v>Liberecký</c:v>
                </c:pt>
                <c:pt idx="13">
                  <c:v>Karlovarský</c:v>
                </c:pt>
              </c:strCache>
            </c:strRef>
          </c:xVal>
          <c:yVal>
            <c:numRef>
              <c:f>'3.3'!$D$4:$D$17</c:f>
              <c:numCache>
                <c:formatCode>0.0%</c:formatCode>
                <c:ptCount val="14"/>
                <c:pt idx="0">
                  <c:v>0.16058856318256062</c:v>
                </c:pt>
                <c:pt idx="1">
                  <c:v>0.1079628108242487</c:v>
                </c:pt>
                <c:pt idx="2">
                  <c:v>0.10536415210504951</c:v>
                </c:pt>
                <c:pt idx="3">
                  <c:v>0.10241395584610813</c:v>
                </c:pt>
                <c:pt idx="4">
                  <c:v>7.3953010501455682E-2</c:v>
                </c:pt>
                <c:pt idx="5">
                  <c:v>6.3065057751208534E-2</c:v>
                </c:pt>
                <c:pt idx="6">
                  <c:v>6.1338445194132236E-2</c:v>
                </c:pt>
                <c:pt idx="7">
                  <c:v>5.5943023727812832E-2</c:v>
                </c:pt>
                <c:pt idx="8">
                  <c:v>5.4037729106337196E-2</c:v>
                </c:pt>
                <c:pt idx="9">
                  <c:v>5.3344365008613642E-2</c:v>
                </c:pt>
                <c:pt idx="10">
                  <c:v>5.0978769851674467E-2</c:v>
                </c:pt>
                <c:pt idx="11">
                  <c:v>4.9456087911575686E-2</c:v>
                </c:pt>
                <c:pt idx="12">
                  <c:v>3.7767950264235815E-2</c:v>
                </c:pt>
                <c:pt idx="13">
                  <c:v>2.3786078724986937E-2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52C-4137-91C3-440A8E616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38685167"/>
        <c:axId val="638689327"/>
      </c:scatterChart>
      <c:catAx>
        <c:axId val="233277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txPr>
          <a:bodyPr rot="-5400000" vert="horz"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160822912"/>
        <c:crosses val="autoZero"/>
        <c:auto val="1"/>
        <c:lblAlgn val="ctr"/>
        <c:lblOffset val="100"/>
        <c:noMultiLvlLbl val="0"/>
      </c:catAx>
      <c:valAx>
        <c:axId val="160822912"/>
        <c:scaling>
          <c:orientation val="minMax"/>
          <c:max val="90000"/>
          <c:min val="0"/>
        </c:scaling>
        <c:delete val="0"/>
        <c:axPos val="l"/>
        <c:numFmt formatCode="#,##0" sourceLinked="0"/>
        <c:majorTickMark val="out"/>
        <c:minorTickMark val="none"/>
        <c:tickLblPos val="none"/>
        <c:spPr>
          <a:solidFill>
            <a:schemeClr val="bg1"/>
          </a:solidFill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233277440"/>
        <c:crosses val="autoZero"/>
        <c:crossBetween val="between"/>
      </c:valAx>
      <c:valAx>
        <c:axId val="638689327"/>
        <c:scaling>
          <c:orientation val="minMax"/>
          <c:max val="0.18000000000000002"/>
        </c:scaling>
        <c:delete val="0"/>
        <c:axPos val="r"/>
        <c:numFmt formatCode="0\ %" sourceLinked="0"/>
        <c:majorTickMark val="out"/>
        <c:minorTickMark val="none"/>
        <c:tickLblPos val="none"/>
        <c:spPr>
          <a:ln>
            <a:noFill/>
          </a:ln>
        </c:spPr>
        <c:txPr>
          <a:bodyPr/>
          <a:lstStyle/>
          <a:p>
            <a:pPr>
              <a:defRPr sz="8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  <c:crossAx val="638685167"/>
        <c:crosses val="max"/>
        <c:crossBetween val="midCat"/>
      </c:valAx>
      <c:valAx>
        <c:axId val="638685167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638689327"/>
        <c:crosses val="autoZero"/>
        <c:crossBetween val="midCat"/>
      </c:valAx>
    </c:plotArea>
    <c:legend>
      <c:legendPos val="t"/>
      <c:legendEntry>
        <c:idx val="0"/>
        <c:txPr>
          <a:bodyPr/>
          <a:lstStyle/>
          <a:p>
            <a:pPr>
              <a:defRPr sz="800" i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</c:legendEntry>
      <c:legendEntry>
        <c:idx val="1"/>
        <c:txPr>
          <a:bodyPr/>
          <a:lstStyle/>
          <a:p>
            <a:pPr>
              <a:defRPr sz="800" i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cs-CZ"/>
          </a:p>
        </c:txPr>
      </c:legendEntry>
      <c:layout>
        <c:manualLayout>
          <c:xMode val="edge"/>
          <c:yMode val="edge"/>
          <c:x val="0.5523968967601447"/>
          <c:y val="5.7234424644287886E-2"/>
          <c:w val="0.43568990784669265"/>
          <c:h val="0.18332918911451859"/>
        </c:manualLayout>
      </c:layout>
      <c:overlay val="0"/>
      <c:txPr>
        <a:bodyPr/>
        <a:lstStyle/>
        <a:p>
          <a:pPr>
            <a:defRPr sz="800" i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6715441819772528E-2"/>
          <c:y val="7.3041951723247706E-2"/>
          <c:w val="0.37516987120795947"/>
          <c:h val="0.80931293287335737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CC9610"/>
              </a:solidFill>
            </c:spPr>
            <c:extLst>
              <c:ext xmlns:c16="http://schemas.microsoft.com/office/drawing/2014/chart" uri="{C3380CC4-5D6E-409C-BE32-E72D297353CC}">
                <c16:uniqueId val="{00000001-0A33-4A33-8ADC-20B38A25BDA8}"/>
              </c:ext>
            </c:extLst>
          </c:dPt>
          <c:dPt>
            <c:idx val="1"/>
            <c:bubble3D val="0"/>
            <c:spPr>
              <a:solidFill>
                <a:srgbClr val="E6C483"/>
              </a:solidFill>
            </c:spPr>
            <c:extLst>
              <c:ext xmlns:c16="http://schemas.microsoft.com/office/drawing/2014/chart" uri="{C3380CC4-5D6E-409C-BE32-E72D297353CC}">
                <c16:uniqueId val="{00000003-0A33-4A33-8ADC-20B38A25BDA8}"/>
              </c:ext>
            </c:extLst>
          </c:dPt>
          <c:dPt>
            <c:idx val="2"/>
            <c:bubble3D val="0"/>
            <c:spPr>
              <a:solidFill>
                <a:srgbClr val="BC5B80"/>
              </a:solidFill>
            </c:spPr>
            <c:extLst>
              <c:ext xmlns:c16="http://schemas.microsoft.com/office/drawing/2014/chart" uri="{C3380CC4-5D6E-409C-BE32-E72D297353CC}">
                <c16:uniqueId val="{00000005-0A33-4A33-8ADC-20B38A25BDA8}"/>
              </c:ext>
            </c:extLst>
          </c:dPt>
          <c:dPt>
            <c:idx val="3"/>
            <c:bubble3D val="0"/>
            <c:spPr>
              <a:solidFill>
                <a:schemeClr val="accent3"/>
              </a:solidFill>
            </c:spPr>
            <c:extLst>
              <c:ext xmlns:c16="http://schemas.microsoft.com/office/drawing/2014/chart" uri="{C3380CC4-5D6E-409C-BE32-E72D297353CC}">
                <c16:uniqueId val="{00000007-0A33-4A33-8ADC-20B38A25BDA8}"/>
              </c:ext>
            </c:extLst>
          </c:dPt>
          <c:dPt>
            <c:idx val="4"/>
            <c:bubble3D val="0"/>
            <c:spPr>
              <a:solidFill>
                <a:srgbClr val="0071BC"/>
              </a:solidFill>
            </c:spPr>
            <c:extLst>
              <c:ext xmlns:c16="http://schemas.microsoft.com/office/drawing/2014/chart" uri="{C3380CC4-5D6E-409C-BE32-E72D297353CC}">
                <c16:uniqueId val="{00000009-0A33-4A33-8ADC-20B38A25BDA8}"/>
              </c:ext>
            </c:extLst>
          </c:dPt>
          <c:dLbls>
            <c:dLbl>
              <c:idx val="0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>
                      <a:solidFill>
                        <a:schemeClr val="bg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0A33-4A33-8ADC-20B38A25BDA8}"/>
                </c:ext>
              </c:extLst>
            </c:dLbl>
            <c:dLbl>
              <c:idx val="2"/>
              <c:numFmt formatCode="0.0\ %" sourceLinked="0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800">
                      <a:solidFill>
                        <a:schemeClr val="bg1"/>
                      </a:solidFill>
                      <a:latin typeface="Arial" panose="020B0604020202020204" pitchFamily="34" charset="0"/>
                      <a:cs typeface="Arial" panose="020B0604020202020204" pitchFamily="34" charset="0"/>
                    </a:defRPr>
                  </a:pPr>
                  <a:endParaRPr lang="cs-CZ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0A33-4A33-8ADC-20B38A25BDA8}"/>
                </c:ext>
              </c:extLst>
            </c:dLbl>
            <c:numFmt formatCode="0.0\ %" sourceLinked="0"/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'3.4'!$A$4:$A$8</c:f>
              <c:strCache>
                <c:ptCount val="5"/>
                <c:pt idx="0">
                  <c:v>střední vzdělávání s maturitní zkouškou odborné (247 585 žáků, z toho dívky 51,9 %)</c:v>
                </c:pt>
                <c:pt idx="1">
                  <c:v>gymnázia 
(141 110 žáků, z toho dívky 56,0 %)</c:v>
                </c:pt>
                <c:pt idx="2">
                  <c:v>střední vzdělávání s výučním listem 
(105 816 žáků, z toho dívky 36,2 %)</c:v>
                </c:pt>
                <c:pt idx="3">
                  <c:v>nástavbové studium 
(14 451 žáků, z toho dívky 44,2 %)</c:v>
                </c:pt>
                <c:pt idx="4">
                  <c:v>střední vzdělávání bez výučního listu a bez maturitní zkoušky 
(2 919 žáků, z toho dívky 43,3 %)</c:v>
                </c:pt>
              </c:strCache>
            </c:strRef>
          </c:cat>
          <c:val>
            <c:numRef>
              <c:f>'3.4'!$B$4:$B$8</c:f>
              <c:numCache>
                <c:formatCode>0.0%</c:formatCode>
                <c:ptCount val="5"/>
                <c:pt idx="0">
                  <c:v>0.48085868385121999</c:v>
                </c:pt>
                <c:pt idx="1">
                  <c:v>0.27988991631075921</c:v>
                </c:pt>
                <c:pt idx="2">
                  <c:v>0.2055154492008833</c:v>
                </c:pt>
                <c:pt idx="3">
                  <c:v>2.8066679485162591E-2</c:v>
                </c:pt>
                <c:pt idx="4">
                  <c:v>5.6692711519749223E-3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A33-4A33-8ADC-20B38A25BD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9134045453620621"/>
          <c:y val="2.7190529755209164E-2"/>
          <c:w val="0.39565142729251868"/>
          <c:h val="0.92240856490876788"/>
        </c:manualLayout>
      </c:layout>
      <c:overlay val="0"/>
      <c:txPr>
        <a:bodyPr/>
        <a:lstStyle/>
        <a:p>
          <a:pPr rtl="0">
            <a:defRPr sz="800">
              <a:latin typeface="Arial" panose="020B0604020202020204" pitchFamily="34" charset="0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816845393806994"/>
          <c:y val="7.5993451849446655E-2"/>
          <c:w val="0.84072495192095575"/>
          <c:h val="0.66480693779256972"/>
        </c:manualLayout>
      </c:layout>
      <c:lineChart>
        <c:grouping val="standard"/>
        <c:varyColors val="0"/>
        <c:ser>
          <c:idx val="0"/>
          <c:order val="0"/>
          <c:tx>
            <c:strRef>
              <c:f>'3.5'!$B$3</c:f>
              <c:strCache>
                <c:ptCount val="1"/>
                <c:pt idx="0">
                  <c:v>bez výuč. listu i matur. zkoušky</c:v>
                </c:pt>
              </c:strCache>
            </c:strRef>
          </c:tx>
          <c:spPr>
            <a:ln>
              <a:solidFill>
                <a:srgbClr val="0071BC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'3.5'!$A$4:$A$14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'3.5'!$B$4:$B$14</c:f>
              <c:numCache>
                <c:formatCode>#\ ##0.0_ ;\-#\ ##0.0\ </c:formatCode>
                <c:ptCount val="11"/>
                <c:pt idx="0">
                  <c:v>2.2010000000000001</c:v>
                </c:pt>
                <c:pt idx="1">
                  <c:v>2.4039999999999999</c:v>
                </c:pt>
                <c:pt idx="2">
                  <c:v>2.6120000000000001</c:v>
                </c:pt>
                <c:pt idx="3">
                  <c:v>2.7229999999999999</c:v>
                </c:pt>
                <c:pt idx="4">
                  <c:v>2.7189999999999999</c:v>
                </c:pt>
                <c:pt idx="5">
                  <c:v>2.72</c:v>
                </c:pt>
                <c:pt idx="6">
                  <c:v>2.7629999999999999</c:v>
                </c:pt>
                <c:pt idx="7">
                  <c:v>2.762</c:v>
                </c:pt>
                <c:pt idx="8">
                  <c:v>2.8410000000000002</c:v>
                </c:pt>
                <c:pt idx="9">
                  <c:v>2.9590000000000001</c:v>
                </c:pt>
                <c:pt idx="10">
                  <c:v>2.919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86-44CB-987E-EF79AA4ED32A}"/>
            </c:ext>
          </c:extLst>
        </c:ser>
        <c:ser>
          <c:idx val="1"/>
          <c:order val="1"/>
          <c:tx>
            <c:strRef>
              <c:f>'3.5'!$C$3</c:f>
              <c:strCache>
                <c:ptCount val="1"/>
                <c:pt idx="0">
                  <c:v>s výučním listem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'3.5'!$A$4:$A$14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'3.5'!$C$4:$C$14</c:f>
              <c:numCache>
                <c:formatCode>#\ ##0.0_ ;\-#\ ##0.0\ </c:formatCode>
                <c:ptCount val="11"/>
                <c:pt idx="0">
                  <c:v>91.840999999999994</c:v>
                </c:pt>
                <c:pt idx="1">
                  <c:v>89.466999999999999</c:v>
                </c:pt>
                <c:pt idx="2">
                  <c:v>87.436999999999998</c:v>
                </c:pt>
                <c:pt idx="3">
                  <c:v>86.59</c:v>
                </c:pt>
                <c:pt idx="4">
                  <c:v>88.783000000000001</c:v>
                </c:pt>
                <c:pt idx="5">
                  <c:v>90.641000000000005</c:v>
                </c:pt>
                <c:pt idx="6">
                  <c:v>91.256</c:v>
                </c:pt>
                <c:pt idx="7">
                  <c:v>95.054000000000002</c:v>
                </c:pt>
                <c:pt idx="8">
                  <c:v>100.566</c:v>
                </c:pt>
                <c:pt idx="9">
                  <c:v>104.687</c:v>
                </c:pt>
                <c:pt idx="10">
                  <c:v>105.816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86-44CB-987E-EF79AA4ED32A}"/>
            </c:ext>
          </c:extLst>
        </c:ser>
        <c:ser>
          <c:idx val="2"/>
          <c:order val="2"/>
          <c:tx>
            <c:strRef>
              <c:f>'3.5'!$D$3</c:f>
              <c:strCache>
                <c:ptCount val="1"/>
                <c:pt idx="0">
                  <c:v>s maturitní zkouškou odborné</c:v>
                </c:pt>
              </c:strCache>
            </c:strRef>
          </c:tx>
          <c:spPr>
            <a:ln>
              <a:solidFill>
                <a:srgbClr val="CC9610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'3.5'!$A$4:$A$14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'3.5'!$D$4:$D$14</c:f>
              <c:numCache>
                <c:formatCode>#\ ##0.0_ ;\-#\ ##0.0\ </c:formatCode>
                <c:ptCount val="11"/>
                <c:pt idx="0">
                  <c:v>184.583</c:v>
                </c:pt>
                <c:pt idx="1">
                  <c:v>185.006</c:v>
                </c:pt>
                <c:pt idx="2">
                  <c:v>185.446</c:v>
                </c:pt>
                <c:pt idx="3">
                  <c:v>186.565</c:v>
                </c:pt>
                <c:pt idx="4">
                  <c:v>188.09100000000001</c:v>
                </c:pt>
                <c:pt idx="5">
                  <c:v>194.208</c:v>
                </c:pt>
                <c:pt idx="6">
                  <c:v>203.96199999999999</c:v>
                </c:pt>
                <c:pt idx="7">
                  <c:v>214.994</c:v>
                </c:pt>
                <c:pt idx="8">
                  <c:v>228.524</c:v>
                </c:pt>
                <c:pt idx="9">
                  <c:v>239.92500000000001</c:v>
                </c:pt>
                <c:pt idx="10">
                  <c:v>247.58500000000001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886-44CB-987E-EF79AA4ED32A}"/>
            </c:ext>
          </c:extLst>
        </c:ser>
        <c:ser>
          <c:idx val="3"/>
          <c:order val="3"/>
          <c:tx>
            <c:strRef>
              <c:f>'3.5'!$E$3</c:f>
              <c:strCache>
                <c:ptCount val="1"/>
                <c:pt idx="0">
                  <c:v>gymnázia</c:v>
                </c:pt>
              </c:strCache>
            </c:strRef>
          </c:tx>
          <c:spPr>
            <a:ln>
              <a:solidFill>
                <a:srgbClr val="E6C483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'3.5'!$A$4:$A$14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'3.5'!$E$4:$E$14</c:f>
              <c:numCache>
                <c:formatCode>#\ ##0.0_ ;\-#\ ##0.0\ </c:formatCode>
                <c:ptCount val="11"/>
                <c:pt idx="0">
                  <c:v>128.04499999999999</c:v>
                </c:pt>
                <c:pt idx="1">
                  <c:v>128.994</c:v>
                </c:pt>
                <c:pt idx="2">
                  <c:v>129.554</c:v>
                </c:pt>
                <c:pt idx="3">
                  <c:v>130.13300000000001</c:v>
                </c:pt>
                <c:pt idx="4">
                  <c:v>130.72499999999999</c:v>
                </c:pt>
                <c:pt idx="5">
                  <c:v>131.79900000000001</c:v>
                </c:pt>
                <c:pt idx="6">
                  <c:v>133.321</c:v>
                </c:pt>
                <c:pt idx="7">
                  <c:v>135.929</c:v>
                </c:pt>
                <c:pt idx="8">
                  <c:v>138.483</c:v>
                </c:pt>
                <c:pt idx="9">
                  <c:v>141.53</c:v>
                </c:pt>
                <c:pt idx="10">
                  <c:v>144.11000000000001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886-44CB-987E-EF79AA4ED32A}"/>
            </c:ext>
          </c:extLst>
        </c:ser>
        <c:ser>
          <c:idx val="4"/>
          <c:order val="4"/>
          <c:tx>
            <c:strRef>
              <c:f>'3.5'!$F$3</c:f>
              <c:strCache>
                <c:ptCount val="1"/>
                <c:pt idx="0">
                  <c:v>nástavbové studium</c:v>
                </c:pt>
              </c:strCache>
            </c:strRef>
          </c:tx>
          <c:spPr>
            <a:ln>
              <a:solidFill>
                <a:schemeClr val="accent3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'3.5'!$A$4:$A$14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'3.5'!$F$4:$F$14</c:f>
              <c:numCache>
                <c:formatCode>#\ ##0.0_ ;\-#\ ##0.0\ </c:formatCode>
                <c:ptCount val="11"/>
                <c:pt idx="0">
                  <c:v>20.437000000000001</c:v>
                </c:pt>
                <c:pt idx="1">
                  <c:v>18.978000000000002</c:v>
                </c:pt>
                <c:pt idx="2">
                  <c:v>16.486000000000001</c:v>
                </c:pt>
                <c:pt idx="3">
                  <c:v>14.803000000000001</c:v>
                </c:pt>
                <c:pt idx="4">
                  <c:v>13.52</c:v>
                </c:pt>
                <c:pt idx="5">
                  <c:v>13.538</c:v>
                </c:pt>
                <c:pt idx="6">
                  <c:v>14.952</c:v>
                </c:pt>
                <c:pt idx="7">
                  <c:v>14.461</c:v>
                </c:pt>
                <c:pt idx="8">
                  <c:v>14.343999999999999</c:v>
                </c:pt>
                <c:pt idx="9">
                  <c:v>14.087999999999999</c:v>
                </c:pt>
                <c:pt idx="10">
                  <c:v>14.451000000000001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886-44CB-987E-EF79AA4ED3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1759360"/>
        <c:axId val="191709760"/>
      </c:lineChart>
      <c:catAx>
        <c:axId val="191759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91709760"/>
        <c:crosses val="autoZero"/>
        <c:auto val="1"/>
        <c:lblAlgn val="ctr"/>
        <c:lblOffset val="100"/>
        <c:noMultiLvlLbl val="0"/>
      </c:catAx>
      <c:valAx>
        <c:axId val="191709760"/>
        <c:scaling>
          <c:orientation val="minMax"/>
          <c:max val="250"/>
        </c:scaling>
        <c:delete val="0"/>
        <c:axPos val="l"/>
        <c:majorGridlines>
          <c:spPr>
            <a:ln>
              <a:noFill/>
            </a:ln>
          </c:spPr>
        </c:majorGridlines>
        <c:numFmt formatCode="#\ ##0&quot; &quot;" sourceLinked="0"/>
        <c:majorTickMark val="out"/>
        <c:minorTickMark val="none"/>
        <c:tickLblPos val="nextTo"/>
        <c:spPr>
          <a:ln>
            <a:solidFill>
              <a:schemeClr val="tx1"/>
            </a:solidFill>
          </a:ln>
        </c:spPr>
        <c:crossAx val="191759360"/>
        <c:crosses val="autoZero"/>
        <c:crossBetween val="between"/>
        <c:majorUnit val="25"/>
      </c:valAx>
    </c:plotArea>
    <c:legend>
      <c:legendPos val="b"/>
      <c:layout>
        <c:manualLayout>
          <c:xMode val="edge"/>
          <c:yMode val="edge"/>
          <c:x val="1.193095571499298E-2"/>
          <c:y val="0.80969586275942307"/>
          <c:w val="0.98184368632692443"/>
          <c:h val="0.10439348431961468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38953601874149E-2"/>
          <c:y val="4.7196058039914821E-2"/>
          <c:w val="0.85882648966399866"/>
          <c:h val="0.77998056471314792"/>
        </c:manualLayout>
      </c:layout>
      <c:lineChart>
        <c:grouping val="standard"/>
        <c:varyColors val="0"/>
        <c:ser>
          <c:idx val="0"/>
          <c:order val="0"/>
          <c:tx>
            <c:strRef>
              <c:f>'3.6'!$B$3</c:f>
              <c:strCache>
                <c:ptCount val="1"/>
                <c:pt idx="0">
                  <c:v>celkem</c:v>
                </c:pt>
              </c:strCache>
            </c:strRef>
          </c:tx>
          <c:spPr>
            <a:ln>
              <a:solidFill>
                <a:srgbClr val="CC9610"/>
              </a:solidFill>
            </a:ln>
          </c:spPr>
          <c:marker>
            <c:symbol val="circle"/>
            <c:size val="5"/>
            <c:spPr>
              <a:solidFill>
                <a:srgbClr val="98700C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'3.6'!$A$4:$A$14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'3.6'!$B$4:$B$14</c:f>
              <c:numCache>
                <c:formatCode>0.0%</c:formatCode>
                <c:ptCount val="11"/>
                <c:pt idx="0">
                  <c:v>0.29979606983730073</c:v>
                </c:pt>
                <c:pt idx="1">
                  <c:v>0.30362316964380287</c:v>
                </c:pt>
                <c:pt idx="2">
                  <c:v>0.30733865515319014</c:v>
                </c:pt>
                <c:pt idx="3">
                  <c:v>0.30924113741462972</c:v>
                </c:pt>
                <c:pt idx="4">
                  <c:v>0.3084315233650593</c:v>
                </c:pt>
                <c:pt idx="5">
                  <c:v>0.30445177475017671</c:v>
                </c:pt>
                <c:pt idx="6">
                  <c:v>0.29875586549364264</c:v>
                </c:pt>
                <c:pt idx="7">
                  <c:v>0.29345639032815196</c:v>
                </c:pt>
                <c:pt idx="8">
                  <c:v>0.28567450150384316</c:v>
                </c:pt>
                <c:pt idx="9">
                  <c:v>0.28126608491044119</c:v>
                </c:pt>
                <c:pt idx="10">
                  <c:v>0.27988991631075921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F61-4967-ABFC-C63A087AE553}"/>
            </c:ext>
          </c:extLst>
        </c:ser>
        <c:ser>
          <c:idx val="1"/>
          <c:order val="1"/>
          <c:tx>
            <c:strRef>
              <c:f>'3.6'!$C$3</c:f>
              <c:strCache>
                <c:ptCount val="1"/>
                <c:pt idx="0">
                  <c:v>dívky</c:v>
                </c:pt>
              </c:strCache>
            </c:strRef>
          </c:tx>
          <c:spPr>
            <a:ln>
              <a:solidFill>
                <a:srgbClr val="BC5B80"/>
              </a:solidFill>
            </a:ln>
          </c:spPr>
          <c:marker>
            <c:symbol val="circle"/>
            <c:size val="5"/>
            <c:spPr>
              <a:solidFill>
                <a:srgbClr val="C00000"/>
              </a:solidFill>
              <a:ln w="9525">
                <a:solidFill>
                  <a:srgbClr val="C00000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BC5B80"/>
                    </a:solidFill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'3.6'!$A$4:$A$14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'3.6'!$C$4:$C$14</c:f>
              <c:numCache>
                <c:formatCode>0.0%</c:formatCode>
                <c:ptCount val="11"/>
                <c:pt idx="0">
                  <c:v>0.346674570243035</c:v>
                </c:pt>
                <c:pt idx="1">
                  <c:v>0.35208842161502063</c:v>
                </c:pt>
                <c:pt idx="2">
                  <c:v>0.35609472404196929</c:v>
                </c:pt>
                <c:pt idx="3">
                  <c:v>0.35769629586957774</c:v>
                </c:pt>
                <c:pt idx="4">
                  <c:v>0.3562988842126335</c:v>
                </c:pt>
                <c:pt idx="5">
                  <c:v>0.35053656171625164</c:v>
                </c:pt>
                <c:pt idx="6">
                  <c:v>0.34303707493310759</c:v>
                </c:pt>
                <c:pt idx="7">
                  <c:v>0.33586480210897535</c:v>
                </c:pt>
                <c:pt idx="8">
                  <c:v>0.3252393367400146</c:v>
                </c:pt>
                <c:pt idx="9">
                  <c:v>0.31900199953424502</c:v>
                </c:pt>
                <c:pt idx="10">
                  <c:v>0.31609558036816549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F61-4967-ABFC-C63A087AE553}"/>
            </c:ext>
          </c:extLst>
        </c:ser>
        <c:ser>
          <c:idx val="2"/>
          <c:order val="2"/>
          <c:tx>
            <c:strRef>
              <c:f>'3.6'!$D$3</c:f>
              <c:strCache>
                <c:ptCount val="1"/>
                <c:pt idx="0">
                  <c:v>chlapci</c:v>
                </c:pt>
              </c:strCache>
            </c:strRef>
          </c:tx>
          <c:spPr>
            <a:ln>
              <a:solidFill>
                <a:srgbClr val="0071BC"/>
              </a:solidFill>
            </a:ln>
          </c:spPr>
          <c:marker>
            <c:symbol val="circle"/>
            <c:size val="5"/>
            <c:spPr>
              <a:solidFill>
                <a:srgbClr val="0071BC"/>
              </a:solidFill>
              <a:ln w="9525">
                <a:noFill/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rgbClr val="006F82"/>
                    </a:solidFill>
                  </a:defRPr>
                </a:pPr>
                <a:endParaRPr lang="cs-CZ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'3.6'!$A$4:$A$14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'3.6'!$D$4:$D$14</c:f>
              <c:numCache>
                <c:formatCode>0.0%</c:formatCode>
                <c:ptCount val="11"/>
                <c:pt idx="0">
                  <c:v>0.25407895223648674</c:v>
                </c:pt>
                <c:pt idx="1">
                  <c:v>0.25641561772536559</c:v>
                </c:pt>
                <c:pt idx="2">
                  <c:v>0.25982068409859566</c:v>
                </c:pt>
                <c:pt idx="3">
                  <c:v>0.26174319783911981</c:v>
                </c:pt>
                <c:pt idx="4">
                  <c:v>0.26150884684928821</c:v>
                </c:pt>
                <c:pt idx="5">
                  <c:v>0.25918531814352175</c:v>
                </c:pt>
                <c:pt idx="6">
                  <c:v>0.25535879881265611</c:v>
                </c:pt>
                <c:pt idx="7">
                  <c:v>0.25194801865996824</c:v>
                </c:pt>
                <c:pt idx="8">
                  <c:v>0.24696673509282424</c:v>
                </c:pt>
                <c:pt idx="9">
                  <c:v>0.24428346010522131</c:v>
                </c:pt>
                <c:pt idx="10">
                  <c:v>0.24432089448799496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F61-4967-ABFC-C63A087AE5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0578432"/>
        <c:axId val="250491968"/>
      </c:lineChart>
      <c:catAx>
        <c:axId val="25057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cs-CZ"/>
          </a:p>
        </c:txPr>
        <c:crossAx val="250491968"/>
        <c:crosses val="autoZero"/>
        <c:auto val="1"/>
        <c:lblAlgn val="ctr"/>
        <c:lblOffset val="100"/>
        <c:noMultiLvlLbl val="0"/>
      </c:catAx>
      <c:valAx>
        <c:axId val="250491968"/>
        <c:scaling>
          <c:orientation val="minMax"/>
          <c:max val="0.4"/>
          <c:min val="0.15000000000000002"/>
        </c:scaling>
        <c:delete val="0"/>
        <c:axPos val="l"/>
        <c:majorGridlines>
          <c:spPr>
            <a:ln w="9525" cap="flat" cmpd="sng" algn="ctr">
              <a:noFill/>
              <a:prstDash val="sysDot"/>
              <a:round/>
            </a:ln>
            <a:effectLst/>
          </c:spPr>
        </c:majorGridlines>
        <c:numFmt formatCode="0\ %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cs-CZ"/>
          </a:p>
        </c:txPr>
        <c:crossAx val="250578432"/>
        <c:crosses val="autoZero"/>
        <c:crossBetween val="between"/>
        <c:majorUnit val="5.000000000000001E-2"/>
      </c:valAx>
      <c:spPr>
        <a:noFill/>
        <a:effectLst/>
      </c:spPr>
    </c:plotArea>
    <c:plotVisOnly val="1"/>
    <c:dispBlanksAs val="gap"/>
    <c:showDLblsOverMax val="0"/>
  </c:chart>
  <c:spPr>
    <a:solidFill>
      <a:schemeClr val="bg1"/>
    </a:solidFill>
    <a:ln>
      <a:noFill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076003532733764E-2"/>
          <c:y val="3.1995131043402181E-2"/>
          <c:w val="0.91802697648575937"/>
          <c:h val="0.7402943642461359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'3.7'!$B$17</c:f>
              <c:strCache>
                <c:ptCount val="1"/>
                <c:pt idx="0">
                  <c:v>pouze se závěrečnou zkouškou</c:v>
                </c:pt>
              </c:strCache>
            </c:strRef>
          </c:tx>
          <c:spPr>
            <a:solidFill>
              <a:srgbClr val="0071B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'3.7'!$A$18:$A$28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'3.7'!$B$18:$B$28</c:f>
              <c:numCache>
                <c:formatCode>0.0</c:formatCode>
                <c:ptCount val="11"/>
                <c:pt idx="0">
                  <c:v>0.51532754087383259</c:v>
                </c:pt>
                <c:pt idx="1">
                  <c:v>0.56584810132541208</c:v>
                </c:pt>
                <c:pt idx="2">
                  <c:v>0.61964012478204655</c:v>
                </c:pt>
                <c:pt idx="3">
                  <c:v>0.64707923215482377</c:v>
                </c:pt>
                <c:pt idx="4">
                  <c:v>0.64151869346306845</c:v>
                </c:pt>
                <c:pt idx="5">
                  <c:v>0.62831191990870994</c:v>
                </c:pt>
                <c:pt idx="6">
                  <c:v>0.61915411402474818</c:v>
                </c:pt>
                <c:pt idx="7">
                  <c:v>0.59628670120898097</c:v>
                </c:pt>
                <c:pt idx="8">
                  <c:v>0.58606562449717181</c:v>
                </c:pt>
                <c:pt idx="9">
                  <c:v>0.58804942079417466</c:v>
                </c:pt>
                <c:pt idx="10">
                  <c:v>0.56692711519749217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A0-4AB6-8448-0C5DC81C90BC}"/>
            </c:ext>
          </c:extLst>
        </c:ser>
        <c:ser>
          <c:idx val="1"/>
          <c:order val="1"/>
          <c:tx>
            <c:strRef>
              <c:f>'3.7'!$C$17</c:f>
              <c:strCache>
                <c:ptCount val="1"/>
                <c:pt idx="0">
                  <c:v>s výučním listem</c:v>
                </c:pt>
              </c:strCache>
            </c:strRef>
          </c:tx>
          <c:spPr>
            <a:solidFill>
              <a:srgbClr val="BC5B8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'3.7'!$A$18:$A$28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'3.7'!$C$18:$C$28</c:f>
              <c:numCache>
                <c:formatCode>0.0</c:formatCode>
                <c:ptCount val="11"/>
                <c:pt idx="0">
                  <c:v>21.503042563104795</c:v>
                </c:pt>
                <c:pt idx="1">
                  <c:v>21.058540799201602</c:v>
                </c:pt>
                <c:pt idx="2">
                  <c:v>20.742524345546634</c:v>
                </c:pt>
                <c:pt idx="3">
                  <c:v>20.576786893972159</c:v>
                </c:pt>
                <c:pt idx="4">
                  <c:v>20.947390276473556</c:v>
                </c:pt>
                <c:pt idx="5">
                  <c:v>20.937801739869624</c:v>
                </c:pt>
                <c:pt idx="6">
                  <c:v>20.449340510113075</c:v>
                </c:pt>
                <c:pt idx="7">
                  <c:v>20.521157167530223</c:v>
                </c:pt>
                <c:pt idx="8">
                  <c:v>20.745609149307491</c:v>
                </c:pt>
                <c:pt idx="9">
                  <c:v>20.804707575086102</c:v>
                </c:pt>
                <c:pt idx="10">
                  <c:v>20.551544920088329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A0-4AB6-8448-0C5DC81C90BC}"/>
            </c:ext>
          </c:extLst>
        </c:ser>
        <c:ser>
          <c:idx val="2"/>
          <c:order val="2"/>
          <c:tx>
            <c:strRef>
              <c:f>'3.7'!$D$17</c:f>
              <c:strCache>
                <c:ptCount val="1"/>
                <c:pt idx="0">
                  <c:v>s maturitní zkouškou odborné</c:v>
                </c:pt>
              </c:strCache>
            </c:strRef>
          </c:tx>
          <c:spPr>
            <a:solidFill>
              <a:srgbClr val="CC961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'3.7'!$A$18:$A$28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'3.7'!$D$18:$D$28</c:f>
              <c:numCache>
                <c:formatCode>0.0</c:formatCode>
                <c:ptCount val="11"/>
                <c:pt idx="0">
                  <c:v>43.217039289920322</c:v>
                </c:pt>
                <c:pt idx="1">
                  <c:v>43.546295271967217</c:v>
                </c:pt>
                <c:pt idx="2">
                  <c:v>43.993025490172819</c:v>
                </c:pt>
                <c:pt idx="3">
                  <c:v>44.334313972443887</c:v>
                </c:pt>
                <c:pt idx="4">
                  <c:v>44.378040666481063</c:v>
                </c:pt>
                <c:pt idx="5">
                  <c:v>44.861471081481888</c:v>
                </c:pt>
                <c:pt idx="6">
                  <c:v>45.705360624218493</c:v>
                </c:pt>
                <c:pt idx="7">
                  <c:v>46.41493955094991</c:v>
                </c:pt>
                <c:pt idx="8">
                  <c:v>47.14187285202101</c:v>
                </c:pt>
                <c:pt idx="9">
                  <c:v>47.680891275445205</c:v>
                </c:pt>
                <c:pt idx="10">
                  <c:v>48.085868385121998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A0-4AB6-8448-0C5DC81C90BC}"/>
            </c:ext>
          </c:extLst>
        </c:ser>
        <c:ser>
          <c:idx val="3"/>
          <c:order val="3"/>
          <c:tx>
            <c:strRef>
              <c:f>'3.7'!$E$17</c:f>
              <c:strCache>
                <c:ptCount val="1"/>
                <c:pt idx="0">
                  <c:v>gymnázia</c:v>
                </c:pt>
              </c:strCache>
            </c:strRef>
          </c:tx>
          <c:spPr>
            <a:solidFill>
              <a:srgbClr val="E6C48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'3.7'!$A$18:$A$28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'3.7'!$E$18:$E$28</c:f>
              <c:numCache>
                <c:formatCode>0.0</c:formatCode>
                <c:ptCount val="11"/>
                <c:pt idx="0">
                  <c:v>29.979606983730072</c:v>
                </c:pt>
                <c:pt idx="1">
                  <c:v>30.362316964380287</c:v>
                </c:pt>
                <c:pt idx="2">
                  <c:v>30.733865515319014</c:v>
                </c:pt>
                <c:pt idx="3">
                  <c:v>30.924113741462971</c:v>
                </c:pt>
                <c:pt idx="4">
                  <c:v>30.843152336505931</c:v>
                </c:pt>
                <c:pt idx="5">
                  <c:v>30.445177475017672</c:v>
                </c:pt>
                <c:pt idx="6">
                  <c:v>29.875586549364264</c:v>
                </c:pt>
                <c:pt idx="7">
                  <c:v>29.345639032815196</c:v>
                </c:pt>
                <c:pt idx="8">
                  <c:v>28.567450150384317</c:v>
                </c:pt>
                <c:pt idx="9">
                  <c:v>28.12660849104412</c:v>
                </c:pt>
                <c:pt idx="10">
                  <c:v>27.988991631075923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4A0-4AB6-8448-0C5DC81C90BC}"/>
            </c:ext>
          </c:extLst>
        </c:ser>
        <c:ser>
          <c:idx val="4"/>
          <c:order val="4"/>
          <c:tx>
            <c:strRef>
              <c:f>'3.7'!$F$17</c:f>
              <c:strCache>
                <c:ptCount val="1"/>
                <c:pt idx="0">
                  <c:v>nástavbové studium</c:v>
                </c:pt>
              </c:strCache>
            </c:strRef>
          </c:tx>
          <c:spPr>
            <a:solidFill>
              <a:srgbClr val="BC091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'3.7'!$A$18:$A$28</c:f>
              <c:strCache>
                <c:ptCount val="11"/>
                <c:pt idx="0">
                  <c:v>2015/16</c:v>
                </c:pt>
                <c:pt idx="1">
                  <c:v>2016/17</c:v>
                </c:pt>
                <c:pt idx="2">
                  <c:v>2017/18</c:v>
                </c:pt>
                <c:pt idx="3">
                  <c:v>2018/19</c:v>
                </c:pt>
                <c:pt idx="4">
                  <c:v>2019/20</c:v>
                </c:pt>
                <c:pt idx="5">
                  <c:v>2020/21</c:v>
                </c:pt>
                <c:pt idx="6">
                  <c:v>2021/22</c:v>
                </c:pt>
                <c:pt idx="7">
                  <c:v>2022/23</c:v>
                </c:pt>
                <c:pt idx="8">
                  <c:v>2023/24</c:v>
                </c:pt>
                <c:pt idx="9">
                  <c:v>2024/25</c:v>
                </c:pt>
                <c:pt idx="10">
                  <c:v>2025/26</c:v>
                </c:pt>
              </c:strCache>
            </c:strRef>
          </c:cat>
          <c:val>
            <c:numRef>
              <c:f>'3.7'!$F$18:$F$28</c:f>
              <c:numCache>
                <c:formatCode>0.0</c:formatCode>
                <c:ptCount val="11"/>
                <c:pt idx="0">
                  <c:v>4.7849836223709747</c:v>
                </c:pt>
                <c:pt idx="1">
                  <c:v>4.4669988631254869</c:v>
                </c:pt>
                <c:pt idx="2">
                  <c:v>3.9109445241794867</c:v>
                </c:pt>
                <c:pt idx="3">
                  <c:v>3.5177061599661608</c:v>
                </c:pt>
                <c:pt idx="4">
                  <c:v>3.1898980270763828</c:v>
                </c:pt>
                <c:pt idx="5">
                  <c:v>3.127237783722101</c:v>
                </c:pt>
                <c:pt idx="6">
                  <c:v>3.3505582022794198</c:v>
                </c:pt>
                <c:pt idx="7">
                  <c:v>3.1219775474956823</c:v>
                </c:pt>
                <c:pt idx="8">
                  <c:v>2.9590022237900149</c:v>
                </c:pt>
                <c:pt idx="9">
                  <c:v>2.7997432376303935</c:v>
                </c:pt>
                <c:pt idx="10">
                  <c:v>2.8066679485162593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4A0-4AB6-8448-0C5DC81C90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100"/>
        <c:axId val="199128576"/>
        <c:axId val="199823296"/>
      </c:barChart>
      <c:catAx>
        <c:axId val="19912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823296"/>
        <c:crosses val="autoZero"/>
        <c:auto val="1"/>
        <c:lblAlgn val="ctr"/>
        <c:lblOffset val="100"/>
        <c:noMultiLvlLbl val="0"/>
      </c:catAx>
      <c:valAx>
        <c:axId val="199823296"/>
        <c:scaling>
          <c:orientation val="minMax"/>
          <c:max val="1"/>
        </c:scaling>
        <c:delete val="0"/>
        <c:axPos val="l"/>
        <c:numFmt formatCode="0%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19912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8855182575862234E-2"/>
          <c:y val="0.83428386555847189"/>
          <c:w val="0.87790606742877531"/>
          <c:h val="8.318624234470689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89609919449724"/>
          <c:y val="1.2549019607843137E-2"/>
          <c:w val="0.80479039649824335"/>
          <c:h val="0.80770785331222905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'3.8'!$C$3</c:f>
              <c:strCache>
                <c:ptCount val="1"/>
                <c:pt idx="0">
                  <c:v>pouze se závěrečnou zkouškou</c:v>
                </c:pt>
              </c:strCache>
            </c:strRef>
          </c:tx>
          <c:spPr>
            <a:solidFill>
              <a:srgbClr val="0071B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cs-CZ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'3.8'!$B$4:$B$19</c:f>
              <c:strCache>
                <c:ptCount val="16"/>
                <c:pt idx="0">
                  <c:v>Praha</c:v>
                </c:pt>
                <c:pt idx="1">
                  <c:v>Zlínský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Vysočina</c:v>
                </c:pt>
                <c:pt idx="5">
                  <c:v>Královéhradecký</c:v>
                </c:pt>
                <c:pt idx="6">
                  <c:v>Olomoucký</c:v>
                </c:pt>
                <c:pt idx="7">
                  <c:v>Pardubický</c:v>
                </c:pt>
                <c:pt idx="8">
                  <c:v>Středočeský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Liberecký</c:v>
                </c:pt>
                <c:pt idx="12">
                  <c:v>Ústecký</c:v>
                </c:pt>
                <c:pt idx="13">
                  <c:v>Karlovarský</c:v>
                </c:pt>
                <c:pt idx="15">
                  <c:v>Česko</c:v>
                </c:pt>
              </c:strCache>
            </c:strRef>
          </c:cat>
          <c:val>
            <c:numRef>
              <c:f>'3.8'!$C$4:$C$19</c:f>
              <c:numCache>
                <c:formatCode>0.0%</c:formatCode>
                <c:ptCount val="16"/>
                <c:pt idx="0">
                  <c:v>4.7409414155096512E-3</c:v>
                </c:pt>
                <c:pt idx="1">
                  <c:v>2.587787082629479E-3</c:v>
                </c:pt>
                <c:pt idx="2">
                  <c:v>3.9037202273872057E-3</c:v>
                </c:pt>
                <c:pt idx="3">
                  <c:v>5.7695852534562211E-3</c:v>
                </c:pt>
                <c:pt idx="4">
                  <c:v>6.6368206094879045E-3</c:v>
                </c:pt>
                <c:pt idx="5">
                  <c:v>5.9346100633510526E-3</c:v>
                </c:pt>
                <c:pt idx="6">
                  <c:v>1.0575644354379077E-2</c:v>
                </c:pt>
                <c:pt idx="7">
                  <c:v>4.9527583053946963E-3</c:v>
                </c:pt>
                <c:pt idx="8">
                  <c:v>9.2165898617511521E-3</c:v>
                </c:pt>
                <c:pt idx="9">
                  <c:v>3.2981530343007917E-3</c:v>
                </c:pt>
                <c:pt idx="10">
                  <c:v>2.9564842474823689E-3</c:v>
                </c:pt>
                <c:pt idx="11">
                  <c:v>3.1368919057903938E-3</c:v>
                </c:pt>
                <c:pt idx="12">
                  <c:v>7.6686713764214619E-3</c:v>
                </c:pt>
                <c:pt idx="13">
                  <c:v>8.0836123132195636E-3</c:v>
                </c:pt>
                <c:pt idx="15">
                  <c:v>5.6692711519749223E-3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CF-4558-8472-6F809354E5B5}"/>
            </c:ext>
          </c:extLst>
        </c:ser>
        <c:ser>
          <c:idx val="1"/>
          <c:order val="1"/>
          <c:tx>
            <c:strRef>
              <c:f>'3.8'!$D$3</c:f>
              <c:strCache>
                <c:ptCount val="1"/>
                <c:pt idx="0">
                  <c:v>s výučním listem</c:v>
                </c:pt>
              </c:strCache>
            </c:strRef>
          </c:tx>
          <c:spPr>
            <a:solidFill>
              <a:srgbClr val="BC5B8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'3.8'!$B$4:$B$19</c:f>
              <c:strCache>
                <c:ptCount val="16"/>
                <c:pt idx="0">
                  <c:v>Praha</c:v>
                </c:pt>
                <c:pt idx="1">
                  <c:v>Zlínský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Vysočina</c:v>
                </c:pt>
                <c:pt idx="5">
                  <c:v>Královéhradecký</c:v>
                </c:pt>
                <c:pt idx="6">
                  <c:v>Olomoucký</c:v>
                </c:pt>
                <c:pt idx="7">
                  <c:v>Pardubický</c:v>
                </c:pt>
                <c:pt idx="8">
                  <c:v>Středočeský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Liberecký</c:v>
                </c:pt>
                <c:pt idx="12">
                  <c:v>Ústecký</c:v>
                </c:pt>
                <c:pt idx="13">
                  <c:v>Karlovarský</c:v>
                </c:pt>
                <c:pt idx="15">
                  <c:v>Česko</c:v>
                </c:pt>
              </c:strCache>
            </c:strRef>
          </c:cat>
          <c:val>
            <c:numRef>
              <c:f>'3.8'!$D$4:$D$19</c:f>
              <c:numCache>
                <c:formatCode>0.0%</c:formatCode>
                <c:ptCount val="16"/>
                <c:pt idx="0">
                  <c:v>0.12336123070968991</c:v>
                </c:pt>
                <c:pt idx="1">
                  <c:v>0.1944793875570571</c:v>
                </c:pt>
                <c:pt idx="2">
                  <c:v>0.19491616895732891</c:v>
                </c:pt>
                <c:pt idx="3">
                  <c:v>0.20376036866359448</c:v>
                </c:pt>
                <c:pt idx="4">
                  <c:v>0.21622683003455859</c:v>
                </c:pt>
                <c:pt idx="5">
                  <c:v>0.22438651423578243</c:v>
                </c:pt>
                <c:pt idx="6">
                  <c:v>0.22006206066746881</c:v>
                </c:pt>
                <c:pt idx="7">
                  <c:v>0.22656964340140201</c:v>
                </c:pt>
                <c:pt idx="8">
                  <c:v>0.2233031802924276</c:v>
                </c:pt>
                <c:pt idx="9">
                  <c:v>0.2322941258158589</c:v>
                </c:pt>
                <c:pt idx="10">
                  <c:v>0.23316189830926057</c:v>
                </c:pt>
                <c:pt idx="11">
                  <c:v>0.25007713668620796</c:v>
                </c:pt>
                <c:pt idx="12">
                  <c:v>0.25524594899808284</c:v>
                </c:pt>
                <c:pt idx="13">
                  <c:v>0.25565444598677228</c:v>
                </c:pt>
                <c:pt idx="15">
                  <c:v>0.2055154492008833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CF-4558-8472-6F809354E5B5}"/>
            </c:ext>
          </c:extLst>
        </c:ser>
        <c:ser>
          <c:idx val="2"/>
          <c:order val="2"/>
          <c:tx>
            <c:strRef>
              <c:f>'3.8'!$E$3</c:f>
              <c:strCache>
                <c:ptCount val="1"/>
                <c:pt idx="0">
                  <c:v>s maturitní zkouškou odborné</c:v>
                </c:pt>
              </c:strCache>
            </c:strRef>
          </c:tx>
          <c:spPr>
            <a:solidFill>
              <a:srgbClr val="CC96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'3.8'!$B$4:$B$19</c:f>
              <c:strCache>
                <c:ptCount val="16"/>
                <c:pt idx="0">
                  <c:v>Praha</c:v>
                </c:pt>
                <c:pt idx="1">
                  <c:v>Zlínský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Vysočina</c:v>
                </c:pt>
                <c:pt idx="5">
                  <c:v>Královéhradecký</c:v>
                </c:pt>
                <c:pt idx="6">
                  <c:v>Olomoucký</c:v>
                </c:pt>
                <c:pt idx="7">
                  <c:v>Pardubický</c:v>
                </c:pt>
                <c:pt idx="8">
                  <c:v>Středočeský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Liberecký</c:v>
                </c:pt>
                <c:pt idx="12">
                  <c:v>Ústecký</c:v>
                </c:pt>
                <c:pt idx="13">
                  <c:v>Karlovarský</c:v>
                </c:pt>
                <c:pt idx="15">
                  <c:v>Česko</c:v>
                </c:pt>
              </c:strCache>
            </c:strRef>
          </c:cat>
          <c:val>
            <c:numRef>
              <c:f>'3.8'!$E$4:$E$19</c:f>
              <c:numCache>
                <c:formatCode>0.0%</c:formatCode>
                <c:ptCount val="16"/>
                <c:pt idx="0">
                  <c:v>0.47064728363407671</c:v>
                </c:pt>
                <c:pt idx="1">
                  <c:v>0.49818495489343351</c:v>
                </c:pt>
                <c:pt idx="2">
                  <c:v>0.46855436425127728</c:v>
                </c:pt>
                <c:pt idx="3">
                  <c:v>0.48422119815668202</c:v>
                </c:pt>
                <c:pt idx="4">
                  <c:v>0.48491988689915172</c:v>
                </c:pt>
                <c:pt idx="5">
                  <c:v>0.49002402970945896</c:v>
                </c:pt>
                <c:pt idx="6">
                  <c:v>0.46982458362358304</c:v>
                </c:pt>
                <c:pt idx="7">
                  <c:v>0.51310576043889056</c:v>
                </c:pt>
                <c:pt idx="8">
                  <c:v>0.47960402799112478</c:v>
                </c:pt>
                <c:pt idx="9">
                  <c:v>0.49618108596028332</c:v>
                </c:pt>
                <c:pt idx="10">
                  <c:v>0.46663176372763387</c:v>
                </c:pt>
                <c:pt idx="11">
                  <c:v>0.49727450375398541</c:v>
                </c:pt>
                <c:pt idx="12">
                  <c:v>0.4835990230322767</c:v>
                </c:pt>
                <c:pt idx="13">
                  <c:v>0.4542336898832367</c:v>
                </c:pt>
                <c:pt idx="15">
                  <c:v>0.48085868385121999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CCF-4558-8472-6F809354E5B5}"/>
            </c:ext>
          </c:extLst>
        </c:ser>
        <c:ser>
          <c:idx val="3"/>
          <c:order val="3"/>
          <c:tx>
            <c:strRef>
              <c:f>'3.8'!$F$3</c:f>
              <c:strCache>
                <c:ptCount val="1"/>
                <c:pt idx="0">
                  <c:v>gymnázia</c:v>
                </c:pt>
              </c:strCache>
            </c:strRef>
          </c:tx>
          <c:spPr>
            <a:solidFill>
              <a:srgbClr val="E6C48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'3.8'!$B$4:$B$19</c:f>
              <c:strCache>
                <c:ptCount val="16"/>
                <c:pt idx="0">
                  <c:v>Praha</c:v>
                </c:pt>
                <c:pt idx="1">
                  <c:v>Zlínský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Vysočina</c:v>
                </c:pt>
                <c:pt idx="5">
                  <c:v>Královéhradecký</c:v>
                </c:pt>
                <c:pt idx="6">
                  <c:v>Olomoucký</c:v>
                </c:pt>
                <c:pt idx="7">
                  <c:v>Pardubický</c:v>
                </c:pt>
                <c:pt idx="8">
                  <c:v>Středočeský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Liberecký</c:v>
                </c:pt>
                <c:pt idx="12">
                  <c:v>Ústecký</c:v>
                </c:pt>
                <c:pt idx="13">
                  <c:v>Karlovarský</c:v>
                </c:pt>
                <c:pt idx="15">
                  <c:v>Česko</c:v>
                </c:pt>
              </c:strCache>
            </c:strRef>
          </c:cat>
          <c:val>
            <c:numRef>
              <c:f>'3.8'!$F$4:$F$19</c:f>
              <c:numCache>
                <c:formatCode>0.0%</c:formatCode>
                <c:ptCount val="16"/>
                <c:pt idx="0">
                  <c:v>0.37569541870253009</c:v>
                </c:pt>
                <c:pt idx="1">
                  <c:v>0.27567120727455702</c:v>
                </c:pt>
                <c:pt idx="2">
                  <c:v>0.30783622364539109</c:v>
                </c:pt>
                <c:pt idx="3">
                  <c:v>0.27161290322580645</c:v>
                </c:pt>
                <c:pt idx="4">
                  <c:v>0.2577756833176249</c:v>
                </c:pt>
                <c:pt idx="5">
                  <c:v>0.25897473239641738</c:v>
                </c:pt>
                <c:pt idx="6">
                  <c:v>0.26711417896270029</c:v>
                </c:pt>
                <c:pt idx="7">
                  <c:v>0.23533221578786956</c:v>
                </c:pt>
                <c:pt idx="8">
                  <c:v>0.26290038117995107</c:v>
                </c:pt>
                <c:pt idx="9">
                  <c:v>0.2341688654353562</c:v>
                </c:pt>
                <c:pt idx="10">
                  <c:v>0.26029380062209356</c:v>
                </c:pt>
                <c:pt idx="11">
                  <c:v>0.22179368507662245</c:v>
                </c:pt>
                <c:pt idx="12">
                  <c:v>0.2270136828006408</c:v>
                </c:pt>
                <c:pt idx="13">
                  <c:v>0.26308483710296399</c:v>
                </c:pt>
                <c:pt idx="15">
                  <c:v>0.27988991631075921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CF-4558-8472-6F809354E5B5}"/>
            </c:ext>
          </c:extLst>
        </c:ser>
        <c:ser>
          <c:idx val="4"/>
          <c:order val="4"/>
          <c:tx>
            <c:strRef>
              <c:f>'3.8'!$G$3</c:f>
              <c:strCache>
                <c:ptCount val="1"/>
                <c:pt idx="0">
                  <c:v>nástavbové studium</c:v>
                </c:pt>
              </c:strCache>
            </c:strRef>
          </c:tx>
          <c:spPr>
            <a:solidFill>
              <a:srgbClr val="BC091B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'3.8'!$B$4:$B$19</c:f>
              <c:strCache>
                <c:ptCount val="16"/>
                <c:pt idx="0">
                  <c:v>Praha</c:v>
                </c:pt>
                <c:pt idx="1">
                  <c:v>Zlínský</c:v>
                </c:pt>
                <c:pt idx="2">
                  <c:v>Jihomoravský</c:v>
                </c:pt>
                <c:pt idx="3">
                  <c:v>Moravskoslezský</c:v>
                </c:pt>
                <c:pt idx="4">
                  <c:v>Vysočina</c:v>
                </c:pt>
                <c:pt idx="5">
                  <c:v>Královéhradecký</c:v>
                </c:pt>
                <c:pt idx="6">
                  <c:v>Olomoucký</c:v>
                </c:pt>
                <c:pt idx="7">
                  <c:v>Pardubický</c:v>
                </c:pt>
                <c:pt idx="8">
                  <c:v>Středočeský</c:v>
                </c:pt>
                <c:pt idx="9">
                  <c:v>Plzeňský</c:v>
                </c:pt>
                <c:pt idx="10">
                  <c:v>Jihočeský</c:v>
                </c:pt>
                <c:pt idx="11">
                  <c:v>Liberecký</c:v>
                </c:pt>
                <c:pt idx="12">
                  <c:v>Ústecký</c:v>
                </c:pt>
                <c:pt idx="13">
                  <c:v>Karlovarský</c:v>
                </c:pt>
                <c:pt idx="15">
                  <c:v>Česko</c:v>
                </c:pt>
              </c:strCache>
            </c:strRef>
          </c:cat>
          <c:val>
            <c:numRef>
              <c:f>'3.8'!$G$4:$G$19</c:f>
              <c:numCache>
                <c:formatCode>0.0%</c:formatCode>
                <c:ptCount val="16"/>
                <c:pt idx="0">
                  <c:v>2.5555125538193606E-2</c:v>
                </c:pt>
                <c:pt idx="1">
                  <c:v>2.90766631923229E-2</c:v>
                </c:pt>
                <c:pt idx="2">
                  <c:v>2.4789522918615529E-2</c:v>
                </c:pt>
                <c:pt idx="3">
                  <c:v>3.463594470046083E-2</c:v>
                </c:pt>
                <c:pt idx="4">
                  <c:v>3.4440779139176876E-2</c:v>
                </c:pt>
                <c:pt idx="5">
                  <c:v>2.0680113594990168E-2</c:v>
                </c:pt>
                <c:pt idx="6">
                  <c:v>3.2423532391868785E-2</c:v>
                </c:pt>
                <c:pt idx="7">
                  <c:v>2.0039622066443157E-2</c:v>
                </c:pt>
                <c:pt idx="8">
                  <c:v>2.4975820674745405E-2</c:v>
                </c:pt>
                <c:pt idx="9">
                  <c:v>3.4057769754200808E-2</c:v>
                </c:pt>
                <c:pt idx="10">
                  <c:v>3.695605309352961E-2</c:v>
                </c:pt>
                <c:pt idx="11">
                  <c:v>2.771778257739381E-2</c:v>
                </c:pt>
                <c:pt idx="12">
                  <c:v>2.6472673792578196E-2</c:v>
                </c:pt>
                <c:pt idx="13">
                  <c:v>1.8943414713807463E-2</c:v>
                </c:pt>
                <c:pt idx="15">
                  <c:v>2.8066679485162591E-2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CCF-4558-8472-6F809354E5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192422400"/>
        <c:axId val="191714944"/>
      </c:barChart>
      <c:catAx>
        <c:axId val="19242240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91714944"/>
        <c:crosses val="autoZero"/>
        <c:auto val="1"/>
        <c:lblAlgn val="ctr"/>
        <c:lblOffset val="100"/>
        <c:noMultiLvlLbl val="0"/>
      </c:catAx>
      <c:valAx>
        <c:axId val="191714944"/>
        <c:scaling>
          <c:orientation val="minMax"/>
        </c:scaling>
        <c:delete val="0"/>
        <c:axPos val="b"/>
        <c:majorGridlines>
          <c:spPr>
            <a:ln>
              <a:noFill/>
            </a:ln>
          </c:spPr>
        </c:majorGridlines>
        <c:numFmt formatCode="0%" sourceLinked="0"/>
        <c:majorTickMark val="out"/>
        <c:minorTickMark val="none"/>
        <c:tickLblPos val="nextTo"/>
        <c:spPr>
          <a:ln>
            <a:solidFill>
              <a:sysClr val="windowText" lastClr="000000"/>
            </a:solidFill>
          </a:ln>
        </c:spPr>
        <c:crossAx val="192422400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7.7862085421140535E-3"/>
          <c:y val="0.88064033980485268"/>
          <c:w val="0.97732497387669803"/>
          <c:h val="5.023888511398004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2">
    <c:autoUpdate val="0"/>
  </c:externalData>
  <c:userShapes r:id="rId3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4542995343972804E-2"/>
          <c:y val="3.4544869007938427E-2"/>
          <c:w val="0.87729424910995035"/>
          <c:h val="0.7550520908812778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'3.9'!$H$3</c:f>
              <c:strCache>
                <c:ptCount val="1"/>
                <c:pt idx="0">
                  <c:v>čtyřleté gymnázium (1.–4. ročník)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'3.9'!$G$4:$G$14</c:f>
              <c:strCache>
                <c:ptCount val="11"/>
                <c:pt idx="0">
                  <c:v>2025/26</c:v>
                </c:pt>
                <c:pt idx="1">
                  <c:v>2024/25</c:v>
                </c:pt>
                <c:pt idx="2">
                  <c:v>2023/24</c:v>
                </c:pt>
                <c:pt idx="3">
                  <c:v>2022/23</c:v>
                </c:pt>
                <c:pt idx="4">
                  <c:v>2021/22</c:v>
                </c:pt>
                <c:pt idx="5">
                  <c:v>2020/21</c:v>
                </c:pt>
                <c:pt idx="6">
                  <c:v>2019/20</c:v>
                </c:pt>
                <c:pt idx="7">
                  <c:v>2018/19</c:v>
                </c:pt>
                <c:pt idx="8">
                  <c:v>2017/18</c:v>
                </c:pt>
                <c:pt idx="9">
                  <c:v>2016/17</c:v>
                </c:pt>
                <c:pt idx="10">
                  <c:v>2015/16</c:v>
                </c:pt>
              </c:strCache>
            </c:strRef>
          </c:cat>
          <c:val>
            <c:numRef>
              <c:f>'3.9'!$H$4:$H$14</c:f>
              <c:numCache>
                <c:formatCode>0.0</c:formatCode>
                <c:ptCount val="11"/>
                <c:pt idx="0">
                  <c:v>58.626199639499198</c:v>
                </c:pt>
                <c:pt idx="1">
                  <c:v>57.509443012170991</c:v>
                </c:pt>
                <c:pt idx="2">
                  <c:v>56.377506314107521</c:v>
                </c:pt>
                <c:pt idx="3">
                  <c:v>55.658215763233265</c:v>
                </c:pt>
                <c:pt idx="4">
                  <c:v>55.096724974115851</c:v>
                </c:pt>
                <c:pt idx="5">
                  <c:v>54.822724191953419</c:v>
                </c:pt>
                <c:pt idx="6">
                  <c:v>54.821476873140384</c:v>
                </c:pt>
                <c:pt idx="7">
                  <c:v>54.74458326743634</c:v>
                </c:pt>
                <c:pt idx="8">
                  <c:v>54.747774480712167</c:v>
                </c:pt>
                <c:pt idx="9">
                  <c:v>54.693571477264982</c:v>
                </c:pt>
                <c:pt idx="10">
                  <c:v>54.272986864648779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F4-43D8-8758-C6E16E892264}"/>
            </c:ext>
          </c:extLst>
        </c:ser>
        <c:ser>
          <c:idx val="1"/>
          <c:order val="1"/>
          <c:tx>
            <c:strRef>
              <c:f>'3.9'!$I$3</c:f>
              <c:strCache>
                <c:ptCount val="1"/>
                <c:pt idx="0">
                  <c:v>šestileté gymnázium (3.–6. ročník)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'3.9'!$G$4:$G$14</c:f>
              <c:strCache>
                <c:ptCount val="11"/>
                <c:pt idx="0">
                  <c:v>2025/26</c:v>
                </c:pt>
                <c:pt idx="1">
                  <c:v>2024/25</c:v>
                </c:pt>
                <c:pt idx="2">
                  <c:v>2023/24</c:v>
                </c:pt>
                <c:pt idx="3">
                  <c:v>2022/23</c:v>
                </c:pt>
                <c:pt idx="4">
                  <c:v>2021/22</c:v>
                </c:pt>
                <c:pt idx="5">
                  <c:v>2020/21</c:v>
                </c:pt>
                <c:pt idx="6">
                  <c:v>2019/20</c:v>
                </c:pt>
                <c:pt idx="7">
                  <c:v>2018/19</c:v>
                </c:pt>
                <c:pt idx="8">
                  <c:v>2017/18</c:v>
                </c:pt>
                <c:pt idx="9">
                  <c:v>2016/17</c:v>
                </c:pt>
                <c:pt idx="10">
                  <c:v>2015/16</c:v>
                </c:pt>
              </c:strCache>
            </c:strRef>
          </c:cat>
          <c:val>
            <c:numRef>
              <c:f>'3.9'!$I$4:$I$14</c:f>
              <c:numCache>
                <c:formatCode>0.0</c:formatCode>
                <c:ptCount val="11"/>
                <c:pt idx="0">
                  <c:v>8.735811370390218</c:v>
                </c:pt>
                <c:pt idx="1">
                  <c:v>8.9673641505286081</c:v>
                </c:pt>
                <c:pt idx="2">
                  <c:v>9.2067419205195602</c:v>
                </c:pt>
                <c:pt idx="3">
                  <c:v>9.3242813196138759</c:v>
                </c:pt>
                <c:pt idx="4">
                  <c:v>9.5329954770857182</c:v>
                </c:pt>
                <c:pt idx="5">
                  <c:v>9.5343385073499185</c:v>
                </c:pt>
                <c:pt idx="6">
                  <c:v>9.5629339103777848</c:v>
                </c:pt>
                <c:pt idx="7">
                  <c:v>9.3954045322066833</c:v>
                </c:pt>
                <c:pt idx="8">
                  <c:v>9.3052755566629681</c:v>
                </c:pt>
                <c:pt idx="9">
                  <c:v>9.2621628377303615</c:v>
                </c:pt>
                <c:pt idx="10">
                  <c:v>9.2267275842375795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F4-43D8-8758-C6E16E892264}"/>
            </c:ext>
          </c:extLst>
        </c:ser>
        <c:ser>
          <c:idx val="2"/>
          <c:order val="2"/>
          <c:tx>
            <c:strRef>
              <c:f>'3.9'!$J$3</c:f>
              <c:strCache>
                <c:ptCount val="1"/>
                <c:pt idx="0">
                  <c:v>osmileté gymnázium (5.–8. ročník)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'3.9'!$G$4:$G$14</c:f>
              <c:strCache>
                <c:ptCount val="11"/>
                <c:pt idx="0">
                  <c:v>2025/26</c:v>
                </c:pt>
                <c:pt idx="1">
                  <c:v>2024/25</c:v>
                </c:pt>
                <c:pt idx="2">
                  <c:v>2023/24</c:v>
                </c:pt>
                <c:pt idx="3">
                  <c:v>2022/23</c:v>
                </c:pt>
                <c:pt idx="4">
                  <c:v>2021/22</c:v>
                </c:pt>
                <c:pt idx="5">
                  <c:v>2020/21</c:v>
                </c:pt>
                <c:pt idx="6">
                  <c:v>2019/20</c:v>
                </c:pt>
                <c:pt idx="7">
                  <c:v>2018/19</c:v>
                </c:pt>
                <c:pt idx="8">
                  <c:v>2017/18</c:v>
                </c:pt>
                <c:pt idx="9">
                  <c:v>2016/17</c:v>
                </c:pt>
                <c:pt idx="10">
                  <c:v>2015/16</c:v>
                </c:pt>
              </c:strCache>
            </c:strRef>
          </c:cat>
          <c:val>
            <c:numRef>
              <c:f>'3.9'!$J$4:$J$14</c:f>
              <c:numCache>
                <c:formatCode>0.0</c:formatCode>
                <c:ptCount val="11"/>
                <c:pt idx="0">
                  <c:v>32.637988990110586</c:v>
                </c:pt>
                <c:pt idx="1">
                  <c:v>33.5231928373004</c:v>
                </c:pt>
                <c:pt idx="2">
                  <c:v>34.415751765372917</c:v>
                </c:pt>
                <c:pt idx="3">
                  <c:v>35.017502917152861</c:v>
                </c:pt>
                <c:pt idx="4">
                  <c:v>35.370279548798429</c:v>
                </c:pt>
                <c:pt idx="5">
                  <c:v>35.642937300696659</c:v>
                </c:pt>
                <c:pt idx="6">
                  <c:v>35.61558921648183</c:v>
                </c:pt>
                <c:pt idx="7">
                  <c:v>35.860012200356969</c:v>
                </c:pt>
                <c:pt idx="8">
                  <c:v>35.946949962624871</c:v>
                </c:pt>
                <c:pt idx="9">
                  <c:v>36.044265685004653</c:v>
                </c:pt>
                <c:pt idx="10">
                  <c:v>36.500285551113649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F4-43D8-8758-C6E16E8922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"/>
        <c:overlap val="100"/>
        <c:axId val="687158624"/>
        <c:axId val="687159040"/>
      </c:barChart>
      <c:catAx>
        <c:axId val="68715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87159040"/>
        <c:crosses val="autoZero"/>
        <c:auto val="1"/>
        <c:lblAlgn val="ctr"/>
        <c:lblOffset val="100"/>
        <c:noMultiLvlLbl val="0"/>
      </c:catAx>
      <c:valAx>
        <c:axId val="687159040"/>
        <c:scaling>
          <c:orientation val="minMax"/>
          <c:max val="1"/>
        </c:scaling>
        <c:delete val="0"/>
        <c:axPos val="b"/>
        <c:numFmt formatCode="0%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87158624"/>
        <c:crosses val="autoZero"/>
        <c:crossBetween val="between"/>
      </c:valAx>
      <c:spPr>
        <a:noFill/>
        <a:ln>
          <a:solidFill>
            <a:schemeClr val="bg1">
              <a:lumMod val="85000"/>
            </a:schemeClr>
          </a:solidFill>
        </a:ln>
        <a:effectLst/>
      </c:spPr>
    </c:plotArea>
    <c:legend>
      <c:legendPos val="b"/>
      <c:layout>
        <c:manualLayout>
          <c:xMode val="edge"/>
          <c:yMode val="edge"/>
          <c:x val="2.5478325224755231E-2"/>
          <c:y val="0.86933835724522168"/>
          <c:w val="0.97452167477524476"/>
          <c:h val="5.07541557305336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0.93931</cdr:y>
    </cdr:from>
    <cdr:to>
      <cdr:x>0.27726</cdr:x>
      <cdr:y>0.99472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A3BF0DB1-B873-3A04-8BF3-099174C82E06}"/>
            </a:ext>
          </a:extLst>
        </cdr:cNvPr>
        <cdr:cNvSpPr/>
      </cdr:nvSpPr>
      <cdr:spPr>
        <a:xfrm xmlns:a="http://schemas.openxmlformats.org/drawingml/2006/main">
          <a:off x="0" y="3390900"/>
          <a:ext cx="1695459" cy="2000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0.xml><?xml version="1.0" encoding="utf-8"?>
<c:userShapes xmlns:c="http://schemas.openxmlformats.org/drawingml/2006/chart">
  <cdr:relSizeAnchor xmlns:cdr="http://schemas.openxmlformats.org/drawingml/2006/chartDrawing">
    <cdr:from>
      <cdr:x>0.65011</cdr:x>
      <cdr:y>0.91885</cdr:y>
    </cdr:from>
    <cdr:to>
      <cdr:x>0.70585</cdr:x>
      <cdr:y>0.97732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3978786" y="3089459"/>
          <a:ext cx="341136" cy="19659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tis.</a:t>
          </a:r>
        </a:p>
      </cdr:txBody>
    </cdr:sp>
  </cdr:relSizeAnchor>
  <cdr:relSizeAnchor xmlns:cdr="http://schemas.openxmlformats.org/drawingml/2006/chartDrawing">
    <cdr:from>
      <cdr:x>0</cdr:x>
      <cdr:y>0.93701</cdr:y>
    </cdr:from>
    <cdr:to>
      <cdr:x>0.33192</cdr:x>
      <cdr:y>0.9915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3400425"/>
          <a:ext cx="1895475" cy="1977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1.xml><?xml version="1.0" encoding="utf-8"?>
<c:userShapes xmlns:c="http://schemas.openxmlformats.org/drawingml/2006/chart">
  <cdr:relSizeAnchor xmlns:cdr="http://schemas.openxmlformats.org/drawingml/2006/chartDrawing">
    <cdr:from>
      <cdr:x>0.64103</cdr:x>
      <cdr:y>0.93017</cdr:y>
    </cdr:from>
    <cdr:to>
      <cdr:x>0.70078</cdr:x>
      <cdr:y>1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3889373" y="3136394"/>
          <a:ext cx="362528" cy="23545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cs-CZ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tis.</a:t>
          </a:r>
        </a:p>
      </cdr:txBody>
    </cdr:sp>
  </cdr:relSizeAnchor>
  <cdr:relSizeAnchor xmlns:cdr="http://schemas.openxmlformats.org/drawingml/2006/chartDrawing">
    <cdr:from>
      <cdr:x>0</cdr:x>
      <cdr:y>0.92185</cdr:y>
    </cdr:from>
    <cdr:to>
      <cdr:x>0.26688</cdr:x>
      <cdr:y>0.98305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310832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2.xml><?xml version="1.0" encoding="utf-8"?>
<c:userShapes xmlns:c="http://schemas.openxmlformats.org/drawingml/2006/chart">
  <cdr:relSizeAnchor xmlns:cdr="http://schemas.openxmlformats.org/drawingml/2006/chartDrawing">
    <cdr:from>
      <cdr:x>0</cdr:x>
      <cdr:y>0.9418</cdr:y>
    </cdr:from>
    <cdr:to>
      <cdr:x>0.2648</cdr:x>
      <cdr:y>0.99093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3956050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3.xml><?xml version="1.0" encoding="utf-8"?>
<c:userShapes xmlns:c="http://schemas.openxmlformats.org/drawingml/2006/chart">
  <cdr:relSizeAnchor xmlns:cdr="http://schemas.openxmlformats.org/drawingml/2006/chartDrawing">
    <cdr:from>
      <cdr:x>0</cdr:x>
      <cdr:y>0.92087</cdr:y>
    </cdr:from>
    <cdr:to>
      <cdr:x>0.29982</cdr:x>
      <cdr:y>0.98516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295592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4.xml><?xml version="1.0" encoding="utf-8"?>
<c:userShapes xmlns:c="http://schemas.openxmlformats.org/drawingml/2006/chart">
  <cdr:relSizeAnchor xmlns:cdr="http://schemas.openxmlformats.org/drawingml/2006/chartDrawing">
    <cdr:from>
      <cdr:x>0</cdr:x>
      <cdr:y>0.93271</cdr:y>
    </cdr:from>
    <cdr:to>
      <cdr:x>0.26154</cdr:x>
      <cdr:y>0.98357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3784600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5.xml><?xml version="1.0" encoding="utf-8"?>
<c:userShapes xmlns:c="http://schemas.openxmlformats.org/drawingml/2006/chart">
  <cdr:relSizeAnchor xmlns:cdr="http://schemas.openxmlformats.org/drawingml/2006/chartDrawing">
    <cdr:from>
      <cdr:x>0.05512</cdr:x>
      <cdr:y>0.59042</cdr:y>
    </cdr:from>
    <cdr:to>
      <cdr:x>0.97806</cdr:x>
      <cdr:y>0.64174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333374" y="2766872"/>
          <a:ext cx="5581651" cy="2405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5875">
          <a:solidFill>
            <a:schemeClr val="accent3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cs-CZ" sz="1100"/>
        </a:p>
      </cdr:txBody>
    </cdr:sp>
  </cdr:relSizeAnchor>
  <cdr:relSizeAnchor xmlns:cdr="http://schemas.openxmlformats.org/drawingml/2006/chartDrawing">
    <cdr:from>
      <cdr:x>0</cdr:x>
      <cdr:y>0.94783</cdr:y>
    </cdr:from>
    <cdr:to>
      <cdr:x>0.26774</cdr:x>
      <cdr:y>0.99187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444182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16.xml><?xml version="1.0" encoding="utf-8"?>
<c:userShapes xmlns:c="http://schemas.openxmlformats.org/drawingml/2006/chart">
  <cdr:relSizeAnchor xmlns:cdr="http://schemas.openxmlformats.org/drawingml/2006/chartDrawing">
    <cdr:from>
      <cdr:x>0</cdr:x>
      <cdr:y>0.94113</cdr:y>
    </cdr:from>
    <cdr:to>
      <cdr:x>0.28716</cdr:x>
      <cdr:y>0.99083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4F3408B5-F041-12F5-7333-D254E505F8D5}"/>
            </a:ext>
          </a:extLst>
        </cdr:cNvPr>
        <cdr:cNvSpPr/>
      </cdr:nvSpPr>
      <cdr:spPr>
        <a:xfrm xmlns:a="http://schemas.openxmlformats.org/drawingml/2006/main">
          <a:off x="0" y="390842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</cdr:x>
      <cdr:y>0.92361</cdr:y>
    </cdr:from>
    <cdr:to>
      <cdr:x>0.17384</cdr:x>
      <cdr:y>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FB36D4C3-C419-D8A8-19B0-D10DDA2635A1}"/>
            </a:ext>
          </a:extLst>
        </cdr:cNvPr>
        <cdr:cNvSpPr/>
      </cdr:nvSpPr>
      <cdr:spPr>
        <a:xfrm xmlns:a="http://schemas.openxmlformats.org/drawingml/2006/main">
          <a:off x="0" y="2533650"/>
          <a:ext cx="923926" cy="2095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</cdr:x>
      <cdr:y>0.92788</cdr:y>
    </cdr:from>
    <cdr:to>
      <cdr:x>0.32638</cdr:x>
      <cdr:y>0.98928</cdr:y>
    </cdr:to>
    <cdr:sp macro="" textlink="">
      <cdr:nvSpPr>
        <cdr:cNvPr id="4" name="Obdélník 3">
          <a:extLst xmlns:a="http://schemas.openxmlformats.org/drawingml/2006/main">
            <a:ext uri="{FF2B5EF4-FFF2-40B4-BE49-F238E27FC236}">
              <a16:creationId xmlns:a16="http://schemas.microsoft.com/office/drawing/2014/main" id="{5B7676EA-5E63-6B4E-EB1B-D1F9474E6A54}"/>
            </a:ext>
          </a:extLst>
        </cdr:cNvPr>
        <cdr:cNvSpPr/>
      </cdr:nvSpPr>
      <cdr:spPr>
        <a:xfrm xmlns:a="http://schemas.openxmlformats.org/drawingml/2006/main">
          <a:off x="0" y="3022600"/>
          <a:ext cx="1970971" cy="2000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1.6277E-7</cdr:x>
      <cdr:y>0.91081</cdr:y>
    </cdr:from>
    <cdr:to>
      <cdr:x>0.26357</cdr:x>
      <cdr:y>0.98328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5503E972-1B3D-73A3-391A-DB5B7FB6B42F}"/>
            </a:ext>
          </a:extLst>
        </cdr:cNvPr>
        <cdr:cNvSpPr/>
      </cdr:nvSpPr>
      <cdr:spPr>
        <a:xfrm xmlns:a="http://schemas.openxmlformats.org/drawingml/2006/main">
          <a:off x="1" y="2593975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0.00743</cdr:x>
      <cdr:y>0.35104</cdr:y>
    </cdr:from>
    <cdr:to>
      <cdr:x>0.04358</cdr:x>
      <cdr:y>0.42089</cdr:y>
    </cdr:to>
    <cdr:sp macro="" textlink="">
      <cdr:nvSpPr>
        <cdr:cNvPr id="2" name="Obdélník 1"/>
        <cdr:cNvSpPr/>
      </cdr:nvSpPr>
      <cdr:spPr>
        <a:xfrm xmlns:a="http://schemas.openxmlformats.org/drawingml/2006/main">
          <a:off x="45457" y="1297321"/>
          <a:ext cx="221244" cy="258144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 vert="vert270"/>
        <a:lstStyle xmlns:a="http://schemas.openxmlformats.org/drawingml/2006/main"/>
        <a:p xmlns:a="http://schemas.openxmlformats.org/drawingml/2006/main">
          <a:r>
            <a:rPr lang="cs-CZ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tis.</a:t>
          </a:r>
        </a:p>
      </cdr:txBody>
    </cdr:sp>
  </cdr:relSizeAnchor>
  <cdr:relSizeAnchor xmlns:cdr="http://schemas.openxmlformats.org/drawingml/2006/chartDrawing">
    <cdr:from>
      <cdr:x>0</cdr:x>
      <cdr:y>0.94416</cdr:y>
    </cdr:from>
    <cdr:to>
      <cdr:x>0.26458</cdr:x>
      <cdr:y>1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541C0B75-EF2F-CB27-4DDA-956DBB59C928}"/>
            </a:ext>
          </a:extLst>
        </cdr:cNvPr>
        <cdr:cNvSpPr/>
      </cdr:nvSpPr>
      <cdr:spPr>
        <a:xfrm xmlns:a="http://schemas.openxmlformats.org/drawingml/2006/main">
          <a:off x="0" y="3489324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0.92015</cdr:x>
      <cdr:y>0.38307</cdr:y>
    </cdr:from>
    <cdr:to>
      <cdr:x>0.99373</cdr:x>
      <cdr:y>0.45807</cdr:y>
    </cdr:to>
    <cdr:sp macro="" textlink="">
      <cdr:nvSpPr>
        <cdr:cNvPr id="2" name="TextovéPole 12"/>
        <cdr:cNvSpPr txBox="1"/>
      </cdr:nvSpPr>
      <cdr:spPr>
        <a:xfrm xmlns:a="http://schemas.openxmlformats.org/drawingml/2006/main">
          <a:off x="5591708" y="1054500"/>
          <a:ext cx="447142" cy="206454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0" tIns="0" rIns="0" bIns="0" rtlCol="0">
          <a:noAutofit/>
        </a:bodyPr>
        <a:lstStyle xmlns:a="http://schemas.openxmlformats.org/drawingml/2006/main">
          <a:defPPr>
            <a:defRPr lang="en-US"/>
          </a:defPPr>
          <a:lvl1pPr algn="l" defTabSz="1042988" rtl="0" fontAlgn="base">
            <a:spcBef>
              <a:spcPct val="0"/>
            </a:spcBef>
            <a:spcAft>
              <a:spcPct val="0"/>
            </a:spcAft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1pPr>
          <a:lvl2pPr marL="520700" indent="-63500" algn="l" defTabSz="1042988" rtl="0" fontAlgn="base">
            <a:spcBef>
              <a:spcPct val="0"/>
            </a:spcBef>
            <a:spcAft>
              <a:spcPct val="0"/>
            </a:spcAft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2pPr>
          <a:lvl3pPr marL="1042988" indent="-128588" algn="l" defTabSz="1042988" rtl="0" fontAlgn="base">
            <a:spcBef>
              <a:spcPct val="0"/>
            </a:spcBef>
            <a:spcAft>
              <a:spcPct val="0"/>
            </a:spcAft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3pPr>
          <a:lvl4pPr marL="1563688" indent="-192088" algn="l" defTabSz="1042988" rtl="0" fontAlgn="base">
            <a:spcBef>
              <a:spcPct val="0"/>
            </a:spcBef>
            <a:spcAft>
              <a:spcPct val="0"/>
            </a:spcAft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4pPr>
          <a:lvl5pPr marL="2085975" indent="-257175" algn="l" defTabSz="1042988" rtl="0" fontAlgn="base">
            <a:spcBef>
              <a:spcPct val="0"/>
            </a:spcBef>
            <a:spcAft>
              <a:spcPct val="0"/>
            </a:spcAft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5pPr>
          <a:lvl6pPr marL="2286000" algn="l" defTabSz="914400" rtl="0" eaLnBrk="1" latinLnBrk="0" hangingPunct="1"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6pPr>
          <a:lvl7pPr marL="2743200" algn="l" defTabSz="914400" rtl="0" eaLnBrk="1" latinLnBrk="0" hangingPunct="1"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7pPr>
          <a:lvl8pPr marL="3200400" algn="l" defTabSz="914400" rtl="0" eaLnBrk="1" latinLnBrk="0" hangingPunct="1"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8pPr>
          <a:lvl9pPr marL="3657600" algn="l" defTabSz="914400" rtl="0" eaLnBrk="1" latinLnBrk="0" hangingPunct="1">
            <a:defRPr sz="2100" kern="1200">
              <a:solidFill>
                <a:schemeClr val="tx1"/>
              </a:solidFill>
              <a:latin typeface="Calibri" pitchFamily="34" charset="0"/>
              <a:ea typeface="+mn-ea"/>
              <a:cs typeface="Arial" charset="0"/>
            </a:defRPr>
          </a:lvl9pPr>
        </a:lstStyle>
        <a:p xmlns:a="http://schemas.openxmlformats.org/drawingml/2006/main">
          <a:r>
            <a:rPr lang="cs-CZ" sz="800" dirty="0">
              <a:solidFill>
                <a:srgbClr val="98700C"/>
              </a:solidFill>
              <a:latin typeface="Arial" pitchFamily="34" charset="0"/>
              <a:cs typeface="Arial" pitchFamily="34" charset="0"/>
            </a:rPr>
            <a:t>celkem</a:t>
          </a:r>
        </a:p>
      </cdr:txBody>
    </cdr:sp>
  </cdr:relSizeAnchor>
  <cdr:relSizeAnchor xmlns:cdr="http://schemas.openxmlformats.org/drawingml/2006/chartDrawing">
    <cdr:from>
      <cdr:x>0.92875</cdr:x>
      <cdr:y>0.27678</cdr:y>
    </cdr:from>
    <cdr:to>
      <cdr:x>0.99487</cdr:x>
      <cdr:y>0.34067</cdr:y>
    </cdr:to>
    <cdr:sp macro="" textlink="">
      <cdr:nvSpPr>
        <cdr:cNvPr id="3" name="TextovéPole 2"/>
        <cdr:cNvSpPr txBox="1"/>
      </cdr:nvSpPr>
      <cdr:spPr>
        <a:xfrm xmlns:a="http://schemas.openxmlformats.org/drawingml/2006/main">
          <a:off x="5643996" y="761892"/>
          <a:ext cx="401808" cy="175872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0" tIns="0" rIns="0" bIns="0" rtlCol="0">
          <a:noAutofit/>
        </a:bodyPr>
        <a:lstStyle xmlns:a="http://schemas.openxmlformats.org/drawingml/2006/main"/>
        <a:p xmlns:a="http://schemas.openxmlformats.org/drawingml/2006/main">
          <a:r>
            <a:rPr lang="cs-CZ" sz="800">
              <a:solidFill>
                <a:srgbClr val="BC5B80"/>
              </a:solidFill>
              <a:latin typeface="Arial" pitchFamily="34" charset="0"/>
              <a:cs typeface="Arial" pitchFamily="34" charset="0"/>
            </a:rPr>
            <a:t>dívky</a:t>
          </a:r>
        </a:p>
      </cdr:txBody>
    </cdr:sp>
  </cdr:relSizeAnchor>
  <cdr:relSizeAnchor xmlns:cdr="http://schemas.openxmlformats.org/drawingml/2006/chartDrawing">
    <cdr:from>
      <cdr:x>0.92231</cdr:x>
      <cdr:y>0.49754</cdr:y>
    </cdr:from>
    <cdr:to>
      <cdr:x>0.98843</cdr:x>
      <cdr:y>0.56144</cdr:y>
    </cdr:to>
    <cdr:sp macro="" textlink="">
      <cdr:nvSpPr>
        <cdr:cNvPr id="4" name="TextovéPole 2"/>
        <cdr:cNvSpPr txBox="1"/>
      </cdr:nvSpPr>
      <cdr:spPr>
        <a:xfrm xmlns:a="http://schemas.openxmlformats.org/drawingml/2006/main">
          <a:off x="5604832" y="1369597"/>
          <a:ext cx="401808" cy="175899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0" tIns="0" rIns="0" bIns="0" rtlCol="0">
          <a:noAutofit/>
        </a:bodyPr>
        <a:lstStyle xmlns:a="http://schemas.openxmlformats.org/drawingml/2006/main"/>
        <a:p xmlns:a="http://schemas.openxmlformats.org/drawingml/2006/main">
          <a:r>
            <a:rPr lang="cs-CZ" sz="800">
              <a:solidFill>
                <a:srgbClr val="0071BC"/>
              </a:solidFill>
              <a:latin typeface="Arial" pitchFamily="34" charset="0"/>
              <a:cs typeface="Arial" pitchFamily="34" charset="0"/>
            </a:rPr>
            <a:t>chlapci</a:t>
          </a:r>
        </a:p>
      </cdr:txBody>
    </cdr:sp>
  </cdr:relSizeAnchor>
  <cdr:relSizeAnchor xmlns:cdr="http://schemas.openxmlformats.org/drawingml/2006/chartDrawing">
    <cdr:from>
      <cdr:x>0</cdr:x>
      <cdr:y>0.91119</cdr:y>
    </cdr:from>
    <cdr:to>
      <cdr:x>0.26646</cdr:x>
      <cdr:y>0.98616</cdr:y>
    </cdr:to>
    <cdr:sp macro="" textlink="">
      <cdr:nvSpPr>
        <cdr:cNvPr id="5" name="Obdélník 4">
          <a:extLst xmlns:a="http://schemas.openxmlformats.org/drawingml/2006/main">
            <a:ext uri="{FF2B5EF4-FFF2-40B4-BE49-F238E27FC236}">
              <a16:creationId xmlns:a16="http://schemas.microsoft.com/office/drawing/2014/main" id="{71AD74F7-5488-AB49-9B4B-2B43E3CB6819}"/>
            </a:ext>
          </a:extLst>
        </cdr:cNvPr>
        <cdr:cNvSpPr/>
      </cdr:nvSpPr>
      <cdr:spPr>
        <a:xfrm xmlns:a="http://schemas.openxmlformats.org/drawingml/2006/main">
          <a:off x="0" y="2508250"/>
          <a:ext cx="1619250" cy="20637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0.92464</cdr:y>
    </cdr:from>
    <cdr:to>
      <cdr:x>0.35263</cdr:x>
      <cdr:y>0.98261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5FEF3F58-0989-FA72-7A4A-88A6AD075DB4}"/>
            </a:ext>
          </a:extLst>
        </cdr:cNvPr>
        <cdr:cNvSpPr/>
      </cdr:nvSpPr>
      <cdr:spPr>
        <a:xfrm xmlns:a="http://schemas.openxmlformats.org/drawingml/2006/main">
          <a:off x="0" y="3038475"/>
          <a:ext cx="1914524" cy="19050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</cdr:x>
      <cdr:y>0.94992</cdr:y>
    </cdr:from>
    <cdr:to>
      <cdr:x>0.29415</cdr:x>
      <cdr:y>1</cdr:y>
    </cdr:to>
    <cdr:sp macro="" textlink="">
      <cdr:nvSpPr>
        <cdr:cNvPr id="2" name="Obdélník 1">
          <a:extLst xmlns:a="http://schemas.openxmlformats.org/drawingml/2006/main">
            <a:ext uri="{FF2B5EF4-FFF2-40B4-BE49-F238E27FC236}">
              <a16:creationId xmlns:a16="http://schemas.microsoft.com/office/drawing/2014/main" id="{726AE832-FCE8-9976-93AD-EBE80F813332}"/>
            </a:ext>
          </a:extLst>
        </cdr:cNvPr>
        <cdr:cNvSpPr/>
      </cdr:nvSpPr>
      <cdr:spPr>
        <a:xfrm xmlns:a="http://schemas.openxmlformats.org/drawingml/2006/main">
          <a:off x="0" y="3095625"/>
          <a:ext cx="1800224" cy="1631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  <a:endParaRPr lang="cs-CZ" sz="1000">
            <a:effectLst/>
            <a:latin typeface="Arial" panose="020B0604020202020204" pitchFamily="34" charset="0"/>
            <a:ea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drawings/drawing9.xml><?xml version="1.0" encoding="utf-8"?>
<c:userShapes xmlns:c="http://schemas.openxmlformats.org/drawingml/2006/chart">
  <cdr:relSizeAnchor xmlns:cdr="http://schemas.openxmlformats.org/drawingml/2006/chartDrawing">
    <cdr:from>
      <cdr:x>0</cdr:x>
      <cdr:y>0.92371</cdr:y>
    </cdr:from>
    <cdr:to>
      <cdr:x>0.29584</cdr:x>
      <cdr:y>1</cdr:y>
    </cdr:to>
    <cdr:sp macro="" textlink="">
      <cdr:nvSpPr>
        <cdr:cNvPr id="3" name="Obdélník 2">
          <a:extLst xmlns:a="http://schemas.openxmlformats.org/drawingml/2006/main">
            <a:ext uri="{FF2B5EF4-FFF2-40B4-BE49-F238E27FC236}">
              <a16:creationId xmlns:a16="http://schemas.microsoft.com/office/drawing/2014/main" id="{E4104342-8833-B0A6-F212-6E99942AA021}"/>
            </a:ext>
          </a:extLst>
        </cdr:cNvPr>
        <cdr:cNvSpPr/>
      </cdr:nvSpPr>
      <cdr:spPr>
        <a:xfrm xmlns:a="http://schemas.openxmlformats.org/drawingml/2006/main">
          <a:off x="0" y="3431352"/>
          <a:ext cx="1828801" cy="28339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3">
          <a:schemeClr val="accent1"/>
        </a:fillRef>
        <a:effectRef xmlns:a="http://schemas.openxmlformats.org/drawingml/2006/main" idx="2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>
            <a:lnSpc>
              <a:spcPct val="120000"/>
            </a:lnSpc>
            <a:spcAft>
              <a:spcPts val="1200"/>
            </a:spcAft>
          </a:pPr>
          <a:r>
            <a:rPr lang="cs-CZ" sz="800">
              <a:solidFill>
                <a:srgbClr val="000000"/>
              </a:solidFill>
              <a:effectLst/>
              <a:latin typeface="Arial" panose="020B0604020202020204" pitchFamily="34" charset="0"/>
              <a:ea typeface="Times New Roman" panose="02020603050405020304" pitchFamily="18" charset="0"/>
              <a:cs typeface="Times New Roman" panose="02020603050405020304" pitchFamily="18" charset="0"/>
            </a:rPr>
            <a:t>Zdroj: ČSÚ podle údajů MŠMT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mbria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tint val="100000"/>
              <a:shade val="100000"/>
              <a:satMod val="130000"/>
            </a:schemeClr>
          </a:gs>
          <a:gs pos="100000">
            <a:schemeClr val="phClr">
              <a:tint val="50000"/>
              <a:shade val="100000"/>
              <a:satMod val="350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ČSÚ barvy - Společnost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CC9610"/>
    </a:accent1>
    <a:accent2>
      <a:srgbClr val="BC5B80"/>
    </a:accent2>
    <a:accent3>
      <a:srgbClr val="BC091B"/>
    </a:accent3>
    <a:accent4>
      <a:srgbClr val="009CB5"/>
    </a:accent4>
    <a:accent5>
      <a:srgbClr val="009471"/>
    </a:accent5>
    <a:accent6>
      <a:srgbClr val="685B7A"/>
    </a:accent6>
    <a:hlink>
      <a:srgbClr val="0563C1"/>
    </a:hlink>
    <a:folHlink>
      <a:srgbClr val="954F72"/>
    </a:folHlink>
  </a:clrScheme>
  <a:fontScheme name="Kancelář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E2EDF-5E2E-491F-9B39-1D7C288B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6256</Words>
  <Characters>36911</Characters>
  <Application>Microsoft Office Word</Application>
  <DocSecurity>0</DocSecurity>
  <Lines>307</Lines>
  <Paragraphs>86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>Analýza - celá</vt:lpstr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43081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23004226a3</dc:title>
  <dc:subject/>
  <dc:creator>vendula.kasparova@czso.cz</dc:creator>
  <cp:keywords/>
  <dc:description/>
  <cp:lastModifiedBy>Wichová Jitka</cp:lastModifiedBy>
  <cp:revision>4</cp:revision>
  <cp:lastPrinted>2025-11-27T13:20:00Z</cp:lastPrinted>
  <dcterms:created xsi:type="dcterms:W3CDTF">2026-08-21T11:11:00Z</dcterms:created>
  <dcterms:modified xsi:type="dcterms:W3CDTF">2026-08-24T06:52:00Z</dcterms:modified>
</cp:coreProperties>
</file>