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4C" w:rsidRPr="00AA6CCC" w:rsidRDefault="004E524C" w:rsidP="0030316C">
      <w:pPr>
        <w:widowControl/>
        <w:jc w:val="center"/>
        <w:rPr>
          <w:rFonts w:ascii="Arial" w:hAnsi="Arial" w:cs="Arial"/>
          <w:bCs/>
          <w:sz w:val="24"/>
          <w:szCs w:val="24"/>
          <w:lang w:val="cs-CZ"/>
        </w:rPr>
      </w:pPr>
      <w:r w:rsidRPr="00AA6CCC">
        <w:rPr>
          <w:rFonts w:ascii="Arial" w:hAnsi="Arial" w:cs="Arial"/>
          <w:b/>
          <w:bCs/>
          <w:sz w:val="24"/>
          <w:szCs w:val="24"/>
          <w:lang w:val="cs-CZ"/>
        </w:rPr>
        <w:t>19. DOPRAVA, INFORMAČNÍ A KOMUNIKAČNÍ ČINNOSTI</w:t>
      </w:r>
    </w:p>
    <w:p w:rsidR="004E524C" w:rsidRPr="00AA6CCC" w:rsidRDefault="004E524C" w:rsidP="0030316C">
      <w:pPr>
        <w:widowControl/>
        <w:rPr>
          <w:rFonts w:ascii="Arial" w:hAnsi="Arial" w:cs="Arial"/>
          <w:bCs/>
          <w:lang w:val="cs-CZ"/>
        </w:rPr>
      </w:pPr>
    </w:p>
    <w:p w:rsidR="00E17EC0" w:rsidRDefault="004E524C" w:rsidP="0030316C">
      <w:pPr>
        <w:pStyle w:val="Zkladntextodsazen"/>
        <w:widowControl/>
        <w:spacing w:before="0"/>
        <w:ind w:firstLine="709"/>
        <w:rPr>
          <w:rFonts w:cs="Arial"/>
        </w:rPr>
      </w:pPr>
      <w:r w:rsidRPr="00AA6CCC">
        <w:rPr>
          <w:rFonts w:cs="Arial"/>
        </w:rPr>
        <w:t>Tato kapitola obsahuje naturální ukazatele za dopravu a finanční ukazatele o ekonomických subjektech zatříděných podle Klasifikace ekonomických činností (CZ-NACE)</w:t>
      </w:r>
      <w:r w:rsidR="00C4387E" w:rsidRPr="00AA6CCC">
        <w:rPr>
          <w:rFonts w:cs="Arial"/>
        </w:rPr>
        <w:t xml:space="preserve"> do sekce H</w:t>
      </w:r>
      <w:r w:rsidR="004C145D">
        <w:rPr>
          <w:rFonts w:cs="Arial"/>
        </w:rPr>
        <w:t xml:space="preserve"> Doprava a </w:t>
      </w:r>
      <w:r w:rsidRPr="00AA6CCC">
        <w:rPr>
          <w:rFonts w:cs="Arial"/>
        </w:rPr>
        <w:t>skladování a sekce J Informační a komunikační činnosti.</w:t>
      </w:r>
    </w:p>
    <w:p w:rsidR="002F477A" w:rsidRDefault="004E524C" w:rsidP="0030316C">
      <w:pPr>
        <w:pStyle w:val="Zkladntextodsazen"/>
        <w:widowControl/>
        <w:ind w:firstLine="709"/>
        <w:rPr>
          <w:rFonts w:cs="Arial"/>
        </w:rPr>
      </w:pPr>
      <w:r w:rsidRPr="00AA6CCC">
        <w:rPr>
          <w:rFonts w:cs="Arial"/>
        </w:rPr>
        <w:t>Do sekce H Doprava a skladování se</w:t>
      </w:r>
      <w:r w:rsidR="00B14EC8" w:rsidRPr="00AA6CCC">
        <w:rPr>
          <w:rFonts w:cs="Arial"/>
        </w:rPr>
        <w:t xml:space="preserve"> </w:t>
      </w:r>
      <w:r w:rsidRPr="00AA6CCC">
        <w:rPr>
          <w:rFonts w:cs="Arial"/>
        </w:rPr>
        <w:t>zařazují ekonomické subjekty, které zabezpečují přepravu osob a věcí, skladování, vedlejší činnosti v dopravě a poštovní a kurýrní činnosti. Do sekce J Informační a komunikační činnosti patří ekonomické subjekty zabývající se např. vydavatelstvím, tvorbou filmů, programů a vysílání, telekomunikacemi, informačními technologiemi a činnostmi.</w:t>
      </w:r>
    </w:p>
    <w:p w:rsidR="004E524C" w:rsidRPr="00AA6CCC" w:rsidRDefault="004E524C" w:rsidP="0030316C">
      <w:pPr>
        <w:pStyle w:val="Zkladntextodsazen2"/>
        <w:widowControl/>
        <w:rPr>
          <w:rFonts w:cs="Arial"/>
          <w:strike/>
        </w:rPr>
      </w:pPr>
      <w:r w:rsidRPr="00AA6CCC">
        <w:rPr>
          <w:rFonts w:cs="Arial"/>
        </w:rPr>
        <w:t>Údaje byly získány z pravidelných statistických zjišťování ČSÚ, z výkaznictví Ministerstva dopravy a</w:t>
      </w:r>
      <w:r w:rsidR="003F1C8E">
        <w:rPr>
          <w:rFonts w:cs="Arial"/>
        </w:rPr>
        <w:t> </w:t>
      </w:r>
      <w:r w:rsidR="0030316C">
        <w:rPr>
          <w:rFonts w:cs="Arial"/>
        </w:rPr>
        <w:t>Ministerstva vnitra.</w:t>
      </w:r>
    </w:p>
    <w:p w:rsidR="004E524C" w:rsidRPr="000F72FC" w:rsidRDefault="004E524C" w:rsidP="0030316C">
      <w:pPr>
        <w:pStyle w:val="Nadpis1"/>
        <w:keepNext w:val="0"/>
        <w:widowControl/>
        <w:ind w:right="0"/>
        <w:rPr>
          <w:rFonts w:ascii="Arial" w:hAnsi="Arial" w:cs="Arial"/>
          <w:b w:val="0"/>
        </w:rPr>
      </w:pPr>
    </w:p>
    <w:p w:rsidR="000F72FC" w:rsidRPr="000F72FC" w:rsidRDefault="000F72FC" w:rsidP="0030316C">
      <w:pPr>
        <w:widowControl/>
        <w:rPr>
          <w:rFonts w:ascii="Arial" w:hAnsi="Arial" w:cs="Arial"/>
          <w:lang w:val="cs-CZ"/>
        </w:rPr>
      </w:pPr>
    </w:p>
    <w:p w:rsidR="004E524C" w:rsidRPr="000F72FC" w:rsidRDefault="004E524C" w:rsidP="0030316C">
      <w:pPr>
        <w:pStyle w:val="Textkomente"/>
        <w:widowControl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pStyle w:val="Nadpis1"/>
        <w:keepNext w:val="0"/>
        <w:widowControl/>
        <w:ind w:right="0"/>
        <w:rPr>
          <w:rFonts w:ascii="Arial" w:hAnsi="Arial" w:cs="Arial"/>
        </w:rPr>
      </w:pPr>
      <w:r w:rsidRPr="00AA6CCC">
        <w:rPr>
          <w:rFonts w:ascii="Arial" w:hAnsi="Arial" w:cs="Arial"/>
        </w:rPr>
        <w:t>Poznámky k tabulkám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ind w:left="709" w:hanging="709"/>
        <w:jc w:val="both"/>
        <w:rPr>
          <w:rFonts w:ascii="Arial" w:hAnsi="Arial" w:cs="Arial"/>
          <w:b/>
          <w:bCs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-1. a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-2., </w:t>
      </w:r>
      <w:r w:rsidRPr="00AA6CCC">
        <w:rPr>
          <w:rFonts w:ascii="Arial" w:hAnsi="Arial" w:cs="Arial"/>
          <w:b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-14. až </w:t>
      </w:r>
      <w:r w:rsidRPr="00AA6CCC">
        <w:rPr>
          <w:rFonts w:ascii="Arial" w:hAnsi="Arial" w:cs="Arial"/>
          <w:b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-16. </w:t>
      </w:r>
      <w:r w:rsidRPr="00AA6CCC">
        <w:rPr>
          <w:rFonts w:ascii="Arial" w:hAnsi="Arial" w:cs="Arial"/>
          <w:b/>
          <w:bCs/>
          <w:lang w:val="cs-CZ"/>
        </w:rPr>
        <w:t>Základní ukazatele dopravy a skladování a za informační a komunikační činnosti</w:t>
      </w:r>
    </w:p>
    <w:p w:rsidR="00E34B50" w:rsidRPr="00E34B50" w:rsidRDefault="00E34B50" w:rsidP="0030316C">
      <w:pPr>
        <w:pStyle w:val="Zkladntextodsazen2"/>
        <w:widowControl/>
        <w:rPr>
          <w:rFonts w:cs="Arial"/>
          <w:bCs/>
        </w:rPr>
      </w:pPr>
      <w:r w:rsidRPr="00E34B50">
        <w:rPr>
          <w:rFonts w:cs="Arial"/>
          <w:b/>
          <w:bCs/>
        </w:rPr>
        <w:t>Aktivní podniky celkem</w:t>
      </w:r>
      <w:r>
        <w:rPr>
          <w:rFonts w:cs="Arial"/>
          <w:b/>
          <w:bCs/>
        </w:rPr>
        <w:t xml:space="preserve"> </w:t>
      </w:r>
      <w:r>
        <w:t>je počet podniků, které byly alespoň po část daného roku aktivní.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Zaměstnané osoby</w:t>
      </w:r>
      <w:r w:rsidRPr="00AA6CCC">
        <w:rPr>
          <w:rFonts w:cs="Arial"/>
        </w:rPr>
        <w:t xml:space="preserve"> zahrnují evidenční počet zaměstnanců ve fyzických osobách, počet </w:t>
      </w:r>
      <w:r w:rsidR="005A2CE3">
        <w:rPr>
          <w:rFonts w:cs="Arial"/>
        </w:rPr>
        <w:t>pracujících podnikatelů a</w:t>
      </w:r>
      <w:r w:rsidR="003F1C8E">
        <w:rPr>
          <w:rFonts w:cs="Arial"/>
        </w:rPr>
        <w:t> </w:t>
      </w:r>
      <w:r w:rsidRPr="00AA6CCC">
        <w:rPr>
          <w:rFonts w:cs="Arial"/>
        </w:rPr>
        <w:t>pomáhajících rodinných příslušníků, pro které je činnost ve firmě hlavním zaměstnáním</w:t>
      </w:r>
      <w:r w:rsidR="006D1ECB">
        <w:rPr>
          <w:rFonts w:cs="Arial"/>
        </w:rPr>
        <w:t xml:space="preserve"> </w:t>
      </w:r>
      <w:r w:rsidRPr="00AA6CCC">
        <w:rPr>
          <w:rFonts w:cs="Arial"/>
        </w:rPr>
        <w:t>a osoby zaměstnávané na dohody přepočtené na obvyklý plný úvazek</w:t>
      </w:r>
      <w:r w:rsidR="00EC57C8">
        <w:rPr>
          <w:rFonts w:cs="Arial"/>
        </w:rPr>
        <w:t xml:space="preserve"> dle </w:t>
      </w:r>
      <w:r w:rsidR="00E34B50">
        <w:rPr>
          <w:rFonts w:cs="Arial"/>
        </w:rPr>
        <w:t>odpracovaných hodin</w:t>
      </w:r>
      <w:r w:rsidRPr="00AA6CCC">
        <w:rPr>
          <w:rFonts w:cs="Arial"/>
        </w:rPr>
        <w:t>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Průměrný evidenční počet zaměstnanců</w:t>
      </w:r>
      <w:r w:rsidRPr="00AA6CCC">
        <w:rPr>
          <w:rFonts w:cs="Arial"/>
        </w:rPr>
        <w:t xml:space="preserve"> je roční aritmetický průměr počtu osob v pracovním poměru k zaměstnavateli. </w:t>
      </w:r>
      <w:r w:rsidRPr="003F7A61">
        <w:rPr>
          <w:rFonts w:cs="Arial"/>
          <w:b/>
        </w:rPr>
        <w:t>Přepočtený počet</w:t>
      </w:r>
      <w:r w:rsidRPr="00AA6CCC">
        <w:rPr>
          <w:rFonts w:cs="Arial"/>
        </w:rPr>
        <w:t xml:space="preserve"> zohledň</w:t>
      </w:r>
      <w:r w:rsidR="0030316C">
        <w:rPr>
          <w:rFonts w:cs="Arial"/>
        </w:rPr>
        <w:t>uje velikost pracovního úvazku.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Mzdy bez OON</w:t>
      </w:r>
      <w:r w:rsidRPr="00AA6CCC">
        <w:rPr>
          <w:rFonts w:cs="Arial"/>
        </w:rPr>
        <w:t xml:space="preserve"> </w:t>
      </w:r>
      <w:r w:rsidR="003359BC">
        <w:rPr>
          <w:rFonts w:cs="Arial"/>
        </w:rPr>
        <w:t xml:space="preserve">(ostatní osobní náklady) </w:t>
      </w:r>
      <w:r w:rsidRPr="00AA6CCC">
        <w:rPr>
          <w:rFonts w:cs="Arial"/>
        </w:rPr>
        <w:t xml:space="preserve">zahrnují základní mzdy a platy </w:t>
      </w:r>
      <w:r w:rsidR="00E34B50">
        <w:rPr>
          <w:rFonts w:cs="Arial"/>
        </w:rPr>
        <w:t xml:space="preserve">zaměstnanců v pracovním poměru </w:t>
      </w:r>
      <w:r w:rsidRPr="00AA6CCC">
        <w:rPr>
          <w:rFonts w:cs="Arial"/>
        </w:rPr>
        <w:t xml:space="preserve">(mzdový tarif, platový tarif, smluvní </w:t>
      </w:r>
      <w:r w:rsidR="003F7A61" w:rsidRPr="00AA6CCC">
        <w:rPr>
          <w:rFonts w:cs="Arial"/>
        </w:rPr>
        <w:t>mzd</w:t>
      </w:r>
      <w:r w:rsidR="003F7A61">
        <w:rPr>
          <w:rFonts w:cs="Arial"/>
        </w:rPr>
        <w:t>u</w:t>
      </w:r>
      <w:r w:rsidRPr="00AA6CCC">
        <w:rPr>
          <w:rFonts w:cs="Arial"/>
        </w:rPr>
        <w:t>), příplatky a doplatky ke mzdě nebo platu, prémie</w:t>
      </w:r>
      <w:r w:rsidR="003359BC">
        <w:rPr>
          <w:rFonts w:cs="Arial"/>
        </w:rPr>
        <w:t>,</w:t>
      </w:r>
      <w:r w:rsidRPr="00AA6CCC">
        <w:rPr>
          <w:rFonts w:cs="Arial"/>
        </w:rPr>
        <w:t xml:space="preserve"> odměny, náhrady mezd a platů, odměny za pracovní pohotovost a jiné složky mzdy nebo platu.</w:t>
      </w:r>
    </w:p>
    <w:p w:rsidR="004E524C" w:rsidRPr="00AA6CCC" w:rsidRDefault="004E524C" w:rsidP="0030316C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ind w:firstLine="709"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b/>
          <w:bCs/>
          <w:lang w:val="cs-CZ"/>
        </w:rPr>
        <w:t>Průměrná hrubá měsíční mzda</w:t>
      </w:r>
      <w:r w:rsidRPr="00AA6CCC">
        <w:rPr>
          <w:rFonts w:ascii="Arial" w:hAnsi="Arial" w:cs="Arial"/>
          <w:lang w:val="cs-CZ"/>
        </w:rPr>
        <w:t xml:space="preserve"> představuje mzdu bez ostatních osobních nákladů připadající na jednoho zaměstnance (fyzickou osobu nebo přepočteného) za měsíc.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Tržby celkem</w:t>
      </w:r>
      <w:r w:rsidRPr="00AA6CCC">
        <w:rPr>
          <w:rFonts w:cs="Arial"/>
        </w:rPr>
        <w:t xml:space="preserve"> zahrnují tržby bez DPH za prodej zbo</w:t>
      </w:r>
      <w:r w:rsidR="0030316C">
        <w:rPr>
          <w:rFonts w:cs="Arial"/>
        </w:rPr>
        <w:t>ží, vlastních výrobků a služeb.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Výkony včetně obchodní marže</w:t>
      </w:r>
      <w:r w:rsidRPr="00AA6CCC">
        <w:rPr>
          <w:rFonts w:cs="Arial"/>
        </w:rPr>
        <w:t xml:space="preserve"> zahrnují tržby za prodej vlastních výrobků a služeb, obchodní marži, změnu stavu zásob vlastní výroby a aktivaci materiálu, zboží, služeb a</w:t>
      </w:r>
      <w:r w:rsidR="003F1C8E">
        <w:rPr>
          <w:rFonts w:cs="Arial"/>
        </w:rPr>
        <w:t> </w:t>
      </w:r>
      <w:r w:rsidRPr="00AA6CCC">
        <w:rPr>
          <w:rFonts w:cs="Arial"/>
        </w:rPr>
        <w:t>dlouhodobého majetku.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Obchodní marže</w:t>
      </w:r>
      <w:r w:rsidRPr="00C55E2B">
        <w:rPr>
          <w:rFonts w:cs="Arial"/>
          <w:bCs/>
        </w:rPr>
        <w:t xml:space="preserve"> je</w:t>
      </w:r>
      <w:r w:rsidRPr="00AA6CCC">
        <w:rPr>
          <w:rFonts w:cs="Arial"/>
          <w:b/>
          <w:bCs/>
        </w:rPr>
        <w:t xml:space="preserve"> </w:t>
      </w:r>
      <w:r w:rsidRPr="00AA6CCC">
        <w:rPr>
          <w:rFonts w:cs="Arial"/>
        </w:rPr>
        <w:t>rozdíl mezi tržbami za prodané zboží a náklady na prodané zboží.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  <w:b/>
          <w:bCs/>
        </w:rPr>
        <w:t>Výkonová spotřeba</w:t>
      </w:r>
      <w:r w:rsidRPr="00AA6CCC">
        <w:rPr>
          <w:rFonts w:cs="Arial"/>
        </w:rPr>
        <w:t xml:space="preserve"> představuje spotřebu materiálu, energií a</w:t>
      </w:r>
      <w:r w:rsidR="003F1C8E">
        <w:rPr>
          <w:rFonts w:cs="Arial"/>
        </w:rPr>
        <w:t> </w:t>
      </w:r>
      <w:r w:rsidR="0030316C">
        <w:rPr>
          <w:rFonts w:cs="Arial"/>
        </w:rPr>
        <w:t>služeb.</w:t>
      </w:r>
    </w:p>
    <w:p w:rsidR="004E524C" w:rsidRDefault="0004706F" w:rsidP="0030316C">
      <w:pPr>
        <w:pStyle w:val="Zkladntextodsazen2"/>
        <w:widowControl/>
        <w:rPr>
          <w:rFonts w:cs="Arial"/>
        </w:rPr>
      </w:pPr>
      <w:r>
        <w:rPr>
          <w:rFonts w:cs="Arial"/>
          <w:b/>
          <w:bCs/>
        </w:rPr>
        <w:t>P</w:t>
      </w:r>
      <w:r w:rsidR="004E524C" w:rsidRPr="00AA6CCC">
        <w:rPr>
          <w:rFonts w:cs="Arial"/>
          <w:b/>
          <w:bCs/>
        </w:rPr>
        <w:t>řidaná hodnota</w:t>
      </w:r>
      <w:r w:rsidR="004E524C" w:rsidRPr="00AA6CCC">
        <w:rPr>
          <w:rFonts w:cs="Arial"/>
        </w:rPr>
        <w:t xml:space="preserve"> je rozdíl mezi výkony</w:t>
      </w:r>
      <w:r w:rsidR="003359BC">
        <w:rPr>
          <w:rFonts w:cs="Arial"/>
        </w:rPr>
        <w:t>,</w:t>
      </w:r>
      <w:r w:rsidR="004E524C" w:rsidRPr="00AA6CCC">
        <w:rPr>
          <w:rFonts w:cs="Arial"/>
        </w:rPr>
        <w:t xml:space="preserve"> vč</w:t>
      </w:r>
      <w:r w:rsidR="003359BC">
        <w:rPr>
          <w:rFonts w:cs="Arial"/>
        </w:rPr>
        <w:t>etně</w:t>
      </w:r>
      <w:r w:rsidR="004E524C" w:rsidRPr="00AA6CCC">
        <w:rPr>
          <w:rFonts w:cs="Arial"/>
        </w:rPr>
        <w:t xml:space="preserve"> obchodní marže a výkonovou spotřebou.</w:t>
      </w:r>
    </w:p>
    <w:p w:rsidR="00E34B50" w:rsidRDefault="00E34B50" w:rsidP="0030316C">
      <w:pPr>
        <w:pStyle w:val="Zkladntextodsazen2"/>
        <w:widowControl/>
        <w:rPr>
          <w:rFonts w:cs="Arial"/>
        </w:rPr>
      </w:pPr>
      <w:r w:rsidRPr="00E34B50">
        <w:rPr>
          <w:rFonts w:cs="Arial"/>
          <w:b/>
        </w:rPr>
        <w:t>Výsledek hospodaření po zdanění</w:t>
      </w:r>
      <w:r>
        <w:rPr>
          <w:rFonts w:cs="Arial"/>
        </w:rPr>
        <w:t xml:space="preserve"> je vypočten jako rozdíl mezi celkovými výnosy a</w:t>
      </w:r>
      <w:r w:rsidR="003F1C8E">
        <w:rPr>
          <w:rFonts w:cs="Arial"/>
        </w:rPr>
        <w:t> </w:t>
      </w:r>
      <w:r>
        <w:rPr>
          <w:rFonts w:cs="Arial"/>
        </w:rPr>
        <w:t>celkovými náklady.</w:t>
      </w:r>
    </w:p>
    <w:p w:rsidR="00E34B50" w:rsidRDefault="00E34B50" w:rsidP="0030316C">
      <w:pPr>
        <w:pStyle w:val="Zkladntextodsazen2"/>
        <w:widowControl/>
        <w:rPr>
          <w:rFonts w:cs="Arial"/>
        </w:rPr>
      </w:pPr>
      <w:r w:rsidRPr="00D27956">
        <w:rPr>
          <w:rFonts w:cs="Arial"/>
          <w:b/>
        </w:rPr>
        <w:t>Aktiva celkem</w:t>
      </w:r>
      <w:r>
        <w:rPr>
          <w:rFonts w:cs="Arial"/>
        </w:rPr>
        <w:t xml:space="preserve"> </w:t>
      </w:r>
      <w:r w:rsidR="00D27956">
        <w:rPr>
          <w:rFonts w:cs="Arial"/>
        </w:rPr>
        <w:t>představují stav majetku v netto hodnotě v podobě stálých, oběžných a</w:t>
      </w:r>
      <w:r w:rsidR="003F1C8E">
        <w:rPr>
          <w:rFonts w:cs="Arial"/>
        </w:rPr>
        <w:t> </w:t>
      </w:r>
      <w:r w:rsidR="00D27956">
        <w:rPr>
          <w:rFonts w:cs="Arial"/>
        </w:rPr>
        <w:t>ostatních aktiv.</w:t>
      </w:r>
    </w:p>
    <w:p w:rsidR="00E34B50" w:rsidRDefault="00E34B50" w:rsidP="0030316C">
      <w:pPr>
        <w:pStyle w:val="Zkladntextodsazen2"/>
        <w:widowControl/>
        <w:rPr>
          <w:rFonts w:cs="Arial"/>
        </w:rPr>
      </w:pPr>
      <w:r w:rsidRPr="00AC7DBE">
        <w:rPr>
          <w:rFonts w:cs="Arial"/>
          <w:b/>
        </w:rPr>
        <w:t xml:space="preserve">Dlouhodobý hmotný majetek </w:t>
      </w:r>
      <w:r w:rsidR="001616B6" w:rsidRPr="00AC7DBE">
        <w:rPr>
          <w:rFonts w:cs="Arial"/>
          <w:b/>
        </w:rPr>
        <w:t xml:space="preserve">v </w:t>
      </w:r>
      <w:r w:rsidRPr="00AC7DBE">
        <w:rPr>
          <w:rFonts w:cs="Arial"/>
          <w:b/>
        </w:rPr>
        <w:t>zůstatkové ceně</w:t>
      </w:r>
      <w:r w:rsidR="001616B6">
        <w:rPr>
          <w:rFonts w:cs="Arial"/>
        </w:rPr>
        <w:t xml:space="preserve"> </w:t>
      </w:r>
      <w:r w:rsidR="00AC7DBE">
        <w:rPr>
          <w:rFonts w:cs="Arial"/>
        </w:rPr>
        <w:t>představuje pozemky, stavby</w:t>
      </w:r>
      <w:r w:rsidR="003359BC">
        <w:rPr>
          <w:rFonts w:cs="Arial"/>
        </w:rPr>
        <w:t>,</w:t>
      </w:r>
      <w:r w:rsidR="00AC7DBE">
        <w:rPr>
          <w:rFonts w:cs="Arial"/>
        </w:rPr>
        <w:t xml:space="preserve"> vč</w:t>
      </w:r>
      <w:r w:rsidR="003359BC">
        <w:rPr>
          <w:rFonts w:cs="Arial"/>
        </w:rPr>
        <w:t>etně</w:t>
      </w:r>
      <w:r w:rsidR="00AC7DBE">
        <w:rPr>
          <w:rFonts w:cs="Arial"/>
        </w:rPr>
        <w:t xml:space="preserve"> budov, samostatné movité věci a soubory movitých vě</w:t>
      </w:r>
      <w:r w:rsidR="00615D87">
        <w:rPr>
          <w:rFonts w:cs="Arial"/>
        </w:rPr>
        <w:t>c</w:t>
      </w:r>
      <w:r w:rsidR="00AC7DBE">
        <w:rPr>
          <w:rFonts w:cs="Arial"/>
        </w:rPr>
        <w:t>í,</w:t>
      </w:r>
      <w:r w:rsidR="00615D87">
        <w:rPr>
          <w:rFonts w:cs="Arial"/>
        </w:rPr>
        <w:t xml:space="preserve"> </w:t>
      </w:r>
      <w:r w:rsidR="00AC7DBE">
        <w:rPr>
          <w:rFonts w:cs="Arial"/>
        </w:rPr>
        <w:t>pěstitelské celky trvalých porostů, základní stádo a</w:t>
      </w:r>
      <w:r w:rsidR="003F1C8E">
        <w:rPr>
          <w:rFonts w:cs="Arial"/>
        </w:rPr>
        <w:t> </w:t>
      </w:r>
      <w:r w:rsidR="00AC7DBE">
        <w:rPr>
          <w:rFonts w:cs="Arial"/>
        </w:rPr>
        <w:t>tažná zvířata, nedokončený a jiný dlouhodobý hmotný majetek, poskytnuté zálohy na dlouhodobý hmotný majetek a oceňovací rozdíl k nabytému majetku.</w:t>
      </w:r>
    </w:p>
    <w:p w:rsidR="00E34B50" w:rsidRDefault="00E34B50" w:rsidP="0030316C">
      <w:pPr>
        <w:pStyle w:val="Zkladntextodsazen2"/>
        <w:widowControl/>
        <w:rPr>
          <w:rFonts w:cs="Arial"/>
        </w:rPr>
      </w:pPr>
      <w:r w:rsidRPr="00E34B50">
        <w:rPr>
          <w:rFonts w:cs="Arial"/>
          <w:b/>
        </w:rPr>
        <w:t>Zásoby</w:t>
      </w:r>
      <w:r>
        <w:rPr>
          <w:rFonts w:cs="Arial"/>
        </w:rPr>
        <w:t xml:space="preserve"> zahrnují materiál, nedokončenou výrobu a polotovary, výrobky, zvířata a zboží bez poskytnutých záloh.</w:t>
      </w:r>
    </w:p>
    <w:p w:rsidR="00D27956" w:rsidRPr="00AA6CCC" w:rsidRDefault="00D27956" w:rsidP="0030316C">
      <w:pPr>
        <w:pStyle w:val="Zkladntextodsazen2"/>
        <w:widowControl/>
        <w:ind w:firstLine="720"/>
        <w:rPr>
          <w:rFonts w:cs="Arial"/>
        </w:rPr>
      </w:pPr>
      <w:r w:rsidRPr="00DA3909">
        <w:rPr>
          <w:rFonts w:cs="Arial"/>
        </w:rPr>
        <w:t>Stavové ukazatele</w:t>
      </w:r>
      <w:r>
        <w:rPr>
          <w:rFonts w:cs="Arial"/>
        </w:rPr>
        <w:t xml:space="preserve"> jsou k 31.</w:t>
      </w:r>
      <w:r w:rsidR="006D1ECB">
        <w:rPr>
          <w:rFonts w:cs="Arial"/>
        </w:rPr>
        <w:t> </w:t>
      </w:r>
      <w:r w:rsidR="001B3521">
        <w:rPr>
          <w:rFonts w:cs="Arial"/>
        </w:rPr>
        <w:t>prosinci referenčního roku.</w:t>
      </w:r>
    </w:p>
    <w:p w:rsidR="004E524C" w:rsidRPr="00AA6CCC" w:rsidRDefault="004E524C" w:rsidP="0030316C">
      <w:pPr>
        <w:pStyle w:val="Zkladntextodsazen2"/>
        <w:widowControl/>
        <w:spacing w:before="0"/>
        <w:ind w:firstLine="0"/>
        <w:rPr>
          <w:rFonts w:cs="Arial"/>
        </w:rPr>
      </w:pPr>
    </w:p>
    <w:p w:rsidR="004E524C" w:rsidRPr="00AA6CCC" w:rsidRDefault="004E524C" w:rsidP="0030316C">
      <w:pPr>
        <w:pStyle w:val="Zkladntextodsazen2"/>
        <w:widowControl/>
        <w:spacing w:before="0"/>
        <w:ind w:firstLine="0"/>
        <w:rPr>
          <w:rFonts w:cs="Arial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b/>
          <w:bCs/>
          <w:lang w:val="cs-CZ"/>
        </w:rPr>
      </w:pPr>
      <w:r w:rsidRPr="00AA6CCC">
        <w:rPr>
          <w:rFonts w:ascii="Arial" w:hAnsi="Arial" w:cs="Arial"/>
          <w:lang w:val="cs-CZ"/>
        </w:rPr>
        <w:t>Tab.</w:t>
      </w:r>
      <w:r w:rsidRPr="006D1ECB">
        <w:rPr>
          <w:rFonts w:ascii="Arial" w:hAnsi="Arial" w:cs="Arial"/>
          <w:bCs/>
          <w:lang w:val="cs-CZ"/>
        </w:rPr>
        <w:t xml:space="preserve">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-3. </w:t>
      </w:r>
      <w:r w:rsidRPr="00AA6CCC">
        <w:rPr>
          <w:rFonts w:ascii="Arial" w:hAnsi="Arial" w:cs="Arial"/>
          <w:b/>
          <w:bCs/>
          <w:lang w:val="cs-CZ"/>
        </w:rPr>
        <w:t>Výkony železniční dopravy</w:t>
      </w:r>
    </w:p>
    <w:p w:rsidR="004E524C" w:rsidRPr="00AA6CCC" w:rsidRDefault="004E524C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>V počtu přepravených osob jsou zahrnuty všechny kategorie platících přepravených osob.</w:t>
      </w:r>
    </w:p>
    <w:p w:rsidR="004E524C" w:rsidRPr="00AA6CCC" w:rsidRDefault="00206A4F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206A4F">
        <w:rPr>
          <w:rFonts w:ascii="Arial" w:hAnsi="Arial" w:cs="Arial"/>
          <w:b/>
          <w:lang w:val="cs-CZ"/>
        </w:rPr>
        <w:t>Osobový kilometr</w:t>
      </w:r>
      <w:r w:rsidR="004E524C" w:rsidRPr="00AA6CCC">
        <w:rPr>
          <w:rFonts w:ascii="Arial" w:hAnsi="Arial" w:cs="Arial"/>
          <w:lang w:val="cs-CZ"/>
        </w:rPr>
        <w:t xml:space="preserve"> (oskm) osobní dopravy se rovná přepravě jedné osoby na vzdálenost jednoho kilometru.</w:t>
      </w:r>
    </w:p>
    <w:p w:rsidR="004E524C" w:rsidRPr="00AA6CCC" w:rsidRDefault="00206A4F" w:rsidP="0030316C">
      <w:pPr>
        <w:pStyle w:val="Zkladntextodsazen"/>
        <w:widowControl/>
        <w:ind w:firstLine="709"/>
        <w:rPr>
          <w:rFonts w:cs="Arial"/>
        </w:rPr>
      </w:pPr>
      <w:r w:rsidRPr="00206A4F">
        <w:rPr>
          <w:rFonts w:cs="Arial"/>
          <w:b/>
        </w:rPr>
        <w:t>Tarifní tunový kilometr</w:t>
      </w:r>
      <w:r w:rsidR="004E524C" w:rsidRPr="00AA6CCC">
        <w:rPr>
          <w:rFonts w:cs="Arial"/>
        </w:rPr>
        <w:t xml:space="preserve"> (ttkm) charakterizuje výkon při přepravě zboží podle tarifní vzdálenosti. Tarifní vzdálenost je dána kilometrovníkem a používá se k výpočtu přepravného. Jeden ttkm se rovná přepravě jedné</w:t>
      </w:r>
      <w:r w:rsidR="003F1C8E">
        <w:rPr>
          <w:rFonts w:cs="Arial"/>
        </w:rPr>
        <w:t xml:space="preserve"> </w:t>
      </w:r>
      <w:r w:rsidR="004E524C" w:rsidRPr="00AA6CCC">
        <w:rPr>
          <w:rFonts w:cs="Arial"/>
        </w:rPr>
        <w:t>tuny zboží na tarifní vzdálenost jednoho kilometru.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-4. </w:t>
      </w:r>
      <w:r w:rsidRPr="00AA6CCC">
        <w:rPr>
          <w:rFonts w:ascii="Arial" w:hAnsi="Arial" w:cs="Arial"/>
          <w:b/>
          <w:bCs/>
          <w:lang w:val="cs-CZ"/>
        </w:rPr>
        <w:t>Vybrané ukazatele železniční dopravy</w:t>
      </w:r>
    </w:p>
    <w:p w:rsidR="004E524C" w:rsidRPr="00AA6CCC" w:rsidRDefault="00206A4F" w:rsidP="0030316C">
      <w:pPr>
        <w:pStyle w:val="Zkladntextodsazen"/>
        <w:widowControl/>
        <w:ind w:firstLine="709"/>
        <w:rPr>
          <w:rFonts w:cs="Arial"/>
        </w:rPr>
      </w:pPr>
      <w:r w:rsidRPr="00206A4F">
        <w:rPr>
          <w:rFonts w:cs="Arial"/>
          <w:b/>
        </w:rPr>
        <w:t>Vlakový kilometr</w:t>
      </w:r>
      <w:r w:rsidR="004E524C" w:rsidRPr="00AA6CCC">
        <w:rPr>
          <w:rFonts w:cs="Arial"/>
        </w:rPr>
        <w:t xml:space="preserve"> (vlkm) osobní dopravy vyjadřuje přemístění jednoho osobního vlaku, příp. sólo motorového vozu</w:t>
      </w:r>
      <w:r w:rsidR="003359BC">
        <w:rPr>
          <w:rFonts w:cs="Arial"/>
        </w:rPr>
        <w:t>,</w:t>
      </w:r>
      <w:r w:rsidR="004E524C" w:rsidRPr="00AA6CCC">
        <w:rPr>
          <w:rFonts w:cs="Arial"/>
        </w:rPr>
        <w:t xml:space="preserve"> o jeden kilometr.</w:t>
      </w:r>
    </w:p>
    <w:p w:rsidR="004E524C" w:rsidRPr="00AA6CCC" w:rsidRDefault="00206A4F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206A4F">
        <w:rPr>
          <w:rFonts w:ascii="Arial" w:hAnsi="Arial" w:cs="Arial"/>
          <w:b/>
          <w:lang w:val="cs-CZ"/>
        </w:rPr>
        <w:t>Hrubý tunový kilometr</w:t>
      </w:r>
      <w:r w:rsidR="004E524C" w:rsidRPr="00AA6CCC">
        <w:rPr>
          <w:rFonts w:ascii="Arial" w:hAnsi="Arial" w:cs="Arial"/>
          <w:lang w:val="cs-CZ"/>
        </w:rPr>
        <w:t xml:space="preserve"> (hrtkm) je jednotkou hrubého výkonu hnacích vozidel a charakterizuje celkový objem dopravní činnosti. Do propočtu vstupuje nejen hmotnost přepravovaných věcí, ale i hmotnost vlastního železničního vozu bez hnacího vozidla.</w:t>
      </w:r>
    </w:p>
    <w:p w:rsidR="004E524C" w:rsidRPr="00AA6CCC" w:rsidRDefault="00206A4F" w:rsidP="0030316C">
      <w:pPr>
        <w:pStyle w:val="Zkladntextodsazen"/>
        <w:widowControl/>
        <w:ind w:firstLine="709"/>
        <w:rPr>
          <w:rFonts w:cs="Arial"/>
        </w:rPr>
      </w:pPr>
      <w:r w:rsidRPr="00206A4F">
        <w:rPr>
          <w:rFonts w:cs="Arial"/>
          <w:b/>
        </w:rPr>
        <w:t>Vlakový kilometr</w:t>
      </w:r>
      <w:r w:rsidR="004E524C" w:rsidRPr="00AA6CCC">
        <w:rPr>
          <w:rFonts w:cs="Arial"/>
        </w:rPr>
        <w:t xml:space="preserve"> (vlkm) nákladní dopravy vyjadřuje přemístění jednoho nákladního vlaku o jeden kilometr.</w:t>
      </w:r>
    </w:p>
    <w:p w:rsidR="004E524C" w:rsidRPr="00AA6CCC" w:rsidRDefault="004E524C" w:rsidP="0030316C">
      <w:pPr>
        <w:pStyle w:val="Zkladntextodsazen3"/>
        <w:widowControl/>
        <w:ind w:firstLine="0"/>
        <w:rPr>
          <w:rFonts w:cs="Arial"/>
        </w:rPr>
      </w:pPr>
    </w:p>
    <w:p w:rsidR="004E524C" w:rsidRPr="00AA6CCC" w:rsidRDefault="004E524C" w:rsidP="0030316C">
      <w:pPr>
        <w:pStyle w:val="Zkladntextodsazen3"/>
        <w:widowControl/>
        <w:ind w:firstLine="0"/>
        <w:rPr>
          <w:rFonts w:cs="Arial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-6. </w:t>
      </w:r>
      <w:r w:rsidRPr="00AA6CCC">
        <w:rPr>
          <w:rFonts w:ascii="Arial" w:hAnsi="Arial" w:cs="Arial"/>
          <w:b/>
          <w:bCs/>
          <w:lang w:val="cs-CZ"/>
        </w:rPr>
        <w:t>Výkony silniční dopravy</w:t>
      </w:r>
    </w:p>
    <w:p w:rsidR="004E524C" w:rsidRPr="00AA6CCC" w:rsidRDefault="00206A4F" w:rsidP="0030316C">
      <w:pPr>
        <w:pStyle w:val="Zkladntext2"/>
        <w:widowControl/>
        <w:ind w:firstLine="709"/>
        <w:rPr>
          <w:rFonts w:cs="Arial"/>
        </w:rPr>
      </w:pPr>
      <w:r w:rsidRPr="00206A4F">
        <w:rPr>
          <w:rFonts w:cs="Arial"/>
          <w:b/>
        </w:rPr>
        <w:t>Počet přepravených osob</w:t>
      </w:r>
      <w:r w:rsidR="004E524C" w:rsidRPr="00AA6CCC">
        <w:rPr>
          <w:rFonts w:cs="Arial"/>
        </w:rPr>
        <w:t xml:space="preserve"> vyjadřuje objem pravidelné i nepravidelné autobusové přepravy. Předplatné (časové) jízdenky jsou přepočítávány na přepravené osoby.</w:t>
      </w:r>
    </w:p>
    <w:p w:rsidR="004E524C" w:rsidRPr="00AA6CCC" w:rsidRDefault="00206A4F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206A4F">
        <w:rPr>
          <w:rFonts w:ascii="Arial" w:hAnsi="Arial" w:cs="Arial"/>
          <w:b/>
          <w:lang w:val="cs-CZ"/>
        </w:rPr>
        <w:t>Přepravní výkony</w:t>
      </w:r>
      <w:r w:rsidR="004E524C" w:rsidRPr="00AA6CCC">
        <w:rPr>
          <w:rFonts w:ascii="Arial" w:hAnsi="Arial" w:cs="Arial"/>
          <w:lang w:val="cs-CZ"/>
        </w:rPr>
        <w:t xml:space="preserve"> v osobových kilometrech (oskm) jsou získávány na podkladě přepočtu z objemu dosažených tržeb v Kč (při zachování poměru skutečně přepravených osob a ujetých km).</w:t>
      </w:r>
    </w:p>
    <w:p w:rsidR="004E524C" w:rsidRPr="00AA6CCC" w:rsidRDefault="00206A4F" w:rsidP="0030316C">
      <w:pPr>
        <w:pStyle w:val="Zkladntextodsazen2"/>
        <w:widowControl/>
        <w:rPr>
          <w:rFonts w:cs="Arial"/>
        </w:rPr>
      </w:pPr>
      <w:r w:rsidRPr="00206A4F">
        <w:rPr>
          <w:rFonts w:cs="Arial"/>
          <w:b/>
        </w:rPr>
        <w:t>Objem přepravy věcí</w:t>
      </w:r>
      <w:r w:rsidR="004E524C" w:rsidRPr="00AA6CCC">
        <w:rPr>
          <w:rFonts w:cs="Arial"/>
        </w:rPr>
        <w:t xml:space="preserve"> v tunách vyjadřuje skutečnou hmotnost věcí, které byly přepraveny silničními nákladními vozidly (vč. přívěsů a návěsů) registrovanými v České republice.</w:t>
      </w:r>
    </w:p>
    <w:p w:rsidR="004E524C" w:rsidRPr="00AA6CCC" w:rsidRDefault="004E524C" w:rsidP="0030316C">
      <w:pPr>
        <w:pStyle w:val="Zkladntextodsazen2"/>
        <w:widowControl/>
        <w:spacing w:before="0"/>
        <w:ind w:firstLine="0"/>
        <w:rPr>
          <w:rFonts w:cs="Arial"/>
        </w:rPr>
      </w:pPr>
    </w:p>
    <w:p w:rsidR="004E524C" w:rsidRPr="00AA6CCC" w:rsidRDefault="004E524C" w:rsidP="0030316C">
      <w:pPr>
        <w:pStyle w:val="Zkladntextodsazen2"/>
        <w:widowControl/>
        <w:spacing w:before="0"/>
        <w:ind w:firstLine="0"/>
        <w:rPr>
          <w:rFonts w:cs="Arial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-8. </w:t>
      </w:r>
      <w:r w:rsidRPr="00AA6CCC">
        <w:rPr>
          <w:rFonts w:ascii="Arial" w:hAnsi="Arial" w:cs="Arial"/>
          <w:b/>
          <w:bCs/>
          <w:lang w:val="cs-CZ"/>
        </w:rPr>
        <w:t>Motorová a přípojná vozidla</w:t>
      </w:r>
    </w:p>
    <w:p w:rsidR="004E524C" w:rsidRDefault="004E524C" w:rsidP="0030316C">
      <w:pPr>
        <w:pStyle w:val="Zkladntextodsazen"/>
        <w:widowControl/>
        <w:ind w:firstLine="709"/>
        <w:rPr>
          <w:rFonts w:cs="Arial"/>
        </w:rPr>
      </w:pPr>
      <w:r w:rsidRPr="00AA6CCC">
        <w:rPr>
          <w:rFonts w:cs="Arial"/>
        </w:rPr>
        <w:t>Počty silničních motorových vozidel jsou převzaty ze statistiky Ministerstva dopravy (z Centrálního registru vozidel). Evidována jsou všechna motorová vozidla, která měla k 31. </w:t>
      </w:r>
      <w:r w:rsidR="00B87C12">
        <w:rPr>
          <w:rFonts w:cs="Arial"/>
        </w:rPr>
        <w:t>prosinci</w:t>
      </w:r>
      <w:r w:rsidR="00B87C12" w:rsidRPr="00AA6CCC">
        <w:rPr>
          <w:rFonts w:cs="Arial"/>
        </w:rPr>
        <w:t xml:space="preserve"> </w:t>
      </w:r>
      <w:r w:rsidR="003359BC">
        <w:rPr>
          <w:rFonts w:cs="Arial"/>
        </w:rPr>
        <w:t xml:space="preserve">referenčního roku </w:t>
      </w:r>
      <w:r w:rsidRPr="00AA6CCC">
        <w:rPr>
          <w:rFonts w:cs="Arial"/>
        </w:rPr>
        <w:t>přidělenu státní poznávací značku.</w:t>
      </w:r>
    </w:p>
    <w:p w:rsidR="004E524C" w:rsidRPr="00AA6CCC" w:rsidRDefault="0040287D" w:rsidP="0030316C">
      <w:pPr>
        <w:pStyle w:val="Zkladntextodsazen"/>
        <w:widowControl/>
        <w:ind w:firstLine="720"/>
        <w:rPr>
          <w:rFonts w:cs="Arial"/>
        </w:rPr>
      </w:pPr>
      <w:r w:rsidRPr="003F7A61">
        <w:rPr>
          <w:rFonts w:cs="Arial"/>
        </w:rPr>
        <w:t>Z důvodu přechodu na nový systém evidence vozidel v Centrálním registru vozidel v souladu s legislativou EU nejsou údaje k 31</w:t>
      </w:r>
      <w:r w:rsidR="006D1ECB" w:rsidRPr="003F7A61">
        <w:rPr>
          <w:rFonts w:cs="Arial"/>
        </w:rPr>
        <w:t>. </w:t>
      </w:r>
      <w:r w:rsidR="004D0B17">
        <w:rPr>
          <w:rFonts w:cs="Arial"/>
        </w:rPr>
        <w:t>prosinc</w:t>
      </w:r>
      <w:r w:rsidR="00E53B75">
        <w:rPr>
          <w:rFonts w:cs="Arial"/>
        </w:rPr>
        <w:t>i</w:t>
      </w:r>
      <w:r w:rsidR="006D1ECB" w:rsidRPr="003F7A61">
        <w:rPr>
          <w:rFonts w:cs="Arial"/>
        </w:rPr>
        <w:t> </w:t>
      </w:r>
      <w:r w:rsidRPr="003F7A61">
        <w:rPr>
          <w:rFonts w:cs="Arial"/>
        </w:rPr>
        <w:t>2012 k</w:t>
      </w:r>
      <w:r w:rsidR="003974BD" w:rsidRPr="003F7A61">
        <w:rPr>
          <w:rFonts w:cs="Arial"/>
        </w:rPr>
        <w:t> </w:t>
      </w:r>
      <w:r w:rsidRPr="003F7A61">
        <w:rPr>
          <w:rFonts w:cs="Arial"/>
        </w:rPr>
        <w:t>dispozici (uvedené údaje za rok 2012 jsou k 1</w:t>
      </w:r>
      <w:r w:rsidR="006D1ECB" w:rsidRPr="003F7A61">
        <w:rPr>
          <w:rFonts w:cs="Arial"/>
        </w:rPr>
        <w:t>. </w:t>
      </w:r>
      <w:r w:rsidR="004D0B17">
        <w:rPr>
          <w:rFonts w:cs="Arial"/>
        </w:rPr>
        <w:t>červenci</w:t>
      </w:r>
      <w:r w:rsidR="006D1ECB" w:rsidRPr="003F7A61">
        <w:rPr>
          <w:rFonts w:cs="Arial"/>
        </w:rPr>
        <w:t> </w:t>
      </w:r>
      <w:r w:rsidRPr="003F7A61">
        <w:rPr>
          <w:rFonts w:cs="Arial"/>
        </w:rPr>
        <w:t>201</w:t>
      </w:r>
      <w:r w:rsidR="00E2226D" w:rsidRPr="003F7A61">
        <w:rPr>
          <w:rFonts w:cs="Arial"/>
        </w:rPr>
        <w:t>3</w:t>
      </w:r>
      <w:r w:rsidRPr="003F7A61">
        <w:rPr>
          <w:rFonts w:cs="Arial"/>
        </w:rPr>
        <w:t>).</w:t>
      </w:r>
    </w:p>
    <w:p w:rsidR="004E524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3E0F70" w:rsidRPr="00AA6CCC" w:rsidRDefault="003E0F70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-10. </w:t>
      </w:r>
      <w:r w:rsidRPr="00AA6CCC">
        <w:rPr>
          <w:rFonts w:ascii="Arial" w:hAnsi="Arial" w:cs="Arial"/>
          <w:b/>
          <w:bCs/>
          <w:lang w:val="cs-CZ"/>
        </w:rPr>
        <w:t>Výkony potrubní dopravy v oblasti přepravy ropy</w:t>
      </w:r>
    </w:p>
    <w:p w:rsidR="004E524C" w:rsidRPr="00AA6CCC" w:rsidRDefault="004E524C" w:rsidP="0030316C">
      <w:pPr>
        <w:pStyle w:val="Zkladntext2"/>
        <w:widowControl/>
        <w:ind w:firstLine="709"/>
        <w:rPr>
          <w:rFonts w:cs="Arial"/>
        </w:rPr>
      </w:pPr>
      <w:r w:rsidRPr="00AA6CCC">
        <w:rPr>
          <w:rFonts w:cs="Arial"/>
        </w:rPr>
        <w:t>Do objemu přepravené ropy celkem (</w:t>
      </w:r>
      <w:r w:rsidR="006D1ECB" w:rsidRPr="00AA6CCC">
        <w:rPr>
          <w:rFonts w:cs="Arial"/>
        </w:rPr>
        <w:t>v</w:t>
      </w:r>
      <w:r w:rsidR="006D1ECB">
        <w:rPr>
          <w:rFonts w:cs="Arial"/>
        </w:rPr>
        <w:t> </w:t>
      </w:r>
      <w:r w:rsidRPr="00AA6CCC">
        <w:rPr>
          <w:rFonts w:cs="Arial"/>
        </w:rPr>
        <w:t xml:space="preserve">tunách) je zahrnuta jak přeprava, tak i dodávka ropy. </w:t>
      </w:r>
      <w:r w:rsidR="00206A4F" w:rsidRPr="00206A4F">
        <w:rPr>
          <w:rFonts w:cs="Arial"/>
          <w:b/>
        </w:rPr>
        <w:t>Přepravou</w:t>
      </w:r>
      <w:r w:rsidRPr="00AA6CCC">
        <w:rPr>
          <w:rFonts w:cs="Arial"/>
        </w:rPr>
        <w:t xml:space="preserve"> se rozumí pohyb ropy od hranic do nádrží na centrálním tankovišti ropy. </w:t>
      </w:r>
      <w:r w:rsidR="00206A4F" w:rsidRPr="00206A4F">
        <w:rPr>
          <w:rFonts w:cs="Arial"/>
          <w:b/>
        </w:rPr>
        <w:t>Dodávkou</w:t>
      </w:r>
      <w:r w:rsidRPr="00AA6CCC">
        <w:rPr>
          <w:rFonts w:cs="Arial"/>
        </w:rPr>
        <w:t xml:space="preserve"> se rozumí pohyb ropy do nádrží zákazníka nejen přímo z ropovodu, ale i</w:t>
      </w:r>
      <w:r w:rsidR="003F1C8E">
        <w:rPr>
          <w:rFonts w:cs="Arial"/>
        </w:rPr>
        <w:t> </w:t>
      </w:r>
      <w:r w:rsidRPr="00AA6CCC">
        <w:rPr>
          <w:rFonts w:cs="Arial"/>
        </w:rPr>
        <w:t>z nádrží na centrálním tankovišti ropy.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t xml:space="preserve">Tab.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-11. </w:t>
      </w:r>
      <w:r w:rsidRPr="00AA6CCC">
        <w:rPr>
          <w:rFonts w:ascii="Arial" w:hAnsi="Arial" w:cs="Arial"/>
          <w:b/>
          <w:bCs/>
          <w:lang w:val="cs-CZ"/>
        </w:rPr>
        <w:t>Výkony letecké dopravy</w:t>
      </w:r>
    </w:p>
    <w:p w:rsidR="004E524C" w:rsidRPr="00AA6CCC" w:rsidRDefault="004E524C" w:rsidP="0030316C">
      <w:pPr>
        <w:pStyle w:val="Zkladntext2"/>
        <w:widowControl/>
        <w:ind w:firstLine="709"/>
        <w:rPr>
          <w:rFonts w:cs="Arial"/>
        </w:rPr>
      </w:pPr>
      <w:r w:rsidRPr="00AA6CCC">
        <w:rPr>
          <w:rFonts w:cs="Arial"/>
        </w:rPr>
        <w:t>Uvedené údaje jsou za tuzemské civilní letecké dopravce zajišťující vnitrostátní a mezinárodní komerční pravidelnou i nepravidelnou přepravu osob nebo nákladu.</w:t>
      </w:r>
    </w:p>
    <w:p w:rsidR="004E524C" w:rsidRPr="00AA6CCC" w:rsidRDefault="004E524C" w:rsidP="0030316C">
      <w:pPr>
        <w:pStyle w:val="Zkladntextodsazen2"/>
        <w:widowControl/>
        <w:rPr>
          <w:rFonts w:cs="Arial"/>
        </w:rPr>
      </w:pPr>
      <w:r w:rsidRPr="00AA6CCC">
        <w:rPr>
          <w:rFonts w:cs="Arial"/>
        </w:rPr>
        <w:t xml:space="preserve">Osobové kilometry (oskm) a tunové kilometry (tkm) </w:t>
      </w:r>
      <w:r w:rsidR="006D1ECB">
        <w:rPr>
          <w:rFonts w:cs="Arial"/>
        </w:rPr>
        <w:t> </w:t>
      </w:r>
      <w:r w:rsidR="006D1ECB" w:rsidRPr="00AA6CCC">
        <w:rPr>
          <w:rFonts w:cs="Arial"/>
        </w:rPr>
        <w:t>v</w:t>
      </w:r>
      <w:r w:rsidR="006D1ECB">
        <w:rPr>
          <w:rFonts w:cs="Arial"/>
        </w:rPr>
        <w:t> </w:t>
      </w:r>
      <w:r w:rsidRPr="00AA6CCC">
        <w:rPr>
          <w:rFonts w:cs="Arial"/>
        </w:rPr>
        <w:t>letecké dopravě se počítají z tarifních vzdáleností (podle letového řádu).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keepNext/>
        <w:widowControl/>
        <w:jc w:val="both"/>
        <w:rPr>
          <w:rFonts w:ascii="Arial" w:hAnsi="Arial" w:cs="Arial"/>
          <w:lang w:val="cs-CZ"/>
        </w:rPr>
      </w:pPr>
      <w:r w:rsidRPr="00AA6CCC">
        <w:rPr>
          <w:rFonts w:ascii="Arial" w:hAnsi="Arial" w:cs="Arial"/>
          <w:lang w:val="cs-CZ"/>
        </w:rPr>
        <w:lastRenderedPageBreak/>
        <w:t xml:space="preserve">Tab. </w:t>
      </w:r>
      <w:r w:rsidRPr="00AA6CCC">
        <w:rPr>
          <w:rFonts w:ascii="Arial" w:hAnsi="Arial" w:cs="Arial"/>
          <w:b/>
          <w:bCs/>
          <w:lang w:val="cs-CZ"/>
        </w:rPr>
        <w:t>19</w:t>
      </w:r>
      <w:r w:rsidRPr="00AA6CCC">
        <w:rPr>
          <w:rFonts w:ascii="Arial" w:hAnsi="Arial" w:cs="Arial"/>
          <w:lang w:val="cs-CZ"/>
        </w:rPr>
        <w:t xml:space="preserve">-12. </w:t>
      </w:r>
      <w:r w:rsidRPr="00AA6CCC">
        <w:rPr>
          <w:rFonts w:ascii="Arial" w:hAnsi="Arial" w:cs="Arial"/>
          <w:b/>
          <w:bCs/>
          <w:lang w:val="cs-CZ"/>
        </w:rPr>
        <w:t>Výkony letišť v</w:t>
      </w:r>
      <w:r w:rsidR="0060244C">
        <w:rPr>
          <w:rFonts w:ascii="Arial" w:hAnsi="Arial" w:cs="Arial"/>
          <w:b/>
          <w:bCs/>
          <w:lang w:val="cs-CZ"/>
        </w:rPr>
        <w:t> </w:t>
      </w:r>
      <w:r w:rsidRPr="00AA6CCC">
        <w:rPr>
          <w:rFonts w:ascii="Arial" w:hAnsi="Arial" w:cs="Arial"/>
          <w:b/>
          <w:bCs/>
          <w:lang w:val="cs-CZ"/>
        </w:rPr>
        <w:t>Č</w:t>
      </w:r>
      <w:r w:rsidR="0060244C">
        <w:rPr>
          <w:rFonts w:ascii="Arial" w:hAnsi="Arial" w:cs="Arial"/>
          <w:b/>
          <w:bCs/>
          <w:lang w:val="cs-CZ"/>
        </w:rPr>
        <w:t>eské republice</w:t>
      </w:r>
    </w:p>
    <w:p w:rsidR="004E524C" w:rsidRPr="00AA6CCC" w:rsidRDefault="004E524C" w:rsidP="0030316C">
      <w:pPr>
        <w:pStyle w:val="Zkladntextodsazen"/>
        <w:widowControl/>
        <w:ind w:firstLine="709"/>
        <w:rPr>
          <w:rFonts w:cs="Arial"/>
        </w:rPr>
      </w:pPr>
      <w:r w:rsidRPr="00AA6CCC">
        <w:rPr>
          <w:rFonts w:cs="Arial"/>
        </w:rPr>
        <w:t>Údaje vykazují vlastníci licence k provozování letiště s</w:t>
      </w:r>
      <w:r w:rsidR="003F1C8E">
        <w:rPr>
          <w:rFonts w:cs="Arial"/>
        </w:rPr>
        <w:t> </w:t>
      </w:r>
      <w:r w:rsidRPr="00AA6CCC">
        <w:rPr>
          <w:rFonts w:cs="Arial"/>
        </w:rPr>
        <w:t>civilním leteckým provozem. Tento údaj zahrnuje počet odbavených osob či objemu nákladu</w:t>
      </w:r>
      <w:r w:rsidR="003359BC">
        <w:rPr>
          <w:rFonts w:cs="Arial"/>
        </w:rPr>
        <w:t>,</w:t>
      </w:r>
      <w:r w:rsidRPr="00AA6CCC">
        <w:rPr>
          <w:rFonts w:cs="Arial"/>
        </w:rPr>
        <w:t xml:space="preserve"> bez ohledu na zemi registrace dopravce.</w:t>
      </w: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AA6CCC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403B7F" w:rsidRDefault="004E524C" w:rsidP="0030316C">
      <w:pPr>
        <w:widowControl/>
        <w:jc w:val="both"/>
        <w:rPr>
          <w:rFonts w:ascii="Arial" w:hAnsi="Arial" w:cs="Arial"/>
          <w:b/>
          <w:bCs/>
          <w:lang w:val="cs-CZ"/>
        </w:rPr>
      </w:pPr>
      <w:r w:rsidRPr="00403B7F">
        <w:rPr>
          <w:rFonts w:ascii="Arial" w:hAnsi="Arial" w:cs="Arial"/>
          <w:lang w:val="cs-CZ"/>
        </w:rPr>
        <w:t xml:space="preserve">Tab. </w:t>
      </w:r>
      <w:r w:rsidRPr="00403B7F">
        <w:rPr>
          <w:rFonts w:ascii="Arial" w:hAnsi="Arial" w:cs="Arial"/>
          <w:b/>
          <w:bCs/>
          <w:lang w:val="cs-CZ"/>
        </w:rPr>
        <w:t>19</w:t>
      </w:r>
      <w:r w:rsidRPr="00403B7F">
        <w:rPr>
          <w:rFonts w:ascii="Arial" w:hAnsi="Arial" w:cs="Arial"/>
          <w:lang w:val="cs-CZ"/>
        </w:rPr>
        <w:t xml:space="preserve">-13. </w:t>
      </w:r>
      <w:r w:rsidRPr="00403B7F">
        <w:rPr>
          <w:rFonts w:ascii="Arial" w:hAnsi="Arial" w:cs="Arial"/>
          <w:b/>
          <w:bCs/>
          <w:lang w:val="cs-CZ"/>
        </w:rPr>
        <w:t>Vybrané údaje o České poště, státním podniku</w:t>
      </w:r>
    </w:p>
    <w:p w:rsidR="004E524C" w:rsidRPr="00AA6CCC" w:rsidRDefault="004E524C" w:rsidP="0030316C">
      <w:pPr>
        <w:pStyle w:val="Zkladntextodsazen"/>
        <w:widowControl/>
        <w:tabs>
          <w:tab w:val="left" w:pos="426"/>
        </w:tabs>
        <w:ind w:firstLine="709"/>
        <w:rPr>
          <w:rFonts w:cs="Arial"/>
        </w:rPr>
      </w:pPr>
      <w:r w:rsidRPr="00403B7F">
        <w:rPr>
          <w:rFonts w:cs="Arial"/>
        </w:rPr>
        <w:t>Česká pošta, státní podnik je podle zákona</w:t>
      </w:r>
      <w:r w:rsidR="00AB00D7" w:rsidRPr="00403B7F">
        <w:rPr>
          <w:rFonts w:cs="Arial"/>
        </w:rPr>
        <w:t xml:space="preserve"> č. 29/2000 Sb.,</w:t>
      </w:r>
      <w:r w:rsidRPr="00403B7F">
        <w:rPr>
          <w:rFonts w:cs="Arial"/>
        </w:rPr>
        <w:t xml:space="preserve"> o poštovních službách </w:t>
      </w:r>
      <w:r w:rsidR="00D42513" w:rsidRPr="00403B7F">
        <w:rPr>
          <w:rFonts w:cs="Arial"/>
        </w:rPr>
        <w:t xml:space="preserve">a o změně některých zákonů (zákon o poštovních službách), ve znění pozdějších předpisů </w:t>
      </w:r>
      <w:r w:rsidRPr="00403B7F">
        <w:rPr>
          <w:rFonts w:cs="Arial"/>
        </w:rPr>
        <w:t>držitelem poštovní licence, ze které jí plyne povinnost poskytování základních poštovních služeb na celém území</w:t>
      </w:r>
      <w:r w:rsidRPr="00AA6CCC">
        <w:rPr>
          <w:rFonts w:cs="Arial"/>
        </w:rPr>
        <w:t xml:space="preserve"> České republiky. K těmto službám patří zejména podání, přeprava a</w:t>
      </w:r>
      <w:r w:rsidR="003F1C8E">
        <w:rPr>
          <w:rFonts w:cs="Arial"/>
        </w:rPr>
        <w:t> </w:t>
      </w:r>
      <w:r w:rsidR="004C145D">
        <w:rPr>
          <w:rFonts w:cs="Arial"/>
        </w:rPr>
        <w:t>dodání listovních, balíkových a </w:t>
      </w:r>
      <w:r w:rsidRPr="00AA6CCC">
        <w:rPr>
          <w:rFonts w:cs="Arial"/>
        </w:rPr>
        <w:t>peněžních zásilek jak ve vnitrostátním, tak i</w:t>
      </w:r>
      <w:r w:rsidR="003F1C8E">
        <w:rPr>
          <w:rFonts w:cs="Arial"/>
        </w:rPr>
        <w:t> </w:t>
      </w:r>
      <w:r w:rsidRPr="00AA6CCC">
        <w:rPr>
          <w:rFonts w:cs="Arial"/>
        </w:rPr>
        <w:t>mezinárodním styku. Kromě základních služeb zajišťuje širokou škálu činností na základě individuálních smluvních vztahů.</w:t>
      </w:r>
    </w:p>
    <w:p w:rsidR="004E524C" w:rsidRPr="00AA6CCC" w:rsidRDefault="004E524C" w:rsidP="0030316C">
      <w:pPr>
        <w:pStyle w:val="Zkladntext2"/>
        <w:widowControl/>
        <w:ind w:firstLine="709"/>
        <w:rPr>
          <w:rFonts w:cs="Arial"/>
        </w:rPr>
      </w:pPr>
      <w:r w:rsidRPr="00AA6CCC">
        <w:rPr>
          <w:rFonts w:cs="Arial"/>
          <w:b/>
          <w:bCs/>
        </w:rPr>
        <w:t>Poštovní schránka</w:t>
      </w:r>
      <w:r w:rsidRPr="00AA6CCC">
        <w:rPr>
          <w:rFonts w:cs="Arial"/>
        </w:rPr>
        <w:t xml:space="preserve"> slouží ke zprostředkování podání poštovních zásilek odesílatelem. Je opatřena informačním štítkem s logem České pošty, přehledem všech cen připadajících v úvahu v případě obyčejné zásilky, která nepřesáhne stanovenou hmotnost (vnitrostátní do 200 g, do zahraničí 20</w:t>
      </w:r>
      <w:r w:rsidR="003F1C8E">
        <w:rPr>
          <w:rFonts w:cs="Arial"/>
        </w:rPr>
        <w:t> </w:t>
      </w:r>
      <w:r w:rsidRPr="00AA6CCC">
        <w:rPr>
          <w:rFonts w:cs="Arial"/>
        </w:rPr>
        <w:t>g), údaji o jejím vybírání a o poštovní provozovně pověřené tímto vybíráním.</w:t>
      </w:r>
    </w:p>
    <w:p w:rsidR="006C4576" w:rsidRPr="00AE3CDC" w:rsidRDefault="004E524C" w:rsidP="0030316C">
      <w:pPr>
        <w:pStyle w:val="Zkladntext2"/>
        <w:widowControl/>
        <w:ind w:firstLine="709"/>
        <w:rPr>
          <w:rFonts w:cs="Arial"/>
        </w:rPr>
      </w:pPr>
      <w:r w:rsidRPr="00AA6CCC">
        <w:rPr>
          <w:rFonts w:cs="Arial"/>
          <w:b/>
          <w:bCs/>
        </w:rPr>
        <w:t>Poštovní přihrádkou</w:t>
      </w:r>
      <w:r w:rsidRPr="00AA6CCC">
        <w:rPr>
          <w:rFonts w:cs="Arial"/>
        </w:rPr>
        <w:t xml:space="preserve"> se rozumí uzamykatelná schránka instalovaná v poštovní provozovně pro poštovní zásilky, kterou si adresát může pronajmout a vybírat si z ní zásilky.</w:t>
      </w:r>
    </w:p>
    <w:p w:rsidR="006C4576" w:rsidRPr="00403B7F" w:rsidRDefault="00352E66" w:rsidP="0030316C">
      <w:pPr>
        <w:widowControl/>
        <w:spacing w:before="120"/>
        <w:ind w:firstLine="720"/>
        <w:jc w:val="both"/>
        <w:rPr>
          <w:rFonts w:ascii="Arial" w:hAnsi="Arial" w:cs="Arial"/>
          <w:lang w:val="cs-CZ"/>
        </w:rPr>
      </w:pPr>
      <w:r w:rsidRPr="00C55E2B">
        <w:rPr>
          <w:rFonts w:ascii="Arial" w:hAnsi="Arial" w:cs="Arial"/>
          <w:lang w:val="cs-CZ"/>
        </w:rPr>
        <w:t xml:space="preserve">Podání </w:t>
      </w:r>
      <w:r w:rsidR="003359BC" w:rsidRPr="00C55E2B">
        <w:rPr>
          <w:rFonts w:ascii="Arial" w:hAnsi="Arial" w:cs="Arial"/>
          <w:b/>
          <w:bCs/>
          <w:lang w:val="cs-CZ"/>
        </w:rPr>
        <w:t>p</w:t>
      </w:r>
      <w:r w:rsidR="006C4576" w:rsidRPr="00C55E2B">
        <w:rPr>
          <w:rFonts w:ascii="Arial" w:hAnsi="Arial" w:cs="Arial"/>
          <w:b/>
          <w:bCs/>
          <w:lang w:val="cs-CZ"/>
        </w:rPr>
        <w:t>oštovní zásilk</w:t>
      </w:r>
      <w:r w:rsidRPr="00C55E2B">
        <w:rPr>
          <w:rFonts w:ascii="Arial" w:hAnsi="Arial" w:cs="Arial"/>
          <w:b/>
          <w:bCs/>
          <w:lang w:val="cs-CZ"/>
        </w:rPr>
        <w:t>y</w:t>
      </w:r>
      <w:r w:rsidR="006C4576" w:rsidRPr="00C55E2B">
        <w:rPr>
          <w:rFonts w:ascii="Arial" w:hAnsi="Arial" w:cs="Arial"/>
          <w:b/>
          <w:bCs/>
          <w:lang w:val="cs-CZ"/>
        </w:rPr>
        <w:t xml:space="preserve"> do </w:t>
      </w:r>
      <w:r w:rsidR="00B87C12" w:rsidRPr="00C55E2B">
        <w:rPr>
          <w:rFonts w:ascii="Arial" w:hAnsi="Arial" w:cs="Arial"/>
          <w:b/>
          <w:bCs/>
          <w:lang w:val="cs-CZ"/>
        </w:rPr>
        <w:t>2</w:t>
      </w:r>
      <w:r w:rsidR="00B87C12">
        <w:rPr>
          <w:rFonts w:ascii="Arial" w:hAnsi="Arial" w:cs="Arial"/>
          <w:b/>
          <w:bCs/>
          <w:lang w:val="cs-CZ"/>
        </w:rPr>
        <w:t> </w:t>
      </w:r>
      <w:r w:rsidR="006C4576" w:rsidRPr="00C55E2B">
        <w:rPr>
          <w:rFonts w:ascii="Arial" w:hAnsi="Arial" w:cs="Arial"/>
          <w:b/>
          <w:bCs/>
          <w:lang w:val="cs-CZ"/>
        </w:rPr>
        <w:t>kg</w:t>
      </w:r>
      <w:r w:rsidR="006C4576" w:rsidRPr="00C55E2B">
        <w:rPr>
          <w:rFonts w:ascii="Arial" w:hAnsi="Arial" w:cs="Arial"/>
          <w:lang w:val="cs-CZ"/>
        </w:rPr>
        <w:t xml:space="preserve"> </w:t>
      </w:r>
      <w:r w:rsidR="00D74C00" w:rsidRPr="00C55E2B">
        <w:rPr>
          <w:rFonts w:ascii="Arial" w:hAnsi="Arial" w:cs="Arial"/>
          <w:lang w:val="cs-CZ"/>
        </w:rPr>
        <w:t xml:space="preserve">a </w:t>
      </w:r>
      <w:r w:rsidR="003359BC" w:rsidRPr="00C55E2B">
        <w:rPr>
          <w:rFonts w:ascii="Arial" w:hAnsi="Arial" w:cs="Arial"/>
          <w:b/>
          <w:bCs/>
          <w:lang w:val="cs-CZ"/>
        </w:rPr>
        <w:t>p</w:t>
      </w:r>
      <w:r w:rsidR="00D74C00" w:rsidRPr="00C55E2B">
        <w:rPr>
          <w:rFonts w:ascii="Arial" w:hAnsi="Arial" w:cs="Arial"/>
          <w:b/>
          <w:bCs/>
          <w:lang w:val="cs-CZ"/>
        </w:rPr>
        <w:t xml:space="preserve">oštovního balíku </w:t>
      </w:r>
      <w:r w:rsidRPr="00C55E2B">
        <w:rPr>
          <w:rFonts w:ascii="Arial" w:hAnsi="Arial" w:cs="Arial"/>
          <w:lang w:val="cs-CZ"/>
        </w:rPr>
        <w:t>Česká pošta</w:t>
      </w:r>
      <w:r w:rsidR="006C4576" w:rsidRPr="00C55E2B">
        <w:rPr>
          <w:rFonts w:ascii="Arial" w:hAnsi="Arial" w:cs="Arial"/>
          <w:lang w:val="cs-CZ"/>
        </w:rPr>
        <w:t xml:space="preserve"> nestvrzuje. </w:t>
      </w:r>
      <w:r w:rsidRPr="00C55E2B">
        <w:rPr>
          <w:rFonts w:ascii="Arial" w:hAnsi="Arial" w:cs="Arial"/>
          <w:lang w:val="cs-CZ"/>
        </w:rPr>
        <w:t>D</w:t>
      </w:r>
      <w:r w:rsidR="006C4576" w:rsidRPr="00C55E2B">
        <w:rPr>
          <w:rFonts w:ascii="Arial" w:hAnsi="Arial" w:cs="Arial"/>
          <w:lang w:val="cs-CZ"/>
        </w:rPr>
        <w:t xml:space="preserve">odá </w:t>
      </w:r>
      <w:r w:rsidRPr="00C55E2B">
        <w:rPr>
          <w:rFonts w:ascii="Arial" w:hAnsi="Arial" w:cs="Arial"/>
          <w:lang w:val="cs-CZ"/>
        </w:rPr>
        <w:t>j</w:t>
      </w:r>
      <w:r w:rsidR="00D74C00" w:rsidRPr="00C55E2B">
        <w:rPr>
          <w:rFonts w:ascii="Arial" w:hAnsi="Arial" w:cs="Arial"/>
          <w:lang w:val="cs-CZ"/>
        </w:rPr>
        <w:t>e</w:t>
      </w:r>
      <w:r w:rsidRPr="00C55E2B">
        <w:rPr>
          <w:rFonts w:ascii="Arial" w:hAnsi="Arial" w:cs="Arial"/>
          <w:lang w:val="cs-CZ"/>
        </w:rPr>
        <w:t xml:space="preserve"> </w:t>
      </w:r>
      <w:r w:rsidR="006C4576" w:rsidRPr="00C55E2B">
        <w:rPr>
          <w:rFonts w:ascii="Arial" w:hAnsi="Arial" w:cs="Arial"/>
          <w:lang w:val="cs-CZ"/>
        </w:rPr>
        <w:t xml:space="preserve">bez </w:t>
      </w:r>
      <w:r w:rsidR="006C4576" w:rsidRPr="00403B7F">
        <w:rPr>
          <w:rFonts w:ascii="Arial" w:hAnsi="Arial" w:cs="Arial"/>
          <w:lang w:val="cs-CZ"/>
        </w:rPr>
        <w:t>toho, že by mu příjemce převzetí potvrdil. Za škodu vzniklou ztrátou, poškozením nebo úbytkem obsahu zásilky</w:t>
      </w:r>
      <w:r w:rsidR="00D74C00" w:rsidRPr="00403B7F">
        <w:rPr>
          <w:rFonts w:ascii="Arial" w:hAnsi="Arial" w:cs="Arial"/>
          <w:lang w:val="cs-CZ"/>
        </w:rPr>
        <w:t>/balíku</w:t>
      </w:r>
      <w:r w:rsidR="006C4576" w:rsidRPr="00403B7F">
        <w:rPr>
          <w:rFonts w:ascii="Arial" w:hAnsi="Arial" w:cs="Arial"/>
          <w:lang w:val="cs-CZ"/>
        </w:rPr>
        <w:t xml:space="preserve"> </w:t>
      </w:r>
      <w:r w:rsidRPr="00403B7F">
        <w:rPr>
          <w:rFonts w:ascii="Arial" w:hAnsi="Arial" w:cs="Arial"/>
          <w:lang w:val="cs-CZ"/>
        </w:rPr>
        <w:t>pošta</w:t>
      </w:r>
      <w:r w:rsidR="006C4576" w:rsidRPr="00403B7F">
        <w:rPr>
          <w:rFonts w:ascii="Arial" w:hAnsi="Arial" w:cs="Arial"/>
          <w:lang w:val="cs-CZ"/>
        </w:rPr>
        <w:t xml:space="preserve"> neodpovídá. Hmotnost </w:t>
      </w:r>
      <w:r w:rsidR="003359BC" w:rsidRPr="00403B7F">
        <w:rPr>
          <w:rFonts w:ascii="Arial" w:hAnsi="Arial" w:cs="Arial"/>
          <w:bCs/>
          <w:lang w:val="cs-CZ"/>
        </w:rPr>
        <w:t>p</w:t>
      </w:r>
      <w:r w:rsidR="00D74C00" w:rsidRPr="00403B7F">
        <w:rPr>
          <w:rFonts w:ascii="Arial" w:hAnsi="Arial" w:cs="Arial"/>
          <w:bCs/>
          <w:lang w:val="cs-CZ"/>
        </w:rPr>
        <w:t>oštovní zásilky</w:t>
      </w:r>
      <w:r w:rsidRPr="00403B7F">
        <w:rPr>
          <w:rFonts w:ascii="Arial" w:hAnsi="Arial" w:cs="Arial"/>
          <w:lang w:val="cs-CZ"/>
        </w:rPr>
        <w:t xml:space="preserve"> může činit nejvýše </w:t>
      </w:r>
      <w:r w:rsidR="00B87C12" w:rsidRPr="00403B7F">
        <w:rPr>
          <w:rFonts w:ascii="Arial" w:hAnsi="Arial" w:cs="Arial"/>
          <w:lang w:val="cs-CZ"/>
        </w:rPr>
        <w:t>2 </w:t>
      </w:r>
      <w:r w:rsidRPr="00403B7F">
        <w:rPr>
          <w:rFonts w:ascii="Arial" w:hAnsi="Arial" w:cs="Arial"/>
          <w:lang w:val="cs-CZ"/>
        </w:rPr>
        <w:t>kg,</w:t>
      </w:r>
      <w:r w:rsidR="006C4576" w:rsidRPr="00403B7F">
        <w:rPr>
          <w:rFonts w:ascii="Arial" w:hAnsi="Arial" w:cs="Arial"/>
          <w:lang w:val="cs-CZ"/>
        </w:rPr>
        <w:t xml:space="preserve"> </w:t>
      </w:r>
      <w:r w:rsidRPr="00403B7F">
        <w:rPr>
          <w:rFonts w:ascii="Arial" w:hAnsi="Arial" w:cs="Arial"/>
          <w:lang w:val="cs-CZ"/>
        </w:rPr>
        <w:t>d</w:t>
      </w:r>
      <w:r w:rsidR="006C4576" w:rsidRPr="00403B7F">
        <w:rPr>
          <w:rFonts w:ascii="Arial" w:hAnsi="Arial" w:cs="Arial"/>
          <w:lang w:val="cs-CZ"/>
        </w:rPr>
        <w:t xml:space="preserve">élka nesmí přesahovat </w:t>
      </w:r>
      <w:r w:rsidR="00B87C12" w:rsidRPr="00403B7F">
        <w:rPr>
          <w:rFonts w:ascii="Arial" w:hAnsi="Arial" w:cs="Arial"/>
          <w:lang w:val="cs-CZ"/>
        </w:rPr>
        <w:t>60 </w:t>
      </w:r>
      <w:r w:rsidR="006C4576" w:rsidRPr="00403B7F">
        <w:rPr>
          <w:rFonts w:ascii="Arial" w:hAnsi="Arial" w:cs="Arial"/>
          <w:lang w:val="cs-CZ"/>
        </w:rPr>
        <w:t xml:space="preserve">cm, součet všech jejích tří rozměrů nesmí přesahovat </w:t>
      </w:r>
      <w:r w:rsidR="00B87C12" w:rsidRPr="00403B7F">
        <w:rPr>
          <w:rFonts w:ascii="Arial" w:hAnsi="Arial" w:cs="Arial"/>
          <w:lang w:val="cs-CZ"/>
        </w:rPr>
        <w:t>90 </w:t>
      </w:r>
      <w:r w:rsidR="006C4576" w:rsidRPr="00403B7F">
        <w:rPr>
          <w:rFonts w:ascii="Arial" w:hAnsi="Arial" w:cs="Arial"/>
          <w:lang w:val="cs-CZ"/>
        </w:rPr>
        <w:t xml:space="preserve">cm. </w:t>
      </w:r>
      <w:r w:rsidR="00D74C00" w:rsidRPr="00403B7F">
        <w:rPr>
          <w:rFonts w:ascii="Arial" w:hAnsi="Arial" w:cs="Arial"/>
          <w:lang w:val="cs-CZ"/>
        </w:rPr>
        <w:t xml:space="preserve">Nejmenší přípustná hmotnost </w:t>
      </w:r>
      <w:r w:rsidR="003359BC" w:rsidRPr="00403B7F">
        <w:rPr>
          <w:rFonts w:ascii="Arial" w:hAnsi="Arial" w:cs="Arial"/>
          <w:bCs/>
          <w:lang w:val="cs-CZ"/>
        </w:rPr>
        <w:t>p</w:t>
      </w:r>
      <w:r w:rsidR="00A45313" w:rsidRPr="00403B7F">
        <w:rPr>
          <w:rFonts w:ascii="Arial" w:hAnsi="Arial" w:cs="Arial"/>
          <w:bCs/>
          <w:lang w:val="cs-CZ"/>
        </w:rPr>
        <w:t xml:space="preserve">oštovního balíku </w:t>
      </w:r>
      <w:r w:rsidR="00D74C00" w:rsidRPr="00403B7F">
        <w:rPr>
          <w:rFonts w:ascii="Arial" w:hAnsi="Arial" w:cs="Arial"/>
          <w:lang w:val="cs-CZ"/>
        </w:rPr>
        <w:t xml:space="preserve">musí přesahovat </w:t>
      </w:r>
      <w:r w:rsidR="00B87C12" w:rsidRPr="00403B7F">
        <w:rPr>
          <w:rFonts w:ascii="Arial" w:hAnsi="Arial" w:cs="Arial"/>
          <w:lang w:val="cs-CZ"/>
        </w:rPr>
        <w:t>2 </w:t>
      </w:r>
      <w:r w:rsidR="00D74C00" w:rsidRPr="00403B7F">
        <w:rPr>
          <w:rFonts w:ascii="Arial" w:hAnsi="Arial" w:cs="Arial"/>
          <w:lang w:val="cs-CZ"/>
        </w:rPr>
        <w:t xml:space="preserve">kg a může činit nejvýše </w:t>
      </w:r>
      <w:r w:rsidR="00B87C12" w:rsidRPr="00403B7F">
        <w:rPr>
          <w:rFonts w:ascii="Arial" w:hAnsi="Arial" w:cs="Arial"/>
          <w:lang w:val="cs-CZ"/>
        </w:rPr>
        <w:t>20 </w:t>
      </w:r>
      <w:r w:rsidR="00D74C00" w:rsidRPr="00403B7F">
        <w:rPr>
          <w:rFonts w:ascii="Arial" w:hAnsi="Arial" w:cs="Arial"/>
          <w:lang w:val="cs-CZ"/>
        </w:rPr>
        <w:t xml:space="preserve">kg. Délka balíku nesmí přesahovat </w:t>
      </w:r>
      <w:r w:rsidR="00B87C12" w:rsidRPr="00403B7F">
        <w:rPr>
          <w:rFonts w:ascii="Arial" w:hAnsi="Arial" w:cs="Arial"/>
          <w:lang w:val="cs-CZ"/>
        </w:rPr>
        <w:t> 240 </w:t>
      </w:r>
      <w:r w:rsidR="00D74C00" w:rsidRPr="00403B7F">
        <w:rPr>
          <w:rFonts w:ascii="Arial" w:hAnsi="Arial" w:cs="Arial"/>
          <w:lang w:val="cs-CZ"/>
        </w:rPr>
        <w:t xml:space="preserve">cm, součet všech jeho tří rozměrů nesmí přesahovat </w:t>
      </w:r>
      <w:r w:rsidR="00C55E2B" w:rsidRPr="00403B7F">
        <w:rPr>
          <w:rFonts w:ascii="Arial" w:hAnsi="Arial" w:cs="Arial"/>
          <w:lang w:val="cs-CZ"/>
        </w:rPr>
        <w:t> 300 </w:t>
      </w:r>
      <w:r w:rsidR="00D74C00" w:rsidRPr="00403B7F">
        <w:rPr>
          <w:rFonts w:ascii="Arial" w:hAnsi="Arial" w:cs="Arial"/>
          <w:lang w:val="cs-CZ"/>
        </w:rPr>
        <w:t xml:space="preserve">cm. Největší přípustné rozměry </w:t>
      </w:r>
      <w:r w:rsidR="00A45313" w:rsidRPr="00403B7F">
        <w:rPr>
          <w:rFonts w:ascii="Arial" w:hAnsi="Arial" w:cs="Arial"/>
          <w:lang w:val="cs-CZ"/>
        </w:rPr>
        <w:t>zásilky/</w:t>
      </w:r>
      <w:r w:rsidR="00D74C00" w:rsidRPr="00403B7F">
        <w:rPr>
          <w:rFonts w:ascii="Arial" w:hAnsi="Arial" w:cs="Arial"/>
          <w:lang w:val="cs-CZ"/>
        </w:rPr>
        <w:t>balíku, kter</w:t>
      </w:r>
      <w:r w:rsidR="00A75E96" w:rsidRPr="00403B7F">
        <w:rPr>
          <w:rFonts w:ascii="Arial" w:hAnsi="Arial" w:cs="Arial"/>
          <w:lang w:val="cs-CZ"/>
        </w:rPr>
        <w:t>á</w:t>
      </w:r>
      <w:r w:rsidR="00A45313" w:rsidRPr="00403B7F">
        <w:rPr>
          <w:rFonts w:ascii="Arial" w:hAnsi="Arial" w:cs="Arial"/>
          <w:lang w:val="cs-CZ"/>
        </w:rPr>
        <w:t>/</w:t>
      </w:r>
      <w:r w:rsidR="00AE3CDC" w:rsidRPr="00403B7F">
        <w:rPr>
          <w:rFonts w:ascii="Arial" w:hAnsi="Arial" w:cs="Arial"/>
          <w:lang w:val="cs-CZ"/>
        </w:rPr>
        <w:t>kter</w:t>
      </w:r>
      <w:r w:rsidR="000574B9" w:rsidRPr="00403B7F">
        <w:rPr>
          <w:rFonts w:ascii="Arial" w:hAnsi="Arial" w:cs="Arial"/>
          <w:lang w:val="cs-CZ"/>
        </w:rPr>
        <w:t>ý</w:t>
      </w:r>
      <w:r w:rsidR="00D74C00" w:rsidRPr="00403B7F">
        <w:rPr>
          <w:rFonts w:ascii="Arial" w:hAnsi="Arial" w:cs="Arial"/>
          <w:lang w:val="cs-CZ"/>
        </w:rPr>
        <w:t xml:space="preserve"> nemá pravoú</w:t>
      </w:r>
      <w:r w:rsidR="0030316C">
        <w:rPr>
          <w:rFonts w:ascii="Arial" w:hAnsi="Arial" w:cs="Arial"/>
          <w:lang w:val="cs-CZ"/>
        </w:rPr>
        <w:t>hlý tvar, se posuzují obdobně.</w:t>
      </w:r>
    </w:p>
    <w:p w:rsidR="000B28DB" w:rsidRPr="00403B7F" w:rsidRDefault="00D74C00" w:rsidP="0030316C">
      <w:pPr>
        <w:widowControl/>
        <w:spacing w:before="120"/>
        <w:ind w:firstLine="720"/>
        <w:jc w:val="both"/>
        <w:rPr>
          <w:rFonts w:ascii="Arial" w:hAnsi="Arial" w:cs="Arial"/>
          <w:lang w:val="cs-CZ"/>
        </w:rPr>
      </w:pPr>
      <w:r w:rsidRPr="00403B7F">
        <w:rPr>
          <w:rFonts w:ascii="Arial" w:hAnsi="Arial" w:cs="Arial"/>
          <w:lang w:val="cs-CZ"/>
        </w:rPr>
        <w:t xml:space="preserve">Podání </w:t>
      </w:r>
      <w:r w:rsidR="003359BC" w:rsidRPr="00403B7F">
        <w:rPr>
          <w:rFonts w:ascii="Arial" w:hAnsi="Arial" w:cs="Arial"/>
          <w:b/>
          <w:bCs/>
          <w:lang w:val="cs-CZ"/>
        </w:rPr>
        <w:t>d</w:t>
      </w:r>
      <w:r w:rsidR="006C4576" w:rsidRPr="00403B7F">
        <w:rPr>
          <w:rFonts w:ascii="Arial" w:hAnsi="Arial" w:cs="Arial"/>
          <w:b/>
          <w:bCs/>
          <w:lang w:val="cs-CZ"/>
        </w:rPr>
        <w:t>oporučen</w:t>
      </w:r>
      <w:r w:rsidRPr="00403B7F">
        <w:rPr>
          <w:rFonts w:ascii="Arial" w:hAnsi="Arial" w:cs="Arial"/>
          <w:b/>
          <w:bCs/>
          <w:lang w:val="cs-CZ"/>
        </w:rPr>
        <w:t>é</w:t>
      </w:r>
      <w:r w:rsidR="006C4576" w:rsidRPr="00403B7F">
        <w:rPr>
          <w:rFonts w:ascii="Arial" w:hAnsi="Arial" w:cs="Arial"/>
          <w:b/>
          <w:bCs/>
          <w:lang w:val="cs-CZ"/>
        </w:rPr>
        <w:t xml:space="preserve"> </w:t>
      </w:r>
      <w:r w:rsidRPr="00403B7F">
        <w:rPr>
          <w:rFonts w:ascii="Arial" w:hAnsi="Arial" w:cs="Arial"/>
          <w:b/>
          <w:bCs/>
          <w:lang w:val="cs-CZ"/>
        </w:rPr>
        <w:t xml:space="preserve">zásilky </w:t>
      </w:r>
      <w:r w:rsidR="008B72E4" w:rsidRPr="00403B7F">
        <w:rPr>
          <w:rFonts w:ascii="Arial" w:hAnsi="Arial" w:cs="Arial"/>
          <w:lang w:val="cs-CZ"/>
        </w:rPr>
        <w:t>Česká pošta</w:t>
      </w:r>
      <w:r w:rsidR="006C4576" w:rsidRPr="00403B7F">
        <w:rPr>
          <w:rFonts w:ascii="Arial" w:hAnsi="Arial" w:cs="Arial"/>
          <w:lang w:val="cs-CZ"/>
        </w:rPr>
        <w:t xml:space="preserve"> stvrzuje</w:t>
      </w:r>
      <w:r w:rsidRPr="00403B7F">
        <w:rPr>
          <w:rFonts w:ascii="Arial" w:hAnsi="Arial" w:cs="Arial"/>
          <w:lang w:val="cs-CZ"/>
        </w:rPr>
        <w:t xml:space="preserve"> a</w:t>
      </w:r>
      <w:r w:rsidR="006C4576" w:rsidRPr="00403B7F">
        <w:rPr>
          <w:rFonts w:ascii="Arial" w:hAnsi="Arial" w:cs="Arial"/>
          <w:lang w:val="cs-CZ"/>
        </w:rPr>
        <w:t xml:space="preserve"> dodá </w:t>
      </w:r>
      <w:r w:rsidRPr="00403B7F">
        <w:rPr>
          <w:rFonts w:ascii="Arial" w:hAnsi="Arial" w:cs="Arial"/>
          <w:lang w:val="cs-CZ"/>
        </w:rPr>
        <w:t>j</w:t>
      </w:r>
      <w:r w:rsidR="003359BC" w:rsidRPr="00403B7F">
        <w:rPr>
          <w:rFonts w:ascii="Arial" w:hAnsi="Arial" w:cs="Arial"/>
          <w:lang w:val="cs-CZ"/>
        </w:rPr>
        <w:t>i</w:t>
      </w:r>
      <w:r w:rsidRPr="00403B7F">
        <w:rPr>
          <w:rFonts w:ascii="Arial" w:hAnsi="Arial" w:cs="Arial"/>
          <w:lang w:val="cs-CZ"/>
        </w:rPr>
        <w:t xml:space="preserve"> </w:t>
      </w:r>
      <w:r w:rsidR="006C4576" w:rsidRPr="00403B7F">
        <w:rPr>
          <w:rFonts w:ascii="Arial" w:hAnsi="Arial" w:cs="Arial"/>
          <w:lang w:val="cs-CZ"/>
        </w:rPr>
        <w:t>jen za podmínky, že příjemce její převzetí potvrdí. Za škodu vzniklou ztrátou</w:t>
      </w:r>
      <w:r w:rsidR="00A45313" w:rsidRPr="00403B7F">
        <w:rPr>
          <w:rFonts w:ascii="Arial" w:hAnsi="Arial" w:cs="Arial"/>
          <w:lang w:val="cs-CZ"/>
        </w:rPr>
        <w:t>, zničením, úbytkem</w:t>
      </w:r>
      <w:r w:rsidR="006C4576" w:rsidRPr="00403B7F">
        <w:rPr>
          <w:rFonts w:ascii="Arial" w:hAnsi="Arial" w:cs="Arial"/>
          <w:lang w:val="cs-CZ"/>
        </w:rPr>
        <w:t xml:space="preserve"> doporučené zásilky </w:t>
      </w:r>
      <w:r w:rsidRPr="00403B7F">
        <w:rPr>
          <w:rFonts w:ascii="Arial" w:hAnsi="Arial" w:cs="Arial"/>
          <w:lang w:val="cs-CZ"/>
        </w:rPr>
        <w:t>pošta</w:t>
      </w:r>
      <w:r w:rsidR="006C4576" w:rsidRPr="00403B7F">
        <w:rPr>
          <w:rFonts w:ascii="Arial" w:hAnsi="Arial" w:cs="Arial"/>
          <w:lang w:val="cs-CZ"/>
        </w:rPr>
        <w:t xml:space="preserve"> odpovídá</w:t>
      </w:r>
      <w:r w:rsidRPr="00403B7F">
        <w:rPr>
          <w:rFonts w:ascii="Arial" w:hAnsi="Arial" w:cs="Arial"/>
          <w:lang w:val="cs-CZ"/>
        </w:rPr>
        <w:t>.</w:t>
      </w:r>
      <w:r w:rsidR="006C4576" w:rsidRPr="00403B7F">
        <w:rPr>
          <w:rFonts w:ascii="Arial" w:hAnsi="Arial" w:cs="Arial"/>
          <w:lang w:val="cs-CZ"/>
        </w:rPr>
        <w:t xml:space="preserve"> Hmotnost doporučené zásilky může činit nejvýše </w:t>
      </w:r>
      <w:r w:rsidR="00B87C12" w:rsidRPr="00403B7F">
        <w:rPr>
          <w:rFonts w:ascii="Arial" w:hAnsi="Arial" w:cs="Arial"/>
          <w:lang w:val="cs-CZ"/>
        </w:rPr>
        <w:t>2 </w:t>
      </w:r>
      <w:r w:rsidR="006C4576" w:rsidRPr="00403B7F">
        <w:rPr>
          <w:rFonts w:ascii="Arial" w:hAnsi="Arial" w:cs="Arial"/>
          <w:lang w:val="cs-CZ"/>
        </w:rPr>
        <w:t>kg</w:t>
      </w:r>
      <w:r w:rsidRPr="00403B7F">
        <w:rPr>
          <w:rFonts w:ascii="Arial" w:hAnsi="Arial" w:cs="Arial"/>
          <w:lang w:val="cs-CZ"/>
        </w:rPr>
        <w:t>,</w:t>
      </w:r>
      <w:r w:rsidR="006C4576" w:rsidRPr="00403B7F">
        <w:rPr>
          <w:rFonts w:ascii="Arial" w:hAnsi="Arial" w:cs="Arial"/>
          <w:lang w:val="cs-CZ"/>
        </w:rPr>
        <w:t xml:space="preserve"> </w:t>
      </w:r>
      <w:r w:rsidRPr="00403B7F">
        <w:rPr>
          <w:rFonts w:ascii="Arial" w:hAnsi="Arial" w:cs="Arial"/>
          <w:lang w:val="cs-CZ"/>
        </w:rPr>
        <w:t>d</w:t>
      </w:r>
      <w:r w:rsidR="006C4576" w:rsidRPr="00403B7F">
        <w:rPr>
          <w:rFonts w:ascii="Arial" w:hAnsi="Arial" w:cs="Arial"/>
          <w:lang w:val="cs-CZ"/>
        </w:rPr>
        <w:t xml:space="preserve">élka nesmí přesahovat </w:t>
      </w:r>
      <w:r w:rsidR="00C55E2B" w:rsidRPr="00403B7F">
        <w:rPr>
          <w:rFonts w:ascii="Arial" w:hAnsi="Arial" w:cs="Arial"/>
          <w:lang w:val="cs-CZ"/>
        </w:rPr>
        <w:t>60 </w:t>
      </w:r>
      <w:r w:rsidR="006C4576" w:rsidRPr="00403B7F">
        <w:rPr>
          <w:rFonts w:ascii="Arial" w:hAnsi="Arial" w:cs="Arial"/>
          <w:lang w:val="cs-CZ"/>
        </w:rPr>
        <w:t xml:space="preserve">cm, součet všech jejích tří rozměrů nesmí přesahovat </w:t>
      </w:r>
      <w:r w:rsidR="00B87C12" w:rsidRPr="00403B7F">
        <w:rPr>
          <w:rFonts w:ascii="Arial" w:hAnsi="Arial" w:cs="Arial"/>
          <w:lang w:val="cs-CZ"/>
        </w:rPr>
        <w:t>90 </w:t>
      </w:r>
      <w:r w:rsidR="006C4576" w:rsidRPr="00403B7F">
        <w:rPr>
          <w:rFonts w:ascii="Arial" w:hAnsi="Arial" w:cs="Arial"/>
          <w:lang w:val="cs-CZ"/>
        </w:rPr>
        <w:t>cm. Největší přípustné rozměry doporučené zásilky, která nemá pravo</w:t>
      </w:r>
      <w:r w:rsidR="0030316C">
        <w:rPr>
          <w:rFonts w:ascii="Arial" w:hAnsi="Arial" w:cs="Arial"/>
          <w:lang w:val="cs-CZ"/>
        </w:rPr>
        <w:t>úhlý tvar, se posuzují obdobně.</w:t>
      </w:r>
    </w:p>
    <w:p w:rsidR="006C4576" w:rsidRPr="00403B7F" w:rsidRDefault="006C4576" w:rsidP="0030316C">
      <w:pPr>
        <w:widowControl/>
        <w:spacing w:before="120"/>
        <w:ind w:firstLine="720"/>
        <w:jc w:val="both"/>
        <w:rPr>
          <w:rFonts w:ascii="Arial" w:hAnsi="Arial" w:cs="Arial"/>
          <w:lang w:val="cs-CZ"/>
        </w:rPr>
      </w:pPr>
      <w:r w:rsidRPr="00403B7F">
        <w:rPr>
          <w:rFonts w:ascii="Arial" w:hAnsi="Arial" w:cs="Arial"/>
          <w:lang w:val="cs-CZ"/>
        </w:rPr>
        <w:t xml:space="preserve">Podání </w:t>
      </w:r>
      <w:r w:rsidRPr="00403B7F">
        <w:rPr>
          <w:rFonts w:ascii="Arial" w:hAnsi="Arial" w:cs="Arial"/>
          <w:b/>
          <w:lang w:val="cs-CZ"/>
        </w:rPr>
        <w:t xml:space="preserve">cenné </w:t>
      </w:r>
      <w:r w:rsidR="000B28DB" w:rsidRPr="00403B7F">
        <w:rPr>
          <w:rFonts w:ascii="Arial" w:hAnsi="Arial" w:cs="Arial"/>
          <w:b/>
          <w:lang w:val="cs-CZ"/>
        </w:rPr>
        <w:t xml:space="preserve">zásilky </w:t>
      </w:r>
      <w:r w:rsidR="000B28DB" w:rsidRPr="00403B7F">
        <w:rPr>
          <w:rFonts w:ascii="Arial" w:hAnsi="Arial" w:cs="Arial"/>
          <w:lang w:val="cs-CZ"/>
        </w:rPr>
        <w:t>Česká pošta</w:t>
      </w:r>
      <w:r w:rsidRPr="00403B7F">
        <w:rPr>
          <w:rFonts w:ascii="Arial" w:hAnsi="Arial" w:cs="Arial"/>
          <w:lang w:val="cs-CZ"/>
        </w:rPr>
        <w:t xml:space="preserve"> stvrzuje. Cenn</w:t>
      </w:r>
      <w:r w:rsidR="000B28DB" w:rsidRPr="00403B7F">
        <w:rPr>
          <w:rFonts w:ascii="Arial" w:hAnsi="Arial" w:cs="Arial"/>
          <w:lang w:val="cs-CZ"/>
        </w:rPr>
        <w:t>ou</w:t>
      </w:r>
      <w:r w:rsidRPr="00403B7F">
        <w:rPr>
          <w:rFonts w:ascii="Arial" w:hAnsi="Arial" w:cs="Arial"/>
          <w:lang w:val="cs-CZ"/>
        </w:rPr>
        <w:t xml:space="preserve"> </w:t>
      </w:r>
      <w:r w:rsidR="000B28DB" w:rsidRPr="00403B7F">
        <w:rPr>
          <w:rFonts w:ascii="Arial" w:hAnsi="Arial" w:cs="Arial"/>
          <w:lang w:val="cs-CZ"/>
        </w:rPr>
        <w:t xml:space="preserve">zásilku </w:t>
      </w:r>
      <w:r w:rsidRPr="00403B7F">
        <w:rPr>
          <w:rFonts w:ascii="Arial" w:hAnsi="Arial" w:cs="Arial"/>
          <w:lang w:val="cs-CZ"/>
        </w:rPr>
        <w:t>dodá jen za podmínky, že příjemce je</w:t>
      </w:r>
      <w:r w:rsidR="000B28DB" w:rsidRPr="00403B7F">
        <w:rPr>
          <w:rFonts w:ascii="Arial" w:hAnsi="Arial" w:cs="Arial"/>
          <w:lang w:val="cs-CZ"/>
        </w:rPr>
        <w:t>jí</w:t>
      </w:r>
      <w:r w:rsidRPr="00403B7F">
        <w:rPr>
          <w:rFonts w:ascii="Arial" w:hAnsi="Arial" w:cs="Arial"/>
          <w:lang w:val="cs-CZ"/>
        </w:rPr>
        <w:t xml:space="preserve"> převzetí potvrdí. Odesílatel je povinen uvést na cenné </w:t>
      </w:r>
      <w:r w:rsidR="00082921" w:rsidRPr="00403B7F">
        <w:rPr>
          <w:rFonts w:ascii="Arial" w:hAnsi="Arial" w:cs="Arial"/>
          <w:lang w:val="cs-CZ"/>
        </w:rPr>
        <w:t xml:space="preserve">zásilce </w:t>
      </w:r>
      <w:r w:rsidRPr="00403B7F">
        <w:rPr>
          <w:rFonts w:ascii="Arial" w:hAnsi="Arial" w:cs="Arial"/>
          <w:lang w:val="cs-CZ"/>
        </w:rPr>
        <w:t xml:space="preserve">cenu, kterou oceňuje vložený obsah. Udaná cena nesmí převýšit částku </w:t>
      </w:r>
      <w:r w:rsidR="00C55E2B" w:rsidRPr="00403B7F">
        <w:rPr>
          <w:rFonts w:ascii="Arial" w:hAnsi="Arial" w:cs="Arial"/>
          <w:lang w:val="cs-CZ"/>
        </w:rPr>
        <w:t>1 </w:t>
      </w:r>
      <w:r w:rsidRPr="00403B7F">
        <w:rPr>
          <w:rFonts w:ascii="Arial" w:hAnsi="Arial" w:cs="Arial"/>
          <w:lang w:val="cs-CZ"/>
        </w:rPr>
        <w:t>000</w:t>
      </w:r>
      <w:r w:rsidR="00C55E2B" w:rsidRPr="00403B7F">
        <w:rPr>
          <w:rFonts w:ascii="Arial" w:hAnsi="Arial" w:cs="Arial"/>
          <w:lang w:val="cs-CZ"/>
        </w:rPr>
        <w:t> </w:t>
      </w:r>
      <w:r w:rsidRPr="00403B7F">
        <w:rPr>
          <w:rFonts w:ascii="Arial" w:hAnsi="Arial" w:cs="Arial"/>
          <w:lang w:val="cs-CZ"/>
        </w:rPr>
        <w:t xml:space="preserve">000 Kč. Za škodu vzniklou ztrátou, poškozením nebo úbytkem obsahu cenné </w:t>
      </w:r>
      <w:r w:rsidR="00082921" w:rsidRPr="00403B7F">
        <w:rPr>
          <w:rFonts w:ascii="Arial" w:hAnsi="Arial" w:cs="Arial"/>
          <w:lang w:val="cs-CZ"/>
        </w:rPr>
        <w:t>zásilky</w:t>
      </w:r>
      <w:r w:rsidRPr="00403B7F">
        <w:rPr>
          <w:rFonts w:ascii="Arial" w:hAnsi="Arial" w:cs="Arial"/>
          <w:lang w:val="cs-CZ"/>
        </w:rPr>
        <w:t xml:space="preserve"> po</w:t>
      </w:r>
      <w:r w:rsidR="00082921" w:rsidRPr="00403B7F">
        <w:rPr>
          <w:rFonts w:ascii="Arial" w:hAnsi="Arial" w:cs="Arial"/>
          <w:lang w:val="cs-CZ"/>
        </w:rPr>
        <w:t>šta</w:t>
      </w:r>
      <w:r w:rsidRPr="00403B7F">
        <w:rPr>
          <w:rFonts w:ascii="Arial" w:hAnsi="Arial" w:cs="Arial"/>
          <w:lang w:val="cs-CZ"/>
        </w:rPr>
        <w:t xml:space="preserve"> odpoví</w:t>
      </w:r>
      <w:r w:rsidR="0030316C">
        <w:rPr>
          <w:rFonts w:ascii="Arial" w:hAnsi="Arial" w:cs="Arial"/>
          <w:lang w:val="cs-CZ"/>
        </w:rPr>
        <w:t>dá, a to až do výše udané ceny.</w:t>
      </w:r>
    </w:p>
    <w:p w:rsidR="004E524C" w:rsidRPr="00403B7F" w:rsidRDefault="004E524C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403B7F">
        <w:rPr>
          <w:rFonts w:ascii="Arial" w:hAnsi="Arial" w:cs="Arial"/>
          <w:b/>
          <w:bCs/>
          <w:lang w:val="cs-CZ"/>
        </w:rPr>
        <w:t>Vklady včetně inkasa</w:t>
      </w:r>
      <w:r w:rsidRPr="00403B7F">
        <w:rPr>
          <w:rFonts w:ascii="Arial" w:hAnsi="Arial" w:cs="Arial"/>
          <w:lang w:val="cs-CZ"/>
        </w:rPr>
        <w:t xml:space="preserve"> zahrnují zejména vklady na poštovní poukázky, všechna inkasa poplatků (za telefon, rozhlas, televizi), vklady na přijaté sázenky, vklady pro Poštovní spořitelnu.</w:t>
      </w:r>
    </w:p>
    <w:p w:rsidR="004E524C" w:rsidRPr="00403B7F" w:rsidRDefault="004E524C" w:rsidP="0030316C">
      <w:pPr>
        <w:widowControl/>
        <w:spacing w:before="120"/>
        <w:ind w:firstLine="709"/>
        <w:jc w:val="both"/>
        <w:rPr>
          <w:rFonts w:ascii="Arial" w:hAnsi="Arial" w:cs="Arial"/>
          <w:lang w:val="cs-CZ"/>
        </w:rPr>
      </w:pPr>
      <w:r w:rsidRPr="00403B7F">
        <w:rPr>
          <w:rFonts w:ascii="Arial" w:hAnsi="Arial" w:cs="Arial"/>
          <w:lang w:val="cs-CZ"/>
        </w:rPr>
        <w:t xml:space="preserve">Ve </w:t>
      </w:r>
      <w:r w:rsidRPr="00403B7F">
        <w:rPr>
          <w:rFonts w:ascii="Arial" w:hAnsi="Arial" w:cs="Arial"/>
          <w:b/>
          <w:bCs/>
          <w:lang w:val="cs-CZ"/>
        </w:rPr>
        <w:t>výplatách</w:t>
      </w:r>
      <w:r w:rsidRPr="00403B7F">
        <w:rPr>
          <w:rFonts w:ascii="Arial" w:hAnsi="Arial" w:cs="Arial"/>
          <w:lang w:val="cs-CZ"/>
        </w:rPr>
        <w:t xml:space="preserve"> jsou zejména zahrnuty výplaty poštovních poukázek, důchodů, výher ze sázkových soutěží, výplaty pro Poštovní spořitelnu a na mezinárodní poštovní šeky.</w:t>
      </w:r>
    </w:p>
    <w:p w:rsidR="004E524C" w:rsidRPr="00403B7F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403B7F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4E524C" w:rsidRPr="00403B7F" w:rsidRDefault="004E524C" w:rsidP="0030316C">
      <w:pPr>
        <w:widowControl/>
        <w:jc w:val="center"/>
        <w:rPr>
          <w:rFonts w:ascii="Arial" w:hAnsi="Arial" w:cs="Arial"/>
          <w:lang w:val="cs-CZ"/>
        </w:rPr>
      </w:pPr>
      <w:r w:rsidRPr="00403B7F">
        <w:rPr>
          <w:rFonts w:ascii="Arial" w:hAnsi="Arial" w:cs="Arial"/>
          <w:lang w:val="cs-CZ"/>
        </w:rPr>
        <w:t>*          *          *</w:t>
      </w:r>
    </w:p>
    <w:p w:rsidR="004E524C" w:rsidRPr="00403B7F" w:rsidRDefault="004E524C" w:rsidP="0030316C">
      <w:pPr>
        <w:widowControl/>
        <w:jc w:val="both"/>
        <w:rPr>
          <w:rFonts w:ascii="Arial" w:hAnsi="Arial" w:cs="Arial"/>
          <w:lang w:val="cs-CZ"/>
        </w:rPr>
      </w:pPr>
    </w:p>
    <w:p w:rsidR="000F72FC" w:rsidRPr="00403B7F" w:rsidRDefault="000F72FC" w:rsidP="0030316C">
      <w:pPr>
        <w:widowControl/>
        <w:jc w:val="both"/>
        <w:rPr>
          <w:rFonts w:ascii="Arial" w:hAnsi="Arial" w:cs="Arial"/>
          <w:lang w:val="cs-CZ"/>
        </w:rPr>
      </w:pPr>
    </w:p>
    <w:p w:rsidR="00B228FE" w:rsidRPr="00403B7F" w:rsidRDefault="00864323" w:rsidP="0030316C">
      <w:pPr>
        <w:pStyle w:val="Zkladntextodsazen2"/>
        <w:widowControl/>
        <w:spacing w:before="0"/>
      </w:pPr>
      <w:r w:rsidRPr="00403B7F">
        <w:t>Další informace jsou dostupné na internetových stránkách Českého statistického úřadu:</w:t>
      </w:r>
    </w:p>
    <w:p w:rsidR="004E524C" w:rsidRPr="00403B7F" w:rsidRDefault="004E524C" w:rsidP="0030316C">
      <w:pPr>
        <w:widowControl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before="120"/>
        <w:rPr>
          <w:rFonts w:ascii="Arial" w:hAnsi="Arial" w:cs="Arial"/>
          <w:lang w:val="cs-CZ"/>
        </w:rPr>
      </w:pPr>
      <w:r w:rsidRPr="00403B7F">
        <w:rPr>
          <w:rFonts w:ascii="Arial" w:hAnsi="Arial" w:cs="Arial"/>
          <w:lang w:val="cs-CZ"/>
        </w:rPr>
        <w:t>– </w:t>
      </w:r>
      <w:hyperlink r:id="rId6" w:history="1">
        <w:r w:rsidR="00B249E3" w:rsidRPr="00403B7F">
          <w:rPr>
            <w:rStyle w:val="Hypertextovodkaz"/>
            <w:rFonts w:ascii="Arial" w:hAnsi="Arial" w:cs="Arial"/>
            <w:lang w:val="cs-CZ"/>
          </w:rPr>
          <w:t>www.czso.cz/csu/czso/doprava_a_spoje</w:t>
        </w:r>
      </w:hyperlink>
      <w:r w:rsidR="0079370F" w:rsidRPr="00403B7F">
        <w:rPr>
          <w:rFonts w:ascii="Arial" w:hAnsi="Arial" w:cs="Arial"/>
          <w:lang w:val="cs-CZ"/>
        </w:rPr>
        <w:t xml:space="preserve"> </w:t>
      </w:r>
    </w:p>
    <w:p w:rsidR="004E524C" w:rsidRPr="00403B7F" w:rsidRDefault="004E524C" w:rsidP="0030316C">
      <w:pPr>
        <w:pStyle w:val="Zkladntextodsazen2"/>
        <w:widowControl/>
        <w:rPr>
          <w:rFonts w:cs="Arial"/>
        </w:rPr>
      </w:pPr>
      <w:r w:rsidRPr="00403B7F">
        <w:rPr>
          <w:rFonts w:cs="Arial"/>
        </w:rPr>
        <w:t>nebo na internetových stránkách Ministerstva dopravy:</w:t>
      </w:r>
    </w:p>
    <w:p w:rsidR="00D74C00" w:rsidRPr="00AA6CCC" w:rsidRDefault="004E524C" w:rsidP="0030316C">
      <w:pPr>
        <w:widowControl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before="120"/>
        <w:rPr>
          <w:rFonts w:ascii="Arial" w:hAnsi="Arial" w:cs="Arial"/>
          <w:lang w:val="cs-CZ"/>
        </w:rPr>
      </w:pPr>
      <w:r w:rsidRPr="00403B7F">
        <w:rPr>
          <w:rFonts w:ascii="Arial" w:hAnsi="Arial" w:cs="Arial"/>
          <w:lang w:val="cs-CZ"/>
        </w:rPr>
        <w:t>– </w:t>
      </w:r>
      <w:hyperlink r:id="rId7" w:history="1">
        <w:r w:rsidR="00443315" w:rsidRPr="00403B7F">
          <w:rPr>
            <w:rStyle w:val="Hypertextovodkaz"/>
            <w:rFonts w:ascii="Arial" w:hAnsi="Arial" w:cs="Arial"/>
            <w:lang w:val="cs-CZ"/>
          </w:rPr>
          <w:t>www.mdcr.cz/cs/default.htm</w:t>
        </w:r>
      </w:hyperlink>
      <w:r w:rsidR="0079370F">
        <w:rPr>
          <w:rFonts w:ascii="Arial" w:hAnsi="Arial" w:cs="Arial"/>
          <w:lang w:val="cs-CZ"/>
        </w:rPr>
        <w:t xml:space="preserve"> </w:t>
      </w:r>
    </w:p>
    <w:sectPr w:rsidR="00D74C00" w:rsidRPr="00AA6CCC" w:rsidSect="008F4D74">
      <w:footnotePr>
        <w:numRestart w:val="eachSect"/>
      </w:footnotePr>
      <w:endnotePr>
        <w:numFmt w:val="decimal"/>
      </w:endnotePr>
      <w:pgSz w:w="11907" w:h="16840" w:code="9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Normální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D74"/>
    <w:multiLevelType w:val="hybridMultilevel"/>
    <w:tmpl w:val="66EE2930"/>
    <w:lvl w:ilvl="0" w:tplc="A4246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82309"/>
    <w:multiLevelType w:val="hybridMultilevel"/>
    <w:tmpl w:val="4ABA45B0"/>
    <w:lvl w:ilvl="0" w:tplc="835852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A08B9"/>
    <w:multiLevelType w:val="hybridMultilevel"/>
    <w:tmpl w:val="B0808BE4"/>
    <w:lvl w:ilvl="0" w:tplc="664A980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6F90084"/>
    <w:multiLevelType w:val="hybridMultilevel"/>
    <w:tmpl w:val="A2540D0E"/>
    <w:lvl w:ilvl="0" w:tplc="18666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6E6FC0"/>
    <w:multiLevelType w:val="hybridMultilevel"/>
    <w:tmpl w:val="5370665A"/>
    <w:lvl w:ilvl="0" w:tplc="A2BCB3E8">
      <w:start w:val="5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E97210"/>
    <w:multiLevelType w:val="hybridMultilevel"/>
    <w:tmpl w:val="32EAB600"/>
    <w:lvl w:ilvl="0" w:tplc="F844EB5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5A561A"/>
    <w:multiLevelType w:val="hybridMultilevel"/>
    <w:tmpl w:val="B2642C9A"/>
    <w:lvl w:ilvl="0" w:tplc="A4246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7311E9"/>
    <w:multiLevelType w:val="hybridMultilevel"/>
    <w:tmpl w:val="741271D0"/>
    <w:lvl w:ilvl="0" w:tplc="CC8A6202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8">
    <w:nsid w:val="73391232"/>
    <w:multiLevelType w:val="hybridMultilevel"/>
    <w:tmpl w:val="AE1012D4"/>
    <w:lvl w:ilvl="0" w:tplc="7C984B7E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</w:footnotePr>
  <w:endnotePr>
    <w:numFmt w:val="decimal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3EA"/>
    <w:rsid w:val="00016983"/>
    <w:rsid w:val="000347FD"/>
    <w:rsid w:val="0004706F"/>
    <w:rsid w:val="000574B9"/>
    <w:rsid w:val="00082921"/>
    <w:rsid w:val="000A67DB"/>
    <w:rsid w:val="000B28DB"/>
    <w:rsid w:val="000B500D"/>
    <w:rsid w:val="000F0AA2"/>
    <w:rsid w:val="000F72FC"/>
    <w:rsid w:val="001616B6"/>
    <w:rsid w:val="001846DD"/>
    <w:rsid w:val="001A3653"/>
    <w:rsid w:val="001A641D"/>
    <w:rsid w:val="001B3521"/>
    <w:rsid w:val="00206A4F"/>
    <w:rsid w:val="00214DA8"/>
    <w:rsid w:val="00236BE1"/>
    <w:rsid w:val="002431FD"/>
    <w:rsid w:val="002C62FF"/>
    <w:rsid w:val="002F2F0D"/>
    <w:rsid w:val="002F477A"/>
    <w:rsid w:val="0030316C"/>
    <w:rsid w:val="003359BC"/>
    <w:rsid w:val="00352E66"/>
    <w:rsid w:val="00381145"/>
    <w:rsid w:val="00396611"/>
    <w:rsid w:val="003974BD"/>
    <w:rsid w:val="003B04A2"/>
    <w:rsid w:val="003E0F70"/>
    <w:rsid w:val="003F1C8E"/>
    <w:rsid w:val="003F7A61"/>
    <w:rsid w:val="0040287D"/>
    <w:rsid w:val="00403B7F"/>
    <w:rsid w:val="00425DF4"/>
    <w:rsid w:val="00443315"/>
    <w:rsid w:val="00471907"/>
    <w:rsid w:val="004A3C64"/>
    <w:rsid w:val="004C145D"/>
    <w:rsid w:val="004D0B17"/>
    <w:rsid w:val="004E2588"/>
    <w:rsid w:val="004E524C"/>
    <w:rsid w:val="004F5A25"/>
    <w:rsid w:val="00530766"/>
    <w:rsid w:val="005425C7"/>
    <w:rsid w:val="005A2B26"/>
    <w:rsid w:val="005A2CE3"/>
    <w:rsid w:val="0060244C"/>
    <w:rsid w:val="00610BD9"/>
    <w:rsid w:val="00615D87"/>
    <w:rsid w:val="006320E6"/>
    <w:rsid w:val="006C4576"/>
    <w:rsid w:val="006D1ECB"/>
    <w:rsid w:val="00717B13"/>
    <w:rsid w:val="00721396"/>
    <w:rsid w:val="00740A9D"/>
    <w:rsid w:val="00775EDC"/>
    <w:rsid w:val="0079370F"/>
    <w:rsid w:val="007A380B"/>
    <w:rsid w:val="0082325D"/>
    <w:rsid w:val="00831509"/>
    <w:rsid w:val="00864323"/>
    <w:rsid w:val="00870886"/>
    <w:rsid w:val="00882DD2"/>
    <w:rsid w:val="008B72E4"/>
    <w:rsid w:val="008B75A6"/>
    <w:rsid w:val="008F133D"/>
    <w:rsid w:val="008F4D74"/>
    <w:rsid w:val="00915952"/>
    <w:rsid w:val="00972736"/>
    <w:rsid w:val="00981317"/>
    <w:rsid w:val="00A04FA9"/>
    <w:rsid w:val="00A45313"/>
    <w:rsid w:val="00A554F4"/>
    <w:rsid w:val="00A75E96"/>
    <w:rsid w:val="00A83B11"/>
    <w:rsid w:val="00A86985"/>
    <w:rsid w:val="00AA6CCC"/>
    <w:rsid w:val="00AB00D7"/>
    <w:rsid w:val="00AC457D"/>
    <w:rsid w:val="00AC7DBE"/>
    <w:rsid w:val="00AE3CDC"/>
    <w:rsid w:val="00AE6716"/>
    <w:rsid w:val="00B14EC8"/>
    <w:rsid w:val="00B228FE"/>
    <w:rsid w:val="00B249E3"/>
    <w:rsid w:val="00B30438"/>
    <w:rsid w:val="00B443EA"/>
    <w:rsid w:val="00B87C12"/>
    <w:rsid w:val="00BA71EA"/>
    <w:rsid w:val="00BA787D"/>
    <w:rsid w:val="00BF7A3B"/>
    <w:rsid w:val="00C4387E"/>
    <w:rsid w:val="00C55E2B"/>
    <w:rsid w:val="00C57895"/>
    <w:rsid w:val="00C82F6F"/>
    <w:rsid w:val="00CB3DF3"/>
    <w:rsid w:val="00D27956"/>
    <w:rsid w:val="00D42513"/>
    <w:rsid w:val="00D74C00"/>
    <w:rsid w:val="00DA3909"/>
    <w:rsid w:val="00DB320E"/>
    <w:rsid w:val="00E0765D"/>
    <w:rsid w:val="00E17EC0"/>
    <w:rsid w:val="00E2226D"/>
    <w:rsid w:val="00E34B50"/>
    <w:rsid w:val="00E53B75"/>
    <w:rsid w:val="00EA7774"/>
    <w:rsid w:val="00EB30E6"/>
    <w:rsid w:val="00EC38FC"/>
    <w:rsid w:val="00EC4C77"/>
    <w:rsid w:val="00EC57C8"/>
    <w:rsid w:val="00EE4C4F"/>
    <w:rsid w:val="00F1560A"/>
    <w:rsid w:val="00F432C6"/>
    <w:rsid w:val="00F60B9C"/>
    <w:rsid w:val="00F66AB5"/>
    <w:rsid w:val="00F8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D74"/>
    <w:pPr>
      <w:widowControl w:val="0"/>
      <w:autoSpaceDE w:val="0"/>
      <w:autoSpaceDN w:val="0"/>
      <w:adjustRightInd w:val="0"/>
    </w:pPr>
    <w:rPr>
      <w:rFonts w:ascii="Roman 10cpi" w:hAnsi="Roman 10cpi"/>
      <w:lang w:val="en-US"/>
    </w:rPr>
  </w:style>
  <w:style w:type="paragraph" w:styleId="Nadpis1">
    <w:name w:val="heading 1"/>
    <w:basedOn w:val="Normln"/>
    <w:next w:val="Normln"/>
    <w:qFormat/>
    <w:rsid w:val="008F4D74"/>
    <w:pPr>
      <w:keepNext/>
      <w:ind w:right="148"/>
      <w:jc w:val="both"/>
      <w:outlineLvl w:val="0"/>
    </w:pPr>
    <w:rPr>
      <w:b/>
      <w:bCs/>
      <w:lang w:val="cs-CZ"/>
    </w:rPr>
  </w:style>
  <w:style w:type="paragraph" w:styleId="Nadpis2">
    <w:name w:val="heading 2"/>
    <w:basedOn w:val="Normln"/>
    <w:next w:val="Normln"/>
    <w:qFormat/>
    <w:rsid w:val="008F4D74"/>
    <w:pPr>
      <w:keepNext/>
      <w:jc w:val="both"/>
      <w:outlineLvl w:val="1"/>
    </w:pPr>
    <w:rPr>
      <w:rFonts w:ascii="Arial" w:hAnsi="Arial"/>
      <w:b/>
      <w:bCs/>
      <w:lang w:val="cs-CZ"/>
    </w:rPr>
  </w:style>
  <w:style w:type="paragraph" w:styleId="Nadpis4">
    <w:name w:val="heading 4"/>
    <w:basedOn w:val="Normln"/>
    <w:next w:val="Normln"/>
    <w:qFormat/>
    <w:rsid w:val="008F4D74"/>
    <w:pPr>
      <w:keepNext/>
      <w:widowControl/>
      <w:autoSpaceDE/>
      <w:autoSpaceDN/>
      <w:adjustRightInd/>
      <w:ind w:firstLine="720"/>
      <w:jc w:val="both"/>
      <w:outlineLvl w:val="3"/>
    </w:pPr>
    <w:rPr>
      <w:rFonts w:ascii="Arial" w:hAnsi="Arial" w:cs="Arial"/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F4D74"/>
    <w:pPr>
      <w:ind w:right="91"/>
      <w:jc w:val="both"/>
    </w:pPr>
    <w:rPr>
      <w:lang w:val="cs-CZ"/>
    </w:rPr>
  </w:style>
  <w:style w:type="paragraph" w:styleId="Zkladntextodsazen">
    <w:name w:val="Body Text Indent"/>
    <w:basedOn w:val="Normln"/>
    <w:semiHidden/>
    <w:rsid w:val="008F4D74"/>
    <w:pPr>
      <w:spacing w:before="120"/>
      <w:jc w:val="both"/>
    </w:pPr>
    <w:rPr>
      <w:rFonts w:ascii="Arial" w:hAnsi="Arial"/>
      <w:lang w:val="cs-CZ"/>
    </w:rPr>
  </w:style>
  <w:style w:type="character" w:styleId="Odkaznakoment">
    <w:name w:val="annotation reference"/>
    <w:basedOn w:val="Standardnpsmoodstavce"/>
    <w:semiHidden/>
    <w:rsid w:val="008F4D7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F4D74"/>
  </w:style>
  <w:style w:type="paragraph" w:styleId="Zkladntext2">
    <w:name w:val="Body Text 2"/>
    <w:basedOn w:val="Normln"/>
    <w:semiHidden/>
    <w:rsid w:val="008F4D74"/>
    <w:pPr>
      <w:spacing w:before="120"/>
      <w:jc w:val="both"/>
    </w:pPr>
    <w:rPr>
      <w:rFonts w:ascii="Arial" w:hAnsi="Arial"/>
      <w:lang w:val="cs-CZ"/>
    </w:rPr>
  </w:style>
  <w:style w:type="character" w:styleId="Hypertextovodkaz">
    <w:name w:val="Hyperlink"/>
    <w:basedOn w:val="Standardnpsmoodstavce"/>
    <w:semiHidden/>
    <w:rsid w:val="008F4D74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8F4D74"/>
    <w:rPr>
      <w:color w:val="800080"/>
      <w:u w:val="single"/>
    </w:rPr>
  </w:style>
  <w:style w:type="paragraph" w:styleId="Zkladntextodsazen2">
    <w:name w:val="Body Text Indent 2"/>
    <w:basedOn w:val="Normln"/>
    <w:semiHidden/>
    <w:rsid w:val="008F4D74"/>
    <w:pPr>
      <w:spacing w:before="120"/>
      <w:ind w:firstLine="709"/>
      <w:jc w:val="both"/>
    </w:pPr>
    <w:rPr>
      <w:rFonts w:ascii="Arial" w:hAnsi="Arial"/>
      <w:lang w:val="cs-CZ"/>
    </w:rPr>
  </w:style>
  <w:style w:type="paragraph" w:styleId="Rozvrendokumentu">
    <w:name w:val="Document Map"/>
    <w:basedOn w:val="Normln"/>
    <w:semiHidden/>
    <w:rsid w:val="008F4D74"/>
    <w:pPr>
      <w:shd w:val="clear" w:color="auto" w:fill="000080"/>
    </w:pPr>
    <w:rPr>
      <w:rFonts w:ascii="Tahoma" w:hAnsi="Tahoma" w:cs="Tahoma"/>
    </w:rPr>
  </w:style>
  <w:style w:type="paragraph" w:styleId="Prosttext">
    <w:name w:val="Plain Text"/>
    <w:basedOn w:val="Normln"/>
    <w:semiHidden/>
    <w:rsid w:val="008F4D74"/>
    <w:pPr>
      <w:widowControl/>
      <w:autoSpaceDE/>
      <w:autoSpaceDN/>
      <w:adjustRightInd/>
    </w:pPr>
    <w:rPr>
      <w:rFonts w:ascii="Courier New" w:hAnsi="Courier New" w:cs="Courier New"/>
      <w:lang w:val="cs-CZ"/>
    </w:rPr>
  </w:style>
  <w:style w:type="paragraph" w:customStyle="1" w:styleId="a">
    <w:name w:val="_"/>
    <w:rsid w:val="008F4D74"/>
    <w:pPr>
      <w:widowControl w:val="0"/>
      <w:autoSpaceDE w:val="0"/>
      <w:autoSpaceDN w:val="0"/>
      <w:adjustRightInd w:val="0"/>
      <w:ind w:left="1026"/>
      <w:jc w:val="both"/>
    </w:pPr>
    <w:rPr>
      <w:rFonts w:ascii="Times New Roman Normální" w:hAnsi="Times New Roman Normální"/>
      <w:sz w:val="24"/>
      <w:szCs w:val="24"/>
    </w:rPr>
  </w:style>
  <w:style w:type="paragraph" w:styleId="Zkladntext3">
    <w:name w:val="Body Text 3"/>
    <w:basedOn w:val="Normln"/>
    <w:semiHidden/>
    <w:rsid w:val="008F4D74"/>
    <w:pPr>
      <w:widowControl/>
      <w:autoSpaceDE/>
      <w:autoSpaceDN/>
      <w:adjustRightInd/>
      <w:jc w:val="both"/>
    </w:pPr>
    <w:rPr>
      <w:rFonts w:ascii="Times New Roman" w:hAnsi="Times New Roman"/>
      <w:sz w:val="24"/>
      <w:szCs w:val="24"/>
      <w:lang w:val="cs-CZ"/>
    </w:rPr>
  </w:style>
  <w:style w:type="paragraph" w:styleId="Podpise-mailu">
    <w:name w:val="E-mail Signature"/>
    <w:basedOn w:val="Normln"/>
    <w:semiHidden/>
    <w:rsid w:val="008F4D74"/>
  </w:style>
  <w:style w:type="paragraph" w:styleId="Zkladntextodsazen3">
    <w:name w:val="Body Text Indent 3"/>
    <w:basedOn w:val="Normln"/>
    <w:semiHidden/>
    <w:rsid w:val="008F4D74"/>
    <w:pPr>
      <w:ind w:firstLine="720"/>
      <w:jc w:val="both"/>
    </w:pPr>
    <w:rPr>
      <w:rFonts w:ascii="Arial" w:hAnsi="Arial"/>
      <w:lang w:val="cs-CZ"/>
    </w:rPr>
  </w:style>
  <w:style w:type="paragraph" w:styleId="Zpat">
    <w:name w:val="footer"/>
    <w:basedOn w:val="Normln"/>
    <w:semiHidden/>
    <w:rsid w:val="008F4D74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Arial" w:hAnsi="Arial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7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7C8"/>
    <w:rPr>
      <w:rFonts w:ascii="Tahoma" w:hAnsi="Tahoma" w:cs="Tahoma"/>
      <w:sz w:val="16"/>
      <w:szCs w:val="16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9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82921"/>
    <w:rPr>
      <w:rFonts w:ascii="Roman 10cpi" w:hAnsi="Roman 10cpi"/>
      <w:lang w:val="en-US"/>
    </w:rPr>
  </w:style>
  <w:style w:type="character" w:customStyle="1" w:styleId="PedmtkomenteChar">
    <w:name w:val="Předmět komentáře Char"/>
    <w:basedOn w:val="TextkomenteChar"/>
    <w:link w:val="Pedmtkomente"/>
    <w:rsid w:val="00082921"/>
  </w:style>
  <w:style w:type="paragraph" w:styleId="Revize">
    <w:name w:val="Revision"/>
    <w:hidden/>
    <w:uiPriority w:val="99"/>
    <w:semiHidden/>
    <w:rsid w:val="00082921"/>
    <w:rPr>
      <w:rFonts w:ascii="Roman 10cpi" w:hAnsi="Roman 10cp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Dokumenty\GroupWise\www.mdcr.cz\cs\default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zso.cz/csu/czso/doprava_a_spoj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2DF2D-96BF-4606-A148-3B299E0E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1357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CSU</Company>
  <LinksUpToDate>false</LinksUpToDate>
  <CharactersWithSpaces>9350</CharactersWithSpaces>
  <SharedDoc>false</SharedDoc>
  <HLinks>
    <vt:vector size="12" baseType="variant">
      <vt:variant>
        <vt:i4>983058</vt:i4>
      </vt:variant>
      <vt:variant>
        <vt:i4>3</vt:i4>
      </vt:variant>
      <vt:variant>
        <vt:i4>0</vt:i4>
      </vt:variant>
      <vt:variant>
        <vt:i4>5</vt:i4>
      </vt:variant>
      <vt:variant>
        <vt:lpwstr>http://www.mdcr.cz/cs/default.htm</vt:lpwstr>
      </vt:variant>
      <vt:variant>
        <vt:lpwstr/>
      </vt:variant>
      <vt:variant>
        <vt:i4>786462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http://www.czso.cz/csu/redakce.nsf/i/doprava_a_spoje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Habartova</dc:creator>
  <cp:lastModifiedBy>palivcova5849</cp:lastModifiedBy>
  <cp:revision>2</cp:revision>
  <cp:lastPrinted>2015-06-03T05:37:00Z</cp:lastPrinted>
  <dcterms:created xsi:type="dcterms:W3CDTF">2016-06-03T07:36:00Z</dcterms:created>
  <dcterms:modified xsi:type="dcterms:W3CDTF">2016-06-03T07:36:00Z</dcterms:modified>
</cp:coreProperties>
</file>