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D7" w:rsidRDefault="009E16D7" w:rsidP="009E16D7">
      <w:pPr>
        <w:pStyle w:val="Nadpis1"/>
      </w:pPr>
      <w:bookmarkStart w:id="0" w:name="_Toc468110172"/>
      <w:r>
        <w:t>4. Ukazatele kohortní plodnosti</w:t>
      </w:r>
      <w:bookmarkStart w:id="1" w:name="_GoBack"/>
      <w:bookmarkEnd w:id="0"/>
      <w:bookmarkEnd w:id="1"/>
    </w:p>
    <w:p w:rsidR="009E16D7" w:rsidRDefault="009E16D7" w:rsidP="009E16D7">
      <w:pPr>
        <w:pStyle w:val="Nadpis2"/>
      </w:pPr>
      <w:bookmarkStart w:id="2" w:name="_Toc468110173"/>
      <w:r>
        <w:t>4.1 Konečná plodnost podle roku narození žen</w:t>
      </w:r>
      <w:bookmarkEnd w:id="2"/>
    </w:p>
    <w:p w:rsidR="009E16D7" w:rsidRDefault="009E16D7" w:rsidP="009E16D7">
      <w:r>
        <w:t>Konečná plodnost (podle výsledků SLDB 2011) je na rozdíl od úhrnné plodnosti stabilní ukazatel a odlišnosti podle ročníku narození ženy nejsou tak výrazné.</w:t>
      </w:r>
      <w:r w:rsidRPr="005A660A">
        <w:t xml:space="preserve"> Rozdíl </w:t>
      </w:r>
      <w:r>
        <w:t>mezi konečnou plodností generací</w:t>
      </w:r>
      <w:r w:rsidRPr="005A660A">
        <w:t xml:space="preserve"> 1917–1921 a 1965 byl okolo 0,2 dítěte na jednu ženu.</w:t>
      </w:r>
      <w:r>
        <w:t xml:space="preserve"> </w:t>
      </w:r>
      <w:r w:rsidRPr="005A660A">
        <w:t>Nejstarší</w:t>
      </w:r>
      <w:r>
        <w:t xml:space="preserve"> žijící generace žen narozené</w:t>
      </w:r>
      <w:r w:rsidRPr="005A660A">
        <w:t xml:space="preserve"> v letech 1917–1921 d</w:t>
      </w:r>
      <w:r>
        <w:t xml:space="preserve">osahovala </w:t>
      </w:r>
      <w:r w:rsidRPr="005A660A">
        <w:t>nejvyšší úrovně konečné plodnosti</w:t>
      </w:r>
      <w:r>
        <w:t xml:space="preserve"> (2,14 dítěte na ženu). Tyto generace nejčastěji rodily</w:t>
      </w:r>
      <w:r w:rsidRPr="005A660A">
        <w:t xml:space="preserve"> v letech těsně po druhé </w:t>
      </w:r>
      <w:r>
        <w:t>světové válce</w:t>
      </w:r>
      <w:r w:rsidRPr="005A660A">
        <w:t xml:space="preserve">. Konečná plodnost u generací narozených později </w:t>
      </w:r>
      <w:r>
        <w:t xml:space="preserve">byla </w:t>
      </w:r>
      <w:r w:rsidRPr="005A660A">
        <w:t xml:space="preserve">nižší </w:t>
      </w:r>
      <w:r>
        <w:t xml:space="preserve">(minimum 2,03 u generace 1943) </w:t>
      </w:r>
      <w:r w:rsidRPr="005A660A">
        <w:t xml:space="preserve">až do </w:t>
      </w:r>
      <w:r>
        <w:t xml:space="preserve">generací </w:t>
      </w:r>
      <w:r w:rsidRPr="005A660A">
        <w:t>žen narozených v druhé polovině 40. let 20. století</w:t>
      </w:r>
      <w:r>
        <w:t xml:space="preserve"> (v</w:t>
      </w:r>
      <w:r w:rsidRPr="005A660A">
        <w:t>ýjimkou byly mírně vyšší hodnoty u generací 1939 a 1940</w:t>
      </w:r>
      <w:r>
        <w:t xml:space="preserve"> s 2,06 dětmi na jednu ženu</w:t>
      </w:r>
      <w:r w:rsidRPr="005A660A">
        <w:t>, které byly pravděpodobně důsledkem slibovaných, ale nerealizovaných propopulačních opatření z let 1963 a 1964</w:t>
      </w:r>
      <w:r>
        <w:t>)</w:t>
      </w:r>
      <w:r w:rsidRPr="005A660A">
        <w:t xml:space="preserve">.   </w:t>
      </w:r>
    </w:p>
    <w:p w:rsidR="009E16D7" w:rsidRDefault="009E16D7" w:rsidP="009E16D7">
      <w:r>
        <w:t xml:space="preserve">Konečná plodnost žen narozených v dalších letech </w:t>
      </w:r>
      <w:r w:rsidRPr="005A660A">
        <w:t>začala opět růst</w:t>
      </w:r>
      <w:r>
        <w:t xml:space="preserve"> (generace 1950 měla úroveň konečné plodnosti 2,08)</w:t>
      </w:r>
      <w:r w:rsidRPr="005A660A">
        <w:t xml:space="preserve">. </w:t>
      </w:r>
      <w:r>
        <w:t>Mezi generacemi žen narozenými mezi roky 1945 a 1950 vzrostla konečná plodnost o zhruba 0,05 dítěte na ženu. Na tento nárůst měla vliv propopulační opatření realizovaná zejména v 70. letech, která spočívala například ve výhodných novomanželských půjčkách, lepší dostupnosti bydlení pro rodiny s dětmi, zvýšení přídavků na děti (zejména druhého a třetího pořadí), prodloužení mateřské dovolené či zavedení rodičovského příspěvku.</w:t>
      </w:r>
    </w:p>
    <w:p w:rsidR="009E16D7" w:rsidRDefault="009E16D7" w:rsidP="009E16D7">
      <w:r>
        <w:t>Od generací narozených v 50. letech 20. století došlo k poklesu konečné plodnosti, protože mnohá propopulační opatření se vyčerpala díky ztrátě své relativní hodnoty. Dostupnost bydlení navíc stále nebyla ideální. Generace žen narozených v roce 1960 a později měly již v průměru méně než dvě děti. Šlo o první hodnoty nižší než dvě děti na jednu ženu u generací s ukončenou reprodukcí od sčítání 1930, kdy se plodnost žen poprvé zjišťovala.</w:t>
      </w:r>
    </w:p>
    <w:p w:rsidR="009E16D7" w:rsidRDefault="009E16D7" w:rsidP="009E16D7">
      <w:pPr>
        <w:spacing w:after="60"/>
        <w:rPr>
          <w:rFonts w:cs="Arial"/>
          <w:b/>
          <w:szCs w:val="20"/>
        </w:rPr>
      </w:pPr>
      <w:r>
        <w:rPr>
          <w:rFonts w:cs="Arial"/>
          <w:b/>
          <w:szCs w:val="20"/>
        </w:rPr>
        <w:t>Graf 15</w:t>
      </w:r>
      <w:r w:rsidRPr="00E858C7">
        <w:rPr>
          <w:rFonts w:cs="Arial"/>
          <w:b/>
          <w:szCs w:val="20"/>
        </w:rPr>
        <w:t xml:space="preserve"> Konečná plodnost podle roku narození </w:t>
      </w:r>
      <w:r>
        <w:rPr>
          <w:rFonts w:cs="Arial"/>
          <w:b/>
          <w:szCs w:val="20"/>
        </w:rPr>
        <w:t>žen</w:t>
      </w:r>
      <w:r w:rsidRPr="00E858C7">
        <w:rPr>
          <w:rFonts w:cs="Arial"/>
          <w:b/>
          <w:szCs w:val="20"/>
        </w:rPr>
        <w:t xml:space="preserve"> v roce 2011</w:t>
      </w:r>
    </w:p>
    <w:p w:rsidR="009E16D7" w:rsidRPr="00E858C7" w:rsidRDefault="009E16D7" w:rsidP="009E16D7">
      <w:pPr>
        <w:spacing w:after="60"/>
        <w:rPr>
          <w:rFonts w:cs="Arial"/>
          <w:b/>
          <w:szCs w:val="20"/>
        </w:rPr>
      </w:pPr>
      <w:r>
        <w:rPr>
          <w:noProof/>
        </w:rPr>
        <w:pict>
          <v:shapetype id="_x0000_t32" coordsize="21600,21600" o:spt="32" o:oned="t" path="m,l21600,21600e" filled="f">
            <v:path arrowok="t" fillok="f" o:connecttype="none"/>
            <o:lock v:ext="edit" shapetype="t"/>
          </v:shapetype>
          <v:shape id="_x0000_s1047" type="#_x0000_t32" style="position:absolute;margin-left:88.05pt;margin-top:10.95pt;width:.75pt;height:161.55pt;flip:y;z-index:6" o:connectortype="straight" strokeweight="1pt"/>
        </w:pict>
      </w:r>
      <w:r>
        <w:rPr>
          <w:noProof/>
        </w:rPr>
        <w:pict>
          <v:shape id="_x0000_s1046" type="#_x0000_t75" style="position:absolute;margin-left:.3pt;margin-top:-.3pt;width:425.25pt;height:227.25pt;z-index:5;mso-position-horizontal:absolute;mso-position-horizontal-relative:text;mso-position-vertical:absolute;mso-position-vertical-relative:text">
            <v:imagedata r:id="rId9" o:title=""/>
          </v:shape>
        </w:pict>
      </w:r>
    </w:p>
    <w:p w:rsidR="009E16D7" w:rsidRPr="00E858C7" w:rsidRDefault="009E16D7" w:rsidP="009E16D7">
      <w:pPr>
        <w:spacing w:after="60"/>
        <w:rPr>
          <w:rFonts w:cs="Arial"/>
          <w:b/>
          <w:szCs w:val="20"/>
        </w:rPr>
      </w:pPr>
    </w:p>
    <w:p w:rsidR="009E16D7" w:rsidRDefault="009E16D7" w:rsidP="009E16D7">
      <w:pPr>
        <w:rPr>
          <w:rFonts w:cs="Arial"/>
          <w:szCs w:val="20"/>
        </w:rPr>
      </w:pPr>
    </w:p>
    <w:p w:rsidR="009E16D7" w:rsidRDefault="009E16D7" w:rsidP="009E16D7">
      <w:pPr>
        <w:tabs>
          <w:tab w:val="left" w:pos="1125"/>
        </w:tabs>
        <w:rPr>
          <w:rFonts w:cs="Arial"/>
          <w:szCs w:val="20"/>
        </w:rPr>
      </w:pPr>
    </w:p>
    <w:p w:rsidR="009E16D7" w:rsidRPr="001F6C36" w:rsidRDefault="009E16D7" w:rsidP="009E16D7">
      <w:pPr>
        <w:rPr>
          <w:rFonts w:cs="Arial"/>
          <w:szCs w:val="20"/>
        </w:rPr>
      </w:pPr>
    </w:p>
    <w:p w:rsidR="009E16D7" w:rsidRPr="001F6C36" w:rsidRDefault="009E16D7" w:rsidP="009E16D7">
      <w:pPr>
        <w:rPr>
          <w:rFonts w:cs="Arial"/>
          <w:szCs w:val="20"/>
        </w:rPr>
      </w:pPr>
    </w:p>
    <w:p w:rsidR="009E16D7" w:rsidRPr="001F6C36" w:rsidRDefault="009E16D7" w:rsidP="009E16D7">
      <w:pPr>
        <w:rPr>
          <w:rFonts w:cs="Arial"/>
          <w:szCs w:val="20"/>
        </w:rPr>
      </w:pPr>
    </w:p>
    <w:p w:rsidR="009E16D7" w:rsidRPr="001F6C36" w:rsidRDefault="009E16D7" w:rsidP="009E16D7">
      <w:pPr>
        <w:rPr>
          <w:rFonts w:cs="Arial"/>
          <w:szCs w:val="20"/>
        </w:rPr>
      </w:pPr>
    </w:p>
    <w:p w:rsidR="009E16D7" w:rsidRPr="001F6C36" w:rsidRDefault="009E16D7" w:rsidP="009E16D7">
      <w:pPr>
        <w:rPr>
          <w:rFonts w:cs="Arial"/>
          <w:szCs w:val="20"/>
        </w:rPr>
      </w:pPr>
    </w:p>
    <w:p w:rsidR="009E16D7" w:rsidRPr="001F6C36"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pStyle w:val="Nadpis2"/>
      </w:pPr>
      <w:bookmarkStart w:id="3" w:name="_Toc468110174"/>
      <w:r>
        <w:t>4.2 Kohortní plodnost podle rodinného stavu a věku žen</w:t>
      </w:r>
      <w:bookmarkEnd w:id="3"/>
    </w:p>
    <w:p w:rsidR="009E16D7" w:rsidRDefault="009E16D7" w:rsidP="009E16D7">
      <w:pPr>
        <w:rPr>
          <w:rFonts w:eastAsia="Calibri"/>
          <w:lang w:eastAsia="en-US"/>
        </w:rPr>
      </w:pPr>
      <w:r w:rsidRPr="00955BC1">
        <w:rPr>
          <w:rFonts w:eastAsia="Calibri"/>
          <w:lang w:eastAsia="en-US"/>
        </w:rPr>
        <w:t>Vypovídací schopnost kohortní plodnosti žen podle rodinného stavu z dat sčítání lidu je omezená. Počty ži</w:t>
      </w:r>
      <w:r>
        <w:rPr>
          <w:rFonts w:eastAsia="Calibri"/>
          <w:lang w:eastAsia="en-US"/>
        </w:rPr>
        <w:t xml:space="preserve">vě narozených dětí jsou totiž </w:t>
      </w:r>
      <w:r w:rsidRPr="00955BC1">
        <w:rPr>
          <w:rFonts w:eastAsia="Calibri"/>
          <w:lang w:eastAsia="en-US"/>
        </w:rPr>
        <w:t xml:space="preserve">vázány na aktuální rodinný stav matky </w:t>
      </w:r>
      <w:r>
        <w:rPr>
          <w:rFonts w:eastAsia="Calibri"/>
          <w:lang w:eastAsia="en-US"/>
        </w:rPr>
        <w:t>v době</w:t>
      </w:r>
      <w:r w:rsidRPr="00955BC1">
        <w:rPr>
          <w:rFonts w:eastAsia="Calibri"/>
          <w:lang w:eastAsia="en-US"/>
        </w:rPr>
        <w:t xml:space="preserve"> rozhodného okamžiku sčítání. Informace o rodinném stavu v době rození dětí tudíž nejsou z dat sčítání k dispozici. Pouze u svobodných žen platí, že se jim děti skutečně narodily za svobodna.</w:t>
      </w:r>
    </w:p>
    <w:p w:rsidR="009E16D7" w:rsidRDefault="009E16D7" w:rsidP="009E16D7">
      <w:r>
        <w:lastRenderedPageBreak/>
        <w:t>Ženy, které již za</w:t>
      </w:r>
      <w:r w:rsidRPr="00955BC1">
        <w:t>žily manželství (vdané, rozvedené, ovd</w:t>
      </w:r>
      <w:r>
        <w:t xml:space="preserve">ovělé) mají do věkové skupiny </w:t>
      </w:r>
      <w:r w:rsidRPr="00955BC1">
        <w:t>35–39 let vyšší kohortní plodnost než populace celkem, protože jejich sňatek byl zřejmě</w:t>
      </w:r>
      <w:r>
        <w:t xml:space="preserve"> úzce spojen s rozením dětí. </w:t>
      </w:r>
      <w:r w:rsidRPr="00955BC1">
        <w:t>Intenzita plodnosti u rozvedených ve starších věkových skupinách ve srovnání s populací žen celkem klesá, zatímco u ovdovělých je s</w:t>
      </w:r>
      <w:r>
        <w:t>tále vyšší. Oproti tomu svobodné</w:t>
      </w:r>
      <w:r w:rsidRPr="00955BC1">
        <w:t xml:space="preserve"> mají ve všech věkových kategorií výrazně nižší hodnoty kohortní plodnosti. Rozvolnění závislosti mezi </w:t>
      </w:r>
      <w:r>
        <w:t>plodností</w:t>
      </w:r>
      <w:r w:rsidRPr="00955BC1">
        <w:t xml:space="preserve"> a sňatkem u mladších generací je </w:t>
      </w:r>
      <w:r>
        <w:t>zejména patrné</w:t>
      </w:r>
      <w:r w:rsidRPr="00955BC1">
        <w:t xml:space="preserve"> z kohortní plodnosti </w:t>
      </w:r>
      <w:r>
        <w:t xml:space="preserve">ve </w:t>
      </w:r>
      <w:r w:rsidRPr="00955BC1">
        <w:t>věkových kategorií</w:t>
      </w:r>
      <w:r>
        <w:t>ch</w:t>
      </w:r>
      <w:r w:rsidRPr="00955BC1">
        <w:t xml:space="preserve"> 30–34 až 45–49, u nich</w:t>
      </w:r>
      <w:r>
        <w:t>ž</w:t>
      </w:r>
      <w:r w:rsidRPr="00955BC1">
        <w:t xml:space="preserve"> se hodnoty průměrného počtu živě narozených dětí na ženu pohybují nad 0,6, což je hranice, které starší generace nikdy nedosáhly, protože tak často za svobodna nerodily. Navíc zejména třicetileté ženy svoji reprodukci ještě neukončily, takže konečná plodnost svobodných v těchto generacích bude ještě vyšší.  </w:t>
      </w:r>
    </w:p>
    <w:p w:rsidR="009E16D7" w:rsidRPr="001F6C36" w:rsidRDefault="009E16D7" w:rsidP="009E16D7">
      <w:pPr>
        <w:spacing w:after="60"/>
        <w:rPr>
          <w:rFonts w:cs="Arial"/>
          <w:b/>
          <w:szCs w:val="20"/>
        </w:rPr>
      </w:pPr>
      <w:r>
        <w:rPr>
          <w:noProof/>
        </w:rPr>
        <w:pict>
          <v:shape id="_x0000_s1042" type="#_x0000_t75" style="position:absolute;margin-left:.3pt;margin-top:15.45pt;width:419.25pt;height:227.25pt;z-index:1;mso-position-horizontal-relative:text;mso-position-vertical-relative:text">
            <v:imagedata r:id="rId10" o:title=""/>
          </v:shape>
        </w:pict>
      </w:r>
      <w:r>
        <w:rPr>
          <w:rFonts w:cs="Arial"/>
          <w:b/>
          <w:szCs w:val="20"/>
        </w:rPr>
        <w:t>Graf 16</w:t>
      </w:r>
      <w:r w:rsidRPr="001F6C36">
        <w:rPr>
          <w:rFonts w:cs="Arial"/>
          <w:b/>
          <w:szCs w:val="20"/>
        </w:rPr>
        <w:t xml:space="preserve"> Kohortní plodnost podle rodinného stavu </w:t>
      </w:r>
      <w:r>
        <w:rPr>
          <w:rFonts w:cs="Arial"/>
          <w:b/>
          <w:szCs w:val="20"/>
        </w:rPr>
        <w:t xml:space="preserve">a věku </w:t>
      </w:r>
      <w:r w:rsidRPr="001F6C36">
        <w:rPr>
          <w:rFonts w:cs="Arial"/>
          <w:b/>
          <w:szCs w:val="20"/>
        </w:rPr>
        <w:t>žen v roce 2011</w:t>
      </w:r>
    </w:p>
    <w:p w:rsidR="009E16D7" w:rsidRDefault="009E16D7" w:rsidP="009E16D7">
      <w:pPr>
        <w:tabs>
          <w:tab w:val="left" w:pos="1035"/>
        </w:tabs>
        <w:rPr>
          <w:rFonts w:cs="Arial"/>
          <w:szCs w:val="20"/>
        </w:rPr>
      </w:pPr>
    </w:p>
    <w:p w:rsidR="009E16D7" w:rsidRDefault="009E16D7" w:rsidP="009E16D7">
      <w:pPr>
        <w:tabs>
          <w:tab w:val="left" w:pos="1035"/>
        </w:tabs>
        <w:rPr>
          <w:rFonts w:cs="Arial"/>
          <w:szCs w:val="20"/>
        </w:rPr>
      </w:pPr>
    </w:p>
    <w:p w:rsidR="009E16D7" w:rsidRDefault="009E16D7" w:rsidP="009E16D7">
      <w:pPr>
        <w:tabs>
          <w:tab w:val="left" w:pos="1035"/>
        </w:tabs>
        <w:rPr>
          <w:rFonts w:cs="Arial"/>
          <w:szCs w:val="20"/>
        </w:rPr>
      </w:pPr>
    </w:p>
    <w:p w:rsidR="009E16D7" w:rsidRPr="00A10EC3" w:rsidRDefault="009E16D7" w:rsidP="009E16D7">
      <w:pPr>
        <w:rPr>
          <w:rFonts w:cs="Arial"/>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spacing w:after="60"/>
        <w:rPr>
          <w:rFonts w:cs="Arial"/>
          <w:b/>
          <w:szCs w:val="20"/>
        </w:rPr>
      </w:pPr>
    </w:p>
    <w:p w:rsidR="009E16D7" w:rsidRDefault="009E16D7" w:rsidP="009E16D7">
      <w:pPr>
        <w:pStyle w:val="Nadpis2"/>
      </w:pPr>
      <w:bookmarkStart w:id="4" w:name="_Toc468110175"/>
      <w:r>
        <w:t>4.3 Kohortní plodnost podle vzdělání a věku žen</w:t>
      </w:r>
      <w:bookmarkEnd w:id="4"/>
    </w:p>
    <w:p w:rsidR="009E16D7" w:rsidRDefault="009E16D7" w:rsidP="009E16D7">
      <w:pPr>
        <w:rPr>
          <w:rFonts w:cs="Arial"/>
          <w:szCs w:val="20"/>
        </w:rPr>
      </w:pPr>
      <w:r w:rsidRPr="00A37E07">
        <w:rPr>
          <w:rFonts w:cs="Arial"/>
          <w:szCs w:val="20"/>
        </w:rPr>
        <w:t xml:space="preserve">Z výsledků sčítání lidu 2011 </w:t>
      </w:r>
      <w:r>
        <w:rPr>
          <w:rFonts w:cs="Arial"/>
          <w:szCs w:val="20"/>
        </w:rPr>
        <w:t>bylo</w:t>
      </w:r>
      <w:r w:rsidRPr="00A37E07">
        <w:rPr>
          <w:rFonts w:cs="Arial"/>
          <w:szCs w:val="20"/>
        </w:rPr>
        <w:t xml:space="preserve"> patrné, že kohortní plodnost žen klesá s rostoucím vzděláním téměř ve</w:t>
      </w:r>
      <w:r w:rsidRPr="00A37E07">
        <w:rPr>
          <w:rFonts w:cs="Arial"/>
          <w:b/>
          <w:szCs w:val="20"/>
        </w:rPr>
        <w:t xml:space="preserve"> </w:t>
      </w:r>
      <w:r w:rsidRPr="00A37E07">
        <w:rPr>
          <w:rFonts w:cs="Arial"/>
          <w:szCs w:val="20"/>
        </w:rPr>
        <w:t>všech věkových skupinách (</w:t>
      </w:r>
      <w:r>
        <w:rPr>
          <w:rFonts w:cs="Arial"/>
          <w:szCs w:val="20"/>
        </w:rPr>
        <w:t>viz graf 17</w:t>
      </w:r>
      <w:r w:rsidRPr="00A37E07">
        <w:rPr>
          <w:rFonts w:cs="Arial"/>
          <w:szCs w:val="20"/>
        </w:rPr>
        <w:t xml:space="preserve">). U nejmladší skupiny žen s ukončenou reprodukcí ve věku 45 až 49 let byla kohortní plodnost vysokoškolsky vzdělaných žen 1,76 dítěte, zatímco u žen se základním nebo nižším vzděláním byla o 26 % vyšší a dosahovala 2,22 dítěte. Ženy se středním vzděláním bez maturity tvořily jedinou další skupinu, která v této věkové kategorii překročila hranici dvou dětí na jednu ženu. U starších věkových skupin se rozdíly v kohortní plodnosti mezi nejvíce a nejméně vzdělanými prohlubovaly. V případě žen 70letých a starších byla plodnost žen se základním nebo nižším vzděláním dokonce o polovinu vyšší než u vysokoškolsky vzdělaných žen. Tato věková skupina byla specifická tím, že měla nejvyšší podíl žen se základním nebo nižším vzděláním u žen s ukončenou reprodukcí (46 %). Získat vyšší stupeň vzdělání (obzvláště vysokoškolský) bylo privilegium, které selektovalo skupiny žen se specifickými vlastnostmi včetně nižší úrovně plodnosti.    </w:t>
      </w:r>
    </w:p>
    <w:p w:rsidR="009E16D7" w:rsidRPr="00A37E07" w:rsidRDefault="009E16D7" w:rsidP="009E16D7">
      <w:pPr>
        <w:rPr>
          <w:rFonts w:cs="Arial"/>
          <w:szCs w:val="20"/>
        </w:rPr>
      </w:pPr>
      <w:r w:rsidRPr="007D4EB6">
        <w:rPr>
          <w:rFonts w:cs="Arial"/>
          <w:szCs w:val="20"/>
        </w:rPr>
        <w:t>V případě žen s neukončenou reprodukcí jsou relativní rozdíly kohortní plodnosti mezi skupinami vzdělání větší, protože se</w:t>
      </w:r>
      <w:r>
        <w:rPr>
          <w:rFonts w:cs="Arial"/>
          <w:szCs w:val="20"/>
        </w:rPr>
        <w:t xml:space="preserve"> navíc</w:t>
      </w:r>
      <w:r w:rsidRPr="007D4EB6">
        <w:rPr>
          <w:rFonts w:cs="Arial"/>
          <w:szCs w:val="20"/>
        </w:rPr>
        <w:t xml:space="preserve"> projevuje odlišné časování rození dětí. Například ve skupině 25–29letých žen byla hodnota kohortní plodnosti žen se základním nebo nižším vzděláním 1,30, u</w:t>
      </w:r>
      <w:r>
        <w:rPr>
          <w:rFonts w:cs="Arial"/>
          <w:szCs w:val="20"/>
        </w:rPr>
        <w:t xml:space="preserve"> stejné věkové kategorie žen se </w:t>
      </w:r>
      <w:r w:rsidRPr="007D4EB6">
        <w:rPr>
          <w:rFonts w:cs="Arial"/>
          <w:szCs w:val="20"/>
        </w:rPr>
        <w:t>středoškolským vzděláním s maturitou to bylo 0,53 a u vysokoškolsky vzdělaných žen pouze 0,19.</w:t>
      </w:r>
    </w:p>
    <w:p w:rsidR="009E16D7" w:rsidRDefault="009E16D7" w:rsidP="009E16D7">
      <w:pPr>
        <w:rPr>
          <w:rFonts w:cs="Arial"/>
          <w:szCs w:val="20"/>
        </w:rPr>
      </w:pPr>
      <w:r w:rsidRPr="00A37E07">
        <w:rPr>
          <w:rFonts w:cs="Arial"/>
          <w:szCs w:val="20"/>
        </w:rPr>
        <w:t>Vysvětlení diferenčních výsledků kohortní plodnosti podle úrovně vzdělání je</w:t>
      </w:r>
      <w:r>
        <w:rPr>
          <w:rFonts w:cs="Arial"/>
          <w:szCs w:val="20"/>
        </w:rPr>
        <w:t xml:space="preserve"> mnoho</w:t>
      </w:r>
      <w:r w:rsidRPr="00A37E07">
        <w:rPr>
          <w:rFonts w:cs="Arial"/>
          <w:szCs w:val="20"/>
        </w:rPr>
        <w:t>.</w:t>
      </w:r>
      <w:r>
        <w:rPr>
          <w:rFonts w:cs="Arial"/>
          <w:szCs w:val="20"/>
        </w:rPr>
        <w:t xml:space="preserve"> Vysokoškolsky vzdělaná část populace má často větší pracovní než rodinné ambice a upřednostňuje, alespoň z počátku, kariéru před rozením dětí. Náklady ušlých příležitostí (např. kariérní růst, vysoká mzda) jsou u této sub-populace nejvyšší.</w:t>
      </w:r>
      <w:r w:rsidRPr="00A37E07">
        <w:rPr>
          <w:rFonts w:cs="Arial"/>
          <w:szCs w:val="20"/>
        </w:rPr>
        <w:t xml:space="preserve"> </w:t>
      </w:r>
      <w:r>
        <w:rPr>
          <w:rFonts w:cs="Arial"/>
          <w:szCs w:val="20"/>
        </w:rPr>
        <w:t>Další možné vysvětlení</w:t>
      </w:r>
      <w:r w:rsidRPr="00A37E07">
        <w:rPr>
          <w:rFonts w:cs="Arial"/>
          <w:szCs w:val="20"/>
        </w:rPr>
        <w:t xml:space="preserve"> se týká přímo délky studia, jehož delší doba (obzvláště u </w:t>
      </w:r>
      <w:r w:rsidRPr="00A37E07">
        <w:rPr>
          <w:rFonts w:cs="Arial"/>
          <w:szCs w:val="20"/>
        </w:rPr>
        <w:lastRenderedPageBreak/>
        <w:t xml:space="preserve">vysokoškolského studia), vede k odkládání rození dětí do vyššího věku, </w:t>
      </w:r>
      <w:r>
        <w:rPr>
          <w:rFonts w:cs="Arial"/>
          <w:szCs w:val="20"/>
        </w:rPr>
        <w:t>tedy</w:t>
      </w:r>
      <w:r w:rsidRPr="00A37E07">
        <w:rPr>
          <w:rFonts w:cs="Arial"/>
          <w:szCs w:val="20"/>
        </w:rPr>
        <w:t xml:space="preserve"> se zkracuje doba pro naplnění repro</w:t>
      </w:r>
      <w:r>
        <w:rPr>
          <w:rFonts w:cs="Arial"/>
          <w:szCs w:val="20"/>
        </w:rPr>
        <w:t>dukčních ambicí.</w:t>
      </w:r>
    </w:p>
    <w:p w:rsidR="009E16D7" w:rsidRPr="00A10EC3" w:rsidRDefault="009E16D7" w:rsidP="009E16D7">
      <w:pPr>
        <w:spacing w:after="60"/>
        <w:rPr>
          <w:rFonts w:cs="Arial"/>
          <w:b/>
          <w:szCs w:val="20"/>
        </w:rPr>
      </w:pPr>
      <w:r>
        <w:rPr>
          <w:noProof/>
        </w:rPr>
        <w:pict>
          <v:shape id="_x0000_s1043" type="#_x0000_t75" style="position:absolute;margin-left:.3pt;margin-top:11.55pt;width:419.25pt;height:227.25pt;z-index:2;mso-position-horizontal-relative:text;mso-position-vertical-relative:text">
            <v:imagedata r:id="rId11" o:title=""/>
          </v:shape>
        </w:pict>
      </w:r>
      <w:r>
        <w:rPr>
          <w:rFonts w:cs="Arial"/>
          <w:b/>
          <w:szCs w:val="20"/>
        </w:rPr>
        <w:t>Graf 17</w:t>
      </w:r>
      <w:r w:rsidRPr="00A10EC3">
        <w:rPr>
          <w:rFonts w:cs="Arial"/>
          <w:b/>
          <w:szCs w:val="20"/>
        </w:rPr>
        <w:t xml:space="preserve"> Kohortní plodnost podle nejvyššího ukončeného vzdělání a věku žen v roce 2011</w:t>
      </w:r>
    </w:p>
    <w:p w:rsidR="009E16D7" w:rsidRDefault="009E16D7" w:rsidP="009E16D7">
      <w:pPr>
        <w:tabs>
          <w:tab w:val="left" w:pos="2235"/>
        </w:tabs>
        <w:rPr>
          <w:rFonts w:cs="Arial"/>
          <w:szCs w:val="20"/>
        </w:rPr>
      </w:pPr>
    </w:p>
    <w:p w:rsidR="009E16D7" w:rsidRDefault="009E16D7" w:rsidP="009E16D7">
      <w:pPr>
        <w:tabs>
          <w:tab w:val="left" w:pos="2235"/>
        </w:tabs>
        <w:rPr>
          <w:rFonts w:cs="Arial"/>
          <w:szCs w:val="20"/>
        </w:rPr>
      </w:pPr>
    </w:p>
    <w:p w:rsidR="009E16D7" w:rsidRPr="00751611" w:rsidRDefault="009E16D7" w:rsidP="009E16D7">
      <w:pPr>
        <w:rPr>
          <w:rFonts w:cs="Arial"/>
          <w:szCs w:val="20"/>
        </w:rPr>
      </w:pPr>
    </w:p>
    <w:p w:rsidR="009E16D7" w:rsidRPr="00751611"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pStyle w:val="Nadpis2"/>
      </w:pPr>
      <w:bookmarkStart w:id="5" w:name="_Toc468110176"/>
      <w:r>
        <w:t>4.4 Kohortní plodnost podle národnosti, náboženské víry a věku žen</w:t>
      </w:r>
      <w:bookmarkEnd w:id="5"/>
    </w:p>
    <w:p w:rsidR="009E16D7" w:rsidRDefault="009E16D7" w:rsidP="009E16D7">
      <w:pPr>
        <w:rPr>
          <w:rFonts w:cs="Arial"/>
          <w:szCs w:val="20"/>
        </w:rPr>
      </w:pPr>
      <w:r>
        <w:rPr>
          <w:rFonts w:cs="Arial"/>
          <w:szCs w:val="20"/>
        </w:rPr>
        <w:t>Vyplnění odpovědí na otázky o národnosti a náboženské víře bylo v SLDB 2011 dobrovolné</w:t>
      </w:r>
      <w:r w:rsidRPr="00116BC3">
        <w:rPr>
          <w:rFonts w:cs="Arial"/>
          <w:szCs w:val="20"/>
        </w:rPr>
        <w:t xml:space="preserve">, </w:t>
      </w:r>
      <w:r>
        <w:rPr>
          <w:rFonts w:cs="Arial"/>
          <w:szCs w:val="20"/>
        </w:rPr>
        <w:t>proto</w:t>
      </w:r>
      <w:r w:rsidRPr="00116BC3">
        <w:rPr>
          <w:rFonts w:cs="Arial"/>
          <w:szCs w:val="20"/>
        </w:rPr>
        <w:t xml:space="preserve"> </w:t>
      </w:r>
      <w:r>
        <w:rPr>
          <w:rFonts w:cs="Arial"/>
          <w:szCs w:val="20"/>
        </w:rPr>
        <w:t xml:space="preserve">byly </w:t>
      </w:r>
      <w:r w:rsidRPr="00116BC3">
        <w:rPr>
          <w:rFonts w:cs="Arial"/>
          <w:szCs w:val="20"/>
        </w:rPr>
        <w:t>zatíženy velkou mírou nevyplněnosti, což mohlo výsledky kohortní plodnosti podle těchto faktorů zkreslit.</w:t>
      </w:r>
      <w:r>
        <w:rPr>
          <w:rFonts w:cs="Arial"/>
          <w:szCs w:val="20"/>
        </w:rPr>
        <w:t xml:space="preserve"> </w:t>
      </w:r>
      <w:r w:rsidRPr="00116BC3">
        <w:rPr>
          <w:rFonts w:cs="Arial"/>
          <w:szCs w:val="20"/>
        </w:rPr>
        <w:t xml:space="preserve">Dle výsledků </w:t>
      </w:r>
      <w:r>
        <w:rPr>
          <w:rFonts w:cs="Arial"/>
          <w:szCs w:val="20"/>
        </w:rPr>
        <w:t>SLDB 2011</w:t>
      </w:r>
      <w:r w:rsidRPr="00116BC3">
        <w:rPr>
          <w:rFonts w:cs="Arial"/>
          <w:szCs w:val="20"/>
        </w:rPr>
        <w:t xml:space="preserve"> měly ženy polské</w:t>
      </w:r>
      <w:r>
        <w:rPr>
          <w:rFonts w:cs="Arial"/>
          <w:szCs w:val="20"/>
        </w:rPr>
        <w:t xml:space="preserve"> (1,80 dítěte na jednu ženu)</w:t>
      </w:r>
      <w:r w:rsidRPr="00116BC3">
        <w:rPr>
          <w:rFonts w:cs="Arial"/>
          <w:szCs w:val="20"/>
        </w:rPr>
        <w:t xml:space="preserve">, slovenské </w:t>
      </w:r>
      <w:r>
        <w:rPr>
          <w:rFonts w:cs="Arial"/>
          <w:szCs w:val="20"/>
        </w:rPr>
        <w:t xml:space="preserve">(1,76) </w:t>
      </w:r>
      <w:r w:rsidRPr="00116BC3">
        <w:rPr>
          <w:rFonts w:cs="Arial"/>
          <w:szCs w:val="20"/>
        </w:rPr>
        <w:t>a moravské</w:t>
      </w:r>
      <w:r>
        <w:rPr>
          <w:rFonts w:cs="Arial"/>
          <w:szCs w:val="20"/>
        </w:rPr>
        <w:t xml:space="preserve"> (1,66)</w:t>
      </w:r>
      <w:r w:rsidRPr="00116BC3">
        <w:rPr>
          <w:rFonts w:cs="Arial"/>
          <w:szCs w:val="20"/>
        </w:rPr>
        <w:t xml:space="preserve"> národnosti vyšší kohortní plodnost, než tomu bylo u národnosti české (</w:t>
      </w:r>
      <w:r>
        <w:rPr>
          <w:rFonts w:cs="Arial"/>
          <w:szCs w:val="20"/>
        </w:rPr>
        <w:t>1,57</w:t>
      </w:r>
      <w:r w:rsidRPr="00116BC3">
        <w:rPr>
          <w:rFonts w:cs="Arial"/>
          <w:szCs w:val="20"/>
        </w:rPr>
        <w:t>). Naopak příslušnice ukrajinské</w:t>
      </w:r>
      <w:r>
        <w:rPr>
          <w:rFonts w:cs="Arial"/>
          <w:szCs w:val="20"/>
        </w:rPr>
        <w:t xml:space="preserve"> (1,28 dítěte na jednu ženu)</w:t>
      </w:r>
      <w:r w:rsidRPr="00116BC3">
        <w:rPr>
          <w:rFonts w:cs="Arial"/>
          <w:szCs w:val="20"/>
        </w:rPr>
        <w:t xml:space="preserve"> a vietnamské</w:t>
      </w:r>
      <w:r>
        <w:rPr>
          <w:rFonts w:cs="Arial"/>
          <w:szCs w:val="20"/>
        </w:rPr>
        <w:t xml:space="preserve"> (1,29)</w:t>
      </w:r>
      <w:r w:rsidRPr="00116BC3">
        <w:rPr>
          <w:rFonts w:cs="Arial"/>
          <w:szCs w:val="20"/>
        </w:rPr>
        <w:t xml:space="preserve"> národnosti vykazovaly nižší hodnoty kohortní plodnosti. </w:t>
      </w:r>
    </w:p>
    <w:p w:rsidR="009E16D7" w:rsidRDefault="009E16D7" w:rsidP="009E16D7">
      <w:pPr>
        <w:rPr>
          <w:rFonts w:cs="Arial"/>
          <w:szCs w:val="20"/>
        </w:rPr>
      </w:pPr>
      <w:r>
        <w:rPr>
          <w:rFonts w:cs="Arial"/>
          <w:szCs w:val="20"/>
        </w:rPr>
        <w:t>Zjištěné r</w:t>
      </w:r>
      <w:r w:rsidRPr="00116BC3">
        <w:rPr>
          <w:rFonts w:cs="Arial"/>
          <w:szCs w:val="20"/>
        </w:rPr>
        <w:t xml:space="preserve">ozdíly mezi národnostmi jsou do značné míry </w:t>
      </w:r>
      <w:r>
        <w:rPr>
          <w:rFonts w:cs="Arial"/>
          <w:szCs w:val="20"/>
        </w:rPr>
        <w:t>ovlivněny</w:t>
      </w:r>
      <w:r w:rsidRPr="00116BC3">
        <w:rPr>
          <w:rFonts w:cs="Arial"/>
          <w:szCs w:val="20"/>
        </w:rPr>
        <w:t xml:space="preserve"> odlišnou věkovou strukturou, případně typem migrace do České republiky (např. pracovní imigranti se vyznačují nižší intenzitou plodnosti). Ženy ukrajinské a vietnamské národnosti měly</w:t>
      </w:r>
      <w:r>
        <w:rPr>
          <w:rFonts w:cs="Arial"/>
          <w:szCs w:val="20"/>
        </w:rPr>
        <w:t xml:space="preserve"> </w:t>
      </w:r>
      <w:r w:rsidRPr="00116BC3">
        <w:rPr>
          <w:rFonts w:cs="Arial"/>
          <w:szCs w:val="20"/>
        </w:rPr>
        <w:t>oproti všem ženám ve věku 15 let a více</w:t>
      </w:r>
      <w:r>
        <w:rPr>
          <w:rFonts w:cs="Arial"/>
          <w:szCs w:val="20"/>
        </w:rPr>
        <w:t xml:space="preserve"> </w:t>
      </w:r>
      <w:r w:rsidRPr="00116BC3">
        <w:rPr>
          <w:rFonts w:cs="Arial"/>
          <w:szCs w:val="20"/>
        </w:rPr>
        <w:t>mladší věkovou strukturu. Vzhledem k tomu, že v mladších věcích se realizuje pouze část kohortní plodnosti, tak je celková plodnost těchto skupin nižší. Opak platí pro ženy, které deklarovaly polskou a slovenskou národnost.</w:t>
      </w:r>
    </w:p>
    <w:p w:rsidR="009E16D7" w:rsidRPr="00116BC3" w:rsidRDefault="009E16D7" w:rsidP="009E16D7">
      <w:pPr>
        <w:rPr>
          <w:rFonts w:cs="Arial"/>
          <w:szCs w:val="20"/>
        </w:rPr>
      </w:pPr>
      <w:r w:rsidRPr="00116BC3">
        <w:rPr>
          <w:rFonts w:cs="Arial"/>
          <w:szCs w:val="20"/>
        </w:rPr>
        <w:t xml:space="preserve">Ve věkové skupině 25–29 let měly </w:t>
      </w:r>
      <w:r>
        <w:rPr>
          <w:rFonts w:cs="Arial"/>
          <w:szCs w:val="20"/>
        </w:rPr>
        <w:t>ženy</w:t>
      </w:r>
      <w:r w:rsidRPr="00116BC3">
        <w:rPr>
          <w:rFonts w:cs="Arial"/>
          <w:szCs w:val="20"/>
        </w:rPr>
        <w:t xml:space="preserve"> ukrajinské a vietnamské národnosti nejvyšší hodnoty kohortní plodnosti, zatímco u věkové kategorie 45–49 let byla intenzita plodnosti u těchto sub-populací nejnižší</w:t>
      </w:r>
      <w:r>
        <w:rPr>
          <w:rFonts w:cs="Arial"/>
          <w:szCs w:val="20"/>
        </w:rPr>
        <w:t xml:space="preserve">. </w:t>
      </w:r>
      <w:r w:rsidRPr="00116BC3">
        <w:rPr>
          <w:rFonts w:cs="Arial"/>
          <w:szCs w:val="20"/>
        </w:rPr>
        <w:t>U žen starších 70 let vykazovaly nejvyšší úroveň plodnosti opět ženy vietnamské národnosti (3,51 dítěte na ženu), ale zde šlo zřejmě o plodnost realizovanou ještě na území Vietnamu. V případě české, moravské, polské a slovenské národnosti se kohortní plodnost ve věkové katego</w:t>
      </w:r>
      <w:r>
        <w:rPr>
          <w:rFonts w:cs="Arial"/>
          <w:szCs w:val="20"/>
        </w:rPr>
        <w:t xml:space="preserve">rii 45 až 49 let pohybovala mezi </w:t>
      </w:r>
      <w:r w:rsidRPr="00116BC3">
        <w:rPr>
          <w:rFonts w:cs="Arial"/>
          <w:szCs w:val="20"/>
        </w:rPr>
        <w:t xml:space="preserve">1,93 až 2,05 dětmi na jednu ženu. </w:t>
      </w:r>
    </w:p>
    <w:p w:rsidR="009E16D7" w:rsidRDefault="009E16D7" w:rsidP="009E16D7">
      <w:pPr>
        <w:spacing w:after="60"/>
        <w:rPr>
          <w:rFonts w:cs="Arial"/>
          <w:szCs w:val="20"/>
        </w:rPr>
      </w:pPr>
      <w:r>
        <w:rPr>
          <w:rFonts w:cs="Arial"/>
          <w:szCs w:val="20"/>
        </w:rPr>
        <w:t>Při</w:t>
      </w:r>
      <w:r w:rsidRPr="00116BC3">
        <w:rPr>
          <w:rFonts w:cs="Arial"/>
          <w:szCs w:val="20"/>
        </w:rPr>
        <w:t xml:space="preserve"> sčítání lidu 2011 se k romské národnosti přihlásilo pouze zhruba 1 700 žen, zatímco v roce 1991 to bylo okolo 10 000 žen a v roce 2001 </w:t>
      </w:r>
      <w:r>
        <w:rPr>
          <w:rFonts w:cs="Arial"/>
          <w:szCs w:val="20"/>
        </w:rPr>
        <w:t>necelých</w:t>
      </w:r>
      <w:r w:rsidRPr="00116BC3">
        <w:rPr>
          <w:rFonts w:cs="Arial"/>
          <w:szCs w:val="20"/>
        </w:rPr>
        <w:t xml:space="preserve"> 3 900 žen. Vzhledem k nízkému počtu žen nebyla tedy romská národnost zařazena do </w:t>
      </w:r>
      <w:r>
        <w:rPr>
          <w:rFonts w:cs="Arial"/>
          <w:szCs w:val="20"/>
        </w:rPr>
        <w:t>grafu</w:t>
      </w:r>
      <w:r w:rsidRPr="00116BC3">
        <w:rPr>
          <w:rFonts w:cs="Arial"/>
          <w:szCs w:val="20"/>
        </w:rPr>
        <w:t>, nicméně vzhledem k dlouhodobé odlišnosti a diskuzích o reprodukčním chování této sub-populace je vhodné ji alespoň v krátkosti zmínit</w:t>
      </w:r>
      <w:r>
        <w:rPr>
          <w:rFonts w:cs="Arial"/>
          <w:szCs w:val="20"/>
        </w:rPr>
        <w:t>, ačkoliv v</w:t>
      </w:r>
      <w:r w:rsidRPr="00116BC3">
        <w:rPr>
          <w:rFonts w:cs="Arial"/>
          <w:szCs w:val="20"/>
        </w:rPr>
        <w:t>ýsledky mohou tedy být částečně zkreslen</w:t>
      </w:r>
      <w:r>
        <w:rPr>
          <w:rFonts w:cs="Arial"/>
          <w:szCs w:val="20"/>
        </w:rPr>
        <w:t>y vlivem nízkého počtu událostí. Ž</w:t>
      </w:r>
      <w:r w:rsidRPr="00116BC3">
        <w:rPr>
          <w:rFonts w:cs="Arial"/>
          <w:szCs w:val="20"/>
        </w:rPr>
        <w:t>eny s romskou národností měly kohortní plodnost zřetelně nejvyšší ve všech věkových skupinách. Nap</w:t>
      </w:r>
      <w:r>
        <w:rPr>
          <w:rFonts w:cs="Arial"/>
          <w:szCs w:val="20"/>
        </w:rPr>
        <w:t xml:space="preserve">říklad již ve věkové kategorii </w:t>
      </w:r>
      <w:r w:rsidRPr="00116BC3">
        <w:rPr>
          <w:rFonts w:cs="Arial"/>
          <w:szCs w:val="20"/>
        </w:rPr>
        <w:t xml:space="preserve">30–34 let přesáhla kohortní plodnost hodnotu prosté reprodukce a dosáhla 2,23 dětí na jednu ženu. U nejmladší věkové skupiny s ukončenou reprodukcí (45–49 let) byla 2,94 dítěte a u žen ve věku 70 let a více dokonce 4,38 dítěte. </w:t>
      </w:r>
      <w:r>
        <w:rPr>
          <w:rFonts w:cs="Arial"/>
          <w:szCs w:val="20"/>
        </w:rPr>
        <w:t>I přes stále vysoké hodnoty jejich plodnosti ve srovnání s ostatními národnostmi je p</w:t>
      </w:r>
      <w:r w:rsidRPr="00116BC3">
        <w:rPr>
          <w:rFonts w:cs="Arial"/>
          <w:szCs w:val="20"/>
        </w:rPr>
        <w:t>okles plodnosti u mladších generací tedy poměrně výrazný.</w:t>
      </w:r>
    </w:p>
    <w:p w:rsidR="009E16D7" w:rsidRPr="00751611" w:rsidRDefault="009E16D7" w:rsidP="009E16D7">
      <w:pPr>
        <w:spacing w:after="60"/>
        <w:rPr>
          <w:rFonts w:cs="Arial"/>
          <w:b/>
          <w:szCs w:val="20"/>
        </w:rPr>
      </w:pPr>
      <w:r>
        <w:rPr>
          <w:rFonts w:cs="Arial"/>
          <w:b/>
          <w:szCs w:val="20"/>
        </w:rPr>
        <w:lastRenderedPageBreak/>
        <w:t>Graf 18</w:t>
      </w:r>
      <w:r w:rsidRPr="00751611">
        <w:rPr>
          <w:rFonts w:cs="Arial"/>
          <w:b/>
          <w:szCs w:val="20"/>
        </w:rPr>
        <w:t xml:space="preserve"> Kohortní plodnost podle národnosti</w:t>
      </w:r>
      <w:r>
        <w:rPr>
          <w:rFonts w:cs="Arial"/>
          <w:b/>
          <w:szCs w:val="20"/>
        </w:rPr>
        <w:t>*</w:t>
      </w:r>
      <w:r w:rsidRPr="00751611">
        <w:rPr>
          <w:rFonts w:cs="Arial"/>
          <w:b/>
          <w:szCs w:val="20"/>
        </w:rPr>
        <w:t xml:space="preserve"> a věku žen v roce 2011</w:t>
      </w:r>
    </w:p>
    <w:p w:rsidR="009E16D7" w:rsidRDefault="009E16D7" w:rsidP="009E16D7">
      <w:pPr>
        <w:tabs>
          <w:tab w:val="left" w:pos="1440"/>
        </w:tabs>
        <w:rPr>
          <w:rFonts w:cs="Arial"/>
          <w:szCs w:val="20"/>
        </w:rPr>
      </w:pPr>
      <w:r>
        <w:rPr>
          <w:noProof/>
        </w:rPr>
        <w:pict>
          <v:shape id="_x0000_s1044" type="#_x0000_t75" style="position:absolute;margin-left:.3pt;margin-top:0;width:419.25pt;height:227.25pt;z-index:3;mso-position-horizontal:absolute;mso-position-horizontal-relative:text;mso-position-vertical:absolute;mso-position-vertical-relative:text">
            <v:imagedata r:id="rId12" o:title=""/>
          </v:shape>
        </w:pict>
      </w:r>
    </w:p>
    <w:p w:rsidR="009E16D7" w:rsidRPr="00D559C4" w:rsidRDefault="009E16D7" w:rsidP="009E16D7">
      <w:pPr>
        <w:rPr>
          <w:rFonts w:cs="Arial"/>
          <w:szCs w:val="20"/>
        </w:rPr>
      </w:pPr>
    </w:p>
    <w:p w:rsidR="009E16D7" w:rsidRPr="00D559C4" w:rsidRDefault="009E16D7" w:rsidP="009E16D7">
      <w:pPr>
        <w:rPr>
          <w:rFonts w:cs="Arial"/>
          <w:szCs w:val="20"/>
        </w:rPr>
      </w:pPr>
    </w:p>
    <w:p w:rsidR="009E16D7" w:rsidRPr="00D559C4" w:rsidRDefault="009E16D7" w:rsidP="009E16D7">
      <w:pPr>
        <w:rPr>
          <w:rFonts w:cs="Arial"/>
          <w:szCs w:val="20"/>
        </w:rPr>
      </w:pPr>
    </w:p>
    <w:p w:rsidR="009E16D7" w:rsidRPr="00D559C4" w:rsidRDefault="009E16D7" w:rsidP="009E16D7">
      <w:pPr>
        <w:rPr>
          <w:rFonts w:cs="Arial"/>
          <w:szCs w:val="20"/>
        </w:rPr>
      </w:pPr>
    </w:p>
    <w:p w:rsidR="009E16D7" w:rsidRPr="00D559C4" w:rsidRDefault="009E16D7" w:rsidP="009E16D7">
      <w:pPr>
        <w:rPr>
          <w:rFonts w:cs="Arial"/>
          <w:szCs w:val="20"/>
        </w:rPr>
      </w:pPr>
    </w:p>
    <w:p w:rsidR="009E16D7" w:rsidRPr="00D559C4" w:rsidRDefault="009E16D7" w:rsidP="009E16D7">
      <w:pPr>
        <w:rPr>
          <w:rFonts w:cs="Arial"/>
          <w:szCs w:val="20"/>
        </w:rPr>
      </w:pPr>
    </w:p>
    <w:p w:rsidR="009E16D7" w:rsidRPr="00D559C4" w:rsidRDefault="009E16D7" w:rsidP="009E16D7">
      <w:pPr>
        <w:rPr>
          <w:rFonts w:cs="Arial"/>
          <w:szCs w:val="20"/>
        </w:rPr>
      </w:pPr>
    </w:p>
    <w:p w:rsidR="009E16D7" w:rsidRDefault="009E16D7" w:rsidP="009E16D7">
      <w:pPr>
        <w:rPr>
          <w:rFonts w:cs="Arial"/>
          <w:szCs w:val="20"/>
        </w:rPr>
      </w:pPr>
    </w:p>
    <w:p w:rsidR="009E16D7" w:rsidRDefault="009E16D7" w:rsidP="009E16D7">
      <w:pPr>
        <w:spacing w:before="60" w:after="60" w:line="240" w:lineRule="auto"/>
        <w:rPr>
          <w:i/>
          <w:iCs/>
          <w:sz w:val="16"/>
        </w:rPr>
      </w:pPr>
      <w:r>
        <w:rPr>
          <w:i/>
          <w:iCs/>
          <w:sz w:val="16"/>
        </w:rPr>
        <w:t xml:space="preserve">* Výběr národností podle četností v SLDB 2011. Vybrány konkrétní národnosti, kde počet žen ve věku 15 let </w:t>
      </w:r>
    </w:p>
    <w:p w:rsidR="009E16D7" w:rsidRDefault="009E16D7" w:rsidP="009E16D7">
      <w:pPr>
        <w:spacing w:before="60" w:after="60" w:line="240" w:lineRule="auto"/>
        <w:rPr>
          <w:i/>
          <w:iCs/>
          <w:sz w:val="16"/>
        </w:rPr>
      </w:pPr>
      <w:r>
        <w:rPr>
          <w:i/>
          <w:iCs/>
          <w:sz w:val="16"/>
        </w:rPr>
        <w:t xml:space="preserve">a více překročil 10 tisíc. </w:t>
      </w:r>
    </w:p>
    <w:p w:rsidR="009E16D7" w:rsidRDefault="009E16D7" w:rsidP="009E16D7">
      <w:pPr>
        <w:spacing w:before="60" w:after="60"/>
        <w:rPr>
          <w:i/>
          <w:iCs/>
          <w:sz w:val="16"/>
        </w:rPr>
      </w:pPr>
      <w:r>
        <w:rPr>
          <w:i/>
          <w:iCs/>
          <w:sz w:val="16"/>
        </w:rPr>
        <w:t xml:space="preserve"> </w:t>
      </w:r>
    </w:p>
    <w:p w:rsidR="009E16D7" w:rsidRPr="005072AC" w:rsidRDefault="009E16D7" w:rsidP="009E16D7">
      <w:pPr>
        <w:spacing w:after="200"/>
        <w:rPr>
          <w:rFonts w:cs="Arial"/>
          <w:szCs w:val="20"/>
        </w:rPr>
      </w:pPr>
      <w:r w:rsidRPr="005072AC">
        <w:rPr>
          <w:rFonts w:cs="Arial"/>
          <w:szCs w:val="20"/>
        </w:rPr>
        <w:t>Věřící ženy, které se hlásily k určité církvi, měly v průměru více dětí (1,81 dítěte) než ženy bez</w:t>
      </w:r>
      <w:r>
        <w:rPr>
          <w:rFonts w:cs="Arial"/>
          <w:szCs w:val="20"/>
        </w:rPr>
        <w:t xml:space="preserve"> náboženské</w:t>
      </w:r>
      <w:r w:rsidRPr="005072AC">
        <w:rPr>
          <w:rFonts w:cs="Arial"/>
          <w:szCs w:val="20"/>
        </w:rPr>
        <w:t xml:space="preserve"> víry (zhruba 1,42 dítěte) nebo věřící nehlásící se k církvi nebo nábo</w:t>
      </w:r>
      <w:r>
        <w:rPr>
          <w:rFonts w:cs="Arial"/>
          <w:szCs w:val="20"/>
        </w:rPr>
        <w:t>ženské společnosti (1,55 dítěte</w:t>
      </w:r>
      <w:r w:rsidRPr="005072AC">
        <w:rPr>
          <w:rFonts w:cs="Arial"/>
          <w:szCs w:val="20"/>
        </w:rPr>
        <w:t xml:space="preserve">). Z konkrétních církví byly neplodnější </w:t>
      </w:r>
      <w:r>
        <w:rPr>
          <w:rFonts w:cs="Arial"/>
          <w:szCs w:val="20"/>
        </w:rPr>
        <w:t>zastánkyně</w:t>
      </w:r>
      <w:r w:rsidRPr="005072AC">
        <w:rPr>
          <w:rFonts w:cs="Arial"/>
          <w:szCs w:val="20"/>
        </w:rPr>
        <w:t xml:space="preserve"> římskokatolické církve (1,84 dítěte), zatímco stoupenkyně Českobratrské církve evangelické a Církve československá husitská měly plodnost o něco nižší, než tomu bylo u římskokatolické církve (1,79, respektive 1,77 dítěte).</w:t>
      </w:r>
      <w:r>
        <w:rPr>
          <w:rFonts w:cs="Arial"/>
          <w:szCs w:val="20"/>
        </w:rPr>
        <w:t xml:space="preserve"> Rozdíly kohortní plodnosti v konkrétních pětiletých věkových skupinách byly poměrně malé. Například u věkové skupiny 45–49letých žen se hodnoty pohybovaly mezi 1,91 a 2,10 dětmi na jednu ženu.</w:t>
      </w:r>
    </w:p>
    <w:p w:rsidR="009E16D7" w:rsidRPr="00D559C4" w:rsidRDefault="009E16D7" w:rsidP="009E16D7">
      <w:pPr>
        <w:spacing w:after="60"/>
        <w:rPr>
          <w:rFonts w:cs="Arial"/>
          <w:b/>
          <w:szCs w:val="20"/>
        </w:rPr>
      </w:pPr>
      <w:r>
        <w:rPr>
          <w:rFonts w:cs="Arial"/>
          <w:b/>
          <w:szCs w:val="20"/>
        </w:rPr>
        <w:t>Graf 19</w:t>
      </w:r>
      <w:r w:rsidRPr="00D559C4">
        <w:rPr>
          <w:rFonts w:cs="Arial"/>
          <w:b/>
          <w:szCs w:val="20"/>
        </w:rPr>
        <w:t xml:space="preserve"> Kohortní plodnost podle náboženské víry a věku žen v roce 2011</w:t>
      </w:r>
    </w:p>
    <w:p w:rsidR="009E16D7" w:rsidRDefault="009E16D7" w:rsidP="009E16D7">
      <w:pPr>
        <w:tabs>
          <w:tab w:val="left" w:pos="1890"/>
        </w:tabs>
        <w:rPr>
          <w:rFonts w:cs="Arial"/>
          <w:szCs w:val="20"/>
        </w:rPr>
      </w:pPr>
      <w:r>
        <w:rPr>
          <w:noProof/>
        </w:rPr>
        <w:pict>
          <v:shape id="_x0000_s1045" type="#_x0000_t75" style="position:absolute;margin-left:.3pt;margin-top:-.3pt;width:419.25pt;height:227.25pt;z-index:4;mso-position-horizontal:absolute;mso-position-horizontal-relative:text;mso-position-vertical:absolute;mso-position-vertical-relative:text">
            <v:imagedata r:id="rId13" o:title=""/>
          </v:shape>
        </w:pict>
      </w:r>
    </w:p>
    <w:p w:rsidR="009E16D7" w:rsidRPr="00D559C4"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rPr>
          <w:rFonts w:cs="Arial"/>
          <w:szCs w:val="20"/>
        </w:rPr>
      </w:pPr>
    </w:p>
    <w:p w:rsidR="009E16D7" w:rsidRDefault="009E16D7" w:rsidP="009E16D7">
      <w:pPr>
        <w:spacing w:before="60" w:after="60" w:line="240" w:lineRule="auto"/>
        <w:rPr>
          <w:i/>
          <w:iCs/>
          <w:sz w:val="16"/>
        </w:rPr>
      </w:pPr>
      <w:r>
        <w:rPr>
          <w:i/>
          <w:iCs/>
          <w:sz w:val="16"/>
        </w:rPr>
        <w:t xml:space="preserve">* Výběr skupin náboženské víry podle četností v SLDB 2011. Vybrány konkrétní církve, kde počet žen ve věku 15 let </w:t>
      </w:r>
    </w:p>
    <w:p w:rsidR="009E16D7" w:rsidRDefault="009E16D7" w:rsidP="009E16D7">
      <w:pPr>
        <w:spacing w:before="60" w:after="60" w:line="240" w:lineRule="auto"/>
        <w:rPr>
          <w:i/>
          <w:iCs/>
          <w:sz w:val="16"/>
        </w:rPr>
      </w:pPr>
      <w:r>
        <w:rPr>
          <w:i/>
          <w:iCs/>
          <w:sz w:val="16"/>
        </w:rPr>
        <w:t xml:space="preserve">a více překročil 10 tisíc. </w:t>
      </w:r>
    </w:p>
    <w:p w:rsidR="009E16D7" w:rsidRDefault="009E16D7" w:rsidP="009E16D7">
      <w:pPr>
        <w:spacing w:after="0" w:line="240" w:lineRule="auto"/>
        <w:rPr>
          <w:rFonts w:cs="Arial"/>
          <w:szCs w:val="20"/>
        </w:rPr>
      </w:pPr>
    </w:p>
    <w:p w:rsidR="009E16D7" w:rsidRPr="005072AC" w:rsidRDefault="009E16D7" w:rsidP="009E16D7">
      <w:pPr>
        <w:rPr>
          <w:rFonts w:cs="Arial"/>
          <w:szCs w:val="20"/>
        </w:rPr>
      </w:pPr>
      <w:r w:rsidRPr="005072AC">
        <w:rPr>
          <w:rFonts w:cs="Arial"/>
          <w:szCs w:val="20"/>
        </w:rPr>
        <w:t>Skupina</w:t>
      </w:r>
      <w:r>
        <w:rPr>
          <w:rFonts w:cs="Arial"/>
          <w:szCs w:val="20"/>
        </w:rPr>
        <w:t xml:space="preserve"> věřících nehlásících se ke konkrétní církvi měla</w:t>
      </w:r>
      <w:r w:rsidRPr="005072AC">
        <w:rPr>
          <w:rFonts w:cs="Arial"/>
          <w:szCs w:val="20"/>
        </w:rPr>
        <w:t xml:space="preserve"> hodnoty kohortní plodnosti v jednotlivých pětiletých věkových kategoriích velice podobné jako skupina žen bez náboženské víry. Díky mladší populační struktuře </w:t>
      </w:r>
      <w:r w:rsidRPr="005072AC">
        <w:rPr>
          <w:rFonts w:cs="Arial"/>
          <w:szCs w:val="20"/>
        </w:rPr>
        <w:lastRenderedPageBreak/>
        <w:t xml:space="preserve">žen </w:t>
      </w:r>
      <w:r>
        <w:rPr>
          <w:rFonts w:cs="Arial"/>
          <w:szCs w:val="20"/>
        </w:rPr>
        <w:t xml:space="preserve">bez náboženské víry </w:t>
      </w:r>
      <w:r w:rsidRPr="005072AC">
        <w:rPr>
          <w:rFonts w:cs="Arial"/>
          <w:szCs w:val="20"/>
        </w:rPr>
        <w:t xml:space="preserve">byla ale celková plodnost této skupiny nižší. Na obecně vyšší kohortní plodnost u věřících hlásících se k církvi měla také významný vliv populační struktura, která byla v jejich případě starší než u osob bez náboženské víry. </w:t>
      </w:r>
    </w:p>
    <w:p w:rsidR="008564D2" w:rsidRPr="009E16D7" w:rsidRDefault="008564D2" w:rsidP="009E16D7">
      <w:r w:rsidRPr="009E16D7">
        <w:t xml:space="preserve"> </w:t>
      </w:r>
    </w:p>
    <w:sectPr w:rsidR="008564D2" w:rsidRPr="009E16D7" w:rsidSect="009E16D7">
      <w:headerReference w:type="even" r:id="rId14"/>
      <w:headerReference w:type="default" r:id="rId15"/>
      <w:footerReference w:type="even" r:id="rId16"/>
      <w:footerReference w:type="default" r:id="rId17"/>
      <w:footnotePr>
        <w:numStart w:val="5"/>
      </w:footnotePr>
      <w:pgSz w:w="11906" w:h="16838" w:code="9"/>
      <w:pgMar w:top="1134" w:right="1134" w:bottom="1418" w:left="1134" w:header="680" w:footer="680"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A2" w:rsidRDefault="006516A2" w:rsidP="00E71A58">
      <w:r>
        <w:separator/>
      </w:r>
    </w:p>
  </w:endnote>
  <w:endnote w:type="continuationSeparator" w:id="0">
    <w:p w:rsidR="006516A2" w:rsidRDefault="006516A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6516A2"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31.55pt;margin-top:-5.1pt;width:33.75pt;height:15.85pt;z-index:2;mso-position-horizontal:right">
          <v:imagedata r:id="rId1" o:title="CSU RGB CZ logo-01"/>
        </v:shape>
      </w:pict>
    </w:r>
    <w:r w:rsidR="009047B7" w:rsidRPr="00932443">
      <w:rPr>
        <w:szCs w:val="16"/>
      </w:rPr>
      <w:fldChar w:fldCharType="begin"/>
    </w:r>
    <w:r w:rsidR="009047B7" w:rsidRPr="00932443">
      <w:rPr>
        <w:szCs w:val="16"/>
      </w:rPr>
      <w:instrText>PAGE   \* MERGEFORMAT</w:instrText>
    </w:r>
    <w:r w:rsidR="009047B7" w:rsidRPr="00932443">
      <w:rPr>
        <w:szCs w:val="16"/>
      </w:rPr>
      <w:fldChar w:fldCharType="separate"/>
    </w:r>
    <w:r w:rsidR="009E16D7">
      <w:rPr>
        <w:szCs w:val="16"/>
      </w:rPr>
      <w:t>22</w:t>
    </w:r>
    <w:r w:rsidR="009047B7" w:rsidRPr="00932443">
      <w:rPr>
        <w:szCs w:val="16"/>
      </w:rPr>
      <w:fldChar w:fldCharType="end"/>
    </w:r>
    <w:r w:rsidR="009047B7" w:rsidRPr="00932443">
      <w:rPr>
        <w:szCs w:val="16"/>
      </w:rPr>
      <w:tab/>
    </w:r>
    <w:r w:rsidR="009047B7">
      <w:rPr>
        <w:szCs w:val="16"/>
      </w:rPr>
      <w:t>2011 - 2015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6516A2"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9047B7" w:rsidRPr="00932443">
      <w:rPr>
        <w:szCs w:val="16"/>
      </w:rPr>
      <w:tab/>
    </w:r>
    <w:r w:rsidR="009047B7">
      <w:rPr>
        <w:rStyle w:val="ZpatChar"/>
        <w:szCs w:val="16"/>
      </w:rPr>
      <w:t>2011 – 2015</w:t>
    </w:r>
    <w:r w:rsidR="009047B7" w:rsidRPr="00932443">
      <w:rPr>
        <w:szCs w:val="16"/>
      </w:rPr>
      <w:tab/>
    </w:r>
    <w:r w:rsidR="009047B7" w:rsidRPr="00932443">
      <w:rPr>
        <w:rStyle w:val="ZpatChar"/>
        <w:szCs w:val="16"/>
      </w:rPr>
      <w:fldChar w:fldCharType="begin"/>
    </w:r>
    <w:r w:rsidR="009047B7" w:rsidRPr="00932443">
      <w:rPr>
        <w:rStyle w:val="ZpatChar"/>
        <w:szCs w:val="16"/>
      </w:rPr>
      <w:instrText>PAGE   \* MERGEFORMAT</w:instrText>
    </w:r>
    <w:r w:rsidR="009047B7" w:rsidRPr="00932443">
      <w:rPr>
        <w:rStyle w:val="ZpatChar"/>
        <w:szCs w:val="16"/>
      </w:rPr>
      <w:fldChar w:fldCharType="separate"/>
    </w:r>
    <w:r w:rsidR="009E16D7">
      <w:rPr>
        <w:rStyle w:val="ZpatChar"/>
        <w:szCs w:val="16"/>
      </w:rPr>
      <w:t>21</w:t>
    </w:r>
    <w:r w:rsidR="009047B7"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A2" w:rsidRDefault="006516A2" w:rsidP="00E71A58">
      <w:r>
        <w:separator/>
      </w:r>
    </w:p>
  </w:footnote>
  <w:footnote w:type="continuationSeparator" w:id="0">
    <w:p w:rsidR="006516A2" w:rsidRDefault="006516A2"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2037C9" w:rsidRDefault="009047B7" w:rsidP="002037C9">
    <w:pPr>
      <w:pStyle w:val="Zhlav"/>
    </w:pPr>
    <w:r>
      <w:t>Porodnost a plodnost 2011 - 2015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6F5416" w:rsidRDefault="009047B7" w:rsidP="00937AE2">
    <w:pPr>
      <w:pStyle w:val="Zhlav"/>
    </w:pPr>
    <w:r>
      <w:t>Porodnost a plodnost 2011 - 2015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numStart w:val="5"/>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BB"/>
    <w:rsid w:val="0000209D"/>
    <w:rsid w:val="00004D5A"/>
    <w:rsid w:val="000056D5"/>
    <w:rsid w:val="0000683B"/>
    <w:rsid w:val="0000767A"/>
    <w:rsid w:val="00010702"/>
    <w:rsid w:val="000234D6"/>
    <w:rsid w:val="00023D29"/>
    <w:rsid w:val="00026389"/>
    <w:rsid w:val="00031AE0"/>
    <w:rsid w:val="000322EF"/>
    <w:rsid w:val="000336AC"/>
    <w:rsid w:val="00033FCD"/>
    <w:rsid w:val="00041CEC"/>
    <w:rsid w:val="0004694F"/>
    <w:rsid w:val="00046F8A"/>
    <w:rsid w:val="000522E4"/>
    <w:rsid w:val="000610E1"/>
    <w:rsid w:val="00062EC5"/>
    <w:rsid w:val="00062F22"/>
    <w:rsid w:val="000712B3"/>
    <w:rsid w:val="00074CFC"/>
    <w:rsid w:val="00081632"/>
    <w:rsid w:val="000818F1"/>
    <w:rsid w:val="0008263E"/>
    <w:rsid w:val="00082C19"/>
    <w:rsid w:val="00085395"/>
    <w:rsid w:val="00085CB7"/>
    <w:rsid w:val="00086D37"/>
    <w:rsid w:val="00087634"/>
    <w:rsid w:val="00087F2B"/>
    <w:rsid w:val="00091A5B"/>
    <w:rsid w:val="00091F06"/>
    <w:rsid w:val="000974D1"/>
    <w:rsid w:val="0009799E"/>
    <w:rsid w:val="000A1183"/>
    <w:rsid w:val="000A256D"/>
    <w:rsid w:val="000A3A2C"/>
    <w:rsid w:val="000B0A56"/>
    <w:rsid w:val="000B21AE"/>
    <w:rsid w:val="000B5CD7"/>
    <w:rsid w:val="000B74DD"/>
    <w:rsid w:val="000C070C"/>
    <w:rsid w:val="000C3408"/>
    <w:rsid w:val="000C6AFD"/>
    <w:rsid w:val="000D3D56"/>
    <w:rsid w:val="000D5637"/>
    <w:rsid w:val="000E6FBD"/>
    <w:rsid w:val="000E7369"/>
    <w:rsid w:val="000F1A66"/>
    <w:rsid w:val="000F2B69"/>
    <w:rsid w:val="000F6376"/>
    <w:rsid w:val="00100F5C"/>
    <w:rsid w:val="00103392"/>
    <w:rsid w:val="00104C4C"/>
    <w:rsid w:val="00116BC3"/>
    <w:rsid w:val="0011725D"/>
    <w:rsid w:val="0012192F"/>
    <w:rsid w:val="00122DB3"/>
    <w:rsid w:val="00125D69"/>
    <w:rsid w:val="001276C3"/>
    <w:rsid w:val="001405FA"/>
    <w:rsid w:val="001425C3"/>
    <w:rsid w:val="0014426B"/>
    <w:rsid w:val="00144E68"/>
    <w:rsid w:val="00162255"/>
    <w:rsid w:val="0016256B"/>
    <w:rsid w:val="00163793"/>
    <w:rsid w:val="0017050E"/>
    <w:rsid w:val="001706D6"/>
    <w:rsid w:val="001714F2"/>
    <w:rsid w:val="001766BA"/>
    <w:rsid w:val="001776AE"/>
    <w:rsid w:val="00184B08"/>
    <w:rsid w:val="00185010"/>
    <w:rsid w:val="0018715D"/>
    <w:rsid w:val="00192326"/>
    <w:rsid w:val="00196B60"/>
    <w:rsid w:val="001A552F"/>
    <w:rsid w:val="001A6BC0"/>
    <w:rsid w:val="001B2CA9"/>
    <w:rsid w:val="001B3110"/>
    <w:rsid w:val="001B34BB"/>
    <w:rsid w:val="001B4729"/>
    <w:rsid w:val="001B6C09"/>
    <w:rsid w:val="001B71EB"/>
    <w:rsid w:val="001C05CD"/>
    <w:rsid w:val="001C1392"/>
    <w:rsid w:val="001D1710"/>
    <w:rsid w:val="001D68B2"/>
    <w:rsid w:val="001F0A2C"/>
    <w:rsid w:val="001F243F"/>
    <w:rsid w:val="001F4597"/>
    <w:rsid w:val="001F52E2"/>
    <w:rsid w:val="001F6C36"/>
    <w:rsid w:val="00202314"/>
    <w:rsid w:val="002037C9"/>
    <w:rsid w:val="00203CFD"/>
    <w:rsid w:val="002118B9"/>
    <w:rsid w:val="00217C5B"/>
    <w:rsid w:val="0022139E"/>
    <w:rsid w:val="00222CAC"/>
    <w:rsid w:val="00224669"/>
    <w:rsid w:val="002252E0"/>
    <w:rsid w:val="002255F6"/>
    <w:rsid w:val="00227850"/>
    <w:rsid w:val="00227A53"/>
    <w:rsid w:val="002308B2"/>
    <w:rsid w:val="00230C6E"/>
    <w:rsid w:val="00236443"/>
    <w:rsid w:val="00240858"/>
    <w:rsid w:val="002436BA"/>
    <w:rsid w:val="00244A15"/>
    <w:rsid w:val="0024611D"/>
    <w:rsid w:val="00247319"/>
    <w:rsid w:val="0024799E"/>
    <w:rsid w:val="00253C0F"/>
    <w:rsid w:val="00260690"/>
    <w:rsid w:val="00260EBC"/>
    <w:rsid w:val="002645B6"/>
    <w:rsid w:val="00271465"/>
    <w:rsid w:val="00280E72"/>
    <w:rsid w:val="002821A7"/>
    <w:rsid w:val="00283CC2"/>
    <w:rsid w:val="00285412"/>
    <w:rsid w:val="00293C4F"/>
    <w:rsid w:val="0029542D"/>
    <w:rsid w:val="002A00BE"/>
    <w:rsid w:val="002A16D4"/>
    <w:rsid w:val="002A230C"/>
    <w:rsid w:val="002A47A3"/>
    <w:rsid w:val="002C018D"/>
    <w:rsid w:val="002C05BD"/>
    <w:rsid w:val="002C43BD"/>
    <w:rsid w:val="002D0E59"/>
    <w:rsid w:val="002E02A1"/>
    <w:rsid w:val="002E4E4C"/>
    <w:rsid w:val="00303337"/>
    <w:rsid w:val="00304771"/>
    <w:rsid w:val="003052D4"/>
    <w:rsid w:val="00306C5B"/>
    <w:rsid w:val="003209D6"/>
    <w:rsid w:val="00321737"/>
    <w:rsid w:val="00321924"/>
    <w:rsid w:val="0032656E"/>
    <w:rsid w:val="003308C5"/>
    <w:rsid w:val="00332190"/>
    <w:rsid w:val="003367CA"/>
    <w:rsid w:val="00344668"/>
    <w:rsid w:val="003454EF"/>
    <w:rsid w:val="003462D9"/>
    <w:rsid w:val="00347E74"/>
    <w:rsid w:val="00352CA8"/>
    <w:rsid w:val="00354569"/>
    <w:rsid w:val="00354958"/>
    <w:rsid w:val="00360C86"/>
    <w:rsid w:val="003657F3"/>
    <w:rsid w:val="00367AA7"/>
    <w:rsid w:val="00370322"/>
    <w:rsid w:val="00370C61"/>
    <w:rsid w:val="00370E9E"/>
    <w:rsid w:val="00372A04"/>
    <w:rsid w:val="00374CB1"/>
    <w:rsid w:val="003801BD"/>
    <w:rsid w:val="003818DC"/>
    <w:rsid w:val="00384327"/>
    <w:rsid w:val="00385D98"/>
    <w:rsid w:val="00387C33"/>
    <w:rsid w:val="00391F25"/>
    <w:rsid w:val="00392800"/>
    <w:rsid w:val="003A2B4D"/>
    <w:rsid w:val="003A478C"/>
    <w:rsid w:val="003A5525"/>
    <w:rsid w:val="003A613A"/>
    <w:rsid w:val="003A6B38"/>
    <w:rsid w:val="003B0AF1"/>
    <w:rsid w:val="003B5A32"/>
    <w:rsid w:val="003C3490"/>
    <w:rsid w:val="003C4A90"/>
    <w:rsid w:val="003C4ED5"/>
    <w:rsid w:val="003D6920"/>
    <w:rsid w:val="003D736E"/>
    <w:rsid w:val="003E47B7"/>
    <w:rsid w:val="003E4C91"/>
    <w:rsid w:val="003F313C"/>
    <w:rsid w:val="003F4079"/>
    <w:rsid w:val="003F4B2C"/>
    <w:rsid w:val="003F551C"/>
    <w:rsid w:val="003F7D23"/>
    <w:rsid w:val="00400C70"/>
    <w:rsid w:val="00404562"/>
    <w:rsid w:val="00407C13"/>
    <w:rsid w:val="00410638"/>
    <w:rsid w:val="0041088C"/>
    <w:rsid w:val="00421D1D"/>
    <w:rsid w:val="00430E7E"/>
    <w:rsid w:val="00432A58"/>
    <w:rsid w:val="00434617"/>
    <w:rsid w:val="00437AAD"/>
    <w:rsid w:val="00440900"/>
    <w:rsid w:val="00442CE3"/>
    <w:rsid w:val="004441A0"/>
    <w:rsid w:val="00460FB3"/>
    <w:rsid w:val="00462E97"/>
    <w:rsid w:val="004669E8"/>
    <w:rsid w:val="00467694"/>
    <w:rsid w:val="00476240"/>
    <w:rsid w:val="00476439"/>
    <w:rsid w:val="0047735C"/>
    <w:rsid w:val="004776BC"/>
    <w:rsid w:val="0048139F"/>
    <w:rsid w:val="00481E40"/>
    <w:rsid w:val="00484A97"/>
    <w:rsid w:val="00484ECE"/>
    <w:rsid w:val="004867D0"/>
    <w:rsid w:val="004900FF"/>
    <w:rsid w:val="004915CB"/>
    <w:rsid w:val="004924DC"/>
    <w:rsid w:val="00492FD7"/>
    <w:rsid w:val="00492FDF"/>
    <w:rsid w:val="004A0994"/>
    <w:rsid w:val="004A14E4"/>
    <w:rsid w:val="004A1F23"/>
    <w:rsid w:val="004A3212"/>
    <w:rsid w:val="004A61C5"/>
    <w:rsid w:val="004A77DF"/>
    <w:rsid w:val="004B1417"/>
    <w:rsid w:val="004B37F1"/>
    <w:rsid w:val="004B48E1"/>
    <w:rsid w:val="004B55B7"/>
    <w:rsid w:val="004B6468"/>
    <w:rsid w:val="004B74FD"/>
    <w:rsid w:val="004C384C"/>
    <w:rsid w:val="004C3867"/>
    <w:rsid w:val="004C3F22"/>
    <w:rsid w:val="004C4CD0"/>
    <w:rsid w:val="004C4EF0"/>
    <w:rsid w:val="004C6B99"/>
    <w:rsid w:val="004C70DC"/>
    <w:rsid w:val="004D0211"/>
    <w:rsid w:val="004D0794"/>
    <w:rsid w:val="004D0803"/>
    <w:rsid w:val="004D48A1"/>
    <w:rsid w:val="004D67F0"/>
    <w:rsid w:val="004E2D09"/>
    <w:rsid w:val="004E483E"/>
    <w:rsid w:val="004E5429"/>
    <w:rsid w:val="004E54BF"/>
    <w:rsid w:val="004F06F5"/>
    <w:rsid w:val="004F0AD7"/>
    <w:rsid w:val="004F33A0"/>
    <w:rsid w:val="00500A8A"/>
    <w:rsid w:val="005072AC"/>
    <w:rsid w:val="005108C0"/>
    <w:rsid w:val="00510D30"/>
    <w:rsid w:val="00511873"/>
    <w:rsid w:val="00512A2F"/>
    <w:rsid w:val="00513B7E"/>
    <w:rsid w:val="00515C74"/>
    <w:rsid w:val="00517F07"/>
    <w:rsid w:val="0052007E"/>
    <w:rsid w:val="0052337A"/>
    <w:rsid w:val="00523F91"/>
    <w:rsid w:val="00525137"/>
    <w:rsid w:val="005251DD"/>
    <w:rsid w:val="00532CE7"/>
    <w:rsid w:val="0053324C"/>
    <w:rsid w:val="00534A28"/>
    <w:rsid w:val="00536611"/>
    <w:rsid w:val="005377E1"/>
    <w:rsid w:val="00540984"/>
    <w:rsid w:val="00541508"/>
    <w:rsid w:val="00541533"/>
    <w:rsid w:val="00544961"/>
    <w:rsid w:val="00544EE1"/>
    <w:rsid w:val="0055599F"/>
    <w:rsid w:val="00556D68"/>
    <w:rsid w:val="005570F2"/>
    <w:rsid w:val="00557A15"/>
    <w:rsid w:val="00560659"/>
    <w:rsid w:val="005647BF"/>
    <w:rsid w:val="005668F4"/>
    <w:rsid w:val="0057364B"/>
    <w:rsid w:val="00574773"/>
    <w:rsid w:val="00582B5E"/>
    <w:rsid w:val="00583FFD"/>
    <w:rsid w:val="00587B4C"/>
    <w:rsid w:val="00590434"/>
    <w:rsid w:val="005911BE"/>
    <w:rsid w:val="00593152"/>
    <w:rsid w:val="00593280"/>
    <w:rsid w:val="005A10F2"/>
    <w:rsid w:val="005A21E0"/>
    <w:rsid w:val="005A28FF"/>
    <w:rsid w:val="005A3DF8"/>
    <w:rsid w:val="005A5549"/>
    <w:rsid w:val="005A660A"/>
    <w:rsid w:val="005B121D"/>
    <w:rsid w:val="005B2ACF"/>
    <w:rsid w:val="005B6AD7"/>
    <w:rsid w:val="005C0558"/>
    <w:rsid w:val="005C06ED"/>
    <w:rsid w:val="005D2600"/>
    <w:rsid w:val="005D5802"/>
    <w:rsid w:val="005D6B94"/>
    <w:rsid w:val="005D7890"/>
    <w:rsid w:val="005E7C78"/>
    <w:rsid w:val="005F2579"/>
    <w:rsid w:val="005F3EB1"/>
    <w:rsid w:val="005F478F"/>
    <w:rsid w:val="005F539F"/>
    <w:rsid w:val="005F5469"/>
    <w:rsid w:val="005F6625"/>
    <w:rsid w:val="00601C79"/>
    <w:rsid w:val="00604307"/>
    <w:rsid w:val="0060487F"/>
    <w:rsid w:val="00604EAD"/>
    <w:rsid w:val="00606C65"/>
    <w:rsid w:val="006104FB"/>
    <w:rsid w:val="00610DAB"/>
    <w:rsid w:val="00612A2F"/>
    <w:rsid w:val="00614B01"/>
    <w:rsid w:val="00616E05"/>
    <w:rsid w:val="0062256D"/>
    <w:rsid w:val="00624093"/>
    <w:rsid w:val="0063536D"/>
    <w:rsid w:val="0063575A"/>
    <w:rsid w:val="006362BD"/>
    <w:rsid w:val="006368F9"/>
    <w:rsid w:val="006404A7"/>
    <w:rsid w:val="006451E4"/>
    <w:rsid w:val="00645B33"/>
    <w:rsid w:val="00646599"/>
    <w:rsid w:val="006503E7"/>
    <w:rsid w:val="006516A2"/>
    <w:rsid w:val="006516CB"/>
    <w:rsid w:val="00657E87"/>
    <w:rsid w:val="006633C6"/>
    <w:rsid w:val="00664803"/>
    <w:rsid w:val="00665BA4"/>
    <w:rsid w:val="00667AF2"/>
    <w:rsid w:val="006710C9"/>
    <w:rsid w:val="00673CB5"/>
    <w:rsid w:val="00674D89"/>
    <w:rsid w:val="00675E37"/>
    <w:rsid w:val="0068174E"/>
    <w:rsid w:val="00681DCE"/>
    <w:rsid w:val="0068260E"/>
    <w:rsid w:val="00695BEF"/>
    <w:rsid w:val="006977A3"/>
    <w:rsid w:val="006977F6"/>
    <w:rsid w:val="00697A13"/>
    <w:rsid w:val="006A109C"/>
    <w:rsid w:val="006A5F00"/>
    <w:rsid w:val="006B344A"/>
    <w:rsid w:val="006B78D8"/>
    <w:rsid w:val="006C113F"/>
    <w:rsid w:val="006C123E"/>
    <w:rsid w:val="006C4BA5"/>
    <w:rsid w:val="006C56D4"/>
    <w:rsid w:val="006C6924"/>
    <w:rsid w:val="006C7CA6"/>
    <w:rsid w:val="006D3E8A"/>
    <w:rsid w:val="006D61F6"/>
    <w:rsid w:val="006E0A0B"/>
    <w:rsid w:val="006E279A"/>
    <w:rsid w:val="006E2DE0"/>
    <w:rsid w:val="006E313B"/>
    <w:rsid w:val="006F2352"/>
    <w:rsid w:val="006F5416"/>
    <w:rsid w:val="006F6002"/>
    <w:rsid w:val="006F7137"/>
    <w:rsid w:val="00705631"/>
    <w:rsid w:val="00706AD4"/>
    <w:rsid w:val="007140BE"/>
    <w:rsid w:val="0071781A"/>
    <w:rsid w:val="00717E46"/>
    <w:rsid w:val="007209E8"/>
    <w:rsid w:val="007211F5"/>
    <w:rsid w:val="00722587"/>
    <w:rsid w:val="00725764"/>
    <w:rsid w:val="00725BB5"/>
    <w:rsid w:val="00730AE8"/>
    <w:rsid w:val="00734255"/>
    <w:rsid w:val="00741493"/>
    <w:rsid w:val="00743D95"/>
    <w:rsid w:val="007501A5"/>
    <w:rsid w:val="00751611"/>
    <w:rsid w:val="00752180"/>
    <w:rsid w:val="00755202"/>
    <w:rsid w:val="00755D3A"/>
    <w:rsid w:val="007578D3"/>
    <w:rsid w:val="007609C6"/>
    <w:rsid w:val="0076175D"/>
    <w:rsid w:val="0076521E"/>
    <w:rsid w:val="007661E9"/>
    <w:rsid w:val="007758D2"/>
    <w:rsid w:val="00776169"/>
    <w:rsid w:val="00776527"/>
    <w:rsid w:val="00780EF1"/>
    <w:rsid w:val="00782A7C"/>
    <w:rsid w:val="00785FB1"/>
    <w:rsid w:val="00790764"/>
    <w:rsid w:val="0079453C"/>
    <w:rsid w:val="00794677"/>
    <w:rsid w:val="007B005E"/>
    <w:rsid w:val="007B6689"/>
    <w:rsid w:val="007C4665"/>
    <w:rsid w:val="007D40DF"/>
    <w:rsid w:val="007D4EB6"/>
    <w:rsid w:val="007D7B96"/>
    <w:rsid w:val="007E7E61"/>
    <w:rsid w:val="007F0845"/>
    <w:rsid w:val="007F3EC5"/>
    <w:rsid w:val="007F7943"/>
    <w:rsid w:val="008009CE"/>
    <w:rsid w:val="00807C82"/>
    <w:rsid w:val="00813EDF"/>
    <w:rsid w:val="00816905"/>
    <w:rsid w:val="00820556"/>
    <w:rsid w:val="00821EC7"/>
    <w:rsid w:val="00821FF6"/>
    <w:rsid w:val="00822E29"/>
    <w:rsid w:val="00825C4D"/>
    <w:rsid w:val="00830EB8"/>
    <w:rsid w:val="0083143E"/>
    <w:rsid w:val="00831CDE"/>
    <w:rsid w:val="00834304"/>
    <w:rsid w:val="00834FAA"/>
    <w:rsid w:val="00836086"/>
    <w:rsid w:val="00841E69"/>
    <w:rsid w:val="00844938"/>
    <w:rsid w:val="0084708F"/>
    <w:rsid w:val="008477C8"/>
    <w:rsid w:val="0085114D"/>
    <w:rsid w:val="00851356"/>
    <w:rsid w:val="00852217"/>
    <w:rsid w:val="008533E2"/>
    <w:rsid w:val="00855408"/>
    <w:rsid w:val="008564D2"/>
    <w:rsid w:val="00856D65"/>
    <w:rsid w:val="00861B41"/>
    <w:rsid w:val="00863434"/>
    <w:rsid w:val="00865E4C"/>
    <w:rsid w:val="008701E4"/>
    <w:rsid w:val="00872E80"/>
    <w:rsid w:val="00875A32"/>
    <w:rsid w:val="00876086"/>
    <w:rsid w:val="0087779B"/>
    <w:rsid w:val="00885016"/>
    <w:rsid w:val="008873D4"/>
    <w:rsid w:val="00893E85"/>
    <w:rsid w:val="00894031"/>
    <w:rsid w:val="008B45F6"/>
    <w:rsid w:val="008B7C02"/>
    <w:rsid w:val="008B7D2B"/>
    <w:rsid w:val="008C0049"/>
    <w:rsid w:val="008C0E88"/>
    <w:rsid w:val="008C310F"/>
    <w:rsid w:val="008C426F"/>
    <w:rsid w:val="008D016D"/>
    <w:rsid w:val="008D1E6A"/>
    <w:rsid w:val="008D2661"/>
    <w:rsid w:val="008D2A16"/>
    <w:rsid w:val="008E2C57"/>
    <w:rsid w:val="008E31FF"/>
    <w:rsid w:val="008E6F06"/>
    <w:rsid w:val="008F029B"/>
    <w:rsid w:val="008F3FC9"/>
    <w:rsid w:val="008F4794"/>
    <w:rsid w:val="008F57A6"/>
    <w:rsid w:val="008F585B"/>
    <w:rsid w:val="008F612C"/>
    <w:rsid w:val="009003A8"/>
    <w:rsid w:val="00902500"/>
    <w:rsid w:val="00902EFF"/>
    <w:rsid w:val="009047B7"/>
    <w:rsid w:val="00904905"/>
    <w:rsid w:val="00906401"/>
    <w:rsid w:val="00906EE5"/>
    <w:rsid w:val="00907323"/>
    <w:rsid w:val="0091155E"/>
    <w:rsid w:val="00912A92"/>
    <w:rsid w:val="0091728D"/>
    <w:rsid w:val="0092180B"/>
    <w:rsid w:val="00921F14"/>
    <w:rsid w:val="0092254A"/>
    <w:rsid w:val="00922810"/>
    <w:rsid w:val="00923D47"/>
    <w:rsid w:val="009242ED"/>
    <w:rsid w:val="00924AC8"/>
    <w:rsid w:val="0092597A"/>
    <w:rsid w:val="00931308"/>
    <w:rsid w:val="00932443"/>
    <w:rsid w:val="00934193"/>
    <w:rsid w:val="00936899"/>
    <w:rsid w:val="00937AE2"/>
    <w:rsid w:val="0094427A"/>
    <w:rsid w:val="00954170"/>
    <w:rsid w:val="00955BC1"/>
    <w:rsid w:val="0096617D"/>
    <w:rsid w:val="0097155E"/>
    <w:rsid w:val="00974923"/>
    <w:rsid w:val="00980D3D"/>
    <w:rsid w:val="009813A8"/>
    <w:rsid w:val="009821DC"/>
    <w:rsid w:val="00987697"/>
    <w:rsid w:val="00987A30"/>
    <w:rsid w:val="00992CF3"/>
    <w:rsid w:val="009968D6"/>
    <w:rsid w:val="009A1CAB"/>
    <w:rsid w:val="009A57D7"/>
    <w:rsid w:val="009A60D1"/>
    <w:rsid w:val="009A617E"/>
    <w:rsid w:val="009B615A"/>
    <w:rsid w:val="009B6FD3"/>
    <w:rsid w:val="009C1750"/>
    <w:rsid w:val="009C2E29"/>
    <w:rsid w:val="009C554B"/>
    <w:rsid w:val="009C719E"/>
    <w:rsid w:val="009D3ACD"/>
    <w:rsid w:val="009E16D7"/>
    <w:rsid w:val="009E5273"/>
    <w:rsid w:val="009E55B9"/>
    <w:rsid w:val="009E5DDB"/>
    <w:rsid w:val="009F4CA7"/>
    <w:rsid w:val="009F5537"/>
    <w:rsid w:val="00A037F4"/>
    <w:rsid w:val="00A03F42"/>
    <w:rsid w:val="00A06813"/>
    <w:rsid w:val="00A07E80"/>
    <w:rsid w:val="00A10D66"/>
    <w:rsid w:val="00A10EC3"/>
    <w:rsid w:val="00A13B8F"/>
    <w:rsid w:val="00A14114"/>
    <w:rsid w:val="00A16413"/>
    <w:rsid w:val="00A17080"/>
    <w:rsid w:val="00A23E43"/>
    <w:rsid w:val="00A30F65"/>
    <w:rsid w:val="00A3676E"/>
    <w:rsid w:val="00A37E07"/>
    <w:rsid w:val="00A413D4"/>
    <w:rsid w:val="00A418BC"/>
    <w:rsid w:val="00A46185"/>
    <w:rsid w:val="00A46DE0"/>
    <w:rsid w:val="00A50D73"/>
    <w:rsid w:val="00A513FA"/>
    <w:rsid w:val="00A52CAD"/>
    <w:rsid w:val="00A53FC7"/>
    <w:rsid w:val="00A553DE"/>
    <w:rsid w:val="00A62C82"/>
    <w:rsid w:val="00A62CE1"/>
    <w:rsid w:val="00A6741E"/>
    <w:rsid w:val="00A75E40"/>
    <w:rsid w:val="00A77D1D"/>
    <w:rsid w:val="00A8510B"/>
    <w:rsid w:val="00A857C0"/>
    <w:rsid w:val="00A92A4C"/>
    <w:rsid w:val="00AA17FB"/>
    <w:rsid w:val="00AA2996"/>
    <w:rsid w:val="00AA319D"/>
    <w:rsid w:val="00AA52BF"/>
    <w:rsid w:val="00AA559A"/>
    <w:rsid w:val="00AB1467"/>
    <w:rsid w:val="00AB2AF1"/>
    <w:rsid w:val="00AC58BB"/>
    <w:rsid w:val="00AD306C"/>
    <w:rsid w:val="00AD46A9"/>
    <w:rsid w:val="00AE09B3"/>
    <w:rsid w:val="00AE1A83"/>
    <w:rsid w:val="00AE3398"/>
    <w:rsid w:val="00AE3E55"/>
    <w:rsid w:val="00AF20FF"/>
    <w:rsid w:val="00B00913"/>
    <w:rsid w:val="00B01593"/>
    <w:rsid w:val="00B0303C"/>
    <w:rsid w:val="00B10A4D"/>
    <w:rsid w:val="00B10A7E"/>
    <w:rsid w:val="00B17E71"/>
    <w:rsid w:val="00B17FDE"/>
    <w:rsid w:val="00B2379C"/>
    <w:rsid w:val="00B2687D"/>
    <w:rsid w:val="00B32DDB"/>
    <w:rsid w:val="00B34528"/>
    <w:rsid w:val="00B36DA6"/>
    <w:rsid w:val="00B373CF"/>
    <w:rsid w:val="00B402FC"/>
    <w:rsid w:val="00B43231"/>
    <w:rsid w:val="00B46604"/>
    <w:rsid w:val="00B471BD"/>
    <w:rsid w:val="00B47339"/>
    <w:rsid w:val="00B530CD"/>
    <w:rsid w:val="00B55F5E"/>
    <w:rsid w:val="00B56DC9"/>
    <w:rsid w:val="00B5752E"/>
    <w:rsid w:val="00B61479"/>
    <w:rsid w:val="00B62887"/>
    <w:rsid w:val="00B63A11"/>
    <w:rsid w:val="00B64C24"/>
    <w:rsid w:val="00B6608F"/>
    <w:rsid w:val="00B679FB"/>
    <w:rsid w:val="00B7185A"/>
    <w:rsid w:val="00B7442B"/>
    <w:rsid w:val="00B76D1E"/>
    <w:rsid w:val="00B80EC6"/>
    <w:rsid w:val="00B84FAD"/>
    <w:rsid w:val="00B92D1D"/>
    <w:rsid w:val="00B938C5"/>
    <w:rsid w:val="00B95940"/>
    <w:rsid w:val="00B96C18"/>
    <w:rsid w:val="00BA26B1"/>
    <w:rsid w:val="00BB46F3"/>
    <w:rsid w:val="00BB4CB1"/>
    <w:rsid w:val="00BB4F98"/>
    <w:rsid w:val="00BC674D"/>
    <w:rsid w:val="00BC7154"/>
    <w:rsid w:val="00BD198B"/>
    <w:rsid w:val="00BD30FC"/>
    <w:rsid w:val="00BD366B"/>
    <w:rsid w:val="00BD6D50"/>
    <w:rsid w:val="00BE0D56"/>
    <w:rsid w:val="00BE18B9"/>
    <w:rsid w:val="00BE2495"/>
    <w:rsid w:val="00BF1578"/>
    <w:rsid w:val="00BF218B"/>
    <w:rsid w:val="00BF769C"/>
    <w:rsid w:val="00C05A90"/>
    <w:rsid w:val="00C15E2B"/>
    <w:rsid w:val="00C21F94"/>
    <w:rsid w:val="00C27913"/>
    <w:rsid w:val="00C27D18"/>
    <w:rsid w:val="00C27ECC"/>
    <w:rsid w:val="00C3195B"/>
    <w:rsid w:val="00C32955"/>
    <w:rsid w:val="00C33B68"/>
    <w:rsid w:val="00C3652B"/>
    <w:rsid w:val="00C36A79"/>
    <w:rsid w:val="00C405D4"/>
    <w:rsid w:val="00C409DC"/>
    <w:rsid w:val="00C43131"/>
    <w:rsid w:val="00C440D8"/>
    <w:rsid w:val="00C4513B"/>
    <w:rsid w:val="00C45FE0"/>
    <w:rsid w:val="00C5379F"/>
    <w:rsid w:val="00C54697"/>
    <w:rsid w:val="00C5561B"/>
    <w:rsid w:val="00C73885"/>
    <w:rsid w:val="00C747B1"/>
    <w:rsid w:val="00C82191"/>
    <w:rsid w:val="00C84E4D"/>
    <w:rsid w:val="00C90CF4"/>
    <w:rsid w:val="00C92502"/>
    <w:rsid w:val="00C92EB6"/>
    <w:rsid w:val="00C93389"/>
    <w:rsid w:val="00C96710"/>
    <w:rsid w:val="00CB4930"/>
    <w:rsid w:val="00CC2E7D"/>
    <w:rsid w:val="00CC565D"/>
    <w:rsid w:val="00CD10A5"/>
    <w:rsid w:val="00CD2076"/>
    <w:rsid w:val="00CE670B"/>
    <w:rsid w:val="00CF12ED"/>
    <w:rsid w:val="00CF51EC"/>
    <w:rsid w:val="00CF73AE"/>
    <w:rsid w:val="00D00502"/>
    <w:rsid w:val="00D040DD"/>
    <w:rsid w:val="00D12A19"/>
    <w:rsid w:val="00D135A5"/>
    <w:rsid w:val="00D13986"/>
    <w:rsid w:val="00D163BC"/>
    <w:rsid w:val="00D235B7"/>
    <w:rsid w:val="00D257C0"/>
    <w:rsid w:val="00D25F28"/>
    <w:rsid w:val="00D27973"/>
    <w:rsid w:val="00D325F0"/>
    <w:rsid w:val="00D3462F"/>
    <w:rsid w:val="00D50F46"/>
    <w:rsid w:val="00D5153F"/>
    <w:rsid w:val="00D52224"/>
    <w:rsid w:val="00D529C4"/>
    <w:rsid w:val="00D559C4"/>
    <w:rsid w:val="00D563CA"/>
    <w:rsid w:val="00D60536"/>
    <w:rsid w:val="00D66223"/>
    <w:rsid w:val="00D8084C"/>
    <w:rsid w:val="00D839DC"/>
    <w:rsid w:val="00D861E7"/>
    <w:rsid w:val="00D9332B"/>
    <w:rsid w:val="00D9378B"/>
    <w:rsid w:val="00D970E1"/>
    <w:rsid w:val="00DA7C0C"/>
    <w:rsid w:val="00DB0CB0"/>
    <w:rsid w:val="00DB2EC8"/>
    <w:rsid w:val="00DC5061"/>
    <w:rsid w:val="00DC5B3B"/>
    <w:rsid w:val="00DD0553"/>
    <w:rsid w:val="00DD129F"/>
    <w:rsid w:val="00DD569C"/>
    <w:rsid w:val="00DE1CFD"/>
    <w:rsid w:val="00DF42FF"/>
    <w:rsid w:val="00DF5E7C"/>
    <w:rsid w:val="00E0076C"/>
    <w:rsid w:val="00E01C0E"/>
    <w:rsid w:val="00E03F9A"/>
    <w:rsid w:val="00E04694"/>
    <w:rsid w:val="00E12B1E"/>
    <w:rsid w:val="00E17262"/>
    <w:rsid w:val="00E23793"/>
    <w:rsid w:val="00E243C8"/>
    <w:rsid w:val="00E253A2"/>
    <w:rsid w:val="00E3309D"/>
    <w:rsid w:val="00E358CA"/>
    <w:rsid w:val="00E427B0"/>
    <w:rsid w:val="00E50156"/>
    <w:rsid w:val="00E53470"/>
    <w:rsid w:val="00E539F6"/>
    <w:rsid w:val="00E6519D"/>
    <w:rsid w:val="00E67696"/>
    <w:rsid w:val="00E71A58"/>
    <w:rsid w:val="00E72A7A"/>
    <w:rsid w:val="00E72C16"/>
    <w:rsid w:val="00E75C94"/>
    <w:rsid w:val="00E801D6"/>
    <w:rsid w:val="00E810B0"/>
    <w:rsid w:val="00E858C7"/>
    <w:rsid w:val="00E93820"/>
    <w:rsid w:val="00EA0857"/>
    <w:rsid w:val="00EA0C68"/>
    <w:rsid w:val="00EA32BC"/>
    <w:rsid w:val="00EA63FB"/>
    <w:rsid w:val="00EA7389"/>
    <w:rsid w:val="00EB1118"/>
    <w:rsid w:val="00EB4511"/>
    <w:rsid w:val="00EB518D"/>
    <w:rsid w:val="00EC03D7"/>
    <w:rsid w:val="00ED2BAB"/>
    <w:rsid w:val="00ED62C6"/>
    <w:rsid w:val="00ED64C1"/>
    <w:rsid w:val="00EE3446"/>
    <w:rsid w:val="00EE3E78"/>
    <w:rsid w:val="00EE4B1B"/>
    <w:rsid w:val="00EF150D"/>
    <w:rsid w:val="00EF1F5A"/>
    <w:rsid w:val="00EF47BF"/>
    <w:rsid w:val="00EF797F"/>
    <w:rsid w:val="00F04811"/>
    <w:rsid w:val="00F0488C"/>
    <w:rsid w:val="00F05F5E"/>
    <w:rsid w:val="00F07CB9"/>
    <w:rsid w:val="00F10F11"/>
    <w:rsid w:val="00F122EF"/>
    <w:rsid w:val="00F12ED7"/>
    <w:rsid w:val="00F15AAA"/>
    <w:rsid w:val="00F15BEF"/>
    <w:rsid w:val="00F16257"/>
    <w:rsid w:val="00F24407"/>
    <w:rsid w:val="00F24FAA"/>
    <w:rsid w:val="00F258E6"/>
    <w:rsid w:val="00F31254"/>
    <w:rsid w:val="00F335D5"/>
    <w:rsid w:val="00F3364D"/>
    <w:rsid w:val="00F42A7A"/>
    <w:rsid w:val="00F437CC"/>
    <w:rsid w:val="00F44C2A"/>
    <w:rsid w:val="00F47067"/>
    <w:rsid w:val="00F525EB"/>
    <w:rsid w:val="00F55A6C"/>
    <w:rsid w:val="00F63DDE"/>
    <w:rsid w:val="00F63FB7"/>
    <w:rsid w:val="00F649D2"/>
    <w:rsid w:val="00F6602B"/>
    <w:rsid w:val="00F678F0"/>
    <w:rsid w:val="00F7260E"/>
    <w:rsid w:val="00F73A0C"/>
    <w:rsid w:val="00F756DB"/>
    <w:rsid w:val="00F7570B"/>
    <w:rsid w:val="00F85066"/>
    <w:rsid w:val="00FA5D4D"/>
    <w:rsid w:val="00FA5E67"/>
    <w:rsid w:val="00FB0EE2"/>
    <w:rsid w:val="00FB542E"/>
    <w:rsid w:val="00FB6523"/>
    <w:rsid w:val="00FC0DBA"/>
    <w:rsid w:val="00FC0E5F"/>
    <w:rsid w:val="00FC1A95"/>
    <w:rsid w:val="00FC56DE"/>
    <w:rsid w:val="00FC5805"/>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rules v:ext="edit">
        <o:r id="V:Rule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4867D0"/>
    <w:pPr>
      <w:spacing w:after="240" w:line="288" w:lineRule="auto"/>
    </w:pPr>
    <w:rPr>
      <w:rFonts w:ascii="Arial" w:eastAsia="Times New Roman" w:hAnsi="Arial"/>
      <w:szCs w:val="24"/>
    </w:rPr>
  </w:style>
  <w:style w:type="paragraph" w:styleId="Nadpis1">
    <w:name w:val="heading 1"/>
    <w:next w:val="Normln"/>
    <w:link w:val="Nadpis1Char"/>
    <w:uiPriority w:val="9"/>
    <w:qFormat/>
    <w:rsid w:val="008C310F"/>
    <w:pPr>
      <w:widowControl w:val="0"/>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8C310F"/>
    <w:pPr>
      <w:widowControl w:val="0"/>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10F"/>
    <w:rPr>
      <w:rFonts w:ascii="Arial" w:eastAsia="MS Gothic" w:hAnsi="Arial"/>
      <w:b/>
      <w:bCs/>
      <w:color w:val="C00000"/>
      <w:sz w:val="32"/>
      <w:szCs w:val="28"/>
    </w:rPr>
  </w:style>
  <w:style w:type="character" w:customStyle="1" w:styleId="Nadpis2Char">
    <w:name w:val="Nadpis 2 Char"/>
    <w:link w:val="Nadpis2"/>
    <w:uiPriority w:val="9"/>
    <w:rsid w:val="008C310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odkaz-style-wrapper">
    <w:name w:val="odkaz-style-wrapper"/>
    <w:rsid w:val="00C92502"/>
  </w:style>
  <w:style w:type="paragraph" w:styleId="Nadpisobsahu">
    <w:name w:val="TOC Heading"/>
    <w:basedOn w:val="Nadpis1"/>
    <w:next w:val="Normln"/>
    <w:uiPriority w:val="39"/>
    <w:semiHidden/>
    <w:unhideWhenUsed/>
    <w:qFormat/>
    <w:rsid w:val="00557A15"/>
    <w:pPr>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semiHidden/>
    <w:rsid w:val="00F12ED7"/>
    <w:pPr>
      <w:spacing w:after="0" w:line="240" w:lineRule="auto"/>
      <w:jc w:val="both"/>
    </w:pPr>
    <w:rPr>
      <w:i/>
      <w:sz w:val="18"/>
      <w:szCs w:val="20"/>
    </w:rPr>
  </w:style>
  <w:style w:type="character" w:customStyle="1" w:styleId="TextpoznpodarouChar">
    <w:name w:val="Text pozn. pod čarou Char"/>
    <w:link w:val="Textpoznpodarou"/>
    <w:semiHidden/>
    <w:rsid w:val="00F12ED7"/>
    <w:rPr>
      <w:rFonts w:ascii="Arial" w:eastAsia="Times New Roman" w:hAnsi="Arial"/>
      <w:i/>
      <w:sz w:val="18"/>
    </w:rPr>
  </w:style>
  <w:style w:type="character" w:styleId="Znakapoznpodarou">
    <w:name w:val="footnote reference"/>
    <w:semiHidden/>
    <w:rsid w:val="00F12ED7"/>
    <w:rPr>
      <w:vertAlign w:val="superscript"/>
    </w:rPr>
  </w:style>
  <w:style w:type="character" w:styleId="Odkaznakoment">
    <w:name w:val="annotation reference"/>
    <w:uiPriority w:val="99"/>
    <w:semiHidden/>
    <w:unhideWhenUsed/>
    <w:rsid w:val="00B7442B"/>
    <w:rPr>
      <w:sz w:val="16"/>
      <w:szCs w:val="16"/>
    </w:rPr>
  </w:style>
  <w:style w:type="paragraph" w:styleId="Textkomente">
    <w:name w:val="annotation text"/>
    <w:basedOn w:val="Normln"/>
    <w:link w:val="TextkomenteChar"/>
    <w:uiPriority w:val="99"/>
    <w:semiHidden/>
    <w:unhideWhenUsed/>
    <w:rsid w:val="00B7442B"/>
    <w:rPr>
      <w:szCs w:val="20"/>
    </w:rPr>
  </w:style>
  <w:style w:type="character" w:customStyle="1" w:styleId="TextkomenteChar">
    <w:name w:val="Text komentáře Char"/>
    <w:link w:val="Textkomente"/>
    <w:uiPriority w:val="99"/>
    <w:semiHidden/>
    <w:rsid w:val="00B7442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7442B"/>
    <w:rPr>
      <w:b/>
      <w:bCs/>
    </w:rPr>
  </w:style>
  <w:style w:type="character" w:customStyle="1" w:styleId="PedmtkomenteChar">
    <w:name w:val="Předmět komentáře Char"/>
    <w:link w:val="Pedmtkomente"/>
    <w:uiPriority w:val="99"/>
    <w:semiHidden/>
    <w:rsid w:val="00B7442B"/>
    <w:rPr>
      <w:rFonts w:ascii="Arial" w:eastAsia="Times New Roman" w:hAnsi="Arial"/>
      <w:b/>
      <w:bCs/>
    </w:rPr>
  </w:style>
  <w:style w:type="character" w:styleId="Sledovanodkaz">
    <w:name w:val="FollowedHyperlink"/>
    <w:uiPriority w:val="99"/>
    <w:semiHidden/>
    <w:unhideWhenUsed/>
    <w:rsid w:val="00C05A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93956">
      <w:bodyDiv w:val="1"/>
      <w:marLeft w:val="0"/>
      <w:marRight w:val="0"/>
      <w:marTop w:val="0"/>
      <w:marBottom w:val="0"/>
      <w:divBdr>
        <w:top w:val="none" w:sz="0" w:space="0" w:color="auto"/>
        <w:left w:val="none" w:sz="0" w:space="0" w:color="auto"/>
        <w:bottom w:val="none" w:sz="0" w:space="0" w:color="auto"/>
        <w:right w:val="none" w:sz="0" w:space="0" w:color="auto"/>
      </w:divBdr>
    </w:div>
    <w:div w:id="39062051">
      <w:bodyDiv w:val="1"/>
      <w:marLeft w:val="0"/>
      <w:marRight w:val="0"/>
      <w:marTop w:val="0"/>
      <w:marBottom w:val="0"/>
      <w:divBdr>
        <w:top w:val="none" w:sz="0" w:space="0" w:color="auto"/>
        <w:left w:val="none" w:sz="0" w:space="0" w:color="auto"/>
        <w:bottom w:val="none" w:sz="0" w:space="0" w:color="auto"/>
        <w:right w:val="none" w:sz="0" w:space="0" w:color="auto"/>
      </w:divBdr>
    </w:div>
    <w:div w:id="113718446">
      <w:bodyDiv w:val="1"/>
      <w:marLeft w:val="0"/>
      <w:marRight w:val="0"/>
      <w:marTop w:val="0"/>
      <w:marBottom w:val="0"/>
      <w:divBdr>
        <w:top w:val="none" w:sz="0" w:space="0" w:color="auto"/>
        <w:left w:val="none" w:sz="0" w:space="0" w:color="auto"/>
        <w:bottom w:val="none" w:sz="0" w:space="0" w:color="auto"/>
        <w:right w:val="none" w:sz="0" w:space="0" w:color="auto"/>
      </w:divBdr>
    </w:div>
    <w:div w:id="134497207">
      <w:bodyDiv w:val="1"/>
      <w:marLeft w:val="0"/>
      <w:marRight w:val="0"/>
      <w:marTop w:val="0"/>
      <w:marBottom w:val="0"/>
      <w:divBdr>
        <w:top w:val="none" w:sz="0" w:space="0" w:color="auto"/>
        <w:left w:val="none" w:sz="0" w:space="0" w:color="auto"/>
        <w:bottom w:val="none" w:sz="0" w:space="0" w:color="auto"/>
        <w:right w:val="none" w:sz="0" w:space="0" w:color="auto"/>
      </w:divBdr>
    </w:div>
    <w:div w:id="161286603">
      <w:bodyDiv w:val="1"/>
      <w:marLeft w:val="0"/>
      <w:marRight w:val="0"/>
      <w:marTop w:val="0"/>
      <w:marBottom w:val="0"/>
      <w:divBdr>
        <w:top w:val="none" w:sz="0" w:space="0" w:color="auto"/>
        <w:left w:val="none" w:sz="0" w:space="0" w:color="auto"/>
        <w:bottom w:val="none" w:sz="0" w:space="0" w:color="auto"/>
        <w:right w:val="none" w:sz="0" w:space="0" w:color="auto"/>
      </w:divBdr>
    </w:div>
    <w:div w:id="25926167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4243444">
      <w:bodyDiv w:val="1"/>
      <w:marLeft w:val="0"/>
      <w:marRight w:val="0"/>
      <w:marTop w:val="0"/>
      <w:marBottom w:val="0"/>
      <w:divBdr>
        <w:top w:val="none" w:sz="0" w:space="0" w:color="auto"/>
        <w:left w:val="none" w:sz="0" w:space="0" w:color="auto"/>
        <w:bottom w:val="none" w:sz="0" w:space="0" w:color="auto"/>
        <w:right w:val="none" w:sz="0" w:space="0" w:color="auto"/>
      </w:divBdr>
    </w:div>
    <w:div w:id="308753862">
      <w:bodyDiv w:val="1"/>
      <w:marLeft w:val="0"/>
      <w:marRight w:val="0"/>
      <w:marTop w:val="0"/>
      <w:marBottom w:val="0"/>
      <w:divBdr>
        <w:top w:val="none" w:sz="0" w:space="0" w:color="auto"/>
        <w:left w:val="none" w:sz="0" w:space="0" w:color="auto"/>
        <w:bottom w:val="none" w:sz="0" w:space="0" w:color="auto"/>
        <w:right w:val="none" w:sz="0" w:space="0" w:color="auto"/>
      </w:divBdr>
    </w:div>
    <w:div w:id="315576752">
      <w:bodyDiv w:val="1"/>
      <w:marLeft w:val="0"/>
      <w:marRight w:val="0"/>
      <w:marTop w:val="0"/>
      <w:marBottom w:val="0"/>
      <w:divBdr>
        <w:top w:val="none" w:sz="0" w:space="0" w:color="auto"/>
        <w:left w:val="none" w:sz="0" w:space="0" w:color="auto"/>
        <w:bottom w:val="none" w:sz="0" w:space="0" w:color="auto"/>
        <w:right w:val="none" w:sz="0" w:space="0" w:color="auto"/>
      </w:divBdr>
    </w:div>
    <w:div w:id="321470946">
      <w:bodyDiv w:val="1"/>
      <w:marLeft w:val="0"/>
      <w:marRight w:val="0"/>
      <w:marTop w:val="0"/>
      <w:marBottom w:val="0"/>
      <w:divBdr>
        <w:top w:val="none" w:sz="0" w:space="0" w:color="auto"/>
        <w:left w:val="none" w:sz="0" w:space="0" w:color="auto"/>
        <w:bottom w:val="none" w:sz="0" w:space="0" w:color="auto"/>
        <w:right w:val="none" w:sz="0" w:space="0" w:color="auto"/>
      </w:divBdr>
    </w:div>
    <w:div w:id="444347079">
      <w:bodyDiv w:val="1"/>
      <w:marLeft w:val="0"/>
      <w:marRight w:val="0"/>
      <w:marTop w:val="0"/>
      <w:marBottom w:val="0"/>
      <w:divBdr>
        <w:top w:val="none" w:sz="0" w:space="0" w:color="auto"/>
        <w:left w:val="none" w:sz="0" w:space="0" w:color="auto"/>
        <w:bottom w:val="none" w:sz="0" w:space="0" w:color="auto"/>
        <w:right w:val="none" w:sz="0" w:space="0" w:color="auto"/>
      </w:divBdr>
    </w:div>
    <w:div w:id="44532026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8353454">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1235638">
      <w:bodyDiv w:val="1"/>
      <w:marLeft w:val="0"/>
      <w:marRight w:val="0"/>
      <w:marTop w:val="0"/>
      <w:marBottom w:val="0"/>
      <w:divBdr>
        <w:top w:val="none" w:sz="0" w:space="0" w:color="auto"/>
        <w:left w:val="none" w:sz="0" w:space="0" w:color="auto"/>
        <w:bottom w:val="none" w:sz="0" w:space="0" w:color="auto"/>
        <w:right w:val="none" w:sz="0" w:space="0" w:color="auto"/>
      </w:divBdr>
    </w:div>
    <w:div w:id="646782327">
      <w:bodyDiv w:val="1"/>
      <w:marLeft w:val="0"/>
      <w:marRight w:val="0"/>
      <w:marTop w:val="0"/>
      <w:marBottom w:val="0"/>
      <w:divBdr>
        <w:top w:val="none" w:sz="0" w:space="0" w:color="auto"/>
        <w:left w:val="none" w:sz="0" w:space="0" w:color="auto"/>
        <w:bottom w:val="none" w:sz="0" w:space="0" w:color="auto"/>
        <w:right w:val="none" w:sz="0" w:space="0" w:color="auto"/>
      </w:divBdr>
    </w:div>
    <w:div w:id="65931409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1538508">
      <w:bodyDiv w:val="1"/>
      <w:marLeft w:val="0"/>
      <w:marRight w:val="0"/>
      <w:marTop w:val="0"/>
      <w:marBottom w:val="0"/>
      <w:divBdr>
        <w:top w:val="none" w:sz="0" w:space="0" w:color="auto"/>
        <w:left w:val="none" w:sz="0" w:space="0" w:color="auto"/>
        <w:bottom w:val="none" w:sz="0" w:space="0" w:color="auto"/>
        <w:right w:val="none" w:sz="0" w:space="0" w:color="auto"/>
      </w:divBdr>
    </w:div>
    <w:div w:id="725495322">
      <w:bodyDiv w:val="1"/>
      <w:marLeft w:val="0"/>
      <w:marRight w:val="0"/>
      <w:marTop w:val="0"/>
      <w:marBottom w:val="0"/>
      <w:divBdr>
        <w:top w:val="none" w:sz="0" w:space="0" w:color="auto"/>
        <w:left w:val="none" w:sz="0" w:space="0" w:color="auto"/>
        <w:bottom w:val="none" w:sz="0" w:space="0" w:color="auto"/>
        <w:right w:val="none" w:sz="0" w:space="0" w:color="auto"/>
      </w:divBdr>
    </w:div>
    <w:div w:id="846362488">
      <w:bodyDiv w:val="1"/>
      <w:marLeft w:val="0"/>
      <w:marRight w:val="0"/>
      <w:marTop w:val="0"/>
      <w:marBottom w:val="0"/>
      <w:divBdr>
        <w:top w:val="none" w:sz="0" w:space="0" w:color="auto"/>
        <w:left w:val="none" w:sz="0" w:space="0" w:color="auto"/>
        <w:bottom w:val="none" w:sz="0" w:space="0" w:color="auto"/>
        <w:right w:val="none" w:sz="0" w:space="0" w:color="auto"/>
      </w:divBdr>
    </w:div>
    <w:div w:id="870803653">
      <w:bodyDiv w:val="1"/>
      <w:marLeft w:val="0"/>
      <w:marRight w:val="0"/>
      <w:marTop w:val="0"/>
      <w:marBottom w:val="0"/>
      <w:divBdr>
        <w:top w:val="none" w:sz="0" w:space="0" w:color="auto"/>
        <w:left w:val="none" w:sz="0" w:space="0" w:color="auto"/>
        <w:bottom w:val="none" w:sz="0" w:space="0" w:color="auto"/>
        <w:right w:val="none" w:sz="0" w:space="0" w:color="auto"/>
      </w:divBdr>
    </w:div>
    <w:div w:id="936446864">
      <w:bodyDiv w:val="1"/>
      <w:marLeft w:val="0"/>
      <w:marRight w:val="0"/>
      <w:marTop w:val="0"/>
      <w:marBottom w:val="0"/>
      <w:divBdr>
        <w:top w:val="none" w:sz="0" w:space="0" w:color="auto"/>
        <w:left w:val="none" w:sz="0" w:space="0" w:color="auto"/>
        <w:bottom w:val="none" w:sz="0" w:space="0" w:color="auto"/>
        <w:right w:val="none" w:sz="0" w:space="0" w:color="auto"/>
      </w:divBdr>
    </w:div>
    <w:div w:id="966860990">
      <w:bodyDiv w:val="1"/>
      <w:marLeft w:val="0"/>
      <w:marRight w:val="0"/>
      <w:marTop w:val="0"/>
      <w:marBottom w:val="0"/>
      <w:divBdr>
        <w:top w:val="none" w:sz="0" w:space="0" w:color="auto"/>
        <w:left w:val="none" w:sz="0" w:space="0" w:color="auto"/>
        <w:bottom w:val="none" w:sz="0" w:space="0" w:color="auto"/>
        <w:right w:val="none" w:sz="0" w:space="0" w:color="auto"/>
      </w:divBdr>
    </w:div>
    <w:div w:id="978416494">
      <w:bodyDiv w:val="1"/>
      <w:marLeft w:val="0"/>
      <w:marRight w:val="0"/>
      <w:marTop w:val="0"/>
      <w:marBottom w:val="0"/>
      <w:divBdr>
        <w:top w:val="none" w:sz="0" w:space="0" w:color="auto"/>
        <w:left w:val="none" w:sz="0" w:space="0" w:color="auto"/>
        <w:bottom w:val="none" w:sz="0" w:space="0" w:color="auto"/>
        <w:right w:val="none" w:sz="0" w:space="0" w:color="auto"/>
      </w:divBdr>
    </w:div>
    <w:div w:id="992412867">
      <w:bodyDiv w:val="1"/>
      <w:marLeft w:val="0"/>
      <w:marRight w:val="0"/>
      <w:marTop w:val="0"/>
      <w:marBottom w:val="0"/>
      <w:divBdr>
        <w:top w:val="none" w:sz="0" w:space="0" w:color="auto"/>
        <w:left w:val="none" w:sz="0" w:space="0" w:color="auto"/>
        <w:bottom w:val="none" w:sz="0" w:space="0" w:color="auto"/>
        <w:right w:val="none" w:sz="0" w:space="0" w:color="auto"/>
      </w:divBdr>
    </w:div>
    <w:div w:id="1016880383">
      <w:bodyDiv w:val="1"/>
      <w:marLeft w:val="0"/>
      <w:marRight w:val="0"/>
      <w:marTop w:val="0"/>
      <w:marBottom w:val="0"/>
      <w:divBdr>
        <w:top w:val="none" w:sz="0" w:space="0" w:color="auto"/>
        <w:left w:val="none" w:sz="0" w:space="0" w:color="auto"/>
        <w:bottom w:val="none" w:sz="0" w:space="0" w:color="auto"/>
        <w:right w:val="none" w:sz="0" w:space="0" w:color="auto"/>
      </w:divBdr>
    </w:div>
    <w:div w:id="1098526939">
      <w:bodyDiv w:val="1"/>
      <w:marLeft w:val="0"/>
      <w:marRight w:val="0"/>
      <w:marTop w:val="0"/>
      <w:marBottom w:val="0"/>
      <w:divBdr>
        <w:top w:val="none" w:sz="0" w:space="0" w:color="auto"/>
        <w:left w:val="none" w:sz="0" w:space="0" w:color="auto"/>
        <w:bottom w:val="none" w:sz="0" w:space="0" w:color="auto"/>
        <w:right w:val="none" w:sz="0" w:space="0" w:color="auto"/>
      </w:divBdr>
    </w:div>
    <w:div w:id="117303244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0527526">
      <w:bodyDiv w:val="1"/>
      <w:marLeft w:val="0"/>
      <w:marRight w:val="0"/>
      <w:marTop w:val="0"/>
      <w:marBottom w:val="0"/>
      <w:divBdr>
        <w:top w:val="none" w:sz="0" w:space="0" w:color="auto"/>
        <w:left w:val="none" w:sz="0" w:space="0" w:color="auto"/>
        <w:bottom w:val="none" w:sz="0" w:space="0" w:color="auto"/>
        <w:right w:val="none" w:sz="0" w:space="0" w:color="auto"/>
      </w:divBdr>
    </w:div>
    <w:div w:id="1304852376">
      <w:bodyDiv w:val="1"/>
      <w:marLeft w:val="0"/>
      <w:marRight w:val="0"/>
      <w:marTop w:val="0"/>
      <w:marBottom w:val="0"/>
      <w:divBdr>
        <w:top w:val="none" w:sz="0" w:space="0" w:color="auto"/>
        <w:left w:val="none" w:sz="0" w:space="0" w:color="auto"/>
        <w:bottom w:val="none" w:sz="0" w:space="0" w:color="auto"/>
        <w:right w:val="none" w:sz="0" w:space="0" w:color="auto"/>
      </w:divBdr>
    </w:div>
    <w:div w:id="1310279944">
      <w:bodyDiv w:val="1"/>
      <w:marLeft w:val="0"/>
      <w:marRight w:val="0"/>
      <w:marTop w:val="0"/>
      <w:marBottom w:val="0"/>
      <w:divBdr>
        <w:top w:val="none" w:sz="0" w:space="0" w:color="auto"/>
        <w:left w:val="none" w:sz="0" w:space="0" w:color="auto"/>
        <w:bottom w:val="none" w:sz="0" w:space="0" w:color="auto"/>
        <w:right w:val="none" w:sz="0" w:space="0" w:color="auto"/>
      </w:divBdr>
    </w:div>
    <w:div w:id="1337417277">
      <w:bodyDiv w:val="1"/>
      <w:marLeft w:val="0"/>
      <w:marRight w:val="0"/>
      <w:marTop w:val="0"/>
      <w:marBottom w:val="0"/>
      <w:divBdr>
        <w:top w:val="none" w:sz="0" w:space="0" w:color="auto"/>
        <w:left w:val="none" w:sz="0" w:space="0" w:color="auto"/>
        <w:bottom w:val="none" w:sz="0" w:space="0" w:color="auto"/>
        <w:right w:val="none" w:sz="0" w:space="0" w:color="auto"/>
      </w:divBdr>
    </w:div>
    <w:div w:id="1341928311">
      <w:bodyDiv w:val="1"/>
      <w:marLeft w:val="0"/>
      <w:marRight w:val="0"/>
      <w:marTop w:val="0"/>
      <w:marBottom w:val="0"/>
      <w:divBdr>
        <w:top w:val="none" w:sz="0" w:space="0" w:color="auto"/>
        <w:left w:val="none" w:sz="0" w:space="0" w:color="auto"/>
        <w:bottom w:val="none" w:sz="0" w:space="0" w:color="auto"/>
        <w:right w:val="none" w:sz="0" w:space="0" w:color="auto"/>
      </w:divBdr>
    </w:div>
    <w:div w:id="1372730014">
      <w:bodyDiv w:val="1"/>
      <w:marLeft w:val="0"/>
      <w:marRight w:val="0"/>
      <w:marTop w:val="0"/>
      <w:marBottom w:val="0"/>
      <w:divBdr>
        <w:top w:val="none" w:sz="0" w:space="0" w:color="auto"/>
        <w:left w:val="none" w:sz="0" w:space="0" w:color="auto"/>
        <w:bottom w:val="none" w:sz="0" w:space="0" w:color="auto"/>
        <w:right w:val="none" w:sz="0" w:space="0" w:color="auto"/>
      </w:divBdr>
    </w:div>
    <w:div w:id="139265518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38162408">
      <w:bodyDiv w:val="1"/>
      <w:marLeft w:val="0"/>
      <w:marRight w:val="0"/>
      <w:marTop w:val="0"/>
      <w:marBottom w:val="0"/>
      <w:divBdr>
        <w:top w:val="none" w:sz="0" w:space="0" w:color="auto"/>
        <w:left w:val="none" w:sz="0" w:space="0" w:color="auto"/>
        <w:bottom w:val="none" w:sz="0" w:space="0" w:color="auto"/>
        <w:right w:val="none" w:sz="0" w:space="0" w:color="auto"/>
      </w:divBdr>
    </w:div>
    <w:div w:id="1547570088">
      <w:bodyDiv w:val="1"/>
      <w:marLeft w:val="0"/>
      <w:marRight w:val="0"/>
      <w:marTop w:val="0"/>
      <w:marBottom w:val="0"/>
      <w:divBdr>
        <w:top w:val="none" w:sz="0" w:space="0" w:color="auto"/>
        <w:left w:val="none" w:sz="0" w:space="0" w:color="auto"/>
        <w:bottom w:val="none" w:sz="0" w:space="0" w:color="auto"/>
        <w:right w:val="none" w:sz="0" w:space="0" w:color="auto"/>
      </w:divBdr>
    </w:div>
    <w:div w:id="1561592998">
      <w:bodyDiv w:val="1"/>
      <w:marLeft w:val="0"/>
      <w:marRight w:val="0"/>
      <w:marTop w:val="0"/>
      <w:marBottom w:val="0"/>
      <w:divBdr>
        <w:top w:val="none" w:sz="0" w:space="0" w:color="auto"/>
        <w:left w:val="none" w:sz="0" w:space="0" w:color="auto"/>
        <w:bottom w:val="none" w:sz="0" w:space="0" w:color="auto"/>
        <w:right w:val="none" w:sz="0" w:space="0" w:color="auto"/>
      </w:divBdr>
    </w:div>
    <w:div w:id="1575385723">
      <w:bodyDiv w:val="1"/>
      <w:marLeft w:val="0"/>
      <w:marRight w:val="0"/>
      <w:marTop w:val="0"/>
      <w:marBottom w:val="0"/>
      <w:divBdr>
        <w:top w:val="none" w:sz="0" w:space="0" w:color="auto"/>
        <w:left w:val="none" w:sz="0" w:space="0" w:color="auto"/>
        <w:bottom w:val="none" w:sz="0" w:space="0" w:color="auto"/>
        <w:right w:val="none" w:sz="0" w:space="0" w:color="auto"/>
      </w:divBdr>
    </w:div>
    <w:div w:id="1575508668">
      <w:bodyDiv w:val="1"/>
      <w:marLeft w:val="0"/>
      <w:marRight w:val="0"/>
      <w:marTop w:val="0"/>
      <w:marBottom w:val="0"/>
      <w:divBdr>
        <w:top w:val="none" w:sz="0" w:space="0" w:color="auto"/>
        <w:left w:val="none" w:sz="0" w:space="0" w:color="auto"/>
        <w:bottom w:val="none" w:sz="0" w:space="0" w:color="auto"/>
        <w:right w:val="none" w:sz="0" w:space="0" w:color="auto"/>
      </w:divBdr>
    </w:div>
    <w:div w:id="1597598017">
      <w:bodyDiv w:val="1"/>
      <w:marLeft w:val="0"/>
      <w:marRight w:val="0"/>
      <w:marTop w:val="0"/>
      <w:marBottom w:val="0"/>
      <w:divBdr>
        <w:top w:val="none" w:sz="0" w:space="0" w:color="auto"/>
        <w:left w:val="none" w:sz="0" w:space="0" w:color="auto"/>
        <w:bottom w:val="none" w:sz="0" w:space="0" w:color="auto"/>
        <w:right w:val="none" w:sz="0" w:space="0" w:color="auto"/>
      </w:divBdr>
    </w:div>
    <w:div w:id="1606767098">
      <w:bodyDiv w:val="1"/>
      <w:marLeft w:val="0"/>
      <w:marRight w:val="0"/>
      <w:marTop w:val="0"/>
      <w:marBottom w:val="0"/>
      <w:divBdr>
        <w:top w:val="none" w:sz="0" w:space="0" w:color="auto"/>
        <w:left w:val="none" w:sz="0" w:space="0" w:color="auto"/>
        <w:bottom w:val="none" w:sz="0" w:space="0" w:color="auto"/>
        <w:right w:val="none" w:sz="0" w:space="0" w:color="auto"/>
      </w:divBdr>
    </w:div>
    <w:div w:id="1608001271">
      <w:bodyDiv w:val="1"/>
      <w:marLeft w:val="0"/>
      <w:marRight w:val="0"/>
      <w:marTop w:val="0"/>
      <w:marBottom w:val="0"/>
      <w:divBdr>
        <w:top w:val="none" w:sz="0" w:space="0" w:color="auto"/>
        <w:left w:val="none" w:sz="0" w:space="0" w:color="auto"/>
        <w:bottom w:val="none" w:sz="0" w:space="0" w:color="auto"/>
        <w:right w:val="none" w:sz="0" w:space="0" w:color="auto"/>
      </w:divBdr>
    </w:div>
    <w:div w:id="1712613891">
      <w:bodyDiv w:val="1"/>
      <w:marLeft w:val="0"/>
      <w:marRight w:val="0"/>
      <w:marTop w:val="0"/>
      <w:marBottom w:val="0"/>
      <w:divBdr>
        <w:top w:val="none" w:sz="0" w:space="0" w:color="auto"/>
        <w:left w:val="none" w:sz="0" w:space="0" w:color="auto"/>
        <w:bottom w:val="none" w:sz="0" w:space="0" w:color="auto"/>
        <w:right w:val="none" w:sz="0" w:space="0" w:color="auto"/>
      </w:divBdr>
    </w:div>
    <w:div w:id="1766271024">
      <w:bodyDiv w:val="1"/>
      <w:marLeft w:val="0"/>
      <w:marRight w:val="0"/>
      <w:marTop w:val="0"/>
      <w:marBottom w:val="0"/>
      <w:divBdr>
        <w:top w:val="none" w:sz="0" w:space="0" w:color="auto"/>
        <w:left w:val="none" w:sz="0" w:space="0" w:color="auto"/>
        <w:bottom w:val="none" w:sz="0" w:space="0" w:color="auto"/>
        <w:right w:val="none" w:sz="0" w:space="0" w:color="auto"/>
      </w:divBdr>
    </w:div>
    <w:div w:id="1769691357">
      <w:bodyDiv w:val="1"/>
      <w:marLeft w:val="0"/>
      <w:marRight w:val="0"/>
      <w:marTop w:val="0"/>
      <w:marBottom w:val="0"/>
      <w:divBdr>
        <w:top w:val="none" w:sz="0" w:space="0" w:color="auto"/>
        <w:left w:val="none" w:sz="0" w:space="0" w:color="auto"/>
        <w:bottom w:val="none" w:sz="0" w:space="0" w:color="auto"/>
        <w:right w:val="none" w:sz="0" w:space="0" w:color="auto"/>
      </w:divBdr>
    </w:div>
    <w:div w:id="184427705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1091455">
      <w:bodyDiv w:val="1"/>
      <w:marLeft w:val="0"/>
      <w:marRight w:val="0"/>
      <w:marTop w:val="0"/>
      <w:marBottom w:val="0"/>
      <w:divBdr>
        <w:top w:val="none" w:sz="0" w:space="0" w:color="auto"/>
        <w:left w:val="none" w:sz="0" w:space="0" w:color="auto"/>
        <w:bottom w:val="none" w:sz="0" w:space="0" w:color="auto"/>
        <w:right w:val="none" w:sz="0" w:space="0" w:color="auto"/>
      </w:divBdr>
    </w:div>
    <w:div w:id="1916671889">
      <w:bodyDiv w:val="1"/>
      <w:marLeft w:val="0"/>
      <w:marRight w:val="0"/>
      <w:marTop w:val="0"/>
      <w:marBottom w:val="0"/>
      <w:divBdr>
        <w:top w:val="none" w:sz="0" w:space="0" w:color="auto"/>
        <w:left w:val="none" w:sz="0" w:space="0" w:color="auto"/>
        <w:bottom w:val="none" w:sz="0" w:space="0" w:color="auto"/>
        <w:right w:val="none" w:sz="0" w:space="0" w:color="auto"/>
      </w:divBdr>
    </w:div>
    <w:div w:id="1977298247">
      <w:bodyDiv w:val="1"/>
      <w:marLeft w:val="0"/>
      <w:marRight w:val="0"/>
      <w:marTop w:val="0"/>
      <w:marBottom w:val="0"/>
      <w:divBdr>
        <w:top w:val="none" w:sz="0" w:space="0" w:color="auto"/>
        <w:left w:val="none" w:sz="0" w:space="0" w:color="auto"/>
        <w:bottom w:val="none" w:sz="0" w:space="0" w:color="auto"/>
        <w:right w:val="none" w:sz="0" w:space="0" w:color="auto"/>
      </w:divBdr>
    </w:div>
    <w:div w:id="2034571184">
      <w:bodyDiv w:val="1"/>
      <w:marLeft w:val="0"/>
      <w:marRight w:val="0"/>
      <w:marTop w:val="0"/>
      <w:marBottom w:val="0"/>
      <w:divBdr>
        <w:top w:val="none" w:sz="0" w:space="0" w:color="auto"/>
        <w:left w:val="none" w:sz="0" w:space="0" w:color="auto"/>
        <w:bottom w:val="none" w:sz="0" w:space="0" w:color="auto"/>
        <w:right w:val="none" w:sz="0" w:space="0" w:color="auto"/>
      </w:divBdr>
    </w:div>
    <w:div w:id="2040084974">
      <w:bodyDiv w:val="1"/>
      <w:marLeft w:val="0"/>
      <w:marRight w:val="0"/>
      <w:marTop w:val="0"/>
      <w:marBottom w:val="0"/>
      <w:divBdr>
        <w:top w:val="none" w:sz="0" w:space="0" w:color="auto"/>
        <w:left w:val="none" w:sz="0" w:space="0" w:color="auto"/>
        <w:bottom w:val="none" w:sz="0" w:space="0" w:color="auto"/>
        <w:right w:val="none" w:sz="0" w:space="0" w:color="auto"/>
      </w:divBdr>
    </w:div>
    <w:div w:id="2041464997">
      <w:bodyDiv w:val="1"/>
      <w:marLeft w:val="0"/>
      <w:marRight w:val="0"/>
      <w:marTop w:val="0"/>
      <w:marBottom w:val="0"/>
      <w:divBdr>
        <w:top w:val="none" w:sz="0" w:space="0" w:color="auto"/>
        <w:left w:val="none" w:sz="0" w:space="0" w:color="auto"/>
        <w:bottom w:val="none" w:sz="0" w:space="0" w:color="auto"/>
        <w:right w:val="none" w:sz="0" w:space="0" w:color="auto"/>
      </w:divBdr>
    </w:div>
    <w:div w:id="205843196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KIN~1\AppData\Local\Temp\Publikace%20bar%20CZ_lide%20a%20spolecnost_2016-03-2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2897-413E-4201-982E-3CDF4B14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1</TotalTime>
  <Pages>5</Pages>
  <Words>1407</Words>
  <Characters>8302</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kurkin4488</dc:creator>
  <cp:lastModifiedBy>kurkin4488</cp:lastModifiedBy>
  <cp:revision>3</cp:revision>
  <cp:lastPrinted>2014-07-17T14:07:00Z</cp:lastPrinted>
  <dcterms:created xsi:type="dcterms:W3CDTF">2016-11-28T14:38:00Z</dcterms:created>
  <dcterms:modified xsi:type="dcterms:W3CDTF">2016-11-28T14:38:00Z</dcterms:modified>
</cp:coreProperties>
</file>