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BC3" w:rsidRDefault="00AD2963" w:rsidP="0014635D">
      <w:pPr>
        <w:pStyle w:val="Nadpis1"/>
        <w:pageBreakBefore/>
        <w:numPr>
          <w:ilvl w:val="0"/>
          <w:numId w:val="47"/>
        </w:numPr>
      </w:pPr>
      <w:bookmarkStart w:id="0" w:name="_Toc490036459"/>
      <w:r>
        <w:t>Souhrnná informace o zemědělských subjektech v roce 2016</w:t>
      </w:r>
      <w:bookmarkEnd w:id="0"/>
    </w:p>
    <w:p w:rsidR="00682182" w:rsidRDefault="00427685" w:rsidP="00323DEA">
      <w:pPr>
        <w:jc w:val="both"/>
        <w:rPr>
          <w:lang w:eastAsia="en-US"/>
        </w:rPr>
      </w:pPr>
      <w:r w:rsidRPr="00427685">
        <w:rPr>
          <w:lang w:eastAsia="en-US"/>
        </w:rPr>
        <w:t>Předkládané výstupy ze strukturálního zjišťování reprezentují 26 525 zemědělských subjektů (23 </w:t>
      </w:r>
      <w:r w:rsidR="00D8096D">
        <w:rPr>
          <w:lang w:eastAsia="en-US"/>
        </w:rPr>
        <w:t>402 subjektů fyzických osob a 3 </w:t>
      </w:r>
      <w:r w:rsidRPr="00427685">
        <w:rPr>
          <w:lang w:eastAsia="en-US"/>
        </w:rPr>
        <w:t>123 právnických osob) naplňujících v roce 2016 stanovené prahové hodnoty.</w:t>
      </w:r>
    </w:p>
    <w:p w:rsidR="00AD2963" w:rsidRDefault="00AD2963" w:rsidP="00046D4F">
      <w:pPr>
        <w:spacing w:before="240" w:after="60" w:line="240" w:lineRule="auto"/>
        <w:jc w:val="both"/>
        <w:rPr>
          <w:rFonts w:cs="Arial"/>
          <w:b/>
          <w:szCs w:val="20"/>
          <w:vertAlign w:val="superscript"/>
          <w:lang w:eastAsia="en-US"/>
        </w:rPr>
      </w:pPr>
      <w:r w:rsidRPr="00682182">
        <w:rPr>
          <w:rFonts w:cs="Arial"/>
          <w:b/>
          <w:szCs w:val="20"/>
          <w:lang w:eastAsia="en-US"/>
        </w:rPr>
        <w:t>Tab. 1 Zemědělské subjekty v letech 2000 až 201</w:t>
      </w:r>
      <w:r w:rsidR="00682182" w:rsidRPr="00682182">
        <w:rPr>
          <w:rFonts w:cs="Arial"/>
          <w:b/>
          <w:szCs w:val="20"/>
          <w:lang w:eastAsia="en-US"/>
        </w:rPr>
        <w:t>6</w:t>
      </w:r>
      <w:r w:rsidRPr="00682182">
        <w:rPr>
          <w:rFonts w:cs="Arial"/>
          <w:b/>
          <w:vertAlign w:val="superscript"/>
          <w:lang w:eastAsia="en-US"/>
        </w:rPr>
        <w:footnoteReference w:id="1"/>
      </w:r>
      <w:r w:rsidR="00682182" w:rsidRPr="00682182">
        <w:rPr>
          <w:rFonts w:cs="Arial"/>
          <w:b/>
          <w:szCs w:val="20"/>
          <w:vertAlign w:val="superscript"/>
          <w:lang w:eastAsia="en-US"/>
        </w:rPr>
        <w:t>)</w:t>
      </w:r>
    </w:p>
    <w:p w:rsidR="00640267" w:rsidRPr="00682182" w:rsidRDefault="00640267" w:rsidP="00682182">
      <w:pPr>
        <w:spacing w:after="0" w:line="240" w:lineRule="auto"/>
        <w:jc w:val="both"/>
        <w:rPr>
          <w:rFonts w:cs="Arial"/>
          <w:b/>
          <w:szCs w:val="20"/>
          <w:lang w:eastAsia="en-US"/>
        </w:rPr>
      </w:pPr>
      <w:r w:rsidRPr="00640267">
        <w:rPr>
          <w:noProof/>
          <w:szCs w:val="20"/>
        </w:rPr>
        <w:drawing>
          <wp:inline distT="0" distB="0" distL="0" distR="0">
            <wp:extent cx="5972175" cy="3609975"/>
            <wp:effectExtent l="19050" t="0" r="9525" b="0"/>
            <wp:docPr id="131" name="obrázek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3609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7685" w:rsidRPr="00A76FA8" w:rsidRDefault="00427685" w:rsidP="00323DEA">
      <w:pPr>
        <w:jc w:val="both"/>
        <w:rPr>
          <w:szCs w:val="20"/>
          <w:lang w:eastAsia="en-US"/>
        </w:rPr>
      </w:pPr>
      <w:r w:rsidRPr="00A76FA8">
        <w:rPr>
          <w:szCs w:val="20"/>
          <w:lang w:eastAsia="en-US"/>
        </w:rPr>
        <w:t>Ve srovnání s rokem 2000 se počet zemědělských subjektů téměř nezměnil (</w:t>
      </w:r>
      <w:r w:rsidR="005F7DD5" w:rsidRPr="00A76FA8">
        <w:rPr>
          <w:szCs w:val="20"/>
          <w:lang w:eastAsia="en-US"/>
        </w:rPr>
        <w:t>-</w:t>
      </w:r>
      <w:r w:rsidRPr="00A76FA8">
        <w:rPr>
          <w:szCs w:val="20"/>
          <w:lang w:eastAsia="en-US"/>
        </w:rPr>
        <w:t>0</w:t>
      </w:r>
      <w:r w:rsidR="00D8096D" w:rsidRPr="00A76FA8">
        <w:rPr>
          <w:szCs w:val="20"/>
          <w:lang w:eastAsia="en-US"/>
        </w:rPr>
        <w:t>,1 </w:t>
      </w:r>
      <w:r w:rsidRPr="00A76FA8">
        <w:rPr>
          <w:szCs w:val="20"/>
          <w:lang w:eastAsia="en-US"/>
        </w:rPr>
        <w:t>%). Vzrostl počet subjektů právnických osob (+10,5</w:t>
      </w:r>
      <w:r w:rsidR="00D8096D" w:rsidRPr="00A76FA8">
        <w:rPr>
          <w:szCs w:val="20"/>
          <w:lang w:eastAsia="en-US"/>
        </w:rPr>
        <w:t> </w:t>
      </w:r>
      <w:r w:rsidRPr="00A76FA8">
        <w:rPr>
          <w:szCs w:val="20"/>
          <w:lang w:eastAsia="en-US"/>
        </w:rPr>
        <w:t>%), zejména společností s ručením omezeným (+40,2 %), výrazně se snížil počet družstev (</w:t>
      </w:r>
      <w:proofErr w:type="gramStart"/>
      <w:r w:rsidRPr="00A76FA8">
        <w:rPr>
          <w:szCs w:val="20"/>
          <w:lang w:eastAsia="en-US"/>
        </w:rPr>
        <w:t>−32,2 %).</w:t>
      </w:r>
      <w:proofErr w:type="gramEnd"/>
      <w:r w:rsidRPr="00A76FA8">
        <w:rPr>
          <w:szCs w:val="20"/>
          <w:lang w:eastAsia="en-US"/>
        </w:rPr>
        <w:t xml:space="preserve"> Počet subjektů fyzických osob se mírně snížil (</w:t>
      </w:r>
      <w:r w:rsidR="005F7DD5" w:rsidRPr="00A76FA8">
        <w:rPr>
          <w:szCs w:val="20"/>
          <w:lang w:eastAsia="en-US"/>
        </w:rPr>
        <w:t>-</w:t>
      </w:r>
      <w:r w:rsidRPr="00A76FA8">
        <w:rPr>
          <w:szCs w:val="20"/>
          <w:lang w:eastAsia="en-US"/>
        </w:rPr>
        <w:t>1,3</w:t>
      </w:r>
      <w:r w:rsidR="00D8096D" w:rsidRPr="00A76FA8">
        <w:rPr>
          <w:szCs w:val="20"/>
          <w:lang w:eastAsia="en-US"/>
        </w:rPr>
        <w:t> </w:t>
      </w:r>
      <w:r w:rsidRPr="00A76FA8">
        <w:rPr>
          <w:szCs w:val="20"/>
          <w:lang w:eastAsia="en-US"/>
        </w:rPr>
        <w:t>%).</w:t>
      </w:r>
    </w:p>
    <w:p w:rsidR="00427685" w:rsidRPr="00A76FA8" w:rsidRDefault="00427685" w:rsidP="00323DEA">
      <w:pPr>
        <w:jc w:val="both"/>
        <w:rPr>
          <w:szCs w:val="20"/>
          <w:lang w:eastAsia="en-US"/>
        </w:rPr>
      </w:pPr>
      <w:r w:rsidRPr="00A76FA8">
        <w:rPr>
          <w:szCs w:val="20"/>
          <w:lang w:eastAsia="en-US"/>
        </w:rPr>
        <w:t>Zemědělské subjekty v roce 2016 obhospodařovaly 3 457 tis. ha zemědělské půdy, tj. 43,8</w:t>
      </w:r>
      <w:r w:rsidR="00D8096D" w:rsidRPr="00A76FA8">
        <w:rPr>
          <w:szCs w:val="20"/>
          <w:lang w:eastAsia="en-US"/>
        </w:rPr>
        <w:t> </w:t>
      </w:r>
      <w:r w:rsidRPr="00A76FA8">
        <w:rPr>
          <w:szCs w:val="20"/>
          <w:lang w:eastAsia="en-US"/>
        </w:rPr>
        <w:t>%</w:t>
      </w:r>
      <w:r w:rsidRPr="00A76FA8">
        <w:rPr>
          <w:color w:val="0070C0"/>
          <w:szCs w:val="20"/>
          <w:lang w:eastAsia="en-US"/>
        </w:rPr>
        <w:t xml:space="preserve"> </w:t>
      </w:r>
      <w:r w:rsidRPr="00A76FA8">
        <w:rPr>
          <w:szCs w:val="20"/>
          <w:lang w:eastAsia="en-US"/>
        </w:rPr>
        <w:t>rozlohy České republiky</w:t>
      </w:r>
      <w:r w:rsidRPr="00A76FA8">
        <w:rPr>
          <w:color w:val="0070C0"/>
          <w:szCs w:val="20"/>
          <w:lang w:eastAsia="en-US"/>
        </w:rPr>
        <w:t xml:space="preserve">, </w:t>
      </w:r>
      <w:r w:rsidRPr="00A76FA8">
        <w:rPr>
          <w:szCs w:val="20"/>
          <w:lang w:eastAsia="en-US"/>
        </w:rPr>
        <w:t>v roce 2000 to bylo</w:t>
      </w:r>
      <w:r w:rsidRPr="00A76FA8">
        <w:rPr>
          <w:color w:val="0070C0"/>
          <w:szCs w:val="20"/>
          <w:lang w:eastAsia="en-US"/>
        </w:rPr>
        <w:t xml:space="preserve"> </w:t>
      </w:r>
      <w:r w:rsidRPr="00A76FA8">
        <w:rPr>
          <w:szCs w:val="20"/>
          <w:lang w:eastAsia="en-US"/>
        </w:rPr>
        <w:t>45,7 %, během 16 let se plocha obhospodařované zemědělské půdy snížila</w:t>
      </w:r>
      <w:r w:rsidR="00D8096D" w:rsidRPr="00A76FA8">
        <w:rPr>
          <w:szCs w:val="20"/>
          <w:lang w:eastAsia="en-US"/>
        </w:rPr>
        <w:t xml:space="preserve"> o </w:t>
      </w:r>
      <w:r w:rsidRPr="00A76FA8">
        <w:rPr>
          <w:szCs w:val="20"/>
          <w:lang w:eastAsia="en-US"/>
        </w:rPr>
        <w:t>148 tis.</w:t>
      </w:r>
      <w:r w:rsidR="00D8096D" w:rsidRPr="00A76FA8">
        <w:rPr>
          <w:szCs w:val="20"/>
          <w:lang w:eastAsia="en-US"/>
        </w:rPr>
        <w:t> </w:t>
      </w:r>
      <w:r w:rsidRPr="00A76FA8">
        <w:rPr>
          <w:szCs w:val="20"/>
          <w:lang w:eastAsia="en-US"/>
        </w:rPr>
        <w:t>ha. Došlo k přesunům zemědělské půdy mezi subjekty fyzických a právnických osob; od roku 2000 se na straně subjektů fyzických osob výměra zemědělské půdy o</w:t>
      </w:r>
      <w:r w:rsidR="00D8096D" w:rsidRPr="00A76FA8">
        <w:rPr>
          <w:szCs w:val="20"/>
          <w:lang w:eastAsia="en-US"/>
        </w:rPr>
        <w:t> </w:t>
      </w:r>
      <w:r w:rsidRPr="00A76FA8">
        <w:rPr>
          <w:szCs w:val="20"/>
          <w:lang w:eastAsia="en-US"/>
        </w:rPr>
        <w:t>12,6</w:t>
      </w:r>
      <w:r w:rsidR="00D8096D" w:rsidRPr="00A76FA8">
        <w:rPr>
          <w:szCs w:val="20"/>
          <w:lang w:eastAsia="en-US"/>
        </w:rPr>
        <w:t> </w:t>
      </w:r>
      <w:r w:rsidRPr="00A76FA8">
        <w:rPr>
          <w:szCs w:val="20"/>
          <w:lang w:eastAsia="en-US"/>
        </w:rPr>
        <w:t>% navýšila, zatímco subjektům právnických osob 9,9 % výměry ubylo.</w:t>
      </w:r>
      <w:r w:rsidRPr="00A76FA8">
        <w:rPr>
          <w:color w:val="0070C0"/>
          <w:szCs w:val="20"/>
          <w:lang w:eastAsia="en-US"/>
        </w:rPr>
        <w:t xml:space="preserve"> </w:t>
      </w:r>
      <w:r w:rsidRPr="00A76FA8">
        <w:rPr>
          <w:szCs w:val="20"/>
          <w:lang w:eastAsia="en-US"/>
        </w:rPr>
        <w:t>Nejvyšší úbytek p</w:t>
      </w:r>
      <w:r w:rsidR="00D8096D" w:rsidRPr="00A76FA8">
        <w:rPr>
          <w:szCs w:val="20"/>
          <w:lang w:eastAsia="en-US"/>
        </w:rPr>
        <w:t>ůdy zaznamenala družstva (</w:t>
      </w:r>
      <w:r w:rsidR="005F7DD5" w:rsidRPr="00A76FA8">
        <w:rPr>
          <w:szCs w:val="20"/>
          <w:lang w:eastAsia="en-US"/>
        </w:rPr>
        <w:t>-</w:t>
      </w:r>
      <w:r w:rsidR="00D8096D" w:rsidRPr="00A76FA8">
        <w:rPr>
          <w:szCs w:val="20"/>
          <w:lang w:eastAsia="en-US"/>
        </w:rPr>
        <w:t>36,9 </w:t>
      </w:r>
      <w:r w:rsidRPr="00A76FA8">
        <w:rPr>
          <w:szCs w:val="20"/>
          <w:lang w:eastAsia="en-US"/>
        </w:rPr>
        <w:t>%). Subjekty fyzických osob v roce 2016 hospodařili na 30,1 % z celkové výměry zemědělské půdy, v roce 2000 to bylo 25,6 %.</w:t>
      </w:r>
    </w:p>
    <w:p w:rsidR="00427685" w:rsidRPr="00A76FA8" w:rsidRDefault="00427685" w:rsidP="00323DEA">
      <w:pPr>
        <w:jc w:val="both"/>
        <w:rPr>
          <w:szCs w:val="20"/>
          <w:lang w:eastAsia="en-US"/>
        </w:rPr>
      </w:pPr>
      <w:r w:rsidRPr="00A76FA8">
        <w:rPr>
          <w:szCs w:val="20"/>
          <w:lang w:eastAsia="en-US"/>
        </w:rPr>
        <w:t>K</w:t>
      </w:r>
      <w:r w:rsidR="00D8096D" w:rsidRPr="00A76FA8">
        <w:rPr>
          <w:szCs w:val="20"/>
          <w:lang w:eastAsia="en-US"/>
        </w:rPr>
        <w:t> </w:t>
      </w:r>
      <w:r w:rsidRPr="00A76FA8">
        <w:rPr>
          <w:szCs w:val="20"/>
          <w:lang w:eastAsia="en-US"/>
        </w:rPr>
        <w:t>významným změnám došlo ve vlastnických vztazích k půdě. Zatímco v roce 2000 subjekty hospodařily téměř výhradně na půdě pronajaté (92,4</w:t>
      </w:r>
      <w:r w:rsidR="00D8096D" w:rsidRPr="00A76FA8">
        <w:rPr>
          <w:szCs w:val="20"/>
          <w:lang w:eastAsia="en-US"/>
        </w:rPr>
        <w:t> </w:t>
      </w:r>
      <w:r w:rsidRPr="00A76FA8">
        <w:rPr>
          <w:szCs w:val="20"/>
          <w:lang w:eastAsia="en-US"/>
        </w:rPr>
        <w:t>%), v roce 2016 vlastnily již 26,9 % celkové výměry zemědělské půdy. Subjektům fyzických osob v roce 2000 patřila čtvrtina zemědělské půdy, v roce 2016 již téměř polovina. U subjektů právnických osob se podíl vlastní půdy v období 2000</w:t>
      </w:r>
      <w:r w:rsidRPr="00A76FA8">
        <w:rPr>
          <w:rStyle w:val="nezalamovatgen"/>
          <w:rFonts w:cs="Arial"/>
          <w:iCs/>
          <w:szCs w:val="20"/>
        </w:rPr>
        <w:t>–</w:t>
      </w:r>
      <w:r w:rsidRPr="00A76FA8">
        <w:rPr>
          <w:szCs w:val="20"/>
          <w:lang w:eastAsia="en-US"/>
        </w:rPr>
        <w:t xml:space="preserve">2016 </w:t>
      </w:r>
      <w:proofErr w:type="gramStart"/>
      <w:r w:rsidRPr="00A76FA8">
        <w:rPr>
          <w:szCs w:val="20"/>
          <w:lang w:eastAsia="en-US"/>
        </w:rPr>
        <w:t>zvýšil z</w:t>
      </w:r>
      <w:r w:rsidR="00D8096D" w:rsidRPr="00A76FA8">
        <w:rPr>
          <w:szCs w:val="20"/>
          <w:lang w:eastAsia="en-US"/>
        </w:rPr>
        <w:t> </w:t>
      </w:r>
      <w:r w:rsidRPr="00A76FA8">
        <w:rPr>
          <w:szCs w:val="20"/>
          <w:lang w:eastAsia="en-US"/>
        </w:rPr>
        <w:t>1,3</w:t>
      </w:r>
      <w:proofErr w:type="gramEnd"/>
      <w:r w:rsidRPr="00A76FA8">
        <w:rPr>
          <w:szCs w:val="20"/>
          <w:lang w:eastAsia="en-US"/>
        </w:rPr>
        <w:t> % na 17,8 %.</w:t>
      </w:r>
    </w:p>
    <w:p w:rsidR="00427685" w:rsidRPr="00A76FA8" w:rsidRDefault="00427685" w:rsidP="00323DEA">
      <w:pPr>
        <w:jc w:val="both"/>
        <w:rPr>
          <w:szCs w:val="20"/>
          <w:lang w:eastAsia="en-US"/>
        </w:rPr>
      </w:pPr>
      <w:r w:rsidRPr="00A76FA8">
        <w:rPr>
          <w:szCs w:val="20"/>
          <w:lang w:eastAsia="en-US"/>
        </w:rPr>
        <w:t>Průměrná výměra zemědělského subjektu v roce 2016 činila 130 ha. V letech 2000 – 2016 došlo u</w:t>
      </w:r>
      <w:r w:rsidR="00D8096D" w:rsidRPr="00A76FA8">
        <w:rPr>
          <w:szCs w:val="20"/>
          <w:lang w:eastAsia="en-US"/>
        </w:rPr>
        <w:t> </w:t>
      </w:r>
      <w:r w:rsidRPr="00A76FA8">
        <w:rPr>
          <w:szCs w:val="20"/>
          <w:lang w:eastAsia="en-US"/>
        </w:rPr>
        <w:t>subjektů fyzických osob k nárůstu jejich průměrné výměry o</w:t>
      </w:r>
      <w:r w:rsidR="00D8096D" w:rsidRPr="00A76FA8">
        <w:rPr>
          <w:szCs w:val="20"/>
          <w:lang w:eastAsia="en-US"/>
        </w:rPr>
        <w:t> </w:t>
      </w:r>
      <w:r w:rsidRPr="00A76FA8">
        <w:rPr>
          <w:szCs w:val="20"/>
          <w:lang w:eastAsia="en-US"/>
        </w:rPr>
        <w:t>5</w:t>
      </w:r>
      <w:r w:rsidR="00D8096D" w:rsidRPr="00A76FA8">
        <w:rPr>
          <w:szCs w:val="20"/>
          <w:lang w:eastAsia="en-US"/>
        </w:rPr>
        <w:t> </w:t>
      </w:r>
      <w:r w:rsidRPr="00A76FA8">
        <w:rPr>
          <w:szCs w:val="20"/>
          <w:lang w:eastAsia="en-US"/>
        </w:rPr>
        <w:t>ha na 44</w:t>
      </w:r>
      <w:r w:rsidR="00D8096D" w:rsidRPr="00A76FA8">
        <w:rPr>
          <w:szCs w:val="20"/>
          <w:lang w:eastAsia="en-US"/>
        </w:rPr>
        <w:t> </w:t>
      </w:r>
      <w:r w:rsidRPr="00A76FA8">
        <w:rPr>
          <w:szCs w:val="20"/>
          <w:lang w:eastAsia="en-US"/>
        </w:rPr>
        <w:t>ha (+14,1</w:t>
      </w:r>
      <w:r w:rsidR="00D8096D" w:rsidRPr="00A76FA8">
        <w:rPr>
          <w:szCs w:val="20"/>
          <w:lang w:eastAsia="en-US"/>
        </w:rPr>
        <w:t> </w:t>
      </w:r>
      <w:r w:rsidRPr="00A76FA8">
        <w:rPr>
          <w:szCs w:val="20"/>
          <w:lang w:eastAsia="en-US"/>
        </w:rPr>
        <w:t>%), u osob právnických k poklesu o</w:t>
      </w:r>
      <w:r w:rsidR="00D8096D" w:rsidRPr="00A76FA8">
        <w:rPr>
          <w:szCs w:val="20"/>
          <w:lang w:eastAsia="en-US"/>
        </w:rPr>
        <w:t> 175 </w:t>
      </w:r>
      <w:r w:rsidRPr="00A76FA8">
        <w:rPr>
          <w:szCs w:val="20"/>
          <w:lang w:eastAsia="en-US"/>
        </w:rPr>
        <w:t>ha</w:t>
      </w:r>
      <w:r w:rsidR="00D8096D" w:rsidRPr="00A76FA8">
        <w:rPr>
          <w:szCs w:val="20"/>
          <w:lang w:eastAsia="en-US"/>
        </w:rPr>
        <w:t xml:space="preserve"> na 774 </w:t>
      </w:r>
      <w:r w:rsidRPr="00A76FA8">
        <w:rPr>
          <w:szCs w:val="20"/>
          <w:lang w:eastAsia="en-US"/>
        </w:rPr>
        <w:t>ha (-18,5</w:t>
      </w:r>
      <w:r w:rsidR="00D8096D" w:rsidRPr="00A76FA8">
        <w:rPr>
          <w:szCs w:val="20"/>
          <w:lang w:eastAsia="en-US"/>
        </w:rPr>
        <w:t> </w:t>
      </w:r>
      <w:r w:rsidRPr="00A76FA8">
        <w:rPr>
          <w:szCs w:val="20"/>
          <w:lang w:eastAsia="en-US"/>
        </w:rPr>
        <w:t>%).</w:t>
      </w:r>
    </w:p>
    <w:p w:rsidR="00B90A28" w:rsidRPr="00A76FA8" w:rsidRDefault="00427685" w:rsidP="00394E28">
      <w:pPr>
        <w:jc w:val="both"/>
        <w:rPr>
          <w:szCs w:val="20"/>
          <w:lang w:eastAsia="en-US"/>
        </w:rPr>
      </w:pPr>
      <w:r w:rsidRPr="00A76FA8">
        <w:rPr>
          <w:szCs w:val="20"/>
          <w:lang w:eastAsia="en-US"/>
        </w:rPr>
        <w:lastRenderedPageBreak/>
        <w:t>Počet pracujících v zemědělství se za období 2000 – 2016 snížil celkem o</w:t>
      </w:r>
      <w:r w:rsidR="00D8096D" w:rsidRPr="00A76FA8">
        <w:rPr>
          <w:szCs w:val="20"/>
          <w:lang w:eastAsia="en-US"/>
        </w:rPr>
        <w:t> </w:t>
      </w:r>
      <w:r w:rsidRPr="00A76FA8">
        <w:rPr>
          <w:szCs w:val="20"/>
          <w:lang w:eastAsia="en-US"/>
        </w:rPr>
        <w:t>40 tis. osob na 182 tis. (</w:t>
      </w:r>
      <w:proofErr w:type="gramStart"/>
      <w:r w:rsidR="00D8096D" w:rsidRPr="00A76FA8">
        <w:rPr>
          <w:szCs w:val="20"/>
          <w:lang w:eastAsia="en-US"/>
        </w:rPr>
        <w:t>−</w:t>
      </w:r>
      <w:r w:rsidRPr="00A76FA8">
        <w:rPr>
          <w:szCs w:val="20"/>
          <w:lang w:eastAsia="en-US"/>
        </w:rPr>
        <w:t>18,1</w:t>
      </w:r>
      <w:r w:rsidR="00D8096D" w:rsidRPr="00A76FA8">
        <w:rPr>
          <w:szCs w:val="20"/>
          <w:lang w:eastAsia="en-US"/>
        </w:rPr>
        <w:t> </w:t>
      </w:r>
      <w:r w:rsidRPr="00A76FA8">
        <w:rPr>
          <w:szCs w:val="20"/>
          <w:lang w:eastAsia="en-US"/>
        </w:rPr>
        <w:t>%), pokles</w:t>
      </w:r>
      <w:proofErr w:type="gramEnd"/>
      <w:r w:rsidRPr="00A76FA8">
        <w:rPr>
          <w:szCs w:val="20"/>
          <w:lang w:eastAsia="en-US"/>
        </w:rPr>
        <w:t xml:space="preserve"> pracujících přepočtených na plně zaměstnané byl ještě výraznější, o</w:t>
      </w:r>
      <w:r w:rsidR="00D8096D" w:rsidRPr="00A76FA8">
        <w:rPr>
          <w:szCs w:val="20"/>
          <w:lang w:eastAsia="en-US"/>
        </w:rPr>
        <w:t> </w:t>
      </w:r>
      <w:r w:rsidRPr="00A76FA8">
        <w:rPr>
          <w:szCs w:val="20"/>
          <w:lang w:eastAsia="en-US"/>
        </w:rPr>
        <w:t>62 tis. osob na 104 tis. (</w:t>
      </w:r>
      <w:r w:rsidR="00D8096D" w:rsidRPr="00A76FA8">
        <w:rPr>
          <w:szCs w:val="20"/>
          <w:lang w:eastAsia="en-US"/>
        </w:rPr>
        <w:t>−</w:t>
      </w:r>
      <w:r w:rsidRPr="00A76FA8">
        <w:rPr>
          <w:szCs w:val="20"/>
          <w:lang w:eastAsia="en-US"/>
        </w:rPr>
        <w:t>37,2</w:t>
      </w:r>
      <w:r w:rsidR="00D8096D" w:rsidRPr="00A76FA8">
        <w:rPr>
          <w:szCs w:val="20"/>
          <w:lang w:eastAsia="en-US"/>
        </w:rPr>
        <w:t> </w:t>
      </w:r>
      <w:r w:rsidRPr="00A76FA8">
        <w:rPr>
          <w:szCs w:val="20"/>
          <w:lang w:eastAsia="en-US"/>
        </w:rPr>
        <w:t>%). Úbytek pracujících jde zcela na vrub úbytku 41. tis. v podnicích právnických osob, počet pracujících v podnicích fyzických osob zůstává přibližně na stejné úrovni. Počet pracujících na kratší anebo sezónní pracovní úvazek vzrostl v roce 2016 v obou kategoriích.</w:t>
      </w:r>
    </w:p>
    <w:sectPr w:rsidR="00B90A28" w:rsidRPr="00A76FA8" w:rsidSect="00E55B23">
      <w:footerReference w:type="even" r:id="rId9"/>
      <w:footerReference w:type="default" r:id="rId10"/>
      <w:pgSz w:w="11906" w:h="16838" w:code="9"/>
      <w:pgMar w:top="1134" w:right="1134" w:bottom="1418" w:left="1134" w:header="51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2374" w:rsidRDefault="00842374" w:rsidP="00E71A58">
      <w:r>
        <w:separator/>
      </w:r>
    </w:p>
  </w:endnote>
  <w:endnote w:type="continuationSeparator" w:id="0">
    <w:p w:rsidR="00842374" w:rsidRDefault="00842374" w:rsidP="00E71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charset w:val="00"/>
    <w:family w:val="auto"/>
    <w:pitch w:val="variable"/>
    <w:sig w:usb0="60000287" w:usb1="00000001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EUAlbertina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331" w:rsidRPr="00F1639F" w:rsidRDefault="005B3331" w:rsidP="00A418BC">
    <w:pPr>
      <w:pStyle w:val="Zpat"/>
      <w:rPr>
        <w:szCs w:val="16"/>
      </w:rPr>
    </w:pPr>
    <w:r w:rsidRPr="00F1639F">
      <w:rPr>
        <w:szCs w:val="16"/>
      </w:rP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331" w:rsidRPr="00F1639F" w:rsidRDefault="005B3331" w:rsidP="00A418BC">
    <w:pPr>
      <w:pStyle w:val="Zpat"/>
      <w:rPr>
        <w:szCs w:val="16"/>
      </w:rPr>
    </w:pPr>
    <w:r w:rsidRPr="00F1639F">
      <w:rPr>
        <w:szCs w:val="16"/>
      </w:rPr>
      <w:tab/>
    </w:r>
    <w:r w:rsidRPr="00F1639F">
      <w:rPr>
        <w:szCs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2374" w:rsidRDefault="00842374" w:rsidP="00E71A58">
      <w:r>
        <w:separator/>
      </w:r>
    </w:p>
  </w:footnote>
  <w:footnote w:type="continuationSeparator" w:id="0">
    <w:p w:rsidR="00842374" w:rsidRDefault="00842374" w:rsidP="00E71A58">
      <w:r>
        <w:continuationSeparator/>
      </w:r>
    </w:p>
  </w:footnote>
  <w:footnote w:id="1">
    <w:p w:rsidR="005B3331" w:rsidRDefault="005B3331" w:rsidP="00AD2963">
      <w:pPr>
        <w:pStyle w:val="Textpoznpodarou"/>
        <w:jc w:val="both"/>
        <w:rPr>
          <w:rFonts w:ascii="Arial" w:hAnsi="Arial" w:cs="Arial"/>
          <w:sz w:val="16"/>
        </w:rPr>
      </w:pPr>
      <w:r>
        <w:rPr>
          <w:sz w:val="16"/>
          <w:vertAlign w:val="superscript"/>
        </w:rPr>
        <w:footnoteRef/>
      </w:r>
      <w:r>
        <w:rPr>
          <w:rFonts w:ascii="Arial" w:hAnsi="Arial" w:cs="Arial"/>
          <w:sz w:val="16"/>
          <w:vertAlign w:val="superscript"/>
        </w:rPr>
        <w:t xml:space="preserve"> </w:t>
      </w:r>
      <w:r>
        <w:rPr>
          <w:rFonts w:ascii="Arial" w:hAnsi="Arial" w:cs="Arial"/>
          <w:sz w:val="16"/>
        </w:rPr>
        <w:t xml:space="preserve">Výsledky ze šetření konaného v roce 2000 byly přepočteny podle stanovených prahových hodnot pro </w:t>
      </w:r>
      <w:proofErr w:type="spellStart"/>
      <w:r>
        <w:rPr>
          <w:rFonts w:ascii="Arial" w:hAnsi="Arial" w:cs="Arial"/>
          <w:sz w:val="16"/>
        </w:rPr>
        <w:t>Agrocenzus</w:t>
      </w:r>
      <w:proofErr w:type="spellEnd"/>
      <w:r>
        <w:rPr>
          <w:rFonts w:ascii="Arial" w:hAnsi="Arial" w:cs="Arial"/>
          <w:sz w:val="16"/>
        </w:rPr>
        <w:t xml:space="preserve"> 2010, Strukturální šetření 2013, 2016.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3pt;height:11.3pt" o:bullet="t">
        <v:imagedata r:id="rId1" o:title="msoFAAF"/>
      </v:shape>
    </w:pict>
  </w:numPicBullet>
  <w:abstractNum w:abstractNumId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8F715B"/>
    <w:multiLevelType w:val="multilevel"/>
    <w:tmpl w:val="C2D4B49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>
    <w:nsid w:val="04364B17"/>
    <w:multiLevelType w:val="hybridMultilevel"/>
    <w:tmpl w:val="9FB8EA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B2D11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81D7D93"/>
    <w:multiLevelType w:val="multilevel"/>
    <w:tmpl w:val="E2F2134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>
    <w:nsid w:val="08D15EFD"/>
    <w:multiLevelType w:val="multilevel"/>
    <w:tmpl w:val="0EEA8F3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>
    <w:nsid w:val="0ABB5305"/>
    <w:multiLevelType w:val="hybridMultilevel"/>
    <w:tmpl w:val="6C904350"/>
    <w:lvl w:ilvl="0" w:tplc="468865E8">
      <w:start w:val="2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0B7068C0"/>
    <w:multiLevelType w:val="multilevel"/>
    <w:tmpl w:val="33F8145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>
    <w:nsid w:val="0EEC3520"/>
    <w:multiLevelType w:val="hybridMultilevel"/>
    <w:tmpl w:val="800E421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1FF05F5"/>
    <w:multiLevelType w:val="hybridMultilevel"/>
    <w:tmpl w:val="89E2438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68D668B"/>
    <w:multiLevelType w:val="hybridMultilevel"/>
    <w:tmpl w:val="CA886E34"/>
    <w:lvl w:ilvl="0" w:tplc="234EAAC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96854DF"/>
    <w:multiLevelType w:val="hybridMultilevel"/>
    <w:tmpl w:val="89CCEDC6"/>
    <w:lvl w:ilvl="0" w:tplc="FB0A48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D30779B"/>
    <w:multiLevelType w:val="hybridMultilevel"/>
    <w:tmpl w:val="93443C8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1F8C6909"/>
    <w:multiLevelType w:val="hybridMultilevel"/>
    <w:tmpl w:val="9558B5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16141C8"/>
    <w:multiLevelType w:val="hybridMultilevel"/>
    <w:tmpl w:val="90D0FB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9573451"/>
    <w:multiLevelType w:val="hybridMultilevel"/>
    <w:tmpl w:val="96780A8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9B71A60"/>
    <w:multiLevelType w:val="hybridMultilevel"/>
    <w:tmpl w:val="366054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BE47667"/>
    <w:multiLevelType w:val="hybridMultilevel"/>
    <w:tmpl w:val="1F24FDE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895613F"/>
    <w:multiLevelType w:val="hybridMultilevel"/>
    <w:tmpl w:val="16727E5C"/>
    <w:lvl w:ilvl="0" w:tplc="FFCA6EA2">
      <w:start w:val="1"/>
      <w:numFmt w:val="lowerLetter"/>
      <w:lvlText w:val="%1)"/>
      <w:lvlJc w:val="left"/>
      <w:pPr>
        <w:tabs>
          <w:tab w:val="num" w:pos="644"/>
        </w:tabs>
        <w:ind w:left="568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8">
    <w:nsid w:val="39717490"/>
    <w:multiLevelType w:val="hybridMultilevel"/>
    <w:tmpl w:val="16B813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C3327D5"/>
    <w:multiLevelType w:val="hybridMultilevel"/>
    <w:tmpl w:val="C5F01EF0"/>
    <w:lvl w:ilvl="0" w:tplc="FB0A48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FE026B3"/>
    <w:multiLevelType w:val="hybridMultilevel"/>
    <w:tmpl w:val="D96CBC5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2CC3F81"/>
    <w:multiLevelType w:val="hybridMultilevel"/>
    <w:tmpl w:val="FFFC30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8BC19BC"/>
    <w:multiLevelType w:val="multilevel"/>
    <w:tmpl w:val="98708AEA"/>
    <w:lvl w:ilvl="0">
      <w:start w:val="4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4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C6912A7"/>
    <w:multiLevelType w:val="multilevel"/>
    <w:tmpl w:val="0D12EE5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6">
    <w:nsid w:val="4D4D5AE3"/>
    <w:multiLevelType w:val="hybridMultilevel"/>
    <w:tmpl w:val="E56ADA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35A69B0"/>
    <w:multiLevelType w:val="hybridMultilevel"/>
    <w:tmpl w:val="BACA45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4F04865"/>
    <w:multiLevelType w:val="hybridMultilevel"/>
    <w:tmpl w:val="09380B1E"/>
    <w:lvl w:ilvl="0" w:tplc="0405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9">
    <w:nsid w:val="59734E50"/>
    <w:multiLevelType w:val="hybridMultilevel"/>
    <w:tmpl w:val="3D740B32"/>
    <w:lvl w:ilvl="0" w:tplc="468865E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2BA4A61"/>
    <w:multiLevelType w:val="multilevel"/>
    <w:tmpl w:val="0A56C79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1">
    <w:nsid w:val="643061B3"/>
    <w:multiLevelType w:val="hybridMultilevel"/>
    <w:tmpl w:val="BF583AAA"/>
    <w:lvl w:ilvl="0" w:tplc="FB0A48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DF237A9"/>
    <w:multiLevelType w:val="hybridMultilevel"/>
    <w:tmpl w:val="1E32B44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ED778B6"/>
    <w:multiLevelType w:val="multilevel"/>
    <w:tmpl w:val="A17A4532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4">
    <w:nsid w:val="6F502CFF"/>
    <w:multiLevelType w:val="hybridMultilevel"/>
    <w:tmpl w:val="C23E62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1FE7E4E"/>
    <w:multiLevelType w:val="hybridMultilevel"/>
    <w:tmpl w:val="86422B60"/>
    <w:lvl w:ilvl="0" w:tplc="468865E8">
      <w:start w:val="2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E9C7840"/>
    <w:multiLevelType w:val="multilevel"/>
    <w:tmpl w:val="302A3C9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7">
    <w:nsid w:val="7EFC6816"/>
    <w:multiLevelType w:val="hybridMultilevel"/>
    <w:tmpl w:val="E10E77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23"/>
  </w:num>
  <w:num w:numId="13">
    <w:abstractNumId w:val="34"/>
  </w:num>
  <w:num w:numId="14">
    <w:abstractNumId w:val="14"/>
  </w:num>
  <w:num w:numId="15">
    <w:abstractNumId w:val="27"/>
  </w:num>
  <w:num w:numId="16">
    <w:abstractNumId w:val="39"/>
  </w:num>
  <w:num w:numId="17">
    <w:abstractNumId w:val="29"/>
  </w:num>
  <w:num w:numId="18">
    <w:abstractNumId w:val="19"/>
  </w:num>
  <w:num w:numId="19">
    <w:abstractNumId w:val="26"/>
  </w:num>
  <w:num w:numId="20">
    <w:abstractNumId w:val="41"/>
  </w:num>
  <w:num w:numId="21">
    <w:abstractNumId w:val="24"/>
  </w:num>
  <w:num w:numId="22">
    <w:abstractNumId w:val="11"/>
  </w:num>
  <w:num w:numId="23">
    <w:abstractNumId w:val="42"/>
  </w:num>
  <w:num w:numId="24">
    <w:abstractNumId w:val="38"/>
  </w:num>
  <w:num w:numId="25">
    <w:abstractNumId w:val="37"/>
  </w:num>
  <w:num w:numId="26">
    <w:abstractNumId w:val="44"/>
  </w:num>
  <w:num w:numId="27">
    <w:abstractNumId w:val="20"/>
  </w:num>
  <w:num w:numId="28">
    <w:abstractNumId w:val="31"/>
  </w:num>
  <w:num w:numId="29">
    <w:abstractNumId w:val="22"/>
  </w:num>
  <w:num w:numId="30">
    <w:abstractNumId w:val="45"/>
  </w:num>
  <w:num w:numId="31">
    <w:abstractNumId w:val="16"/>
  </w:num>
  <w:num w:numId="32">
    <w:abstractNumId w:val="47"/>
  </w:num>
  <w:num w:numId="33">
    <w:abstractNumId w:val="25"/>
  </w:num>
  <w:num w:numId="34">
    <w:abstractNumId w:val="30"/>
  </w:num>
  <w:num w:numId="35">
    <w:abstractNumId w:val="17"/>
  </w:num>
  <w:num w:numId="36">
    <w:abstractNumId w:val="18"/>
  </w:num>
  <w:num w:numId="37">
    <w:abstractNumId w:val="36"/>
  </w:num>
  <w:num w:numId="38">
    <w:abstractNumId w:val="28"/>
  </w:num>
  <w:num w:numId="39">
    <w:abstractNumId w:val="21"/>
  </w:num>
  <w:num w:numId="40">
    <w:abstractNumId w:val="15"/>
  </w:num>
  <w:num w:numId="41">
    <w:abstractNumId w:val="13"/>
  </w:num>
  <w:num w:numId="42">
    <w:abstractNumId w:val="12"/>
  </w:num>
  <w:num w:numId="43">
    <w:abstractNumId w:val="46"/>
  </w:num>
  <w:num w:numId="44">
    <w:abstractNumId w:val="40"/>
  </w:num>
  <w:num w:numId="45">
    <w:abstractNumId w:val="10"/>
  </w:num>
  <w:num w:numId="46">
    <w:abstractNumId w:val="35"/>
  </w:num>
  <w:num w:numId="47">
    <w:abstractNumId w:val="33"/>
  </w:num>
  <w:num w:numId="48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proofState w:spelling="clean" w:grammar="clean"/>
  <w:attachedTemplate r:id="rId1"/>
  <w:stylePaneFormatFilter w:val="1001"/>
  <w:stylePaneSortMethod w:val="0004"/>
  <w:defaultTabStop w:val="708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36866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/>
  <w:rsids>
    <w:rsidRoot w:val="00FC246A"/>
    <w:rsid w:val="0000209D"/>
    <w:rsid w:val="00004D5A"/>
    <w:rsid w:val="000056D5"/>
    <w:rsid w:val="0000767A"/>
    <w:rsid w:val="00010702"/>
    <w:rsid w:val="00017159"/>
    <w:rsid w:val="000234D6"/>
    <w:rsid w:val="00023D29"/>
    <w:rsid w:val="00026389"/>
    <w:rsid w:val="00031AE0"/>
    <w:rsid w:val="000322EF"/>
    <w:rsid w:val="00033FCD"/>
    <w:rsid w:val="00037117"/>
    <w:rsid w:val="00041CEC"/>
    <w:rsid w:val="0004227F"/>
    <w:rsid w:val="0004694F"/>
    <w:rsid w:val="00046D4F"/>
    <w:rsid w:val="000522E4"/>
    <w:rsid w:val="00060C89"/>
    <w:rsid w:val="000610E1"/>
    <w:rsid w:val="00062EC5"/>
    <w:rsid w:val="00062F22"/>
    <w:rsid w:val="000712B3"/>
    <w:rsid w:val="00072C1D"/>
    <w:rsid w:val="00073FD6"/>
    <w:rsid w:val="0008263E"/>
    <w:rsid w:val="00082C19"/>
    <w:rsid w:val="00085395"/>
    <w:rsid w:val="00087634"/>
    <w:rsid w:val="00087F2B"/>
    <w:rsid w:val="00095E19"/>
    <w:rsid w:val="000974D1"/>
    <w:rsid w:val="00097571"/>
    <w:rsid w:val="0009799E"/>
    <w:rsid w:val="000A1183"/>
    <w:rsid w:val="000A256D"/>
    <w:rsid w:val="000A3A2C"/>
    <w:rsid w:val="000B0498"/>
    <w:rsid w:val="000B0E71"/>
    <w:rsid w:val="000B116A"/>
    <w:rsid w:val="000C0055"/>
    <w:rsid w:val="000C3408"/>
    <w:rsid w:val="000C6AFD"/>
    <w:rsid w:val="000D5637"/>
    <w:rsid w:val="000E6BB6"/>
    <w:rsid w:val="000E6FBD"/>
    <w:rsid w:val="00100F5C"/>
    <w:rsid w:val="00101AAD"/>
    <w:rsid w:val="00104C4C"/>
    <w:rsid w:val="0012192F"/>
    <w:rsid w:val="00124BF7"/>
    <w:rsid w:val="00125605"/>
    <w:rsid w:val="00125D69"/>
    <w:rsid w:val="0012600C"/>
    <w:rsid w:val="00136074"/>
    <w:rsid w:val="001405FA"/>
    <w:rsid w:val="001425C3"/>
    <w:rsid w:val="00143503"/>
    <w:rsid w:val="0014635D"/>
    <w:rsid w:val="00146DED"/>
    <w:rsid w:val="00155B77"/>
    <w:rsid w:val="0016256B"/>
    <w:rsid w:val="00163793"/>
    <w:rsid w:val="00167DC2"/>
    <w:rsid w:val="001706D6"/>
    <w:rsid w:val="001714F2"/>
    <w:rsid w:val="0017155A"/>
    <w:rsid w:val="00177B04"/>
    <w:rsid w:val="00184B08"/>
    <w:rsid w:val="00185010"/>
    <w:rsid w:val="00187A2A"/>
    <w:rsid w:val="00194F9D"/>
    <w:rsid w:val="001A552F"/>
    <w:rsid w:val="001A6605"/>
    <w:rsid w:val="001B2CA9"/>
    <w:rsid w:val="001B3110"/>
    <w:rsid w:val="001B4729"/>
    <w:rsid w:val="001B6C09"/>
    <w:rsid w:val="001C05CD"/>
    <w:rsid w:val="001C4C16"/>
    <w:rsid w:val="001C7F11"/>
    <w:rsid w:val="001D43C7"/>
    <w:rsid w:val="001D68B2"/>
    <w:rsid w:val="001E183D"/>
    <w:rsid w:val="001E63ED"/>
    <w:rsid w:val="001F4597"/>
    <w:rsid w:val="002118B9"/>
    <w:rsid w:val="00217C5B"/>
    <w:rsid w:val="0022139E"/>
    <w:rsid w:val="002252E0"/>
    <w:rsid w:val="002255F6"/>
    <w:rsid w:val="00227850"/>
    <w:rsid w:val="00230C6E"/>
    <w:rsid w:val="0023297F"/>
    <w:rsid w:val="00236443"/>
    <w:rsid w:val="0024308B"/>
    <w:rsid w:val="002436BA"/>
    <w:rsid w:val="00244A15"/>
    <w:rsid w:val="00246FB3"/>
    <w:rsid w:val="00247319"/>
    <w:rsid w:val="0024799E"/>
    <w:rsid w:val="00252657"/>
    <w:rsid w:val="00253C0F"/>
    <w:rsid w:val="002618AD"/>
    <w:rsid w:val="00261B9A"/>
    <w:rsid w:val="00271465"/>
    <w:rsid w:val="00284D7B"/>
    <w:rsid w:val="00285412"/>
    <w:rsid w:val="002A16D4"/>
    <w:rsid w:val="002A1C37"/>
    <w:rsid w:val="002A1C78"/>
    <w:rsid w:val="002A230C"/>
    <w:rsid w:val="002A4BED"/>
    <w:rsid w:val="002A775B"/>
    <w:rsid w:val="002C43BD"/>
    <w:rsid w:val="002C6023"/>
    <w:rsid w:val="002C74BD"/>
    <w:rsid w:val="002D0211"/>
    <w:rsid w:val="002D0E59"/>
    <w:rsid w:val="002E02A1"/>
    <w:rsid w:val="002E4E4C"/>
    <w:rsid w:val="002E57D3"/>
    <w:rsid w:val="002F44D5"/>
    <w:rsid w:val="002F6328"/>
    <w:rsid w:val="00304771"/>
    <w:rsid w:val="003052D4"/>
    <w:rsid w:val="00305E58"/>
    <w:rsid w:val="00306C5B"/>
    <w:rsid w:val="003073F9"/>
    <w:rsid w:val="003209D6"/>
    <w:rsid w:val="00323DEA"/>
    <w:rsid w:val="00325E4E"/>
    <w:rsid w:val="0032656E"/>
    <w:rsid w:val="00332190"/>
    <w:rsid w:val="00337865"/>
    <w:rsid w:val="00344668"/>
    <w:rsid w:val="003461F0"/>
    <w:rsid w:val="003462D9"/>
    <w:rsid w:val="00352B21"/>
    <w:rsid w:val="003561C8"/>
    <w:rsid w:val="00361741"/>
    <w:rsid w:val="003657F3"/>
    <w:rsid w:val="003818DC"/>
    <w:rsid w:val="00385D98"/>
    <w:rsid w:val="00390FD1"/>
    <w:rsid w:val="00394E28"/>
    <w:rsid w:val="003A2B4D"/>
    <w:rsid w:val="003A478C"/>
    <w:rsid w:val="003A5525"/>
    <w:rsid w:val="003A69F6"/>
    <w:rsid w:val="003A6B38"/>
    <w:rsid w:val="003B5672"/>
    <w:rsid w:val="003B5A32"/>
    <w:rsid w:val="003C2208"/>
    <w:rsid w:val="003C3490"/>
    <w:rsid w:val="003C7371"/>
    <w:rsid w:val="003C7643"/>
    <w:rsid w:val="003D3BEB"/>
    <w:rsid w:val="003D4239"/>
    <w:rsid w:val="003D6920"/>
    <w:rsid w:val="003E4C91"/>
    <w:rsid w:val="003F0E64"/>
    <w:rsid w:val="003F313C"/>
    <w:rsid w:val="003F439B"/>
    <w:rsid w:val="003F551C"/>
    <w:rsid w:val="00402ED3"/>
    <w:rsid w:val="00407C13"/>
    <w:rsid w:val="00410638"/>
    <w:rsid w:val="00415206"/>
    <w:rsid w:val="00427685"/>
    <w:rsid w:val="00430BF7"/>
    <w:rsid w:val="004329E6"/>
    <w:rsid w:val="00432A58"/>
    <w:rsid w:val="00433C0B"/>
    <w:rsid w:val="00434617"/>
    <w:rsid w:val="0043575E"/>
    <w:rsid w:val="00440900"/>
    <w:rsid w:val="004441A0"/>
    <w:rsid w:val="00453639"/>
    <w:rsid w:val="0046769C"/>
    <w:rsid w:val="00476240"/>
    <w:rsid w:val="00476439"/>
    <w:rsid w:val="0047735C"/>
    <w:rsid w:val="004776BC"/>
    <w:rsid w:val="0048139F"/>
    <w:rsid w:val="00481E40"/>
    <w:rsid w:val="00484ECE"/>
    <w:rsid w:val="004915CB"/>
    <w:rsid w:val="004935DD"/>
    <w:rsid w:val="004A1719"/>
    <w:rsid w:val="004A3212"/>
    <w:rsid w:val="004A61C5"/>
    <w:rsid w:val="004A77DF"/>
    <w:rsid w:val="004B1417"/>
    <w:rsid w:val="004B4CD4"/>
    <w:rsid w:val="004B55B7"/>
    <w:rsid w:val="004B6468"/>
    <w:rsid w:val="004C384C"/>
    <w:rsid w:val="004C3867"/>
    <w:rsid w:val="004C4CD0"/>
    <w:rsid w:val="004C70DC"/>
    <w:rsid w:val="004C719A"/>
    <w:rsid w:val="004D0211"/>
    <w:rsid w:val="004D0794"/>
    <w:rsid w:val="004D197D"/>
    <w:rsid w:val="004F06F5"/>
    <w:rsid w:val="004F33A0"/>
    <w:rsid w:val="004F3B61"/>
    <w:rsid w:val="004F6474"/>
    <w:rsid w:val="005108C0"/>
    <w:rsid w:val="00511873"/>
    <w:rsid w:val="00512A2F"/>
    <w:rsid w:val="00513B7E"/>
    <w:rsid w:val="00515695"/>
    <w:rsid w:val="00515C74"/>
    <w:rsid w:val="0052007E"/>
    <w:rsid w:val="00522975"/>
    <w:rsid w:val="0052337A"/>
    <w:rsid w:val="00525137"/>
    <w:rsid w:val="005251DD"/>
    <w:rsid w:val="00532CE7"/>
    <w:rsid w:val="0053324C"/>
    <w:rsid w:val="00534715"/>
    <w:rsid w:val="00534A28"/>
    <w:rsid w:val="00541508"/>
    <w:rsid w:val="00552EA9"/>
    <w:rsid w:val="0055599F"/>
    <w:rsid w:val="00556D68"/>
    <w:rsid w:val="005647BF"/>
    <w:rsid w:val="0057364B"/>
    <w:rsid w:val="0057413D"/>
    <w:rsid w:val="00574773"/>
    <w:rsid w:val="00574FD9"/>
    <w:rsid w:val="00583FFD"/>
    <w:rsid w:val="005911BE"/>
    <w:rsid w:val="00593152"/>
    <w:rsid w:val="00596BAD"/>
    <w:rsid w:val="00596D36"/>
    <w:rsid w:val="005A10F2"/>
    <w:rsid w:val="005A182A"/>
    <w:rsid w:val="005A21E0"/>
    <w:rsid w:val="005A28FF"/>
    <w:rsid w:val="005A3C97"/>
    <w:rsid w:val="005A3DF8"/>
    <w:rsid w:val="005A5549"/>
    <w:rsid w:val="005A6380"/>
    <w:rsid w:val="005B121D"/>
    <w:rsid w:val="005B3331"/>
    <w:rsid w:val="005C06ED"/>
    <w:rsid w:val="005D5802"/>
    <w:rsid w:val="005D751F"/>
    <w:rsid w:val="005D7890"/>
    <w:rsid w:val="005E7C78"/>
    <w:rsid w:val="005F3EB1"/>
    <w:rsid w:val="005F7DD5"/>
    <w:rsid w:val="00604307"/>
    <w:rsid w:val="0060487F"/>
    <w:rsid w:val="00604EAD"/>
    <w:rsid w:val="006104FB"/>
    <w:rsid w:val="00612A2F"/>
    <w:rsid w:val="00613C06"/>
    <w:rsid w:val="0061482D"/>
    <w:rsid w:val="00616E05"/>
    <w:rsid w:val="00617940"/>
    <w:rsid w:val="00624093"/>
    <w:rsid w:val="00636A76"/>
    <w:rsid w:val="00640267"/>
    <w:rsid w:val="006404A7"/>
    <w:rsid w:val="006451E4"/>
    <w:rsid w:val="00645B33"/>
    <w:rsid w:val="006516CB"/>
    <w:rsid w:val="00653E2F"/>
    <w:rsid w:val="00657C9A"/>
    <w:rsid w:val="00657E87"/>
    <w:rsid w:val="00664803"/>
    <w:rsid w:val="00665BA4"/>
    <w:rsid w:val="00666615"/>
    <w:rsid w:val="00667AF2"/>
    <w:rsid w:val="006710C9"/>
    <w:rsid w:val="00673FC7"/>
    <w:rsid w:val="006742E1"/>
    <w:rsid w:val="00674D89"/>
    <w:rsid w:val="00675E37"/>
    <w:rsid w:val="0068174E"/>
    <w:rsid w:val="00681DCE"/>
    <w:rsid w:val="00682182"/>
    <w:rsid w:val="0068260E"/>
    <w:rsid w:val="00684284"/>
    <w:rsid w:val="006860B2"/>
    <w:rsid w:val="00690320"/>
    <w:rsid w:val="00695BEF"/>
    <w:rsid w:val="006964E9"/>
    <w:rsid w:val="00696AEA"/>
    <w:rsid w:val="006977F6"/>
    <w:rsid w:val="00697A13"/>
    <w:rsid w:val="006A109C"/>
    <w:rsid w:val="006A3491"/>
    <w:rsid w:val="006A6488"/>
    <w:rsid w:val="006B344A"/>
    <w:rsid w:val="006B78D8"/>
    <w:rsid w:val="006C113F"/>
    <w:rsid w:val="006C56D4"/>
    <w:rsid w:val="006C6924"/>
    <w:rsid w:val="006C7CA6"/>
    <w:rsid w:val="006D150B"/>
    <w:rsid w:val="006D3D23"/>
    <w:rsid w:val="006D3E8A"/>
    <w:rsid w:val="006D61F6"/>
    <w:rsid w:val="006E279A"/>
    <w:rsid w:val="006E2957"/>
    <w:rsid w:val="006E313B"/>
    <w:rsid w:val="006F461B"/>
    <w:rsid w:val="00706AD4"/>
    <w:rsid w:val="007140BE"/>
    <w:rsid w:val="00714D71"/>
    <w:rsid w:val="00716DFE"/>
    <w:rsid w:val="007211F5"/>
    <w:rsid w:val="00725B64"/>
    <w:rsid w:val="00725BB5"/>
    <w:rsid w:val="00727962"/>
    <w:rsid w:val="00730AE8"/>
    <w:rsid w:val="00740E4F"/>
    <w:rsid w:val="00741493"/>
    <w:rsid w:val="00745C1C"/>
    <w:rsid w:val="00750971"/>
    <w:rsid w:val="00752180"/>
    <w:rsid w:val="00755202"/>
    <w:rsid w:val="00755D3A"/>
    <w:rsid w:val="007578D3"/>
    <w:rsid w:val="007602B5"/>
    <w:rsid w:val="00760849"/>
    <w:rsid w:val="007609C6"/>
    <w:rsid w:val="007611C9"/>
    <w:rsid w:val="0076521E"/>
    <w:rsid w:val="007661E9"/>
    <w:rsid w:val="00770A49"/>
    <w:rsid w:val="00775269"/>
    <w:rsid w:val="00776169"/>
    <w:rsid w:val="00776527"/>
    <w:rsid w:val="00780EF1"/>
    <w:rsid w:val="00790764"/>
    <w:rsid w:val="0079453C"/>
    <w:rsid w:val="00794677"/>
    <w:rsid w:val="007964BD"/>
    <w:rsid w:val="007965EA"/>
    <w:rsid w:val="007A17D1"/>
    <w:rsid w:val="007A400F"/>
    <w:rsid w:val="007B6689"/>
    <w:rsid w:val="007D40DF"/>
    <w:rsid w:val="007E2816"/>
    <w:rsid w:val="007E5A43"/>
    <w:rsid w:val="007E6E70"/>
    <w:rsid w:val="007E7E61"/>
    <w:rsid w:val="007F0845"/>
    <w:rsid w:val="007F31A5"/>
    <w:rsid w:val="007F4E24"/>
    <w:rsid w:val="00807C82"/>
    <w:rsid w:val="00807CD7"/>
    <w:rsid w:val="00816905"/>
    <w:rsid w:val="00821FF6"/>
    <w:rsid w:val="0083143E"/>
    <w:rsid w:val="00831CDE"/>
    <w:rsid w:val="00834304"/>
    <w:rsid w:val="00834FAA"/>
    <w:rsid w:val="00836086"/>
    <w:rsid w:val="0084087F"/>
    <w:rsid w:val="0084226F"/>
    <w:rsid w:val="00842374"/>
    <w:rsid w:val="0084708F"/>
    <w:rsid w:val="008477C8"/>
    <w:rsid w:val="0085114D"/>
    <w:rsid w:val="00852217"/>
    <w:rsid w:val="00855408"/>
    <w:rsid w:val="00856D65"/>
    <w:rsid w:val="00861B41"/>
    <w:rsid w:val="00863434"/>
    <w:rsid w:val="00864B7A"/>
    <w:rsid w:val="00865E4C"/>
    <w:rsid w:val="008701E4"/>
    <w:rsid w:val="00875A32"/>
    <w:rsid w:val="00876086"/>
    <w:rsid w:val="0088158C"/>
    <w:rsid w:val="00884704"/>
    <w:rsid w:val="008873D4"/>
    <w:rsid w:val="00893E85"/>
    <w:rsid w:val="00894031"/>
    <w:rsid w:val="008B6775"/>
    <w:rsid w:val="008B75EC"/>
    <w:rsid w:val="008B7C02"/>
    <w:rsid w:val="008B7D2B"/>
    <w:rsid w:val="008C0049"/>
    <w:rsid w:val="008C0E88"/>
    <w:rsid w:val="008D1E6A"/>
    <w:rsid w:val="008D2A16"/>
    <w:rsid w:val="008D5B4E"/>
    <w:rsid w:val="008E2677"/>
    <w:rsid w:val="008E2C57"/>
    <w:rsid w:val="008E31FF"/>
    <w:rsid w:val="008E6F06"/>
    <w:rsid w:val="008F029B"/>
    <w:rsid w:val="008F3FC9"/>
    <w:rsid w:val="008F585B"/>
    <w:rsid w:val="009003A8"/>
    <w:rsid w:val="00900CDE"/>
    <w:rsid w:val="00902500"/>
    <w:rsid w:val="00902EFF"/>
    <w:rsid w:val="009061C2"/>
    <w:rsid w:val="0091155E"/>
    <w:rsid w:val="00912A92"/>
    <w:rsid w:val="0091728D"/>
    <w:rsid w:val="009203E6"/>
    <w:rsid w:val="0092180B"/>
    <w:rsid w:val="00921F14"/>
    <w:rsid w:val="00923C72"/>
    <w:rsid w:val="00924AC8"/>
    <w:rsid w:val="0092513F"/>
    <w:rsid w:val="0092597A"/>
    <w:rsid w:val="00927C29"/>
    <w:rsid w:val="00930CFE"/>
    <w:rsid w:val="009337B9"/>
    <w:rsid w:val="00937AE2"/>
    <w:rsid w:val="009404FE"/>
    <w:rsid w:val="0094427A"/>
    <w:rsid w:val="00953544"/>
    <w:rsid w:val="00956240"/>
    <w:rsid w:val="009660C0"/>
    <w:rsid w:val="00970896"/>
    <w:rsid w:val="00974923"/>
    <w:rsid w:val="00980D3D"/>
    <w:rsid w:val="00981A53"/>
    <w:rsid w:val="00991CD8"/>
    <w:rsid w:val="00992CF3"/>
    <w:rsid w:val="009952F5"/>
    <w:rsid w:val="0099573A"/>
    <w:rsid w:val="009968D6"/>
    <w:rsid w:val="009A1211"/>
    <w:rsid w:val="009A1CAB"/>
    <w:rsid w:val="009A2FF5"/>
    <w:rsid w:val="009A60D1"/>
    <w:rsid w:val="009B6FD3"/>
    <w:rsid w:val="009C1750"/>
    <w:rsid w:val="009C2E29"/>
    <w:rsid w:val="009C554B"/>
    <w:rsid w:val="009C6146"/>
    <w:rsid w:val="009C719E"/>
    <w:rsid w:val="009D3ACD"/>
    <w:rsid w:val="009E5DDB"/>
    <w:rsid w:val="009F1140"/>
    <w:rsid w:val="009F4CA7"/>
    <w:rsid w:val="00A10D66"/>
    <w:rsid w:val="00A14114"/>
    <w:rsid w:val="00A23E43"/>
    <w:rsid w:val="00A30393"/>
    <w:rsid w:val="00A30F65"/>
    <w:rsid w:val="00A361D5"/>
    <w:rsid w:val="00A418BC"/>
    <w:rsid w:val="00A44AFD"/>
    <w:rsid w:val="00A45FC4"/>
    <w:rsid w:val="00A46653"/>
    <w:rsid w:val="00A46DE0"/>
    <w:rsid w:val="00A50D73"/>
    <w:rsid w:val="00A51E38"/>
    <w:rsid w:val="00A52CAD"/>
    <w:rsid w:val="00A53FC7"/>
    <w:rsid w:val="00A61828"/>
    <w:rsid w:val="00A62CE1"/>
    <w:rsid w:val="00A6741E"/>
    <w:rsid w:val="00A75E28"/>
    <w:rsid w:val="00A75E40"/>
    <w:rsid w:val="00A767F4"/>
    <w:rsid w:val="00A76FA8"/>
    <w:rsid w:val="00A77D1D"/>
    <w:rsid w:val="00A857C0"/>
    <w:rsid w:val="00A86A73"/>
    <w:rsid w:val="00A94D1E"/>
    <w:rsid w:val="00AA2996"/>
    <w:rsid w:val="00AA52BF"/>
    <w:rsid w:val="00AA559A"/>
    <w:rsid w:val="00AB0716"/>
    <w:rsid w:val="00AB2AF1"/>
    <w:rsid w:val="00AD2963"/>
    <w:rsid w:val="00AD306C"/>
    <w:rsid w:val="00AD4FBC"/>
    <w:rsid w:val="00AD7C34"/>
    <w:rsid w:val="00AE09B3"/>
    <w:rsid w:val="00AE1A83"/>
    <w:rsid w:val="00AF168A"/>
    <w:rsid w:val="00B00913"/>
    <w:rsid w:val="00B013F7"/>
    <w:rsid w:val="00B01593"/>
    <w:rsid w:val="00B05083"/>
    <w:rsid w:val="00B10A4D"/>
    <w:rsid w:val="00B14863"/>
    <w:rsid w:val="00B17E71"/>
    <w:rsid w:val="00B17FDE"/>
    <w:rsid w:val="00B2379C"/>
    <w:rsid w:val="00B23A48"/>
    <w:rsid w:val="00B2687D"/>
    <w:rsid w:val="00B32DDB"/>
    <w:rsid w:val="00B34528"/>
    <w:rsid w:val="00B34A7E"/>
    <w:rsid w:val="00B402FC"/>
    <w:rsid w:val="00B4410E"/>
    <w:rsid w:val="00B46604"/>
    <w:rsid w:val="00B55F5E"/>
    <w:rsid w:val="00B5752E"/>
    <w:rsid w:val="00B63A11"/>
    <w:rsid w:val="00B64C24"/>
    <w:rsid w:val="00B6608F"/>
    <w:rsid w:val="00B679FB"/>
    <w:rsid w:val="00B76D1E"/>
    <w:rsid w:val="00B80EC6"/>
    <w:rsid w:val="00B90A28"/>
    <w:rsid w:val="00B92D1D"/>
    <w:rsid w:val="00B938C5"/>
    <w:rsid w:val="00B95940"/>
    <w:rsid w:val="00BB46F3"/>
    <w:rsid w:val="00BB4CB1"/>
    <w:rsid w:val="00BB4F98"/>
    <w:rsid w:val="00BC48DA"/>
    <w:rsid w:val="00BC7154"/>
    <w:rsid w:val="00BC7F91"/>
    <w:rsid w:val="00BD085C"/>
    <w:rsid w:val="00BD366B"/>
    <w:rsid w:val="00BD6D50"/>
    <w:rsid w:val="00BE18B9"/>
    <w:rsid w:val="00BE2495"/>
    <w:rsid w:val="00BE3108"/>
    <w:rsid w:val="00BE5DC9"/>
    <w:rsid w:val="00BF015A"/>
    <w:rsid w:val="00BF1578"/>
    <w:rsid w:val="00C07BC3"/>
    <w:rsid w:val="00C133A9"/>
    <w:rsid w:val="00C17507"/>
    <w:rsid w:val="00C21F94"/>
    <w:rsid w:val="00C22662"/>
    <w:rsid w:val="00C27913"/>
    <w:rsid w:val="00C33B68"/>
    <w:rsid w:val="00C36A79"/>
    <w:rsid w:val="00C405D4"/>
    <w:rsid w:val="00C436F1"/>
    <w:rsid w:val="00C43C2A"/>
    <w:rsid w:val="00C4513B"/>
    <w:rsid w:val="00C51513"/>
    <w:rsid w:val="00C54697"/>
    <w:rsid w:val="00C563D9"/>
    <w:rsid w:val="00C73885"/>
    <w:rsid w:val="00C747B1"/>
    <w:rsid w:val="00C80B63"/>
    <w:rsid w:val="00C82191"/>
    <w:rsid w:val="00C90CF4"/>
    <w:rsid w:val="00C92EB6"/>
    <w:rsid w:val="00C93389"/>
    <w:rsid w:val="00C94C6E"/>
    <w:rsid w:val="00CA333B"/>
    <w:rsid w:val="00CA66B3"/>
    <w:rsid w:val="00CB2A4F"/>
    <w:rsid w:val="00CB4930"/>
    <w:rsid w:val="00CB6DD1"/>
    <w:rsid w:val="00CC22B1"/>
    <w:rsid w:val="00CC2E7D"/>
    <w:rsid w:val="00CC6B35"/>
    <w:rsid w:val="00CD10A5"/>
    <w:rsid w:val="00CD2076"/>
    <w:rsid w:val="00CD2D16"/>
    <w:rsid w:val="00CD40C1"/>
    <w:rsid w:val="00CD5CD9"/>
    <w:rsid w:val="00CE670B"/>
    <w:rsid w:val="00CF51EC"/>
    <w:rsid w:val="00CF68B0"/>
    <w:rsid w:val="00CF73AE"/>
    <w:rsid w:val="00D040DD"/>
    <w:rsid w:val="00D068B5"/>
    <w:rsid w:val="00D13986"/>
    <w:rsid w:val="00D17DDA"/>
    <w:rsid w:val="00D2214C"/>
    <w:rsid w:val="00D25F28"/>
    <w:rsid w:val="00D27973"/>
    <w:rsid w:val="00D36159"/>
    <w:rsid w:val="00D4731F"/>
    <w:rsid w:val="00D50460"/>
    <w:rsid w:val="00D50F46"/>
    <w:rsid w:val="00D61D2F"/>
    <w:rsid w:val="00D66223"/>
    <w:rsid w:val="00D66FF1"/>
    <w:rsid w:val="00D76C38"/>
    <w:rsid w:val="00D8084C"/>
    <w:rsid w:val="00D8096D"/>
    <w:rsid w:val="00D837B4"/>
    <w:rsid w:val="00D83D17"/>
    <w:rsid w:val="00D87ED5"/>
    <w:rsid w:val="00DA0D5C"/>
    <w:rsid w:val="00DA7C0C"/>
    <w:rsid w:val="00DB2EC8"/>
    <w:rsid w:val="00DB3D4D"/>
    <w:rsid w:val="00DB5695"/>
    <w:rsid w:val="00DC4528"/>
    <w:rsid w:val="00DC5B3B"/>
    <w:rsid w:val="00DD129F"/>
    <w:rsid w:val="00DD1FAB"/>
    <w:rsid w:val="00DD685B"/>
    <w:rsid w:val="00DD6DF7"/>
    <w:rsid w:val="00DE0174"/>
    <w:rsid w:val="00DF3861"/>
    <w:rsid w:val="00DF42FF"/>
    <w:rsid w:val="00E01C0E"/>
    <w:rsid w:val="00E03F9A"/>
    <w:rsid w:val="00E04694"/>
    <w:rsid w:val="00E11214"/>
    <w:rsid w:val="00E12B1E"/>
    <w:rsid w:val="00E14A79"/>
    <w:rsid w:val="00E15845"/>
    <w:rsid w:val="00E17262"/>
    <w:rsid w:val="00E253A2"/>
    <w:rsid w:val="00E3309D"/>
    <w:rsid w:val="00E43326"/>
    <w:rsid w:val="00E50156"/>
    <w:rsid w:val="00E53470"/>
    <w:rsid w:val="00E539F6"/>
    <w:rsid w:val="00E55B23"/>
    <w:rsid w:val="00E5611E"/>
    <w:rsid w:val="00E6519D"/>
    <w:rsid w:val="00E67696"/>
    <w:rsid w:val="00E704DB"/>
    <w:rsid w:val="00E71A58"/>
    <w:rsid w:val="00E72A7A"/>
    <w:rsid w:val="00E75C94"/>
    <w:rsid w:val="00E93820"/>
    <w:rsid w:val="00E96E34"/>
    <w:rsid w:val="00EA0C68"/>
    <w:rsid w:val="00EA3D7F"/>
    <w:rsid w:val="00EC03D7"/>
    <w:rsid w:val="00ED62C6"/>
    <w:rsid w:val="00ED64C1"/>
    <w:rsid w:val="00ED73D0"/>
    <w:rsid w:val="00EE05AF"/>
    <w:rsid w:val="00EE3446"/>
    <w:rsid w:val="00EE396A"/>
    <w:rsid w:val="00EE3E78"/>
    <w:rsid w:val="00EE4B1B"/>
    <w:rsid w:val="00EF150D"/>
    <w:rsid w:val="00EF1F5A"/>
    <w:rsid w:val="00EF2F8E"/>
    <w:rsid w:val="00EF60FF"/>
    <w:rsid w:val="00F03732"/>
    <w:rsid w:val="00F04811"/>
    <w:rsid w:val="00F0488C"/>
    <w:rsid w:val="00F0585C"/>
    <w:rsid w:val="00F121F3"/>
    <w:rsid w:val="00F15AAA"/>
    <w:rsid w:val="00F15BEF"/>
    <w:rsid w:val="00F1639F"/>
    <w:rsid w:val="00F24407"/>
    <w:rsid w:val="00F24FAA"/>
    <w:rsid w:val="00F32EB3"/>
    <w:rsid w:val="00F3364D"/>
    <w:rsid w:val="00F42AA5"/>
    <w:rsid w:val="00F437CC"/>
    <w:rsid w:val="00F43A2F"/>
    <w:rsid w:val="00F47067"/>
    <w:rsid w:val="00F510D8"/>
    <w:rsid w:val="00F525EB"/>
    <w:rsid w:val="00F52961"/>
    <w:rsid w:val="00F625D0"/>
    <w:rsid w:val="00F63DDE"/>
    <w:rsid w:val="00F63FB7"/>
    <w:rsid w:val="00F646A2"/>
    <w:rsid w:val="00F649D2"/>
    <w:rsid w:val="00F6602B"/>
    <w:rsid w:val="00F73A0C"/>
    <w:rsid w:val="00F756DB"/>
    <w:rsid w:val="00F85066"/>
    <w:rsid w:val="00F86B80"/>
    <w:rsid w:val="00F971E8"/>
    <w:rsid w:val="00FA5D4D"/>
    <w:rsid w:val="00FC0E5F"/>
    <w:rsid w:val="00FC1A95"/>
    <w:rsid w:val="00FC246A"/>
    <w:rsid w:val="00FC56DE"/>
    <w:rsid w:val="00FC684B"/>
    <w:rsid w:val="00FD5E9D"/>
    <w:rsid w:val="00FE2F78"/>
    <w:rsid w:val="00FE4EA7"/>
    <w:rsid w:val="00FE7A8E"/>
    <w:rsid w:val="00FF7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6866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qFormat="1"/>
    <w:lsdException w:name="footer" w:qFormat="1"/>
    <w:lsdException w:name="caption" w:uiPriority="35" w:qFormat="1"/>
    <w:lsdException w:name="footnote reference" w:uiPriority="0"/>
    <w:lsdException w:name="List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BE3108"/>
    <w:pPr>
      <w:keepNext/>
      <w:keepLines/>
      <w:numPr>
        <w:numId w:val="48"/>
      </w:numPr>
      <w:spacing w:after="100" w:line="288" w:lineRule="auto"/>
      <w:contextualSpacing/>
      <w:outlineLvl w:val="0"/>
    </w:pPr>
    <w:rPr>
      <w:rFonts w:ascii="Arial" w:eastAsia="MS Gothic" w:hAnsi="Arial"/>
      <w:b/>
      <w:bCs/>
      <w:sz w:val="32"/>
      <w:szCs w:val="28"/>
      <w:lang w:eastAsia="cs-CZ"/>
    </w:rPr>
  </w:style>
  <w:style w:type="paragraph" w:styleId="Nadpis2">
    <w:name w:val="heading 2"/>
    <w:next w:val="Normln"/>
    <w:link w:val="Nadpis2Char"/>
    <w:uiPriority w:val="9"/>
    <w:qFormat/>
    <w:rsid w:val="00BE3108"/>
    <w:pPr>
      <w:keepNext/>
      <w:keepLines/>
      <w:numPr>
        <w:ilvl w:val="1"/>
        <w:numId w:val="48"/>
      </w:numPr>
      <w:spacing w:line="288" w:lineRule="auto"/>
      <w:outlineLvl w:val="1"/>
    </w:pPr>
    <w:rPr>
      <w:rFonts w:ascii="Arial" w:eastAsia="MS Gothic" w:hAnsi="Arial"/>
      <w:b/>
      <w:bCs/>
      <w:sz w:val="28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BE3108"/>
    <w:pPr>
      <w:keepNext/>
      <w:keepLines/>
      <w:numPr>
        <w:ilvl w:val="2"/>
        <w:numId w:val="48"/>
      </w:numPr>
      <w:spacing w:line="288" w:lineRule="auto"/>
      <w:outlineLvl w:val="2"/>
    </w:pPr>
    <w:rPr>
      <w:rFonts w:ascii="Arial" w:eastAsia="MS Gothic" w:hAnsi="Arial"/>
      <w:b/>
      <w:bCs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BE3108"/>
    <w:pPr>
      <w:keepNext/>
      <w:keepLines/>
      <w:numPr>
        <w:ilvl w:val="3"/>
        <w:numId w:val="48"/>
      </w:numPr>
      <w:spacing w:line="288" w:lineRule="auto"/>
      <w:outlineLvl w:val="3"/>
    </w:pPr>
    <w:rPr>
      <w:rFonts w:ascii="Arial" w:eastAsia="MS Gothic" w:hAnsi="Arial"/>
      <w:b/>
      <w:bCs/>
      <w:iCs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A361D5"/>
    <w:pPr>
      <w:keepNext/>
      <w:keepLines/>
      <w:numPr>
        <w:ilvl w:val="4"/>
        <w:numId w:val="48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361D5"/>
    <w:pPr>
      <w:keepNext/>
      <w:keepLines/>
      <w:numPr>
        <w:ilvl w:val="5"/>
        <w:numId w:val="48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361D5"/>
    <w:pPr>
      <w:keepNext/>
      <w:keepLines/>
      <w:numPr>
        <w:ilvl w:val="6"/>
        <w:numId w:val="48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361D5"/>
    <w:pPr>
      <w:keepNext/>
      <w:keepLines/>
      <w:numPr>
        <w:ilvl w:val="7"/>
        <w:numId w:val="48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numPr>
        <w:ilvl w:val="8"/>
        <w:numId w:val="48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BE3108"/>
    <w:rPr>
      <w:rFonts w:ascii="Arial" w:eastAsia="MS Gothic" w:hAnsi="Arial"/>
      <w:b/>
      <w:bCs/>
      <w:sz w:val="32"/>
      <w:szCs w:val="28"/>
      <w:lang w:eastAsia="cs-CZ"/>
    </w:rPr>
  </w:style>
  <w:style w:type="character" w:customStyle="1" w:styleId="Nadpis2Char">
    <w:name w:val="Nadpis 2 Char"/>
    <w:link w:val="Nadpis2"/>
    <w:uiPriority w:val="9"/>
    <w:rsid w:val="00BE3108"/>
    <w:rPr>
      <w:rFonts w:ascii="Arial" w:eastAsia="MS Gothic" w:hAnsi="Arial"/>
      <w:b/>
      <w:bCs/>
      <w:sz w:val="28"/>
      <w:szCs w:val="26"/>
      <w:lang w:eastAsia="cs-CZ"/>
    </w:rPr>
  </w:style>
  <w:style w:type="character" w:customStyle="1" w:styleId="Nadpis3Char">
    <w:name w:val="Nadpis 3 Char"/>
    <w:link w:val="Nadpis3"/>
    <w:uiPriority w:val="9"/>
    <w:rsid w:val="00BE3108"/>
    <w:rPr>
      <w:rFonts w:ascii="Arial" w:eastAsia="MS Gothic" w:hAnsi="Arial"/>
      <w:b/>
      <w:bCs/>
      <w:sz w:val="24"/>
      <w:szCs w:val="24"/>
      <w:lang w:eastAsia="cs-CZ"/>
    </w:rPr>
  </w:style>
  <w:style w:type="character" w:customStyle="1" w:styleId="Nadpis4Char">
    <w:name w:val="Nadpis 4 Char"/>
    <w:link w:val="Nadpis4"/>
    <w:uiPriority w:val="9"/>
    <w:rsid w:val="00BE3108"/>
    <w:rPr>
      <w:rFonts w:ascii="Arial" w:eastAsia="MS Gothic" w:hAnsi="Arial"/>
      <w:b/>
      <w:bCs/>
      <w:iCs/>
      <w:szCs w:val="24"/>
      <w:lang w:eastAsia="cs-CZ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/>
      <w:sz w:val="22"/>
      <w:szCs w:val="22"/>
      <w:lang w:eastAsia="cs-CZ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2E57D3"/>
    <w:pPr>
      <w:spacing w:after="80" w:line="288" w:lineRule="auto"/>
    </w:pPr>
    <w:rPr>
      <w:rFonts w:ascii="Arial" w:eastAsia="Times New Roman" w:hAnsi="Arial"/>
      <w:b/>
      <w:color w:val="747678"/>
      <w:sz w:val="32"/>
      <w:szCs w:val="24"/>
      <w:lang w:eastAsia="cs-CZ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Box1">
    <w:name w:val="Box 1"/>
    <w:next w:val="Normln"/>
    <w:qFormat/>
    <w:rsid w:val="00BE3108"/>
    <w:pPr>
      <w:shd w:val="clear" w:color="auto" w:fill="E3E3E3"/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customStyle="1" w:styleId="Box2">
    <w:name w:val="Box 2"/>
    <w:qFormat/>
    <w:rsid w:val="00F0585C"/>
    <w:pPr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2E57D3"/>
    <w:pPr>
      <w:spacing w:after="40"/>
      <w:contextualSpacing/>
    </w:pPr>
    <w:rPr>
      <w:b/>
      <w:caps/>
      <w:color w:val="747678"/>
      <w:sz w:val="24"/>
    </w:rPr>
  </w:style>
  <w:style w:type="paragraph" w:customStyle="1" w:styleId="TLKontakty">
    <w:name w:val="TL Kontakty"/>
    <w:qFormat/>
    <w:rsid w:val="002E57D3"/>
    <w:pPr>
      <w:spacing w:after="160" w:line="259" w:lineRule="auto"/>
      <w:contextualSpacing/>
    </w:pPr>
    <w:rPr>
      <w:rFonts w:ascii="Arial" w:eastAsia="Times New Roman" w:hAnsi="Arial"/>
      <w:b/>
      <w:lang w:eastAsia="cs-CZ"/>
    </w:rPr>
  </w:style>
  <w:style w:type="paragraph" w:styleId="Nzev">
    <w:name w:val="Title"/>
    <w:link w:val="NzevChar"/>
    <w:uiPriority w:val="10"/>
    <w:qFormat/>
    <w:rsid w:val="000E6FBD"/>
    <w:pPr>
      <w:spacing w:line="288" w:lineRule="auto"/>
    </w:pPr>
    <w:rPr>
      <w:rFonts w:ascii="Arial" w:eastAsia="Times New Roman" w:hAnsi="Arial"/>
      <w:b/>
      <w:bCs/>
      <w:caps/>
      <w:kern w:val="28"/>
      <w:sz w:val="56"/>
      <w:szCs w:val="32"/>
      <w:lang w:eastAsia="cs-CZ"/>
    </w:rPr>
  </w:style>
  <w:style w:type="character" w:customStyle="1" w:styleId="NzevChar">
    <w:name w:val="Název Char"/>
    <w:link w:val="Nzev"/>
    <w:uiPriority w:val="10"/>
    <w:rsid w:val="000E6FBD"/>
    <w:rPr>
      <w:rFonts w:ascii="Arial" w:eastAsia="Times New Roman" w:hAnsi="Arial"/>
      <w:b/>
      <w:bCs/>
      <w:caps/>
      <w:kern w:val="28"/>
      <w:sz w:val="56"/>
      <w:szCs w:val="32"/>
    </w:rPr>
  </w:style>
  <w:style w:type="paragraph" w:styleId="Podtitul">
    <w:name w:val="Subtitle"/>
    <w:link w:val="PodtitulChar"/>
    <w:uiPriority w:val="11"/>
    <w:qFormat/>
    <w:rsid w:val="0012192F"/>
    <w:pPr>
      <w:spacing w:line="288" w:lineRule="auto"/>
    </w:pPr>
    <w:rPr>
      <w:rFonts w:ascii="Arial" w:eastAsia="Times New Roman" w:hAnsi="Arial" w:cs="Arial"/>
      <w:b/>
      <w:sz w:val="28"/>
      <w:szCs w:val="24"/>
      <w:lang w:eastAsia="cs-CZ"/>
    </w:rPr>
  </w:style>
  <w:style w:type="character" w:customStyle="1" w:styleId="PodtitulChar">
    <w:name w:val="Podtitul Char"/>
    <w:link w:val="Podtitul"/>
    <w:uiPriority w:val="11"/>
    <w:rsid w:val="0012192F"/>
    <w:rPr>
      <w:rFonts w:ascii="Arial" w:eastAsia="Times New Roman" w:hAnsi="Arial" w:cs="Arial"/>
      <w:b/>
      <w:sz w:val="28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paragraph" w:styleId="Zkladntext">
    <w:name w:val="Body Text"/>
    <w:basedOn w:val="Normln"/>
    <w:link w:val="ZkladntextChar"/>
    <w:semiHidden/>
    <w:rsid w:val="00C07BC3"/>
    <w:pPr>
      <w:spacing w:after="0" w:line="240" w:lineRule="auto"/>
    </w:pPr>
    <w:rPr>
      <w:rFonts w:cs="Arial"/>
      <w:bCs/>
      <w:iCs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C07BC3"/>
    <w:rPr>
      <w:rFonts w:ascii="Arial" w:eastAsia="Times New Roman" w:hAnsi="Arial" w:cs="Arial"/>
      <w:bCs/>
      <w:iCs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C07BC3"/>
    <w:pPr>
      <w:spacing w:after="0" w:line="360" w:lineRule="auto"/>
      <w:ind w:firstLine="709"/>
      <w:jc w:val="both"/>
    </w:pPr>
    <w:rPr>
      <w:rFonts w:cs="Arial"/>
      <w:bCs/>
      <w:sz w:val="22"/>
      <w:szCs w:val="18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C07BC3"/>
    <w:rPr>
      <w:rFonts w:ascii="Arial" w:eastAsia="Times New Roman" w:hAnsi="Arial" w:cs="Arial"/>
      <w:bCs/>
      <w:sz w:val="22"/>
      <w:szCs w:val="18"/>
      <w:lang w:eastAsia="cs-CZ"/>
    </w:rPr>
  </w:style>
  <w:style w:type="paragraph" w:styleId="Odstavecseseznamem">
    <w:name w:val="List Paragraph"/>
    <w:basedOn w:val="Normln"/>
    <w:uiPriority w:val="34"/>
    <w:rsid w:val="00C07BC3"/>
    <w:pPr>
      <w:ind w:left="720"/>
      <w:contextualSpacing/>
    </w:pPr>
  </w:style>
  <w:style w:type="paragraph" w:styleId="Textpoznpodarou">
    <w:name w:val="footnote text"/>
    <w:basedOn w:val="Normln"/>
    <w:link w:val="TextpoznpodarouChar"/>
    <w:semiHidden/>
    <w:rsid w:val="003C2208"/>
    <w:pPr>
      <w:spacing w:after="0" w:line="240" w:lineRule="auto"/>
    </w:pPr>
    <w:rPr>
      <w:rFonts w:ascii="Times New Roman" w:hAnsi="Times New Roman"/>
      <w:bCs/>
      <w:iCs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208"/>
    <w:rPr>
      <w:rFonts w:ascii="Times New Roman" w:eastAsia="Times New Roman" w:hAnsi="Times New Roman"/>
      <w:bCs/>
      <w:iCs/>
      <w:lang w:eastAsia="cs-CZ"/>
    </w:rPr>
  </w:style>
  <w:style w:type="character" w:styleId="Znakapoznpodarou">
    <w:name w:val="footnote reference"/>
    <w:basedOn w:val="Standardnpsmoodstavce"/>
    <w:semiHidden/>
    <w:rsid w:val="003C2208"/>
    <w:rPr>
      <w:vertAlign w:val="superscript"/>
    </w:rPr>
  </w:style>
  <w:style w:type="paragraph" w:styleId="Normlnweb">
    <w:name w:val="Normal (Web)"/>
    <w:basedOn w:val="Normln"/>
    <w:semiHidden/>
    <w:rsid w:val="00AD296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</w:rPr>
  </w:style>
  <w:style w:type="character" w:customStyle="1" w:styleId="nezalamovatgen">
    <w:name w:val="nezalamovatgen"/>
    <w:basedOn w:val="Standardnpsmoodstavce"/>
    <w:rsid w:val="00AD2963"/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3461F0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3461F0"/>
    <w:rPr>
      <w:rFonts w:ascii="Arial" w:eastAsia="Times New Roman" w:hAnsi="Arial"/>
      <w:sz w:val="16"/>
      <w:szCs w:val="16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3461F0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3461F0"/>
    <w:rPr>
      <w:rFonts w:ascii="Arial" w:eastAsia="Times New Roman" w:hAnsi="Arial"/>
      <w:sz w:val="16"/>
      <w:szCs w:val="16"/>
      <w:lang w:eastAsia="cs-CZ"/>
    </w:rPr>
  </w:style>
  <w:style w:type="paragraph" w:customStyle="1" w:styleId="Default">
    <w:name w:val="Default"/>
    <w:rsid w:val="00D068B5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character" w:customStyle="1" w:styleId="hps">
    <w:name w:val="hps"/>
    <w:basedOn w:val="Standardnpsmoodstavce"/>
    <w:rsid w:val="001E183D"/>
  </w:style>
  <w:style w:type="character" w:customStyle="1" w:styleId="Nadpis5Char">
    <w:name w:val="Nadpis 5 Char"/>
    <w:basedOn w:val="Standardnpsmoodstavce"/>
    <w:link w:val="Nadpis5"/>
    <w:uiPriority w:val="9"/>
    <w:semiHidden/>
    <w:rsid w:val="00A361D5"/>
    <w:rPr>
      <w:rFonts w:asciiTheme="majorHAnsi" w:eastAsiaTheme="majorEastAsia" w:hAnsiTheme="majorHAnsi" w:cstheme="majorBidi"/>
      <w:color w:val="243F60" w:themeColor="accent1" w:themeShade="7F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361D5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361D5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361D5"/>
    <w:rPr>
      <w:rFonts w:asciiTheme="majorHAnsi" w:eastAsiaTheme="majorEastAsia" w:hAnsiTheme="majorHAnsi" w:cstheme="majorBidi"/>
      <w:color w:val="404040" w:themeColor="text1" w:themeTint="BF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ERMAK~1\AppData\Local\Temp\Publikace%20cb%20CZ-EN_2016-12-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B0F389-30C2-4DD1-9875-01467A325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cb CZ-EN_2016-12-19.dotx</Template>
  <TotalTime>2</TotalTime>
  <Pages>2</Pages>
  <Words>338</Words>
  <Characters>1997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2331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cermakova138</dc:creator>
  <cp:lastModifiedBy>cermakova138</cp:lastModifiedBy>
  <cp:revision>5</cp:revision>
  <cp:lastPrinted>2017-08-03T07:31:00Z</cp:lastPrinted>
  <dcterms:created xsi:type="dcterms:W3CDTF">2017-08-15T15:10:00Z</dcterms:created>
  <dcterms:modified xsi:type="dcterms:W3CDTF">2017-08-16T04:52:00Z</dcterms:modified>
</cp:coreProperties>
</file>