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6F959" w14:textId="0F0EC32C" w:rsidR="001A6D5F" w:rsidRPr="009D6B2E" w:rsidRDefault="00B42D88" w:rsidP="009D6B2E">
      <w:pPr>
        <w:widowControl/>
        <w:spacing w:before="0" w:after="0"/>
        <w:jc w:val="both"/>
        <w:rPr>
          <w:rFonts w:ascii="Arial" w:hAnsi="Arial" w:cs="Arial"/>
          <w:bCs/>
          <w:color w:val="0071BC"/>
          <w:sz w:val="24"/>
          <w:szCs w:val="24"/>
        </w:rPr>
      </w:pPr>
      <w:r w:rsidRPr="009D6B2E">
        <w:rPr>
          <w:rFonts w:ascii="Arial" w:hAnsi="Arial" w:cs="Arial"/>
          <w:b/>
          <w:bCs/>
          <w:color w:val="0071BC"/>
          <w:sz w:val="24"/>
          <w:szCs w:val="24"/>
        </w:rPr>
        <w:t>25</w:t>
      </w:r>
      <w:r w:rsidR="009D6B2E">
        <w:rPr>
          <w:rFonts w:ascii="Arial" w:hAnsi="Arial" w:cs="Arial"/>
          <w:b/>
          <w:bCs/>
          <w:color w:val="0071BC"/>
          <w:sz w:val="24"/>
          <w:szCs w:val="24"/>
        </w:rPr>
        <w:t xml:space="preserve"> </w:t>
      </w:r>
      <w:r w:rsidR="001A6D5F" w:rsidRPr="009D6B2E">
        <w:rPr>
          <w:rFonts w:ascii="Arial" w:hAnsi="Arial" w:cs="Arial"/>
          <w:b/>
          <w:bCs/>
          <w:color w:val="0071BC"/>
          <w:sz w:val="24"/>
          <w:szCs w:val="24"/>
        </w:rPr>
        <w:t>ZDRAVÍ</w:t>
      </w:r>
    </w:p>
    <w:p w14:paraId="78D8CE61" w14:textId="1BB8B31E" w:rsidR="001A6D5F" w:rsidRDefault="001A6D5F" w:rsidP="009D6B2E">
      <w:pPr>
        <w:pStyle w:val="Zkladntextodsazen1"/>
        <w:widowControl/>
        <w:spacing w:before="0" w:after="0"/>
        <w:ind w:firstLine="0"/>
        <w:rPr>
          <w:rFonts w:ascii="Arial" w:hAnsi="Arial" w:cs="Arial"/>
          <w:sz w:val="18"/>
          <w:szCs w:val="18"/>
        </w:rPr>
      </w:pPr>
    </w:p>
    <w:p w14:paraId="71337EBE" w14:textId="77777777" w:rsidR="000632F2" w:rsidRPr="000632F2" w:rsidRDefault="000632F2" w:rsidP="000632F2">
      <w:pPr>
        <w:widowControl/>
        <w:autoSpaceDE/>
        <w:autoSpaceDN/>
        <w:adjustRightInd/>
        <w:spacing w:before="0" w:after="0"/>
        <w:jc w:val="both"/>
        <w:rPr>
          <w:rFonts w:ascii="Arial" w:hAnsi="Arial" w:cs="Arial"/>
          <w:b/>
          <w:color w:val="0071BC"/>
        </w:rPr>
      </w:pPr>
      <w:r w:rsidRPr="000632F2">
        <w:rPr>
          <w:rFonts w:ascii="Arial" w:hAnsi="Arial" w:cs="Arial"/>
          <w:b/>
          <w:color w:val="0071BC"/>
        </w:rPr>
        <w:t>Metodické vysvětlivky</w:t>
      </w:r>
    </w:p>
    <w:p w14:paraId="17BC4AE9" w14:textId="77777777" w:rsidR="000632F2" w:rsidRPr="009D6B2E" w:rsidRDefault="000632F2" w:rsidP="009D6B2E">
      <w:pPr>
        <w:pStyle w:val="Zkladntextodsazen1"/>
        <w:widowControl/>
        <w:spacing w:before="0" w:after="0"/>
        <w:ind w:firstLine="0"/>
        <w:rPr>
          <w:rFonts w:ascii="Arial" w:hAnsi="Arial" w:cs="Arial"/>
          <w:sz w:val="18"/>
          <w:szCs w:val="18"/>
        </w:rPr>
      </w:pPr>
    </w:p>
    <w:p w14:paraId="365F0606" w14:textId="77777777"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sz w:val="18"/>
          <w:szCs w:val="18"/>
        </w:rPr>
      </w:pPr>
      <w:r w:rsidRPr="00560494">
        <w:rPr>
          <w:rFonts w:ascii="Arial" w:hAnsi="Arial" w:cs="Arial"/>
          <w:sz w:val="18"/>
          <w:szCs w:val="18"/>
        </w:rPr>
        <w:t>Údaje o zdravotním stavu obyvatelstva a o činnosti poskytovatelů zdravotních služeb jsou čerpány z Národního zdravotnického informačního systému (dále jen NZIS). NZIS je definován v zákoně o zdravotních službách a podmínkách jejich poskytování. NZIS je určený k vedení národních zdravotních registrů a zpracování údajů v nich vedených. Na základě pověření Ministerstva zdravotnictví spravuje NZIS Ústav zdravotnických informací a statistiky České republiky (ÚZIS ČR).</w:t>
      </w:r>
    </w:p>
    <w:p w14:paraId="7676DD62" w14:textId="77777777" w:rsidR="00560494" w:rsidRPr="00560494" w:rsidRDefault="00560494" w:rsidP="00560494">
      <w:pPr>
        <w:spacing w:after="0"/>
        <w:jc w:val="both"/>
        <w:rPr>
          <w:rFonts w:ascii="Arial" w:hAnsi="Arial" w:cs="Arial"/>
          <w:sz w:val="18"/>
          <w:szCs w:val="18"/>
        </w:rPr>
      </w:pPr>
      <w:r w:rsidRPr="00560494">
        <w:rPr>
          <w:rFonts w:ascii="Arial" w:hAnsi="Arial" w:cs="Arial"/>
          <w:sz w:val="18"/>
          <w:szCs w:val="18"/>
        </w:rPr>
        <w:t xml:space="preserve">Český statistický úřad ve spolupráci s Českou správou sociálního zabezpečení (ČSSZ) zajišťuje údaje o nově hlášených případech pracovní neschopnosti pro nemoc a úraz (PN). </w:t>
      </w:r>
    </w:p>
    <w:p w14:paraId="4917E433" w14:textId="77777777" w:rsidR="00560494" w:rsidRPr="00560494" w:rsidRDefault="00560494" w:rsidP="00560494">
      <w:pPr>
        <w:spacing w:after="0"/>
        <w:jc w:val="both"/>
        <w:rPr>
          <w:rFonts w:ascii="Arial" w:hAnsi="Arial" w:cs="Arial"/>
          <w:sz w:val="18"/>
          <w:szCs w:val="18"/>
        </w:rPr>
      </w:pPr>
      <w:r w:rsidRPr="00560494">
        <w:rPr>
          <w:rFonts w:ascii="Arial" w:hAnsi="Arial" w:cs="Arial"/>
          <w:sz w:val="18"/>
          <w:szCs w:val="18"/>
        </w:rPr>
        <w:t xml:space="preserve">Informace o výdajích na zdravotní péči podle systému zdravotnických účtů vycházejí z údajů Ministerstva zdravotnictví, Ministerstva financí, Ministerstva práce a sociálních věcí, Národního registru hrazených zdravotních služeb (NRHZS), který je součástí NZIS, a datových zdrojů ČSÚ. </w:t>
      </w:r>
    </w:p>
    <w:p w14:paraId="349A4C13" w14:textId="77777777"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sz w:val="18"/>
          <w:szCs w:val="18"/>
        </w:rPr>
      </w:pPr>
      <w:r w:rsidRPr="00560494">
        <w:rPr>
          <w:rFonts w:ascii="Arial" w:hAnsi="Arial" w:cs="Arial"/>
          <w:sz w:val="18"/>
          <w:szCs w:val="18"/>
        </w:rPr>
        <w:t>V kapitole je využíváno členění nemocí a přidružených zdravotních problémů podle diagnóz a kapitol 10. revize Mezinárodní statistické klasifikace nemocí a přidružených zdravotních problémů (MKN-10).</w:t>
      </w:r>
    </w:p>
    <w:p w14:paraId="1E653CB0" w14:textId="77777777"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sz w:val="18"/>
          <w:szCs w:val="18"/>
        </w:rPr>
      </w:pPr>
      <w:r w:rsidRPr="00560494">
        <w:rPr>
          <w:rFonts w:ascii="Arial" w:hAnsi="Arial" w:cs="Arial"/>
          <w:sz w:val="18"/>
          <w:szCs w:val="18"/>
        </w:rPr>
        <w:t xml:space="preserve">Kromě výše uvedených zdrojů využívá tato kapitola Strukturální mzdovou statistiku, a to v případě údajů o průměrné hrubé měsíční mzdě lékařů a zdravotních sester. </w:t>
      </w:r>
    </w:p>
    <w:p w14:paraId="2CD5DFDD" w14:textId="77777777"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sz w:val="18"/>
          <w:szCs w:val="18"/>
        </w:rPr>
      </w:pPr>
      <w:r w:rsidRPr="00560494">
        <w:rPr>
          <w:rFonts w:ascii="Arial" w:hAnsi="Arial" w:cs="Arial"/>
          <w:sz w:val="18"/>
          <w:szCs w:val="18"/>
        </w:rPr>
        <w:t xml:space="preserve">Údaje za studenty a absolventy zdravotní péče vysokých škol v Česku byly získány z datových zdrojů Ministerstva školství, mládeže a tělovýchovy, konkrétně ze systému Sdružených informací matrik studentů (SIMS). </w:t>
      </w:r>
    </w:p>
    <w:p w14:paraId="23F9F668" w14:textId="50EABC7B" w:rsid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sz w:val="18"/>
          <w:szCs w:val="18"/>
        </w:rPr>
      </w:pPr>
    </w:p>
    <w:p w14:paraId="584DA1B5" w14:textId="77777777" w:rsidR="00C402BD" w:rsidRPr="00560494" w:rsidRDefault="00C402BD"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sz w:val="18"/>
          <w:szCs w:val="18"/>
        </w:rPr>
      </w:pPr>
    </w:p>
    <w:p w14:paraId="01D86674" w14:textId="77777777"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b/>
          <w:bCs/>
          <w:color w:val="0071BC"/>
        </w:rPr>
      </w:pPr>
      <w:r w:rsidRPr="00560494">
        <w:rPr>
          <w:rFonts w:ascii="Arial" w:hAnsi="Arial" w:cs="Arial"/>
          <w:b/>
          <w:bCs/>
          <w:color w:val="0071BC"/>
        </w:rPr>
        <w:t>Poznámky k tabulkám</w:t>
      </w:r>
    </w:p>
    <w:p w14:paraId="3ECD5A66" w14:textId="0A3961EB" w:rsid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sz w:val="18"/>
          <w:szCs w:val="18"/>
        </w:rPr>
      </w:pPr>
    </w:p>
    <w:p w14:paraId="6711C588" w14:textId="77777777"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b/>
          <w:color w:val="0071BC"/>
        </w:rPr>
      </w:pPr>
      <w:r w:rsidRPr="00560494">
        <w:rPr>
          <w:rFonts w:ascii="Arial" w:hAnsi="Arial" w:cs="Arial"/>
          <w:b/>
          <w:color w:val="0071BC"/>
        </w:rPr>
        <w:t xml:space="preserve">Tab. </w:t>
      </w:r>
      <w:r w:rsidRPr="00560494">
        <w:rPr>
          <w:rFonts w:ascii="Arial" w:hAnsi="Arial" w:cs="Arial"/>
          <w:b/>
          <w:bCs/>
          <w:color w:val="0071BC"/>
        </w:rPr>
        <w:t>25</w:t>
      </w:r>
      <w:r w:rsidRPr="00560494">
        <w:rPr>
          <w:rFonts w:ascii="Arial" w:hAnsi="Arial" w:cs="Arial"/>
          <w:b/>
          <w:color w:val="0071BC"/>
        </w:rPr>
        <w:t xml:space="preserve">-1  </w:t>
      </w:r>
      <w:r w:rsidRPr="00560494">
        <w:rPr>
          <w:rFonts w:ascii="Arial" w:hAnsi="Arial" w:cs="Arial"/>
          <w:b/>
          <w:bCs/>
          <w:color w:val="0071BC"/>
        </w:rPr>
        <w:t>Nemocnice poskytující akutní péči</w:t>
      </w:r>
    </w:p>
    <w:p w14:paraId="6E79FA16" w14:textId="46ED9BA2" w:rsidR="00560494" w:rsidRPr="00560494" w:rsidRDefault="00D504E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sz w:val="18"/>
          <w:szCs w:val="18"/>
          <w:shd w:val="clear" w:color="auto" w:fill="FFFFFF"/>
        </w:rPr>
      </w:pPr>
      <w:r>
        <w:rPr>
          <w:rFonts w:ascii="Arial" w:hAnsi="Arial" w:cs="Arial"/>
          <w:b/>
          <w:bCs/>
          <w:sz w:val="18"/>
          <w:szCs w:val="18"/>
        </w:rPr>
        <w:t>Pracovníci ve zdravotnictví</w:t>
      </w:r>
      <w:r w:rsidR="00F51D15" w:rsidRPr="000C1EB0">
        <w:rPr>
          <w:rFonts w:ascii="Arial" w:hAnsi="Arial" w:cs="Arial"/>
          <w:bCs/>
          <w:sz w:val="18"/>
          <w:szCs w:val="18"/>
        </w:rPr>
        <w:t xml:space="preserve"> </w:t>
      </w:r>
      <w:r w:rsidR="00685384">
        <w:rPr>
          <w:rFonts w:ascii="Arial" w:hAnsi="Arial" w:cs="Arial"/>
          <w:bCs/>
          <w:sz w:val="18"/>
          <w:szCs w:val="18"/>
        </w:rPr>
        <w:t>–</w:t>
      </w:r>
      <w:r w:rsidR="00F51D15" w:rsidRPr="000C1EB0">
        <w:rPr>
          <w:rFonts w:ascii="Arial" w:hAnsi="Arial" w:cs="Arial"/>
          <w:bCs/>
          <w:sz w:val="18"/>
          <w:szCs w:val="18"/>
        </w:rPr>
        <w:t xml:space="preserve"> </w:t>
      </w:r>
      <w:r w:rsidR="00685384">
        <w:rPr>
          <w:rFonts w:ascii="Arial" w:hAnsi="Arial" w:cs="Arial"/>
          <w:bCs/>
          <w:sz w:val="18"/>
          <w:szCs w:val="18"/>
        </w:rPr>
        <w:t>z</w:t>
      </w:r>
      <w:r w:rsidR="00560494" w:rsidRPr="00560494">
        <w:rPr>
          <w:rFonts w:ascii="Arial" w:hAnsi="Arial" w:cs="Arial"/>
          <w:bCs/>
          <w:sz w:val="18"/>
          <w:szCs w:val="18"/>
        </w:rPr>
        <w:t>a zdravotnického pracovníka</w:t>
      </w:r>
      <w:r w:rsidR="00560494" w:rsidRPr="00560494">
        <w:rPr>
          <w:rFonts w:ascii="Arial" w:hAnsi="Arial" w:cs="Arial"/>
          <w:sz w:val="18"/>
          <w:szCs w:val="18"/>
          <w:shd w:val="clear" w:color="auto" w:fill="FFFFFF"/>
        </w:rPr>
        <w:t xml:space="preserve"> je považována osoba, která získala způsobilost k výkonu zdravotnického povolání podle platné legislativy a vykonává činnosti, které jí profesně náleží. </w:t>
      </w:r>
    </w:p>
    <w:p w14:paraId="587C1281" w14:textId="77777777"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sz w:val="18"/>
          <w:szCs w:val="18"/>
          <w:shd w:val="clear" w:color="auto" w:fill="FFFFFF"/>
        </w:rPr>
      </w:pPr>
      <w:r w:rsidRPr="00560494">
        <w:rPr>
          <w:rFonts w:ascii="Arial" w:hAnsi="Arial" w:cs="Arial"/>
          <w:b/>
          <w:sz w:val="18"/>
          <w:szCs w:val="18"/>
          <w:shd w:val="clear" w:color="auto" w:fill="FFFFFF"/>
        </w:rPr>
        <w:t>Přepočtený počet</w:t>
      </w:r>
      <w:r w:rsidRPr="00560494">
        <w:rPr>
          <w:rFonts w:ascii="Arial" w:hAnsi="Arial" w:cs="Arial"/>
          <w:sz w:val="18"/>
          <w:szCs w:val="18"/>
          <w:shd w:val="clear" w:color="auto" w:fill="FFFFFF"/>
        </w:rPr>
        <w:t xml:space="preserve"> = součet úvazků jednotlivých pracovníků zdravotnických zařízení přepočtený podle délky plné týdenní pracovní doby stanovené pro dané zařízení či pracoviště. Přepočtený počet je uváděn včetně smluvních pracovníků.</w:t>
      </w:r>
    </w:p>
    <w:p w14:paraId="2ADECA16" w14:textId="77777777"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sz w:val="18"/>
          <w:szCs w:val="18"/>
          <w:shd w:val="clear" w:color="auto" w:fill="FFFFFF"/>
        </w:rPr>
      </w:pPr>
      <w:r w:rsidRPr="00560494">
        <w:rPr>
          <w:rFonts w:ascii="Arial" w:hAnsi="Arial" w:cs="Arial"/>
          <w:b/>
          <w:sz w:val="18"/>
          <w:szCs w:val="18"/>
          <w:shd w:val="clear" w:color="auto" w:fill="FFFFFF"/>
        </w:rPr>
        <w:t>Lékař</w:t>
      </w:r>
      <w:r w:rsidRPr="00560494">
        <w:rPr>
          <w:rFonts w:ascii="Arial" w:hAnsi="Arial" w:cs="Arial"/>
          <w:sz w:val="18"/>
          <w:szCs w:val="18"/>
          <w:shd w:val="clear" w:color="auto" w:fill="FFFFFF"/>
        </w:rPr>
        <w:t xml:space="preserve"> – poskytuje preventivní, diagnostickou, léčebnou, rehabilitační, dispenzární nebo paliativní péči.</w:t>
      </w:r>
    </w:p>
    <w:p w14:paraId="3FFB850F" w14:textId="77777777"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sz w:val="18"/>
          <w:szCs w:val="18"/>
          <w:shd w:val="clear" w:color="auto" w:fill="FFFFFF"/>
        </w:rPr>
      </w:pPr>
      <w:r w:rsidRPr="00560494">
        <w:rPr>
          <w:rFonts w:ascii="Arial" w:hAnsi="Arial" w:cs="Arial"/>
          <w:b/>
          <w:sz w:val="18"/>
          <w:szCs w:val="18"/>
          <w:shd w:val="clear" w:color="auto" w:fill="FFFFFF"/>
        </w:rPr>
        <w:t>Všeobecná sestra</w:t>
      </w:r>
      <w:r w:rsidRPr="00560494">
        <w:rPr>
          <w:rFonts w:ascii="Arial" w:hAnsi="Arial" w:cs="Arial"/>
          <w:sz w:val="18"/>
          <w:szCs w:val="18"/>
          <w:shd w:val="clear" w:color="auto" w:fill="FFFFFF"/>
        </w:rPr>
        <w:t xml:space="preserve"> – </w:t>
      </w:r>
      <w:bookmarkStart w:id="0" w:name="_GoBack"/>
      <w:bookmarkEnd w:id="0"/>
      <w:r w:rsidRPr="00560494">
        <w:rPr>
          <w:rFonts w:ascii="Arial" w:hAnsi="Arial" w:cs="Arial"/>
          <w:sz w:val="18"/>
          <w:szCs w:val="18"/>
          <w:shd w:val="clear" w:color="auto" w:fill="FFFFFF"/>
        </w:rPr>
        <w:t xml:space="preserve">poskytuje ošetřovatelskou péči </w:t>
      </w:r>
      <w:r w:rsidRPr="00560494">
        <w:rPr>
          <w:rFonts w:ascii="Arial" w:hAnsi="Arial" w:cs="Arial"/>
          <w:sz w:val="18"/>
          <w:szCs w:val="18"/>
        </w:rPr>
        <w:t xml:space="preserve">pacientům na základě diagnózy stanovené lékařem nebo zubním lékařem. </w:t>
      </w:r>
      <w:r w:rsidRPr="00560494">
        <w:rPr>
          <w:rFonts w:ascii="Arial" w:hAnsi="Arial" w:cs="Arial"/>
          <w:sz w:val="18"/>
          <w:szCs w:val="18"/>
          <w:shd w:val="clear" w:color="auto" w:fill="FFFFFF"/>
        </w:rPr>
        <w:t xml:space="preserve">Dále se ve spolupráci s lékařem nebo zubním lékařem podílí na preventivní, léčebné, diagnostické, rehabilitační, paliativní a neodkladné nebo dispenzární péči. </w:t>
      </w:r>
    </w:p>
    <w:p w14:paraId="2F2C6CD6" w14:textId="77777777"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sz w:val="18"/>
          <w:szCs w:val="18"/>
          <w:shd w:val="clear" w:color="auto" w:fill="FFFFFF"/>
        </w:rPr>
      </w:pPr>
      <w:r w:rsidRPr="00560494">
        <w:rPr>
          <w:rFonts w:ascii="Arial" w:hAnsi="Arial" w:cs="Arial"/>
          <w:b/>
          <w:sz w:val="18"/>
          <w:szCs w:val="18"/>
          <w:shd w:val="clear" w:color="auto" w:fill="FFFFFF"/>
        </w:rPr>
        <w:t>Porodní asistentka</w:t>
      </w:r>
      <w:r w:rsidRPr="00560494">
        <w:rPr>
          <w:rFonts w:ascii="Arial" w:hAnsi="Arial" w:cs="Arial"/>
          <w:sz w:val="18"/>
          <w:szCs w:val="18"/>
          <w:shd w:val="clear" w:color="auto" w:fill="FFFFFF"/>
        </w:rPr>
        <w:t xml:space="preserve"> – poskytuje specializovanou ošetřovatelskou péči těhotné ženě, rodící ženě a ženě do šestého týdne po porodu, včetně péče o novorozence a ošetřovatelské péče o ženy na úseku gynekologie. </w:t>
      </w:r>
    </w:p>
    <w:p w14:paraId="56582628" w14:textId="431B0B12" w:rsid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sz w:val="18"/>
          <w:szCs w:val="18"/>
        </w:rPr>
      </w:pPr>
      <w:r w:rsidRPr="00560494">
        <w:rPr>
          <w:rFonts w:ascii="Arial" w:hAnsi="Arial" w:cs="Arial"/>
          <w:b/>
          <w:sz w:val="18"/>
          <w:szCs w:val="18"/>
          <w:shd w:val="clear" w:color="auto" w:fill="FFFFFF"/>
        </w:rPr>
        <w:t>Sanitář</w:t>
      </w:r>
      <w:r w:rsidRPr="00560494">
        <w:rPr>
          <w:rFonts w:ascii="Arial" w:hAnsi="Arial" w:cs="Arial"/>
          <w:sz w:val="18"/>
          <w:szCs w:val="18"/>
          <w:shd w:val="clear" w:color="auto" w:fill="FFFFFF"/>
        </w:rPr>
        <w:t xml:space="preserve"> – pod odborným dohledem nebo přímým vedením provádí pomocné činnosti v rámci poskytování zdravotních služeb. </w:t>
      </w:r>
      <w:r w:rsidRPr="00560494">
        <w:rPr>
          <w:rFonts w:ascii="Arial" w:hAnsi="Arial" w:cs="Arial"/>
          <w:sz w:val="18"/>
          <w:szCs w:val="18"/>
        </w:rPr>
        <w:t>Provádí například hygienickou péči o pacienta, pomáhá při polohování či fixaci pacientů apod.</w:t>
      </w:r>
    </w:p>
    <w:p w14:paraId="7F849C62" w14:textId="4F5A1D38" w:rsidR="00B50EFF" w:rsidRPr="00317342" w:rsidRDefault="00B50EFF"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sz w:val="18"/>
          <w:szCs w:val="18"/>
          <w:shd w:val="clear" w:color="auto" w:fill="FFFFFF"/>
        </w:rPr>
      </w:pPr>
      <w:r w:rsidRPr="00F356C6">
        <w:rPr>
          <w:rFonts w:ascii="Arial" w:hAnsi="Arial" w:cs="Arial"/>
          <w:b/>
          <w:sz w:val="18"/>
          <w:szCs w:val="18"/>
          <w:shd w:val="clear" w:color="auto" w:fill="FFFFFF"/>
        </w:rPr>
        <w:t>Radiologický asistent</w:t>
      </w:r>
      <w:r>
        <w:rPr>
          <w:rFonts w:ascii="Arial" w:hAnsi="Arial" w:cs="Arial"/>
          <w:sz w:val="18"/>
          <w:szCs w:val="18"/>
          <w:shd w:val="clear" w:color="auto" w:fill="FFFFFF"/>
        </w:rPr>
        <w:t xml:space="preserve"> </w:t>
      </w:r>
      <w:r w:rsidR="00685384">
        <w:rPr>
          <w:rFonts w:ascii="Arial" w:hAnsi="Arial" w:cs="Arial"/>
          <w:bCs/>
          <w:sz w:val="18"/>
          <w:szCs w:val="18"/>
        </w:rPr>
        <w:t>–</w:t>
      </w:r>
      <w:r w:rsidR="00685384" w:rsidRPr="000C1EB0">
        <w:rPr>
          <w:rFonts w:ascii="Arial" w:hAnsi="Arial" w:cs="Arial"/>
          <w:bCs/>
          <w:sz w:val="18"/>
          <w:szCs w:val="18"/>
        </w:rPr>
        <w:t xml:space="preserve"> </w:t>
      </w:r>
      <w:r w:rsidRPr="00317342">
        <w:rPr>
          <w:rFonts w:ascii="Arial" w:hAnsi="Arial" w:cs="Arial"/>
          <w:sz w:val="18"/>
          <w:szCs w:val="18"/>
          <w:shd w:val="clear" w:color="auto" w:fill="FFFFFF"/>
        </w:rPr>
        <w:t>provádí radiologické zobrazovací i kvantitativní postupy, léčebné aplikace ionizujícího záření a</w:t>
      </w:r>
      <w:r w:rsidR="00317342">
        <w:rPr>
          <w:rFonts w:ascii="Arial" w:hAnsi="Arial" w:cs="Arial"/>
          <w:sz w:val="18"/>
          <w:szCs w:val="18"/>
          <w:shd w:val="clear" w:color="auto" w:fill="FFFFFF"/>
        </w:rPr>
        <w:t> </w:t>
      </w:r>
      <w:r w:rsidRPr="00317342">
        <w:rPr>
          <w:rFonts w:ascii="Arial" w:hAnsi="Arial" w:cs="Arial"/>
          <w:sz w:val="18"/>
          <w:szCs w:val="18"/>
          <w:shd w:val="clear" w:color="auto" w:fill="FFFFFF"/>
        </w:rPr>
        <w:t>poskytuje specifickou ošetřovatelskou péči v souvislosti s radiologickými výkony. Zajišťuje radiační ochranu, a ve spolupráci s lékařem se podílí na diagnostické a léčebné péči.</w:t>
      </w:r>
    </w:p>
    <w:p w14:paraId="2604F95D" w14:textId="12205CA1" w:rsidR="00B50EFF" w:rsidRPr="00317342" w:rsidRDefault="00B50EFF"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sz w:val="18"/>
          <w:szCs w:val="18"/>
          <w:shd w:val="clear" w:color="auto" w:fill="FFFFFF"/>
        </w:rPr>
      </w:pPr>
      <w:r w:rsidRPr="00317342">
        <w:rPr>
          <w:rFonts w:ascii="Arial" w:hAnsi="Arial" w:cs="Arial"/>
          <w:b/>
          <w:sz w:val="18"/>
          <w:szCs w:val="18"/>
          <w:shd w:val="clear" w:color="auto" w:fill="FFFFFF"/>
        </w:rPr>
        <w:t>Fyzioterapeut</w:t>
      </w:r>
      <w:r w:rsidRPr="00317342">
        <w:rPr>
          <w:rFonts w:ascii="Arial" w:hAnsi="Arial" w:cs="Arial"/>
          <w:sz w:val="18"/>
          <w:szCs w:val="18"/>
          <w:shd w:val="clear" w:color="auto" w:fill="FFFFFF"/>
        </w:rPr>
        <w:t xml:space="preserve"> </w:t>
      </w:r>
      <w:r w:rsidR="00685384">
        <w:rPr>
          <w:rFonts w:ascii="Arial" w:hAnsi="Arial" w:cs="Arial"/>
          <w:bCs/>
          <w:sz w:val="18"/>
          <w:szCs w:val="18"/>
        </w:rPr>
        <w:t>–</w:t>
      </w:r>
      <w:r w:rsidR="00685384" w:rsidRPr="000C1EB0">
        <w:rPr>
          <w:rFonts w:ascii="Arial" w:hAnsi="Arial" w:cs="Arial"/>
          <w:bCs/>
          <w:sz w:val="18"/>
          <w:szCs w:val="18"/>
        </w:rPr>
        <w:t xml:space="preserve"> </w:t>
      </w:r>
      <w:r w:rsidRPr="00317342">
        <w:rPr>
          <w:rFonts w:ascii="Arial" w:hAnsi="Arial" w:cs="Arial"/>
          <w:sz w:val="18"/>
          <w:szCs w:val="18"/>
          <w:shd w:val="clear" w:color="auto" w:fill="FFFFFF"/>
        </w:rPr>
        <w:t>poskytuje preventivní, diagnostickou, léčebnou, rehabilitační a paliativní péči v oboru fyzioterapie vedoucí k</w:t>
      </w:r>
      <w:r w:rsidR="00317342">
        <w:rPr>
          <w:rFonts w:ascii="Arial" w:hAnsi="Arial" w:cs="Arial"/>
          <w:sz w:val="18"/>
          <w:szCs w:val="18"/>
          <w:shd w:val="clear" w:color="auto" w:fill="FFFFFF"/>
        </w:rPr>
        <w:t> </w:t>
      </w:r>
      <w:r w:rsidRPr="00317342">
        <w:rPr>
          <w:rFonts w:ascii="Arial" w:hAnsi="Arial" w:cs="Arial"/>
          <w:sz w:val="18"/>
          <w:szCs w:val="18"/>
          <w:shd w:val="clear" w:color="auto" w:fill="FFFFFF"/>
        </w:rPr>
        <w:t>rozvoji, obnovení a udržení optimálního zdraví klienta. Prostřednictvím pohybu a dalších fyzioterapeutických postupů cíleně ovlivňuje funkce ostatních systémů včetně funkcí psychických, pokud jsou ohroženy nemocí, stárnutím, úrazem, bolestí, postižením, onemocněním, chorobou či faktory danými životním prostředím.</w:t>
      </w:r>
    </w:p>
    <w:p w14:paraId="0EBCB343" w14:textId="566EA59A" w:rsidR="00560494" w:rsidRPr="00317342"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bCs/>
          <w:sz w:val="18"/>
          <w:szCs w:val="18"/>
          <w:highlight w:val="yellow"/>
        </w:rPr>
      </w:pPr>
      <w:r w:rsidRPr="00317342">
        <w:rPr>
          <w:rFonts w:ascii="Arial" w:hAnsi="Arial" w:cs="Arial"/>
          <w:b/>
          <w:sz w:val="18"/>
          <w:szCs w:val="18"/>
          <w:shd w:val="clear" w:color="auto" w:fill="FFFFFF"/>
        </w:rPr>
        <w:t>Ostatní</w:t>
      </w:r>
      <w:r w:rsidRPr="00317342">
        <w:rPr>
          <w:rFonts w:ascii="Arial" w:hAnsi="Arial" w:cs="Arial"/>
          <w:sz w:val="18"/>
          <w:szCs w:val="18"/>
          <w:shd w:val="clear" w:color="auto" w:fill="FFFFFF"/>
        </w:rPr>
        <w:t xml:space="preserve"> – zahrnuje ostatní zdravotnické pracovníky nezařazené do skupin výše (například: ošetřovatele, praktické sestry</w:t>
      </w:r>
      <w:r w:rsidR="00317342">
        <w:rPr>
          <w:rFonts w:ascii="Arial" w:hAnsi="Arial" w:cs="Arial"/>
          <w:sz w:val="18"/>
          <w:szCs w:val="18"/>
          <w:shd w:val="clear" w:color="auto" w:fill="FFFFFF"/>
        </w:rPr>
        <w:t xml:space="preserve">, </w:t>
      </w:r>
      <w:r w:rsidRPr="00317342">
        <w:rPr>
          <w:rFonts w:ascii="Arial" w:hAnsi="Arial" w:cs="Arial"/>
          <w:sz w:val="18"/>
          <w:szCs w:val="18"/>
          <w:shd w:val="clear" w:color="auto" w:fill="FFFFFF"/>
        </w:rPr>
        <w:t>zdravotnické záchranáře, farmaceuty).</w:t>
      </w:r>
    </w:p>
    <w:p w14:paraId="7835C5F0" w14:textId="77777777"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sz w:val="18"/>
          <w:szCs w:val="18"/>
        </w:rPr>
      </w:pPr>
    </w:p>
    <w:p w14:paraId="41F775A8" w14:textId="77777777"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sz w:val="18"/>
          <w:szCs w:val="18"/>
        </w:rPr>
      </w:pPr>
    </w:p>
    <w:p w14:paraId="4D699668" w14:textId="6E5C14DC"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b/>
          <w:color w:val="0071BC"/>
        </w:rPr>
      </w:pPr>
      <w:r w:rsidRPr="00560494">
        <w:rPr>
          <w:rFonts w:ascii="Arial" w:hAnsi="Arial" w:cs="Arial"/>
          <w:b/>
          <w:color w:val="0071BC"/>
        </w:rPr>
        <w:t>Tab. 25-2</w:t>
      </w:r>
      <w:r w:rsidR="00B50EFF">
        <w:rPr>
          <w:rFonts w:ascii="Arial" w:hAnsi="Arial" w:cs="Arial"/>
          <w:b/>
          <w:color w:val="0071BC"/>
        </w:rPr>
        <w:t xml:space="preserve"> až 25-4</w:t>
      </w:r>
      <w:r w:rsidRPr="00560494">
        <w:rPr>
          <w:rFonts w:ascii="Arial" w:hAnsi="Arial" w:cs="Arial"/>
          <w:b/>
          <w:color w:val="0071BC"/>
        </w:rPr>
        <w:t xml:space="preserve">  Lůžková péče v nemocnicích poskytujících akutní péči</w:t>
      </w:r>
    </w:p>
    <w:p w14:paraId="66BBEE98" w14:textId="77777777"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b/>
          <w:sz w:val="18"/>
          <w:szCs w:val="18"/>
        </w:rPr>
      </w:pPr>
      <w:r w:rsidRPr="00560494">
        <w:rPr>
          <w:rFonts w:ascii="Arial" w:hAnsi="Arial" w:cs="Arial"/>
          <w:b/>
          <w:sz w:val="18"/>
          <w:szCs w:val="18"/>
        </w:rPr>
        <w:t>Případy hospitalizace</w:t>
      </w:r>
    </w:p>
    <w:p w14:paraId="52BD1CC0" w14:textId="77777777"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sz w:val="18"/>
          <w:szCs w:val="18"/>
        </w:rPr>
      </w:pPr>
      <w:r w:rsidRPr="00560494">
        <w:rPr>
          <w:rFonts w:ascii="Arial" w:hAnsi="Arial" w:cs="Arial"/>
          <w:sz w:val="18"/>
          <w:szCs w:val="18"/>
        </w:rPr>
        <w:t>Statistika hospitalizací vychází z jednotlivých hlášení o ukončených případech hospitalizace. Zpravodajskou jednotkou je každé lůžkové oddělení zdravotnických zařízení v ČR vyjma ozdravoven a lázeňských léčeben. Za jeden případ hospitalizace se považuje každé ukončení hospitalizace na jednom oddělení, ať již hospitalizace skončila propuštěním, nebo úmrtím pacienta či jeho přeložením na jiné oddělení nebo do jiného zařízení.</w:t>
      </w:r>
    </w:p>
    <w:p w14:paraId="3C04E24B" w14:textId="77777777"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b/>
          <w:sz w:val="18"/>
          <w:szCs w:val="18"/>
        </w:rPr>
      </w:pPr>
      <w:r w:rsidRPr="00560494">
        <w:rPr>
          <w:rFonts w:ascii="Arial" w:hAnsi="Arial" w:cs="Arial"/>
          <w:b/>
          <w:sz w:val="18"/>
          <w:szCs w:val="18"/>
        </w:rPr>
        <w:t>Hospitalizovaní</w:t>
      </w:r>
    </w:p>
    <w:p w14:paraId="226A2A58" w14:textId="77777777"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sz w:val="18"/>
          <w:szCs w:val="18"/>
        </w:rPr>
      </w:pPr>
      <w:r w:rsidRPr="00560494">
        <w:rPr>
          <w:rFonts w:ascii="Arial" w:hAnsi="Arial" w:cs="Arial"/>
          <w:sz w:val="18"/>
          <w:szCs w:val="18"/>
        </w:rPr>
        <w:t>Počet osob (každá zahrnuta jen jednou) hospitalizovaných v daném zdravotnickém zařízení nebo na daném oddělení, včetně cizinců a narozených dětí.</w:t>
      </w:r>
    </w:p>
    <w:p w14:paraId="5DE7364D" w14:textId="77777777" w:rsidR="00560494" w:rsidRPr="00560494" w:rsidRDefault="00560494" w:rsidP="00C402BD">
      <w:pPr>
        <w:keepNext/>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b/>
          <w:sz w:val="18"/>
          <w:szCs w:val="18"/>
          <w:shd w:val="clear" w:color="auto" w:fill="FFFFFF"/>
        </w:rPr>
      </w:pPr>
      <w:r w:rsidRPr="00560494">
        <w:rPr>
          <w:rFonts w:ascii="Arial" w:hAnsi="Arial" w:cs="Arial"/>
          <w:b/>
          <w:sz w:val="18"/>
          <w:szCs w:val="18"/>
          <w:shd w:val="clear" w:color="auto" w:fill="FFFFFF"/>
        </w:rPr>
        <w:lastRenderedPageBreak/>
        <w:t>Ošetřovací dny</w:t>
      </w:r>
    </w:p>
    <w:p w14:paraId="0A1B1AFE" w14:textId="77777777"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sz w:val="18"/>
          <w:szCs w:val="18"/>
          <w:shd w:val="clear" w:color="auto" w:fill="FFFFFF"/>
        </w:rPr>
      </w:pPr>
      <w:r w:rsidRPr="00560494">
        <w:rPr>
          <w:rFonts w:ascii="Arial" w:hAnsi="Arial" w:cs="Arial"/>
          <w:sz w:val="18"/>
          <w:szCs w:val="18"/>
          <w:shd w:val="clear" w:color="auto" w:fill="FFFFFF"/>
        </w:rPr>
        <w:t>Jedním ošetřovacím dnem rozumíme celý kalendářní den, za který se pacientovi dostalo všech služeb, které poskytovatel lůžkové péče poskytuje, tj. včetně ubytování a stravování.</w:t>
      </w:r>
    </w:p>
    <w:p w14:paraId="4CE72EC8" w14:textId="77777777"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b/>
          <w:sz w:val="18"/>
          <w:szCs w:val="18"/>
          <w:shd w:val="clear" w:color="auto" w:fill="FFFFFF"/>
        </w:rPr>
      </w:pPr>
      <w:r w:rsidRPr="00560494">
        <w:rPr>
          <w:rFonts w:ascii="Arial" w:hAnsi="Arial" w:cs="Arial"/>
          <w:b/>
          <w:sz w:val="18"/>
          <w:szCs w:val="18"/>
          <w:shd w:val="clear" w:color="auto" w:fill="FFFFFF"/>
        </w:rPr>
        <w:t>Průměrná ošetřovací doba</w:t>
      </w:r>
    </w:p>
    <w:p w14:paraId="5BFA8473" w14:textId="77777777"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sz w:val="18"/>
          <w:szCs w:val="18"/>
        </w:rPr>
      </w:pPr>
      <w:r w:rsidRPr="00560494">
        <w:rPr>
          <w:rFonts w:ascii="Arial" w:hAnsi="Arial" w:cs="Arial"/>
          <w:sz w:val="18"/>
          <w:szCs w:val="18"/>
        </w:rPr>
        <w:t>Jedná se o průměrnou ošetřovací dobu hospitalizace na oddělení ve dnech. Je vypočítána jako průměrný počet ošetřovacích dnů připadajících na jeden případ hospitalizace na oddělení.</w:t>
      </w:r>
    </w:p>
    <w:p w14:paraId="34B808CB" w14:textId="100BD224" w:rsid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eastAsia="Calibri" w:hAnsi="Arial" w:cs="Arial"/>
          <w:bCs/>
          <w:sz w:val="18"/>
          <w:szCs w:val="18"/>
          <w:lang w:eastAsia="en-US"/>
        </w:rPr>
      </w:pPr>
    </w:p>
    <w:p w14:paraId="7F8AEF50" w14:textId="77777777" w:rsidR="00074491" w:rsidRPr="00560494" w:rsidRDefault="00074491"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eastAsia="Calibri" w:hAnsi="Arial" w:cs="Arial"/>
          <w:bCs/>
          <w:sz w:val="18"/>
          <w:szCs w:val="18"/>
          <w:lang w:eastAsia="en-US"/>
        </w:rPr>
      </w:pPr>
    </w:p>
    <w:p w14:paraId="1336257F" w14:textId="5CB40CE6" w:rsidR="00560494" w:rsidRDefault="00B50EFF"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b/>
          <w:color w:val="0071BC"/>
        </w:rPr>
      </w:pPr>
      <w:r w:rsidRPr="00560494">
        <w:rPr>
          <w:rFonts w:ascii="Arial" w:hAnsi="Arial" w:cs="Arial"/>
          <w:b/>
          <w:color w:val="0071BC"/>
        </w:rPr>
        <w:t>Tab. 25-</w:t>
      </w:r>
      <w:r>
        <w:rPr>
          <w:rFonts w:ascii="Arial" w:hAnsi="Arial" w:cs="Arial"/>
          <w:b/>
          <w:color w:val="0071BC"/>
        </w:rPr>
        <w:t>5 a 25-</w:t>
      </w:r>
      <w:r w:rsidR="00710198">
        <w:rPr>
          <w:rFonts w:ascii="Arial" w:hAnsi="Arial" w:cs="Arial"/>
          <w:b/>
          <w:color w:val="0071BC"/>
        </w:rPr>
        <w:t>6</w:t>
      </w:r>
      <w:r w:rsidRPr="00560494">
        <w:rPr>
          <w:rFonts w:ascii="Arial" w:hAnsi="Arial" w:cs="Arial"/>
          <w:b/>
          <w:color w:val="0071BC"/>
        </w:rPr>
        <w:t xml:space="preserve">  Lůžková péče v nemocnicích </w:t>
      </w:r>
      <w:r>
        <w:rPr>
          <w:rFonts w:ascii="Arial" w:hAnsi="Arial" w:cs="Arial"/>
          <w:b/>
          <w:color w:val="0071BC"/>
        </w:rPr>
        <w:t>následné péče</w:t>
      </w:r>
    </w:p>
    <w:p w14:paraId="2D46EEF5" w14:textId="0B72DEC1" w:rsidR="00710198" w:rsidRPr="0043139B" w:rsidRDefault="00710198" w:rsidP="00C402BD">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sz w:val="18"/>
          <w:szCs w:val="18"/>
        </w:rPr>
      </w:pPr>
      <w:r w:rsidRPr="00C402BD">
        <w:rPr>
          <w:rFonts w:ascii="Arial" w:hAnsi="Arial" w:cs="Arial"/>
          <w:b/>
          <w:sz w:val="18"/>
          <w:szCs w:val="18"/>
        </w:rPr>
        <w:t xml:space="preserve">Nemocnice následné péče </w:t>
      </w:r>
      <w:r w:rsidRPr="00C402BD">
        <w:rPr>
          <w:rFonts w:ascii="Arial" w:hAnsi="Arial" w:cs="Arial"/>
          <w:sz w:val="18"/>
          <w:szCs w:val="18"/>
        </w:rPr>
        <w:t xml:space="preserve">– </w:t>
      </w:r>
      <w:r w:rsidRPr="00317342">
        <w:rPr>
          <w:rFonts w:ascii="Arial" w:hAnsi="Arial" w:cs="Arial"/>
          <w:sz w:val="18"/>
          <w:szCs w:val="18"/>
        </w:rPr>
        <w:t>jedná se o zařízení, které poskytuje péči pacientovi</w:t>
      </w:r>
      <w:r w:rsidRPr="00317342">
        <w:rPr>
          <w:rFonts w:ascii="Arial" w:hAnsi="Arial" w:cs="Arial"/>
          <w:sz w:val="18"/>
          <w:szCs w:val="18"/>
          <w:shd w:val="clear" w:color="auto" w:fill="FFFFFF"/>
        </w:rPr>
        <w:t>, u kterého byla stanovena základní diagnóza a došlo ke stabilizaci jeho zdravotního stavu, zvládnutí náhlé nemoci nebo náhlého zhoršení chronické nemoci. Zdravotní stav pacienta však vyžaduje doléčení nebo poskytnutí zejména léčebně rehabilitační péče. Rovněž může být poskytována následná intenzivní péče pacientům, kteří jsou částečně nebo zcela závislí na podpoře základních životních funkcí.</w:t>
      </w:r>
    </w:p>
    <w:p w14:paraId="14030EA5" w14:textId="55A2DC98" w:rsidR="00B50EFF" w:rsidRDefault="00B50EFF"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sz w:val="18"/>
          <w:szCs w:val="18"/>
        </w:rPr>
      </w:pPr>
    </w:p>
    <w:p w14:paraId="63F58484" w14:textId="77777777" w:rsidR="00C402BD" w:rsidRDefault="00C402BD"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sz w:val="18"/>
          <w:szCs w:val="18"/>
        </w:rPr>
      </w:pPr>
    </w:p>
    <w:p w14:paraId="186EC3CD" w14:textId="17601937" w:rsidR="0043139B" w:rsidRDefault="0043139B" w:rsidP="0043139B">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b/>
          <w:color w:val="0071BC"/>
        </w:rPr>
      </w:pPr>
      <w:r w:rsidRPr="00560494">
        <w:rPr>
          <w:rFonts w:ascii="Arial" w:hAnsi="Arial" w:cs="Arial"/>
          <w:b/>
          <w:color w:val="0071BC"/>
        </w:rPr>
        <w:t>Tab. 25-</w:t>
      </w:r>
      <w:r w:rsidR="004A230C">
        <w:rPr>
          <w:rFonts w:ascii="Arial" w:hAnsi="Arial" w:cs="Arial"/>
          <w:b/>
          <w:color w:val="0071BC"/>
        </w:rPr>
        <w:t>7 a</w:t>
      </w:r>
      <w:r>
        <w:rPr>
          <w:rFonts w:ascii="Arial" w:hAnsi="Arial" w:cs="Arial"/>
          <w:b/>
          <w:color w:val="0071BC"/>
        </w:rPr>
        <w:t xml:space="preserve"> 25-8</w:t>
      </w:r>
      <w:r w:rsidRPr="00560494">
        <w:rPr>
          <w:rFonts w:ascii="Arial" w:hAnsi="Arial" w:cs="Arial"/>
          <w:b/>
          <w:color w:val="0071BC"/>
        </w:rPr>
        <w:t xml:space="preserve">  Lůžková péče v</w:t>
      </w:r>
      <w:r>
        <w:rPr>
          <w:rFonts w:ascii="Arial" w:hAnsi="Arial" w:cs="Arial"/>
          <w:b/>
          <w:color w:val="0071BC"/>
        </w:rPr>
        <w:t> psychiatrických nemocnicích a léčebnách</w:t>
      </w:r>
    </w:p>
    <w:p w14:paraId="1E437449" w14:textId="30C8C8F5" w:rsidR="00685384" w:rsidRPr="00685384" w:rsidRDefault="0043139B" w:rsidP="00685384">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rFonts w:ascii="Arial" w:hAnsi="Arial"/>
          <w:color w:val="040C28"/>
          <w:sz w:val="18"/>
        </w:rPr>
      </w:pPr>
      <w:r w:rsidRPr="00C402BD">
        <w:rPr>
          <w:rFonts w:ascii="Arial" w:hAnsi="Arial" w:cs="Arial"/>
          <w:b/>
          <w:sz w:val="18"/>
          <w:szCs w:val="18"/>
        </w:rPr>
        <w:t xml:space="preserve">Psychiatrická nemocnice (léčebna) </w:t>
      </w:r>
      <w:r w:rsidR="00685384" w:rsidRPr="00317342">
        <w:rPr>
          <w:rFonts w:ascii="Arial" w:hAnsi="Arial" w:cs="Arial"/>
          <w:sz w:val="18"/>
          <w:szCs w:val="18"/>
          <w:shd w:val="clear" w:color="auto" w:fill="FFFFFF"/>
        </w:rPr>
        <w:t xml:space="preserve">– </w:t>
      </w:r>
      <w:r w:rsidRPr="00C402BD">
        <w:rPr>
          <w:rFonts w:ascii="Arial" w:hAnsi="Arial" w:cs="Arial"/>
          <w:sz w:val="18"/>
          <w:szCs w:val="18"/>
        </w:rPr>
        <w:t>je</w:t>
      </w:r>
      <w:r w:rsidRPr="00C402BD">
        <w:rPr>
          <w:rFonts w:ascii="Arial" w:hAnsi="Arial" w:cs="Arial"/>
          <w:sz w:val="18"/>
          <w:szCs w:val="18"/>
          <w:shd w:val="clear" w:color="auto" w:fill="FFFFFF"/>
        </w:rPr>
        <w:t> </w:t>
      </w:r>
      <w:r w:rsidRPr="00C402BD">
        <w:rPr>
          <w:rFonts w:ascii="Arial" w:hAnsi="Arial" w:cs="Arial"/>
          <w:sz w:val="18"/>
          <w:szCs w:val="18"/>
        </w:rPr>
        <w:t xml:space="preserve">lékařské </w:t>
      </w:r>
      <w:r w:rsidRPr="0043139B">
        <w:rPr>
          <w:rFonts w:ascii="Arial" w:hAnsi="Arial" w:cs="Arial"/>
          <w:color w:val="040C28"/>
          <w:sz w:val="18"/>
          <w:szCs w:val="18"/>
        </w:rPr>
        <w:t>zařízení se specializací na léčbu závažných duševních onemocnění a</w:t>
      </w:r>
      <w:r w:rsidR="00317342">
        <w:rPr>
          <w:rFonts w:ascii="Arial" w:hAnsi="Arial" w:cs="Arial"/>
          <w:color w:val="040C28"/>
          <w:sz w:val="18"/>
          <w:szCs w:val="18"/>
        </w:rPr>
        <w:t> </w:t>
      </w:r>
      <w:r w:rsidRPr="0043139B">
        <w:rPr>
          <w:rFonts w:ascii="Arial" w:hAnsi="Arial" w:cs="Arial"/>
          <w:color w:val="040C28"/>
          <w:sz w:val="18"/>
          <w:szCs w:val="18"/>
        </w:rPr>
        <w:t>toxikomanických závislostí hospitalizovaných pacientů</w:t>
      </w:r>
      <w:r w:rsidRPr="0043139B">
        <w:rPr>
          <w:rFonts w:ascii="Arial" w:hAnsi="Arial" w:cs="Arial"/>
          <w:color w:val="202124"/>
          <w:sz w:val="18"/>
          <w:szCs w:val="18"/>
          <w:shd w:val="clear" w:color="auto" w:fill="FFFFFF"/>
        </w:rPr>
        <w:t>.</w:t>
      </w:r>
      <w:r w:rsidR="00685384" w:rsidRPr="00685384">
        <w:rPr>
          <w:rFonts w:ascii="Arial" w:hAnsi="Arial" w:cs="Arial"/>
          <w:color w:val="040C28"/>
          <w:sz w:val="18"/>
          <w:szCs w:val="18"/>
        </w:rPr>
        <w:t xml:space="preserve"> </w:t>
      </w:r>
      <w:r w:rsidR="00685384" w:rsidRPr="00B86645">
        <w:rPr>
          <w:rFonts w:ascii="Arial" w:hAnsi="Arial" w:cs="Arial"/>
          <w:color w:val="040C28"/>
          <w:sz w:val="18"/>
          <w:szCs w:val="18"/>
        </w:rPr>
        <w:t>Jedná se o zařízení poskytující dlouhodobou psychiatrickou péči, nikoli akutní.</w:t>
      </w:r>
    </w:p>
    <w:p w14:paraId="0DC6A32E" w14:textId="5151993D" w:rsidR="0043139B" w:rsidRDefault="0043139B"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sz w:val="18"/>
          <w:szCs w:val="18"/>
        </w:rPr>
      </w:pPr>
    </w:p>
    <w:p w14:paraId="089A391F" w14:textId="77777777" w:rsidR="00C402BD" w:rsidRDefault="00C402BD"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sz w:val="18"/>
          <w:szCs w:val="18"/>
        </w:rPr>
      </w:pPr>
    </w:p>
    <w:p w14:paraId="2D12261B" w14:textId="241BF8B8" w:rsidR="0043139B" w:rsidRPr="00560494" w:rsidRDefault="0043139B" w:rsidP="0043139B">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b/>
          <w:color w:val="0071BC"/>
        </w:rPr>
      </w:pPr>
      <w:r w:rsidRPr="00560494">
        <w:rPr>
          <w:rFonts w:ascii="Arial" w:hAnsi="Arial" w:cs="Arial"/>
          <w:b/>
          <w:color w:val="0071BC"/>
        </w:rPr>
        <w:t>Tab. 25-</w:t>
      </w:r>
      <w:r>
        <w:rPr>
          <w:rFonts w:ascii="Arial" w:hAnsi="Arial" w:cs="Arial"/>
          <w:b/>
          <w:color w:val="0071BC"/>
        </w:rPr>
        <w:t>9</w:t>
      </w:r>
      <w:r w:rsidRPr="00560494">
        <w:rPr>
          <w:rFonts w:ascii="Arial" w:hAnsi="Arial" w:cs="Arial"/>
          <w:b/>
          <w:color w:val="0071BC"/>
        </w:rPr>
        <w:t xml:space="preserve">  Lázeňské léčebny</w:t>
      </w:r>
    </w:p>
    <w:p w14:paraId="2C4CA064" w14:textId="77777777" w:rsidR="0043139B" w:rsidRPr="00560494" w:rsidRDefault="0043139B" w:rsidP="0043139B">
      <w:pPr>
        <w:widowControl/>
        <w:spacing w:after="0"/>
        <w:jc w:val="both"/>
        <w:rPr>
          <w:rFonts w:ascii="Arial" w:hAnsi="Arial" w:cs="Arial"/>
          <w:sz w:val="18"/>
          <w:szCs w:val="18"/>
        </w:rPr>
      </w:pPr>
      <w:r w:rsidRPr="00560494">
        <w:rPr>
          <w:rFonts w:ascii="Arial" w:hAnsi="Arial" w:cs="Arial"/>
          <w:sz w:val="18"/>
          <w:szCs w:val="18"/>
        </w:rPr>
        <w:t>Zdrojem informací je výkaz o </w:t>
      </w:r>
      <w:r w:rsidRPr="00560494">
        <w:rPr>
          <w:rFonts w:ascii="Arial" w:hAnsi="Arial" w:cs="Arial"/>
          <w:bCs/>
          <w:sz w:val="18"/>
          <w:szCs w:val="18"/>
        </w:rPr>
        <w:t>činnosti poskytovatele lázeňské léčebně rehabilitační péče</w:t>
      </w:r>
      <w:r w:rsidRPr="00560494">
        <w:rPr>
          <w:rFonts w:ascii="Arial" w:hAnsi="Arial" w:cs="Arial"/>
          <w:sz w:val="18"/>
          <w:szCs w:val="18"/>
        </w:rPr>
        <w:t>, vyplňovaný lázeňskými zařízeními.</w:t>
      </w:r>
    </w:p>
    <w:p w14:paraId="12B1FA37" w14:textId="77777777" w:rsidR="0043139B" w:rsidRPr="00560494" w:rsidRDefault="0043139B" w:rsidP="0043139B">
      <w:pPr>
        <w:widowControl/>
        <w:spacing w:after="0"/>
        <w:jc w:val="both"/>
        <w:rPr>
          <w:rFonts w:ascii="Arial" w:hAnsi="Arial" w:cs="Arial"/>
          <w:sz w:val="18"/>
          <w:szCs w:val="18"/>
        </w:rPr>
      </w:pPr>
      <w:r w:rsidRPr="00560494">
        <w:rPr>
          <w:rFonts w:ascii="Arial" w:hAnsi="Arial" w:cs="Arial"/>
          <w:b/>
          <w:sz w:val="18"/>
          <w:szCs w:val="18"/>
        </w:rPr>
        <w:t>Lázeňská péče</w:t>
      </w:r>
      <w:r w:rsidRPr="00560494">
        <w:rPr>
          <w:rFonts w:ascii="Arial" w:hAnsi="Arial" w:cs="Arial"/>
          <w:sz w:val="18"/>
          <w:szCs w:val="18"/>
        </w:rPr>
        <w:t xml:space="preserve"> doporučená lékařem jako nezbytná součást léčebného procesu a plně hrazená zdravotní pojišťovnou se označuje jako komplexní lázeňská péče (KLP).</w:t>
      </w:r>
    </w:p>
    <w:p w14:paraId="50D8DA4F" w14:textId="77777777" w:rsidR="0043139B" w:rsidRPr="00560494" w:rsidRDefault="0043139B" w:rsidP="0043139B">
      <w:pPr>
        <w:widowControl/>
        <w:spacing w:after="0"/>
        <w:jc w:val="both"/>
        <w:rPr>
          <w:rFonts w:ascii="Arial" w:hAnsi="Arial" w:cs="Arial"/>
          <w:sz w:val="18"/>
          <w:szCs w:val="18"/>
        </w:rPr>
      </w:pPr>
      <w:r w:rsidRPr="00560494">
        <w:rPr>
          <w:rFonts w:ascii="Arial" w:hAnsi="Arial" w:cs="Arial"/>
          <w:sz w:val="18"/>
          <w:szCs w:val="18"/>
        </w:rPr>
        <w:t xml:space="preserve">Údaje o počtu </w:t>
      </w:r>
      <w:r w:rsidRPr="00560494">
        <w:rPr>
          <w:rFonts w:ascii="Arial" w:hAnsi="Arial" w:cs="Arial"/>
          <w:b/>
          <w:sz w:val="18"/>
          <w:szCs w:val="18"/>
        </w:rPr>
        <w:t>zařízení</w:t>
      </w:r>
      <w:r w:rsidRPr="00560494">
        <w:rPr>
          <w:rFonts w:ascii="Arial" w:hAnsi="Arial" w:cs="Arial"/>
          <w:sz w:val="18"/>
          <w:szCs w:val="18"/>
        </w:rPr>
        <w:t xml:space="preserve"> a </w:t>
      </w:r>
      <w:r w:rsidRPr="00560494">
        <w:rPr>
          <w:rFonts w:ascii="Arial" w:hAnsi="Arial" w:cs="Arial"/>
          <w:b/>
          <w:sz w:val="18"/>
          <w:szCs w:val="18"/>
        </w:rPr>
        <w:t>lůžek pro komplexní lázeňskou péči</w:t>
      </w:r>
      <w:r w:rsidRPr="00560494">
        <w:rPr>
          <w:rFonts w:ascii="Arial" w:hAnsi="Arial" w:cs="Arial"/>
          <w:sz w:val="18"/>
          <w:szCs w:val="18"/>
        </w:rPr>
        <w:t xml:space="preserve"> zahrnují rovněž zařízení, která v průběhu roku ukončila svou činnost.</w:t>
      </w:r>
    </w:p>
    <w:p w14:paraId="116D66EC" w14:textId="77709402" w:rsidR="0043139B" w:rsidRDefault="0043139B"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sz w:val="18"/>
          <w:szCs w:val="18"/>
        </w:rPr>
      </w:pPr>
    </w:p>
    <w:p w14:paraId="34EB17E6" w14:textId="77777777" w:rsidR="005226EC" w:rsidRPr="00560494" w:rsidRDefault="005226EC"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sz w:val="18"/>
          <w:szCs w:val="18"/>
        </w:rPr>
      </w:pPr>
    </w:p>
    <w:p w14:paraId="40B7CAFC" w14:textId="41F587C6" w:rsidR="0043139B" w:rsidRPr="00560494" w:rsidRDefault="0043139B" w:rsidP="0043139B">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b/>
          <w:bCs/>
          <w:color w:val="0071BC"/>
        </w:rPr>
      </w:pPr>
      <w:r w:rsidRPr="00560494">
        <w:rPr>
          <w:rFonts w:ascii="Arial" w:hAnsi="Arial" w:cs="Arial"/>
          <w:b/>
          <w:bCs/>
          <w:color w:val="0071BC"/>
        </w:rPr>
        <w:t>Tab. 25-</w:t>
      </w:r>
      <w:r>
        <w:rPr>
          <w:rFonts w:ascii="Arial" w:hAnsi="Arial" w:cs="Arial"/>
          <w:b/>
          <w:bCs/>
          <w:color w:val="0071BC"/>
        </w:rPr>
        <w:t>10</w:t>
      </w:r>
      <w:r w:rsidRPr="00560494">
        <w:rPr>
          <w:rFonts w:ascii="Arial" w:hAnsi="Arial" w:cs="Arial"/>
          <w:b/>
          <w:bCs/>
          <w:color w:val="0071BC"/>
        </w:rPr>
        <w:t xml:space="preserve">  Vybrané infekční nemoci povinně hlášené</w:t>
      </w:r>
    </w:p>
    <w:p w14:paraId="65F300F5" w14:textId="3A00A01B" w:rsidR="0043139B" w:rsidRDefault="0043139B" w:rsidP="0043139B">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bCs/>
          <w:sz w:val="18"/>
          <w:szCs w:val="18"/>
        </w:rPr>
      </w:pPr>
      <w:r w:rsidRPr="00560494">
        <w:rPr>
          <w:rFonts w:ascii="Arial" w:hAnsi="Arial" w:cs="Arial"/>
          <w:bCs/>
          <w:sz w:val="18"/>
          <w:szCs w:val="18"/>
        </w:rPr>
        <w:t>Údaje pocházejí z Informačního systému infekčních nemocí, jehož zpracovatelem je Státní zdravotní ústav (SZÚ) a správcem Ministerstvo zdravotnictví. Dále tabulka obsahuje data k příslušným infekčním nemocem ze specializovaných informačních systémů: Registr tuberkulózy a Národní referenční laboratoř pro HIV/AIDS.</w:t>
      </w:r>
    </w:p>
    <w:p w14:paraId="450B0593" w14:textId="52E1A31B" w:rsidR="005226EC" w:rsidRPr="005226EC" w:rsidRDefault="005226EC" w:rsidP="005226EC">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sz w:val="18"/>
          <w:szCs w:val="18"/>
        </w:rPr>
      </w:pPr>
    </w:p>
    <w:p w14:paraId="353B2052" w14:textId="77777777" w:rsidR="005226EC" w:rsidRPr="005226EC" w:rsidRDefault="005226EC" w:rsidP="005226EC">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sz w:val="18"/>
          <w:szCs w:val="18"/>
        </w:rPr>
      </w:pPr>
    </w:p>
    <w:p w14:paraId="76CE16F9" w14:textId="083C6F52"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b/>
          <w:color w:val="0071BC"/>
        </w:rPr>
      </w:pPr>
      <w:r w:rsidRPr="00560494">
        <w:rPr>
          <w:rFonts w:ascii="Arial" w:hAnsi="Arial" w:cs="Arial"/>
          <w:b/>
          <w:color w:val="0071BC"/>
        </w:rPr>
        <w:t>Tab. 25-</w:t>
      </w:r>
      <w:r w:rsidR="00D04043">
        <w:rPr>
          <w:rFonts w:ascii="Arial" w:hAnsi="Arial" w:cs="Arial"/>
          <w:b/>
          <w:color w:val="0071BC"/>
        </w:rPr>
        <w:t>1</w:t>
      </w:r>
      <w:r w:rsidR="00DA5AAF">
        <w:rPr>
          <w:rFonts w:ascii="Arial" w:hAnsi="Arial" w:cs="Arial"/>
          <w:b/>
          <w:color w:val="0071BC"/>
        </w:rPr>
        <w:t>1</w:t>
      </w:r>
      <w:r w:rsidRPr="00560494">
        <w:rPr>
          <w:rFonts w:ascii="Arial" w:hAnsi="Arial" w:cs="Arial"/>
          <w:b/>
          <w:color w:val="0071BC"/>
        </w:rPr>
        <w:t xml:space="preserve"> a 25-</w:t>
      </w:r>
      <w:r w:rsidR="00DC2E8E">
        <w:rPr>
          <w:rFonts w:ascii="Arial" w:hAnsi="Arial" w:cs="Arial"/>
          <w:b/>
          <w:color w:val="0071BC"/>
        </w:rPr>
        <w:t>1</w:t>
      </w:r>
      <w:r w:rsidR="00DA5AAF">
        <w:rPr>
          <w:rFonts w:ascii="Arial" w:hAnsi="Arial" w:cs="Arial"/>
          <w:b/>
          <w:color w:val="0071BC"/>
        </w:rPr>
        <w:t>2</w:t>
      </w:r>
      <w:r w:rsidRPr="00560494">
        <w:rPr>
          <w:rFonts w:ascii="Arial" w:hAnsi="Arial" w:cs="Arial"/>
          <w:b/>
          <w:color w:val="0071BC"/>
        </w:rPr>
        <w:t xml:space="preserve">  </w:t>
      </w:r>
      <w:r w:rsidR="00D04043">
        <w:rPr>
          <w:rFonts w:ascii="Arial" w:hAnsi="Arial" w:cs="Arial"/>
          <w:b/>
          <w:color w:val="0071BC"/>
        </w:rPr>
        <w:t>P</w:t>
      </w:r>
      <w:r w:rsidR="00D04043" w:rsidRPr="00560494">
        <w:rPr>
          <w:rFonts w:ascii="Arial" w:hAnsi="Arial" w:cs="Arial"/>
          <w:b/>
          <w:color w:val="0071BC"/>
        </w:rPr>
        <w:t xml:space="preserve">acienti </w:t>
      </w:r>
      <w:r w:rsidR="00D04043">
        <w:rPr>
          <w:rFonts w:ascii="Arial" w:hAnsi="Arial" w:cs="Arial"/>
          <w:b/>
          <w:color w:val="0071BC"/>
        </w:rPr>
        <w:t>a n</w:t>
      </w:r>
      <w:r w:rsidRPr="00560494">
        <w:rPr>
          <w:rFonts w:ascii="Arial" w:hAnsi="Arial" w:cs="Arial"/>
          <w:b/>
          <w:color w:val="0071BC"/>
        </w:rPr>
        <w:t>ávštěvy v zařízeních ambulantní péče podle odborností</w:t>
      </w:r>
      <w:r w:rsidR="00D04043">
        <w:rPr>
          <w:rFonts w:ascii="Arial" w:hAnsi="Arial" w:cs="Arial"/>
          <w:b/>
          <w:color w:val="0071BC"/>
        </w:rPr>
        <w:t xml:space="preserve"> a podle věku</w:t>
      </w:r>
    </w:p>
    <w:p w14:paraId="758BED76" w14:textId="5B5FFF44" w:rsidR="00560494" w:rsidRPr="00560494" w:rsidRDefault="00D04043"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sz w:val="18"/>
          <w:szCs w:val="18"/>
        </w:rPr>
      </w:pPr>
      <w:r w:rsidRPr="00074491">
        <w:rPr>
          <w:rFonts w:ascii="Arial" w:hAnsi="Arial" w:cs="Arial"/>
          <w:b/>
          <w:sz w:val="18"/>
          <w:szCs w:val="18"/>
        </w:rPr>
        <w:t xml:space="preserve">Pacientem </w:t>
      </w:r>
      <w:r w:rsidRPr="00560494">
        <w:rPr>
          <w:rFonts w:ascii="Arial" w:hAnsi="Arial" w:cs="Arial"/>
          <w:sz w:val="18"/>
          <w:szCs w:val="18"/>
        </w:rPr>
        <w:t xml:space="preserve">v ambulantní péči je osoba, která alespoň jednou ve sledovaném roce čerpala ambulantní péči hrazenou zdravotní pojišťovnou. </w:t>
      </w:r>
      <w:r w:rsidR="00560494" w:rsidRPr="00560494">
        <w:rPr>
          <w:rFonts w:ascii="Arial" w:hAnsi="Arial" w:cs="Arial"/>
          <w:sz w:val="18"/>
          <w:szCs w:val="18"/>
        </w:rPr>
        <w:t>Jedná se o soubor fyzických osob, u nichž došlo k provedení výkonu při návštěvě ambulantního zařízení.</w:t>
      </w:r>
    </w:p>
    <w:p w14:paraId="43BCE92F" w14:textId="77777777" w:rsidR="00D04043" w:rsidRPr="00560494" w:rsidRDefault="00D04043" w:rsidP="00D04043">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sz w:val="18"/>
          <w:szCs w:val="18"/>
        </w:rPr>
      </w:pPr>
      <w:r w:rsidRPr="00560494">
        <w:rPr>
          <w:rFonts w:ascii="Arial" w:hAnsi="Arial" w:cs="Arial"/>
          <w:sz w:val="18"/>
          <w:szCs w:val="18"/>
        </w:rPr>
        <w:t xml:space="preserve">Za návštěvu (kontakt) se považuje soubor všech výkonů provedených při ošetřování fyzické osoby v ambulantním zařízení při jedné návštěvě pacienta. Za návštěvu (kontakt) se považuje také kontakt s pacientem za účelem administrativním (předepsání receptu, potvrzení průkazu apod.). Výkony provádí lékař nebo zdravotní sestra podle pokynů lékaře. </w:t>
      </w:r>
      <w:r w:rsidRPr="00560494">
        <w:rPr>
          <w:rFonts w:ascii="Arial" w:hAnsi="Arial" w:cs="Arial"/>
          <w:b/>
          <w:sz w:val="18"/>
          <w:szCs w:val="18"/>
        </w:rPr>
        <w:t>Do počtu kontaktů se počítají telefonické a elektronické konzultace</w:t>
      </w:r>
      <w:r w:rsidRPr="00560494">
        <w:rPr>
          <w:rFonts w:ascii="Arial" w:hAnsi="Arial" w:cs="Arial"/>
          <w:sz w:val="18"/>
          <w:szCs w:val="18"/>
        </w:rPr>
        <w:t>, které výrazně vzrostly v roce 2020 a 2021 z důvodu onemocnění COVID-19.</w:t>
      </w:r>
    </w:p>
    <w:p w14:paraId="1421CD78" w14:textId="77777777"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sz w:val="18"/>
          <w:szCs w:val="18"/>
          <w:highlight w:val="yellow"/>
        </w:rPr>
      </w:pPr>
    </w:p>
    <w:p w14:paraId="6FD422F9" w14:textId="77777777"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sz w:val="18"/>
          <w:szCs w:val="18"/>
          <w:highlight w:val="yellow"/>
        </w:rPr>
      </w:pPr>
    </w:p>
    <w:p w14:paraId="1486548D" w14:textId="54773AEE" w:rsidR="00560494" w:rsidRPr="00560494" w:rsidRDefault="00560494" w:rsidP="00560494">
      <w:pPr>
        <w:widowControl/>
        <w:autoSpaceDE/>
        <w:autoSpaceDN/>
        <w:adjustRightInd/>
        <w:spacing w:before="0" w:after="0"/>
        <w:jc w:val="both"/>
        <w:rPr>
          <w:rFonts w:ascii="Arial" w:hAnsi="Arial" w:cs="Arial"/>
          <w:b/>
          <w:bCs/>
          <w:color w:val="0071BC"/>
        </w:rPr>
      </w:pPr>
      <w:r w:rsidRPr="00560494">
        <w:rPr>
          <w:rFonts w:ascii="Arial" w:hAnsi="Arial" w:cs="Arial"/>
          <w:b/>
          <w:bCs/>
          <w:color w:val="0071BC"/>
        </w:rPr>
        <w:t xml:space="preserve">Tab. </w:t>
      </w:r>
      <w:r w:rsidRPr="00560494">
        <w:rPr>
          <w:rFonts w:ascii="Arial" w:hAnsi="Arial" w:cs="Arial"/>
          <w:b/>
          <w:color w:val="0071BC"/>
        </w:rPr>
        <w:t>25</w:t>
      </w:r>
      <w:r w:rsidRPr="00560494">
        <w:rPr>
          <w:rFonts w:ascii="Arial" w:hAnsi="Arial" w:cs="Arial"/>
          <w:b/>
          <w:bCs/>
          <w:color w:val="0071BC"/>
        </w:rPr>
        <w:t>-</w:t>
      </w:r>
      <w:r w:rsidR="00D04043">
        <w:rPr>
          <w:rFonts w:ascii="Arial" w:hAnsi="Arial" w:cs="Arial"/>
          <w:b/>
          <w:color w:val="0071BC"/>
        </w:rPr>
        <w:t>1</w:t>
      </w:r>
      <w:r w:rsidR="00DA5AAF">
        <w:rPr>
          <w:rFonts w:ascii="Arial" w:hAnsi="Arial" w:cs="Arial"/>
          <w:b/>
          <w:color w:val="0071BC"/>
        </w:rPr>
        <w:t>3</w:t>
      </w:r>
      <w:r w:rsidR="00D04043" w:rsidRPr="00560494">
        <w:rPr>
          <w:rFonts w:ascii="Arial" w:hAnsi="Arial" w:cs="Arial"/>
          <w:b/>
          <w:bCs/>
          <w:color w:val="0071BC"/>
        </w:rPr>
        <w:t xml:space="preserve"> </w:t>
      </w:r>
      <w:r w:rsidRPr="00560494">
        <w:rPr>
          <w:rFonts w:ascii="Arial" w:hAnsi="Arial" w:cs="Arial"/>
          <w:b/>
          <w:bCs/>
          <w:color w:val="0071BC"/>
        </w:rPr>
        <w:t>a 25-</w:t>
      </w:r>
      <w:r w:rsidR="00DA5AAF">
        <w:rPr>
          <w:rFonts w:ascii="Arial" w:hAnsi="Arial" w:cs="Arial"/>
          <w:b/>
          <w:bCs/>
          <w:color w:val="0071BC"/>
        </w:rPr>
        <w:t>14</w:t>
      </w:r>
      <w:r w:rsidR="00D04043" w:rsidRPr="00560494">
        <w:rPr>
          <w:rFonts w:ascii="Arial" w:hAnsi="Arial" w:cs="Arial"/>
          <w:b/>
          <w:bCs/>
          <w:color w:val="0071BC"/>
        </w:rPr>
        <w:t xml:space="preserve">  </w:t>
      </w:r>
      <w:r w:rsidRPr="00560494">
        <w:rPr>
          <w:rFonts w:ascii="Arial" w:hAnsi="Arial" w:cs="Arial"/>
          <w:b/>
          <w:color w:val="0071BC"/>
        </w:rPr>
        <w:t>Nově hlášená onemocnění zhoubnými novotvary</w:t>
      </w:r>
    </w:p>
    <w:p w14:paraId="00665FAC" w14:textId="77777777" w:rsidR="00560494" w:rsidRPr="00560494" w:rsidRDefault="00560494" w:rsidP="00560494">
      <w:pPr>
        <w:spacing w:after="0"/>
        <w:jc w:val="both"/>
        <w:rPr>
          <w:rFonts w:ascii="Arial" w:hAnsi="Arial" w:cs="Arial"/>
          <w:sz w:val="18"/>
          <w:szCs w:val="18"/>
        </w:rPr>
      </w:pPr>
      <w:r w:rsidRPr="00560494">
        <w:rPr>
          <w:rFonts w:ascii="Arial" w:hAnsi="Arial" w:cs="Arial"/>
          <w:sz w:val="18"/>
          <w:szCs w:val="18"/>
        </w:rPr>
        <w:t>Údaje</w:t>
      </w:r>
      <w:r w:rsidRPr="00560494">
        <w:rPr>
          <w:rFonts w:ascii="Arial" w:hAnsi="Arial" w:cs="Arial"/>
          <w:bCs/>
          <w:sz w:val="18"/>
          <w:szCs w:val="18"/>
        </w:rPr>
        <w:t xml:space="preserve"> </w:t>
      </w:r>
      <w:r w:rsidRPr="00560494">
        <w:rPr>
          <w:rFonts w:ascii="Arial" w:hAnsi="Arial" w:cs="Arial"/>
          <w:color w:val="0A0A0A"/>
          <w:sz w:val="18"/>
          <w:szCs w:val="18"/>
          <w:shd w:val="clear" w:color="auto" w:fill="FFFFFF"/>
        </w:rPr>
        <w:t>vycházejí z dat Národního onkologického registru (NOR) ČR,</w:t>
      </w:r>
      <w:r w:rsidRPr="00560494">
        <w:rPr>
          <w:rFonts w:ascii="Arial" w:hAnsi="Arial" w:cs="Arial"/>
          <w:sz w:val="18"/>
          <w:szCs w:val="18"/>
        </w:rPr>
        <w:t xml:space="preserve"> který je součástí Národního zdravotnického informačního systému (NZIS). NOR je celoplošným populačním registrem, který funguje od roku 1976 a jehož účelem je registrace onkologických onemocnění a periodické sledování jejich dalšího vývoje. V tabulce jsou započítány všechny zhoubné novotvary </w:t>
      </w:r>
      <w:r w:rsidRPr="00560494">
        <w:rPr>
          <w:rFonts w:ascii="Arial" w:hAnsi="Arial" w:cs="Arial"/>
          <w:b/>
          <w:sz w:val="18"/>
          <w:szCs w:val="18"/>
        </w:rPr>
        <w:t>vyjma jiných zhoubných novotvarů kůže, tj. C00–97 bez C44</w:t>
      </w:r>
      <w:r w:rsidRPr="00560494">
        <w:rPr>
          <w:rFonts w:ascii="Arial" w:hAnsi="Arial" w:cs="Arial"/>
          <w:sz w:val="18"/>
          <w:szCs w:val="18"/>
        </w:rPr>
        <w:t xml:space="preserve"> dle Mezinárodní statistické klasifikace přidružených zdravotních problémů, 10. revize (MKN-10).</w:t>
      </w:r>
    </w:p>
    <w:p w14:paraId="7270F0AB" w14:textId="77777777" w:rsidR="00560494" w:rsidRPr="00560494" w:rsidRDefault="00560494" w:rsidP="00560494">
      <w:pPr>
        <w:widowControl/>
        <w:autoSpaceDE/>
        <w:autoSpaceDN/>
        <w:adjustRightInd/>
        <w:spacing w:before="0" w:after="0"/>
        <w:jc w:val="both"/>
        <w:rPr>
          <w:rFonts w:ascii="Arial" w:hAnsi="Arial" w:cs="Arial"/>
          <w:bCs/>
          <w:sz w:val="18"/>
          <w:szCs w:val="18"/>
        </w:rPr>
      </w:pPr>
    </w:p>
    <w:p w14:paraId="71CDD03F" w14:textId="77777777" w:rsidR="00560494" w:rsidRPr="00560494" w:rsidRDefault="00560494" w:rsidP="00560494">
      <w:pPr>
        <w:widowControl/>
        <w:autoSpaceDE/>
        <w:autoSpaceDN/>
        <w:adjustRightInd/>
        <w:spacing w:before="0" w:after="0"/>
        <w:jc w:val="both"/>
        <w:rPr>
          <w:rFonts w:ascii="Arial" w:hAnsi="Arial" w:cs="Arial"/>
          <w:bCs/>
          <w:sz w:val="18"/>
          <w:szCs w:val="18"/>
        </w:rPr>
      </w:pPr>
    </w:p>
    <w:p w14:paraId="7FBB0056" w14:textId="73A14A88" w:rsidR="00560494" w:rsidRPr="00560494" w:rsidRDefault="00560494" w:rsidP="00560494">
      <w:pPr>
        <w:widowControl/>
        <w:autoSpaceDE/>
        <w:autoSpaceDN/>
        <w:adjustRightInd/>
        <w:spacing w:before="0" w:after="0"/>
        <w:jc w:val="both"/>
        <w:rPr>
          <w:rFonts w:ascii="Arial" w:hAnsi="Arial" w:cs="Arial"/>
          <w:b/>
          <w:bCs/>
          <w:color w:val="0071BC"/>
        </w:rPr>
      </w:pPr>
      <w:r w:rsidRPr="00560494">
        <w:rPr>
          <w:rFonts w:ascii="Arial" w:hAnsi="Arial" w:cs="Arial"/>
          <w:b/>
          <w:bCs/>
          <w:color w:val="0071BC"/>
        </w:rPr>
        <w:t xml:space="preserve">Tab. </w:t>
      </w:r>
      <w:r w:rsidRPr="00560494">
        <w:rPr>
          <w:rFonts w:ascii="Arial" w:hAnsi="Arial" w:cs="Arial"/>
          <w:b/>
          <w:color w:val="0071BC"/>
        </w:rPr>
        <w:t>25</w:t>
      </w:r>
      <w:r w:rsidRPr="00560494">
        <w:rPr>
          <w:rFonts w:ascii="Arial" w:hAnsi="Arial" w:cs="Arial"/>
          <w:b/>
          <w:bCs/>
          <w:color w:val="0071BC"/>
        </w:rPr>
        <w:t>-</w:t>
      </w:r>
      <w:r w:rsidR="00DA5AAF">
        <w:rPr>
          <w:rFonts w:ascii="Arial" w:hAnsi="Arial" w:cs="Arial"/>
          <w:b/>
          <w:color w:val="0071BC"/>
        </w:rPr>
        <w:t>15</w:t>
      </w:r>
      <w:r w:rsidR="00D04043" w:rsidRPr="00560494">
        <w:rPr>
          <w:rFonts w:ascii="Arial" w:hAnsi="Arial" w:cs="Arial"/>
          <w:b/>
          <w:color w:val="0071BC"/>
        </w:rPr>
        <w:t xml:space="preserve"> </w:t>
      </w:r>
      <w:r w:rsidRPr="00560494">
        <w:rPr>
          <w:rFonts w:ascii="Arial" w:hAnsi="Arial" w:cs="Arial"/>
          <w:b/>
          <w:color w:val="0071BC"/>
        </w:rPr>
        <w:t>a 25-</w:t>
      </w:r>
      <w:r w:rsidR="00DA5AAF">
        <w:rPr>
          <w:rFonts w:ascii="Arial" w:hAnsi="Arial" w:cs="Arial"/>
          <w:b/>
          <w:color w:val="0071BC"/>
        </w:rPr>
        <w:t>16</w:t>
      </w:r>
      <w:r w:rsidR="00D04043" w:rsidRPr="00560494">
        <w:rPr>
          <w:rFonts w:ascii="Arial" w:hAnsi="Arial" w:cs="Arial"/>
          <w:b/>
          <w:bCs/>
          <w:color w:val="0071BC"/>
        </w:rPr>
        <w:t xml:space="preserve"> </w:t>
      </w:r>
      <w:r w:rsidRPr="00560494">
        <w:rPr>
          <w:rFonts w:ascii="Arial" w:hAnsi="Arial" w:cs="Arial"/>
          <w:b/>
          <w:color w:val="0071BC"/>
        </w:rPr>
        <w:t>Léčení diabetici</w:t>
      </w:r>
    </w:p>
    <w:p w14:paraId="4408E265" w14:textId="77777777" w:rsidR="00560494" w:rsidRPr="00560494" w:rsidRDefault="00560494" w:rsidP="00560494">
      <w:pPr>
        <w:widowControl/>
        <w:autoSpaceDE/>
        <w:autoSpaceDN/>
        <w:adjustRightInd/>
        <w:spacing w:after="0"/>
        <w:jc w:val="both"/>
        <w:rPr>
          <w:rFonts w:ascii="Arial" w:hAnsi="Arial" w:cs="Arial"/>
          <w:sz w:val="18"/>
          <w:szCs w:val="18"/>
        </w:rPr>
      </w:pPr>
      <w:r w:rsidRPr="00560494">
        <w:rPr>
          <w:rFonts w:ascii="Arial" w:hAnsi="Arial" w:cs="Arial"/>
          <w:sz w:val="18"/>
          <w:szCs w:val="18"/>
        </w:rPr>
        <w:t xml:space="preserve">Jedná se o pacienty léčené pomocí antidiabetik (ATC skupina A10) pro diabetes mellitus I. a II. typu, bez ohledu na to, zda jsou léčeni v diabetologické ordinaci (včetně ambulantních částí nemocnic) nebo v ordinaci praktického lékaře pro dospělé. Uveden je stav k 31. 12. sledovaného roku. Diabetičtí pacienti léčení pouze dietou zde nejsou zahrnuti. </w:t>
      </w:r>
    </w:p>
    <w:p w14:paraId="23E21FF9" w14:textId="77777777"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sz w:val="18"/>
          <w:szCs w:val="18"/>
        </w:rPr>
      </w:pPr>
    </w:p>
    <w:p w14:paraId="34F160C9" w14:textId="77777777"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sz w:val="18"/>
          <w:szCs w:val="18"/>
        </w:rPr>
      </w:pPr>
    </w:p>
    <w:p w14:paraId="2B1AC3E1" w14:textId="3B2A75FA" w:rsidR="00560494" w:rsidRPr="00560494" w:rsidRDefault="00560494" w:rsidP="005C5D73">
      <w:pPr>
        <w:keepNext/>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b/>
          <w:color w:val="0071BC"/>
        </w:rPr>
      </w:pPr>
      <w:r w:rsidRPr="00560494">
        <w:rPr>
          <w:rFonts w:ascii="Arial" w:hAnsi="Arial" w:cs="Arial"/>
          <w:b/>
          <w:color w:val="0071BC"/>
        </w:rPr>
        <w:lastRenderedPageBreak/>
        <w:t xml:space="preserve">Tab. </w:t>
      </w:r>
      <w:r w:rsidRPr="00560494">
        <w:rPr>
          <w:rFonts w:ascii="Arial" w:hAnsi="Arial" w:cs="Arial"/>
          <w:b/>
          <w:bCs/>
          <w:color w:val="0071BC"/>
        </w:rPr>
        <w:t>25</w:t>
      </w:r>
      <w:r w:rsidRPr="00560494">
        <w:rPr>
          <w:rFonts w:ascii="Arial" w:hAnsi="Arial" w:cs="Arial"/>
          <w:b/>
          <w:color w:val="0071BC"/>
        </w:rPr>
        <w:t>-</w:t>
      </w:r>
      <w:r w:rsidR="00DA5AAF">
        <w:rPr>
          <w:rFonts w:ascii="Arial" w:hAnsi="Arial" w:cs="Arial"/>
          <w:b/>
          <w:color w:val="0071BC"/>
        </w:rPr>
        <w:t>17</w:t>
      </w:r>
      <w:r w:rsidRPr="00560494">
        <w:rPr>
          <w:rFonts w:ascii="Arial" w:hAnsi="Arial" w:cs="Arial"/>
          <w:b/>
          <w:color w:val="0071BC"/>
        </w:rPr>
        <w:t xml:space="preserve">  </w:t>
      </w:r>
      <w:r w:rsidRPr="00560494">
        <w:rPr>
          <w:rFonts w:ascii="Arial" w:hAnsi="Arial" w:cs="Arial"/>
          <w:b/>
          <w:bCs/>
          <w:color w:val="0071BC"/>
        </w:rPr>
        <w:t>Pracovní neschopnost pro nemoc a úraz – základní ukazatele</w:t>
      </w:r>
    </w:p>
    <w:p w14:paraId="3CD965CE" w14:textId="77777777" w:rsidR="00560494" w:rsidRPr="00560494" w:rsidRDefault="00560494" w:rsidP="005C5D73">
      <w:pPr>
        <w:keepNext/>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sz w:val="18"/>
          <w:szCs w:val="18"/>
        </w:rPr>
      </w:pPr>
      <w:r w:rsidRPr="00560494">
        <w:rPr>
          <w:rFonts w:ascii="Arial" w:hAnsi="Arial" w:cs="Arial"/>
          <w:sz w:val="18"/>
          <w:szCs w:val="18"/>
        </w:rPr>
        <w:t>Údaje do roku 2011 vycházejí ze zpracování statistického výkazu ČSÚ. Zpravodajskou povinnost k tomuto výkazu měly všechny ekonomické subjekty, popř. jejich nižší organizační složky, které samostatně prováděly agendu nemocenského pojištění. Do zpracování byly dále zařazeny sumáře předkládané Okresními správami sociálního zabezpečení za ty subjekty, které si samy nelikvidovaly nemocenské pojištění.</w:t>
      </w:r>
    </w:p>
    <w:p w14:paraId="7B236C38" w14:textId="77777777" w:rsidR="00560494" w:rsidRPr="00560494" w:rsidRDefault="00560494" w:rsidP="0031467F">
      <w:pPr>
        <w:widowControl/>
        <w:autoSpaceDE/>
        <w:autoSpaceDN/>
        <w:adjustRightInd/>
        <w:spacing w:after="0"/>
        <w:jc w:val="both"/>
        <w:rPr>
          <w:rFonts w:ascii="Arial" w:hAnsi="Arial" w:cs="Arial"/>
          <w:sz w:val="18"/>
          <w:szCs w:val="18"/>
        </w:rPr>
      </w:pPr>
      <w:r w:rsidRPr="00560494">
        <w:rPr>
          <w:rFonts w:ascii="Arial" w:hAnsi="Arial" w:cs="Arial"/>
          <w:sz w:val="18"/>
          <w:szCs w:val="18"/>
        </w:rPr>
        <w:t>Od roku 2012 ČSÚ zajišťuje tyto údaje zpracováním dat z administrativního zdroje Informačního systému České správy sociálního zabezpečení (ČSSZ). Informační systém ČSSZ eviduje případy dočasné pracovní neschopnosti v České republice, které byly ošetřujícím lékařem elektronicky hlášeny přes aplikaci eNeschopenka (do roku 2020 pomocí tiskopisu „Rozhodnutí o dočasné pracovní neschopnosti“). Statistika dočasné pracovní neschopnosti zachycuje veškerá onemocnění a úrazy, které zapříčinily alespoň jednodenní pracovní neschopnost u nemocensky pojištěných osob. Administrativní data Informačního systému ČSSZ jsou vykazována za všechny zaměstnance právnických i fyzických osob a zvlášť za osoby samostatně výdělečně činné (OSVČ). Údaje od roku 2012 nejsou plně srovnatelné s údaji z předchozích let.</w:t>
      </w:r>
    </w:p>
    <w:p w14:paraId="18FB9F20" w14:textId="4A13D3AB" w:rsidR="00560494" w:rsidRDefault="00560494">
      <w:pPr>
        <w:spacing w:after="0"/>
        <w:jc w:val="both"/>
        <w:rPr>
          <w:rFonts w:ascii="Arial" w:hAnsi="Arial" w:cs="Arial"/>
          <w:sz w:val="18"/>
          <w:szCs w:val="18"/>
        </w:rPr>
      </w:pPr>
      <w:r w:rsidRPr="00560494">
        <w:rPr>
          <w:rFonts w:ascii="Arial" w:hAnsi="Arial" w:cs="Arial"/>
          <w:b/>
          <w:bCs/>
          <w:sz w:val="18"/>
          <w:szCs w:val="18"/>
        </w:rPr>
        <w:t xml:space="preserve">Nově hlášené případy pracovní neschopnosti </w:t>
      </w:r>
      <w:r w:rsidRPr="00560494">
        <w:rPr>
          <w:rFonts w:ascii="Arial" w:hAnsi="Arial" w:cs="Arial"/>
          <w:bCs/>
          <w:sz w:val="18"/>
          <w:szCs w:val="18"/>
        </w:rPr>
        <w:t>jsou evidovány</w:t>
      </w:r>
      <w:r w:rsidRPr="00560494">
        <w:rPr>
          <w:rFonts w:ascii="Arial" w:hAnsi="Arial" w:cs="Arial"/>
          <w:sz w:val="18"/>
          <w:szCs w:val="18"/>
        </w:rPr>
        <w:t xml:space="preserve"> na základě hlášení o vzniku pracovní neschopnosti nemocensky pojištěných osob.</w:t>
      </w:r>
    </w:p>
    <w:p w14:paraId="730B9A43" w14:textId="7D1DC08F" w:rsidR="0031467F" w:rsidRPr="00BC7521" w:rsidRDefault="0031467F" w:rsidP="005F5526">
      <w:pPr>
        <w:spacing w:after="0"/>
        <w:jc w:val="both"/>
        <w:rPr>
          <w:rFonts w:ascii="Arial" w:hAnsi="Arial" w:cs="Arial"/>
          <w:sz w:val="18"/>
          <w:szCs w:val="18"/>
        </w:rPr>
      </w:pPr>
      <w:r w:rsidRPr="00BC7521">
        <w:rPr>
          <w:rFonts w:ascii="Arial" w:hAnsi="Arial" w:cs="Arial"/>
          <w:sz w:val="18"/>
          <w:szCs w:val="18"/>
        </w:rPr>
        <w:t xml:space="preserve">Poznámka: Do počtu nově hlášených případů dočasné pracovní neschopnosti pro nemoc patří i pracovní neschopnosti z důvodu karantény či izolace. </w:t>
      </w:r>
      <w:r w:rsidRPr="00BC7521">
        <w:rPr>
          <w:rFonts w:ascii="Arial" w:hAnsi="Arial" w:cs="Arial"/>
          <w:b/>
          <w:bCs/>
          <w:sz w:val="18"/>
          <w:szCs w:val="18"/>
        </w:rPr>
        <w:t>V lednu</w:t>
      </w:r>
      <w:r w:rsidRPr="00BC7521">
        <w:rPr>
          <w:rFonts w:ascii="Arial" w:hAnsi="Arial" w:cs="Arial"/>
          <w:sz w:val="18"/>
          <w:szCs w:val="18"/>
        </w:rPr>
        <w:t xml:space="preserve"> (od 17. 1.) </w:t>
      </w:r>
      <w:r w:rsidRPr="00BC7521">
        <w:rPr>
          <w:rFonts w:ascii="Arial" w:hAnsi="Arial" w:cs="Arial"/>
          <w:b/>
          <w:bCs/>
          <w:sz w:val="18"/>
          <w:szCs w:val="18"/>
        </w:rPr>
        <w:t>a únoru 2022</w:t>
      </w:r>
      <w:r w:rsidRPr="00BC7521">
        <w:rPr>
          <w:rFonts w:ascii="Arial" w:hAnsi="Arial" w:cs="Arial"/>
          <w:sz w:val="18"/>
          <w:szCs w:val="18"/>
        </w:rPr>
        <w:t xml:space="preserve"> při testování zaměstnanců na covid-19 byly </w:t>
      </w:r>
      <w:r w:rsidRPr="00BC7521">
        <w:rPr>
          <w:rFonts w:ascii="Arial" w:hAnsi="Arial" w:cs="Arial"/>
          <w:b/>
          <w:bCs/>
          <w:sz w:val="18"/>
          <w:szCs w:val="18"/>
        </w:rPr>
        <w:t>některým pracujícím</w:t>
      </w:r>
      <w:r w:rsidRPr="00BC7521">
        <w:rPr>
          <w:rFonts w:ascii="Arial" w:hAnsi="Arial" w:cs="Arial"/>
          <w:sz w:val="18"/>
          <w:szCs w:val="18"/>
        </w:rPr>
        <w:t xml:space="preserve"> vydány neschopenky pro karanténu či izolaci </w:t>
      </w:r>
      <w:r w:rsidRPr="00BC7521">
        <w:rPr>
          <w:rFonts w:ascii="Arial" w:hAnsi="Arial" w:cs="Arial"/>
          <w:b/>
          <w:bCs/>
          <w:sz w:val="18"/>
          <w:szCs w:val="18"/>
        </w:rPr>
        <w:t>duplicitně</w:t>
      </w:r>
      <w:r w:rsidRPr="00BC7521">
        <w:rPr>
          <w:rFonts w:ascii="Arial" w:hAnsi="Arial" w:cs="Arial"/>
          <w:sz w:val="18"/>
          <w:szCs w:val="18"/>
        </w:rPr>
        <w:t>. V zájmu operativního jednání při jejich vyřizování vydávali neschopenky jak praktičtí lékaři, tak krajské hygienické stanice. Z dostupných zdrojových databází však není možné duplicitní případy identifikovat. Tato skutečnost má vliv na další prezentované a z nich odvozené ukazatele (počet kalendářních dnů v pracovní neschopnosti, průměrné procento dočasné pracovní neschopnosti).</w:t>
      </w:r>
    </w:p>
    <w:p w14:paraId="08144EFE" w14:textId="77777777"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sz w:val="18"/>
          <w:szCs w:val="18"/>
        </w:rPr>
      </w:pPr>
      <w:r w:rsidRPr="00560494">
        <w:rPr>
          <w:rFonts w:ascii="Arial" w:hAnsi="Arial" w:cs="Arial"/>
          <w:b/>
          <w:bCs/>
          <w:sz w:val="18"/>
          <w:szCs w:val="18"/>
        </w:rPr>
        <w:t xml:space="preserve">Kalendářní dny pracovní neschopnosti </w:t>
      </w:r>
      <w:r w:rsidRPr="00560494">
        <w:rPr>
          <w:rFonts w:ascii="Arial" w:hAnsi="Arial" w:cs="Arial"/>
          <w:sz w:val="18"/>
          <w:szCs w:val="18"/>
        </w:rPr>
        <w:t>představují součet kalendářních dnů, po které byli nemocensky pojištění zaměstnanci práce neschopní (na základě hlášení o vzniku a ukončení pracovní neschopnosti).</w:t>
      </w:r>
    </w:p>
    <w:p w14:paraId="0E271AE0" w14:textId="77777777" w:rsidR="00560494" w:rsidRPr="00560494" w:rsidRDefault="00560494" w:rsidP="00560494">
      <w:pPr>
        <w:spacing w:after="0"/>
        <w:jc w:val="both"/>
        <w:rPr>
          <w:rFonts w:ascii="Arial" w:hAnsi="Arial" w:cs="Arial"/>
          <w:sz w:val="18"/>
          <w:szCs w:val="18"/>
        </w:rPr>
      </w:pPr>
      <w:r w:rsidRPr="00560494">
        <w:rPr>
          <w:rFonts w:ascii="Arial" w:hAnsi="Arial" w:cs="Arial"/>
          <w:b/>
          <w:sz w:val="18"/>
          <w:szCs w:val="18"/>
        </w:rPr>
        <w:t>Průměrná doba trvání 1 případu pracovní neschopnosti</w:t>
      </w:r>
      <w:r w:rsidRPr="00560494">
        <w:rPr>
          <w:rFonts w:ascii="Arial" w:hAnsi="Arial" w:cs="Arial"/>
          <w:sz w:val="18"/>
          <w:szCs w:val="18"/>
        </w:rPr>
        <w:t xml:space="preserve"> – ukazatel vyjadřuje, kolik kalendářních dnů pracovní neschopnosti v průměru připadá na jeden nově hlášený případ pracovní neschopnosti.</w:t>
      </w:r>
    </w:p>
    <w:p w14:paraId="0D3ECA7C" w14:textId="77777777"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sz w:val="18"/>
          <w:szCs w:val="18"/>
        </w:rPr>
      </w:pPr>
      <w:r w:rsidRPr="00560494">
        <w:rPr>
          <w:rFonts w:ascii="Arial" w:hAnsi="Arial" w:cs="Arial"/>
          <w:b/>
          <w:bCs/>
          <w:sz w:val="18"/>
          <w:szCs w:val="18"/>
        </w:rPr>
        <w:t xml:space="preserve">Průměrné procento pracovní neschopnosti </w:t>
      </w:r>
      <w:r w:rsidRPr="00560494">
        <w:rPr>
          <w:rFonts w:ascii="Arial" w:hAnsi="Arial" w:cs="Arial"/>
          <w:sz w:val="18"/>
          <w:szCs w:val="18"/>
        </w:rPr>
        <w:t>vyjadřuje, kolik ze sta pojištěnců je průměrně každý den v pracovní neschopnosti pro nemoc či úraz. Vypočte se takto: (počet kalendářních dnů pracovní neschopnosti x 100) / (průměrný počet nemocensky pojištěných osob x počet kalendářních dnů v daném období).</w:t>
      </w:r>
    </w:p>
    <w:p w14:paraId="3CEAB8FC" w14:textId="77777777"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sz w:val="18"/>
          <w:szCs w:val="18"/>
        </w:rPr>
      </w:pPr>
      <w:r w:rsidRPr="00560494">
        <w:rPr>
          <w:rFonts w:ascii="Arial" w:hAnsi="Arial" w:cs="Arial"/>
          <w:sz w:val="18"/>
          <w:szCs w:val="18"/>
        </w:rPr>
        <w:t xml:space="preserve">Za </w:t>
      </w:r>
      <w:r w:rsidRPr="00560494">
        <w:rPr>
          <w:rFonts w:ascii="Arial" w:hAnsi="Arial" w:cs="Arial"/>
          <w:b/>
          <w:bCs/>
          <w:sz w:val="18"/>
          <w:szCs w:val="18"/>
        </w:rPr>
        <w:t>pracovní</w:t>
      </w:r>
      <w:r w:rsidRPr="00560494">
        <w:rPr>
          <w:rFonts w:ascii="Arial" w:hAnsi="Arial" w:cs="Arial"/>
          <w:b/>
          <w:sz w:val="18"/>
          <w:szCs w:val="18"/>
        </w:rPr>
        <w:t xml:space="preserve"> úrazy</w:t>
      </w:r>
      <w:r w:rsidRPr="00560494">
        <w:rPr>
          <w:rFonts w:ascii="Arial" w:hAnsi="Arial" w:cs="Arial"/>
          <w:sz w:val="18"/>
          <w:szCs w:val="18"/>
        </w:rPr>
        <w:t xml:space="preserve"> jsou považovány ty úrazy, které se staly zaměstnancům při plnění pracovních úkolů nebo v přímé souvislosti s nimi.</w:t>
      </w:r>
    </w:p>
    <w:p w14:paraId="13C76F65" w14:textId="77777777"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bCs/>
          <w:sz w:val="18"/>
          <w:szCs w:val="18"/>
        </w:rPr>
      </w:pPr>
    </w:p>
    <w:p w14:paraId="650932FB" w14:textId="77777777"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bCs/>
          <w:sz w:val="18"/>
          <w:szCs w:val="18"/>
        </w:rPr>
      </w:pPr>
    </w:p>
    <w:p w14:paraId="2CF5B75A" w14:textId="37E257C6"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b/>
          <w:color w:val="0071BC"/>
        </w:rPr>
      </w:pPr>
      <w:r w:rsidRPr="00560494">
        <w:rPr>
          <w:rFonts w:ascii="Arial" w:hAnsi="Arial" w:cs="Arial"/>
          <w:b/>
          <w:color w:val="0071BC"/>
        </w:rPr>
        <w:t xml:space="preserve">Tab. </w:t>
      </w:r>
      <w:r w:rsidRPr="00560494">
        <w:rPr>
          <w:rFonts w:ascii="Arial" w:hAnsi="Arial" w:cs="Arial"/>
          <w:b/>
          <w:bCs/>
          <w:color w:val="0071BC"/>
        </w:rPr>
        <w:t>25</w:t>
      </w:r>
      <w:r w:rsidRPr="00560494">
        <w:rPr>
          <w:rFonts w:ascii="Arial" w:hAnsi="Arial" w:cs="Arial"/>
          <w:b/>
          <w:color w:val="0071BC"/>
        </w:rPr>
        <w:t>-</w:t>
      </w:r>
      <w:r w:rsidR="00DA5AAF">
        <w:rPr>
          <w:rFonts w:ascii="Arial" w:hAnsi="Arial" w:cs="Arial"/>
          <w:b/>
          <w:color w:val="0071BC"/>
        </w:rPr>
        <w:t>18</w:t>
      </w:r>
      <w:r w:rsidR="00161EE1" w:rsidRPr="00560494">
        <w:rPr>
          <w:rFonts w:ascii="Arial" w:hAnsi="Arial" w:cs="Arial"/>
          <w:b/>
          <w:color w:val="0071BC"/>
        </w:rPr>
        <w:t xml:space="preserve">  </w:t>
      </w:r>
      <w:r w:rsidRPr="00560494">
        <w:rPr>
          <w:rFonts w:ascii="Arial" w:hAnsi="Arial" w:cs="Arial"/>
          <w:b/>
          <w:color w:val="0071BC"/>
        </w:rPr>
        <w:t>Smrtelné pracovní úrazy a nemoci z povolání</w:t>
      </w:r>
    </w:p>
    <w:p w14:paraId="6987CE4F" w14:textId="77777777"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sz w:val="18"/>
          <w:szCs w:val="18"/>
        </w:rPr>
      </w:pPr>
      <w:r w:rsidRPr="00560494">
        <w:rPr>
          <w:rFonts w:ascii="Arial" w:hAnsi="Arial" w:cs="Arial"/>
          <w:b/>
          <w:bCs/>
          <w:sz w:val="18"/>
          <w:szCs w:val="18"/>
        </w:rPr>
        <w:t>Smrtelný pracovní úraz</w:t>
      </w:r>
      <w:r w:rsidRPr="00560494">
        <w:rPr>
          <w:rFonts w:ascii="Arial" w:hAnsi="Arial" w:cs="Arial"/>
          <w:sz w:val="18"/>
          <w:szCs w:val="18"/>
        </w:rPr>
        <w:t xml:space="preserve"> je takové poškození zdraví při plnění pracovních úkolů nebo v přímé souvislosti s nimi, na jehož následky úrazem postižený zaměstnanec nejpozději do jednoho roku zemřel. Zdrojem dat je Státní úřad inspekce práce (SÚIP).</w:t>
      </w:r>
    </w:p>
    <w:p w14:paraId="1A02AC01" w14:textId="77777777"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sz w:val="18"/>
          <w:szCs w:val="18"/>
        </w:rPr>
      </w:pPr>
      <w:r w:rsidRPr="00560494">
        <w:rPr>
          <w:rFonts w:ascii="Arial" w:hAnsi="Arial" w:cs="Arial"/>
          <w:b/>
          <w:bCs/>
          <w:sz w:val="18"/>
          <w:szCs w:val="18"/>
        </w:rPr>
        <w:t>Nemoci z povolání</w:t>
      </w:r>
      <w:r w:rsidRPr="00560494">
        <w:rPr>
          <w:rFonts w:ascii="Arial" w:hAnsi="Arial" w:cs="Arial"/>
          <w:sz w:val="18"/>
          <w:szCs w:val="18"/>
        </w:rPr>
        <w:t xml:space="preserve"> jsou podle § 1 odst. (1) Nařízení vlády č. 290/1995 Sb., kterým se stanoví seznam nemocí z povolání, ve znění pozdějších předpisů (naposledy Nařízení vlády č. 168/2014 Sb.), nemoci vznikající nepříznivým působením chemických, fyzikálních, biologických nebo jiných škodlivých vlivů, pokud vznikly za podmínek uvedených v Seznamu nemocí z povolání. Nemocí z povolání se rozumí též akutní otrava vznikající nepříznivým působením chemických látek. Výrazný růstový zlom ve vývoji celkového počtu uznaných případů nemocí z povolání v ČR byl způsoben uznáním nemoci covid-19 jako nemoci z povolání pod novými evidenčními kódy.</w:t>
      </w:r>
    </w:p>
    <w:p w14:paraId="738D6D24" w14:textId="77777777"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eastAsia="Calibri" w:hAnsi="Arial" w:cs="Arial"/>
          <w:bCs/>
          <w:sz w:val="18"/>
          <w:szCs w:val="18"/>
          <w:lang w:eastAsia="en-US"/>
        </w:rPr>
      </w:pPr>
      <w:r w:rsidRPr="00560494">
        <w:rPr>
          <w:rFonts w:ascii="Arial" w:eastAsia="Calibri" w:hAnsi="Arial" w:cs="Arial"/>
          <w:b/>
          <w:bCs/>
          <w:sz w:val="18"/>
          <w:szCs w:val="18"/>
          <w:lang w:eastAsia="en-US"/>
        </w:rPr>
        <w:t>Ohrožení nemocí z povolání</w:t>
      </w:r>
      <w:r w:rsidRPr="00560494">
        <w:rPr>
          <w:rFonts w:ascii="Arial" w:eastAsia="Calibri" w:hAnsi="Arial" w:cs="Arial"/>
          <w:bCs/>
          <w:sz w:val="18"/>
          <w:szCs w:val="18"/>
          <w:lang w:eastAsia="en-US"/>
        </w:rPr>
        <w:t xml:space="preserve"> se podle § 347 zákona č. 262/2006 Sb., </w:t>
      </w:r>
      <w:r w:rsidRPr="00560494">
        <w:rPr>
          <w:rFonts w:ascii="Arial" w:hAnsi="Arial" w:cs="Arial"/>
          <w:bCs/>
          <w:sz w:val="18"/>
          <w:szCs w:val="18"/>
        </w:rPr>
        <w:t>Zá</w:t>
      </w:r>
      <w:r w:rsidRPr="00560494">
        <w:rPr>
          <w:rFonts w:ascii="Arial" w:eastAsia="Calibri" w:hAnsi="Arial" w:cs="Arial"/>
          <w:bCs/>
          <w:sz w:val="18"/>
          <w:szCs w:val="18"/>
          <w:lang w:eastAsia="en-US"/>
        </w:rPr>
        <w:t>koník práce, rozumí takové změny zdravotního stavu, jež vznikly při výkonu práce nepříznivým působením podmínek, za nichž vznikají nemoci z povolání, avšak nedosahují takového stupně poškození zdravotního stavu, který lze posoudit jako nemoc z povolání, a další výkon práce za stejných podmínek by vedl ke vzniku nemoci z povolání.</w:t>
      </w:r>
    </w:p>
    <w:p w14:paraId="13A0E28F" w14:textId="77777777"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sz w:val="18"/>
          <w:szCs w:val="18"/>
        </w:rPr>
      </w:pPr>
      <w:r w:rsidRPr="00560494">
        <w:rPr>
          <w:rFonts w:ascii="Arial" w:eastAsia="Calibri" w:hAnsi="Arial" w:cs="Arial"/>
          <w:bCs/>
          <w:sz w:val="18"/>
          <w:szCs w:val="18"/>
          <w:lang w:eastAsia="en-US"/>
        </w:rPr>
        <w:t>Nemoci z povolání a ohrožení nemocí z povolání se evidují v Národním registru nemocí z povolání, který je součástí Národního zdravotnického informačního systému podle Zákona č. 372/2011 Sb., o zdravotních službách. Správcem Registru je ÚZIS ČR, zpracovatelem je Státní zdravotní ústav – Centrum hygieny práce a pracovního lékařství.</w:t>
      </w:r>
    </w:p>
    <w:p w14:paraId="1E2051C2" w14:textId="77777777"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bCs/>
          <w:sz w:val="18"/>
          <w:szCs w:val="18"/>
        </w:rPr>
      </w:pPr>
    </w:p>
    <w:p w14:paraId="58ED2FBB" w14:textId="77777777"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bCs/>
          <w:sz w:val="18"/>
          <w:szCs w:val="18"/>
        </w:rPr>
      </w:pPr>
    </w:p>
    <w:p w14:paraId="1E4CF1E0" w14:textId="75ED68D6" w:rsidR="00560494" w:rsidRPr="00560494" w:rsidRDefault="00560494" w:rsidP="005C5D73">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b/>
          <w:bCs/>
          <w:color w:val="0071BC"/>
        </w:rPr>
      </w:pPr>
      <w:r w:rsidRPr="00560494">
        <w:rPr>
          <w:rFonts w:ascii="Arial" w:hAnsi="Arial" w:cs="Arial"/>
          <w:b/>
          <w:color w:val="0071BC"/>
        </w:rPr>
        <w:t xml:space="preserve">Tab. </w:t>
      </w:r>
      <w:r w:rsidRPr="00560494">
        <w:rPr>
          <w:rFonts w:ascii="Arial" w:hAnsi="Arial" w:cs="Arial"/>
          <w:b/>
          <w:bCs/>
          <w:color w:val="0071BC"/>
        </w:rPr>
        <w:t>25</w:t>
      </w:r>
      <w:r w:rsidRPr="00560494">
        <w:rPr>
          <w:rFonts w:ascii="Arial" w:hAnsi="Arial" w:cs="Arial"/>
          <w:b/>
          <w:color w:val="0071BC"/>
        </w:rPr>
        <w:t>-</w:t>
      </w:r>
      <w:r w:rsidR="00DA5AAF">
        <w:rPr>
          <w:rFonts w:ascii="Arial" w:hAnsi="Arial" w:cs="Arial"/>
          <w:b/>
          <w:color w:val="0071BC"/>
        </w:rPr>
        <w:t>19</w:t>
      </w:r>
      <w:r w:rsidRPr="00560494">
        <w:rPr>
          <w:rFonts w:ascii="Arial" w:hAnsi="Arial" w:cs="Arial"/>
          <w:b/>
          <w:color w:val="0071BC"/>
        </w:rPr>
        <w:t xml:space="preserve">  </w:t>
      </w:r>
      <w:r w:rsidRPr="00560494">
        <w:rPr>
          <w:rFonts w:ascii="Arial" w:hAnsi="Arial" w:cs="Arial"/>
          <w:b/>
          <w:bCs/>
          <w:color w:val="0071BC"/>
        </w:rPr>
        <w:t>Ukončené případy pracovní neschopnosti</w:t>
      </w:r>
      <w:r w:rsidR="00DC2E8E">
        <w:rPr>
          <w:rFonts w:ascii="Arial" w:hAnsi="Arial" w:cs="Arial"/>
          <w:b/>
          <w:bCs/>
          <w:color w:val="0071BC"/>
        </w:rPr>
        <w:t xml:space="preserve"> </w:t>
      </w:r>
      <w:r w:rsidR="00DC2E8E" w:rsidRPr="00DC2E8E">
        <w:rPr>
          <w:rFonts w:ascii="Arial" w:hAnsi="Arial" w:cs="Arial"/>
          <w:b/>
          <w:bCs/>
          <w:color w:val="0071BC"/>
        </w:rPr>
        <w:t>podle pohlaví a věkových skupin</w:t>
      </w:r>
    </w:p>
    <w:p w14:paraId="08E7E928" w14:textId="77777777" w:rsidR="00560494" w:rsidRPr="00560494" w:rsidRDefault="00560494" w:rsidP="005C5D73">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sz w:val="18"/>
          <w:szCs w:val="18"/>
        </w:rPr>
      </w:pPr>
      <w:r w:rsidRPr="00560494">
        <w:rPr>
          <w:rFonts w:ascii="Arial" w:hAnsi="Arial" w:cs="Arial"/>
          <w:sz w:val="18"/>
          <w:szCs w:val="18"/>
        </w:rPr>
        <w:t>Údaje o ukončených případech pracovní neschopnosti pro nemoc a úraz (dále jen pracovní neschopnosti) jsou přebírány z ÚZIS ČR, který vede Informační systém Pracovní neschopnost. Data do tohoto systému jsou poskytována ČSSZ a jsou získána na základě elektronických hlášení od ošetřujícího lékaře přes aplikaci eNeschopenka.</w:t>
      </w:r>
    </w:p>
    <w:p w14:paraId="43E861A6" w14:textId="77777777"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sz w:val="18"/>
          <w:szCs w:val="18"/>
        </w:rPr>
      </w:pPr>
      <w:r w:rsidRPr="00560494">
        <w:rPr>
          <w:rFonts w:ascii="Arial" w:hAnsi="Arial" w:cs="Arial"/>
          <w:b/>
          <w:bCs/>
          <w:sz w:val="18"/>
          <w:szCs w:val="18"/>
        </w:rPr>
        <w:t>Ukončené případy pracovní neschopnosti</w:t>
      </w:r>
      <w:r w:rsidRPr="00560494">
        <w:rPr>
          <w:rFonts w:ascii="Arial" w:hAnsi="Arial" w:cs="Arial"/>
          <w:bCs/>
          <w:sz w:val="18"/>
          <w:szCs w:val="18"/>
        </w:rPr>
        <w:t xml:space="preserve"> zahrnují </w:t>
      </w:r>
      <w:r w:rsidRPr="00560494">
        <w:rPr>
          <w:rFonts w:ascii="Arial" w:hAnsi="Arial" w:cs="Arial"/>
          <w:sz w:val="18"/>
          <w:szCs w:val="18"/>
        </w:rPr>
        <w:t>veškerá onemocnění a úrazy, které zapříčinily alespoň jednodenní pracovní neschopnost u nemocensky pojištěných osob ukončenou v daném roce. Nezahrnuje tedy onemocnění a úrazy, u nichž pracovní neschopnost přesahovala do dalšího roku, ani ty případy, kdy nebylo vystaveno „Rozhodnutí o dočasné pracovní neschopnosti“.</w:t>
      </w:r>
    </w:p>
    <w:p w14:paraId="44F6E709" w14:textId="77777777"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sz w:val="18"/>
          <w:szCs w:val="18"/>
        </w:rPr>
      </w:pPr>
      <w:r w:rsidRPr="00560494">
        <w:rPr>
          <w:rFonts w:ascii="Arial" w:hAnsi="Arial" w:cs="Arial"/>
          <w:b/>
          <w:bCs/>
          <w:sz w:val="18"/>
          <w:szCs w:val="18"/>
        </w:rPr>
        <w:t>Kalendářní dny pracovní neschopnosti</w:t>
      </w:r>
      <w:r w:rsidRPr="00560494">
        <w:rPr>
          <w:rFonts w:ascii="Arial" w:hAnsi="Arial" w:cs="Arial"/>
          <w:bCs/>
          <w:sz w:val="18"/>
          <w:szCs w:val="18"/>
        </w:rPr>
        <w:t xml:space="preserve"> </w:t>
      </w:r>
      <w:r w:rsidRPr="00560494">
        <w:rPr>
          <w:rFonts w:ascii="Arial" w:hAnsi="Arial" w:cs="Arial"/>
          <w:sz w:val="18"/>
          <w:szCs w:val="18"/>
        </w:rPr>
        <w:t>představují součet kalendářních dnů, po které byli nemocensky pojištění zaměstnanci práce neschopní (na základě hlášení o vzniku a ukončení pracovní neschopnosti).</w:t>
      </w:r>
    </w:p>
    <w:p w14:paraId="4F0A13EB" w14:textId="77777777" w:rsidR="00560494" w:rsidRPr="00560494" w:rsidRDefault="00560494" w:rsidP="00560494">
      <w:pPr>
        <w:spacing w:after="0"/>
        <w:jc w:val="both"/>
        <w:rPr>
          <w:rFonts w:ascii="Arial" w:hAnsi="Arial" w:cs="Arial"/>
          <w:sz w:val="18"/>
          <w:szCs w:val="18"/>
        </w:rPr>
      </w:pPr>
      <w:r w:rsidRPr="00560494">
        <w:rPr>
          <w:rFonts w:ascii="Arial" w:hAnsi="Arial" w:cs="Arial"/>
          <w:b/>
          <w:sz w:val="18"/>
          <w:szCs w:val="18"/>
        </w:rPr>
        <w:lastRenderedPageBreak/>
        <w:t>Průměrná doba trvání 1 případu pracovní neschopnosti</w:t>
      </w:r>
      <w:r w:rsidRPr="00560494">
        <w:rPr>
          <w:rFonts w:ascii="Arial" w:hAnsi="Arial" w:cs="Arial"/>
          <w:sz w:val="18"/>
          <w:szCs w:val="18"/>
        </w:rPr>
        <w:t xml:space="preserve"> – ukazatel vyjadřuje, kolik kalendářních dnů pracovní neschopnosti v průměru připadá na jeden ukončený případ pracovní neschopnosti.</w:t>
      </w:r>
    </w:p>
    <w:p w14:paraId="4A7C9BBA" w14:textId="77777777"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sz w:val="18"/>
          <w:szCs w:val="18"/>
        </w:rPr>
      </w:pPr>
    </w:p>
    <w:p w14:paraId="296F1693" w14:textId="77777777"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sz w:val="18"/>
          <w:szCs w:val="18"/>
        </w:rPr>
      </w:pPr>
    </w:p>
    <w:p w14:paraId="25C1BD60" w14:textId="5D77FBEB"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b/>
          <w:color w:val="0071BC"/>
        </w:rPr>
      </w:pPr>
      <w:r w:rsidRPr="00560494">
        <w:rPr>
          <w:rFonts w:ascii="Arial" w:hAnsi="Arial" w:cs="Arial"/>
          <w:b/>
          <w:color w:val="0071BC"/>
        </w:rPr>
        <w:t xml:space="preserve">Tab. </w:t>
      </w:r>
      <w:r w:rsidRPr="00560494">
        <w:rPr>
          <w:rFonts w:ascii="Arial" w:hAnsi="Arial" w:cs="Arial"/>
          <w:b/>
          <w:bCs/>
          <w:color w:val="0071BC"/>
        </w:rPr>
        <w:t>25</w:t>
      </w:r>
      <w:r w:rsidRPr="00560494">
        <w:rPr>
          <w:rFonts w:ascii="Arial" w:hAnsi="Arial" w:cs="Arial"/>
          <w:b/>
          <w:color w:val="0071BC"/>
        </w:rPr>
        <w:t>-</w:t>
      </w:r>
      <w:r w:rsidR="00DA5AAF">
        <w:rPr>
          <w:rFonts w:ascii="Arial" w:hAnsi="Arial" w:cs="Arial"/>
          <w:b/>
          <w:color w:val="0071BC"/>
        </w:rPr>
        <w:t>20</w:t>
      </w:r>
      <w:r w:rsidR="00161EE1" w:rsidRPr="00560494">
        <w:rPr>
          <w:rFonts w:ascii="Arial" w:hAnsi="Arial" w:cs="Arial"/>
          <w:b/>
          <w:color w:val="0071BC"/>
        </w:rPr>
        <w:t xml:space="preserve">  </w:t>
      </w:r>
      <w:r w:rsidRPr="00560494">
        <w:rPr>
          <w:rFonts w:ascii="Arial" w:hAnsi="Arial" w:cs="Arial"/>
          <w:b/>
          <w:bCs/>
          <w:color w:val="0071BC"/>
        </w:rPr>
        <w:t>Výdaje na zdravotní péči podle zdroje financování a druhu poskytnuté péče</w:t>
      </w:r>
    </w:p>
    <w:p w14:paraId="148AD9A7" w14:textId="41982510" w:rsidR="00560494" w:rsidRPr="00161EE1" w:rsidRDefault="00560494" w:rsidP="00560494">
      <w:pPr>
        <w:widowControl/>
        <w:autoSpaceDE/>
        <w:autoSpaceDN/>
        <w:adjustRightInd/>
        <w:spacing w:after="0"/>
        <w:jc w:val="both"/>
        <w:rPr>
          <w:rFonts w:ascii="Arial" w:hAnsi="Arial" w:cs="Arial"/>
          <w:sz w:val="18"/>
          <w:szCs w:val="18"/>
        </w:rPr>
      </w:pPr>
      <w:r w:rsidRPr="00560494">
        <w:rPr>
          <w:rFonts w:ascii="Arial" w:hAnsi="Arial" w:cs="Arial"/>
          <w:sz w:val="18"/>
          <w:szCs w:val="18"/>
        </w:rPr>
        <w:t>Údaje v tabulce jsou zpracovány na základě systému zdravotnických účtů (SHA</w:t>
      </w:r>
      <w:r w:rsidRPr="00560494" w:rsidDel="008311EF">
        <w:rPr>
          <w:rFonts w:ascii="Arial" w:hAnsi="Arial" w:cs="Arial"/>
          <w:sz w:val="18"/>
          <w:szCs w:val="18"/>
        </w:rPr>
        <w:t xml:space="preserve"> </w:t>
      </w:r>
      <w:r w:rsidRPr="00560494">
        <w:rPr>
          <w:rFonts w:ascii="Arial" w:hAnsi="Arial" w:cs="Arial"/>
          <w:i/>
          <w:sz w:val="18"/>
          <w:szCs w:val="18"/>
        </w:rPr>
        <w:t>– System of Health Accounts</w:t>
      </w:r>
      <w:r w:rsidRPr="00560494">
        <w:rPr>
          <w:rFonts w:ascii="Arial" w:hAnsi="Arial" w:cs="Arial"/>
          <w:sz w:val="18"/>
          <w:szCs w:val="18"/>
        </w:rPr>
        <w:t>) podle jednotné metodiky OECD (jsou tedy mezinárodně srovnatelné). V roce 2022</w:t>
      </w:r>
      <w:r w:rsidR="00161EE1">
        <w:rPr>
          <w:rFonts w:ascii="Arial" w:hAnsi="Arial" w:cs="Arial"/>
          <w:sz w:val="18"/>
          <w:szCs w:val="18"/>
        </w:rPr>
        <w:t xml:space="preserve"> a 2023</w:t>
      </w:r>
      <w:r w:rsidRPr="00560494">
        <w:rPr>
          <w:rFonts w:ascii="Arial" w:hAnsi="Arial" w:cs="Arial"/>
          <w:sz w:val="18"/>
          <w:szCs w:val="18"/>
        </w:rPr>
        <w:t xml:space="preserve"> došlo k </w:t>
      </w:r>
      <w:r w:rsidRPr="00560494">
        <w:rPr>
          <w:rFonts w:ascii="Arial" w:hAnsi="Arial" w:cs="Arial"/>
          <w:b/>
          <w:sz w:val="18"/>
          <w:szCs w:val="18"/>
        </w:rPr>
        <w:t>revizi dat za roky 201</w:t>
      </w:r>
      <w:r w:rsidR="00DC2E8E">
        <w:rPr>
          <w:rFonts w:ascii="Arial" w:hAnsi="Arial" w:cs="Arial"/>
          <w:b/>
          <w:sz w:val="18"/>
          <w:szCs w:val="18"/>
        </w:rPr>
        <w:t>0</w:t>
      </w:r>
      <w:r w:rsidRPr="00560494">
        <w:rPr>
          <w:rFonts w:ascii="Arial" w:hAnsi="Arial" w:cs="Arial"/>
          <w:b/>
          <w:sz w:val="18"/>
          <w:szCs w:val="18"/>
        </w:rPr>
        <w:t>–2019 a zpracování dat za rok 2020</w:t>
      </w:r>
      <w:r w:rsidR="00161EE1">
        <w:rPr>
          <w:rFonts w:ascii="Arial" w:hAnsi="Arial" w:cs="Arial"/>
          <w:b/>
          <w:sz w:val="18"/>
          <w:szCs w:val="18"/>
        </w:rPr>
        <w:t xml:space="preserve"> a 2021</w:t>
      </w:r>
      <w:r w:rsidRPr="00560494">
        <w:rPr>
          <w:rFonts w:ascii="Arial" w:hAnsi="Arial" w:cs="Arial"/>
          <w:sz w:val="18"/>
          <w:szCs w:val="18"/>
        </w:rPr>
        <w:t xml:space="preserve"> s využitím </w:t>
      </w:r>
      <w:r w:rsidRPr="00560494">
        <w:rPr>
          <w:rFonts w:ascii="Arial" w:hAnsi="Arial" w:cs="Arial"/>
          <w:b/>
          <w:sz w:val="18"/>
          <w:szCs w:val="18"/>
        </w:rPr>
        <w:t>nového datového zdroje</w:t>
      </w:r>
      <w:r w:rsidRPr="00560494">
        <w:rPr>
          <w:rFonts w:ascii="Arial" w:hAnsi="Arial" w:cs="Arial"/>
          <w:sz w:val="18"/>
          <w:szCs w:val="18"/>
        </w:rPr>
        <w:t xml:space="preserve">. ČSÚ poprvé pro analýzu výdajů na zdravotní </w:t>
      </w:r>
      <w:r w:rsidR="000B3499" w:rsidRPr="00560494">
        <w:rPr>
          <w:rFonts w:ascii="Arial" w:hAnsi="Arial" w:cs="Arial"/>
          <w:sz w:val="18"/>
          <w:szCs w:val="18"/>
        </w:rPr>
        <w:t xml:space="preserve">péči </w:t>
      </w:r>
      <w:r w:rsidR="000B3499">
        <w:rPr>
          <w:rFonts w:ascii="Arial" w:hAnsi="Arial" w:cs="Arial"/>
          <w:sz w:val="18"/>
          <w:szCs w:val="18"/>
        </w:rPr>
        <w:t>za</w:t>
      </w:r>
      <w:r w:rsidR="00161EE1">
        <w:rPr>
          <w:rFonts w:ascii="Arial" w:hAnsi="Arial" w:cs="Arial"/>
          <w:sz w:val="18"/>
          <w:szCs w:val="18"/>
        </w:rPr>
        <w:t xml:space="preserve"> rok 2020 </w:t>
      </w:r>
      <w:r w:rsidRPr="00560494">
        <w:rPr>
          <w:rFonts w:ascii="Arial" w:hAnsi="Arial" w:cs="Arial"/>
          <w:sz w:val="18"/>
          <w:szCs w:val="18"/>
        </w:rPr>
        <w:t>nepoužil data předaná přímo od jednotlivých zdravotních pojišťoven, ale data, která pojišťovny posílají v průběhu roku do NRHZS a Ministerstvu zdravotnictví České republiky (MZ ČR). Hlavním důvodem revize byla snaha o snížení administrativní zátěže jednotlivých zdravotních pojišťoven a sjednocení vstupního zdroje. Dále byla provedena revize dat z veřejných rozpočtů, dobrovolného zdravotního pojištění a neziskových institucí</w:t>
      </w:r>
      <w:r w:rsidR="00161EE1" w:rsidRPr="00161EE1">
        <w:rPr>
          <w:rFonts w:ascii="Arial" w:hAnsi="Arial" w:cs="Arial"/>
          <w:sz w:val="18"/>
          <w:szCs w:val="18"/>
        </w:rPr>
        <w:t xml:space="preserve"> za roky 2010–2020. Rozsáhlá revize se týkala i starších dat za zdravotní pojišťovny za roky 2010-2016.</w:t>
      </w:r>
    </w:p>
    <w:p w14:paraId="2DCCA3FA" w14:textId="77777777" w:rsidR="00560494" w:rsidRPr="00560494" w:rsidRDefault="00560494" w:rsidP="00197460">
      <w:pPr>
        <w:widowControl/>
        <w:autoSpaceDE/>
        <w:autoSpaceDN/>
        <w:adjustRightInd/>
        <w:spacing w:after="0"/>
        <w:jc w:val="both"/>
        <w:rPr>
          <w:rFonts w:ascii="Arial" w:hAnsi="Arial" w:cs="Arial"/>
          <w:sz w:val="18"/>
          <w:szCs w:val="18"/>
        </w:rPr>
      </w:pPr>
      <w:r w:rsidRPr="00560494">
        <w:rPr>
          <w:rFonts w:ascii="Arial" w:hAnsi="Arial" w:cs="Arial"/>
          <w:sz w:val="18"/>
          <w:szCs w:val="18"/>
        </w:rPr>
        <w:t xml:space="preserve">Do </w:t>
      </w:r>
      <w:r w:rsidRPr="00560494">
        <w:rPr>
          <w:rFonts w:ascii="Arial" w:hAnsi="Arial" w:cs="Arial"/>
          <w:b/>
          <w:bCs/>
          <w:sz w:val="18"/>
          <w:szCs w:val="18"/>
        </w:rPr>
        <w:t>celkových výdajů na zdravotní péči</w:t>
      </w:r>
      <w:r w:rsidRPr="00560494">
        <w:rPr>
          <w:rFonts w:ascii="Arial" w:hAnsi="Arial" w:cs="Arial"/>
          <w:sz w:val="18"/>
          <w:szCs w:val="18"/>
        </w:rPr>
        <w:t xml:space="preserve"> jsou v rámci systému zdravotnických účtů zahrnuty </w:t>
      </w:r>
      <w:r w:rsidRPr="00560494">
        <w:rPr>
          <w:rFonts w:ascii="Arial" w:hAnsi="Arial" w:cs="Arial"/>
          <w:b/>
          <w:bCs/>
          <w:sz w:val="18"/>
          <w:szCs w:val="18"/>
        </w:rPr>
        <w:t>pouze běžné náklady</w:t>
      </w:r>
      <w:r w:rsidRPr="00560494">
        <w:rPr>
          <w:rFonts w:ascii="Arial" w:hAnsi="Arial" w:cs="Arial"/>
          <w:sz w:val="18"/>
          <w:szCs w:val="18"/>
        </w:rPr>
        <w:t xml:space="preserve">. Ze sledovaných výdajů jsou </w:t>
      </w:r>
      <w:r w:rsidRPr="00560494">
        <w:rPr>
          <w:rFonts w:ascii="Arial" w:hAnsi="Arial" w:cs="Arial"/>
          <w:b/>
          <w:bCs/>
          <w:sz w:val="18"/>
          <w:szCs w:val="18"/>
        </w:rPr>
        <w:t>vyloučeny</w:t>
      </w:r>
      <w:r w:rsidRPr="00560494">
        <w:rPr>
          <w:rFonts w:ascii="Arial" w:hAnsi="Arial" w:cs="Arial"/>
          <w:sz w:val="18"/>
          <w:szCs w:val="18"/>
        </w:rPr>
        <w:t xml:space="preserve"> následující položky </w:t>
      </w:r>
      <w:r w:rsidRPr="00560494">
        <w:rPr>
          <w:rFonts w:ascii="Arial" w:hAnsi="Arial" w:cs="Arial"/>
          <w:b/>
          <w:sz w:val="18"/>
          <w:szCs w:val="18"/>
        </w:rPr>
        <w:t>financované přímo ze státního rozpočtu</w:t>
      </w:r>
      <w:r w:rsidRPr="00560494">
        <w:rPr>
          <w:rFonts w:ascii="Arial" w:hAnsi="Arial" w:cs="Arial"/>
          <w:sz w:val="18"/>
          <w:szCs w:val="18"/>
        </w:rPr>
        <w:t>:</w:t>
      </w:r>
    </w:p>
    <w:p w14:paraId="1EBB6C2A" w14:textId="77777777" w:rsidR="00560494" w:rsidRPr="00560494" w:rsidRDefault="00560494" w:rsidP="00197460">
      <w:pPr>
        <w:widowControl/>
        <w:numPr>
          <w:ilvl w:val="0"/>
          <w:numId w:val="4"/>
        </w:numPr>
        <w:autoSpaceDE/>
        <w:autoSpaceDN/>
        <w:adjustRightInd/>
        <w:spacing w:before="0" w:after="0" w:line="276" w:lineRule="auto"/>
        <w:ind w:left="1146"/>
        <w:jc w:val="both"/>
        <w:rPr>
          <w:rFonts w:ascii="Arial" w:hAnsi="Arial" w:cs="Arial"/>
          <w:sz w:val="18"/>
          <w:szCs w:val="18"/>
        </w:rPr>
      </w:pPr>
      <w:r w:rsidRPr="00560494">
        <w:rPr>
          <w:rFonts w:ascii="Arial" w:hAnsi="Arial" w:cs="Arial"/>
          <w:sz w:val="18"/>
          <w:szCs w:val="18"/>
        </w:rPr>
        <w:t>výdaje na výstavbu a rekonstrukci zdravotnických zařízení,</w:t>
      </w:r>
    </w:p>
    <w:p w14:paraId="17313F88" w14:textId="77777777" w:rsidR="00560494" w:rsidRPr="00560494" w:rsidRDefault="00560494" w:rsidP="00197460">
      <w:pPr>
        <w:widowControl/>
        <w:numPr>
          <w:ilvl w:val="0"/>
          <w:numId w:val="4"/>
        </w:numPr>
        <w:autoSpaceDE/>
        <w:autoSpaceDN/>
        <w:adjustRightInd/>
        <w:spacing w:before="0" w:after="0" w:line="276" w:lineRule="auto"/>
        <w:ind w:left="1146"/>
        <w:jc w:val="both"/>
        <w:rPr>
          <w:rFonts w:ascii="Arial" w:hAnsi="Arial" w:cs="Arial"/>
          <w:sz w:val="18"/>
          <w:szCs w:val="18"/>
        </w:rPr>
      </w:pPr>
      <w:r w:rsidRPr="00560494">
        <w:rPr>
          <w:rFonts w:ascii="Arial" w:hAnsi="Arial" w:cs="Arial"/>
          <w:sz w:val="18"/>
          <w:szCs w:val="18"/>
        </w:rPr>
        <w:t>investiční výdaje do nákupu a modernizace přístrojového vybavení,</w:t>
      </w:r>
    </w:p>
    <w:p w14:paraId="575F07B1" w14:textId="77777777" w:rsidR="00560494" w:rsidRPr="00560494" w:rsidRDefault="00560494" w:rsidP="00560494">
      <w:pPr>
        <w:widowControl/>
        <w:numPr>
          <w:ilvl w:val="0"/>
          <w:numId w:val="4"/>
        </w:numPr>
        <w:autoSpaceDE/>
        <w:autoSpaceDN/>
        <w:adjustRightInd/>
        <w:spacing w:before="0" w:after="0" w:line="276" w:lineRule="auto"/>
        <w:ind w:left="1146"/>
        <w:jc w:val="both"/>
        <w:rPr>
          <w:rFonts w:ascii="Arial" w:hAnsi="Arial" w:cs="Arial"/>
          <w:sz w:val="18"/>
          <w:szCs w:val="18"/>
        </w:rPr>
      </w:pPr>
      <w:r w:rsidRPr="00560494">
        <w:rPr>
          <w:rFonts w:ascii="Arial" w:hAnsi="Arial" w:cs="Arial"/>
          <w:sz w:val="18"/>
          <w:szCs w:val="18"/>
        </w:rPr>
        <w:t>výdaje na zdravotnický výzkum a vývoj,</w:t>
      </w:r>
    </w:p>
    <w:p w14:paraId="73B6EF7C" w14:textId="77777777" w:rsidR="00560494" w:rsidRPr="00560494" w:rsidRDefault="00560494" w:rsidP="00560494">
      <w:pPr>
        <w:widowControl/>
        <w:numPr>
          <w:ilvl w:val="0"/>
          <w:numId w:val="4"/>
        </w:numPr>
        <w:autoSpaceDE/>
        <w:autoSpaceDN/>
        <w:adjustRightInd/>
        <w:spacing w:before="0" w:after="0" w:line="276" w:lineRule="auto"/>
        <w:ind w:left="1146"/>
        <w:jc w:val="both"/>
        <w:rPr>
          <w:rFonts w:ascii="Arial" w:hAnsi="Arial" w:cs="Arial"/>
          <w:sz w:val="18"/>
          <w:szCs w:val="18"/>
        </w:rPr>
      </w:pPr>
      <w:r w:rsidRPr="00560494">
        <w:rPr>
          <w:rFonts w:ascii="Arial" w:hAnsi="Arial" w:cs="Arial"/>
          <w:sz w:val="18"/>
          <w:szCs w:val="18"/>
        </w:rPr>
        <w:t>výdaje na vzdělávání zdravotnického personálu.</w:t>
      </w:r>
    </w:p>
    <w:p w14:paraId="4C0E4E40" w14:textId="77777777"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sz w:val="18"/>
          <w:szCs w:val="18"/>
        </w:rPr>
      </w:pPr>
      <w:r w:rsidRPr="00560494">
        <w:rPr>
          <w:rFonts w:ascii="Arial" w:hAnsi="Arial" w:cs="Arial"/>
          <w:b/>
          <w:bCs/>
          <w:sz w:val="18"/>
          <w:szCs w:val="18"/>
        </w:rPr>
        <w:t>Výdaje zdravotních pojišťoven</w:t>
      </w:r>
      <w:r w:rsidRPr="00560494">
        <w:rPr>
          <w:rFonts w:ascii="Arial" w:hAnsi="Arial" w:cs="Arial"/>
          <w:sz w:val="18"/>
          <w:szCs w:val="18"/>
        </w:rPr>
        <w:t xml:space="preserve"> zahrnují úhrady z povinného veřejného zdravotního pojištění na zdravotní péči vykázanou zdravotnickými zařízeními a uznanou zdravotními pojišťovnami. Příjmy zdravotních pojišťoven plynou z veřejného zdravotního pojištění, kterého je povinně účastna každá osoba s trvalým pobytem na našem území. </w:t>
      </w:r>
    </w:p>
    <w:p w14:paraId="5BDCBDCC" w14:textId="77777777"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sz w:val="18"/>
          <w:szCs w:val="18"/>
        </w:rPr>
      </w:pPr>
      <w:r w:rsidRPr="00560494">
        <w:rPr>
          <w:rFonts w:ascii="Arial" w:hAnsi="Arial" w:cs="Arial"/>
          <w:b/>
          <w:bCs/>
          <w:sz w:val="18"/>
          <w:szCs w:val="18"/>
        </w:rPr>
        <w:t>Výdaje ze státního rozpočtu</w:t>
      </w:r>
      <w:r w:rsidRPr="00560494">
        <w:rPr>
          <w:rFonts w:ascii="Arial" w:hAnsi="Arial" w:cs="Arial"/>
          <w:sz w:val="18"/>
          <w:szCs w:val="18"/>
        </w:rPr>
        <w:t xml:space="preserve"> zahrnují především podporu zařízení dlouhodobé péče (např. domovy pro seniory). Ze státního rozpočtu je hrazena i správa rezortu zdravotnictví, tj. provoz Ministerstva zdravotnictví, odborů zdravotnictví jednotlivých krajských úřadů, hygienických stanic, Státního zdravotního ústavu, Státního ústavu pro kontrolu léčiv a Ústavu zdravotnických informací a statistiky ČR. V roce 2020 bylo ze státního rozpočtu hrazeno oddlužení nemocnic a nákup ochranných prostředků v souvislosti s pandemií onemocnění covid-19.</w:t>
      </w:r>
    </w:p>
    <w:p w14:paraId="3E6A1F10" w14:textId="77777777" w:rsidR="00560494" w:rsidRPr="00560494" w:rsidRDefault="00560494" w:rsidP="00560494">
      <w:pPr>
        <w:widowControl/>
        <w:autoSpaceDE/>
        <w:autoSpaceDN/>
        <w:adjustRightInd/>
        <w:spacing w:after="0"/>
        <w:jc w:val="both"/>
        <w:rPr>
          <w:rFonts w:ascii="Arial" w:hAnsi="Arial" w:cs="Arial"/>
          <w:bCs/>
          <w:sz w:val="18"/>
          <w:szCs w:val="18"/>
        </w:rPr>
      </w:pPr>
      <w:r w:rsidRPr="00560494">
        <w:rPr>
          <w:rFonts w:ascii="Arial" w:hAnsi="Arial" w:cs="Arial"/>
          <w:b/>
          <w:bCs/>
          <w:sz w:val="18"/>
          <w:szCs w:val="18"/>
        </w:rPr>
        <w:t xml:space="preserve">Krajské a obecní rozpočty </w:t>
      </w:r>
      <w:r w:rsidRPr="00560494">
        <w:rPr>
          <w:rFonts w:ascii="Arial" w:hAnsi="Arial" w:cs="Arial"/>
          <w:bCs/>
          <w:sz w:val="18"/>
          <w:szCs w:val="18"/>
        </w:rPr>
        <w:t>zahrnují finanční prostředky na zdravotní péči z rozpočtů krajů a obcí a týkají se například provozu zdravotnické záchranné služby.</w:t>
      </w:r>
    </w:p>
    <w:p w14:paraId="08368E7E" w14:textId="77777777" w:rsidR="00560494" w:rsidRPr="00560494" w:rsidRDefault="00560494" w:rsidP="00560494">
      <w:pPr>
        <w:widowControl/>
        <w:autoSpaceDE/>
        <w:autoSpaceDN/>
        <w:adjustRightInd/>
        <w:spacing w:after="0"/>
        <w:jc w:val="both"/>
        <w:rPr>
          <w:rFonts w:ascii="Arial" w:hAnsi="Arial" w:cs="Arial"/>
          <w:sz w:val="18"/>
          <w:szCs w:val="18"/>
        </w:rPr>
      </w:pPr>
      <w:r w:rsidRPr="00560494">
        <w:rPr>
          <w:rFonts w:ascii="Arial" w:hAnsi="Arial" w:cs="Arial"/>
          <w:b/>
          <w:bCs/>
          <w:sz w:val="18"/>
          <w:szCs w:val="18"/>
        </w:rPr>
        <w:t>Přímé výdaje domácností</w:t>
      </w:r>
      <w:r w:rsidRPr="00560494">
        <w:rPr>
          <w:rFonts w:ascii="Arial" w:hAnsi="Arial" w:cs="Arial"/>
          <w:sz w:val="18"/>
          <w:szCs w:val="18"/>
        </w:rPr>
        <w:t xml:space="preserve"> zahrnují přímé výdaje příjemců zdravotní péče (pacientů) nebo jejich případnou spoluúčast. Patří sem výdaje obyvatelstva za léky (doplatky u předepsaných léčiv a platby plných cen u volně prodejných léků), za prostředky zdravotnické techniky, platby za nadstandardní služby u stomatologů, za lázeňské pobyty, nadstandardně vybavené pokoje v nemocnicích a platby za různá potvrzení.</w:t>
      </w:r>
    </w:p>
    <w:p w14:paraId="30053DE8" w14:textId="77777777" w:rsidR="00560494" w:rsidRPr="00560494" w:rsidRDefault="00560494" w:rsidP="00560494">
      <w:pPr>
        <w:widowControl/>
        <w:autoSpaceDE/>
        <w:autoSpaceDN/>
        <w:adjustRightInd/>
        <w:spacing w:after="0"/>
        <w:jc w:val="both"/>
        <w:rPr>
          <w:rFonts w:ascii="Arial" w:hAnsi="Arial" w:cs="Arial"/>
          <w:sz w:val="18"/>
          <w:szCs w:val="18"/>
        </w:rPr>
      </w:pPr>
      <w:r w:rsidRPr="00560494">
        <w:rPr>
          <w:rFonts w:ascii="Arial" w:hAnsi="Arial" w:cs="Arial"/>
          <w:b/>
          <w:sz w:val="18"/>
          <w:szCs w:val="18"/>
        </w:rPr>
        <w:t>Dobrovolné zdravotní pojištění</w:t>
      </w:r>
      <w:r w:rsidRPr="00560494">
        <w:rPr>
          <w:rFonts w:ascii="Arial" w:hAnsi="Arial" w:cs="Arial"/>
          <w:sz w:val="18"/>
          <w:szCs w:val="18"/>
        </w:rPr>
        <w:t xml:space="preserve"> zahrnuje pouze cestovní pojištění. Obyvatelé Česka nemohou k hrazení zdravotní péče s výjimkou cestovního připojištění využívat jiné dobrovolné zdravotní připojištění.</w:t>
      </w:r>
    </w:p>
    <w:p w14:paraId="5424C7B8" w14:textId="77777777" w:rsidR="00560494" w:rsidRPr="00560494" w:rsidRDefault="00560494" w:rsidP="00560494">
      <w:pPr>
        <w:widowControl/>
        <w:autoSpaceDE/>
        <w:autoSpaceDN/>
        <w:adjustRightInd/>
        <w:spacing w:after="0"/>
        <w:jc w:val="both"/>
        <w:rPr>
          <w:rFonts w:ascii="Arial" w:hAnsi="Arial" w:cs="Arial"/>
          <w:sz w:val="18"/>
          <w:szCs w:val="18"/>
        </w:rPr>
      </w:pPr>
      <w:r w:rsidRPr="00560494">
        <w:rPr>
          <w:rFonts w:ascii="Arial" w:hAnsi="Arial" w:cs="Arial"/>
          <w:b/>
          <w:sz w:val="18"/>
          <w:szCs w:val="18"/>
        </w:rPr>
        <w:t>Neziskové organizace</w:t>
      </w:r>
      <w:r w:rsidRPr="00560494">
        <w:rPr>
          <w:rFonts w:ascii="Arial" w:hAnsi="Arial" w:cs="Arial"/>
          <w:sz w:val="18"/>
          <w:szCs w:val="18"/>
        </w:rPr>
        <w:t xml:space="preserve"> zahrnují výdaje na zdravotní péči hrazené neziskovými nestátními institucemi (například Červený kříž). Činnost těchto institucí je financována z dobrovolných příspěvků domácností a z vládních transferů či dotací.</w:t>
      </w:r>
    </w:p>
    <w:p w14:paraId="220EC0E7" w14:textId="77777777" w:rsidR="00560494" w:rsidRPr="00560494" w:rsidRDefault="00560494" w:rsidP="00560494">
      <w:pPr>
        <w:widowControl/>
        <w:autoSpaceDE/>
        <w:autoSpaceDN/>
        <w:adjustRightInd/>
        <w:spacing w:after="0"/>
        <w:jc w:val="both"/>
        <w:rPr>
          <w:rFonts w:ascii="Arial" w:hAnsi="Arial" w:cs="Arial"/>
          <w:sz w:val="18"/>
          <w:szCs w:val="18"/>
        </w:rPr>
      </w:pPr>
      <w:r w:rsidRPr="00560494">
        <w:rPr>
          <w:rFonts w:ascii="Arial" w:hAnsi="Arial" w:cs="Arial"/>
          <w:b/>
          <w:sz w:val="18"/>
          <w:szCs w:val="18"/>
        </w:rPr>
        <w:t>Závodní preventivní péče</w:t>
      </w:r>
      <w:r w:rsidRPr="00560494">
        <w:rPr>
          <w:rFonts w:ascii="Arial" w:hAnsi="Arial" w:cs="Arial"/>
          <w:sz w:val="18"/>
          <w:szCs w:val="18"/>
        </w:rPr>
        <w:t xml:space="preserve"> zahrnuje náklady na uskutečněné preventivní prohlídky a zdravotní vyšetření vlastních zaměstnanců, pokud nebyly hrazené z veřejného zdravotního pojištění.</w:t>
      </w:r>
    </w:p>
    <w:p w14:paraId="2B0B1657" w14:textId="77777777" w:rsidR="00560494" w:rsidRPr="00560494" w:rsidRDefault="00560494" w:rsidP="00560494">
      <w:pPr>
        <w:widowControl/>
        <w:autoSpaceDE/>
        <w:autoSpaceDN/>
        <w:adjustRightInd/>
        <w:spacing w:after="0"/>
        <w:jc w:val="both"/>
        <w:rPr>
          <w:rFonts w:ascii="Arial" w:hAnsi="Arial" w:cs="Arial"/>
          <w:sz w:val="18"/>
          <w:szCs w:val="18"/>
          <w:lang w:eastAsia="en-US"/>
        </w:rPr>
      </w:pPr>
      <w:r w:rsidRPr="00560494">
        <w:rPr>
          <w:rFonts w:ascii="Arial" w:hAnsi="Arial" w:cs="Arial"/>
          <w:b/>
          <w:bCs/>
          <w:sz w:val="18"/>
          <w:szCs w:val="18"/>
          <w:lang w:eastAsia="en-US"/>
        </w:rPr>
        <w:t>Léčebná péče</w:t>
      </w:r>
      <w:r w:rsidRPr="00560494">
        <w:rPr>
          <w:rFonts w:ascii="Arial" w:hAnsi="Arial" w:cs="Arial"/>
          <w:sz w:val="18"/>
          <w:szCs w:val="18"/>
          <w:lang w:eastAsia="en-US"/>
        </w:rPr>
        <w:t xml:space="preserve"> je souhrnem zdravotnických služeb pacientům zahrnujících zejména stanovení diagnózy, provedení odpovídajících vyšetření, stanovení postupu léčby nemoci (odstranění bolesti a potíží), provádění léčby potřebnými postupy včetně využití léků a odpovídajících zdravotnických výrobků a následné sledování zdravotního stavu.</w:t>
      </w:r>
    </w:p>
    <w:p w14:paraId="6364D8D3" w14:textId="77777777" w:rsidR="00560494" w:rsidRPr="00560494" w:rsidRDefault="00560494" w:rsidP="00560494">
      <w:pPr>
        <w:widowControl/>
        <w:autoSpaceDE/>
        <w:autoSpaceDN/>
        <w:adjustRightInd/>
        <w:spacing w:after="0"/>
        <w:jc w:val="both"/>
        <w:rPr>
          <w:rFonts w:ascii="Arial" w:hAnsi="Arial" w:cs="Arial"/>
          <w:sz w:val="18"/>
          <w:szCs w:val="18"/>
          <w:lang w:eastAsia="en-US"/>
        </w:rPr>
      </w:pPr>
      <w:r w:rsidRPr="00560494">
        <w:rPr>
          <w:rFonts w:ascii="Arial" w:hAnsi="Arial" w:cs="Arial"/>
          <w:b/>
          <w:bCs/>
          <w:sz w:val="18"/>
          <w:szCs w:val="18"/>
          <w:lang w:eastAsia="en-US"/>
        </w:rPr>
        <w:t>Lůžková léčebná péče</w:t>
      </w:r>
      <w:r w:rsidRPr="00560494">
        <w:rPr>
          <w:rFonts w:ascii="Arial" w:hAnsi="Arial" w:cs="Arial"/>
          <w:bCs/>
          <w:sz w:val="18"/>
          <w:szCs w:val="18"/>
          <w:lang w:eastAsia="en-US"/>
        </w:rPr>
        <w:t xml:space="preserve"> </w:t>
      </w:r>
      <w:r w:rsidRPr="00560494">
        <w:rPr>
          <w:rFonts w:ascii="Arial" w:hAnsi="Arial" w:cs="Arial"/>
          <w:sz w:val="18"/>
          <w:szCs w:val="18"/>
          <w:lang w:eastAsia="en-US"/>
        </w:rPr>
        <w:t>zahrnuje formální přijetí do zdravotnického zařízení k léčení, rehabilitaci nebo dlouhodobé péči, u které se předpokládá přenocování. Lůžková péče není omezena typem poskytovatele. Nejčastěji jím může být nemocnice, ale i zařízení ošetřovatelské péče nebo zařízení klasifikovaná jako poskytovatelé ambulantní péče, která poskytují příležitostné procedury vyžadující lůžkovou péči, a jsou tudíž schopna poskytnout ubytování přes noc.</w:t>
      </w:r>
    </w:p>
    <w:p w14:paraId="2EDF12F6" w14:textId="77777777" w:rsidR="00560494" w:rsidRPr="00560494" w:rsidRDefault="00560494" w:rsidP="00560494">
      <w:pPr>
        <w:widowControl/>
        <w:autoSpaceDE/>
        <w:autoSpaceDN/>
        <w:adjustRightInd/>
        <w:spacing w:after="0"/>
        <w:jc w:val="both"/>
        <w:rPr>
          <w:rFonts w:ascii="Arial" w:hAnsi="Arial" w:cs="Arial"/>
          <w:sz w:val="18"/>
          <w:szCs w:val="18"/>
          <w:lang w:eastAsia="en-US"/>
        </w:rPr>
      </w:pPr>
      <w:r w:rsidRPr="00560494">
        <w:rPr>
          <w:rFonts w:ascii="Arial" w:hAnsi="Arial" w:cs="Arial"/>
          <w:b/>
          <w:bCs/>
          <w:sz w:val="18"/>
          <w:szCs w:val="18"/>
          <w:lang w:eastAsia="en-US"/>
        </w:rPr>
        <w:t>Ambulantní léčebná péče</w:t>
      </w:r>
      <w:r w:rsidRPr="00560494">
        <w:rPr>
          <w:rFonts w:ascii="Arial" w:hAnsi="Arial" w:cs="Arial"/>
          <w:sz w:val="18"/>
          <w:szCs w:val="18"/>
          <w:lang w:eastAsia="en-US"/>
        </w:rPr>
        <w:t xml:space="preserve"> zahrnuje lékařské a doplňkové služby poskytované pacientovi, který není formálně přijat do zařízení a nezůstává v něm přes noc. Ambulantní péče může být poskytována v nemocnicích nebo praktickými lékaři a specialisty v soukromých zdravotnických zařízeních či jednotlivých ordinacích.</w:t>
      </w:r>
    </w:p>
    <w:p w14:paraId="3EE727F5" w14:textId="77777777" w:rsidR="00560494" w:rsidRPr="00560494" w:rsidRDefault="00560494" w:rsidP="00560494">
      <w:pPr>
        <w:widowControl/>
        <w:autoSpaceDE/>
        <w:autoSpaceDN/>
        <w:adjustRightInd/>
        <w:spacing w:after="0"/>
        <w:jc w:val="both"/>
        <w:rPr>
          <w:rFonts w:ascii="Arial" w:hAnsi="Arial" w:cs="Arial"/>
          <w:sz w:val="18"/>
          <w:szCs w:val="18"/>
        </w:rPr>
      </w:pPr>
      <w:r w:rsidRPr="00560494">
        <w:rPr>
          <w:rFonts w:ascii="Arial" w:hAnsi="Arial" w:cs="Arial"/>
          <w:b/>
          <w:sz w:val="18"/>
          <w:szCs w:val="18"/>
        </w:rPr>
        <w:t xml:space="preserve">Denní léčebná péče </w:t>
      </w:r>
      <w:r w:rsidRPr="00560494">
        <w:rPr>
          <w:rFonts w:ascii="Arial" w:hAnsi="Arial" w:cs="Arial"/>
          <w:sz w:val="18"/>
          <w:szCs w:val="18"/>
        </w:rPr>
        <w:t>zahrnuje plánované výkony lékařů a nelékařského zdravotnického personálu poskytnuté pacientům, kteří byli formálně přijati do zdravotnického zařízení za účelem určení diagnózy, léčení či dalších druhů zdravotní péče. Pacient je přijat a propuštěn v ten samý den, délka pobytu trvá 3–8 hodin.</w:t>
      </w:r>
    </w:p>
    <w:p w14:paraId="44F4AB82" w14:textId="77777777" w:rsidR="00560494" w:rsidRPr="00560494" w:rsidRDefault="00560494" w:rsidP="00560494">
      <w:pPr>
        <w:widowControl/>
        <w:autoSpaceDE/>
        <w:autoSpaceDN/>
        <w:adjustRightInd/>
        <w:spacing w:after="0"/>
        <w:jc w:val="both"/>
        <w:rPr>
          <w:rFonts w:ascii="Arial" w:hAnsi="Arial" w:cs="Arial"/>
          <w:sz w:val="18"/>
          <w:szCs w:val="18"/>
        </w:rPr>
      </w:pPr>
      <w:r w:rsidRPr="00560494">
        <w:rPr>
          <w:rFonts w:ascii="Arial" w:hAnsi="Arial" w:cs="Arial"/>
          <w:b/>
          <w:sz w:val="18"/>
          <w:szCs w:val="18"/>
        </w:rPr>
        <w:t>Domácí léčebná péče</w:t>
      </w:r>
      <w:r w:rsidRPr="00560494">
        <w:rPr>
          <w:rFonts w:ascii="Arial" w:hAnsi="Arial" w:cs="Arial"/>
          <w:sz w:val="18"/>
          <w:szCs w:val="18"/>
        </w:rPr>
        <w:t xml:space="preserve"> zahrnuje lékařské, doplňkové a pečovatelské služby, které jsou poskytovány pacientům v jejich domovech a zahrnují fyzickou přítomnost poskytovatele. Zahrnuty jsou porodnické služby doma, domácí dialýza a všechny ostatní služby zdravotní péče spotřebovávané v domácím prostředí bez ohledu na poskytovatele, což může být např. příbuzný nebo specialista v oblasti zdravotnictví. Do této kategorie nepatří domovy s pečovatelskou službou.</w:t>
      </w:r>
    </w:p>
    <w:p w14:paraId="79647B55" w14:textId="77777777" w:rsidR="00560494" w:rsidRPr="00560494" w:rsidRDefault="00560494" w:rsidP="00560494">
      <w:pPr>
        <w:widowControl/>
        <w:autoSpaceDE/>
        <w:autoSpaceDN/>
        <w:adjustRightInd/>
        <w:spacing w:after="0"/>
        <w:jc w:val="both"/>
        <w:rPr>
          <w:rFonts w:ascii="Arial" w:hAnsi="Arial" w:cs="Arial"/>
          <w:sz w:val="18"/>
          <w:szCs w:val="18"/>
          <w:lang w:eastAsia="en-US"/>
        </w:rPr>
      </w:pPr>
      <w:r w:rsidRPr="00560494">
        <w:rPr>
          <w:rFonts w:ascii="Arial" w:hAnsi="Arial" w:cs="Arial"/>
          <w:b/>
          <w:bCs/>
          <w:sz w:val="18"/>
          <w:szCs w:val="18"/>
          <w:lang w:eastAsia="en-US"/>
        </w:rPr>
        <w:t>Rehabilitační péče</w:t>
      </w:r>
      <w:r w:rsidRPr="00560494">
        <w:rPr>
          <w:rFonts w:ascii="Arial" w:hAnsi="Arial" w:cs="Arial"/>
          <w:bCs/>
          <w:sz w:val="18"/>
          <w:szCs w:val="18"/>
          <w:lang w:eastAsia="en-US"/>
        </w:rPr>
        <w:t xml:space="preserve"> </w:t>
      </w:r>
      <w:r w:rsidRPr="00560494">
        <w:rPr>
          <w:rFonts w:ascii="Arial" w:hAnsi="Arial" w:cs="Arial"/>
          <w:sz w:val="18"/>
          <w:szCs w:val="18"/>
          <w:lang w:eastAsia="en-US"/>
        </w:rPr>
        <w:t>je souhrnem zdravotnických služeb prováděných v zařízeních rehabilitační péče (včetně lázeňských) zaměřených na odstranění zdravotních omezení a potíží pociťovaných pacientem a opětovné docílení odpovídajícího zdravotního stavu (obvykle po provedené léčebné péči).</w:t>
      </w:r>
    </w:p>
    <w:p w14:paraId="1EDC554E" w14:textId="77777777" w:rsidR="00560494" w:rsidRPr="00560494" w:rsidRDefault="00560494" w:rsidP="00560494">
      <w:pPr>
        <w:widowControl/>
        <w:autoSpaceDE/>
        <w:autoSpaceDN/>
        <w:adjustRightInd/>
        <w:spacing w:after="0"/>
        <w:jc w:val="both"/>
        <w:rPr>
          <w:rFonts w:ascii="Arial" w:hAnsi="Arial" w:cs="Arial"/>
          <w:sz w:val="18"/>
          <w:szCs w:val="18"/>
          <w:lang w:eastAsia="en-US"/>
        </w:rPr>
      </w:pPr>
      <w:r w:rsidRPr="00560494">
        <w:rPr>
          <w:rFonts w:ascii="Arial" w:hAnsi="Arial" w:cs="Arial"/>
          <w:b/>
          <w:bCs/>
          <w:sz w:val="18"/>
          <w:szCs w:val="18"/>
          <w:lang w:eastAsia="en-US"/>
        </w:rPr>
        <w:lastRenderedPageBreak/>
        <w:t>Dlouhodobá zdravotní péče</w:t>
      </w:r>
      <w:r w:rsidRPr="00560494">
        <w:rPr>
          <w:rFonts w:ascii="Arial" w:hAnsi="Arial" w:cs="Arial"/>
          <w:sz w:val="18"/>
          <w:szCs w:val="18"/>
          <w:lang w:eastAsia="en-US"/>
        </w:rPr>
        <w:t xml:space="preserve"> sestává ze škály služeb lékařské a osobní péče, které jsou spotřebovávány s prvotním cílem ulevit od bolesti a utrpení a zmenšit nebo zvládnout zhoršení zdravotního stavu pacientů se stupněm dlouhodobé závislosti.</w:t>
      </w:r>
    </w:p>
    <w:p w14:paraId="05C15AB2" w14:textId="77777777" w:rsidR="00560494" w:rsidRPr="00560494" w:rsidRDefault="00560494" w:rsidP="00560494">
      <w:pPr>
        <w:widowControl/>
        <w:autoSpaceDE/>
        <w:autoSpaceDN/>
        <w:adjustRightInd/>
        <w:spacing w:after="0"/>
        <w:jc w:val="both"/>
        <w:rPr>
          <w:rFonts w:ascii="Arial" w:hAnsi="Arial" w:cs="Arial"/>
          <w:sz w:val="18"/>
          <w:szCs w:val="18"/>
          <w:lang w:eastAsia="en-US"/>
        </w:rPr>
      </w:pPr>
      <w:r w:rsidRPr="00560494">
        <w:rPr>
          <w:rFonts w:ascii="Arial" w:hAnsi="Arial" w:cs="Arial"/>
          <w:b/>
          <w:sz w:val="18"/>
          <w:szCs w:val="18"/>
          <w:lang w:eastAsia="en-US"/>
        </w:rPr>
        <w:t xml:space="preserve">Doplňkové služby </w:t>
      </w:r>
      <w:r w:rsidRPr="00560494">
        <w:rPr>
          <w:rFonts w:ascii="Arial" w:hAnsi="Arial" w:cs="Arial"/>
          <w:sz w:val="18"/>
          <w:szCs w:val="18"/>
          <w:lang w:eastAsia="en-US"/>
        </w:rPr>
        <w:t>zahrnují laboratorní a zobrazovací diagnostiku (RTG, CT, magnetická rezonance apod.) a také dopravu pacientů (jedná se i o záchrannou zdravotní službu).</w:t>
      </w:r>
    </w:p>
    <w:p w14:paraId="65C10B78" w14:textId="77777777" w:rsidR="00560494" w:rsidRPr="00560494" w:rsidRDefault="00560494" w:rsidP="00560494">
      <w:pPr>
        <w:widowControl/>
        <w:autoSpaceDE/>
        <w:autoSpaceDN/>
        <w:adjustRightInd/>
        <w:spacing w:after="0"/>
        <w:jc w:val="both"/>
        <w:rPr>
          <w:rFonts w:ascii="Arial" w:hAnsi="Arial" w:cs="Arial"/>
          <w:bCs/>
          <w:sz w:val="18"/>
          <w:szCs w:val="18"/>
          <w:lang w:eastAsia="en-US"/>
        </w:rPr>
      </w:pPr>
      <w:r w:rsidRPr="00560494">
        <w:rPr>
          <w:rFonts w:ascii="Arial" w:hAnsi="Arial" w:cs="Arial"/>
          <w:b/>
          <w:sz w:val="18"/>
          <w:szCs w:val="18"/>
          <w:lang w:eastAsia="en-US"/>
        </w:rPr>
        <w:t xml:space="preserve">Léky a zdravotnické prostředky </w:t>
      </w:r>
      <w:r w:rsidRPr="00560494">
        <w:rPr>
          <w:rFonts w:ascii="Arial" w:hAnsi="Arial" w:cs="Arial"/>
          <w:sz w:val="18"/>
          <w:szCs w:val="18"/>
        </w:rPr>
        <w:t>jsou</w:t>
      </w:r>
      <w:r w:rsidRPr="00560494">
        <w:rPr>
          <w:rFonts w:ascii="Arial" w:hAnsi="Arial" w:cs="Arial"/>
          <w:b/>
          <w:sz w:val="18"/>
          <w:szCs w:val="18"/>
        </w:rPr>
        <w:t xml:space="preserve"> </w:t>
      </w:r>
      <w:r w:rsidRPr="00560494">
        <w:rPr>
          <w:rFonts w:ascii="Arial" w:hAnsi="Arial" w:cs="Arial"/>
          <w:sz w:val="18"/>
          <w:szCs w:val="18"/>
        </w:rPr>
        <w:t xml:space="preserve">určené pro použití při diagnostice, zmírňování nebo léčbě onemocnění včetně předepsaných léků a volně prodejných léků. </w:t>
      </w:r>
      <w:r w:rsidRPr="00560494">
        <w:rPr>
          <w:rFonts w:ascii="Arial" w:hAnsi="Arial" w:cs="Arial"/>
          <w:sz w:val="18"/>
          <w:szCs w:val="18"/>
          <w:lang w:eastAsia="en-US"/>
        </w:rPr>
        <w:t>Nezahrnuje výdaje na léky spotřebované přímo v lůžkových zdravotnických zařízeních.</w:t>
      </w:r>
    </w:p>
    <w:p w14:paraId="39E1EC43" w14:textId="77777777" w:rsidR="00560494" w:rsidRPr="00560494" w:rsidRDefault="00560494" w:rsidP="00560494">
      <w:pPr>
        <w:widowControl/>
        <w:autoSpaceDE/>
        <w:autoSpaceDN/>
        <w:adjustRightInd/>
        <w:spacing w:after="0"/>
        <w:jc w:val="both"/>
        <w:rPr>
          <w:rFonts w:ascii="Arial" w:hAnsi="Arial" w:cs="Arial"/>
          <w:sz w:val="18"/>
          <w:szCs w:val="18"/>
          <w:lang w:eastAsia="en-US"/>
        </w:rPr>
      </w:pPr>
      <w:r w:rsidRPr="00560494">
        <w:rPr>
          <w:rFonts w:ascii="Arial" w:hAnsi="Arial" w:cs="Arial"/>
          <w:b/>
          <w:bCs/>
          <w:sz w:val="18"/>
          <w:szCs w:val="18"/>
          <w:lang w:eastAsia="en-US"/>
        </w:rPr>
        <w:t>Preventivní péče</w:t>
      </w:r>
      <w:r w:rsidRPr="00560494">
        <w:rPr>
          <w:rFonts w:ascii="Arial" w:hAnsi="Arial" w:cs="Arial"/>
          <w:sz w:val="18"/>
          <w:szCs w:val="18"/>
          <w:lang w:eastAsia="en-US"/>
        </w:rPr>
        <w:t xml:space="preserve"> zahrnuje imunizační programy (očkování), programy na včasné odhalení nemoci (např. screeningy zhoubných nádorů), pravidelné preventivní prohlídky (např. prohlídky v době těhotenství, růstu a vývoje dětí, zubní a všeobecné preventivní prohlídky). Mezi preventivní péči se řadí i výdaje za informační a poradenské programy, jako jsou informace o zdravotních důsledcích kouření, pití alkoholu, špatného stravování nebo nedostatečné fyzické aktivity. V roce 2020 jsou v této kategorii zahrnuty i náklady na PCR a antigenní testování na onemocnění covid-19.</w:t>
      </w:r>
    </w:p>
    <w:p w14:paraId="2B318EDF" w14:textId="77777777" w:rsidR="00560494" w:rsidRPr="00560494" w:rsidRDefault="00560494" w:rsidP="00560494">
      <w:pPr>
        <w:widowControl/>
        <w:autoSpaceDE/>
        <w:autoSpaceDN/>
        <w:adjustRightInd/>
        <w:spacing w:after="0"/>
        <w:jc w:val="both"/>
        <w:rPr>
          <w:rFonts w:ascii="Arial" w:hAnsi="Arial" w:cs="Arial"/>
          <w:sz w:val="18"/>
          <w:szCs w:val="18"/>
          <w:lang w:eastAsia="en-US"/>
        </w:rPr>
      </w:pPr>
      <w:r w:rsidRPr="00560494">
        <w:rPr>
          <w:rFonts w:ascii="Arial" w:hAnsi="Arial" w:cs="Arial"/>
          <w:b/>
          <w:sz w:val="18"/>
          <w:szCs w:val="18"/>
          <w:lang w:eastAsia="en-US"/>
        </w:rPr>
        <w:t>Správa systému zdravotní péče</w:t>
      </w:r>
      <w:r w:rsidRPr="00560494">
        <w:rPr>
          <w:rFonts w:ascii="Arial" w:hAnsi="Arial" w:cs="Arial"/>
          <w:sz w:val="18"/>
          <w:szCs w:val="18"/>
          <w:lang w:eastAsia="en-US"/>
        </w:rPr>
        <w:t xml:space="preserve"> </w:t>
      </w:r>
      <w:r w:rsidRPr="00560494">
        <w:rPr>
          <w:rFonts w:ascii="Arial" w:hAnsi="Arial" w:cs="Arial"/>
          <w:sz w:val="18"/>
          <w:szCs w:val="18"/>
        </w:rPr>
        <w:t>se zaměřuje na systém zdravotnictví spíše než na přímou zdravotní péči a je považována za kolektivní službu, protože není alokována ke konkrétním jedincům, ale mají z ní užitek všichni uživatelé systému zdravotnictví. Řídí a podporuje fungování systému zdravotnictví. Od těchto služeb se očekává, že budou spravovat a zvyšovat účinnost a výkonnost systému zdravotnictví. Patří sem například formulace a správa vládní politiky, nastavování standardů, nebo licencování.</w:t>
      </w:r>
    </w:p>
    <w:p w14:paraId="2742D442" w14:textId="5031FB58" w:rsid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sz w:val="18"/>
          <w:szCs w:val="18"/>
        </w:rPr>
      </w:pPr>
    </w:p>
    <w:p w14:paraId="288445B2" w14:textId="77777777" w:rsidR="005226EC" w:rsidRPr="00560494" w:rsidRDefault="005226EC"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sz w:val="18"/>
          <w:szCs w:val="18"/>
        </w:rPr>
      </w:pPr>
    </w:p>
    <w:p w14:paraId="718D779C" w14:textId="074EE057" w:rsidR="00161EE1" w:rsidRPr="00560494" w:rsidRDefault="00161EE1" w:rsidP="00161EE1">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b/>
          <w:bCs/>
          <w:color w:val="0071BC"/>
        </w:rPr>
      </w:pPr>
      <w:r w:rsidRPr="00560494">
        <w:rPr>
          <w:rFonts w:ascii="Arial" w:hAnsi="Arial" w:cs="Arial"/>
          <w:b/>
          <w:color w:val="0071BC"/>
        </w:rPr>
        <w:t xml:space="preserve">Tab. </w:t>
      </w:r>
      <w:r w:rsidRPr="00560494">
        <w:rPr>
          <w:rFonts w:ascii="Arial" w:hAnsi="Arial" w:cs="Arial"/>
          <w:b/>
          <w:bCs/>
          <w:color w:val="0071BC"/>
        </w:rPr>
        <w:t>25</w:t>
      </w:r>
      <w:r w:rsidRPr="00560494">
        <w:rPr>
          <w:rFonts w:ascii="Arial" w:hAnsi="Arial" w:cs="Arial"/>
          <w:b/>
          <w:color w:val="0071BC"/>
        </w:rPr>
        <w:t>-2</w:t>
      </w:r>
      <w:r w:rsidR="00DA5AAF">
        <w:rPr>
          <w:rFonts w:ascii="Arial" w:hAnsi="Arial" w:cs="Arial"/>
          <w:b/>
          <w:color w:val="0071BC"/>
        </w:rPr>
        <w:t>1</w:t>
      </w:r>
      <w:r w:rsidRPr="00560494">
        <w:rPr>
          <w:rFonts w:ascii="Arial" w:hAnsi="Arial" w:cs="Arial"/>
          <w:b/>
          <w:color w:val="0071BC"/>
        </w:rPr>
        <w:t xml:space="preserve">  </w:t>
      </w:r>
      <w:r w:rsidRPr="00560494">
        <w:rPr>
          <w:rFonts w:ascii="Arial" w:hAnsi="Arial" w:cs="Arial"/>
          <w:b/>
          <w:bCs/>
          <w:color w:val="0071BC"/>
        </w:rPr>
        <w:t>Výdaje zdravotních pojišťoven na 1 obyvatele podle pohlaví a věkových skupin</w:t>
      </w:r>
    </w:p>
    <w:p w14:paraId="5B329521" w14:textId="77777777" w:rsidR="00161EE1" w:rsidRPr="00560494" w:rsidRDefault="00161EE1" w:rsidP="00161EE1">
      <w:pPr>
        <w:widowControl/>
        <w:spacing w:after="0"/>
        <w:jc w:val="both"/>
        <w:rPr>
          <w:rFonts w:ascii="Arial" w:hAnsi="Arial" w:cs="Arial"/>
          <w:sz w:val="18"/>
          <w:szCs w:val="18"/>
        </w:rPr>
      </w:pPr>
      <w:r w:rsidRPr="00560494">
        <w:rPr>
          <w:rFonts w:ascii="Arial" w:hAnsi="Arial" w:cs="Arial"/>
          <w:sz w:val="18"/>
          <w:szCs w:val="18"/>
        </w:rPr>
        <w:t>Údaje v tabulce vycházejí ze systému zdravotnických účtů České republiky. Do celkového ukazatele výdajů na jednoho obyvatele daného pohlaví jsou započítávány i výdaje, které nelze rozdělit podle věku.</w:t>
      </w:r>
    </w:p>
    <w:p w14:paraId="3E8FFDC3" w14:textId="757298A0" w:rsidR="00161EE1" w:rsidRDefault="00161EE1" w:rsidP="00161EE1">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sz w:val="18"/>
          <w:szCs w:val="18"/>
        </w:rPr>
      </w:pPr>
    </w:p>
    <w:p w14:paraId="48561F98" w14:textId="77777777" w:rsidR="005226EC" w:rsidRPr="00560494" w:rsidRDefault="005226EC" w:rsidP="00161EE1">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sz w:val="18"/>
          <w:szCs w:val="18"/>
        </w:rPr>
      </w:pPr>
    </w:p>
    <w:p w14:paraId="1823728B" w14:textId="2212D69D" w:rsidR="00161EE1" w:rsidRPr="00692C3B" w:rsidRDefault="00161EE1" w:rsidP="00161EE1">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ind w:left="454" w:hanging="454"/>
        <w:jc w:val="both"/>
        <w:rPr>
          <w:rFonts w:ascii="Arial" w:hAnsi="Arial" w:cs="Arial"/>
          <w:b/>
          <w:color w:val="0071BC"/>
        </w:rPr>
      </w:pPr>
      <w:r w:rsidRPr="00560494">
        <w:rPr>
          <w:rFonts w:ascii="Arial" w:hAnsi="Arial" w:cs="Arial"/>
          <w:b/>
          <w:color w:val="0071BC"/>
        </w:rPr>
        <w:t>Tab. 25-2</w:t>
      </w:r>
      <w:r w:rsidR="00DA5AAF">
        <w:rPr>
          <w:rFonts w:ascii="Arial" w:hAnsi="Arial" w:cs="Arial"/>
          <w:b/>
          <w:color w:val="0071BC"/>
        </w:rPr>
        <w:t>2</w:t>
      </w:r>
      <w:r w:rsidRPr="00560494">
        <w:rPr>
          <w:rFonts w:ascii="Arial" w:hAnsi="Arial" w:cs="Arial"/>
          <w:b/>
          <w:color w:val="0071BC"/>
        </w:rPr>
        <w:t xml:space="preserve">  Výdaje zdravotních pojišťoven na zdravotní péči podle vybraných diagnóz, pohlaví a věkových skupin</w:t>
      </w:r>
      <w:r>
        <w:rPr>
          <w:rFonts w:ascii="Arial" w:hAnsi="Arial" w:cs="Arial"/>
          <w:b/>
          <w:color w:val="0071BC"/>
        </w:rPr>
        <w:t xml:space="preserve"> </w:t>
      </w:r>
    </w:p>
    <w:p w14:paraId="22EDF80B" w14:textId="77777777" w:rsidR="00161EE1" w:rsidRPr="00560494" w:rsidRDefault="00161EE1" w:rsidP="00161EE1">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sz w:val="18"/>
          <w:szCs w:val="18"/>
        </w:rPr>
      </w:pPr>
      <w:r w:rsidRPr="00560494">
        <w:rPr>
          <w:rFonts w:ascii="Arial" w:hAnsi="Arial" w:cs="Arial"/>
          <w:sz w:val="18"/>
          <w:szCs w:val="18"/>
        </w:rPr>
        <w:t>V tabulce jsou vybrány diagnózy, respektive kapitoly MKN-10, které pro zdravotní pojišťovny představují největší výdajové skupiny.</w:t>
      </w:r>
    </w:p>
    <w:p w14:paraId="49D5BA3F" w14:textId="77777777"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sz w:val="18"/>
          <w:szCs w:val="18"/>
        </w:rPr>
      </w:pPr>
    </w:p>
    <w:p w14:paraId="05FDA910" w14:textId="77777777"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sz w:val="18"/>
          <w:szCs w:val="18"/>
        </w:rPr>
      </w:pPr>
    </w:p>
    <w:p w14:paraId="77C190B0" w14:textId="2F8A3344"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b/>
          <w:color w:val="0071BC"/>
        </w:rPr>
      </w:pPr>
      <w:r w:rsidRPr="00560494">
        <w:rPr>
          <w:rFonts w:ascii="Arial" w:hAnsi="Arial" w:cs="Arial"/>
          <w:b/>
          <w:color w:val="0071BC"/>
        </w:rPr>
        <w:t>Tab. 25-</w:t>
      </w:r>
      <w:r w:rsidR="00161EE1" w:rsidRPr="00560494">
        <w:rPr>
          <w:rFonts w:ascii="Arial" w:hAnsi="Arial" w:cs="Arial"/>
          <w:b/>
          <w:color w:val="0071BC"/>
        </w:rPr>
        <w:t>2</w:t>
      </w:r>
      <w:r w:rsidR="00DA5AAF">
        <w:rPr>
          <w:rFonts w:ascii="Arial" w:hAnsi="Arial" w:cs="Arial"/>
          <w:b/>
          <w:color w:val="0071BC"/>
        </w:rPr>
        <w:t>3</w:t>
      </w:r>
      <w:r w:rsidR="00161EE1" w:rsidRPr="00560494">
        <w:rPr>
          <w:rFonts w:ascii="Arial" w:hAnsi="Arial" w:cs="Arial"/>
          <w:b/>
          <w:color w:val="0071BC"/>
        </w:rPr>
        <w:t xml:space="preserve"> </w:t>
      </w:r>
      <w:r w:rsidRPr="00560494">
        <w:rPr>
          <w:rFonts w:ascii="Arial" w:hAnsi="Arial" w:cs="Arial"/>
          <w:b/>
          <w:color w:val="0071BC"/>
        </w:rPr>
        <w:t>Výdaje domácností na zdravotní péči</w:t>
      </w:r>
    </w:p>
    <w:p w14:paraId="57D89B3C" w14:textId="77777777" w:rsidR="00560494" w:rsidRPr="00560494" w:rsidRDefault="00560494" w:rsidP="0056049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cs="Arial"/>
          <w:sz w:val="18"/>
          <w:szCs w:val="18"/>
        </w:rPr>
      </w:pPr>
      <w:r w:rsidRPr="00560494">
        <w:rPr>
          <w:rFonts w:ascii="Arial" w:hAnsi="Arial" w:cs="Arial"/>
          <w:sz w:val="18"/>
          <w:szCs w:val="18"/>
        </w:rPr>
        <w:t>Základním zdrojem údajů pro odhad výdajů na konečnou spotřebu domácností na zdravotní péči jsou údaje ze statistiky národních účtů ČSÚ. Výdaje domácností na zdravotní péči jsou členěny podle mezinárodní metodiky systému zdravotnických účtů (SHA).</w:t>
      </w:r>
    </w:p>
    <w:p w14:paraId="2BC82AD5" w14:textId="77777777" w:rsidR="00560494" w:rsidRPr="00560494" w:rsidRDefault="00560494" w:rsidP="00560494">
      <w:pPr>
        <w:widowControl/>
        <w:autoSpaceDE/>
        <w:autoSpaceDN/>
        <w:adjustRightInd/>
        <w:spacing w:after="0"/>
        <w:jc w:val="both"/>
        <w:rPr>
          <w:rFonts w:ascii="Arial" w:hAnsi="Arial" w:cs="Arial"/>
          <w:sz w:val="18"/>
          <w:szCs w:val="18"/>
        </w:rPr>
      </w:pPr>
      <w:r w:rsidRPr="00560494">
        <w:rPr>
          <w:rFonts w:ascii="Arial" w:hAnsi="Arial" w:cs="Arial"/>
          <w:b/>
          <w:sz w:val="18"/>
          <w:szCs w:val="18"/>
        </w:rPr>
        <w:t xml:space="preserve">Ostatní zdravotnické zboží krátkodobé spotřeby </w:t>
      </w:r>
      <w:r w:rsidRPr="00560494">
        <w:rPr>
          <w:rFonts w:ascii="Arial" w:hAnsi="Arial" w:cs="Arial"/>
          <w:sz w:val="18"/>
          <w:szCs w:val="18"/>
        </w:rPr>
        <w:t>zahrnují zdravotnické zboží krátkodobé spotřeby (např. adhezivní náplast i neadhezivní obvazy, podkožní injekční stříkačky, lékárničky, zdravotnické punčochové zboží jako kompresní punčochy a bandáže na koleno apod.).</w:t>
      </w:r>
    </w:p>
    <w:p w14:paraId="392005A5" w14:textId="77777777" w:rsidR="00560494" w:rsidRPr="00560494" w:rsidRDefault="00560494" w:rsidP="00560494">
      <w:pPr>
        <w:widowControl/>
        <w:autoSpaceDE/>
        <w:autoSpaceDN/>
        <w:adjustRightInd/>
        <w:spacing w:after="0"/>
        <w:jc w:val="both"/>
        <w:rPr>
          <w:rFonts w:ascii="Arial" w:hAnsi="Arial" w:cs="Arial"/>
          <w:sz w:val="18"/>
          <w:szCs w:val="18"/>
        </w:rPr>
      </w:pPr>
      <w:r w:rsidRPr="00560494">
        <w:rPr>
          <w:rFonts w:ascii="Arial" w:hAnsi="Arial" w:cs="Arial"/>
          <w:b/>
          <w:sz w:val="18"/>
          <w:szCs w:val="18"/>
        </w:rPr>
        <w:t xml:space="preserve">Ostatní terapeutické pomůcky </w:t>
      </w:r>
      <w:r w:rsidRPr="00560494">
        <w:rPr>
          <w:rFonts w:ascii="Arial" w:hAnsi="Arial" w:cs="Arial"/>
          <w:sz w:val="18"/>
          <w:szCs w:val="18"/>
        </w:rPr>
        <w:t>zahrnují širokou škálu přístrojů lékařské techniky od naslouchadel přes invalidní vozíky (elektrické a mechanické) a vozítka pro invalidy, ale i různé zdravotnické zboží dlouhodobé spotřeby jinde neklasifikované jako např. přístroje na měření krevního tlaku.</w:t>
      </w:r>
    </w:p>
    <w:p w14:paraId="1C8563BC" w14:textId="2B06F298" w:rsidR="00560494" w:rsidRDefault="00560494" w:rsidP="00560494">
      <w:pPr>
        <w:widowControl/>
        <w:autoSpaceDE/>
        <w:autoSpaceDN/>
        <w:adjustRightInd/>
        <w:spacing w:before="0" w:after="0"/>
        <w:jc w:val="both"/>
        <w:rPr>
          <w:rFonts w:ascii="Arial" w:hAnsi="Arial" w:cs="Arial"/>
          <w:color w:val="000000"/>
          <w:sz w:val="18"/>
          <w:szCs w:val="18"/>
          <w:lang w:eastAsia="en-US"/>
        </w:rPr>
      </w:pPr>
    </w:p>
    <w:p w14:paraId="44958C08" w14:textId="77777777" w:rsidR="005226EC" w:rsidRDefault="005226EC" w:rsidP="00560494">
      <w:pPr>
        <w:widowControl/>
        <w:autoSpaceDE/>
        <w:autoSpaceDN/>
        <w:adjustRightInd/>
        <w:spacing w:before="0" w:after="0"/>
        <w:jc w:val="both"/>
        <w:rPr>
          <w:rFonts w:ascii="Arial" w:hAnsi="Arial" w:cs="Arial"/>
          <w:color w:val="000000"/>
          <w:sz w:val="18"/>
          <w:szCs w:val="18"/>
          <w:lang w:eastAsia="en-US"/>
        </w:rPr>
      </w:pPr>
    </w:p>
    <w:p w14:paraId="20C33CA2" w14:textId="432015F5" w:rsidR="00161EE1" w:rsidRDefault="00161EE1" w:rsidP="00560494">
      <w:pPr>
        <w:widowControl/>
        <w:autoSpaceDE/>
        <w:autoSpaceDN/>
        <w:adjustRightInd/>
        <w:spacing w:before="0" w:after="0"/>
        <w:jc w:val="both"/>
        <w:rPr>
          <w:rFonts w:ascii="Arial" w:hAnsi="Arial" w:cs="Arial"/>
          <w:b/>
          <w:color w:val="0071BC"/>
        </w:rPr>
      </w:pPr>
      <w:r w:rsidRPr="00560494">
        <w:rPr>
          <w:rFonts w:ascii="Arial" w:hAnsi="Arial" w:cs="Arial"/>
          <w:b/>
          <w:color w:val="0071BC"/>
        </w:rPr>
        <w:t>Tab. 25-2</w:t>
      </w:r>
      <w:r w:rsidR="00DA5AAF">
        <w:rPr>
          <w:rFonts w:ascii="Arial" w:hAnsi="Arial" w:cs="Arial"/>
          <w:b/>
          <w:color w:val="0071BC"/>
        </w:rPr>
        <w:t>4</w:t>
      </w:r>
      <w:r w:rsidRPr="00560494">
        <w:rPr>
          <w:rFonts w:ascii="Arial" w:hAnsi="Arial" w:cs="Arial"/>
          <w:b/>
          <w:color w:val="0071BC"/>
        </w:rPr>
        <w:t xml:space="preserve"> </w:t>
      </w:r>
      <w:r w:rsidRPr="00161EE1">
        <w:rPr>
          <w:rFonts w:ascii="Arial" w:hAnsi="Arial" w:cs="Arial"/>
          <w:b/>
          <w:color w:val="0071BC"/>
        </w:rPr>
        <w:t>Pracovníci ve zdravotnictví</w:t>
      </w:r>
    </w:p>
    <w:p w14:paraId="16D6E52D" w14:textId="306809E8" w:rsidR="00161EE1" w:rsidRPr="00317342" w:rsidRDefault="00161EE1" w:rsidP="005226EC">
      <w:pPr>
        <w:widowControl/>
        <w:autoSpaceDE/>
        <w:autoSpaceDN/>
        <w:adjustRightInd/>
        <w:spacing w:after="0"/>
        <w:jc w:val="both"/>
        <w:rPr>
          <w:rFonts w:ascii="Arial" w:hAnsi="Arial" w:cs="Arial"/>
          <w:sz w:val="18"/>
          <w:szCs w:val="18"/>
          <w:shd w:val="clear" w:color="auto" w:fill="FFFFFF"/>
        </w:rPr>
      </w:pPr>
      <w:r w:rsidRPr="005226EC">
        <w:rPr>
          <w:rFonts w:ascii="Arial" w:hAnsi="Arial" w:cs="Arial"/>
          <w:b/>
          <w:sz w:val="18"/>
          <w:szCs w:val="18"/>
        </w:rPr>
        <w:t>Zubní lékaři</w:t>
      </w:r>
      <w:r w:rsidR="00985CF7" w:rsidRPr="005226EC">
        <w:rPr>
          <w:rFonts w:ascii="Arial" w:hAnsi="Arial" w:cs="Arial"/>
          <w:b/>
          <w:sz w:val="18"/>
          <w:szCs w:val="18"/>
        </w:rPr>
        <w:t xml:space="preserve"> </w:t>
      </w:r>
      <w:r w:rsidR="004A230C">
        <w:rPr>
          <w:rFonts w:ascii="Arial" w:hAnsi="Arial" w:cs="Arial"/>
          <w:sz w:val="18"/>
          <w:szCs w:val="18"/>
        </w:rPr>
        <w:t>–</w:t>
      </w:r>
      <w:r w:rsidR="00985CF7" w:rsidRPr="00317342">
        <w:rPr>
          <w:rFonts w:ascii="Arial" w:hAnsi="Arial" w:cs="Arial"/>
          <w:b/>
          <w:sz w:val="18"/>
          <w:szCs w:val="18"/>
        </w:rPr>
        <w:t xml:space="preserve"> </w:t>
      </w:r>
      <w:r w:rsidR="00985CF7" w:rsidRPr="00317342">
        <w:rPr>
          <w:rFonts w:ascii="Arial" w:hAnsi="Arial" w:cs="Arial"/>
          <w:sz w:val="18"/>
          <w:szCs w:val="18"/>
          <w:shd w:val="clear" w:color="auto" w:fill="FFFFFF"/>
        </w:rPr>
        <w:t>provádějí prevenci, stanovují diagnózu, léčí onemocnění, zranění a malformace chrupu, úst, čelistí a souvisejících tkání. Používají různé specializované diagnostické, chirurgické a jiné metody na podporu a obnovu ústního zdraví.</w:t>
      </w:r>
    </w:p>
    <w:p w14:paraId="3D1D0657" w14:textId="68324100" w:rsidR="00161EE1" w:rsidRPr="00317342" w:rsidRDefault="00161EE1" w:rsidP="003F5342">
      <w:pPr>
        <w:widowControl/>
        <w:autoSpaceDE/>
        <w:autoSpaceDN/>
        <w:adjustRightInd/>
        <w:spacing w:after="0"/>
        <w:jc w:val="both"/>
        <w:rPr>
          <w:rFonts w:ascii="Arial" w:hAnsi="Arial" w:cs="Arial"/>
          <w:sz w:val="18"/>
          <w:szCs w:val="18"/>
          <w:shd w:val="clear" w:color="auto" w:fill="FFFFFF"/>
        </w:rPr>
      </w:pPr>
      <w:r w:rsidRPr="005226EC">
        <w:rPr>
          <w:rFonts w:ascii="Arial" w:hAnsi="Arial" w:cs="Arial"/>
          <w:b/>
          <w:sz w:val="18"/>
          <w:szCs w:val="18"/>
        </w:rPr>
        <w:t>Farmaceuti</w:t>
      </w:r>
      <w:r w:rsidR="00985CF7" w:rsidRPr="005226EC">
        <w:rPr>
          <w:rFonts w:ascii="Arial" w:hAnsi="Arial" w:cs="Arial"/>
          <w:b/>
          <w:sz w:val="18"/>
          <w:szCs w:val="18"/>
        </w:rPr>
        <w:t xml:space="preserve"> </w:t>
      </w:r>
      <w:r w:rsidR="004A230C">
        <w:rPr>
          <w:rFonts w:ascii="Arial" w:hAnsi="Arial" w:cs="Arial"/>
          <w:sz w:val="18"/>
          <w:szCs w:val="18"/>
        </w:rPr>
        <w:t>–</w:t>
      </w:r>
      <w:r w:rsidR="00985CF7" w:rsidRPr="00317342">
        <w:rPr>
          <w:rFonts w:ascii="Arial" w:hAnsi="Arial" w:cs="Arial"/>
          <w:b/>
          <w:sz w:val="18"/>
          <w:szCs w:val="18"/>
        </w:rPr>
        <w:t xml:space="preserve"> </w:t>
      </w:r>
      <w:r w:rsidR="00985CF7" w:rsidRPr="00317342">
        <w:rPr>
          <w:rFonts w:ascii="Arial" w:hAnsi="Arial" w:cs="Arial"/>
          <w:sz w:val="18"/>
          <w:szCs w:val="18"/>
          <w:shd w:val="clear" w:color="auto" w:fill="FFFFFF"/>
        </w:rPr>
        <w:t>skladují, uchovávají, připravují a vydávají léčivé produkty v souladu s lékařskými předpisy a poskytují poradenství o správném užívání a nepříznivých vedlejších účincích léčiv. Přispívají k výzkumu, přípravě, předepisování a monitorování léčivých terapií pro optimalizaci lidského zdraví.</w:t>
      </w:r>
    </w:p>
    <w:p w14:paraId="5B430C6D" w14:textId="175669C7" w:rsidR="00161EE1" w:rsidRPr="00317342" w:rsidRDefault="00161EE1" w:rsidP="003F5342">
      <w:pPr>
        <w:widowControl/>
        <w:autoSpaceDE/>
        <w:autoSpaceDN/>
        <w:adjustRightInd/>
        <w:spacing w:after="0"/>
        <w:jc w:val="both"/>
        <w:rPr>
          <w:rFonts w:ascii="Arial" w:hAnsi="Arial" w:cs="Arial"/>
          <w:sz w:val="18"/>
          <w:szCs w:val="18"/>
          <w:shd w:val="clear" w:color="auto" w:fill="FFFFFF"/>
        </w:rPr>
      </w:pPr>
      <w:r w:rsidRPr="00317342">
        <w:rPr>
          <w:rFonts w:ascii="Arial" w:hAnsi="Arial" w:cs="Arial"/>
          <w:b/>
          <w:sz w:val="18"/>
          <w:szCs w:val="18"/>
        </w:rPr>
        <w:t>Zdravotničtí záchranáři</w:t>
      </w:r>
      <w:r w:rsidR="00985CF7" w:rsidRPr="00317342">
        <w:rPr>
          <w:rFonts w:ascii="Arial" w:hAnsi="Arial" w:cs="Arial"/>
          <w:b/>
          <w:sz w:val="18"/>
          <w:szCs w:val="18"/>
        </w:rPr>
        <w:t xml:space="preserve"> </w:t>
      </w:r>
      <w:r w:rsidR="004A230C">
        <w:rPr>
          <w:rFonts w:ascii="Arial" w:hAnsi="Arial" w:cs="Arial"/>
          <w:sz w:val="18"/>
          <w:szCs w:val="18"/>
        </w:rPr>
        <w:t>–</w:t>
      </w:r>
      <w:r w:rsidR="00985CF7" w:rsidRPr="00317342">
        <w:rPr>
          <w:rFonts w:ascii="Arial" w:hAnsi="Arial" w:cs="Arial"/>
          <w:sz w:val="18"/>
          <w:szCs w:val="18"/>
        </w:rPr>
        <w:t xml:space="preserve"> p</w:t>
      </w:r>
      <w:r w:rsidR="00985CF7" w:rsidRPr="00317342">
        <w:rPr>
          <w:rFonts w:ascii="Arial" w:hAnsi="Arial" w:cs="Arial"/>
          <w:sz w:val="18"/>
          <w:szCs w:val="18"/>
          <w:shd w:val="clear" w:color="auto" w:fill="FFFFFF"/>
        </w:rPr>
        <w:t>oskytují rychlou záchrannou pomoc a převoz zraněných, nemocných a jinak tělesně a duševně nemocných osob do zdravotnických zařízení.</w:t>
      </w:r>
    </w:p>
    <w:p w14:paraId="09C939ED" w14:textId="28EA7EAD" w:rsidR="00161EE1" w:rsidRPr="00317342" w:rsidRDefault="00161EE1" w:rsidP="003F5342">
      <w:pPr>
        <w:widowControl/>
        <w:autoSpaceDE/>
        <w:autoSpaceDN/>
        <w:adjustRightInd/>
        <w:spacing w:after="0"/>
        <w:jc w:val="both"/>
        <w:rPr>
          <w:rFonts w:ascii="Arial" w:hAnsi="Arial" w:cs="Arial"/>
          <w:sz w:val="18"/>
          <w:szCs w:val="18"/>
          <w:shd w:val="clear" w:color="auto" w:fill="FFFFFF"/>
        </w:rPr>
      </w:pPr>
      <w:r w:rsidRPr="00317342">
        <w:rPr>
          <w:rFonts w:ascii="Arial" w:hAnsi="Arial" w:cs="Arial"/>
          <w:b/>
          <w:sz w:val="18"/>
          <w:szCs w:val="18"/>
        </w:rPr>
        <w:t>Ostatní odborní pracovníci ve zdravotnictví</w:t>
      </w:r>
      <w:r w:rsidR="00985CF7" w:rsidRPr="00317342">
        <w:rPr>
          <w:rFonts w:ascii="Arial" w:hAnsi="Arial" w:cs="Arial"/>
          <w:b/>
          <w:sz w:val="18"/>
          <w:szCs w:val="18"/>
        </w:rPr>
        <w:t xml:space="preserve"> </w:t>
      </w:r>
      <w:r w:rsidR="004A230C">
        <w:rPr>
          <w:rFonts w:ascii="Arial" w:hAnsi="Arial" w:cs="Arial"/>
          <w:sz w:val="18"/>
          <w:szCs w:val="18"/>
        </w:rPr>
        <w:t>–</w:t>
      </w:r>
      <w:r w:rsidR="00985CF7" w:rsidRPr="00317342">
        <w:rPr>
          <w:rFonts w:ascii="Arial" w:hAnsi="Arial" w:cs="Arial"/>
          <w:sz w:val="18"/>
          <w:szCs w:val="18"/>
        </w:rPr>
        <w:t xml:space="preserve"> </w:t>
      </w:r>
      <w:r w:rsidR="00985CF7" w:rsidRPr="00317342">
        <w:rPr>
          <w:rFonts w:ascii="Arial" w:hAnsi="Arial" w:cs="Arial"/>
          <w:sz w:val="18"/>
          <w:szCs w:val="18"/>
          <w:shd w:val="clear" w:color="auto" w:fill="FFFFFF"/>
        </w:rPr>
        <w:t>plní technické úkoly a poskytují podpůrné služby v oblasti zubního lékařství, správy zdravotních záznamů, komunitní zdravotní péče, nápravy snížené schopnosti vidění, fyzioterapie, ochrany veřejného zdraví, naléhavého zdravotního ošetření a činností na podporu a posilování lidského zdraví. Do této kategorie spadají například dentální hygienisti, odborní pracovníci v oblasti rehabilitace, oční optiky, a</w:t>
      </w:r>
      <w:r w:rsidR="007861ED" w:rsidRPr="00317342">
        <w:rPr>
          <w:rFonts w:ascii="Arial" w:hAnsi="Arial" w:cs="Arial"/>
          <w:sz w:val="18"/>
          <w:szCs w:val="18"/>
          <w:shd w:val="clear" w:color="auto" w:fill="FFFFFF"/>
        </w:rPr>
        <w:t>s</w:t>
      </w:r>
      <w:r w:rsidR="00985CF7" w:rsidRPr="00317342">
        <w:rPr>
          <w:rFonts w:ascii="Arial" w:hAnsi="Arial" w:cs="Arial"/>
          <w:sz w:val="18"/>
          <w:szCs w:val="18"/>
          <w:shd w:val="clear" w:color="auto" w:fill="FFFFFF"/>
        </w:rPr>
        <w:t>istenti ve zdravotnictví a jiní.</w:t>
      </w:r>
    </w:p>
    <w:p w14:paraId="7B44FFB9" w14:textId="4A73D1CF" w:rsidR="00161EE1" w:rsidRPr="00317342" w:rsidRDefault="00161EE1" w:rsidP="003F5342">
      <w:pPr>
        <w:widowControl/>
        <w:autoSpaceDE/>
        <w:autoSpaceDN/>
        <w:adjustRightInd/>
        <w:spacing w:after="0"/>
        <w:jc w:val="both"/>
        <w:rPr>
          <w:rFonts w:ascii="Arial" w:hAnsi="Arial" w:cs="Arial"/>
          <w:sz w:val="18"/>
          <w:szCs w:val="18"/>
          <w:lang w:eastAsia="en-US"/>
        </w:rPr>
      </w:pPr>
      <w:r w:rsidRPr="00317342">
        <w:rPr>
          <w:rFonts w:ascii="Arial" w:hAnsi="Arial" w:cs="Arial"/>
          <w:b/>
          <w:sz w:val="18"/>
          <w:szCs w:val="18"/>
        </w:rPr>
        <w:t>Ostatní pracovníci ve zdravotnictví</w:t>
      </w:r>
      <w:r w:rsidR="007861ED" w:rsidRPr="00317342">
        <w:rPr>
          <w:rFonts w:ascii="Arial" w:hAnsi="Arial" w:cs="Arial"/>
          <w:b/>
          <w:sz w:val="18"/>
          <w:szCs w:val="18"/>
        </w:rPr>
        <w:t xml:space="preserve"> </w:t>
      </w:r>
      <w:r w:rsidR="004A230C">
        <w:rPr>
          <w:rFonts w:ascii="Arial" w:hAnsi="Arial" w:cs="Arial"/>
          <w:sz w:val="18"/>
          <w:szCs w:val="18"/>
        </w:rPr>
        <w:t>–</w:t>
      </w:r>
      <w:r w:rsidR="007861ED" w:rsidRPr="00317342">
        <w:rPr>
          <w:rFonts w:ascii="Arial" w:hAnsi="Arial" w:cs="Arial"/>
          <w:sz w:val="18"/>
          <w:szCs w:val="18"/>
        </w:rPr>
        <w:t xml:space="preserve"> </w:t>
      </w:r>
      <w:r w:rsidR="007861ED" w:rsidRPr="00317342">
        <w:rPr>
          <w:rFonts w:ascii="Arial" w:hAnsi="Arial" w:cs="Arial"/>
          <w:sz w:val="18"/>
          <w:szCs w:val="18"/>
          <w:shd w:val="clear" w:color="auto" w:fill="FFFFFF"/>
        </w:rPr>
        <w:t>nepřímo se podílí na péči o pacienta (</w:t>
      </w:r>
      <w:r w:rsidR="00DC2E8E" w:rsidRPr="00317342">
        <w:rPr>
          <w:rFonts w:ascii="Arial" w:hAnsi="Arial" w:cs="Arial"/>
          <w:sz w:val="18"/>
          <w:szCs w:val="18"/>
          <w:shd w:val="clear" w:color="auto" w:fill="FFFFFF"/>
        </w:rPr>
        <w:t xml:space="preserve">např. </w:t>
      </w:r>
      <w:r w:rsidR="007861ED" w:rsidRPr="00317342">
        <w:rPr>
          <w:rFonts w:ascii="Arial" w:hAnsi="Arial" w:cs="Arial"/>
          <w:sz w:val="18"/>
          <w:szCs w:val="18"/>
          <w:shd w:val="clear" w:color="auto" w:fill="FFFFFF"/>
        </w:rPr>
        <w:t xml:space="preserve">kuchař, </w:t>
      </w:r>
      <w:r w:rsidR="000B3499" w:rsidRPr="00317342">
        <w:rPr>
          <w:rFonts w:ascii="Arial" w:hAnsi="Arial" w:cs="Arial"/>
          <w:sz w:val="18"/>
          <w:szCs w:val="18"/>
          <w:shd w:val="clear" w:color="auto" w:fill="FFFFFF"/>
        </w:rPr>
        <w:t>u</w:t>
      </w:r>
      <w:r w:rsidR="007861ED" w:rsidRPr="00317342">
        <w:rPr>
          <w:rFonts w:ascii="Arial" w:hAnsi="Arial" w:cs="Arial"/>
          <w:sz w:val="18"/>
          <w:szCs w:val="18"/>
          <w:shd w:val="clear" w:color="auto" w:fill="FFFFFF"/>
        </w:rPr>
        <w:t>kl</w:t>
      </w:r>
      <w:r w:rsidR="000B3499" w:rsidRPr="00317342">
        <w:rPr>
          <w:rFonts w:ascii="Arial" w:hAnsi="Arial" w:cs="Arial"/>
          <w:sz w:val="18"/>
          <w:szCs w:val="18"/>
          <w:shd w:val="clear" w:color="auto" w:fill="FFFFFF"/>
        </w:rPr>
        <w:t>í</w:t>
      </w:r>
      <w:r w:rsidR="007861ED" w:rsidRPr="00317342">
        <w:rPr>
          <w:rFonts w:ascii="Arial" w:hAnsi="Arial" w:cs="Arial"/>
          <w:sz w:val="18"/>
          <w:szCs w:val="18"/>
          <w:shd w:val="clear" w:color="auto" w:fill="FFFFFF"/>
        </w:rPr>
        <w:t xml:space="preserve">zečka, údržbář). </w:t>
      </w:r>
    </w:p>
    <w:p w14:paraId="444FE024" w14:textId="3829EE71" w:rsidR="00560494" w:rsidRDefault="00560494" w:rsidP="00560494">
      <w:pPr>
        <w:widowControl/>
        <w:autoSpaceDE/>
        <w:autoSpaceDN/>
        <w:adjustRightInd/>
        <w:spacing w:before="0" w:after="0"/>
        <w:jc w:val="both"/>
        <w:rPr>
          <w:rFonts w:ascii="Arial" w:hAnsi="Arial" w:cs="Arial"/>
          <w:color w:val="000000"/>
          <w:sz w:val="18"/>
          <w:szCs w:val="18"/>
          <w:lang w:eastAsia="en-US"/>
        </w:rPr>
      </w:pPr>
    </w:p>
    <w:p w14:paraId="3BAD2F3B" w14:textId="77777777" w:rsidR="005226EC" w:rsidRPr="00560494" w:rsidRDefault="005226EC" w:rsidP="00560494">
      <w:pPr>
        <w:widowControl/>
        <w:autoSpaceDE/>
        <w:autoSpaceDN/>
        <w:adjustRightInd/>
        <w:spacing w:before="0" w:after="0"/>
        <w:jc w:val="both"/>
        <w:rPr>
          <w:rFonts w:ascii="Arial" w:hAnsi="Arial" w:cs="Arial"/>
          <w:color w:val="000000"/>
          <w:sz w:val="18"/>
          <w:szCs w:val="18"/>
          <w:lang w:eastAsia="en-US"/>
        </w:rPr>
      </w:pPr>
    </w:p>
    <w:p w14:paraId="47568B70" w14:textId="03E61D4E" w:rsidR="00560494" w:rsidRPr="00560494" w:rsidRDefault="00560494" w:rsidP="005C5D73">
      <w:pPr>
        <w:keepNext/>
        <w:widowControl/>
        <w:autoSpaceDE/>
        <w:autoSpaceDN/>
        <w:adjustRightInd/>
        <w:spacing w:before="0" w:after="0"/>
        <w:jc w:val="both"/>
        <w:rPr>
          <w:rFonts w:ascii="Arial" w:hAnsi="Arial" w:cs="Arial"/>
          <w:b/>
          <w:color w:val="0071BC"/>
          <w:lang w:eastAsia="en-US"/>
        </w:rPr>
      </w:pPr>
      <w:r w:rsidRPr="00560494">
        <w:rPr>
          <w:rFonts w:ascii="Arial" w:hAnsi="Arial" w:cs="Arial"/>
          <w:b/>
          <w:color w:val="0071BC"/>
          <w:lang w:eastAsia="en-US"/>
        </w:rPr>
        <w:lastRenderedPageBreak/>
        <w:t xml:space="preserve">Tab. </w:t>
      </w:r>
      <w:r w:rsidRPr="00560494">
        <w:rPr>
          <w:rFonts w:ascii="Arial" w:hAnsi="Arial" w:cs="Arial"/>
          <w:b/>
          <w:bCs/>
          <w:color w:val="0071BC"/>
          <w:lang w:eastAsia="en-US"/>
        </w:rPr>
        <w:t>25</w:t>
      </w:r>
      <w:r w:rsidRPr="00560494">
        <w:rPr>
          <w:rFonts w:ascii="Arial" w:hAnsi="Arial" w:cs="Arial"/>
          <w:b/>
          <w:color w:val="0071BC"/>
          <w:lang w:eastAsia="en-US"/>
        </w:rPr>
        <w:t>-</w:t>
      </w:r>
      <w:r w:rsidR="007861ED">
        <w:rPr>
          <w:rFonts w:ascii="Arial" w:hAnsi="Arial" w:cs="Arial"/>
          <w:b/>
          <w:color w:val="0071BC"/>
          <w:lang w:eastAsia="en-US"/>
        </w:rPr>
        <w:t>2</w:t>
      </w:r>
      <w:r w:rsidR="00DA5AAF">
        <w:rPr>
          <w:rFonts w:ascii="Arial" w:hAnsi="Arial" w:cs="Arial"/>
          <w:b/>
          <w:color w:val="0071BC"/>
          <w:lang w:eastAsia="en-US"/>
        </w:rPr>
        <w:t>5</w:t>
      </w:r>
      <w:r w:rsidRPr="00560494">
        <w:rPr>
          <w:rFonts w:ascii="Arial" w:hAnsi="Arial" w:cs="Arial"/>
          <w:b/>
          <w:color w:val="0071BC"/>
          <w:lang w:eastAsia="en-US"/>
        </w:rPr>
        <w:t xml:space="preserve"> a </w:t>
      </w:r>
      <w:r w:rsidRPr="00560494">
        <w:rPr>
          <w:rFonts w:ascii="Arial" w:hAnsi="Arial" w:cs="Arial"/>
          <w:b/>
          <w:bCs/>
          <w:color w:val="0071BC"/>
          <w:lang w:eastAsia="en-US"/>
        </w:rPr>
        <w:t>25</w:t>
      </w:r>
      <w:r w:rsidRPr="00560494">
        <w:rPr>
          <w:rFonts w:ascii="Arial" w:hAnsi="Arial" w:cs="Arial"/>
          <w:b/>
          <w:color w:val="0071BC"/>
          <w:lang w:eastAsia="en-US"/>
        </w:rPr>
        <w:t>-</w:t>
      </w:r>
      <w:r w:rsidR="00DA5AAF">
        <w:rPr>
          <w:rFonts w:ascii="Arial" w:hAnsi="Arial" w:cs="Arial"/>
          <w:b/>
          <w:color w:val="0071BC"/>
          <w:lang w:eastAsia="en-US"/>
        </w:rPr>
        <w:t>26</w:t>
      </w:r>
      <w:r w:rsidRPr="00560494">
        <w:rPr>
          <w:rFonts w:ascii="Arial" w:hAnsi="Arial" w:cs="Arial"/>
          <w:b/>
          <w:color w:val="0071BC"/>
          <w:lang w:eastAsia="en-US"/>
        </w:rPr>
        <w:t xml:space="preserve">  </w:t>
      </w:r>
      <w:r w:rsidRPr="00560494">
        <w:rPr>
          <w:rFonts w:ascii="Arial" w:hAnsi="Arial" w:cs="Arial"/>
          <w:b/>
          <w:bCs/>
          <w:color w:val="0071BC"/>
          <w:lang w:eastAsia="en-US"/>
        </w:rPr>
        <w:t>Mzdy zdravotnických pracovníků</w:t>
      </w:r>
    </w:p>
    <w:p w14:paraId="5E3010AB" w14:textId="77777777" w:rsidR="00560494" w:rsidRPr="00560494" w:rsidRDefault="00560494" w:rsidP="005C5D73">
      <w:pPr>
        <w:keepNext/>
        <w:widowControl/>
        <w:autoSpaceDE/>
        <w:autoSpaceDN/>
        <w:adjustRightInd/>
        <w:spacing w:after="0"/>
        <w:jc w:val="both"/>
        <w:rPr>
          <w:rFonts w:ascii="Arial" w:hAnsi="Arial" w:cs="Arial"/>
          <w:color w:val="000000"/>
          <w:sz w:val="18"/>
          <w:szCs w:val="18"/>
          <w:lang w:eastAsia="en-US"/>
        </w:rPr>
      </w:pPr>
      <w:r w:rsidRPr="00560494">
        <w:rPr>
          <w:rFonts w:ascii="Arial" w:hAnsi="Arial" w:cs="Arial"/>
          <w:color w:val="000000"/>
          <w:sz w:val="18"/>
          <w:szCs w:val="18"/>
          <w:lang w:eastAsia="en-US"/>
        </w:rPr>
        <w:t>Pro vymezení vybraných skupin zdravotnických pracovníků byla využita</w:t>
      </w:r>
      <w:r w:rsidRPr="00560494">
        <w:rPr>
          <w:rFonts w:ascii="Arial" w:hAnsi="Arial" w:cs="Arial"/>
          <w:bCs/>
          <w:color w:val="000000"/>
          <w:sz w:val="18"/>
          <w:szCs w:val="18"/>
          <w:lang w:eastAsia="en-US"/>
        </w:rPr>
        <w:t xml:space="preserve"> </w:t>
      </w:r>
      <w:r w:rsidRPr="00560494">
        <w:rPr>
          <w:rFonts w:ascii="Arial" w:hAnsi="Arial" w:cs="Arial"/>
          <w:b/>
          <w:bCs/>
          <w:color w:val="000000"/>
          <w:sz w:val="18"/>
          <w:szCs w:val="18"/>
          <w:lang w:eastAsia="en-US"/>
        </w:rPr>
        <w:t>Klasifikace zaměstnání (CZ-ISCO)</w:t>
      </w:r>
      <w:r w:rsidRPr="00560494">
        <w:rPr>
          <w:rFonts w:ascii="Arial" w:hAnsi="Arial" w:cs="Arial"/>
          <w:bCs/>
          <w:color w:val="000000"/>
          <w:sz w:val="18"/>
          <w:szCs w:val="18"/>
          <w:lang w:eastAsia="en-US"/>
        </w:rPr>
        <w:t xml:space="preserve">. </w:t>
      </w:r>
      <w:r w:rsidRPr="00560494">
        <w:rPr>
          <w:rFonts w:ascii="Arial" w:hAnsi="Arial" w:cs="Arial"/>
          <w:color w:val="000000"/>
          <w:sz w:val="18"/>
          <w:szCs w:val="18"/>
          <w:lang w:eastAsia="en-US"/>
        </w:rPr>
        <w:t>Prostřednictvím této klasifikace byly vybrány následující dvě kategorie zaměstnanců ve zdravotnictví:</w:t>
      </w:r>
    </w:p>
    <w:p w14:paraId="74FC46CF" w14:textId="77777777" w:rsidR="00560494" w:rsidRPr="00560494" w:rsidRDefault="00560494" w:rsidP="00560494">
      <w:pPr>
        <w:widowControl/>
        <w:autoSpaceDE/>
        <w:autoSpaceDN/>
        <w:adjustRightInd/>
        <w:spacing w:after="0"/>
        <w:jc w:val="both"/>
        <w:rPr>
          <w:rFonts w:ascii="Arial" w:hAnsi="Arial" w:cs="Arial"/>
          <w:color w:val="000000"/>
          <w:sz w:val="18"/>
          <w:szCs w:val="18"/>
          <w:lang w:eastAsia="en-US"/>
        </w:rPr>
      </w:pPr>
      <w:r w:rsidRPr="00560494">
        <w:rPr>
          <w:rFonts w:ascii="Arial" w:hAnsi="Arial" w:cs="Arial"/>
          <w:color w:val="000000"/>
          <w:sz w:val="18"/>
          <w:szCs w:val="18"/>
          <w:lang w:eastAsia="en-US"/>
        </w:rPr>
        <w:t>221 Lékaři (kromě zubních lékařů);</w:t>
      </w:r>
    </w:p>
    <w:p w14:paraId="0D357979" w14:textId="77777777" w:rsidR="00560494" w:rsidRPr="00560494" w:rsidRDefault="00560494" w:rsidP="00560494">
      <w:pPr>
        <w:widowControl/>
        <w:autoSpaceDE/>
        <w:autoSpaceDN/>
        <w:adjustRightInd/>
        <w:spacing w:after="0"/>
        <w:jc w:val="both"/>
        <w:rPr>
          <w:rFonts w:ascii="Arial" w:hAnsi="Arial" w:cs="Arial"/>
          <w:color w:val="000000"/>
          <w:sz w:val="18"/>
          <w:szCs w:val="18"/>
          <w:lang w:eastAsia="en-US"/>
        </w:rPr>
      </w:pPr>
      <w:r w:rsidRPr="00560494">
        <w:rPr>
          <w:rFonts w:ascii="Arial" w:hAnsi="Arial" w:cs="Arial"/>
          <w:color w:val="000000"/>
          <w:sz w:val="18"/>
          <w:szCs w:val="18"/>
          <w:lang w:eastAsia="en-US"/>
        </w:rPr>
        <w:t>222+322 Všeobecné sestry a porodní asistentky, které se dále člení na:</w:t>
      </w:r>
    </w:p>
    <w:p w14:paraId="5781DD9D" w14:textId="77777777" w:rsidR="00560494" w:rsidRPr="00560494" w:rsidRDefault="00560494" w:rsidP="00560494">
      <w:pPr>
        <w:widowControl/>
        <w:autoSpaceDE/>
        <w:autoSpaceDN/>
        <w:adjustRightInd/>
        <w:spacing w:after="0"/>
        <w:jc w:val="both"/>
        <w:rPr>
          <w:rFonts w:ascii="Arial" w:hAnsi="Arial" w:cs="Arial"/>
          <w:color w:val="000000"/>
          <w:sz w:val="18"/>
          <w:szCs w:val="18"/>
          <w:lang w:eastAsia="en-US"/>
        </w:rPr>
      </w:pPr>
      <w:r w:rsidRPr="00560494">
        <w:rPr>
          <w:rFonts w:ascii="Arial" w:hAnsi="Arial" w:cs="Arial"/>
          <w:color w:val="000000"/>
          <w:sz w:val="18"/>
          <w:szCs w:val="18"/>
          <w:lang w:eastAsia="en-US"/>
        </w:rPr>
        <w:t>222 Všeobecné sestry a porodní asistentky se specializací;</w:t>
      </w:r>
    </w:p>
    <w:p w14:paraId="2C1FB4E4" w14:textId="77777777" w:rsidR="00560494" w:rsidRPr="00560494" w:rsidRDefault="00560494" w:rsidP="00560494">
      <w:pPr>
        <w:widowControl/>
        <w:autoSpaceDE/>
        <w:autoSpaceDN/>
        <w:adjustRightInd/>
        <w:spacing w:after="0"/>
        <w:jc w:val="both"/>
        <w:rPr>
          <w:rFonts w:ascii="Arial" w:hAnsi="Arial" w:cs="Arial"/>
          <w:color w:val="000000"/>
          <w:sz w:val="18"/>
          <w:szCs w:val="18"/>
          <w:lang w:eastAsia="en-US"/>
        </w:rPr>
      </w:pPr>
      <w:r w:rsidRPr="00560494">
        <w:rPr>
          <w:rFonts w:ascii="Arial" w:hAnsi="Arial" w:cs="Arial"/>
          <w:color w:val="000000"/>
          <w:sz w:val="18"/>
          <w:szCs w:val="18"/>
          <w:lang w:eastAsia="en-US"/>
        </w:rPr>
        <w:t>322 Všeobecné sestry a porodní asistentky bez specializace.</w:t>
      </w:r>
    </w:p>
    <w:p w14:paraId="576B5509" w14:textId="77777777" w:rsidR="00560494" w:rsidRPr="00560494" w:rsidRDefault="00560494" w:rsidP="00560494">
      <w:pPr>
        <w:widowControl/>
        <w:autoSpaceDE/>
        <w:autoSpaceDN/>
        <w:adjustRightInd/>
        <w:spacing w:after="0"/>
        <w:jc w:val="both"/>
        <w:rPr>
          <w:rFonts w:ascii="Arial" w:hAnsi="Arial" w:cs="Arial"/>
          <w:color w:val="000000"/>
          <w:sz w:val="18"/>
          <w:szCs w:val="18"/>
          <w:lang w:eastAsia="en-US"/>
        </w:rPr>
      </w:pPr>
      <w:r w:rsidRPr="00560494">
        <w:rPr>
          <w:rFonts w:ascii="Arial" w:hAnsi="Arial" w:cs="Arial"/>
          <w:color w:val="000000"/>
          <w:sz w:val="18"/>
          <w:szCs w:val="18"/>
          <w:lang w:eastAsia="en-US"/>
        </w:rPr>
        <w:t xml:space="preserve">Rozdíl mezi všeobecnými sestrami a porodními asistentkami se specializací a mezi všeobecnými sestrami a porodními asistentkami bez specializace by měl stanovit charakter vykonávané práce. Dokladem o specializované způsobilosti je diplom o specializaci v příslušném oboru, který zdravotní sestra získá na základě složení atestační zkoušky před oborovou atestační komisí. Mezi všeobecné sestry a porodní asistentky </w:t>
      </w:r>
      <w:r w:rsidRPr="00560494">
        <w:rPr>
          <w:rFonts w:ascii="Arial" w:hAnsi="Arial" w:cs="Arial"/>
          <w:b/>
          <w:color w:val="000000"/>
          <w:sz w:val="18"/>
          <w:szCs w:val="18"/>
          <w:lang w:eastAsia="en-US"/>
        </w:rPr>
        <w:t>se specializací</w:t>
      </w:r>
      <w:r w:rsidRPr="00560494">
        <w:rPr>
          <w:rFonts w:ascii="Arial" w:hAnsi="Arial" w:cs="Arial"/>
          <w:color w:val="000000"/>
          <w:sz w:val="18"/>
          <w:szCs w:val="18"/>
          <w:lang w:eastAsia="en-US"/>
        </w:rPr>
        <w:t xml:space="preserve"> se řadí například staniční sestry, sestry a porodní asistentky pro intenzivní a perioperační péči a dále např. sestry pro pediatrii, interní a chirurgické obory. Sestry </w:t>
      </w:r>
      <w:r w:rsidRPr="00560494">
        <w:rPr>
          <w:rFonts w:ascii="Arial" w:hAnsi="Arial" w:cs="Arial"/>
          <w:b/>
          <w:color w:val="000000"/>
          <w:sz w:val="18"/>
          <w:szCs w:val="18"/>
          <w:lang w:eastAsia="en-US"/>
        </w:rPr>
        <w:t>bez specializace</w:t>
      </w:r>
      <w:r w:rsidRPr="00560494">
        <w:rPr>
          <w:rFonts w:ascii="Arial" w:hAnsi="Arial" w:cs="Arial"/>
          <w:color w:val="000000"/>
          <w:sz w:val="18"/>
          <w:szCs w:val="18"/>
          <w:lang w:eastAsia="en-US"/>
        </w:rPr>
        <w:t xml:space="preserve"> zahrnují sestry praktických a zubních lékařů a dalších ambulantních specialistů. Kromě těchto kategorií sester ve zdravotnictví působí i vrchní sestry (ISCO 13424) a praktické sestry (ISCO 3256), které nejsou součástí výše uvedených všeobecných sester.</w:t>
      </w:r>
    </w:p>
    <w:p w14:paraId="4BAA1BAD" w14:textId="1AA1FCD9" w:rsidR="00560494" w:rsidRPr="00560494" w:rsidRDefault="00560494" w:rsidP="00560494">
      <w:pPr>
        <w:widowControl/>
        <w:autoSpaceDE/>
        <w:autoSpaceDN/>
        <w:adjustRightInd/>
        <w:spacing w:after="0"/>
        <w:jc w:val="both"/>
        <w:rPr>
          <w:rFonts w:ascii="Arial" w:hAnsi="Arial" w:cs="Arial"/>
          <w:color w:val="000000"/>
          <w:sz w:val="18"/>
          <w:szCs w:val="18"/>
          <w:lang w:eastAsia="en-US"/>
        </w:rPr>
      </w:pPr>
      <w:r w:rsidRPr="00560494">
        <w:rPr>
          <w:rFonts w:ascii="Arial" w:hAnsi="Arial" w:cs="Arial"/>
          <w:color w:val="000000"/>
          <w:sz w:val="18"/>
          <w:szCs w:val="18"/>
          <w:lang w:eastAsia="en-US"/>
        </w:rPr>
        <w:t xml:space="preserve">Data za </w:t>
      </w:r>
      <w:r w:rsidRPr="00560494">
        <w:rPr>
          <w:rFonts w:ascii="Arial" w:hAnsi="Arial" w:cs="Arial"/>
          <w:b/>
          <w:bCs/>
          <w:color w:val="000000"/>
          <w:sz w:val="18"/>
          <w:szCs w:val="18"/>
          <w:lang w:eastAsia="en-US"/>
        </w:rPr>
        <w:t>mzdy</w:t>
      </w:r>
      <w:r w:rsidRPr="00560494">
        <w:rPr>
          <w:rFonts w:ascii="Arial" w:hAnsi="Arial" w:cs="Arial"/>
          <w:color w:val="000000"/>
          <w:sz w:val="18"/>
          <w:szCs w:val="18"/>
          <w:lang w:eastAsia="en-US"/>
        </w:rPr>
        <w:t xml:space="preserve"> lékařů (tab. </w:t>
      </w:r>
      <w:r w:rsidRPr="00560494">
        <w:rPr>
          <w:rFonts w:ascii="Arial" w:hAnsi="Arial" w:cs="Arial"/>
          <w:b/>
          <w:bCs/>
          <w:color w:val="000000"/>
          <w:sz w:val="18"/>
          <w:szCs w:val="18"/>
          <w:lang w:eastAsia="en-US"/>
        </w:rPr>
        <w:t>25</w:t>
      </w:r>
      <w:r w:rsidRPr="00560494">
        <w:rPr>
          <w:rFonts w:ascii="Arial" w:hAnsi="Arial" w:cs="Arial"/>
          <w:b/>
          <w:color w:val="000000"/>
          <w:sz w:val="18"/>
          <w:szCs w:val="18"/>
          <w:lang w:eastAsia="en-US"/>
        </w:rPr>
        <w:t>-</w:t>
      </w:r>
      <w:r w:rsidR="007861ED">
        <w:rPr>
          <w:rFonts w:ascii="Arial" w:hAnsi="Arial" w:cs="Arial"/>
          <w:b/>
          <w:color w:val="000000"/>
          <w:sz w:val="18"/>
          <w:szCs w:val="18"/>
          <w:lang w:eastAsia="en-US"/>
        </w:rPr>
        <w:t>2</w:t>
      </w:r>
      <w:r w:rsidR="00BA1435">
        <w:rPr>
          <w:rFonts w:ascii="Arial" w:hAnsi="Arial" w:cs="Arial"/>
          <w:b/>
          <w:color w:val="000000"/>
          <w:sz w:val="18"/>
          <w:szCs w:val="18"/>
          <w:lang w:eastAsia="en-US"/>
        </w:rPr>
        <w:t>5</w:t>
      </w:r>
      <w:r w:rsidRPr="00560494">
        <w:rPr>
          <w:rFonts w:ascii="Arial" w:hAnsi="Arial" w:cs="Arial"/>
          <w:color w:val="000000"/>
          <w:sz w:val="18"/>
          <w:szCs w:val="18"/>
          <w:lang w:eastAsia="en-US"/>
        </w:rPr>
        <w:t xml:space="preserve">) a všeobecných sester a porodních asistentek (tab. </w:t>
      </w:r>
      <w:r w:rsidRPr="00560494">
        <w:rPr>
          <w:rFonts w:ascii="Arial" w:hAnsi="Arial" w:cs="Arial"/>
          <w:b/>
          <w:bCs/>
          <w:color w:val="000000"/>
          <w:sz w:val="18"/>
          <w:szCs w:val="18"/>
          <w:lang w:eastAsia="en-US"/>
        </w:rPr>
        <w:t>25</w:t>
      </w:r>
      <w:r w:rsidRPr="00560494">
        <w:rPr>
          <w:rFonts w:ascii="Arial" w:hAnsi="Arial" w:cs="Arial"/>
          <w:b/>
          <w:color w:val="000000"/>
          <w:sz w:val="18"/>
          <w:szCs w:val="18"/>
          <w:lang w:eastAsia="en-US"/>
        </w:rPr>
        <w:t>-</w:t>
      </w:r>
      <w:r w:rsidR="00BA1435">
        <w:rPr>
          <w:rFonts w:ascii="Arial" w:hAnsi="Arial" w:cs="Arial"/>
          <w:b/>
          <w:color w:val="000000"/>
          <w:sz w:val="18"/>
          <w:szCs w:val="18"/>
          <w:lang w:eastAsia="en-US"/>
        </w:rPr>
        <w:t>26</w:t>
      </w:r>
      <w:r w:rsidRPr="00560494">
        <w:rPr>
          <w:rFonts w:ascii="Arial" w:hAnsi="Arial" w:cs="Arial"/>
          <w:color w:val="000000"/>
          <w:sz w:val="18"/>
          <w:szCs w:val="18"/>
          <w:lang w:eastAsia="en-US"/>
        </w:rPr>
        <w:t xml:space="preserve">) pocházejí ze </w:t>
      </w:r>
      <w:r w:rsidRPr="00560494">
        <w:rPr>
          <w:rFonts w:ascii="Arial" w:hAnsi="Arial" w:cs="Arial"/>
          <w:b/>
          <w:color w:val="000000"/>
          <w:sz w:val="18"/>
          <w:szCs w:val="18"/>
          <w:lang w:eastAsia="en-US"/>
        </w:rPr>
        <w:t>strukturální mzdové statistiky zaměstnanců</w:t>
      </w:r>
      <w:r w:rsidRPr="00560494">
        <w:rPr>
          <w:rFonts w:ascii="Arial" w:hAnsi="Arial" w:cs="Arial"/>
          <w:color w:val="000000"/>
          <w:sz w:val="18"/>
          <w:szCs w:val="18"/>
          <w:lang w:eastAsia="en-US"/>
        </w:rPr>
        <w:t>.</w:t>
      </w:r>
      <w:r w:rsidRPr="00560494">
        <w:rPr>
          <w:rFonts w:ascii="Arial" w:hAnsi="Arial" w:cs="Arial"/>
          <w:bCs/>
          <w:color w:val="000000"/>
          <w:sz w:val="18"/>
          <w:szCs w:val="18"/>
          <w:lang w:eastAsia="en-US"/>
        </w:rPr>
        <w:t xml:space="preserve"> </w:t>
      </w:r>
      <w:r w:rsidRPr="00560494">
        <w:rPr>
          <w:rFonts w:ascii="Arial" w:hAnsi="Arial" w:cs="Arial"/>
          <w:color w:val="000000"/>
          <w:sz w:val="18"/>
          <w:szCs w:val="18"/>
          <w:lang w:eastAsia="en-US"/>
        </w:rPr>
        <w:t>Strukturální mzdová statistika vzniká sloučením údajů z </w:t>
      </w:r>
      <w:r w:rsidRPr="00560494">
        <w:rPr>
          <w:rFonts w:ascii="Arial" w:hAnsi="Arial" w:cs="Arial"/>
          <w:b/>
          <w:color w:val="000000"/>
          <w:sz w:val="18"/>
          <w:szCs w:val="18"/>
          <w:lang w:eastAsia="en-US"/>
        </w:rPr>
        <w:t>Informačního systému o průměrném výdělku</w:t>
      </w:r>
      <w:r w:rsidRPr="00560494">
        <w:rPr>
          <w:rFonts w:ascii="Arial" w:hAnsi="Arial" w:cs="Arial"/>
          <w:color w:val="000000"/>
          <w:sz w:val="18"/>
          <w:szCs w:val="18"/>
          <w:lang w:eastAsia="en-US"/>
        </w:rPr>
        <w:t xml:space="preserve"> Ministerstva práce a sociálních věcí, který na základě výběrového souboru pokrývá mzdovou sféru, a z </w:t>
      </w:r>
      <w:r w:rsidRPr="00560494">
        <w:rPr>
          <w:rFonts w:ascii="Arial" w:hAnsi="Arial" w:cs="Arial"/>
          <w:b/>
          <w:color w:val="000000"/>
          <w:sz w:val="18"/>
          <w:szCs w:val="18"/>
          <w:lang w:eastAsia="en-US"/>
        </w:rPr>
        <w:t>Informačního systému o platu a služebním příjmu Ministerstva financí</w:t>
      </w:r>
      <w:r w:rsidRPr="00560494">
        <w:rPr>
          <w:rFonts w:ascii="Arial" w:hAnsi="Arial" w:cs="Arial"/>
          <w:color w:val="000000"/>
          <w:sz w:val="18"/>
          <w:szCs w:val="18"/>
          <w:lang w:eastAsia="en-US"/>
        </w:rPr>
        <w:t>, který plošně pokrývá platovou sféru.</w:t>
      </w:r>
    </w:p>
    <w:p w14:paraId="57F49AC8" w14:textId="77777777" w:rsidR="00560494" w:rsidRPr="00560494" w:rsidRDefault="00560494" w:rsidP="00560494">
      <w:pPr>
        <w:widowControl/>
        <w:autoSpaceDE/>
        <w:autoSpaceDN/>
        <w:adjustRightInd/>
        <w:spacing w:after="0"/>
        <w:jc w:val="both"/>
        <w:rPr>
          <w:rFonts w:ascii="Arial" w:hAnsi="Arial" w:cs="Arial"/>
          <w:color w:val="000000"/>
          <w:sz w:val="18"/>
          <w:szCs w:val="18"/>
          <w:lang w:eastAsia="en-US"/>
        </w:rPr>
      </w:pPr>
      <w:r w:rsidRPr="00560494">
        <w:rPr>
          <w:rFonts w:ascii="Arial" w:hAnsi="Arial" w:cs="Arial"/>
          <w:color w:val="000000"/>
          <w:sz w:val="18"/>
          <w:szCs w:val="18"/>
          <w:lang w:eastAsia="en-US"/>
        </w:rPr>
        <w:t xml:space="preserve">Do </w:t>
      </w:r>
      <w:r w:rsidRPr="00560494">
        <w:rPr>
          <w:rFonts w:ascii="Arial" w:hAnsi="Arial" w:cs="Arial"/>
          <w:b/>
          <w:color w:val="000000"/>
          <w:sz w:val="18"/>
          <w:szCs w:val="18"/>
          <w:lang w:eastAsia="en-US"/>
        </w:rPr>
        <w:t>mzdové sféry</w:t>
      </w:r>
      <w:r w:rsidRPr="00560494">
        <w:rPr>
          <w:rFonts w:ascii="Arial" w:hAnsi="Arial" w:cs="Arial"/>
          <w:color w:val="000000"/>
          <w:sz w:val="18"/>
          <w:szCs w:val="18"/>
          <w:lang w:eastAsia="en-US"/>
        </w:rPr>
        <w:t xml:space="preserve"> spadají všechna soukromá zdravotnická zařízení, a to včetně krajských a městských nemocnic (akciové společnosti).</w:t>
      </w:r>
    </w:p>
    <w:p w14:paraId="5DE2C9D0" w14:textId="77777777" w:rsidR="00560494" w:rsidRPr="00560494" w:rsidRDefault="00560494" w:rsidP="00560494">
      <w:pPr>
        <w:widowControl/>
        <w:autoSpaceDE/>
        <w:autoSpaceDN/>
        <w:adjustRightInd/>
        <w:spacing w:after="0"/>
        <w:jc w:val="both"/>
        <w:rPr>
          <w:rFonts w:ascii="Arial" w:hAnsi="Arial" w:cs="Arial"/>
          <w:color w:val="000000"/>
          <w:sz w:val="18"/>
          <w:szCs w:val="18"/>
          <w:lang w:eastAsia="en-US"/>
        </w:rPr>
      </w:pPr>
      <w:r w:rsidRPr="00560494">
        <w:rPr>
          <w:rFonts w:ascii="Arial" w:hAnsi="Arial" w:cs="Arial"/>
          <w:color w:val="000000"/>
          <w:sz w:val="18"/>
          <w:szCs w:val="18"/>
          <w:lang w:eastAsia="en-US"/>
        </w:rPr>
        <w:t xml:space="preserve">Do </w:t>
      </w:r>
      <w:r w:rsidRPr="00560494">
        <w:rPr>
          <w:rFonts w:ascii="Arial" w:hAnsi="Arial" w:cs="Arial"/>
          <w:b/>
          <w:color w:val="000000"/>
          <w:sz w:val="18"/>
          <w:szCs w:val="18"/>
          <w:lang w:eastAsia="en-US"/>
        </w:rPr>
        <w:t>platové sféry</w:t>
      </w:r>
      <w:r w:rsidRPr="00560494">
        <w:rPr>
          <w:rFonts w:ascii="Arial" w:hAnsi="Arial" w:cs="Arial"/>
          <w:color w:val="000000"/>
          <w:sz w:val="18"/>
          <w:szCs w:val="18"/>
          <w:lang w:eastAsia="en-US"/>
        </w:rPr>
        <w:t xml:space="preserve"> se zařazují zdravotnická zařízení přímo řízená ministerstvem zdravotnictví (např. fakultní nemocnice a specializované zdravotnické ústavy) nebo příspěvkové organizace krajů. </w:t>
      </w:r>
    </w:p>
    <w:p w14:paraId="606524A0" w14:textId="77777777" w:rsidR="00560494" w:rsidRPr="00560494" w:rsidRDefault="00560494" w:rsidP="00560494">
      <w:pPr>
        <w:widowControl/>
        <w:autoSpaceDE/>
        <w:autoSpaceDN/>
        <w:adjustRightInd/>
        <w:spacing w:before="0" w:after="0"/>
        <w:jc w:val="both"/>
        <w:rPr>
          <w:rFonts w:ascii="Arial" w:hAnsi="Arial" w:cs="Arial"/>
          <w:sz w:val="18"/>
          <w:szCs w:val="18"/>
        </w:rPr>
      </w:pPr>
    </w:p>
    <w:p w14:paraId="233AF5D4" w14:textId="77777777" w:rsidR="00560494" w:rsidRPr="00560494" w:rsidRDefault="00560494" w:rsidP="00560494">
      <w:pPr>
        <w:widowControl/>
        <w:autoSpaceDE/>
        <w:autoSpaceDN/>
        <w:adjustRightInd/>
        <w:spacing w:before="0" w:after="0"/>
        <w:jc w:val="both"/>
        <w:rPr>
          <w:rFonts w:ascii="Arial" w:hAnsi="Arial" w:cs="Arial"/>
          <w:sz w:val="18"/>
          <w:szCs w:val="18"/>
        </w:rPr>
      </w:pPr>
    </w:p>
    <w:p w14:paraId="27F5887B" w14:textId="625054C1" w:rsidR="00560494" w:rsidRPr="00560494" w:rsidRDefault="00560494" w:rsidP="00560494">
      <w:pPr>
        <w:widowControl/>
        <w:autoSpaceDE/>
        <w:autoSpaceDN/>
        <w:adjustRightInd/>
        <w:spacing w:before="0" w:after="0"/>
        <w:jc w:val="both"/>
        <w:rPr>
          <w:rFonts w:ascii="Arial" w:hAnsi="Arial" w:cs="Arial"/>
          <w:b/>
          <w:color w:val="0071BC"/>
        </w:rPr>
      </w:pPr>
      <w:r w:rsidRPr="00560494">
        <w:rPr>
          <w:rFonts w:ascii="Arial" w:hAnsi="Arial" w:cs="Arial"/>
          <w:b/>
          <w:color w:val="0071BC"/>
        </w:rPr>
        <w:t>Tab. 25-</w:t>
      </w:r>
      <w:r w:rsidR="00DA5AAF">
        <w:rPr>
          <w:rFonts w:ascii="Arial" w:hAnsi="Arial" w:cs="Arial"/>
          <w:b/>
          <w:color w:val="0071BC"/>
          <w:lang w:eastAsia="en-US"/>
        </w:rPr>
        <w:t>27</w:t>
      </w:r>
      <w:r w:rsidRPr="00560494">
        <w:rPr>
          <w:rFonts w:ascii="Arial" w:hAnsi="Arial" w:cs="Arial"/>
          <w:b/>
          <w:color w:val="0071BC"/>
          <w:lang w:eastAsia="en-US"/>
        </w:rPr>
        <w:t xml:space="preserve">  Studenti</w:t>
      </w:r>
      <w:r w:rsidRPr="00560494">
        <w:rPr>
          <w:rFonts w:ascii="Arial" w:hAnsi="Arial" w:cs="Arial"/>
          <w:b/>
          <w:color w:val="0071BC"/>
        </w:rPr>
        <w:t xml:space="preserve"> a </w:t>
      </w:r>
      <w:r w:rsidRPr="00560494">
        <w:rPr>
          <w:rFonts w:ascii="Arial" w:hAnsi="Arial" w:cs="Arial"/>
          <w:b/>
          <w:color w:val="0071BC"/>
          <w:lang w:eastAsia="en-US"/>
        </w:rPr>
        <w:t>absolventi oborů</w:t>
      </w:r>
      <w:r w:rsidRPr="00560494">
        <w:rPr>
          <w:rFonts w:ascii="Arial" w:hAnsi="Arial" w:cs="Arial"/>
          <w:b/>
          <w:color w:val="0071BC"/>
        </w:rPr>
        <w:t xml:space="preserve"> zdravotní </w:t>
      </w:r>
      <w:r w:rsidRPr="00560494">
        <w:rPr>
          <w:rFonts w:ascii="Arial" w:hAnsi="Arial" w:cs="Arial"/>
          <w:b/>
          <w:color w:val="0071BC"/>
          <w:lang w:eastAsia="en-US"/>
        </w:rPr>
        <w:t>péče na vysokých školách</w:t>
      </w:r>
    </w:p>
    <w:p w14:paraId="11818E95" w14:textId="77777777" w:rsidR="00560494" w:rsidRPr="00560494" w:rsidRDefault="00560494" w:rsidP="00560494">
      <w:pPr>
        <w:spacing w:after="0"/>
        <w:jc w:val="both"/>
        <w:rPr>
          <w:rFonts w:ascii="Arial" w:hAnsi="Arial" w:cs="Arial"/>
          <w:color w:val="000000"/>
          <w:sz w:val="18"/>
          <w:szCs w:val="18"/>
          <w:lang w:eastAsia="en-US"/>
        </w:rPr>
      </w:pPr>
      <w:r w:rsidRPr="00560494">
        <w:rPr>
          <w:rFonts w:ascii="Arial" w:hAnsi="Arial" w:cs="Arial"/>
          <w:color w:val="000000"/>
          <w:sz w:val="18"/>
          <w:szCs w:val="18"/>
          <w:lang w:eastAsia="en-US"/>
        </w:rPr>
        <w:t xml:space="preserve">Údaje za studenty a absolventy zdravotní péče byly získány ze systému Sdružených informací matrik studentů (SIMS). Zdrojová databáze SIMS je trvale doplňována a aktualizována, včetně zpětných oprav; údaje publikované v této publikaci odpovídají stavu zpracování ke dni 20. ledna 2022. Data za studenty vysokých škol se vztahují vždy k 31. prosinci příslušného roku, data za absolventy pak k celému kalendářnímu roku. </w:t>
      </w:r>
    </w:p>
    <w:p w14:paraId="3247B0F0" w14:textId="77777777" w:rsidR="00560494" w:rsidRPr="00560494" w:rsidRDefault="00560494" w:rsidP="00560494">
      <w:pPr>
        <w:spacing w:after="0"/>
        <w:jc w:val="both"/>
        <w:rPr>
          <w:rFonts w:ascii="Arial" w:hAnsi="Arial" w:cs="Arial"/>
          <w:color w:val="000000"/>
          <w:sz w:val="18"/>
          <w:szCs w:val="18"/>
          <w:lang w:eastAsia="en-US"/>
        </w:rPr>
      </w:pPr>
      <w:r w:rsidRPr="00560494">
        <w:rPr>
          <w:rFonts w:ascii="Arial" w:hAnsi="Arial" w:cs="Arial"/>
          <w:color w:val="000000"/>
          <w:sz w:val="18"/>
          <w:szCs w:val="18"/>
          <w:lang w:eastAsia="en-US"/>
        </w:rPr>
        <w:t xml:space="preserve">Studium zdravotní péče je vymezeno na základě Klasifikace oborů vzdělání CZ-ISCED-F 2013, a to pomocí úzce vymezeného oboru 091 </w:t>
      </w:r>
      <w:r w:rsidRPr="00560494">
        <w:rPr>
          <w:rFonts w:ascii="Arial" w:hAnsi="Arial" w:cs="Arial"/>
          <w:i/>
          <w:color w:val="000000"/>
          <w:sz w:val="18"/>
          <w:szCs w:val="18"/>
          <w:lang w:eastAsia="en-US"/>
        </w:rPr>
        <w:t>Zdravotní péče</w:t>
      </w:r>
      <w:r w:rsidRPr="00560494">
        <w:rPr>
          <w:rFonts w:ascii="Arial" w:hAnsi="Arial" w:cs="Arial"/>
          <w:color w:val="000000"/>
          <w:sz w:val="18"/>
          <w:szCs w:val="18"/>
          <w:lang w:eastAsia="en-US"/>
        </w:rPr>
        <w:t xml:space="preserve"> zahrnující následující podrobně vymezené obory vzdělání:</w:t>
      </w:r>
    </w:p>
    <w:p w14:paraId="035BB39E" w14:textId="77777777" w:rsidR="00560494" w:rsidRPr="00560494" w:rsidRDefault="00560494" w:rsidP="00560494">
      <w:pPr>
        <w:spacing w:after="0"/>
        <w:jc w:val="both"/>
        <w:rPr>
          <w:rFonts w:ascii="Arial" w:hAnsi="Arial" w:cs="Arial"/>
          <w:color w:val="000000"/>
          <w:sz w:val="18"/>
          <w:szCs w:val="18"/>
          <w:lang w:eastAsia="en-US"/>
        </w:rPr>
      </w:pPr>
      <w:r w:rsidRPr="00560494">
        <w:rPr>
          <w:rFonts w:ascii="Arial" w:hAnsi="Arial" w:cs="Arial"/>
          <w:color w:val="000000"/>
          <w:sz w:val="18"/>
          <w:szCs w:val="18"/>
          <w:lang w:eastAsia="en-US"/>
        </w:rPr>
        <w:t>Stomatologie (0911);</w:t>
      </w:r>
    </w:p>
    <w:p w14:paraId="7006725D" w14:textId="77777777" w:rsidR="00560494" w:rsidRPr="00560494" w:rsidRDefault="00560494" w:rsidP="00560494">
      <w:pPr>
        <w:spacing w:after="0"/>
        <w:jc w:val="both"/>
        <w:rPr>
          <w:rFonts w:ascii="Arial" w:hAnsi="Arial" w:cs="Arial"/>
          <w:color w:val="000000"/>
          <w:sz w:val="18"/>
          <w:szCs w:val="18"/>
          <w:lang w:eastAsia="en-US"/>
        </w:rPr>
      </w:pPr>
      <w:r w:rsidRPr="00560494">
        <w:rPr>
          <w:rFonts w:ascii="Arial" w:hAnsi="Arial" w:cs="Arial"/>
          <w:color w:val="000000"/>
          <w:sz w:val="18"/>
          <w:szCs w:val="18"/>
          <w:lang w:eastAsia="en-US"/>
        </w:rPr>
        <w:t>Humánní medicína (0912) – skládá se zejména z přípravy lékařů;</w:t>
      </w:r>
    </w:p>
    <w:p w14:paraId="425E3BF1" w14:textId="77777777" w:rsidR="00560494" w:rsidRPr="00560494" w:rsidRDefault="00560494" w:rsidP="00560494">
      <w:pPr>
        <w:spacing w:after="0"/>
        <w:jc w:val="both"/>
        <w:rPr>
          <w:rFonts w:ascii="Arial" w:hAnsi="Arial" w:cs="Arial"/>
          <w:color w:val="000000"/>
          <w:sz w:val="18"/>
          <w:szCs w:val="18"/>
          <w:lang w:eastAsia="en-US"/>
        </w:rPr>
      </w:pPr>
      <w:r w:rsidRPr="00560494">
        <w:rPr>
          <w:rFonts w:ascii="Arial" w:hAnsi="Arial" w:cs="Arial"/>
          <w:color w:val="000000"/>
          <w:sz w:val="18"/>
          <w:szCs w:val="18"/>
          <w:lang w:eastAsia="en-US"/>
        </w:rPr>
        <w:t>Ošetřovatelství a porodní asistentství (0913);</w:t>
      </w:r>
    </w:p>
    <w:p w14:paraId="342E6498" w14:textId="77777777" w:rsidR="00560494" w:rsidRPr="00560494" w:rsidRDefault="00560494" w:rsidP="00560494">
      <w:pPr>
        <w:spacing w:after="0"/>
        <w:jc w:val="both"/>
        <w:rPr>
          <w:rFonts w:ascii="Arial" w:hAnsi="Arial" w:cs="Arial"/>
          <w:color w:val="000000"/>
          <w:sz w:val="18"/>
          <w:szCs w:val="18"/>
          <w:lang w:eastAsia="en-US"/>
        </w:rPr>
      </w:pPr>
      <w:r w:rsidRPr="00560494">
        <w:rPr>
          <w:rFonts w:ascii="Arial" w:hAnsi="Arial" w:cs="Arial"/>
          <w:color w:val="000000"/>
          <w:sz w:val="18"/>
          <w:szCs w:val="18"/>
          <w:lang w:eastAsia="en-US"/>
        </w:rPr>
        <w:t>Lékařská diagnostika a léčebné techniky (0914);</w:t>
      </w:r>
    </w:p>
    <w:p w14:paraId="72D5DF1A" w14:textId="77777777" w:rsidR="00560494" w:rsidRPr="00560494" w:rsidRDefault="00560494" w:rsidP="00560494">
      <w:pPr>
        <w:spacing w:after="0"/>
        <w:jc w:val="both"/>
        <w:rPr>
          <w:rFonts w:ascii="Arial" w:hAnsi="Arial" w:cs="Arial"/>
          <w:sz w:val="18"/>
          <w:szCs w:val="18"/>
          <w:lang w:eastAsia="en-US"/>
        </w:rPr>
      </w:pPr>
      <w:r w:rsidRPr="00560494">
        <w:rPr>
          <w:rFonts w:ascii="Arial" w:hAnsi="Arial" w:cs="Arial"/>
          <w:sz w:val="18"/>
          <w:szCs w:val="18"/>
          <w:lang w:eastAsia="en-US"/>
        </w:rPr>
        <w:t>Terapie a rehabilitace (0915);</w:t>
      </w:r>
    </w:p>
    <w:p w14:paraId="11DCD804" w14:textId="77777777" w:rsidR="00560494" w:rsidRPr="00560494" w:rsidRDefault="00560494" w:rsidP="00560494">
      <w:pPr>
        <w:spacing w:after="0"/>
        <w:jc w:val="both"/>
        <w:rPr>
          <w:rFonts w:ascii="Arial" w:hAnsi="Arial" w:cs="Arial"/>
          <w:sz w:val="18"/>
          <w:szCs w:val="18"/>
          <w:lang w:eastAsia="en-US"/>
        </w:rPr>
      </w:pPr>
      <w:r w:rsidRPr="00560494">
        <w:rPr>
          <w:rFonts w:ascii="Arial" w:hAnsi="Arial" w:cs="Arial"/>
          <w:sz w:val="18"/>
          <w:szCs w:val="18"/>
          <w:lang w:eastAsia="en-US"/>
        </w:rPr>
        <w:t>Farmacie (0916);</w:t>
      </w:r>
    </w:p>
    <w:p w14:paraId="6057D6C3" w14:textId="77777777" w:rsidR="00560494" w:rsidRPr="00560494" w:rsidRDefault="00560494" w:rsidP="00560494">
      <w:pPr>
        <w:spacing w:after="0"/>
        <w:jc w:val="both"/>
        <w:rPr>
          <w:rFonts w:ascii="Arial" w:hAnsi="Arial" w:cs="Arial"/>
          <w:sz w:val="18"/>
          <w:szCs w:val="18"/>
          <w:lang w:eastAsia="en-US"/>
        </w:rPr>
      </w:pPr>
      <w:r w:rsidRPr="00560494">
        <w:rPr>
          <w:rFonts w:ascii="Arial" w:hAnsi="Arial" w:cs="Arial"/>
          <w:sz w:val="18"/>
          <w:szCs w:val="18"/>
          <w:lang w:eastAsia="en-US"/>
        </w:rPr>
        <w:t>Tradiční a alternativní medicína a terapie (0917).</w:t>
      </w:r>
    </w:p>
    <w:p w14:paraId="24D6D15B" w14:textId="77777777" w:rsidR="00560494" w:rsidRPr="00560494" w:rsidRDefault="00560494" w:rsidP="00560494">
      <w:pPr>
        <w:spacing w:after="0"/>
        <w:jc w:val="both"/>
        <w:rPr>
          <w:rFonts w:ascii="Arial" w:hAnsi="Arial" w:cs="Arial"/>
          <w:sz w:val="18"/>
          <w:szCs w:val="18"/>
          <w:lang w:eastAsia="en-US"/>
        </w:rPr>
      </w:pPr>
      <w:r w:rsidRPr="00560494">
        <w:rPr>
          <w:rFonts w:ascii="Arial" w:hAnsi="Arial" w:cs="Arial"/>
          <w:sz w:val="18"/>
          <w:szCs w:val="18"/>
          <w:lang w:eastAsia="en-US"/>
        </w:rPr>
        <w:t>Počty studentů a absolventů jsou uvedeny ve fyzických osobách, tj. každý student je v konkrétním údaji zahrnut jen jednou, včetně studentů, kteří současně studují ve více studijních programech. Celkové počty studentů a absolventů tedy nemusí souhlasit se součtem studentů a absolventů jednotlivých typů studijních programů.</w:t>
      </w:r>
    </w:p>
    <w:p w14:paraId="5D91062B" w14:textId="69F6E6F7" w:rsidR="005D301D" w:rsidRDefault="005D301D" w:rsidP="00B07176">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sz w:val="18"/>
          <w:szCs w:val="18"/>
        </w:rPr>
      </w:pPr>
    </w:p>
    <w:p w14:paraId="4007796E" w14:textId="77777777" w:rsidR="00B07176" w:rsidRPr="009D6B2E" w:rsidRDefault="00B07176" w:rsidP="00B07176">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sz w:val="18"/>
          <w:szCs w:val="18"/>
        </w:rPr>
      </w:pPr>
    </w:p>
    <w:p w14:paraId="0FA2ECE3" w14:textId="77777777" w:rsidR="001A6D5F" w:rsidRPr="00B07176" w:rsidRDefault="001A6D5F" w:rsidP="00B07176">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center"/>
        <w:rPr>
          <w:rFonts w:ascii="Arial" w:hAnsi="Arial" w:cs="Arial"/>
          <w:color w:val="0071BC"/>
        </w:rPr>
      </w:pPr>
      <w:r w:rsidRPr="00B07176">
        <w:rPr>
          <w:rFonts w:ascii="Arial" w:hAnsi="Arial" w:cs="Arial"/>
          <w:color w:val="0071BC"/>
        </w:rPr>
        <w:t>*          *          *</w:t>
      </w:r>
    </w:p>
    <w:p w14:paraId="78668399" w14:textId="77777777" w:rsidR="001A6D5F" w:rsidRPr="009D6B2E" w:rsidRDefault="001A6D5F" w:rsidP="00B07176">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sz w:val="18"/>
          <w:szCs w:val="18"/>
        </w:rPr>
      </w:pPr>
    </w:p>
    <w:p w14:paraId="0FD37B32" w14:textId="77777777" w:rsidR="001A6D5F" w:rsidRPr="009D6B2E" w:rsidRDefault="001A6D5F" w:rsidP="00B07176">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0"/>
        <w:jc w:val="both"/>
        <w:rPr>
          <w:rFonts w:ascii="Arial" w:hAnsi="Arial" w:cs="Arial"/>
          <w:sz w:val="18"/>
          <w:szCs w:val="18"/>
        </w:rPr>
      </w:pPr>
    </w:p>
    <w:p w14:paraId="3F29F552" w14:textId="77777777" w:rsidR="001A6D5F" w:rsidRPr="009D6B2E" w:rsidRDefault="001A6D5F" w:rsidP="00B07176">
      <w:pPr>
        <w:pStyle w:val="Zkladntextodsazen2"/>
        <w:widowControl/>
        <w:spacing w:before="0" w:after="0"/>
        <w:ind w:left="0"/>
        <w:rPr>
          <w:sz w:val="18"/>
          <w:szCs w:val="18"/>
        </w:rPr>
      </w:pPr>
      <w:r w:rsidRPr="009D6B2E">
        <w:rPr>
          <w:sz w:val="18"/>
          <w:szCs w:val="18"/>
        </w:rPr>
        <w:t xml:space="preserve">Další údaje jsou </w:t>
      </w:r>
      <w:r w:rsidR="002F40FC" w:rsidRPr="009D6B2E">
        <w:rPr>
          <w:sz w:val="18"/>
          <w:szCs w:val="18"/>
        </w:rPr>
        <w:t>dostupné</w:t>
      </w:r>
      <w:r w:rsidRPr="009D6B2E">
        <w:rPr>
          <w:sz w:val="18"/>
          <w:szCs w:val="18"/>
        </w:rPr>
        <w:t xml:space="preserve"> na internetových stránkách Českého statistického úřadu:</w:t>
      </w:r>
    </w:p>
    <w:p w14:paraId="47B5218E" w14:textId="77777777" w:rsidR="001A6D5F" w:rsidRPr="009D6B2E" w:rsidRDefault="001A6D5F" w:rsidP="00B07176">
      <w:pPr>
        <w:pStyle w:val="Zkladntextodsazen2"/>
        <w:widowControl/>
        <w:spacing w:after="0"/>
        <w:ind w:left="0"/>
        <w:rPr>
          <w:sz w:val="18"/>
          <w:szCs w:val="18"/>
        </w:rPr>
      </w:pPr>
      <w:r w:rsidRPr="009D6B2E">
        <w:rPr>
          <w:sz w:val="18"/>
          <w:szCs w:val="18"/>
        </w:rPr>
        <w:t>– </w:t>
      </w:r>
      <w:hyperlink r:id="rId8" w:history="1">
        <w:r w:rsidR="0091279C" w:rsidRPr="009D6B2E">
          <w:rPr>
            <w:rStyle w:val="Hypertextovodkaz"/>
            <w:rFonts w:ascii="Arial" w:hAnsi="Arial" w:cs="Arial"/>
            <w:sz w:val="18"/>
            <w:szCs w:val="18"/>
          </w:rPr>
          <w:t>www.czso.cz/csu/czso/zdravotnictvi_lide</w:t>
        </w:r>
      </w:hyperlink>
    </w:p>
    <w:p w14:paraId="0AD52B77" w14:textId="77777777" w:rsidR="001A6D5F" w:rsidRPr="009D6B2E" w:rsidRDefault="001A6D5F" w:rsidP="00B07176">
      <w:pPr>
        <w:pStyle w:val="Zkladntextodsazen2"/>
        <w:widowControl/>
        <w:spacing w:after="0"/>
        <w:ind w:left="0"/>
        <w:rPr>
          <w:sz w:val="18"/>
          <w:szCs w:val="18"/>
        </w:rPr>
      </w:pPr>
      <w:r w:rsidRPr="009D6B2E">
        <w:rPr>
          <w:sz w:val="18"/>
          <w:szCs w:val="18"/>
        </w:rPr>
        <w:t>nebo na internetových stránkách Ústavu zdravotnických informací a statistiky ČR:</w:t>
      </w:r>
    </w:p>
    <w:p w14:paraId="2EF136C5" w14:textId="77777777" w:rsidR="001A6D5F" w:rsidRPr="009D6B2E" w:rsidRDefault="001A6D5F" w:rsidP="00B07176">
      <w:pPr>
        <w:pStyle w:val="Zkladntextodsazen2"/>
        <w:widowControl/>
        <w:spacing w:after="0"/>
        <w:ind w:left="0"/>
        <w:rPr>
          <w:sz w:val="18"/>
          <w:szCs w:val="18"/>
        </w:rPr>
      </w:pPr>
      <w:r w:rsidRPr="009D6B2E">
        <w:rPr>
          <w:sz w:val="18"/>
          <w:szCs w:val="18"/>
        </w:rPr>
        <w:t>– </w:t>
      </w:r>
      <w:hyperlink r:id="rId9" w:history="1">
        <w:r w:rsidR="00BA26CB" w:rsidRPr="009D6B2E">
          <w:rPr>
            <w:rStyle w:val="Hypertextovodkaz"/>
            <w:rFonts w:ascii="Arial" w:hAnsi="Arial" w:cs="Arial"/>
            <w:sz w:val="18"/>
            <w:szCs w:val="18"/>
          </w:rPr>
          <w:t>www.uzis.cz</w:t>
        </w:r>
      </w:hyperlink>
    </w:p>
    <w:sectPr w:rsidR="001A6D5F" w:rsidRPr="009D6B2E" w:rsidSect="00DF2605">
      <w:footnotePr>
        <w:numRestart w:val="eachSect"/>
      </w:footnotePr>
      <w:pgSz w:w="11907" w:h="16840" w:code="9"/>
      <w:pgMar w:top="1134" w:right="964" w:bottom="1418" w:left="964"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9A35F" w14:textId="77777777" w:rsidR="005B2EB9" w:rsidRDefault="005B2EB9">
      <w:pPr>
        <w:rPr>
          <w:rFonts w:ascii="Times New Roman" w:hAnsi="Times New Roman"/>
        </w:rPr>
      </w:pPr>
      <w:r>
        <w:rPr>
          <w:rFonts w:ascii="Times New Roman" w:hAnsi="Times New Roman"/>
        </w:rPr>
        <w:separator/>
      </w:r>
    </w:p>
  </w:endnote>
  <w:endnote w:type="continuationSeparator" w:id="0">
    <w:p w14:paraId="2F56CAEF" w14:textId="77777777" w:rsidR="005B2EB9" w:rsidRDefault="005B2EB9">
      <w:pPr>
        <w:rPr>
          <w:rFonts w:ascii="Times New Roman" w:hAnsi="Times New Roman"/>
        </w:rPr>
      </w:pPr>
      <w:r>
        <w:rPr>
          <w:rFonts w:ascii="Times New Roman" w:hAnsi="Times New Roman"/>
        </w:rPr>
        <w:continuationSeparator/>
      </w:r>
    </w:p>
  </w:endnote>
  <w:endnote w:type="continuationNotice" w:id="1">
    <w:p w14:paraId="26A1E699" w14:textId="77777777" w:rsidR="005B2EB9" w:rsidRDefault="005B2EB9" w:rsidP="001761F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Roman 10cpi">
    <w:altName w:val="Times New Roman"/>
    <w:panose1 w:val="00000000000000000000"/>
    <w:charset w:val="EE"/>
    <w:family w:val="auto"/>
    <w:notTrueType/>
    <w:pitch w:val="default"/>
    <w:sig w:usb0="00000007" w:usb1="00000000" w:usb2="00000000" w:usb3="00000000" w:csb0="00000003" w:csb1="00000000"/>
  </w:font>
  <w:font w:name="Times New Roman CE obyčejné">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AA004" w14:textId="77777777" w:rsidR="005B2EB9" w:rsidRDefault="005B2EB9">
      <w:pPr>
        <w:rPr>
          <w:rFonts w:ascii="Times New Roman" w:hAnsi="Times New Roman"/>
        </w:rPr>
      </w:pPr>
      <w:r>
        <w:rPr>
          <w:rFonts w:ascii="Times New Roman" w:hAnsi="Times New Roman"/>
        </w:rPr>
        <w:separator/>
      </w:r>
    </w:p>
  </w:footnote>
  <w:footnote w:type="continuationSeparator" w:id="0">
    <w:p w14:paraId="00B85F1B" w14:textId="77777777" w:rsidR="005B2EB9" w:rsidRDefault="005B2EB9">
      <w:pPr>
        <w:rPr>
          <w:rFonts w:ascii="Times New Roman" w:hAnsi="Times New Roman"/>
        </w:rPr>
      </w:pPr>
      <w:r>
        <w:rPr>
          <w:rFonts w:ascii="Times New Roman" w:hAnsi="Times New Roman"/>
        </w:rPr>
        <w:continuationSeparator/>
      </w:r>
    </w:p>
  </w:footnote>
  <w:footnote w:type="continuationNotice" w:id="1">
    <w:p w14:paraId="7A3675AB" w14:textId="77777777" w:rsidR="005B2EB9" w:rsidRDefault="005B2EB9" w:rsidP="001761FA">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435B0"/>
    <w:multiLevelType w:val="hybridMultilevel"/>
    <w:tmpl w:val="C4BCF5DC"/>
    <w:lvl w:ilvl="0" w:tplc="537E8CFC">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1FCE4A9F"/>
    <w:multiLevelType w:val="hybridMultilevel"/>
    <w:tmpl w:val="6B8E7FB2"/>
    <w:lvl w:ilvl="0" w:tplc="95961296">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6575FB1"/>
    <w:multiLevelType w:val="hybridMultilevel"/>
    <w:tmpl w:val="B7E2E6AA"/>
    <w:lvl w:ilvl="0" w:tplc="C8C487C0">
      <w:start w:val="1"/>
      <w:numFmt w:val="low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B330B8"/>
    <w:multiLevelType w:val="hybridMultilevel"/>
    <w:tmpl w:val="918899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42C5934"/>
    <w:multiLevelType w:val="hybridMultilevel"/>
    <w:tmpl w:val="EA30C6C6"/>
    <w:lvl w:ilvl="0" w:tplc="04050001">
      <w:start w:val="1"/>
      <w:numFmt w:val="bullet"/>
      <w:lvlText w:val=""/>
      <w:lvlJc w:val="left"/>
      <w:pPr>
        <w:ind w:left="1076"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5" w15:restartNumberingAfterBreak="0">
    <w:nsid w:val="58BA1F3C"/>
    <w:multiLevelType w:val="hybridMultilevel"/>
    <w:tmpl w:val="77823FFC"/>
    <w:lvl w:ilvl="0" w:tplc="11F8CFC6">
      <w:start w:val="16"/>
      <w:numFmt w:val="bullet"/>
      <w:lvlText w:val="-"/>
      <w:lvlJc w:val="left"/>
      <w:pPr>
        <w:tabs>
          <w:tab w:val="num" w:pos="530"/>
        </w:tabs>
        <w:ind w:left="530" w:hanging="360"/>
      </w:pPr>
      <w:rPr>
        <w:rFonts w:ascii="Times New Roman" w:eastAsia="Times New Roman" w:hAnsi="Times New Roman" w:hint="default"/>
      </w:rPr>
    </w:lvl>
    <w:lvl w:ilvl="1" w:tplc="04050003">
      <w:start w:val="1"/>
      <w:numFmt w:val="bullet"/>
      <w:lvlText w:val="o"/>
      <w:lvlJc w:val="left"/>
      <w:pPr>
        <w:tabs>
          <w:tab w:val="num" w:pos="1250"/>
        </w:tabs>
        <w:ind w:left="1250" w:hanging="360"/>
      </w:pPr>
      <w:rPr>
        <w:rFonts w:ascii="Courier New" w:hAnsi="Courier New" w:cs="Courier New" w:hint="default"/>
      </w:rPr>
    </w:lvl>
    <w:lvl w:ilvl="2" w:tplc="04050005">
      <w:start w:val="1"/>
      <w:numFmt w:val="bullet"/>
      <w:lvlText w:val=""/>
      <w:lvlJc w:val="left"/>
      <w:pPr>
        <w:tabs>
          <w:tab w:val="num" w:pos="1970"/>
        </w:tabs>
        <w:ind w:left="1970" w:hanging="360"/>
      </w:pPr>
      <w:rPr>
        <w:rFonts w:ascii="Wingdings" w:hAnsi="Wingdings" w:cs="Times New Roman" w:hint="default"/>
      </w:rPr>
    </w:lvl>
    <w:lvl w:ilvl="3" w:tplc="04050001">
      <w:start w:val="1"/>
      <w:numFmt w:val="bullet"/>
      <w:lvlText w:val=""/>
      <w:lvlJc w:val="left"/>
      <w:pPr>
        <w:tabs>
          <w:tab w:val="num" w:pos="2690"/>
        </w:tabs>
        <w:ind w:left="2690" w:hanging="360"/>
      </w:pPr>
      <w:rPr>
        <w:rFonts w:ascii="Symbol" w:hAnsi="Symbol" w:cs="Times New Roman" w:hint="default"/>
      </w:rPr>
    </w:lvl>
    <w:lvl w:ilvl="4" w:tplc="04050003">
      <w:start w:val="1"/>
      <w:numFmt w:val="bullet"/>
      <w:lvlText w:val="o"/>
      <w:lvlJc w:val="left"/>
      <w:pPr>
        <w:tabs>
          <w:tab w:val="num" w:pos="3410"/>
        </w:tabs>
        <w:ind w:left="3410" w:hanging="360"/>
      </w:pPr>
      <w:rPr>
        <w:rFonts w:ascii="Courier New" w:hAnsi="Courier New" w:cs="Courier New" w:hint="default"/>
      </w:rPr>
    </w:lvl>
    <w:lvl w:ilvl="5" w:tplc="04050005">
      <w:start w:val="1"/>
      <w:numFmt w:val="bullet"/>
      <w:lvlText w:val=""/>
      <w:lvlJc w:val="left"/>
      <w:pPr>
        <w:tabs>
          <w:tab w:val="num" w:pos="4130"/>
        </w:tabs>
        <w:ind w:left="4130" w:hanging="360"/>
      </w:pPr>
      <w:rPr>
        <w:rFonts w:ascii="Wingdings" w:hAnsi="Wingdings" w:cs="Times New Roman" w:hint="default"/>
      </w:rPr>
    </w:lvl>
    <w:lvl w:ilvl="6" w:tplc="04050001">
      <w:start w:val="1"/>
      <w:numFmt w:val="bullet"/>
      <w:lvlText w:val=""/>
      <w:lvlJc w:val="left"/>
      <w:pPr>
        <w:tabs>
          <w:tab w:val="num" w:pos="4850"/>
        </w:tabs>
        <w:ind w:left="4850" w:hanging="360"/>
      </w:pPr>
      <w:rPr>
        <w:rFonts w:ascii="Symbol" w:hAnsi="Symbol" w:cs="Times New Roman" w:hint="default"/>
      </w:rPr>
    </w:lvl>
    <w:lvl w:ilvl="7" w:tplc="04050003">
      <w:start w:val="1"/>
      <w:numFmt w:val="bullet"/>
      <w:lvlText w:val="o"/>
      <w:lvlJc w:val="left"/>
      <w:pPr>
        <w:tabs>
          <w:tab w:val="num" w:pos="5570"/>
        </w:tabs>
        <w:ind w:left="5570" w:hanging="360"/>
      </w:pPr>
      <w:rPr>
        <w:rFonts w:ascii="Courier New" w:hAnsi="Courier New" w:cs="Courier New" w:hint="default"/>
      </w:rPr>
    </w:lvl>
    <w:lvl w:ilvl="8" w:tplc="04050005">
      <w:start w:val="1"/>
      <w:numFmt w:val="bullet"/>
      <w:lvlText w:val=""/>
      <w:lvlJc w:val="left"/>
      <w:pPr>
        <w:tabs>
          <w:tab w:val="num" w:pos="6290"/>
        </w:tabs>
        <w:ind w:left="6290" w:hanging="360"/>
      </w:pPr>
      <w:rPr>
        <w:rFonts w:ascii="Wingdings" w:hAnsi="Wingdings" w:cs="Times New Roman" w:hint="default"/>
      </w:rPr>
    </w:lvl>
  </w:abstractNum>
  <w:abstractNum w:abstractNumId="6" w15:restartNumberingAfterBreak="0">
    <w:nsid w:val="7B5A7B76"/>
    <w:multiLevelType w:val="hybridMultilevel"/>
    <w:tmpl w:val="8916A1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24E"/>
    <w:rsid w:val="000023E9"/>
    <w:rsid w:val="00004D02"/>
    <w:rsid w:val="0000678D"/>
    <w:rsid w:val="0000719A"/>
    <w:rsid w:val="00007FBC"/>
    <w:rsid w:val="000120A7"/>
    <w:rsid w:val="000171DA"/>
    <w:rsid w:val="000225DD"/>
    <w:rsid w:val="0002332A"/>
    <w:rsid w:val="00023DCA"/>
    <w:rsid w:val="00026ED5"/>
    <w:rsid w:val="00027A6F"/>
    <w:rsid w:val="00031872"/>
    <w:rsid w:val="000345C6"/>
    <w:rsid w:val="0003625E"/>
    <w:rsid w:val="00036495"/>
    <w:rsid w:val="0004238B"/>
    <w:rsid w:val="00046B36"/>
    <w:rsid w:val="00051000"/>
    <w:rsid w:val="00062F7D"/>
    <w:rsid w:val="000632F2"/>
    <w:rsid w:val="00063992"/>
    <w:rsid w:val="00063A31"/>
    <w:rsid w:val="000641C3"/>
    <w:rsid w:val="00067C99"/>
    <w:rsid w:val="0007197E"/>
    <w:rsid w:val="000725CB"/>
    <w:rsid w:val="00074491"/>
    <w:rsid w:val="0008000B"/>
    <w:rsid w:val="000808C0"/>
    <w:rsid w:val="00084B73"/>
    <w:rsid w:val="000865E1"/>
    <w:rsid w:val="00091287"/>
    <w:rsid w:val="00094CFF"/>
    <w:rsid w:val="00095BC7"/>
    <w:rsid w:val="00097996"/>
    <w:rsid w:val="000A0157"/>
    <w:rsid w:val="000A12CF"/>
    <w:rsid w:val="000A1E34"/>
    <w:rsid w:val="000A2BB4"/>
    <w:rsid w:val="000A3330"/>
    <w:rsid w:val="000A67A0"/>
    <w:rsid w:val="000A75F5"/>
    <w:rsid w:val="000B14FB"/>
    <w:rsid w:val="000B2100"/>
    <w:rsid w:val="000B3499"/>
    <w:rsid w:val="000B418B"/>
    <w:rsid w:val="000B457F"/>
    <w:rsid w:val="000B499E"/>
    <w:rsid w:val="000B4B90"/>
    <w:rsid w:val="000C0D28"/>
    <w:rsid w:val="000C1EB0"/>
    <w:rsid w:val="000C3140"/>
    <w:rsid w:val="000C6416"/>
    <w:rsid w:val="000E052B"/>
    <w:rsid w:val="000E3D10"/>
    <w:rsid w:val="000E3DDA"/>
    <w:rsid w:val="000E6D08"/>
    <w:rsid w:val="000E7BA7"/>
    <w:rsid w:val="000F3595"/>
    <w:rsid w:val="000F7643"/>
    <w:rsid w:val="00101150"/>
    <w:rsid w:val="00102989"/>
    <w:rsid w:val="00103872"/>
    <w:rsid w:val="00104A19"/>
    <w:rsid w:val="00107930"/>
    <w:rsid w:val="001101D0"/>
    <w:rsid w:val="00111287"/>
    <w:rsid w:val="001116A3"/>
    <w:rsid w:val="00114ABD"/>
    <w:rsid w:val="001214B7"/>
    <w:rsid w:val="00121DE8"/>
    <w:rsid w:val="00130CD4"/>
    <w:rsid w:val="001314E5"/>
    <w:rsid w:val="00133312"/>
    <w:rsid w:val="001358E1"/>
    <w:rsid w:val="00136130"/>
    <w:rsid w:val="00137B38"/>
    <w:rsid w:val="001442A4"/>
    <w:rsid w:val="0014552F"/>
    <w:rsid w:val="00146A44"/>
    <w:rsid w:val="0015317A"/>
    <w:rsid w:val="001574FF"/>
    <w:rsid w:val="00161831"/>
    <w:rsid w:val="00161EE1"/>
    <w:rsid w:val="001637A6"/>
    <w:rsid w:val="00163D81"/>
    <w:rsid w:val="00172650"/>
    <w:rsid w:val="00173A57"/>
    <w:rsid w:val="00175112"/>
    <w:rsid w:val="001761FA"/>
    <w:rsid w:val="0017725D"/>
    <w:rsid w:val="00177D27"/>
    <w:rsid w:val="00180633"/>
    <w:rsid w:val="0018713F"/>
    <w:rsid w:val="00187495"/>
    <w:rsid w:val="0019060C"/>
    <w:rsid w:val="00192681"/>
    <w:rsid w:val="00195D52"/>
    <w:rsid w:val="00197460"/>
    <w:rsid w:val="00197FF6"/>
    <w:rsid w:val="001A26E2"/>
    <w:rsid w:val="001A56DC"/>
    <w:rsid w:val="001A6D5F"/>
    <w:rsid w:val="001A71C4"/>
    <w:rsid w:val="001D009C"/>
    <w:rsid w:val="001D0845"/>
    <w:rsid w:val="001D0EB8"/>
    <w:rsid w:val="001D6852"/>
    <w:rsid w:val="001D7625"/>
    <w:rsid w:val="001E0B1B"/>
    <w:rsid w:val="001F12C0"/>
    <w:rsid w:val="001F6D74"/>
    <w:rsid w:val="00212B61"/>
    <w:rsid w:val="00213DA3"/>
    <w:rsid w:val="0021658C"/>
    <w:rsid w:val="00217E66"/>
    <w:rsid w:val="002213F0"/>
    <w:rsid w:val="0022307D"/>
    <w:rsid w:val="00223636"/>
    <w:rsid w:val="00232697"/>
    <w:rsid w:val="00232C65"/>
    <w:rsid w:val="00233F83"/>
    <w:rsid w:val="002345B8"/>
    <w:rsid w:val="002411FC"/>
    <w:rsid w:val="00245D5A"/>
    <w:rsid w:val="00245E9D"/>
    <w:rsid w:val="00255335"/>
    <w:rsid w:val="00257FAC"/>
    <w:rsid w:val="0026360C"/>
    <w:rsid w:val="00266BF8"/>
    <w:rsid w:val="00270D4A"/>
    <w:rsid w:val="002715BC"/>
    <w:rsid w:val="00275669"/>
    <w:rsid w:val="00276FF0"/>
    <w:rsid w:val="00280DD2"/>
    <w:rsid w:val="002812EE"/>
    <w:rsid w:val="00283396"/>
    <w:rsid w:val="00283C7E"/>
    <w:rsid w:val="002864D9"/>
    <w:rsid w:val="002915B3"/>
    <w:rsid w:val="0029185C"/>
    <w:rsid w:val="00293E6C"/>
    <w:rsid w:val="002957E9"/>
    <w:rsid w:val="002A0833"/>
    <w:rsid w:val="002A2461"/>
    <w:rsid w:val="002A2D7F"/>
    <w:rsid w:val="002A3C0B"/>
    <w:rsid w:val="002A3C13"/>
    <w:rsid w:val="002A70CA"/>
    <w:rsid w:val="002B585C"/>
    <w:rsid w:val="002B5B8E"/>
    <w:rsid w:val="002B7A9D"/>
    <w:rsid w:val="002C1C4B"/>
    <w:rsid w:val="002D005D"/>
    <w:rsid w:val="002D253A"/>
    <w:rsid w:val="002E0CA3"/>
    <w:rsid w:val="002E7421"/>
    <w:rsid w:val="002E7A57"/>
    <w:rsid w:val="002F02AC"/>
    <w:rsid w:val="002F1D68"/>
    <w:rsid w:val="002F1FEC"/>
    <w:rsid w:val="002F40FC"/>
    <w:rsid w:val="00300302"/>
    <w:rsid w:val="003010DE"/>
    <w:rsid w:val="00301D63"/>
    <w:rsid w:val="00310AA6"/>
    <w:rsid w:val="0031273F"/>
    <w:rsid w:val="00313219"/>
    <w:rsid w:val="00313675"/>
    <w:rsid w:val="00313ABC"/>
    <w:rsid w:val="0031467F"/>
    <w:rsid w:val="00317342"/>
    <w:rsid w:val="00321EE0"/>
    <w:rsid w:val="00322208"/>
    <w:rsid w:val="003239D3"/>
    <w:rsid w:val="0033071E"/>
    <w:rsid w:val="003307A2"/>
    <w:rsid w:val="003324C7"/>
    <w:rsid w:val="003340CD"/>
    <w:rsid w:val="003352EE"/>
    <w:rsid w:val="00340B68"/>
    <w:rsid w:val="00343AF5"/>
    <w:rsid w:val="00344BEF"/>
    <w:rsid w:val="00347EA5"/>
    <w:rsid w:val="00350969"/>
    <w:rsid w:val="00350DAC"/>
    <w:rsid w:val="00351175"/>
    <w:rsid w:val="00354DA7"/>
    <w:rsid w:val="003611A8"/>
    <w:rsid w:val="00361AB0"/>
    <w:rsid w:val="00373620"/>
    <w:rsid w:val="00375393"/>
    <w:rsid w:val="003771DC"/>
    <w:rsid w:val="00382972"/>
    <w:rsid w:val="00383246"/>
    <w:rsid w:val="0038504E"/>
    <w:rsid w:val="0038732C"/>
    <w:rsid w:val="0039042B"/>
    <w:rsid w:val="003A161C"/>
    <w:rsid w:val="003A1E94"/>
    <w:rsid w:val="003A3179"/>
    <w:rsid w:val="003A37CA"/>
    <w:rsid w:val="003A57AB"/>
    <w:rsid w:val="003A622A"/>
    <w:rsid w:val="003A6246"/>
    <w:rsid w:val="003A71CC"/>
    <w:rsid w:val="003A7856"/>
    <w:rsid w:val="003B2F3A"/>
    <w:rsid w:val="003C5939"/>
    <w:rsid w:val="003C6324"/>
    <w:rsid w:val="003E16FC"/>
    <w:rsid w:val="003E1796"/>
    <w:rsid w:val="003E2D54"/>
    <w:rsid w:val="003E4FE8"/>
    <w:rsid w:val="003E5741"/>
    <w:rsid w:val="003E60CD"/>
    <w:rsid w:val="003E633B"/>
    <w:rsid w:val="003E7ABA"/>
    <w:rsid w:val="003F5342"/>
    <w:rsid w:val="0040581C"/>
    <w:rsid w:val="00407F0F"/>
    <w:rsid w:val="00412BFF"/>
    <w:rsid w:val="00413174"/>
    <w:rsid w:val="0041500D"/>
    <w:rsid w:val="004159D4"/>
    <w:rsid w:val="004239C0"/>
    <w:rsid w:val="00430222"/>
    <w:rsid w:val="0043139B"/>
    <w:rsid w:val="00437A1C"/>
    <w:rsid w:val="0044132E"/>
    <w:rsid w:val="004416FC"/>
    <w:rsid w:val="0044728F"/>
    <w:rsid w:val="0045338E"/>
    <w:rsid w:val="0045566F"/>
    <w:rsid w:val="00461B44"/>
    <w:rsid w:val="00464937"/>
    <w:rsid w:val="00466E12"/>
    <w:rsid w:val="00471A42"/>
    <w:rsid w:val="00471CE4"/>
    <w:rsid w:val="00472E79"/>
    <w:rsid w:val="00473912"/>
    <w:rsid w:val="004742B8"/>
    <w:rsid w:val="00474A9F"/>
    <w:rsid w:val="0047591A"/>
    <w:rsid w:val="00476643"/>
    <w:rsid w:val="00476A81"/>
    <w:rsid w:val="00477014"/>
    <w:rsid w:val="00483F30"/>
    <w:rsid w:val="00487324"/>
    <w:rsid w:val="00487B95"/>
    <w:rsid w:val="00487C19"/>
    <w:rsid w:val="004914E6"/>
    <w:rsid w:val="0049548A"/>
    <w:rsid w:val="0049755D"/>
    <w:rsid w:val="00497944"/>
    <w:rsid w:val="004A0DEC"/>
    <w:rsid w:val="004A230C"/>
    <w:rsid w:val="004A5BCB"/>
    <w:rsid w:val="004A7C35"/>
    <w:rsid w:val="004B11F6"/>
    <w:rsid w:val="004B2BD8"/>
    <w:rsid w:val="004B3168"/>
    <w:rsid w:val="004B6451"/>
    <w:rsid w:val="004C19A2"/>
    <w:rsid w:val="004D0590"/>
    <w:rsid w:val="004D0E0D"/>
    <w:rsid w:val="004D1C9D"/>
    <w:rsid w:val="004D2DBF"/>
    <w:rsid w:val="004D50D9"/>
    <w:rsid w:val="004E5A74"/>
    <w:rsid w:val="004E6818"/>
    <w:rsid w:val="004E7196"/>
    <w:rsid w:val="004F11F0"/>
    <w:rsid w:val="004F5E0C"/>
    <w:rsid w:val="004F5E35"/>
    <w:rsid w:val="004F78D2"/>
    <w:rsid w:val="00502B96"/>
    <w:rsid w:val="00510B87"/>
    <w:rsid w:val="00513BC8"/>
    <w:rsid w:val="005163E6"/>
    <w:rsid w:val="00520593"/>
    <w:rsid w:val="005226EC"/>
    <w:rsid w:val="0052639B"/>
    <w:rsid w:val="005271D0"/>
    <w:rsid w:val="0053348E"/>
    <w:rsid w:val="0053484C"/>
    <w:rsid w:val="00535171"/>
    <w:rsid w:val="00535CEC"/>
    <w:rsid w:val="00536541"/>
    <w:rsid w:val="00536BD4"/>
    <w:rsid w:val="00540C2A"/>
    <w:rsid w:val="00546E78"/>
    <w:rsid w:val="00556FC3"/>
    <w:rsid w:val="00557F07"/>
    <w:rsid w:val="00560494"/>
    <w:rsid w:val="00560953"/>
    <w:rsid w:val="00561256"/>
    <w:rsid w:val="0056347B"/>
    <w:rsid w:val="00564F73"/>
    <w:rsid w:val="005650C8"/>
    <w:rsid w:val="005657FD"/>
    <w:rsid w:val="00565D22"/>
    <w:rsid w:val="005664A0"/>
    <w:rsid w:val="00570958"/>
    <w:rsid w:val="00571E74"/>
    <w:rsid w:val="00572169"/>
    <w:rsid w:val="005731E6"/>
    <w:rsid w:val="00583E97"/>
    <w:rsid w:val="00585062"/>
    <w:rsid w:val="005864BE"/>
    <w:rsid w:val="0059196B"/>
    <w:rsid w:val="00591AA4"/>
    <w:rsid w:val="005A14B1"/>
    <w:rsid w:val="005A487C"/>
    <w:rsid w:val="005A76F4"/>
    <w:rsid w:val="005A7B78"/>
    <w:rsid w:val="005B2E28"/>
    <w:rsid w:val="005B2EB9"/>
    <w:rsid w:val="005B5F15"/>
    <w:rsid w:val="005C5D73"/>
    <w:rsid w:val="005C73A5"/>
    <w:rsid w:val="005D28A2"/>
    <w:rsid w:val="005D301D"/>
    <w:rsid w:val="005E41C5"/>
    <w:rsid w:val="005E4F10"/>
    <w:rsid w:val="005E6616"/>
    <w:rsid w:val="005F0D28"/>
    <w:rsid w:val="005F1C09"/>
    <w:rsid w:val="005F5526"/>
    <w:rsid w:val="00602D89"/>
    <w:rsid w:val="00603796"/>
    <w:rsid w:val="0060413E"/>
    <w:rsid w:val="00607A8F"/>
    <w:rsid w:val="00610EF4"/>
    <w:rsid w:val="0061120B"/>
    <w:rsid w:val="00611A3C"/>
    <w:rsid w:val="0061352E"/>
    <w:rsid w:val="006171F9"/>
    <w:rsid w:val="00620C39"/>
    <w:rsid w:val="00627942"/>
    <w:rsid w:val="00627B38"/>
    <w:rsid w:val="00633961"/>
    <w:rsid w:val="00635262"/>
    <w:rsid w:val="00641685"/>
    <w:rsid w:val="00641CBD"/>
    <w:rsid w:val="00646555"/>
    <w:rsid w:val="00647A4F"/>
    <w:rsid w:val="00652B7A"/>
    <w:rsid w:val="00654C5A"/>
    <w:rsid w:val="00660305"/>
    <w:rsid w:val="006609B9"/>
    <w:rsid w:val="006756DE"/>
    <w:rsid w:val="0067722D"/>
    <w:rsid w:val="00683E9E"/>
    <w:rsid w:val="00685384"/>
    <w:rsid w:val="00686AE3"/>
    <w:rsid w:val="00686E0D"/>
    <w:rsid w:val="00690231"/>
    <w:rsid w:val="006913C1"/>
    <w:rsid w:val="00692C3B"/>
    <w:rsid w:val="006933E5"/>
    <w:rsid w:val="0069424D"/>
    <w:rsid w:val="00696D39"/>
    <w:rsid w:val="006A1006"/>
    <w:rsid w:val="006A1215"/>
    <w:rsid w:val="006A2114"/>
    <w:rsid w:val="006A61F4"/>
    <w:rsid w:val="006A66D3"/>
    <w:rsid w:val="006B1425"/>
    <w:rsid w:val="006B1933"/>
    <w:rsid w:val="006B272C"/>
    <w:rsid w:val="006B4004"/>
    <w:rsid w:val="006B61B6"/>
    <w:rsid w:val="006B6431"/>
    <w:rsid w:val="006B678A"/>
    <w:rsid w:val="006C235A"/>
    <w:rsid w:val="006C3325"/>
    <w:rsid w:val="006C391E"/>
    <w:rsid w:val="006C6A32"/>
    <w:rsid w:val="006D5C99"/>
    <w:rsid w:val="006E18FF"/>
    <w:rsid w:val="006E73D7"/>
    <w:rsid w:val="006F1D0F"/>
    <w:rsid w:val="006F235F"/>
    <w:rsid w:val="00700901"/>
    <w:rsid w:val="00703DC3"/>
    <w:rsid w:val="0070671F"/>
    <w:rsid w:val="00710198"/>
    <w:rsid w:val="00711C26"/>
    <w:rsid w:val="00721007"/>
    <w:rsid w:val="00730438"/>
    <w:rsid w:val="00733C41"/>
    <w:rsid w:val="0075087F"/>
    <w:rsid w:val="00751314"/>
    <w:rsid w:val="00756A41"/>
    <w:rsid w:val="00757119"/>
    <w:rsid w:val="007614B5"/>
    <w:rsid w:val="00763264"/>
    <w:rsid w:val="00763A3B"/>
    <w:rsid w:val="00763C6C"/>
    <w:rsid w:val="007714C0"/>
    <w:rsid w:val="00773350"/>
    <w:rsid w:val="0077720F"/>
    <w:rsid w:val="007861ED"/>
    <w:rsid w:val="00791559"/>
    <w:rsid w:val="00796909"/>
    <w:rsid w:val="0079770D"/>
    <w:rsid w:val="007A431C"/>
    <w:rsid w:val="007A7414"/>
    <w:rsid w:val="007B69E4"/>
    <w:rsid w:val="007B6D14"/>
    <w:rsid w:val="007B719F"/>
    <w:rsid w:val="007C0553"/>
    <w:rsid w:val="007C22BA"/>
    <w:rsid w:val="007C32E3"/>
    <w:rsid w:val="007C36D7"/>
    <w:rsid w:val="007C3CCF"/>
    <w:rsid w:val="007C40AA"/>
    <w:rsid w:val="007C4961"/>
    <w:rsid w:val="007C6CBC"/>
    <w:rsid w:val="007D2DE6"/>
    <w:rsid w:val="007D68C3"/>
    <w:rsid w:val="007D6C83"/>
    <w:rsid w:val="007E033B"/>
    <w:rsid w:val="007E090B"/>
    <w:rsid w:val="007E0FFE"/>
    <w:rsid w:val="007E1EFC"/>
    <w:rsid w:val="007E303B"/>
    <w:rsid w:val="007E4C72"/>
    <w:rsid w:val="007E58DB"/>
    <w:rsid w:val="007E6449"/>
    <w:rsid w:val="007F0D06"/>
    <w:rsid w:val="007F76E5"/>
    <w:rsid w:val="0080117E"/>
    <w:rsid w:val="00806F89"/>
    <w:rsid w:val="008078BF"/>
    <w:rsid w:val="0080794C"/>
    <w:rsid w:val="00810D0C"/>
    <w:rsid w:val="008127DF"/>
    <w:rsid w:val="008141D2"/>
    <w:rsid w:val="00817941"/>
    <w:rsid w:val="00821373"/>
    <w:rsid w:val="008279A3"/>
    <w:rsid w:val="008311EF"/>
    <w:rsid w:val="008356DF"/>
    <w:rsid w:val="008359C2"/>
    <w:rsid w:val="00840FD0"/>
    <w:rsid w:val="00842584"/>
    <w:rsid w:val="00843E90"/>
    <w:rsid w:val="00845262"/>
    <w:rsid w:val="00846D68"/>
    <w:rsid w:val="00847B5B"/>
    <w:rsid w:val="0085108E"/>
    <w:rsid w:val="0085518F"/>
    <w:rsid w:val="008636FE"/>
    <w:rsid w:val="008637C9"/>
    <w:rsid w:val="00866127"/>
    <w:rsid w:val="00870977"/>
    <w:rsid w:val="00873312"/>
    <w:rsid w:val="00874B8B"/>
    <w:rsid w:val="008813C1"/>
    <w:rsid w:val="00886D8D"/>
    <w:rsid w:val="008872C3"/>
    <w:rsid w:val="0089049F"/>
    <w:rsid w:val="008923A0"/>
    <w:rsid w:val="00892C3F"/>
    <w:rsid w:val="00894CE9"/>
    <w:rsid w:val="00895BBD"/>
    <w:rsid w:val="0089637E"/>
    <w:rsid w:val="008A1D4D"/>
    <w:rsid w:val="008A34FB"/>
    <w:rsid w:val="008A4124"/>
    <w:rsid w:val="008B02B6"/>
    <w:rsid w:val="008B055B"/>
    <w:rsid w:val="008B56BF"/>
    <w:rsid w:val="008B65F5"/>
    <w:rsid w:val="008C2A94"/>
    <w:rsid w:val="008C54AE"/>
    <w:rsid w:val="008D162B"/>
    <w:rsid w:val="008D18F5"/>
    <w:rsid w:val="008D3A21"/>
    <w:rsid w:val="008D3B57"/>
    <w:rsid w:val="008D4960"/>
    <w:rsid w:val="008E0339"/>
    <w:rsid w:val="008E1038"/>
    <w:rsid w:val="008E1F0D"/>
    <w:rsid w:val="008E59C2"/>
    <w:rsid w:val="008E5CEB"/>
    <w:rsid w:val="008E6739"/>
    <w:rsid w:val="008F1D98"/>
    <w:rsid w:val="008F4C9C"/>
    <w:rsid w:val="008F5968"/>
    <w:rsid w:val="008F6C5A"/>
    <w:rsid w:val="008F7F80"/>
    <w:rsid w:val="00900BF0"/>
    <w:rsid w:val="00912104"/>
    <w:rsid w:val="0091279C"/>
    <w:rsid w:val="00923418"/>
    <w:rsid w:val="009259C4"/>
    <w:rsid w:val="0093246D"/>
    <w:rsid w:val="009359D1"/>
    <w:rsid w:val="009360FE"/>
    <w:rsid w:val="009424F5"/>
    <w:rsid w:val="009462DE"/>
    <w:rsid w:val="00947D1B"/>
    <w:rsid w:val="00954FAE"/>
    <w:rsid w:val="00956E53"/>
    <w:rsid w:val="009622A5"/>
    <w:rsid w:val="00963D84"/>
    <w:rsid w:val="00965C68"/>
    <w:rsid w:val="0097165E"/>
    <w:rsid w:val="00972F3C"/>
    <w:rsid w:val="00973637"/>
    <w:rsid w:val="00977CFB"/>
    <w:rsid w:val="00985AAD"/>
    <w:rsid w:val="00985CF7"/>
    <w:rsid w:val="00985E36"/>
    <w:rsid w:val="009901C7"/>
    <w:rsid w:val="00991767"/>
    <w:rsid w:val="00992E08"/>
    <w:rsid w:val="009A7EAF"/>
    <w:rsid w:val="009B2537"/>
    <w:rsid w:val="009B5CD3"/>
    <w:rsid w:val="009C07FD"/>
    <w:rsid w:val="009C099F"/>
    <w:rsid w:val="009C0ADA"/>
    <w:rsid w:val="009C24EB"/>
    <w:rsid w:val="009C2CAD"/>
    <w:rsid w:val="009C2EAD"/>
    <w:rsid w:val="009C61EB"/>
    <w:rsid w:val="009D6B2E"/>
    <w:rsid w:val="009E0902"/>
    <w:rsid w:val="009E2D44"/>
    <w:rsid w:val="009E4FC7"/>
    <w:rsid w:val="009F55B8"/>
    <w:rsid w:val="00A01133"/>
    <w:rsid w:val="00A01633"/>
    <w:rsid w:val="00A04EEB"/>
    <w:rsid w:val="00A1287F"/>
    <w:rsid w:val="00A12DE5"/>
    <w:rsid w:val="00A12E7A"/>
    <w:rsid w:val="00A13306"/>
    <w:rsid w:val="00A22C36"/>
    <w:rsid w:val="00A24F4D"/>
    <w:rsid w:val="00A25180"/>
    <w:rsid w:val="00A27332"/>
    <w:rsid w:val="00A2760D"/>
    <w:rsid w:val="00A35C46"/>
    <w:rsid w:val="00A41D98"/>
    <w:rsid w:val="00A4209B"/>
    <w:rsid w:val="00A4305A"/>
    <w:rsid w:val="00A43BCC"/>
    <w:rsid w:val="00A43EAB"/>
    <w:rsid w:val="00A45CD3"/>
    <w:rsid w:val="00A47C76"/>
    <w:rsid w:val="00A60549"/>
    <w:rsid w:val="00A60A54"/>
    <w:rsid w:val="00A61783"/>
    <w:rsid w:val="00A65B6A"/>
    <w:rsid w:val="00A71566"/>
    <w:rsid w:val="00A76310"/>
    <w:rsid w:val="00A81C33"/>
    <w:rsid w:val="00A83726"/>
    <w:rsid w:val="00A84858"/>
    <w:rsid w:val="00A862E2"/>
    <w:rsid w:val="00A8753E"/>
    <w:rsid w:val="00AA306C"/>
    <w:rsid w:val="00AA3B34"/>
    <w:rsid w:val="00AA4573"/>
    <w:rsid w:val="00AA7F64"/>
    <w:rsid w:val="00AB01BC"/>
    <w:rsid w:val="00AB0D95"/>
    <w:rsid w:val="00AC0AA1"/>
    <w:rsid w:val="00AC154D"/>
    <w:rsid w:val="00AC20B1"/>
    <w:rsid w:val="00AC461C"/>
    <w:rsid w:val="00AC50FA"/>
    <w:rsid w:val="00AD6C8B"/>
    <w:rsid w:val="00AD788B"/>
    <w:rsid w:val="00AE0D8F"/>
    <w:rsid w:val="00AE197E"/>
    <w:rsid w:val="00AE2868"/>
    <w:rsid w:val="00AE3079"/>
    <w:rsid w:val="00AE3913"/>
    <w:rsid w:val="00AE73C3"/>
    <w:rsid w:val="00AF513B"/>
    <w:rsid w:val="00B007DB"/>
    <w:rsid w:val="00B02F7A"/>
    <w:rsid w:val="00B041A0"/>
    <w:rsid w:val="00B05B4A"/>
    <w:rsid w:val="00B05BFE"/>
    <w:rsid w:val="00B05F20"/>
    <w:rsid w:val="00B07176"/>
    <w:rsid w:val="00B1293A"/>
    <w:rsid w:val="00B12973"/>
    <w:rsid w:val="00B13181"/>
    <w:rsid w:val="00B14875"/>
    <w:rsid w:val="00B210C8"/>
    <w:rsid w:val="00B2110C"/>
    <w:rsid w:val="00B22FEC"/>
    <w:rsid w:val="00B27047"/>
    <w:rsid w:val="00B27A89"/>
    <w:rsid w:val="00B27D25"/>
    <w:rsid w:val="00B30AEA"/>
    <w:rsid w:val="00B30E22"/>
    <w:rsid w:val="00B31507"/>
    <w:rsid w:val="00B34D17"/>
    <w:rsid w:val="00B352C8"/>
    <w:rsid w:val="00B354F0"/>
    <w:rsid w:val="00B3785D"/>
    <w:rsid w:val="00B42D88"/>
    <w:rsid w:val="00B44344"/>
    <w:rsid w:val="00B502CF"/>
    <w:rsid w:val="00B50EFF"/>
    <w:rsid w:val="00B513DF"/>
    <w:rsid w:val="00B57142"/>
    <w:rsid w:val="00B573B3"/>
    <w:rsid w:val="00B60D06"/>
    <w:rsid w:val="00B620B8"/>
    <w:rsid w:val="00B6336C"/>
    <w:rsid w:val="00B633A8"/>
    <w:rsid w:val="00B6398C"/>
    <w:rsid w:val="00B63B75"/>
    <w:rsid w:val="00B642A8"/>
    <w:rsid w:val="00B65510"/>
    <w:rsid w:val="00B7199B"/>
    <w:rsid w:val="00B74135"/>
    <w:rsid w:val="00B74E13"/>
    <w:rsid w:val="00B82F3E"/>
    <w:rsid w:val="00B83588"/>
    <w:rsid w:val="00B8653F"/>
    <w:rsid w:val="00B90960"/>
    <w:rsid w:val="00B93F30"/>
    <w:rsid w:val="00B948A0"/>
    <w:rsid w:val="00B95B0E"/>
    <w:rsid w:val="00BA1435"/>
    <w:rsid w:val="00BA26CB"/>
    <w:rsid w:val="00BB3205"/>
    <w:rsid w:val="00BB383E"/>
    <w:rsid w:val="00BB410B"/>
    <w:rsid w:val="00BB5084"/>
    <w:rsid w:val="00BC220E"/>
    <w:rsid w:val="00BC2AA0"/>
    <w:rsid w:val="00BC2E9C"/>
    <w:rsid w:val="00BC6A90"/>
    <w:rsid w:val="00BC72B0"/>
    <w:rsid w:val="00BC7521"/>
    <w:rsid w:val="00BD2FCC"/>
    <w:rsid w:val="00BD64DA"/>
    <w:rsid w:val="00BD7B26"/>
    <w:rsid w:val="00BE03A8"/>
    <w:rsid w:val="00BE446B"/>
    <w:rsid w:val="00BE4DFC"/>
    <w:rsid w:val="00BE5C98"/>
    <w:rsid w:val="00BE76B0"/>
    <w:rsid w:val="00BF1409"/>
    <w:rsid w:val="00BF18D8"/>
    <w:rsid w:val="00BF4612"/>
    <w:rsid w:val="00BF5C89"/>
    <w:rsid w:val="00C07DDD"/>
    <w:rsid w:val="00C11743"/>
    <w:rsid w:val="00C13C9E"/>
    <w:rsid w:val="00C230C9"/>
    <w:rsid w:val="00C26A2F"/>
    <w:rsid w:val="00C303D5"/>
    <w:rsid w:val="00C31C67"/>
    <w:rsid w:val="00C32BCB"/>
    <w:rsid w:val="00C36D3E"/>
    <w:rsid w:val="00C402BD"/>
    <w:rsid w:val="00C411D2"/>
    <w:rsid w:val="00C41D85"/>
    <w:rsid w:val="00C439A0"/>
    <w:rsid w:val="00C44595"/>
    <w:rsid w:val="00C46702"/>
    <w:rsid w:val="00C478FD"/>
    <w:rsid w:val="00C522CC"/>
    <w:rsid w:val="00C53636"/>
    <w:rsid w:val="00C65D44"/>
    <w:rsid w:val="00C70E7D"/>
    <w:rsid w:val="00C71F7F"/>
    <w:rsid w:val="00C7229F"/>
    <w:rsid w:val="00C759B6"/>
    <w:rsid w:val="00C83C25"/>
    <w:rsid w:val="00C84066"/>
    <w:rsid w:val="00C84D9F"/>
    <w:rsid w:val="00C9430F"/>
    <w:rsid w:val="00C97B0C"/>
    <w:rsid w:val="00CA064B"/>
    <w:rsid w:val="00CA58B8"/>
    <w:rsid w:val="00CA5B42"/>
    <w:rsid w:val="00CB04DC"/>
    <w:rsid w:val="00CB0C23"/>
    <w:rsid w:val="00CB2BE4"/>
    <w:rsid w:val="00CB6783"/>
    <w:rsid w:val="00CC0F97"/>
    <w:rsid w:val="00CC5507"/>
    <w:rsid w:val="00CC7805"/>
    <w:rsid w:val="00CC7813"/>
    <w:rsid w:val="00CD4406"/>
    <w:rsid w:val="00CD519C"/>
    <w:rsid w:val="00CD77DD"/>
    <w:rsid w:val="00CE0613"/>
    <w:rsid w:val="00CE37A5"/>
    <w:rsid w:val="00CE4643"/>
    <w:rsid w:val="00CE5B87"/>
    <w:rsid w:val="00CE5FAD"/>
    <w:rsid w:val="00CF1BEB"/>
    <w:rsid w:val="00CF60C7"/>
    <w:rsid w:val="00CF7DBD"/>
    <w:rsid w:val="00D00949"/>
    <w:rsid w:val="00D00D1C"/>
    <w:rsid w:val="00D03183"/>
    <w:rsid w:val="00D04043"/>
    <w:rsid w:val="00D06C59"/>
    <w:rsid w:val="00D113A0"/>
    <w:rsid w:val="00D117E7"/>
    <w:rsid w:val="00D1381E"/>
    <w:rsid w:val="00D14E40"/>
    <w:rsid w:val="00D254D6"/>
    <w:rsid w:val="00D2649E"/>
    <w:rsid w:val="00D31BF7"/>
    <w:rsid w:val="00D35B17"/>
    <w:rsid w:val="00D373EF"/>
    <w:rsid w:val="00D479EA"/>
    <w:rsid w:val="00D504E4"/>
    <w:rsid w:val="00D54713"/>
    <w:rsid w:val="00D5615C"/>
    <w:rsid w:val="00D604CD"/>
    <w:rsid w:val="00D605BF"/>
    <w:rsid w:val="00D61099"/>
    <w:rsid w:val="00D639F4"/>
    <w:rsid w:val="00D66C03"/>
    <w:rsid w:val="00D6799A"/>
    <w:rsid w:val="00D70BDC"/>
    <w:rsid w:val="00D715DE"/>
    <w:rsid w:val="00D8104C"/>
    <w:rsid w:val="00D826C6"/>
    <w:rsid w:val="00D8770E"/>
    <w:rsid w:val="00DA54AA"/>
    <w:rsid w:val="00DA5AAF"/>
    <w:rsid w:val="00DA778D"/>
    <w:rsid w:val="00DB0395"/>
    <w:rsid w:val="00DB0F78"/>
    <w:rsid w:val="00DB64F6"/>
    <w:rsid w:val="00DC2E8E"/>
    <w:rsid w:val="00DC3081"/>
    <w:rsid w:val="00DC33E9"/>
    <w:rsid w:val="00DC662D"/>
    <w:rsid w:val="00DD0178"/>
    <w:rsid w:val="00DD324E"/>
    <w:rsid w:val="00DE2C5A"/>
    <w:rsid w:val="00DE6200"/>
    <w:rsid w:val="00DF15E9"/>
    <w:rsid w:val="00DF2605"/>
    <w:rsid w:val="00DF2DAF"/>
    <w:rsid w:val="00DF4EA3"/>
    <w:rsid w:val="00DF774B"/>
    <w:rsid w:val="00E0393A"/>
    <w:rsid w:val="00E0571E"/>
    <w:rsid w:val="00E0717B"/>
    <w:rsid w:val="00E12B4D"/>
    <w:rsid w:val="00E2097F"/>
    <w:rsid w:val="00E2293E"/>
    <w:rsid w:val="00E24213"/>
    <w:rsid w:val="00E275DF"/>
    <w:rsid w:val="00E30858"/>
    <w:rsid w:val="00E326A9"/>
    <w:rsid w:val="00E32E39"/>
    <w:rsid w:val="00E34C1B"/>
    <w:rsid w:val="00E37BE2"/>
    <w:rsid w:val="00E42371"/>
    <w:rsid w:val="00E55E38"/>
    <w:rsid w:val="00E5668A"/>
    <w:rsid w:val="00E635B7"/>
    <w:rsid w:val="00E63BEC"/>
    <w:rsid w:val="00E64C09"/>
    <w:rsid w:val="00E701B6"/>
    <w:rsid w:val="00E70BF7"/>
    <w:rsid w:val="00E732AE"/>
    <w:rsid w:val="00E756A4"/>
    <w:rsid w:val="00E85146"/>
    <w:rsid w:val="00E94C74"/>
    <w:rsid w:val="00EA39A3"/>
    <w:rsid w:val="00EA3A93"/>
    <w:rsid w:val="00EA48CD"/>
    <w:rsid w:val="00EA6283"/>
    <w:rsid w:val="00EB4FD7"/>
    <w:rsid w:val="00EB732D"/>
    <w:rsid w:val="00EC0668"/>
    <w:rsid w:val="00EC30A2"/>
    <w:rsid w:val="00ED03C3"/>
    <w:rsid w:val="00ED17CF"/>
    <w:rsid w:val="00ED2433"/>
    <w:rsid w:val="00ED3111"/>
    <w:rsid w:val="00ED4418"/>
    <w:rsid w:val="00ED4DDB"/>
    <w:rsid w:val="00EE25BD"/>
    <w:rsid w:val="00EE34CA"/>
    <w:rsid w:val="00EF3652"/>
    <w:rsid w:val="00F0264D"/>
    <w:rsid w:val="00F132AE"/>
    <w:rsid w:val="00F13407"/>
    <w:rsid w:val="00F1398F"/>
    <w:rsid w:val="00F22E59"/>
    <w:rsid w:val="00F2310F"/>
    <w:rsid w:val="00F24E9F"/>
    <w:rsid w:val="00F321FE"/>
    <w:rsid w:val="00F356C6"/>
    <w:rsid w:val="00F36904"/>
    <w:rsid w:val="00F36A04"/>
    <w:rsid w:val="00F41456"/>
    <w:rsid w:val="00F44808"/>
    <w:rsid w:val="00F44945"/>
    <w:rsid w:val="00F46464"/>
    <w:rsid w:val="00F46774"/>
    <w:rsid w:val="00F472CC"/>
    <w:rsid w:val="00F47CD4"/>
    <w:rsid w:val="00F51D15"/>
    <w:rsid w:val="00F56218"/>
    <w:rsid w:val="00F601CB"/>
    <w:rsid w:val="00F627ED"/>
    <w:rsid w:val="00F66892"/>
    <w:rsid w:val="00F672EF"/>
    <w:rsid w:val="00F71CA0"/>
    <w:rsid w:val="00F71F72"/>
    <w:rsid w:val="00F74DDD"/>
    <w:rsid w:val="00F75C48"/>
    <w:rsid w:val="00F77320"/>
    <w:rsid w:val="00F90067"/>
    <w:rsid w:val="00F9096E"/>
    <w:rsid w:val="00FA06FC"/>
    <w:rsid w:val="00FA0D9E"/>
    <w:rsid w:val="00FA5B4A"/>
    <w:rsid w:val="00FB0445"/>
    <w:rsid w:val="00FB1FF2"/>
    <w:rsid w:val="00FB55BB"/>
    <w:rsid w:val="00FC057D"/>
    <w:rsid w:val="00FC1A8B"/>
    <w:rsid w:val="00FC1D7E"/>
    <w:rsid w:val="00FD1848"/>
    <w:rsid w:val="00FD198D"/>
    <w:rsid w:val="00FD25D9"/>
    <w:rsid w:val="00FD583D"/>
    <w:rsid w:val="00FD613A"/>
    <w:rsid w:val="00FE3792"/>
    <w:rsid w:val="00FE47A2"/>
    <w:rsid w:val="00FF403E"/>
    <w:rsid w:val="00FF7D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243DC"/>
  <w15:docId w15:val="{E5F3A22C-476D-446F-BE26-069288174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61FA"/>
    <w:pPr>
      <w:widowControl w:val="0"/>
      <w:autoSpaceDE w:val="0"/>
      <w:autoSpaceDN w:val="0"/>
      <w:adjustRightInd w:val="0"/>
      <w:spacing w:before="120" w:after="120"/>
    </w:pPr>
    <w:rPr>
      <w:rFonts w:ascii="Roman 10cpi" w:hAnsi="Roman 10cpi"/>
    </w:rPr>
  </w:style>
  <w:style w:type="paragraph" w:styleId="Nadpis1">
    <w:name w:val="heading 1"/>
    <w:basedOn w:val="Normln"/>
    <w:next w:val="Normln"/>
    <w:qFormat/>
    <w:rsid w:val="001761FA"/>
    <w:pPr>
      <w:keepNext/>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outlineLvl w:val="0"/>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odsazen1">
    <w:name w:val="Základní text odsazený1"/>
    <w:basedOn w:val="Normln"/>
    <w:rsid w:val="00607A8F"/>
    <w:pPr>
      <w:ind w:firstLine="720"/>
      <w:jc w:val="both"/>
    </w:pPr>
    <w:rPr>
      <w:rFonts w:ascii="Times New Roman CE obyčejné" w:hAnsi="Times New Roman CE obyčejné"/>
    </w:rPr>
  </w:style>
  <w:style w:type="paragraph" w:styleId="Zkladntext">
    <w:name w:val="Body Text"/>
    <w:basedOn w:val="Normln"/>
    <w:semiHidden/>
    <w:rsid w:val="001761FA"/>
    <w:pPr>
      <w:jc w:val="both"/>
    </w:pPr>
    <w:rPr>
      <w:rFonts w:ascii="Arial" w:hAnsi="Arial" w:cs="Arial"/>
    </w:rPr>
  </w:style>
  <w:style w:type="paragraph" w:styleId="Zkladntextodsazen2">
    <w:name w:val="Body Text Indent 2"/>
    <w:basedOn w:val="Normln"/>
    <w:semiHidden/>
    <w:rsid w:val="001761FA"/>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70"/>
      <w:jc w:val="both"/>
    </w:pPr>
    <w:rPr>
      <w:rFonts w:ascii="Arial" w:hAnsi="Arial" w:cs="Arial"/>
    </w:rPr>
  </w:style>
  <w:style w:type="paragraph" w:styleId="Zkladntextodsazen3">
    <w:name w:val="Body Text Indent 3"/>
    <w:basedOn w:val="Normln"/>
    <w:semiHidden/>
    <w:rsid w:val="00607A8F"/>
    <w:pPr>
      <w:ind w:firstLine="720"/>
    </w:pPr>
    <w:rPr>
      <w:rFonts w:ascii="Arial" w:hAnsi="Arial" w:cs="Arial"/>
    </w:rPr>
  </w:style>
  <w:style w:type="paragraph" w:styleId="Zkladntextodsazen">
    <w:name w:val="Body Text Indent"/>
    <w:basedOn w:val="Normln"/>
    <w:semiHidden/>
    <w:rsid w:val="00607A8F"/>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rFonts w:ascii="Arial" w:hAnsi="Arial" w:cs="Arial"/>
      <w:b/>
      <w:bCs/>
      <w:i/>
      <w:iCs/>
      <w:color w:val="0000FF"/>
    </w:rPr>
  </w:style>
  <w:style w:type="character" w:styleId="Hypertextovodkaz">
    <w:name w:val="Hyperlink"/>
    <w:semiHidden/>
    <w:rsid w:val="00607A8F"/>
    <w:rPr>
      <w:rFonts w:ascii="Times New Roman" w:hAnsi="Times New Roman" w:cs="Times New Roman"/>
      <w:color w:val="0000FF"/>
      <w:u w:val="single"/>
    </w:rPr>
  </w:style>
  <w:style w:type="paragraph" w:customStyle="1" w:styleId="Textbubliny1">
    <w:name w:val="Text bubliny1"/>
    <w:basedOn w:val="Normln"/>
    <w:rsid w:val="00607A8F"/>
    <w:rPr>
      <w:rFonts w:ascii="Tahoma" w:hAnsi="Tahoma" w:cs="Tahoma"/>
      <w:sz w:val="16"/>
      <w:szCs w:val="16"/>
    </w:rPr>
  </w:style>
  <w:style w:type="character" w:styleId="Odkaznakoment">
    <w:name w:val="annotation reference"/>
    <w:semiHidden/>
    <w:rsid w:val="00607A8F"/>
    <w:rPr>
      <w:rFonts w:ascii="Times New Roman" w:hAnsi="Times New Roman" w:cs="Times New Roman"/>
      <w:sz w:val="16"/>
      <w:szCs w:val="16"/>
    </w:rPr>
  </w:style>
  <w:style w:type="paragraph" w:styleId="Textkomente">
    <w:name w:val="annotation text"/>
    <w:basedOn w:val="Normln"/>
    <w:link w:val="TextkomenteChar"/>
    <w:semiHidden/>
    <w:rsid w:val="00607A8F"/>
  </w:style>
  <w:style w:type="character" w:styleId="Sledovanodkaz">
    <w:name w:val="FollowedHyperlink"/>
    <w:semiHidden/>
    <w:rsid w:val="00607A8F"/>
    <w:rPr>
      <w:rFonts w:ascii="Times New Roman" w:hAnsi="Times New Roman" w:cs="Times New Roman"/>
      <w:color w:val="800080"/>
      <w:u w:val="single"/>
    </w:rPr>
  </w:style>
  <w:style w:type="paragraph" w:customStyle="1" w:styleId="Textvlastn">
    <w:name w:val="Text vlastní"/>
    <w:basedOn w:val="Normln"/>
    <w:rsid w:val="001761FA"/>
    <w:pPr>
      <w:widowControl/>
      <w:autoSpaceDE/>
      <w:autoSpaceDN/>
      <w:adjustRightInd/>
      <w:jc w:val="both"/>
    </w:pPr>
    <w:rPr>
      <w:rFonts w:ascii="Arial" w:hAnsi="Arial" w:cs="Arial"/>
      <w:sz w:val="18"/>
    </w:rPr>
  </w:style>
  <w:style w:type="character" w:styleId="Znakapoznpodarou">
    <w:name w:val="footnote reference"/>
    <w:semiHidden/>
    <w:rsid w:val="00607A8F"/>
    <w:rPr>
      <w:rFonts w:ascii="Times New Roman" w:hAnsi="Times New Roman" w:cs="Times New Roman"/>
      <w:vertAlign w:val="superscript"/>
    </w:rPr>
  </w:style>
  <w:style w:type="paragraph" w:styleId="Textpoznpodarou">
    <w:name w:val="footnote text"/>
    <w:basedOn w:val="Normln"/>
    <w:semiHidden/>
    <w:rsid w:val="00607A8F"/>
    <w:pPr>
      <w:widowControl/>
      <w:autoSpaceDE/>
      <w:autoSpaceDN/>
      <w:adjustRightInd/>
      <w:jc w:val="both"/>
    </w:pPr>
    <w:rPr>
      <w:rFonts w:ascii="Arial" w:hAnsi="Arial" w:cs="Arial"/>
      <w:sz w:val="16"/>
    </w:rPr>
  </w:style>
  <w:style w:type="character" w:customStyle="1" w:styleId="FootnoteTextChar">
    <w:name w:val="Footnote Text Char"/>
    <w:rsid w:val="00607A8F"/>
    <w:rPr>
      <w:rFonts w:ascii="Arial" w:hAnsi="Arial" w:cs="Arial"/>
      <w:sz w:val="16"/>
    </w:rPr>
  </w:style>
  <w:style w:type="paragraph" w:styleId="Zhlav">
    <w:name w:val="header"/>
    <w:basedOn w:val="Normln"/>
    <w:semiHidden/>
    <w:rsid w:val="00607A8F"/>
    <w:pPr>
      <w:tabs>
        <w:tab w:val="center" w:pos="4536"/>
        <w:tab w:val="right" w:pos="9072"/>
      </w:tabs>
    </w:pPr>
  </w:style>
  <w:style w:type="character" w:customStyle="1" w:styleId="HeaderChar">
    <w:name w:val="Header Char"/>
    <w:rsid w:val="00607A8F"/>
    <w:rPr>
      <w:rFonts w:ascii="Roman 10cpi" w:hAnsi="Roman 10cpi" w:cs="Times New Roman"/>
    </w:rPr>
  </w:style>
  <w:style w:type="paragraph" w:styleId="Zpat">
    <w:name w:val="footer"/>
    <w:basedOn w:val="Normln"/>
    <w:semiHidden/>
    <w:rsid w:val="00607A8F"/>
    <w:pPr>
      <w:tabs>
        <w:tab w:val="center" w:pos="4536"/>
        <w:tab w:val="right" w:pos="9072"/>
      </w:tabs>
    </w:pPr>
  </w:style>
  <w:style w:type="character" w:customStyle="1" w:styleId="FooterChar">
    <w:name w:val="Footer Char"/>
    <w:rsid w:val="00607A8F"/>
    <w:rPr>
      <w:rFonts w:ascii="Roman 10cpi" w:hAnsi="Roman 10cpi" w:cs="Times New Roman"/>
    </w:rPr>
  </w:style>
  <w:style w:type="paragraph" w:styleId="Textbubliny">
    <w:name w:val="Balloon Text"/>
    <w:basedOn w:val="Normln"/>
    <w:link w:val="TextbublinyChar"/>
    <w:uiPriority w:val="99"/>
    <w:semiHidden/>
    <w:unhideWhenUsed/>
    <w:rsid w:val="00E635B7"/>
    <w:rPr>
      <w:rFonts w:ascii="Tahoma" w:hAnsi="Tahoma"/>
      <w:sz w:val="16"/>
      <w:szCs w:val="16"/>
    </w:rPr>
  </w:style>
  <w:style w:type="character" w:customStyle="1" w:styleId="TextbublinyChar">
    <w:name w:val="Text bubliny Char"/>
    <w:link w:val="Textbubliny"/>
    <w:uiPriority w:val="99"/>
    <w:semiHidden/>
    <w:rsid w:val="00E635B7"/>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44132E"/>
    <w:rPr>
      <w:b/>
      <w:bCs/>
    </w:rPr>
  </w:style>
  <w:style w:type="character" w:customStyle="1" w:styleId="TextkomenteChar">
    <w:name w:val="Text komentáře Char"/>
    <w:basedOn w:val="Standardnpsmoodstavce"/>
    <w:link w:val="Textkomente"/>
    <w:semiHidden/>
    <w:rsid w:val="0044132E"/>
    <w:rPr>
      <w:rFonts w:ascii="Roman 10cpi" w:hAnsi="Roman 10cpi"/>
    </w:rPr>
  </w:style>
  <w:style w:type="character" w:customStyle="1" w:styleId="PedmtkomenteChar">
    <w:name w:val="Předmět komentáře Char"/>
    <w:basedOn w:val="TextkomenteChar"/>
    <w:link w:val="Pedmtkomente"/>
    <w:rsid w:val="0044132E"/>
    <w:rPr>
      <w:rFonts w:ascii="Roman 10cpi" w:hAnsi="Roman 10cpi"/>
    </w:rPr>
  </w:style>
  <w:style w:type="paragraph" w:styleId="Revize">
    <w:name w:val="Revision"/>
    <w:hidden/>
    <w:uiPriority w:val="99"/>
    <w:semiHidden/>
    <w:rsid w:val="0044132E"/>
    <w:rPr>
      <w:rFonts w:ascii="Roman 10cpi" w:hAnsi="Roman 10cpi"/>
    </w:rPr>
  </w:style>
  <w:style w:type="paragraph" w:customStyle="1" w:styleId="Default">
    <w:name w:val="Default"/>
    <w:rsid w:val="00163D81"/>
    <w:pPr>
      <w:autoSpaceDE w:val="0"/>
      <w:autoSpaceDN w:val="0"/>
      <w:adjustRightInd w:val="0"/>
    </w:pPr>
    <w:rPr>
      <w:rFonts w:ascii="Arial" w:hAnsi="Arial" w:cs="Arial"/>
      <w:color w:val="000000"/>
      <w:sz w:val="24"/>
      <w:szCs w:val="24"/>
    </w:rPr>
  </w:style>
  <w:style w:type="character" w:styleId="Siln">
    <w:name w:val="Strong"/>
    <w:basedOn w:val="Standardnpsmoodstavce"/>
    <w:uiPriority w:val="22"/>
    <w:qFormat/>
    <w:rsid w:val="00AA3B34"/>
    <w:rPr>
      <w:b/>
      <w:bCs/>
    </w:rPr>
  </w:style>
  <w:style w:type="paragraph" w:styleId="Odstavecseseznamem">
    <w:name w:val="List Paragraph"/>
    <w:basedOn w:val="Normln"/>
    <w:uiPriority w:val="34"/>
    <w:qFormat/>
    <w:rsid w:val="00A01633"/>
    <w:pPr>
      <w:ind w:left="720"/>
      <w:contextualSpacing/>
    </w:pPr>
  </w:style>
  <w:style w:type="character" w:styleId="Zdraznn">
    <w:name w:val="Emphasis"/>
    <w:basedOn w:val="Standardnpsmoodstavce"/>
    <w:uiPriority w:val="20"/>
    <w:qFormat/>
    <w:rsid w:val="00B22FEC"/>
    <w:rPr>
      <w:i/>
      <w:iCs/>
    </w:rPr>
  </w:style>
  <w:style w:type="paragraph" w:styleId="Normlnweb">
    <w:name w:val="Normal (Web)"/>
    <w:basedOn w:val="Normln"/>
    <w:uiPriority w:val="99"/>
    <w:unhideWhenUsed/>
    <w:rsid w:val="00AE2868"/>
    <w:pPr>
      <w:widowControl/>
      <w:autoSpaceDE/>
      <w:autoSpaceDN/>
      <w:adjustRightInd/>
      <w:spacing w:before="100" w:beforeAutospacing="1" w:after="100" w:afterAutospacing="1"/>
    </w:pPr>
    <w:rPr>
      <w:rFonts w:ascii="Times New Roman" w:hAnsi="Times New Roman"/>
      <w:sz w:val="24"/>
      <w:szCs w:val="24"/>
      <w:lang w:val="en-US" w:eastAsia="en-US"/>
    </w:rPr>
  </w:style>
  <w:style w:type="character" w:customStyle="1" w:styleId="markedcontent">
    <w:name w:val="markedcontent"/>
    <w:basedOn w:val="Standardnpsmoodstavce"/>
    <w:rsid w:val="00CB2BE4"/>
  </w:style>
  <w:style w:type="character" w:customStyle="1" w:styleId="highlight">
    <w:name w:val="highlight"/>
    <w:basedOn w:val="Standardnpsmoodstavce"/>
    <w:rsid w:val="00CB2BE4"/>
  </w:style>
  <w:style w:type="character" w:customStyle="1" w:styleId="articlekeyword">
    <w:name w:val="article__keyword"/>
    <w:basedOn w:val="Standardnpsmoodstavce"/>
    <w:rsid w:val="00565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44675">
      <w:bodyDiv w:val="1"/>
      <w:marLeft w:val="0"/>
      <w:marRight w:val="0"/>
      <w:marTop w:val="0"/>
      <w:marBottom w:val="0"/>
      <w:divBdr>
        <w:top w:val="none" w:sz="0" w:space="0" w:color="auto"/>
        <w:left w:val="none" w:sz="0" w:space="0" w:color="auto"/>
        <w:bottom w:val="none" w:sz="0" w:space="0" w:color="auto"/>
        <w:right w:val="none" w:sz="0" w:space="0" w:color="auto"/>
      </w:divBdr>
    </w:div>
    <w:div w:id="213737819">
      <w:bodyDiv w:val="1"/>
      <w:marLeft w:val="0"/>
      <w:marRight w:val="0"/>
      <w:marTop w:val="0"/>
      <w:marBottom w:val="0"/>
      <w:divBdr>
        <w:top w:val="none" w:sz="0" w:space="0" w:color="auto"/>
        <w:left w:val="none" w:sz="0" w:space="0" w:color="auto"/>
        <w:bottom w:val="none" w:sz="0" w:space="0" w:color="auto"/>
        <w:right w:val="none" w:sz="0" w:space="0" w:color="auto"/>
      </w:divBdr>
      <w:divsChild>
        <w:div w:id="1755860743">
          <w:marLeft w:val="0"/>
          <w:marRight w:val="0"/>
          <w:marTop w:val="0"/>
          <w:marBottom w:val="0"/>
          <w:divBdr>
            <w:top w:val="none" w:sz="0" w:space="0" w:color="auto"/>
            <w:left w:val="none" w:sz="0" w:space="0" w:color="auto"/>
            <w:bottom w:val="none" w:sz="0" w:space="0" w:color="auto"/>
            <w:right w:val="none" w:sz="0" w:space="0" w:color="auto"/>
          </w:divBdr>
        </w:div>
        <w:div w:id="1798792489">
          <w:marLeft w:val="0"/>
          <w:marRight w:val="0"/>
          <w:marTop w:val="0"/>
          <w:marBottom w:val="0"/>
          <w:divBdr>
            <w:top w:val="none" w:sz="0" w:space="0" w:color="auto"/>
            <w:left w:val="none" w:sz="0" w:space="0" w:color="auto"/>
            <w:bottom w:val="none" w:sz="0" w:space="0" w:color="auto"/>
            <w:right w:val="none" w:sz="0" w:space="0" w:color="auto"/>
          </w:divBdr>
        </w:div>
        <w:div w:id="1957523416">
          <w:marLeft w:val="0"/>
          <w:marRight w:val="0"/>
          <w:marTop w:val="0"/>
          <w:marBottom w:val="0"/>
          <w:divBdr>
            <w:top w:val="none" w:sz="0" w:space="0" w:color="auto"/>
            <w:left w:val="none" w:sz="0" w:space="0" w:color="auto"/>
            <w:bottom w:val="none" w:sz="0" w:space="0" w:color="auto"/>
            <w:right w:val="none" w:sz="0" w:space="0" w:color="auto"/>
          </w:divBdr>
        </w:div>
        <w:div w:id="1592860589">
          <w:marLeft w:val="0"/>
          <w:marRight w:val="0"/>
          <w:marTop w:val="0"/>
          <w:marBottom w:val="0"/>
          <w:divBdr>
            <w:top w:val="none" w:sz="0" w:space="0" w:color="auto"/>
            <w:left w:val="none" w:sz="0" w:space="0" w:color="auto"/>
            <w:bottom w:val="none" w:sz="0" w:space="0" w:color="auto"/>
            <w:right w:val="none" w:sz="0" w:space="0" w:color="auto"/>
          </w:divBdr>
        </w:div>
        <w:div w:id="1186748817">
          <w:marLeft w:val="0"/>
          <w:marRight w:val="0"/>
          <w:marTop w:val="0"/>
          <w:marBottom w:val="0"/>
          <w:divBdr>
            <w:top w:val="none" w:sz="0" w:space="0" w:color="auto"/>
            <w:left w:val="none" w:sz="0" w:space="0" w:color="auto"/>
            <w:bottom w:val="none" w:sz="0" w:space="0" w:color="auto"/>
            <w:right w:val="none" w:sz="0" w:space="0" w:color="auto"/>
          </w:divBdr>
        </w:div>
      </w:divsChild>
    </w:div>
    <w:div w:id="257756362">
      <w:bodyDiv w:val="1"/>
      <w:marLeft w:val="0"/>
      <w:marRight w:val="0"/>
      <w:marTop w:val="0"/>
      <w:marBottom w:val="0"/>
      <w:divBdr>
        <w:top w:val="none" w:sz="0" w:space="0" w:color="auto"/>
        <w:left w:val="none" w:sz="0" w:space="0" w:color="auto"/>
        <w:bottom w:val="none" w:sz="0" w:space="0" w:color="auto"/>
        <w:right w:val="none" w:sz="0" w:space="0" w:color="auto"/>
      </w:divBdr>
    </w:div>
    <w:div w:id="304818034">
      <w:bodyDiv w:val="1"/>
      <w:marLeft w:val="0"/>
      <w:marRight w:val="0"/>
      <w:marTop w:val="0"/>
      <w:marBottom w:val="0"/>
      <w:divBdr>
        <w:top w:val="none" w:sz="0" w:space="0" w:color="auto"/>
        <w:left w:val="none" w:sz="0" w:space="0" w:color="auto"/>
        <w:bottom w:val="none" w:sz="0" w:space="0" w:color="auto"/>
        <w:right w:val="none" w:sz="0" w:space="0" w:color="auto"/>
      </w:divBdr>
    </w:div>
    <w:div w:id="402878617">
      <w:bodyDiv w:val="1"/>
      <w:marLeft w:val="0"/>
      <w:marRight w:val="0"/>
      <w:marTop w:val="0"/>
      <w:marBottom w:val="0"/>
      <w:divBdr>
        <w:top w:val="none" w:sz="0" w:space="0" w:color="auto"/>
        <w:left w:val="none" w:sz="0" w:space="0" w:color="auto"/>
        <w:bottom w:val="none" w:sz="0" w:space="0" w:color="auto"/>
        <w:right w:val="none" w:sz="0" w:space="0" w:color="auto"/>
      </w:divBdr>
    </w:div>
    <w:div w:id="449514835">
      <w:bodyDiv w:val="1"/>
      <w:marLeft w:val="0"/>
      <w:marRight w:val="0"/>
      <w:marTop w:val="0"/>
      <w:marBottom w:val="0"/>
      <w:divBdr>
        <w:top w:val="none" w:sz="0" w:space="0" w:color="auto"/>
        <w:left w:val="none" w:sz="0" w:space="0" w:color="auto"/>
        <w:bottom w:val="none" w:sz="0" w:space="0" w:color="auto"/>
        <w:right w:val="none" w:sz="0" w:space="0" w:color="auto"/>
      </w:divBdr>
      <w:divsChild>
        <w:div w:id="909997654">
          <w:marLeft w:val="0"/>
          <w:marRight w:val="0"/>
          <w:marTop w:val="0"/>
          <w:marBottom w:val="0"/>
          <w:divBdr>
            <w:top w:val="none" w:sz="0" w:space="0" w:color="auto"/>
            <w:left w:val="none" w:sz="0" w:space="0" w:color="auto"/>
            <w:bottom w:val="none" w:sz="0" w:space="0" w:color="auto"/>
            <w:right w:val="none" w:sz="0" w:space="0" w:color="auto"/>
          </w:divBdr>
        </w:div>
        <w:div w:id="1546522098">
          <w:marLeft w:val="0"/>
          <w:marRight w:val="0"/>
          <w:marTop w:val="0"/>
          <w:marBottom w:val="0"/>
          <w:divBdr>
            <w:top w:val="none" w:sz="0" w:space="0" w:color="auto"/>
            <w:left w:val="none" w:sz="0" w:space="0" w:color="auto"/>
            <w:bottom w:val="none" w:sz="0" w:space="0" w:color="auto"/>
            <w:right w:val="none" w:sz="0" w:space="0" w:color="auto"/>
          </w:divBdr>
        </w:div>
        <w:div w:id="1989048198">
          <w:marLeft w:val="0"/>
          <w:marRight w:val="0"/>
          <w:marTop w:val="0"/>
          <w:marBottom w:val="0"/>
          <w:divBdr>
            <w:top w:val="none" w:sz="0" w:space="0" w:color="auto"/>
            <w:left w:val="none" w:sz="0" w:space="0" w:color="auto"/>
            <w:bottom w:val="none" w:sz="0" w:space="0" w:color="auto"/>
            <w:right w:val="none" w:sz="0" w:space="0" w:color="auto"/>
          </w:divBdr>
        </w:div>
        <w:div w:id="1130786389">
          <w:marLeft w:val="0"/>
          <w:marRight w:val="0"/>
          <w:marTop w:val="0"/>
          <w:marBottom w:val="0"/>
          <w:divBdr>
            <w:top w:val="none" w:sz="0" w:space="0" w:color="auto"/>
            <w:left w:val="none" w:sz="0" w:space="0" w:color="auto"/>
            <w:bottom w:val="none" w:sz="0" w:space="0" w:color="auto"/>
            <w:right w:val="none" w:sz="0" w:space="0" w:color="auto"/>
          </w:divBdr>
          <w:divsChild>
            <w:div w:id="290478238">
              <w:marLeft w:val="0"/>
              <w:marRight w:val="0"/>
              <w:marTop w:val="0"/>
              <w:marBottom w:val="0"/>
              <w:divBdr>
                <w:top w:val="none" w:sz="0" w:space="0" w:color="auto"/>
                <w:left w:val="none" w:sz="0" w:space="0" w:color="auto"/>
                <w:bottom w:val="none" w:sz="0" w:space="0" w:color="auto"/>
                <w:right w:val="none" w:sz="0" w:space="0" w:color="auto"/>
              </w:divBdr>
              <w:divsChild>
                <w:div w:id="97723633">
                  <w:marLeft w:val="0"/>
                  <w:marRight w:val="0"/>
                  <w:marTop w:val="0"/>
                  <w:marBottom w:val="0"/>
                  <w:divBdr>
                    <w:top w:val="none" w:sz="0" w:space="0" w:color="auto"/>
                    <w:left w:val="none" w:sz="0" w:space="0" w:color="auto"/>
                    <w:bottom w:val="none" w:sz="0" w:space="0" w:color="auto"/>
                    <w:right w:val="none" w:sz="0" w:space="0" w:color="auto"/>
                  </w:divBdr>
                </w:div>
                <w:div w:id="107867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5460">
          <w:marLeft w:val="0"/>
          <w:marRight w:val="0"/>
          <w:marTop w:val="0"/>
          <w:marBottom w:val="0"/>
          <w:divBdr>
            <w:top w:val="none" w:sz="0" w:space="0" w:color="auto"/>
            <w:left w:val="none" w:sz="0" w:space="0" w:color="auto"/>
            <w:bottom w:val="none" w:sz="0" w:space="0" w:color="auto"/>
            <w:right w:val="none" w:sz="0" w:space="0" w:color="auto"/>
          </w:divBdr>
        </w:div>
        <w:div w:id="804783502">
          <w:marLeft w:val="0"/>
          <w:marRight w:val="0"/>
          <w:marTop w:val="0"/>
          <w:marBottom w:val="0"/>
          <w:divBdr>
            <w:top w:val="none" w:sz="0" w:space="0" w:color="auto"/>
            <w:left w:val="none" w:sz="0" w:space="0" w:color="auto"/>
            <w:bottom w:val="none" w:sz="0" w:space="0" w:color="auto"/>
            <w:right w:val="none" w:sz="0" w:space="0" w:color="auto"/>
          </w:divBdr>
        </w:div>
      </w:divsChild>
    </w:div>
    <w:div w:id="497964001">
      <w:bodyDiv w:val="1"/>
      <w:marLeft w:val="0"/>
      <w:marRight w:val="0"/>
      <w:marTop w:val="0"/>
      <w:marBottom w:val="0"/>
      <w:divBdr>
        <w:top w:val="none" w:sz="0" w:space="0" w:color="auto"/>
        <w:left w:val="none" w:sz="0" w:space="0" w:color="auto"/>
        <w:bottom w:val="none" w:sz="0" w:space="0" w:color="auto"/>
        <w:right w:val="none" w:sz="0" w:space="0" w:color="auto"/>
      </w:divBdr>
      <w:divsChild>
        <w:div w:id="260996582">
          <w:marLeft w:val="0"/>
          <w:marRight w:val="0"/>
          <w:marTop w:val="0"/>
          <w:marBottom w:val="0"/>
          <w:divBdr>
            <w:top w:val="none" w:sz="0" w:space="0" w:color="auto"/>
            <w:left w:val="single" w:sz="36" w:space="0" w:color="FFFFFF"/>
            <w:bottom w:val="none" w:sz="0" w:space="0" w:color="auto"/>
            <w:right w:val="single" w:sz="36" w:space="0" w:color="FFFFFF"/>
          </w:divBdr>
          <w:divsChild>
            <w:div w:id="679047803">
              <w:marLeft w:val="0"/>
              <w:marRight w:val="0"/>
              <w:marTop w:val="0"/>
              <w:marBottom w:val="0"/>
              <w:divBdr>
                <w:top w:val="none" w:sz="0" w:space="0" w:color="auto"/>
                <w:left w:val="none" w:sz="0" w:space="0" w:color="auto"/>
                <w:bottom w:val="none" w:sz="0" w:space="0" w:color="auto"/>
                <w:right w:val="none" w:sz="0" w:space="0" w:color="auto"/>
              </w:divBdr>
              <w:divsChild>
                <w:div w:id="1060861104">
                  <w:marLeft w:val="0"/>
                  <w:marRight w:val="0"/>
                  <w:marTop w:val="0"/>
                  <w:marBottom w:val="75"/>
                  <w:divBdr>
                    <w:top w:val="none" w:sz="0" w:space="0" w:color="auto"/>
                    <w:left w:val="none" w:sz="0" w:space="0" w:color="auto"/>
                    <w:bottom w:val="single" w:sz="6" w:space="0" w:color="F0F0F0"/>
                    <w:right w:val="none" w:sz="0" w:space="0" w:color="auto"/>
                  </w:divBdr>
                  <w:divsChild>
                    <w:div w:id="16492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006670">
      <w:bodyDiv w:val="1"/>
      <w:marLeft w:val="0"/>
      <w:marRight w:val="0"/>
      <w:marTop w:val="0"/>
      <w:marBottom w:val="0"/>
      <w:divBdr>
        <w:top w:val="none" w:sz="0" w:space="0" w:color="auto"/>
        <w:left w:val="none" w:sz="0" w:space="0" w:color="auto"/>
        <w:bottom w:val="none" w:sz="0" w:space="0" w:color="auto"/>
        <w:right w:val="none" w:sz="0" w:space="0" w:color="auto"/>
      </w:divBdr>
    </w:div>
    <w:div w:id="579799261">
      <w:bodyDiv w:val="1"/>
      <w:marLeft w:val="0"/>
      <w:marRight w:val="0"/>
      <w:marTop w:val="0"/>
      <w:marBottom w:val="0"/>
      <w:divBdr>
        <w:top w:val="none" w:sz="0" w:space="0" w:color="auto"/>
        <w:left w:val="none" w:sz="0" w:space="0" w:color="auto"/>
        <w:bottom w:val="none" w:sz="0" w:space="0" w:color="auto"/>
        <w:right w:val="none" w:sz="0" w:space="0" w:color="auto"/>
      </w:divBdr>
    </w:div>
    <w:div w:id="841236840">
      <w:bodyDiv w:val="1"/>
      <w:marLeft w:val="0"/>
      <w:marRight w:val="0"/>
      <w:marTop w:val="0"/>
      <w:marBottom w:val="0"/>
      <w:divBdr>
        <w:top w:val="none" w:sz="0" w:space="0" w:color="auto"/>
        <w:left w:val="none" w:sz="0" w:space="0" w:color="auto"/>
        <w:bottom w:val="none" w:sz="0" w:space="0" w:color="auto"/>
        <w:right w:val="none" w:sz="0" w:space="0" w:color="auto"/>
      </w:divBdr>
    </w:div>
    <w:div w:id="851263264">
      <w:bodyDiv w:val="1"/>
      <w:marLeft w:val="0"/>
      <w:marRight w:val="0"/>
      <w:marTop w:val="0"/>
      <w:marBottom w:val="0"/>
      <w:divBdr>
        <w:top w:val="none" w:sz="0" w:space="0" w:color="auto"/>
        <w:left w:val="none" w:sz="0" w:space="0" w:color="auto"/>
        <w:bottom w:val="none" w:sz="0" w:space="0" w:color="auto"/>
        <w:right w:val="none" w:sz="0" w:space="0" w:color="auto"/>
      </w:divBdr>
      <w:divsChild>
        <w:div w:id="1384864425">
          <w:marLeft w:val="0"/>
          <w:marRight w:val="0"/>
          <w:marTop w:val="0"/>
          <w:marBottom w:val="0"/>
          <w:divBdr>
            <w:top w:val="none" w:sz="0" w:space="0" w:color="auto"/>
            <w:left w:val="single" w:sz="36" w:space="0" w:color="FFFFFF"/>
            <w:bottom w:val="none" w:sz="0" w:space="0" w:color="auto"/>
            <w:right w:val="single" w:sz="36" w:space="0" w:color="FFFFFF"/>
          </w:divBdr>
          <w:divsChild>
            <w:div w:id="742946873">
              <w:marLeft w:val="0"/>
              <w:marRight w:val="0"/>
              <w:marTop w:val="0"/>
              <w:marBottom w:val="0"/>
              <w:divBdr>
                <w:top w:val="none" w:sz="0" w:space="0" w:color="auto"/>
                <w:left w:val="none" w:sz="0" w:space="0" w:color="auto"/>
                <w:bottom w:val="none" w:sz="0" w:space="0" w:color="auto"/>
                <w:right w:val="none" w:sz="0" w:space="0" w:color="auto"/>
              </w:divBdr>
              <w:divsChild>
                <w:div w:id="385375830">
                  <w:marLeft w:val="0"/>
                  <w:marRight w:val="0"/>
                  <w:marTop w:val="0"/>
                  <w:marBottom w:val="75"/>
                  <w:divBdr>
                    <w:top w:val="none" w:sz="0" w:space="0" w:color="auto"/>
                    <w:left w:val="none" w:sz="0" w:space="0" w:color="auto"/>
                    <w:bottom w:val="single" w:sz="6" w:space="0" w:color="F0F0F0"/>
                    <w:right w:val="none" w:sz="0" w:space="0" w:color="auto"/>
                  </w:divBdr>
                  <w:divsChild>
                    <w:div w:id="85966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973549">
      <w:bodyDiv w:val="1"/>
      <w:marLeft w:val="0"/>
      <w:marRight w:val="0"/>
      <w:marTop w:val="0"/>
      <w:marBottom w:val="0"/>
      <w:divBdr>
        <w:top w:val="none" w:sz="0" w:space="0" w:color="auto"/>
        <w:left w:val="none" w:sz="0" w:space="0" w:color="auto"/>
        <w:bottom w:val="none" w:sz="0" w:space="0" w:color="auto"/>
        <w:right w:val="none" w:sz="0" w:space="0" w:color="auto"/>
      </w:divBdr>
    </w:div>
    <w:div w:id="1109931300">
      <w:bodyDiv w:val="1"/>
      <w:marLeft w:val="0"/>
      <w:marRight w:val="0"/>
      <w:marTop w:val="0"/>
      <w:marBottom w:val="0"/>
      <w:divBdr>
        <w:top w:val="none" w:sz="0" w:space="0" w:color="auto"/>
        <w:left w:val="none" w:sz="0" w:space="0" w:color="auto"/>
        <w:bottom w:val="none" w:sz="0" w:space="0" w:color="auto"/>
        <w:right w:val="none" w:sz="0" w:space="0" w:color="auto"/>
      </w:divBdr>
    </w:div>
    <w:div w:id="1123187093">
      <w:bodyDiv w:val="1"/>
      <w:marLeft w:val="0"/>
      <w:marRight w:val="0"/>
      <w:marTop w:val="0"/>
      <w:marBottom w:val="0"/>
      <w:divBdr>
        <w:top w:val="none" w:sz="0" w:space="0" w:color="auto"/>
        <w:left w:val="none" w:sz="0" w:space="0" w:color="auto"/>
        <w:bottom w:val="none" w:sz="0" w:space="0" w:color="auto"/>
        <w:right w:val="none" w:sz="0" w:space="0" w:color="auto"/>
      </w:divBdr>
      <w:divsChild>
        <w:div w:id="239606712">
          <w:marLeft w:val="0"/>
          <w:marRight w:val="0"/>
          <w:marTop w:val="0"/>
          <w:marBottom w:val="0"/>
          <w:divBdr>
            <w:top w:val="none" w:sz="0" w:space="0" w:color="auto"/>
            <w:left w:val="none" w:sz="0" w:space="0" w:color="auto"/>
            <w:bottom w:val="none" w:sz="0" w:space="0" w:color="auto"/>
            <w:right w:val="none" w:sz="0" w:space="0" w:color="auto"/>
          </w:divBdr>
          <w:divsChild>
            <w:div w:id="1837838173">
              <w:marLeft w:val="0"/>
              <w:marRight w:val="0"/>
              <w:marTop w:val="0"/>
              <w:marBottom w:val="0"/>
              <w:divBdr>
                <w:top w:val="none" w:sz="0" w:space="0" w:color="auto"/>
                <w:left w:val="none" w:sz="0" w:space="0" w:color="auto"/>
                <w:bottom w:val="none" w:sz="0" w:space="0" w:color="auto"/>
                <w:right w:val="none" w:sz="0" w:space="0" w:color="auto"/>
              </w:divBdr>
            </w:div>
          </w:divsChild>
        </w:div>
        <w:div w:id="2016179086">
          <w:marLeft w:val="0"/>
          <w:marRight w:val="0"/>
          <w:marTop w:val="0"/>
          <w:marBottom w:val="0"/>
          <w:divBdr>
            <w:top w:val="none" w:sz="0" w:space="0" w:color="auto"/>
            <w:left w:val="none" w:sz="0" w:space="0" w:color="auto"/>
            <w:bottom w:val="none" w:sz="0" w:space="0" w:color="auto"/>
            <w:right w:val="none" w:sz="0" w:space="0" w:color="auto"/>
          </w:divBdr>
          <w:divsChild>
            <w:div w:id="1653559694">
              <w:marLeft w:val="0"/>
              <w:marRight w:val="0"/>
              <w:marTop w:val="0"/>
              <w:marBottom w:val="0"/>
              <w:divBdr>
                <w:top w:val="none" w:sz="0" w:space="0" w:color="auto"/>
                <w:left w:val="none" w:sz="0" w:space="0" w:color="auto"/>
                <w:bottom w:val="none" w:sz="0" w:space="0" w:color="auto"/>
                <w:right w:val="none" w:sz="0" w:space="0" w:color="auto"/>
              </w:divBdr>
            </w:div>
            <w:div w:id="145105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650932">
      <w:bodyDiv w:val="1"/>
      <w:marLeft w:val="60"/>
      <w:marRight w:val="60"/>
      <w:marTop w:val="60"/>
      <w:marBottom w:val="15"/>
      <w:divBdr>
        <w:top w:val="none" w:sz="0" w:space="0" w:color="auto"/>
        <w:left w:val="none" w:sz="0" w:space="0" w:color="auto"/>
        <w:bottom w:val="none" w:sz="0" w:space="0" w:color="auto"/>
        <w:right w:val="none" w:sz="0" w:space="0" w:color="auto"/>
      </w:divBdr>
      <w:divsChild>
        <w:div w:id="744036792">
          <w:marLeft w:val="0"/>
          <w:marRight w:val="0"/>
          <w:marTop w:val="0"/>
          <w:marBottom w:val="0"/>
          <w:divBdr>
            <w:top w:val="none" w:sz="0" w:space="0" w:color="auto"/>
            <w:left w:val="none" w:sz="0" w:space="0" w:color="auto"/>
            <w:bottom w:val="none" w:sz="0" w:space="0" w:color="auto"/>
            <w:right w:val="none" w:sz="0" w:space="0" w:color="auto"/>
          </w:divBdr>
        </w:div>
      </w:divsChild>
    </w:div>
    <w:div w:id="1222717741">
      <w:bodyDiv w:val="1"/>
      <w:marLeft w:val="60"/>
      <w:marRight w:val="60"/>
      <w:marTop w:val="60"/>
      <w:marBottom w:val="15"/>
      <w:divBdr>
        <w:top w:val="none" w:sz="0" w:space="0" w:color="auto"/>
        <w:left w:val="none" w:sz="0" w:space="0" w:color="auto"/>
        <w:bottom w:val="none" w:sz="0" w:space="0" w:color="auto"/>
        <w:right w:val="none" w:sz="0" w:space="0" w:color="auto"/>
      </w:divBdr>
    </w:div>
    <w:div w:id="1387879242">
      <w:bodyDiv w:val="1"/>
      <w:marLeft w:val="0"/>
      <w:marRight w:val="0"/>
      <w:marTop w:val="0"/>
      <w:marBottom w:val="0"/>
      <w:divBdr>
        <w:top w:val="none" w:sz="0" w:space="0" w:color="auto"/>
        <w:left w:val="none" w:sz="0" w:space="0" w:color="auto"/>
        <w:bottom w:val="none" w:sz="0" w:space="0" w:color="auto"/>
        <w:right w:val="none" w:sz="0" w:space="0" w:color="auto"/>
      </w:divBdr>
    </w:div>
    <w:div w:id="1440376608">
      <w:bodyDiv w:val="1"/>
      <w:marLeft w:val="0"/>
      <w:marRight w:val="0"/>
      <w:marTop w:val="0"/>
      <w:marBottom w:val="0"/>
      <w:divBdr>
        <w:top w:val="none" w:sz="0" w:space="0" w:color="auto"/>
        <w:left w:val="none" w:sz="0" w:space="0" w:color="auto"/>
        <w:bottom w:val="none" w:sz="0" w:space="0" w:color="auto"/>
        <w:right w:val="none" w:sz="0" w:space="0" w:color="auto"/>
      </w:divBdr>
      <w:divsChild>
        <w:div w:id="1915973443">
          <w:marLeft w:val="0"/>
          <w:marRight w:val="0"/>
          <w:marTop w:val="0"/>
          <w:marBottom w:val="0"/>
          <w:divBdr>
            <w:top w:val="none" w:sz="0" w:space="0" w:color="auto"/>
            <w:left w:val="none" w:sz="0" w:space="0" w:color="auto"/>
            <w:bottom w:val="none" w:sz="0" w:space="0" w:color="auto"/>
            <w:right w:val="none" w:sz="0" w:space="0" w:color="auto"/>
          </w:divBdr>
        </w:div>
        <w:div w:id="33358981">
          <w:marLeft w:val="0"/>
          <w:marRight w:val="0"/>
          <w:marTop w:val="0"/>
          <w:marBottom w:val="0"/>
          <w:divBdr>
            <w:top w:val="none" w:sz="0" w:space="0" w:color="auto"/>
            <w:left w:val="none" w:sz="0" w:space="0" w:color="auto"/>
            <w:bottom w:val="none" w:sz="0" w:space="0" w:color="auto"/>
            <w:right w:val="none" w:sz="0" w:space="0" w:color="auto"/>
          </w:divBdr>
        </w:div>
        <w:div w:id="1805850717">
          <w:marLeft w:val="0"/>
          <w:marRight w:val="0"/>
          <w:marTop w:val="0"/>
          <w:marBottom w:val="0"/>
          <w:divBdr>
            <w:top w:val="none" w:sz="0" w:space="0" w:color="auto"/>
            <w:left w:val="none" w:sz="0" w:space="0" w:color="auto"/>
            <w:bottom w:val="none" w:sz="0" w:space="0" w:color="auto"/>
            <w:right w:val="none" w:sz="0" w:space="0" w:color="auto"/>
          </w:divBdr>
        </w:div>
        <w:div w:id="365912182">
          <w:marLeft w:val="0"/>
          <w:marRight w:val="0"/>
          <w:marTop w:val="0"/>
          <w:marBottom w:val="0"/>
          <w:divBdr>
            <w:top w:val="none" w:sz="0" w:space="0" w:color="auto"/>
            <w:left w:val="none" w:sz="0" w:space="0" w:color="auto"/>
            <w:bottom w:val="none" w:sz="0" w:space="0" w:color="auto"/>
            <w:right w:val="none" w:sz="0" w:space="0" w:color="auto"/>
          </w:divBdr>
          <w:divsChild>
            <w:div w:id="1312751957">
              <w:marLeft w:val="0"/>
              <w:marRight w:val="0"/>
              <w:marTop w:val="0"/>
              <w:marBottom w:val="0"/>
              <w:divBdr>
                <w:top w:val="none" w:sz="0" w:space="0" w:color="auto"/>
                <w:left w:val="none" w:sz="0" w:space="0" w:color="auto"/>
                <w:bottom w:val="none" w:sz="0" w:space="0" w:color="auto"/>
                <w:right w:val="none" w:sz="0" w:space="0" w:color="auto"/>
              </w:divBdr>
              <w:divsChild>
                <w:div w:id="1225217396">
                  <w:marLeft w:val="0"/>
                  <w:marRight w:val="0"/>
                  <w:marTop w:val="0"/>
                  <w:marBottom w:val="0"/>
                  <w:divBdr>
                    <w:top w:val="none" w:sz="0" w:space="0" w:color="auto"/>
                    <w:left w:val="none" w:sz="0" w:space="0" w:color="auto"/>
                    <w:bottom w:val="none" w:sz="0" w:space="0" w:color="auto"/>
                    <w:right w:val="none" w:sz="0" w:space="0" w:color="auto"/>
                  </w:divBdr>
                </w:div>
                <w:div w:id="194827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95292">
          <w:marLeft w:val="0"/>
          <w:marRight w:val="0"/>
          <w:marTop w:val="0"/>
          <w:marBottom w:val="0"/>
          <w:divBdr>
            <w:top w:val="none" w:sz="0" w:space="0" w:color="auto"/>
            <w:left w:val="none" w:sz="0" w:space="0" w:color="auto"/>
            <w:bottom w:val="none" w:sz="0" w:space="0" w:color="auto"/>
            <w:right w:val="none" w:sz="0" w:space="0" w:color="auto"/>
          </w:divBdr>
        </w:div>
        <w:div w:id="1918637045">
          <w:marLeft w:val="0"/>
          <w:marRight w:val="0"/>
          <w:marTop w:val="0"/>
          <w:marBottom w:val="0"/>
          <w:divBdr>
            <w:top w:val="none" w:sz="0" w:space="0" w:color="auto"/>
            <w:left w:val="none" w:sz="0" w:space="0" w:color="auto"/>
            <w:bottom w:val="none" w:sz="0" w:space="0" w:color="auto"/>
            <w:right w:val="none" w:sz="0" w:space="0" w:color="auto"/>
          </w:divBdr>
        </w:div>
        <w:div w:id="725221976">
          <w:marLeft w:val="0"/>
          <w:marRight w:val="0"/>
          <w:marTop w:val="0"/>
          <w:marBottom w:val="0"/>
          <w:divBdr>
            <w:top w:val="none" w:sz="0" w:space="0" w:color="auto"/>
            <w:left w:val="none" w:sz="0" w:space="0" w:color="auto"/>
            <w:bottom w:val="none" w:sz="0" w:space="0" w:color="auto"/>
            <w:right w:val="none" w:sz="0" w:space="0" w:color="auto"/>
          </w:divBdr>
        </w:div>
        <w:div w:id="1106653064">
          <w:marLeft w:val="0"/>
          <w:marRight w:val="0"/>
          <w:marTop w:val="120"/>
          <w:marBottom w:val="0"/>
          <w:divBdr>
            <w:top w:val="none" w:sz="0" w:space="0" w:color="auto"/>
            <w:left w:val="none" w:sz="0" w:space="0" w:color="auto"/>
            <w:bottom w:val="none" w:sz="0" w:space="0" w:color="auto"/>
            <w:right w:val="none" w:sz="0" w:space="0" w:color="auto"/>
          </w:divBdr>
          <w:divsChild>
            <w:div w:id="1647007525">
              <w:marLeft w:val="0"/>
              <w:marRight w:val="0"/>
              <w:marTop w:val="120"/>
              <w:marBottom w:val="0"/>
              <w:divBdr>
                <w:top w:val="none" w:sz="0" w:space="0" w:color="auto"/>
                <w:left w:val="none" w:sz="0" w:space="0" w:color="auto"/>
                <w:bottom w:val="none" w:sz="0" w:space="0" w:color="auto"/>
                <w:right w:val="none" w:sz="0" w:space="0" w:color="auto"/>
              </w:divBdr>
            </w:div>
          </w:divsChild>
        </w:div>
        <w:div w:id="39326043">
          <w:marLeft w:val="0"/>
          <w:marRight w:val="0"/>
          <w:marTop w:val="120"/>
          <w:marBottom w:val="0"/>
          <w:divBdr>
            <w:top w:val="none" w:sz="0" w:space="0" w:color="auto"/>
            <w:left w:val="none" w:sz="0" w:space="0" w:color="auto"/>
            <w:bottom w:val="none" w:sz="0" w:space="0" w:color="auto"/>
            <w:right w:val="none" w:sz="0" w:space="0" w:color="auto"/>
          </w:divBdr>
          <w:divsChild>
            <w:div w:id="223025219">
              <w:marLeft w:val="0"/>
              <w:marRight w:val="0"/>
              <w:marTop w:val="0"/>
              <w:marBottom w:val="0"/>
              <w:divBdr>
                <w:top w:val="none" w:sz="0" w:space="0" w:color="auto"/>
                <w:left w:val="none" w:sz="0" w:space="0" w:color="auto"/>
                <w:bottom w:val="none" w:sz="0" w:space="0" w:color="auto"/>
                <w:right w:val="none" w:sz="0" w:space="0" w:color="auto"/>
              </w:divBdr>
            </w:div>
            <w:div w:id="1486968114">
              <w:marLeft w:val="0"/>
              <w:marRight w:val="0"/>
              <w:marTop w:val="0"/>
              <w:marBottom w:val="0"/>
              <w:divBdr>
                <w:top w:val="none" w:sz="0" w:space="0" w:color="auto"/>
                <w:left w:val="none" w:sz="0" w:space="0" w:color="auto"/>
                <w:bottom w:val="none" w:sz="0" w:space="0" w:color="auto"/>
                <w:right w:val="none" w:sz="0" w:space="0" w:color="auto"/>
              </w:divBdr>
            </w:div>
          </w:divsChild>
        </w:div>
        <w:div w:id="1241333770">
          <w:marLeft w:val="0"/>
          <w:marRight w:val="0"/>
          <w:marTop w:val="120"/>
          <w:marBottom w:val="0"/>
          <w:divBdr>
            <w:top w:val="none" w:sz="0" w:space="0" w:color="auto"/>
            <w:left w:val="none" w:sz="0" w:space="0" w:color="auto"/>
            <w:bottom w:val="none" w:sz="0" w:space="0" w:color="auto"/>
            <w:right w:val="none" w:sz="0" w:space="0" w:color="auto"/>
          </w:divBdr>
        </w:div>
        <w:div w:id="1269774682">
          <w:marLeft w:val="0"/>
          <w:marRight w:val="0"/>
          <w:marTop w:val="120"/>
          <w:marBottom w:val="0"/>
          <w:divBdr>
            <w:top w:val="none" w:sz="0" w:space="0" w:color="auto"/>
            <w:left w:val="none" w:sz="0" w:space="0" w:color="auto"/>
            <w:bottom w:val="none" w:sz="0" w:space="0" w:color="auto"/>
            <w:right w:val="none" w:sz="0" w:space="0" w:color="auto"/>
          </w:divBdr>
        </w:div>
      </w:divsChild>
    </w:div>
    <w:div w:id="1524787385">
      <w:bodyDiv w:val="1"/>
      <w:marLeft w:val="0"/>
      <w:marRight w:val="0"/>
      <w:marTop w:val="0"/>
      <w:marBottom w:val="0"/>
      <w:divBdr>
        <w:top w:val="none" w:sz="0" w:space="0" w:color="auto"/>
        <w:left w:val="none" w:sz="0" w:space="0" w:color="auto"/>
        <w:bottom w:val="none" w:sz="0" w:space="0" w:color="auto"/>
        <w:right w:val="none" w:sz="0" w:space="0" w:color="auto"/>
      </w:divBdr>
    </w:div>
    <w:div w:id="2090274081">
      <w:bodyDiv w:val="1"/>
      <w:marLeft w:val="0"/>
      <w:marRight w:val="0"/>
      <w:marTop w:val="0"/>
      <w:marBottom w:val="0"/>
      <w:divBdr>
        <w:top w:val="none" w:sz="0" w:space="0" w:color="auto"/>
        <w:left w:val="none" w:sz="0" w:space="0" w:color="auto"/>
        <w:bottom w:val="none" w:sz="0" w:space="0" w:color="auto"/>
        <w:right w:val="none" w:sz="0" w:space="0" w:color="auto"/>
      </w:divBdr>
      <w:divsChild>
        <w:div w:id="1982340408">
          <w:marLeft w:val="0"/>
          <w:marRight w:val="0"/>
          <w:marTop w:val="0"/>
          <w:marBottom w:val="0"/>
          <w:divBdr>
            <w:top w:val="none" w:sz="0" w:space="0" w:color="auto"/>
            <w:left w:val="single" w:sz="36" w:space="0" w:color="FFFFFF"/>
            <w:bottom w:val="none" w:sz="0" w:space="0" w:color="auto"/>
            <w:right w:val="single" w:sz="36" w:space="0" w:color="FFFFFF"/>
          </w:divBdr>
          <w:divsChild>
            <w:div w:id="1932274557">
              <w:marLeft w:val="0"/>
              <w:marRight w:val="0"/>
              <w:marTop w:val="0"/>
              <w:marBottom w:val="0"/>
              <w:divBdr>
                <w:top w:val="none" w:sz="0" w:space="0" w:color="auto"/>
                <w:left w:val="none" w:sz="0" w:space="0" w:color="auto"/>
                <w:bottom w:val="none" w:sz="0" w:space="0" w:color="auto"/>
                <w:right w:val="none" w:sz="0" w:space="0" w:color="auto"/>
              </w:divBdr>
              <w:divsChild>
                <w:div w:id="550384386">
                  <w:marLeft w:val="0"/>
                  <w:marRight w:val="0"/>
                  <w:marTop w:val="0"/>
                  <w:marBottom w:val="75"/>
                  <w:divBdr>
                    <w:top w:val="none" w:sz="0" w:space="0" w:color="auto"/>
                    <w:left w:val="none" w:sz="0" w:space="0" w:color="auto"/>
                    <w:bottom w:val="single" w:sz="6" w:space="0" w:color="F0F0F0"/>
                    <w:right w:val="none" w:sz="0" w:space="0" w:color="auto"/>
                  </w:divBdr>
                  <w:divsChild>
                    <w:div w:id="58275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zdravotnictvi_li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zis.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D9EC8-6687-4C1D-A0B8-CA286C8F0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6</Pages>
  <Words>4032</Words>
  <Characters>23791</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23</vt:lpstr>
    </vt:vector>
  </TitlesOfParts>
  <Company>CSU</Company>
  <LinksUpToDate>false</LinksUpToDate>
  <CharactersWithSpaces>27768</CharactersWithSpaces>
  <SharedDoc>false</SharedDoc>
  <HLinks>
    <vt:vector size="12" baseType="variant">
      <vt:variant>
        <vt:i4>6488122</vt:i4>
      </vt:variant>
      <vt:variant>
        <vt:i4>3</vt:i4>
      </vt:variant>
      <vt:variant>
        <vt:i4>0</vt:i4>
      </vt:variant>
      <vt:variant>
        <vt:i4>5</vt:i4>
      </vt:variant>
      <vt:variant>
        <vt:lpwstr>http://www.uzis.cz/</vt:lpwstr>
      </vt:variant>
      <vt:variant>
        <vt:lpwstr/>
      </vt:variant>
      <vt:variant>
        <vt:i4>7733320</vt:i4>
      </vt:variant>
      <vt:variant>
        <vt:i4>0</vt:i4>
      </vt:variant>
      <vt:variant>
        <vt:i4>0</vt:i4>
      </vt:variant>
      <vt:variant>
        <vt:i4>5</vt:i4>
      </vt:variant>
      <vt:variant>
        <vt:lpwstr>http://www.czso.cz/csu/redakce.nsf/i/zdravotnictvi_lide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ZDRAVÍ, Metodické vysvětlivky, Statistická ročenka ČR 2023</dc:title>
  <dc:creator>Český statistický úřad</dc:creator>
  <cp:lastModifiedBy>Zadák Rostislav</cp:lastModifiedBy>
  <cp:revision>10</cp:revision>
  <cp:lastPrinted>2021-09-29T10:51:00Z</cp:lastPrinted>
  <dcterms:created xsi:type="dcterms:W3CDTF">2023-10-02T12:09:00Z</dcterms:created>
  <dcterms:modified xsi:type="dcterms:W3CDTF">2023-11-13T12:49:00Z</dcterms:modified>
</cp:coreProperties>
</file>