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69" w:rsidRDefault="00647313" w:rsidP="00331785">
      <w:pPr>
        <w:pStyle w:val="Nadpis1"/>
      </w:pPr>
      <w:bookmarkStart w:id="0" w:name="_Toc492470815"/>
      <w:r>
        <w:t>2</w:t>
      </w:r>
      <w:r w:rsidR="00331785">
        <w:t xml:space="preserve">. </w:t>
      </w:r>
      <w:r w:rsidR="00616EA3">
        <w:t>Obyvatelstvo</w:t>
      </w:r>
      <w:bookmarkEnd w:id="0"/>
    </w:p>
    <w:tbl>
      <w:tblPr>
        <w:tblW w:w="4986" w:type="pct"/>
        <w:tblInd w:w="107" w:type="dxa"/>
        <w:tblLayout w:type="fixed"/>
        <w:tblLook w:val="00A0"/>
      </w:tblPr>
      <w:tblGrid>
        <w:gridCol w:w="1997"/>
        <w:gridCol w:w="283"/>
        <w:gridCol w:w="7546"/>
      </w:tblGrid>
      <w:tr w:rsidR="006135BC" w:rsidRPr="00DE32DB" w:rsidTr="002272B3">
        <w:trPr>
          <w:trHeight w:val="145"/>
        </w:trPr>
        <w:tc>
          <w:tcPr>
            <w:tcW w:w="1016" w:type="pct"/>
          </w:tcPr>
          <w:p w:rsidR="006135BC" w:rsidRDefault="006135BC" w:rsidP="002272B3">
            <w:pPr>
              <w:spacing w:line="240" w:lineRule="auto"/>
              <w:rPr>
                <w:spacing w:val="-2"/>
                <w:sz w:val="16"/>
                <w:szCs w:val="16"/>
              </w:rPr>
            </w:pPr>
            <w:r>
              <w:rPr>
                <w:spacing w:val="-2"/>
                <w:sz w:val="16"/>
                <w:szCs w:val="16"/>
              </w:rPr>
              <w:t>Počet obyvatel ČR se dlouhodobě mírně zvyšuje, hlavně vlivem kladného salda stěhování.</w:t>
            </w: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Pr="00E7316A" w:rsidRDefault="006135BC" w:rsidP="002272B3">
            <w:pPr>
              <w:spacing w:line="240" w:lineRule="auto"/>
              <w:rPr>
                <w:spacing w:val="-2"/>
                <w:sz w:val="16"/>
                <w:szCs w:val="16"/>
              </w:rPr>
            </w:pPr>
            <w:r>
              <w:rPr>
                <w:spacing w:val="-2"/>
                <w:sz w:val="16"/>
                <w:szCs w:val="16"/>
              </w:rPr>
              <w:t>Pokračující mírný růst plodnosti doprovázený snížením úmrtnosti po atypickém roku 2015 vyústily loni v kladný přirozený přírůstek, jenž byl nejvyšší za posledních šest let.</w:t>
            </w:r>
          </w:p>
        </w:tc>
        <w:tc>
          <w:tcPr>
            <w:tcW w:w="144" w:type="pct"/>
          </w:tcPr>
          <w:p w:rsidR="006135BC" w:rsidRPr="005E4483" w:rsidRDefault="006135BC" w:rsidP="002272B3">
            <w:pPr>
              <w:pStyle w:val="Textpoznpodarou"/>
              <w:jc w:val="both"/>
              <w:rPr>
                <w:spacing w:val="-4"/>
              </w:rPr>
            </w:pPr>
          </w:p>
        </w:tc>
        <w:tc>
          <w:tcPr>
            <w:tcW w:w="3840" w:type="pct"/>
          </w:tcPr>
          <w:p w:rsidR="006135BC" w:rsidRDefault="006135BC" w:rsidP="002272B3">
            <w:pPr>
              <w:pStyle w:val="Textpoznpodarou"/>
              <w:jc w:val="both"/>
              <w:rPr>
                <w:spacing w:val="-4"/>
              </w:rPr>
            </w:pPr>
            <w:r>
              <w:rPr>
                <w:spacing w:val="-4"/>
              </w:rPr>
              <w:t>Dlouhodobý trend růstu populace ČR pokračoval i v roce 2016. Na jeho konci žilo v Česku 10,579 mil. obyvatel, meziročně o 25 tis. více. Přírůstek byl tradičně tažen zejména kladným migračním saldem (od svého vstupu do EU ztrácelo Česko obyvatele zahraničním stěhováním jen v roce 2013). O pětinu celkového meziročního přírůstku se však loni zasloužila i kladná bilance přirozené měny. Počet živě narozených se zvyšoval již třetí rok v řadě a zároveň dosáhl šestiletého maxima (112,7 tis.). Počet zemřelých, jenž vlivem zvýšené úmrtnosti v lednu a únoru dosáhl v roce 2015 dvanáctiletého maxima, se vloni navrátil k „normálu“ (byl srovnatelný s průměrným počtem za období 2009–2014). Přirozený přírůstek zaznamenala v roce polovina krajů. V relaci k celkovému počtu obyvatel byl v roce 2016 (stejně jako v průměru za posledních deset let) nejvyšší v Praze, Středočeském, Libereckém a Jihomoravském kraji (naopak úbytek Moravskoslezském kraji přetrvával s výjimkou let 2007 a 2008 již po celé dvě dekády).</w:t>
            </w:r>
          </w:p>
          <w:p w:rsidR="006135BC" w:rsidRPr="00894C66" w:rsidRDefault="006135BC" w:rsidP="002272B3">
            <w:pPr>
              <w:pStyle w:val="Textpoznpodarou"/>
              <w:jc w:val="both"/>
              <w:rPr>
                <w:spacing w:val="-4"/>
                <w:sz w:val="13"/>
                <w:szCs w:val="13"/>
              </w:rPr>
            </w:pPr>
          </w:p>
        </w:tc>
      </w:tr>
      <w:tr w:rsidR="006135BC" w:rsidRPr="00A74192" w:rsidTr="002272B3">
        <w:trPr>
          <w:trHeight w:val="145"/>
        </w:trPr>
        <w:tc>
          <w:tcPr>
            <w:tcW w:w="1016" w:type="pct"/>
            <w:shd w:val="clear" w:color="auto" w:fill="auto"/>
          </w:tcPr>
          <w:p w:rsidR="006135BC" w:rsidRDefault="006135BC" w:rsidP="002272B3">
            <w:pPr>
              <w:spacing w:line="240" w:lineRule="auto"/>
              <w:rPr>
                <w:spacing w:val="-4"/>
                <w:sz w:val="16"/>
                <w:szCs w:val="16"/>
              </w:rPr>
            </w:pPr>
            <w:r>
              <w:rPr>
                <w:spacing w:val="-4"/>
                <w:sz w:val="16"/>
                <w:szCs w:val="16"/>
              </w:rPr>
              <w:t>Přesun početných kohort narozených ve 40. letech 20. století společně s plynule se prodlužující se délkou života vedly k dlouhodobému růstu zastoupení obyvatel starších 64 let.</w:t>
            </w:r>
          </w:p>
          <w:p w:rsidR="006135BC" w:rsidRDefault="006135BC" w:rsidP="002272B3">
            <w:pPr>
              <w:spacing w:line="240" w:lineRule="auto"/>
              <w:rPr>
                <w:spacing w:val="-4"/>
                <w:sz w:val="16"/>
                <w:szCs w:val="16"/>
              </w:rPr>
            </w:pPr>
          </w:p>
          <w:p w:rsidR="006135BC" w:rsidRDefault="006135BC" w:rsidP="002272B3">
            <w:pPr>
              <w:spacing w:line="240" w:lineRule="auto"/>
              <w:rPr>
                <w:spacing w:val="-4"/>
                <w:sz w:val="16"/>
                <w:szCs w:val="16"/>
              </w:rPr>
            </w:pPr>
          </w:p>
          <w:p w:rsidR="006135BC" w:rsidRDefault="006135BC" w:rsidP="002272B3">
            <w:pPr>
              <w:spacing w:line="240" w:lineRule="auto"/>
              <w:rPr>
                <w:spacing w:val="-4"/>
                <w:sz w:val="16"/>
                <w:szCs w:val="16"/>
              </w:rPr>
            </w:pPr>
          </w:p>
          <w:p w:rsidR="006135BC" w:rsidRPr="005E4483" w:rsidRDefault="006135BC" w:rsidP="002272B3">
            <w:pPr>
              <w:spacing w:line="240" w:lineRule="auto"/>
              <w:rPr>
                <w:spacing w:val="-4"/>
                <w:sz w:val="16"/>
                <w:szCs w:val="16"/>
              </w:rPr>
            </w:pPr>
            <w:r>
              <w:rPr>
                <w:spacing w:val="-4"/>
                <w:sz w:val="16"/>
                <w:szCs w:val="16"/>
              </w:rPr>
              <w:t>Převaha seniorů nad dětmi se poprvé objevila v roce 2006, od té doby se neustále posiluje.</w:t>
            </w:r>
          </w:p>
        </w:tc>
        <w:tc>
          <w:tcPr>
            <w:tcW w:w="144" w:type="pct"/>
          </w:tcPr>
          <w:p w:rsidR="006135BC" w:rsidRPr="005E4483" w:rsidRDefault="006135BC" w:rsidP="002272B3">
            <w:pPr>
              <w:pStyle w:val="Textpoznpodarou"/>
              <w:jc w:val="both"/>
              <w:rPr>
                <w:spacing w:val="-4"/>
              </w:rPr>
            </w:pPr>
          </w:p>
        </w:tc>
        <w:tc>
          <w:tcPr>
            <w:tcW w:w="3840" w:type="pct"/>
          </w:tcPr>
          <w:p w:rsidR="006135BC" w:rsidRPr="00E41BE0" w:rsidRDefault="006135BC" w:rsidP="002272B3">
            <w:pPr>
              <w:pStyle w:val="Textpoznpodarou"/>
              <w:jc w:val="both"/>
              <w:rPr>
                <w:spacing w:val="-4"/>
              </w:rPr>
            </w:pPr>
            <w:r w:rsidRPr="005E2584">
              <w:rPr>
                <w:spacing w:val="-4"/>
              </w:rPr>
              <w:t>Důležitější než současný umírněný růst populace</w:t>
            </w:r>
            <w:r>
              <w:rPr>
                <w:spacing w:val="-4"/>
              </w:rPr>
              <w:t xml:space="preserve"> jsou dlouhodobě probíhající změny v její struktuře. Jde hlavně o pokračující proces demografického stárnutí. Obyvatelé starší 64 let tvořili na konci roku 2016 již 18,8 % obyvatel ČR. Jejich podíl se od roku 2010 navyšoval průměrně o 0,5 </w:t>
            </w:r>
            <w:proofErr w:type="spellStart"/>
            <w:proofErr w:type="gramStart"/>
            <w:r>
              <w:rPr>
                <w:spacing w:val="-4"/>
              </w:rPr>
              <w:t>p.b</w:t>
            </w:r>
            <w:proofErr w:type="spellEnd"/>
            <w:r>
              <w:rPr>
                <w:spacing w:val="-4"/>
              </w:rPr>
              <w:t>. ročně</w:t>
            </w:r>
            <w:proofErr w:type="gramEnd"/>
            <w:r>
              <w:rPr>
                <w:spacing w:val="-4"/>
              </w:rPr>
              <w:t>. Postupně však také stárne i početně nejvýznamnější skupina lidí v produktivním věku, primárně vlivem posunu silné generace narozených ze 70. let. Zatímco na sto osob ve věku 15-39 let připadalo v roce 2008 jen 92 osob ve věku 40-64 let, v roce 2013 se tento poměr vyrovnal a o tři roky později byl roven 112. Podíl dětské složky populace dlouhodobě klesal až na 14,1 % v roce 2008, od té doby v souvislosti s mírným růstem porodnosti posiloval až na 15,6 % (v roce 2016). Stárnutí populace dokresluje i index stáří. Na sto seniorů starších 64 let v roce 2016 připadalo 120,7 dětí do 15 let. Před deseti lety byla přitom relace obou složek populace ještě téměř vyrovnaná.</w:t>
            </w:r>
          </w:p>
        </w:tc>
      </w:tr>
    </w:tbl>
    <w:p w:rsidR="006135BC" w:rsidRPr="00444E6D" w:rsidRDefault="006135BC" w:rsidP="006135BC">
      <w:pPr>
        <w:pStyle w:val="Textpoznpodarou"/>
        <w:jc w:val="both"/>
        <w:rPr>
          <w:sz w:val="16"/>
          <w:szCs w:val="16"/>
        </w:rPr>
      </w:pPr>
    </w:p>
    <w:tbl>
      <w:tblPr>
        <w:tblW w:w="5068" w:type="pct"/>
        <w:tblInd w:w="27" w:type="dxa"/>
        <w:tblLayout w:type="fixed"/>
        <w:tblCellMar>
          <w:left w:w="28" w:type="dxa"/>
          <w:right w:w="28" w:type="dxa"/>
        </w:tblCellMar>
        <w:tblLook w:val="04A0"/>
      </w:tblPr>
      <w:tblGrid>
        <w:gridCol w:w="2270"/>
        <w:gridCol w:w="992"/>
        <w:gridCol w:w="6564"/>
      </w:tblGrid>
      <w:tr w:rsidR="006135BC" w:rsidTr="002272B3">
        <w:trPr>
          <w:trHeight w:val="192"/>
        </w:trPr>
        <w:tc>
          <w:tcPr>
            <w:tcW w:w="1155" w:type="pct"/>
          </w:tcPr>
          <w:p w:rsidR="006135BC" w:rsidRDefault="006135BC" w:rsidP="002272B3">
            <w:pPr>
              <w:spacing w:line="240" w:lineRule="auto"/>
              <w:ind w:left="-28"/>
              <w:rPr>
                <w:b/>
              </w:rPr>
            </w:pPr>
          </w:p>
          <w:p w:rsidR="006135BC" w:rsidRDefault="006135BC" w:rsidP="002272B3">
            <w:pPr>
              <w:spacing w:line="240" w:lineRule="auto"/>
              <w:ind w:left="-28"/>
              <w:rPr>
                <w:b/>
              </w:rPr>
            </w:pPr>
          </w:p>
        </w:tc>
        <w:tc>
          <w:tcPr>
            <w:tcW w:w="505" w:type="pct"/>
          </w:tcPr>
          <w:p w:rsidR="006135BC" w:rsidRDefault="006135BC" w:rsidP="002272B3">
            <w:pPr>
              <w:spacing w:line="240" w:lineRule="auto"/>
              <w:ind w:left="-28"/>
              <w:rPr>
                <w:b/>
              </w:rPr>
            </w:pPr>
            <w:r>
              <w:t>Graf 2.1</w:t>
            </w:r>
          </w:p>
        </w:tc>
        <w:tc>
          <w:tcPr>
            <w:tcW w:w="3340" w:type="pct"/>
          </w:tcPr>
          <w:p w:rsidR="006135BC" w:rsidRDefault="006135BC" w:rsidP="002272B3">
            <w:pPr>
              <w:spacing w:line="240" w:lineRule="auto"/>
              <w:ind w:left="-28"/>
              <w:rPr>
                <w:b/>
              </w:rPr>
            </w:pPr>
            <w:r>
              <w:rPr>
                <w:b/>
              </w:rPr>
              <w:t>Poměrné zastoupení vybraných věkových skupin</w:t>
            </w:r>
            <w:r>
              <w:t xml:space="preserve"> </w:t>
            </w:r>
            <w:r w:rsidRPr="00AA68E4">
              <w:rPr>
                <w:b/>
              </w:rPr>
              <w:t>a</w:t>
            </w:r>
            <w:r>
              <w:rPr>
                <w:b/>
              </w:rPr>
              <w:t xml:space="preserve"> věkový medián obyvatel </w:t>
            </w:r>
            <w:r w:rsidRPr="00AA68E4">
              <w:t>(v letech)</w:t>
            </w:r>
          </w:p>
        </w:tc>
      </w:tr>
      <w:tr w:rsidR="006135BC" w:rsidTr="002272B3">
        <w:trPr>
          <w:trHeight w:val="191"/>
        </w:trPr>
        <w:tc>
          <w:tcPr>
            <w:tcW w:w="1155" w:type="pct"/>
          </w:tcPr>
          <w:p w:rsidR="006135BC" w:rsidRDefault="006135BC" w:rsidP="002272B3">
            <w:pPr>
              <w:spacing w:line="240" w:lineRule="auto"/>
              <w:ind w:left="-28"/>
              <w:rPr>
                <w:b/>
              </w:rPr>
            </w:pPr>
          </w:p>
        </w:tc>
        <w:tc>
          <w:tcPr>
            <w:tcW w:w="3845" w:type="pct"/>
            <w:gridSpan w:val="2"/>
          </w:tcPr>
          <w:p w:rsidR="006135BC" w:rsidRDefault="006135BC" w:rsidP="002272B3">
            <w:pPr>
              <w:spacing w:line="240" w:lineRule="auto"/>
              <w:ind w:left="-28"/>
              <w:rPr>
                <w:b/>
              </w:rPr>
            </w:pPr>
            <w:r w:rsidRPr="00D10DBC">
              <w:rPr>
                <w:b/>
                <w:noProof/>
              </w:rPr>
              <w:drawing>
                <wp:inline distT="0" distB="0" distL="0" distR="0">
                  <wp:extent cx="4752000" cy="3528000"/>
                  <wp:effectExtent l="0" t="0" r="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6135BC" w:rsidRPr="00661D66" w:rsidTr="002272B3">
        <w:trPr>
          <w:trHeight w:val="58"/>
        </w:trPr>
        <w:tc>
          <w:tcPr>
            <w:tcW w:w="1155" w:type="pct"/>
          </w:tcPr>
          <w:p w:rsidR="006135BC" w:rsidRPr="00661D66" w:rsidRDefault="006135BC" w:rsidP="002272B3">
            <w:pPr>
              <w:pStyle w:val="Zhlav"/>
              <w:spacing w:line="240" w:lineRule="auto"/>
              <w:rPr>
                <w:rFonts w:ascii="Arial" w:hAnsi="Arial" w:cs="Arial"/>
                <w:sz w:val="18"/>
                <w:szCs w:val="18"/>
                <w:lang w:eastAsia="cs-CZ"/>
              </w:rPr>
            </w:pPr>
          </w:p>
        </w:tc>
        <w:tc>
          <w:tcPr>
            <w:tcW w:w="3845" w:type="pct"/>
            <w:gridSpan w:val="2"/>
          </w:tcPr>
          <w:p w:rsidR="006135BC" w:rsidRPr="00444E6D" w:rsidRDefault="006135BC" w:rsidP="002272B3">
            <w:pPr>
              <w:pStyle w:val="Zhlav"/>
              <w:spacing w:before="40" w:line="240" w:lineRule="auto"/>
              <w:jc w:val="right"/>
              <w:rPr>
                <w:rFonts w:ascii="Arial" w:hAnsi="Arial" w:cs="Arial"/>
                <w:sz w:val="14"/>
                <w:szCs w:val="14"/>
                <w:lang w:eastAsia="cs-CZ"/>
              </w:rPr>
            </w:pPr>
            <w:r w:rsidRPr="00444E6D">
              <w:rPr>
                <w:rFonts w:ascii="Arial" w:hAnsi="Arial" w:cs="Arial"/>
                <w:sz w:val="14"/>
                <w:szCs w:val="14"/>
                <w:lang w:eastAsia="cs-CZ"/>
              </w:rPr>
              <w:t xml:space="preserve">Zdroj: ČSÚ, </w:t>
            </w:r>
            <w:proofErr w:type="spellStart"/>
            <w:r w:rsidRPr="00444E6D">
              <w:rPr>
                <w:rFonts w:ascii="Arial" w:hAnsi="Arial" w:cs="Arial"/>
                <w:sz w:val="14"/>
                <w:szCs w:val="14"/>
                <w:lang w:eastAsia="cs-CZ"/>
              </w:rPr>
              <w:t>Eurostat</w:t>
            </w:r>
            <w:proofErr w:type="spellEnd"/>
          </w:p>
        </w:tc>
      </w:tr>
    </w:tbl>
    <w:p w:rsidR="006135BC" w:rsidRPr="00444E6D" w:rsidRDefault="006135BC" w:rsidP="006135BC">
      <w:pPr>
        <w:pStyle w:val="Textpoznpodarou"/>
        <w:jc w:val="both"/>
        <w:rPr>
          <w:sz w:val="16"/>
          <w:szCs w:val="16"/>
        </w:rPr>
      </w:pPr>
    </w:p>
    <w:tbl>
      <w:tblPr>
        <w:tblW w:w="4986" w:type="pct"/>
        <w:tblInd w:w="107" w:type="dxa"/>
        <w:tblLayout w:type="fixed"/>
        <w:tblLook w:val="00A0"/>
      </w:tblPr>
      <w:tblGrid>
        <w:gridCol w:w="1997"/>
        <w:gridCol w:w="283"/>
        <w:gridCol w:w="7546"/>
      </w:tblGrid>
      <w:tr w:rsidR="006135BC" w:rsidRPr="00E41BE0" w:rsidTr="002272B3">
        <w:trPr>
          <w:trHeight w:val="145"/>
        </w:trPr>
        <w:tc>
          <w:tcPr>
            <w:tcW w:w="1016" w:type="pct"/>
            <w:shd w:val="clear" w:color="auto" w:fill="auto"/>
          </w:tcPr>
          <w:p w:rsidR="006135BC" w:rsidRDefault="006135BC" w:rsidP="002272B3">
            <w:pPr>
              <w:spacing w:line="240" w:lineRule="auto"/>
              <w:rPr>
                <w:spacing w:val="-4"/>
                <w:sz w:val="16"/>
                <w:szCs w:val="16"/>
              </w:rPr>
            </w:pPr>
            <w:r>
              <w:rPr>
                <w:spacing w:val="-4"/>
                <w:sz w:val="16"/>
                <w:szCs w:val="16"/>
              </w:rPr>
              <w:t>Z pohledu indexů stáří i ekonomického zatížení dosahovalo Česko loni stále nižších hodnot než EU.</w:t>
            </w:r>
          </w:p>
          <w:p w:rsidR="006135BC" w:rsidRPr="005E4483" w:rsidRDefault="006135BC" w:rsidP="002272B3">
            <w:pPr>
              <w:spacing w:line="240" w:lineRule="auto"/>
              <w:rPr>
                <w:spacing w:val="-4"/>
                <w:sz w:val="16"/>
                <w:szCs w:val="16"/>
              </w:rPr>
            </w:pPr>
          </w:p>
        </w:tc>
        <w:tc>
          <w:tcPr>
            <w:tcW w:w="144" w:type="pct"/>
          </w:tcPr>
          <w:p w:rsidR="006135BC" w:rsidRPr="005E4483" w:rsidRDefault="006135BC" w:rsidP="002272B3">
            <w:pPr>
              <w:pStyle w:val="Textpoznpodarou"/>
              <w:jc w:val="both"/>
              <w:rPr>
                <w:spacing w:val="-4"/>
              </w:rPr>
            </w:pPr>
          </w:p>
        </w:tc>
        <w:tc>
          <w:tcPr>
            <w:tcW w:w="3840" w:type="pct"/>
          </w:tcPr>
          <w:p w:rsidR="006135BC" w:rsidRPr="00E41BE0" w:rsidRDefault="006135BC" w:rsidP="002272B3">
            <w:pPr>
              <w:pStyle w:val="Textpoznpodarou"/>
              <w:jc w:val="both"/>
              <w:rPr>
                <w:spacing w:val="-4"/>
              </w:rPr>
            </w:pPr>
            <w:r>
              <w:rPr>
                <w:spacing w:val="-4"/>
              </w:rPr>
              <w:t xml:space="preserve">Výše uvedené tendence se promítají i v dlouhodobém zvyšování věkového mediánu. Ten v roce 2016 činil 41,5 let, proti roku 2000 byl o 4,2 roky vyšší. V Česku se přitom v úhrnu za toto období navyšoval mírnějším tempem než v EU, nicméně počínaje rokem 2014 ČR se tato disproporce postupně snižovala. Z hlediska dosažené úrovně stárnutí obyvatelstva zaujímalo Česko v roce 2016 podobné </w:t>
            </w:r>
            <w:proofErr w:type="gramStart"/>
            <w:r>
              <w:rPr>
                <w:spacing w:val="-4"/>
              </w:rPr>
              <w:t>postavení jako</w:t>
            </w:r>
            <w:proofErr w:type="gramEnd"/>
            <w:r>
              <w:rPr>
                <w:spacing w:val="-4"/>
              </w:rPr>
              <w:t xml:space="preserve"> EU </w:t>
            </w:r>
            <w:r>
              <w:rPr>
                <w:spacing w:val="-4"/>
              </w:rPr>
              <w:lastRenderedPageBreak/>
              <w:t>Dětská složka populace převažovala loni nad seniory jen ve čtyřech státech Unie (Lucembursko, Irsko, Slovensko, Kypr), v roce 2006 v patnácti zemích. Česko mělo dosud r</w:t>
            </w:r>
            <w:r w:rsidR="003E00B9">
              <w:rPr>
                <w:spacing w:val="-4"/>
              </w:rPr>
              <w:t>elativně příznivé postavení</w:t>
            </w:r>
            <w:r>
              <w:rPr>
                <w:spacing w:val="-4"/>
              </w:rPr>
              <w:t xml:space="preserve"> v indexu ekonomického zatížení</w:t>
            </w:r>
            <w:r>
              <w:rPr>
                <w:rStyle w:val="Znakapoznpodarou"/>
                <w:spacing w:val="-4"/>
              </w:rPr>
              <w:footnoteReference w:id="1"/>
            </w:r>
            <w:r>
              <w:rPr>
                <w:spacing w:val="-4"/>
              </w:rPr>
              <w:t xml:space="preserve">. Ten loni dosáhl hodnoty 51 (v EU 53, ve Francii, Švédsko či Finsku 58–59). Proti roku 2006 nerostl jen ve dvou zemích Unie, v ČR se navýšil nejvíce – o 10 </w:t>
            </w:r>
            <w:proofErr w:type="spellStart"/>
            <w:proofErr w:type="gramStart"/>
            <w:r>
              <w:rPr>
                <w:spacing w:val="-4"/>
              </w:rPr>
              <w:t>p.b</w:t>
            </w:r>
            <w:proofErr w:type="spellEnd"/>
            <w:r>
              <w:rPr>
                <w:spacing w:val="-4"/>
              </w:rPr>
              <w:t>.</w:t>
            </w:r>
            <w:proofErr w:type="gramEnd"/>
            <w:r>
              <w:rPr>
                <w:spacing w:val="-4"/>
              </w:rPr>
              <w:t xml:space="preserve"> Česko společně se Slovenskem ale patřily v roce 2006 v EU k zemím s nejnižším indexem ekonomického zatížení.</w:t>
            </w:r>
          </w:p>
        </w:tc>
      </w:tr>
    </w:tbl>
    <w:p w:rsidR="006135BC" w:rsidRPr="00C970C3" w:rsidRDefault="006135BC" w:rsidP="006135BC">
      <w:pPr>
        <w:pStyle w:val="Textpoznpodarou"/>
        <w:jc w:val="both"/>
        <w:rPr>
          <w:sz w:val="16"/>
          <w:szCs w:val="16"/>
        </w:rPr>
      </w:pPr>
    </w:p>
    <w:tbl>
      <w:tblPr>
        <w:tblW w:w="5068" w:type="pct"/>
        <w:tblInd w:w="27" w:type="dxa"/>
        <w:tblLayout w:type="fixed"/>
        <w:tblCellMar>
          <w:left w:w="28" w:type="dxa"/>
          <w:right w:w="28" w:type="dxa"/>
        </w:tblCellMar>
        <w:tblLook w:val="04A0"/>
      </w:tblPr>
      <w:tblGrid>
        <w:gridCol w:w="2270"/>
        <w:gridCol w:w="992"/>
        <w:gridCol w:w="6564"/>
      </w:tblGrid>
      <w:tr w:rsidR="006135BC" w:rsidTr="002272B3">
        <w:trPr>
          <w:trHeight w:val="192"/>
        </w:trPr>
        <w:tc>
          <w:tcPr>
            <w:tcW w:w="1155" w:type="pct"/>
          </w:tcPr>
          <w:p w:rsidR="006135BC" w:rsidRDefault="006135BC" w:rsidP="002272B3">
            <w:pPr>
              <w:spacing w:line="240" w:lineRule="auto"/>
              <w:rPr>
                <w:b/>
              </w:rPr>
            </w:pPr>
          </w:p>
        </w:tc>
        <w:tc>
          <w:tcPr>
            <w:tcW w:w="505" w:type="pct"/>
          </w:tcPr>
          <w:p w:rsidR="006135BC" w:rsidRDefault="006135BC" w:rsidP="002272B3">
            <w:pPr>
              <w:spacing w:line="240" w:lineRule="auto"/>
              <w:ind w:left="-28"/>
              <w:rPr>
                <w:b/>
              </w:rPr>
            </w:pPr>
            <w:r>
              <w:t>Graf 2.2</w:t>
            </w:r>
          </w:p>
        </w:tc>
        <w:tc>
          <w:tcPr>
            <w:tcW w:w="3340" w:type="pct"/>
          </w:tcPr>
          <w:p w:rsidR="006135BC" w:rsidRPr="00444E6D" w:rsidRDefault="006135BC" w:rsidP="002272B3">
            <w:pPr>
              <w:spacing w:line="240" w:lineRule="auto"/>
              <w:ind w:left="-28"/>
              <w:rPr>
                <w:b/>
                <w:spacing w:val="-2"/>
              </w:rPr>
            </w:pPr>
            <w:r w:rsidRPr="00444E6D">
              <w:rPr>
                <w:b/>
                <w:spacing w:val="-2"/>
              </w:rPr>
              <w:t xml:space="preserve">Hlavní ukazatele porodnosti ve </w:t>
            </w:r>
            <w:proofErr w:type="spellStart"/>
            <w:r w:rsidRPr="00444E6D">
              <w:rPr>
                <w:b/>
                <w:spacing w:val="-2"/>
              </w:rPr>
              <w:t>vybr</w:t>
            </w:r>
            <w:proofErr w:type="spellEnd"/>
            <w:r w:rsidRPr="00444E6D">
              <w:rPr>
                <w:b/>
                <w:spacing w:val="-2"/>
              </w:rPr>
              <w:t>. evropských zemích v roce 2015*</w:t>
            </w:r>
          </w:p>
        </w:tc>
      </w:tr>
      <w:tr w:rsidR="006135BC" w:rsidTr="002272B3">
        <w:trPr>
          <w:trHeight w:val="191"/>
        </w:trPr>
        <w:tc>
          <w:tcPr>
            <w:tcW w:w="1155" w:type="pct"/>
          </w:tcPr>
          <w:p w:rsidR="006135BC" w:rsidRDefault="006135BC" w:rsidP="002272B3">
            <w:pPr>
              <w:spacing w:line="240" w:lineRule="auto"/>
              <w:ind w:left="-28"/>
              <w:rPr>
                <w:b/>
              </w:rPr>
            </w:pPr>
          </w:p>
        </w:tc>
        <w:tc>
          <w:tcPr>
            <w:tcW w:w="3845" w:type="pct"/>
            <w:gridSpan w:val="2"/>
          </w:tcPr>
          <w:p w:rsidR="006135BC" w:rsidRDefault="006135BC" w:rsidP="002272B3">
            <w:pPr>
              <w:spacing w:line="240" w:lineRule="auto"/>
              <w:ind w:left="-28"/>
              <w:rPr>
                <w:b/>
              </w:rPr>
            </w:pPr>
            <w:r w:rsidRPr="00D60143">
              <w:rPr>
                <w:b/>
                <w:noProof/>
              </w:rPr>
              <w:drawing>
                <wp:inline distT="0" distB="0" distL="0" distR="0">
                  <wp:extent cx="4752000" cy="35280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6135BC" w:rsidRPr="00661D66" w:rsidTr="002272B3">
        <w:trPr>
          <w:trHeight w:val="58"/>
        </w:trPr>
        <w:tc>
          <w:tcPr>
            <w:tcW w:w="1155" w:type="pct"/>
          </w:tcPr>
          <w:p w:rsidR="006135BC" w:rsidRPr="00661D66" w:rsidRDefault="006135BC" w:rsidP="002272B3">
            <w:pPr>
              <w:pStyle w:val="Zhlav"/>
              <w:spacing w:line="240" w:lineRule="auto"/>
              <w:rPr>
                <w:rFonts w:ascii="Arial" w:hAnsi="Arial" w:cs="Arial"/>
                <w:sz w:val="18"/>
                <w:szCs w:val="18"/>
                <w:lang w:eastAsia="cs-CZ"/>
              </w:rPr>
            </w:pPr>
          </w:p>
        </w:tc>
        <w:tc>
          <w:tcPr>
            <w:tcW w:w="3845" w:type="pct"/>
            <w:gridSpan w:val="2"/>
          </w:tcPr>
          <w:p w:rsidR="006135BC" w:rsidRPr="00444E6D" w:rsidRDefault="006135BC" w:rsidP="002272B3">
            <w:pPr>
              <w:pStyle w:val="Zhlav"/>
              <w:spacing w:before="40" w:line="240" w:lineRule="auto"/>
              <w:rPr>
                <w:rFonts w:ascii="Arial" w:hAnsi="Arial" w:cs="Arial"/>
                <w:sz w:val="14"/>
                <w:szCs w:val="14"/>
                <w:lang w:eastAsia="cs-CZ"/>
              </w:rPr>
            </w:pPr>
            <w:r w:rsidRPr="00444E6D">
              <w:rPr>
                <w:rFonts w:ascii="Arial" w:hAnsi="Arial" w:cs="Arial"/>
                <w:sz w:val="14"/>
                <w:szCs w:val="14"/>
                <w:lang w:eastAsia="cs-CZ"/>
              </w:rPr>
              <w:t xml:space="preserve">*Za postsovětské státy (vyjma zemí Pobaltí) se nejaktuálnější údaje vztahují k roku 2014.                 Zdroj: ČSÚ, </w:t>
            </w:r>
            <w:proofErr w:type="spellStart"/>
            <w:r w:rsidRPr="00444E6D">
              <w:rPr>
                <w:rFonts w:ascii="Arial" w:hAnsi="Arial" w:cs="Arial"/>
                <w:sz w:val="14"/>
                <w:szCs w:val="14"/>
                <w:lang w:eastAsia="cs-CZ"/>
              </w:rPr>
              <w:t>Eurostat</w:t>
            </w:r>
            <w:proofErr w:type="spellEnd"/>
          </w:p>
        </w:tc>
      </w:tr>
    </w:tbl>
    <w:p w:rsidR="006135BC" w:rsidRPr="00C970C3" w:rsidRDefault="006135BC" w:rsidP="006135BC">
      <w:pPr>
        <w:pStyle w:val="Textpoznpodarou"/>
        <w:jc w:val="both"/>
        <w:rPr>
          <w:sz w:val="16"/>
          <w:szCs w:val="16"/>
        </w:rPr>
      </w:pPr>
    </w:p>
    <w:tbl>
      <w:tblPr>
        <w:tblW w:w="4986" w:type="pct"/>
        <w:tblInd w:w="107" w:type="dxa"/>
        <w:tblLayout w:type="fixed"/>
        <w:tblLook w:val="00A0"/>
      </w:tblPr>
      <w:tblGrid>
        <w:gridCol w:w="1997"/>
        <w:gridCol w:w="283"/>
        <w:gridCol w:w="7546"/>
      </w:tblGrid>
      <w:tr w:rsidR="006135BC" w:rsidRPr="00DE32DB" w:rsidTr="002272B3">
        <w:trPr>
          <w:trHeight w:val="145"/>
        </w:trPr>
        <w:tc>
          <w:tcPr>
            <w:tcW w:w="1016" w:type="pct"/>
          </w:tcPr>
          <w:p w:rsidR="006135BC" w:rsidRDefault="006135BC" w:rsidP="002272B3">
            <w:pPr>
              <w:spacing w:line="240" w:lineRule="auto"/>
              <w:rPr>
                <w:color w:val="0D0D0D"/>
                <w:spacing w:val="-4"/>
                <w:sz w:val="16"/>
                <w:szCs w:val="16"/>
              </w:rPr>
            </w:pPr>
            <w:r>
              <w:rPr>
                <w:color w:val="0D0D0D"/>
                <w:spacing w:val="-4"/>
                <w:sz w:val="16"/>
                <w:szCs w:val="16"/>
              </w:rPr>
              <w:t xml:space="preserve">Úhrnná plodnost vzrostla již pátým rok v řadě a přiblížila se úrovni EU, navyšování průměrného věku matek se v roce 2016 poprvé od počátku 90. let zastavilo. </w:t>
            </w: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p>
          <w:p w:rsidR="006135BC" w:rsidRPr="00DE32DB" w:rsidRDefault="006135BC" w:rsidP="002272B3">
            <w:pPr>
              <w:spacing w:line="240" w:lineRule="auto"/>
              <w:rPr>
                <w:color w:val="0D0D0D"/>
                <w:spacing w:val="-4"/>
                <w:sz w:val="16"/>
                <w:szCs w:val="16"/>
              </w:rPr>
            </w:pPr>
            <w:r>
              <w:rPr>
                <w:color w:val="0D0D0D"/>
                <w:spacing w:val="-4"/>
                <w:sz w:val="16"/>
                <w:szCs w:val="16"/>
              </w:rPr>
              <w:t>Počet uzavřených sňatků byl nejvyšší za posledních osm let, intenzita rozvodovosti mírně poklesla, zůstávala však nadále vysoká.</w:t>
            </w:r>
          </w:p>
        </w:tc>
        <w:tc>
          <w:tcPr>
            <w:tcW w:w="144" w:type="pct"/>
          </w:tcPr>
          <w:p w:rsidR="006135BC" w:rsidRPr="00567A02" w:rsidRDefault="006135BC" w:rsidP="002272B3">
            <w:pPr>
              <w:pStyle w:val="Textpoznpodarou"/>
              <w:jc w:val="both"/>
              <w:rPr>
                <w:color w:val="0D0D0D"/>
                <w:spacing w:val="-4"/>
              </w:rPr>
            </w:pPr>
          </w:p>
        </w:tc>
        <w:tc>
          <w:tcPr>
            <w:tcW w:w="3840" w:type="pct"/>
          </w:tcPr>
          <w:p w:rsidR="006135BC" w:rsidRDefault="006135BC" w:rsidP="002272B3">
            <w:pPr>
              <w:pStyle w:val="Textpoznpodarou"/>
              <w:jc w:val="both"/>
              <w:rPr>
                <w:color w:val="0D0D0D"/>
                <w:spacing w:val="-4"/>
              </w:rPr>
            </w:pPr>
            <w:r>
              <w:rPr>
                <w:color w:val="0D0D0D"/>
                <w:spacing w:val="-4"/>
              </w:rPr>
              <w:t>Již pátým rokem v řadě pokračoval mírný růst úhrnné plodnosti (na 1,63 dítěte na jednu ženu v roce 2016, o pět let dříve 1,43). Rostl počet živě narozených ve všech pořadích narození. Dlouhodobě se navyšuje podíl dětí narozených mimo manželství, byť v posledních dvou letech již slabším tempem (v roce 2016 činil 48,6 %). Poprvé od roku 2009 se meziročně nesnížil počet dětí narozených vdaným ženám. Podíl mimomanželských dětí na všech živě narozených je tradičně výrazně diferencováno dle vzdělání a regionu bydliště matky. Průměrný věk matek při narození dítěte činil rovných 30 let, jeho růst se poprvé po roce 1991 zastavil (což platilo i o průměrném věku prvorodiček). I tak patřil společně se Slovinskem, Chorvatskem a Estonskem k nejvyšším z novějších členských států EU. V roce 2016 se zastavil také dlouhodobý růst průměrného věku při prvním sňatku. U mužů činil 32,2 let, u žen 29,9 (o 1,7 roků více než při narození prvního dítěte). Počet uzavřených sňatků rostl již třetí rok v řadě a byl nejvyšší za posledních osm let. Zvyšovala se intenzita sňatečnosti svobodných, ale i rozvedených. Intenzita rozvodovosti mírně poklesla, zůstávala však v historickém i evropském kontextu vysoká. Úhrnná rozvodovost činila v roce 2016 45,2 %, v dosud rekordním roce 2010 pak 50,0 %. Pětina rozvodů připadá dlouhodobě na rozvody opakované. Průměrná délka trvání manželství narůstala (na 13,1 let z 12,0 let v roce 2006). V roce 2016 se mírně navýšil i podíl rozvedených manželství s nezletilými dětmi (na 58,9 %). V nově rozvedených rodinách žilo 22,9 tis. dětí (o 13,6 % méně než v roce 2010).</w:t>
            </w:r>
          </w:p>
          <w:p w:rsidR="006135BC" w:rsidRPr="00567A02" w:rsidRDefault="006135BC" w:rsidP="002272B3">
            <w:pPr>
              <w:pStyle w:val="Textpoznpodarou"/>
              <w:jc w:val="both"/>
              <w:rPr>
                <w:color w:val="0D0D0D"/>
                <w:spacing w:val="-4"/>
                <w:sz w:val="14"/>
                <w:szCs w:val="14"/>
              </w:rPr>
            </w:pPr>
          </w:p>
        </w:tc>
      </w:tr>
      <w:tr w:rsidR="006135BC" w:rsidRPr="00A74192" w:rsidTr="002272B3">
        <w:trPr>
          <w:trHeight w:val="145"/>
        </w:trPr>
        <w:tc>
          <w:tcPr>
            <w:tcW w:w="1016" w:type="pct"/>
            <w:shd w:val="clear" w:color="auto" w:fill="auto"/>
          </w:tcPr>
          <w:p w:rsidR="006135BC" w:rsidRPr="008B59E9" w:rsidRDefault="006135BC" w:rsidP="002272B3">
            <w:pPr>
              <w:spacing w:line="240" w:lineRule="auto"/>
              <w:rPr>
                <w:spacing w:val="-4"/>
                <w:sz w:val="16"/>
                <w:szCs w:val="16"/>
              </w:rPr>
            </w:pPr>
            <w:r w:rsidRPr="008B59E9">
              <w:rPr>
                <w:spacing w:val="-4"/>
                <w:sz w:val="16"/>
                <w:szCs w:val="16"/>
              </w:rPr>
              <w:t>Růst stře</w:t>
            </w:r>
            <w:r>
              <w:rPr>
                <w:spacing w:val="-4"/>
                <w:sz w:val="16"/>
                <w:szCs w:val="16"/>
              </w:rPr>
              <w:t>dní délky života po jednoletém</w:t>
            </w:r>
            <w:r w:rsidRPr="008B59E9">
              <w:rPr>
                <w:spacing w:val="-4"/>
                <w:sz w:val="16"/>
                <w:szCs w:val="16"/>
              </w:rPr>
              <w:t xml:space="preserve"> výkyvu v roce 2015 pokračoval,…</w:t>
            </w:r>
          </w:p>
          <w:p w:rsidR="006135BC" w:rsidRDefault="006135BC" w:rsidP="002272B3">
            <w:pPr>
              <w:spacing w:line="240" w:lineRule="auto"/>
              <w:rPr>
                <w:spacing w:val="-2"/>
                <w:sz w:val="16"/>
                <w:szCs w:val="16"/>
              </w:rPr>
            </w:pPr>
            <w:r>
              <w:rPr>
                <w:spacing w:val="-2"/>
                <w:sz w:val="16"/>
                <w:szCs w:val="16"/>
              </w:rPr>
              <w:t xml:space="preserve">…odstup Česka od EU15 i nejlépe situovaných </w:t>
            </w:r>
            <w:r>
              <w:rPr>
                <w:spacing w:val="-2"/>
                <w:sz w:val="16"/>
                <w:szCs w:val="16"/>
              </w:rPr>
              <w:lastRenderedPageBreak/>
              <w:t>novějších členských zemí EU se však nesnižoval.</w:t>
            </w: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r>
              <w:rPr>
                <w:spacing w:val="-2"/>
                <w:sz w:val="16"/>
                <w:szCs w:val="16"/>
              </w:rPr>
              <w:t>Za stagnací úhrnné potratovosti po roce 2010 stál hlavně vyšší počet samovolných potratů doprovázený poklesem počtu indukovaných potratů.</w:t>
            </w:r>
          </w:p>
          <w:p w:rsidR="006135BC" w:rsidRPr="00E7316A" w:rsidRDefault="006135BC" w:rsidP="002272B3">
            <w:pPr>
              <w:spacing w:line="240" w:lineRule="auto"/>
              <w:rPr>
                <w:spacing w:val="-2"/>
                <w:sz w:val="16"/>
                <w:szCs w:val="16"/>
              </w:rPr>
            </w:pPr>
          </w:p>
        </w:tc>
        <w:tc>
          <w:tcPr>
            <w:tcW w:w="144" w:type="pct"/>
          </w:tcPr>
          <w:p w:rsidR="006135BC" w:rsidRPr="005E4483" w:rsidRDefault="006135BC" w:rsidP="002272B3">
            <w:pPr>
              <w:pStyle w:val="Textpoznpodarou"/>
              <w:jc w:val="both"/>
              <w:rPr>
                <w:spacing w:val="-4"/>
              </w:rPr>
            </w:pPr>
          </w:p>
        </w:tc>
        <w:tc>
          <w:tcPr>
            <w:tcW w:w="3840" w:type="pct"/>
          </w:tcPr>
          <w:p w:rsidR="006135BC" w:rsidRPr="003207B3" w:rsidRDefault="006135BC" w:rsidP="002272B3">
            <w:pPr>
              <w:pStyle w:val="Textpoznpodarou"/>
              <w:jc w:val="both"/>
              <w:rPr>
                <w:spacing w:val="-4"/>
              </w:rPr>
            </w:pPr>
            <w:r>
              <w:rPr>
                <w:spacing w:val="-4"/>
              </w:rPr>
              <w:t>Pokračoval trend zvyšování střední délky života. Ta se v roce 2016 u</w:t>
            </w:r>
            <w:r>
              <w:rPr>
                <w:color w:val="0D0D0D"/>
                <w:spacing w:val="-4"/>
              </w:rPr>
              <w:t> </w:t>
            </w:r>
            <w:r>
              <w:rPr>
                <w:spacing w:val="-4"/>
              </w:rPr>
              <w:t xml:space="preserve">mužů meziročně zvýšila o 0,4 roku (na 76,2 let), u žen o 0,6 roku (na 82,1 let). Rok 2015 přinesl v ČR jednorázové vybočení z trendu, neboť střední délka života vlivem výrazně zvýšené úmrtnosti v zimním období u mužů stagnovala, u žen dokonce o 0,2 roku poklesla. </w:t>
            </w:r>
            <w:r w:rsidRPr="006135BC">
              <w:rPr>
                <w:spacing w:val="-2"/>
              </w:rPr>
              <w:lastRenderedPageBreak/>
              <w:t>Rozdíly mezi kraji s nejnižší a nejvyšší střední délkou života se dlouhodobě nesnižují, v období 2015-2016 byly u mužů 4,0 let a u žen 3,2 let</w:t>
            </w:r>
            <w:r w:rsidRPr="006135BC">
              <w:rPr>
                <w:rStyle w:val="Znakapoznpodarou"/>
                <w:spacing w:val="-2"/>
              </w:rPr>
              <w:footnoteReference w:id="2"/>
            </w:r>
            <w:r w:rsidRPr="006135BC">
              <w:rPr>
                <w:spacing w:val="-2"/>
              </w:rPr>
              <w:t>. Střední délka života v ČR byla v roce 2015 mezi státy, které vstoupily do EU po roce 2000, čtvrtá, resp. pátá nejvyšší (u mužů, resp. žen). Odstup od nejlépe situovaných novějších členských států (Malta, Kypr a Slovinsko) i od EU15 (v roce 2015 u mužů 3,</w:t>
            </w:r>
            <w:r>
              <w:rPr>
                <w:spacing w:val="-2"/>
              </w:rPr>
              <w:t>6 let, u</w:t>
            </w:r>
            <w:r w:rsidRPr="006135BC">
              <w:rPr>
                <w:spacing w:val="-2"/>
              </w:rPr>
              <w:t> žen 2,5 let) se dlouhodobě významně nemění. Naopak u kojenecké úmrtnosti patří Česko po roce 2000 stabilně k nejvyspělejším evropským státům. Nic na tom nezměnilo ani její mírné navýšení v roce 2016 (na 2,8 promile, nejvyšší hodnota po roce 2009). Intenzita potratovosti měřená úhrnnou potratovostí v roce 2016 dosáhla 0,51 potratu na jednu ženu. Její výše od roku 2010 v ČR stagnovala (po silných poklesech v předchozích dvou dekádách). Za stagnací v posledních letech stál hlavně dlouhodobý mírný růst samovolné potratovosti související částečně s rostoucím věkem matek. V roce 2016 skončilo potratem 24,1 % všech těhotenství, nejméně v novodobé historii. Intenzita indukované potratovosti v Ústeckém či Karlovarském kraji dlouhodobě převyšuje úroveň ve Zlínském kraji, Kraji Vysočina či Pardubickém kraji zhruba dvojnásobně.</w:t>
            </w:r>
          </w:p>
        </w:tc>
      </w:tr>
    </w:tbl>
    <w:p w:rsidR="006135BC" w:rsidRPr="009638F0" w:rsidRDefault="006135BC" w:rsidP="006135BC">
      <w:pPr>
        <w:pStyle w:val="Textpoznpodarou"/>
        <w:jc w:val="both"/>
        <w:rPr>
          <w:sz w:val="16"/>
          <w:szCs w:val="16"/>
        </w:rPr>
      </w:pPr>
    </w:p>
    <w:tbl>
      <w:tblPr>
        <w:tblW w:w="5068" w:type="pct"/>
        <w:tblInd w:w="27" w:type="dxa"/>
        <w:tblLayout w:type="fixed"/>
        <w:tblCellMar>
          <w:left w:w="28" w:type="dxa"/>
          <w:right w:w="28" w:type="dxa"/>
        </w:tblCellMar>
        <w:tblLook w:val="04A0"/>
      </w:tblPr>
      <w:tblGrid>
        <w:gridCol w:w="2270"/>
        <w:gridCol w:w="992"/>
        <w:gridCol w:w="6564"/>
      </w:tblGrid>
      <w:tr w:rsidR="006135BC" w:rsidTr="002272B3">
        <w:trPr>
          <w:trHeight w:val="192"/>
        </w:trPr>
        <w:tc>
          <w:tcPr>
            <w:tcW w:w="1155" w:type="pct"/>
          </w:tcPr>
          <w:p w:rsidR="006135BC" w:rsidRDefault="006135BC" w:rsidP="002272B3">
            <w:pPr>
              <w:spacing w:line="240" w:lineRule="auto"/>
              <w:rPr>
                <w:b/>
              </w:rPr>
            </w:pPr>
          </w:p>
        </w:tc>
        <w:tc>
          <w:tcPr>
            <w:tcW w:w="505" w:type="pct"/>
          </w:tcPr>
          <w:p w:rsidR="006135BC" w:rsidRDefault="006135BC" w:rsidP="002272B3">
            <w:pPr>
              <w:spacing w:line="240" w:lineRule="auto"/>
              <w:ind w:left="-28"/>
              <w:rPr>
                <w:b/>
              </w:rPr>
            </w:pPr>
            <w:r>
              <w:t>Graf 2.3</w:t>
            </w:r>
          </w:p>
        </w:tc>
        <w:tc>
          <w:tcPr>
            <w:tcW w:w="3340" w:type="pct"/>
          </w:tcPr>
          <w:p w:rsidR="006135BC" w:rsidRPr="00444E6D" w:rsidRDefault="006135BC" w:rsidP="002272B3">
            <w:pPr>
              <w:spacing w:line="240" w:lineRule="auto"/>
              <w:ind w:left="-28"/>
              <w:rPr>
                <w:b/>
                <w:spacing w:val="-2"/>
              </w:rPr>
            </w:pPr>
            <w:r>
              <w:rPr>
                <w:b/>
              </w:rPr>
              <w:t>Střední délka života v EU28, ČR, Španělsku a Bulharsku</w:t>
            </w:r>
            <w:r w:rsidRPr="00F5087F">
              <w:t xml:space="preserve"> (v letech)</w:t>
            </w:r>
          </w:p>
        </w:tc>
      </w:tr>
      <w:tr w:rsidR="006135BC" w:rsidTr="002272B3">
        <w:trPr>
          <w:trHeight w:val="191"/>
        </w:trPr>
        <w:tc>
          <w:tcPr>
            <w:tcW w:w="1155" w:type="pct"/>
          </w:tcPr>
          <w:p w:rsidR="006135BC" w:rsidRDefault="006135BC" w:rsidP="002272B3">
            <w:pPr>
              <w:spacing w:line="240" w:lineRule="auto"/>
              <w:ind w:left="-28"/>
              <w:rPr>
                <w:b/>
              </w:rPr>
            </w:pPr>
          </w:p>
        </w:tc>
        <w:tc>
          <w:tcPr>
            <w:tcW w:w="3845" w:type="pct"/>
            <w:gridSpan w:val="2"/>
          </w:tcPr>
          <w:p w:rsidR="006135BC" w:rsidRDefault="006135BC" w:rsidP="002272B3">
            <w:pPr>
              <w:spacing w:line="240" w:lineRule="auto"/>
              <w:ind w:left="-28"/>
              <w:rPr>
                <w:b/>
              </w:rPr>
            </w:pPr>
            <w:r w:rsidRPr="00531A28">
              <w:rPr>
                <w:b/>
                <w:noProof/>
              </w:rPr>
              <w:drawing>
                <wp:inline distT="0" distB="0" distL="0" distR="0">
                  <wp:extent cx="4742731" cy="3623094"/>
                  <wp:effectExtent l="1905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6135BC" w:rsidRPr="00661D66" w:rsidTr="002272B3">
        <w:trPr>
          <w:trHeight w:val="58"/>
        </w:trPr>
        <w:tc>
          <w:tcPr>
            <w:tcW w:w="1155" w:type="pct"/>
          </w:tcPr>
          <w:p w:rsidR="006135BC" w:rsidRPr="00661D66" w:rsidRDefault="006135BC" w:rsidP="002272B3">
            <w:pPr>
              <w:pStyle w:val="Zhlav"/>
              <w:spacing w:line="240" w:lineRule="auto"/>
              <w:rPr>
                <w:rFonts w:ascii="Arial" w:hAnsi="Arial" w:cs="Arial"/>
                <w:sz w:val="18"/>
                <w:szCs w:val="18"/>
                <w:lang w:eastAsia="cs-CZ"/>
              </w:rPr>
            </w:pPr>
          </w:p>
        </w:tc>
        <w:tc>
          <w:tcPr>
            <w:tcW w:w="3845" w:type="pct"/>
            <w:gridSpan w:val="2"/>
          </w:tcPr>
          <w:p w:rsidR="006135BC" w:rsidRPr="009638F0" w:rsidRDefault="006135BC" w:rsidP="002272B3">
            <w:pPr>
              <w:pStyle w:val="Zhlav"/>
              <w:spacing w:before="40" w:line="240" w:lineRule="auto"/>
              <w:jc w:val="right"/>
              <w:rPr>
                <w:rFonts w:ascii="Arial" w:hAnsi="Arial" w:cs="Arial"/>
                <w:sz w:val="14"/>
                <w:szCs w:val="14"/>
                <w:lang w:eastAsia="cs-CZ"/>
              </w:rPr>
            </w:pPr>
            <w:r w:rsidRPr="009638F0">
              <w:rPr>
                <w:rFonts w:ascii="Arial" w:hAnsi="Arial" w:cs="Arial"/>
                <w:sz w:val="14"/>
                <w:szCs w:val="14"/>
                <w:lang w:eastAsia="cs-CZ"/>
              </w:rPr>
              <w:t xml:space="preserve">Zdroj: ČSÚ, </w:t>
            </w:r>
            <w:proofErr w:type="spellStart"/>
            <w:r w:rsidRPr="009638F0">
              <w:rPr>
                <w:rFonts w:ascii="Arial" w:hAnsi="Arial" w:cs="Arial"/>
                <w:sz w:val="14"/>
                <w:szCs w:val="14"/>
                <w:lang w:eastAsia="cs-CZ"/>
              </w:rPr>
              <w:t>Eurostat</w:t>
            </w:r>
            <w:proofErr w:type="spellEnd"/>
          </w:p>
        </w:tc>
      </w:tr>
    </w:tbl>
    <w:p w:rsidR="006135BC" w:rsidRPr="009638F0" w:rsidRDefault="006135BC" w:rsidP="006135BC">
      <w:pPr>
        <w:pStyle w:val="Textpoznpodarou"/>
        <w:jc w:val="both"/>
        <w:rPr>
          <w:sz w:val="16"/>
          <w:szCs w:val="16"/>
        </w:rPr>
      </w:pPr>
    </w:p>
    <w:tbl>
      <w:tblPr>
        <w:tblW w:w="4986" w:type="pct"/>
        <w:tblInd w:w="107" w:type="dxa"/>
        <w:tblLayout w:type="fixed"/>
        <w:tblLook w:val="00A0"/>
      </w:tblPr>
      <w:tblGrid>
        <w:gridCol w:w="1997"/>
        <w:gridCol w:w="283"/>
        <w:gridCol w:w="7546"/>
      </w:tblGrid>
      <w:tr w:rsidR="006135BC" w:rsidRPr="00DE32DB" w:rsidTr="002272B3">
        <w:trPr>
          <w:trHeight w:val="145"/>
        </w:trPr>
        <w:tc>
          <w:tcPr>
            <w:tcW w:w="1016" w:type="pct"/>
          </w:tcPr>
          <w:p w:rsidR="006135BC" w:rsidRPr="006B5FAA" w:rsidRDefault="006135BC" w:rsidP="002272B3">
            <w:pPr>
              <w:spacing w:line="240" w:lineRule="auto"/>
              <w:rPr>
                <w:color w:val="0D0D0D"/>
                <w:spacing w:val="-4"/>
                <w:sz w:val="16"/>
                <w:szCs w:val="16"/>
              </w:rPr>
            </w:pPr>
            <w:r w:rsidRPr="006B5FAA">
              <w:rPr>
                <w:color w:val="0D0D0D"/>
                <w:spacing w:val="-4"/>
                <w:sz w:val="16"/>
                <w:szCs w:val="16"/>
              </w:rPr>
              <w:t xml:space="preserve">Česko vykazuje dlouhodobě kladné saldo zahraničního stěhování, jeho výše </w:t>
            </w:r>
            <w:r>
              <w:rPr>
                <w:color w:val="0D0D0D"/>
                <w:spacing w:val="-4"/>
                <w:sz w:val="16"/>
                <w:szCs w:val="16"/>
              </w:rPr>
              <w:t xml:space="preserve">se </w:t>
            </w:r>
            <w:r w:rsidRPr="006B5FAA">
              <w:rPr>
                <w:color w:val="0D0D0D"/>
                <w:spacing w:val="-4"/>
                <w:sz w:val="16"/>
                <w:szCs w:val="16"/>
              </w:rPr>
              <w:t>v letech 2014-</w:t>
            </w:r>
            <w:r>
              <w:rPr>
                <w:color w:val="0D0D0D"/>
                <w:spacing w:val="-4"/>
                <w:sz w:val="16"/>
                <w:szCs w:val="16"/>
              </w:rPr>
              <w:t>20</w:t>
            </w:r>
            <w:r w:rsidRPr="006B5FAA">
              <w:rPr>
                <w:color w:val="0D0D0D"/>
                <w:spacing w:val="-4"/>
                <w:sz w:val="16"/>
                <w:szCs w:val="16"/>
              </w:rPr>
              <w:t xml:space="preserve">16 </w:t>
            </w:r>
            <w:r>
              <w:rPr>
                <w:color w:val="0D0D0D"/>
                <w:spacing w:val="-4"/>
                <w:sz w:val="16"/>
                <w:szCs w:val="16"/>
              </w:rPr>
              <w:t>zásadně neměnila</w:t>
            </w:r>
            <w:r w:rsidRPr="006B5FAA">
              <w:rPr>
                <w:color w:val="0D0D0D"/>
                <w:spacing w:val="-4"/>
                <w:sz w:val="16"/>
                <w:szCs w:val="16"/>
              </w:rPr>
              <w:t>.</w:t>
            </w: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p>
          <w:p w:rsidR="006135BC" w:rsidRDefault="006135BC" w:rsidP="002272B3">
            <w:pPr>
              <w:spacing w:line="240" w:lineRule="auto"/>
              <w:rPr>
                <w:color w:val="0D0D0D"/>
                <w:spacing w:val="-4"/>
                <w:sz w:val="16"/>
                <w:szCs w:val="16"/>
              </w:rPr>
            </w:pPr>
            <w:r>
              <w:rPr>
                <w:color w:val="0D0D0D"/>
                <w:spacing w:val="-4"/>
                <w:sz w:val="16"/>
                <w:szCs w:val="16"/>
              </w:rPr>
              <w:t xml:space="preserve">Rostoucí napětí na pracovním trhu v Česku pomáhají tlumit migranti z chudších států Unie, </w:t>
            </w:r>
          </w:p>
          <w:p w:rsidR="006135BC" w:rsidRPr="00DE32DB" w:rsidRDefault="006135BC" w:rsidP="002272B3">
            <w:pPr>
              <w:spacing w:line="240" w:lineRule="auto"/>
              <w:rPr>
                <w:color w:val="0D0D0D"/>
                <w:spacing w:val="-4"/>
                <w:sz w:val="16"/>
                <w:szCs w:val="16"/>
              </w:rPr>
            </w:pPr>
            <w:r>
              <w:rPr>
                <w:color w:val="0D0D0D"/>
                <w:spacing w:val="-4"/>
                <w:sz w:val="16"/>
                <w:szCs w:val="16"/>
              </w:rPr>
              <w:t>kteří mohou profitovat z práva volného pohybu.</w:t>
            </w:r>
          </w:p>
        </w:tc>
        <w:tc>
          <w:tcPr>
            <w:tcW w:w="144" w:type="pct"/>
          </w:tcPr>
          <w:p w:rsidR="006135BC" w:rsidRPr="00567A02" w:rsidRDefault="006135BC" w:rsidP="002272B3">
            <w:pPr>
              <w:pStyle w:val="Textpoznpodarou"/>
              <w:jc w:val="both"/>
              <w:rPr>
                <w:color w:val="0D0D0D"/>
                <w:spacing w:val="-4"/>
              </w:rPr>
            </w:pPr>
          </w:p>
        </w:tc>
        <w:tc>
          <w:tcPr>
            <w:tcW w:w="3840" w:type="pct"/>
          </w:tcPr>
          <w:p w:rsidR="006135BC" w:rsidRDefault="006135BC" w:rsidP="002272B3">
            <w:pPr>
              <w:pStyle w:val="Textpoznpodarou"/>
              <w:jc w:val="both"/>
              <w:rPr>
                <w:color w:val="0D0D0D"/>
                <w:spacing w:val="-4"/>
              </w:rPr>
            </w:pPr>
            <w:r>
              <w:rPr>
                <w:color w:val="0D0D0D"/>
                <w:spacing w:val="-4"/>
              </w:rPr>
              <w:t>Česko získalo v roce 2016 zahraničním stěhováním 20,1 tis. obyvatel, šlo o druhou nejvyšší hodnotu po roce 2009. Celkový obrat stěhování však v posledních pěti letech spíše stagnoval. Zahraniční migrace má dlouhodobě v Česku převážně pracovní charakter, čemuž odpovídá převaha mužů i osob mladšího produktivního věku mezi přistěhovalými. Růst poptávky po zahraničních pracovnících byl posílen zvyšujícím se napětím na trhu práce, neboť tuzemské podniky v průběhu roku 2016 nacházely vhodné zaměstnance z „domácích zdrojů“ stále obtížněji. Nejvýznamnější skupinu migrantů (dle občanství) přispívající k růstu populace ČR tvoří od roku 2011 Slováci. Významně narůstá četnost osob z ostatních méně vyspělých států EU, které na tuzemském pracovním trhu dosud tvořily spíše okrajovou skupinu (Rumunsko, Bulharsko, Maďarsko). Naopak silnějšímu přílivu pracovníků ze zemí mimo Unii bránily především administrativní překážky. Migrační výměnou s Ukrajinou získala ČR 3,3 tis. osob (v roce 2007 téměř desetkrát více), poprvé od roku 2011 bylo loni kladné i saldo s Vietnamem (0,5 tis. – v podobném rozsahu jako u občanů Ruska).</w:t>
            </w:r>
          </w:p>
          <w:p w:rsidR="006135BC" w:rsidRPr="006C14F9" w:rsidRDefault="006135BC" w:rsidP="002272B3">
            <w:pPr>
              <w:pStyle w:val="Textpoznpodarou"/>
              <w:jc w:val="both"/>
              <w:rPr>
                <w:color w:val="0D0D0D"/>
                <w:spacing w:val="-4"/>
              </w:rPr>
            </w:pPr>
          </w:p>
        </w:tc>
      </w:tr>
      <w:tr w:rsidR="006135BC" w:rsidRPr="00A74192" w:rsidTr="002272B3">
        <w:trPr>
          <w:trHeight w:val="145"/>
        </w:trPr>
        <w:tc>
          <w:tcPr>
            <w:tcW w:w="1016" w:type="pct"/>
            <w:shd w:val="clear" w:color="auto" w:fill="auto"/>
          </w:tcPr>
          <w:p w:rsidR="006135BC" w:rsidRDefault="006135BC" w:rsidP="002272B3">
            <w:pPr>
              <w:spacing w:line="240" w:lineRule="auto"/>
              <w:rPr>
                <w:spacing w:val="-2"/>
                <w:sz w:val="16"/>
                <w:szCs w:val="16"/>
              </w:rPr>
            </w:pPr>
            <w:r>
              <w:rPr>
                <w:spacing w:val="-2"/>
                <w:sz w:val="16"/>
                <w:szCs w:val="16"/>
              </w:rPr>
              <w:lastRenderedPageBreak/>
              <w:t>Růst počtu všech legálně pobývajících cizinců v ČR v roce 2016 zrychlil a těšně se přiblížil půlmiliónové hranici.</w:t>
            </w: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Default="006135BC" w:rsidP="002272B3">
            <w:pPr>
              <w:spacing w:line="240" w:lineRule="auto"/>
              <w:rPr>
                <w:spacing w:val="-2"/>
                <w:sz w:val="16"/>
                <w:szCs w:val="16"/>
              </w:rPr>
            </w:pPr>
          </w:p>
          <w:p w:rsidR="006135BC" w:rsidRPr="00E7316A" w:rsidRDefault="006135BC" w:rsidP="002272B3">
            <w:pPr>
              <w:spacing w:line="240" w:lineRule="auto"/>
              <w:rPr>
                <w:spacing w:val="-2"/>
                <w:sz w:val="16"/>
                <w:szCs w:val="16"/>
              </w:rPr>
            </w:pPr>
            <w:r>
              <w:rPr>
                <w:spacing w:val="-2"/>
                <w:sz w:val="16"/>
                <w:szCs w:val="16"/>
              </w:rPr>
              <w:t>Díky zahraniční migraci rostl loni počet obyvatel ve všech krajích, vlivem vnitřního stěhování jen ve čtyřech regionech.</w:t>
            </w:r>
          </w:p>
        </w:tc>
        <w:tc>
          <w:tcPr>
            <w:tcW w:w="144" w:type="pct"/>
          </w:tcPr>
          <w:p w:rsidR="006135BC" w:rsidRPr="005E4483" w:rsidRDefault="006135BC" w:rsidP="002272B3">
            <w:pPr>
              <w:pStyle w:val="Textpoznpodarou"/>
              <w:jc w:val="both"/>
              <w:rPr>
                <w:spacing w:val="-4"/>
              </w:rPr>
            </w:pPr>
          </w:p>
        </w:tc>
        <w:tc>
          <w:tcPr>
            <w:tcW w:w="3840" w:type="pct"/>
          </w:tcPr>
          <w:p w:rsidR="006135BC" w:rsidRPr="00141C7F" w:rsidRDefault="006135BC" w:rsidP="002272B3">
            <w:pPr>
              <w:pStyle w:val="Textpoznpodarou"/>
              <w:jc w:val="both"/>
              <w:rPr>
                <w:spacing w:val="-4"/>
              </w:rPr>
            </w:pPr>
            <w:r>
              <w:rPr>
                <w:spacing w:val="-4"/>
              </w:rPr>
              <w:t xml:space="preserve">Počet cizinců žijících v ČR se </w:t>
            </w:r>
            <w:r w:rsidRPr="00CB35FF">
              <w:rPr>
                <w:spacing w:val="-4"/>
              </w:rPr>
              <w:t xml:space="preserve">(dle </w:t>
            </w:r>
            <w:r w:rsidRPr="00CB35FF">
              <w:t>údajů Ředitelství služby cizinecké policie)</w:t>
            </w:r>
            <w:r w:rsidRPr="00CB35FF">
              <w:rPr>
                <w:spacing w:val="-4"/>
              </w:rPr>
              <w:t xml:space="preserve"> na</w:t>
            </w:r>
            <w:r>
              <w:rPr>
                <w:spacing w:val="-4"/>
              </w:rPr>
              <w:t xml:space="preserve"> konci roku 2016 těsně přiblížil 500 tis (proti roku 2010 byl vyšší o šestinu). Z tohoto počtu připadalo 22 % na občany jak Slovenska, tak Ukrajiny, 12 % na osoby z Vietnamu. Plných 55 % všech cizinců mělo v ČR trvalý pobyt, růst zastoupení této skupiny se však loni po sedmi letech zastavil. Polovina všech cizinců pobývala v Praze nebo ve Středočeském kraji. Cizinci s pobytem nad 12 měsíců tvořili 4,5 % obyvatel Česka, v Praze ale 14,0 %. Počet všech cizinců se zvýšil ve všech krajích, což bylo patrné i z kladného salda zahraničního stěhování dle demografické statistiky ČSÚ. Naopak z vnitřního stěhování (v rámci ČR) profitovaly v roce 2016 jen čtyři regiony – nejvíce Středočeský kraj následovaný Prahou (s </w:t>
            </w:r>
            <w:r w:rsidR="0055420D">
              <w:rPr>
                <w:spacing w:val="-4"/>
              </w:rPr>
              <w:t>nejvyšším saldem od počátku 90. </w:t>
            </w:r>
            <w:r>
              <w:rPr>
                <w:spacing w:val="-4"/>
              </w:rPr>
              <w:t xml:space="preserve">let). I přes posílení pozice Prahy pokračovaly také v roce 2016 dlouhodobé migrační trendy – </w:t>
            </w:r>
            <w:proofErr w:type="spellStart"/>
            <w:r>
              <w:rPr>
                <w:spacing w:val="-4"/>
              </w:rPr>
              <w:t>suburbanizační</w:t>
            </w:r>
            <w:proofErr w:type="spellEnd"/>
            <w:r>
              <w:rPr>
                <w:spacing w:val="-4"/>
              </w:rPr>
              <w:t xml:space="preserve"> procesy, ale i</w:t>
            </w:r>
            <w:r>
              <w:rPr>
                <w:color w:val="0D0D0D"/>
                <w:spacing w:val="-4"/>
              </w:rPr>
              <w:t> </w:t>
            </w:r>
            <w:r>
              <w:rPr>
                <w:spacing w:val="-4"/>
              </w:rPr>
              <w:t>vylidňování (přirozeným, zčásti i migračním pohybem) u malých periferně položených obcí s nedostatkem pracovních příležitostí a</w:t>
            </w:r>
            <w:r>
              <w:rPr>
                <w:color w:val="0D0D0D"/>
                <w:spacing w:val="-4"/>
              </w:rPr>
              <w:t> </w:t>
            </w:r>
            <w:r>
              <w:rPr>
                <w:spacing w:val="-4"/>
              </w:rPr>
              <w:t>nižší úrovní občanské vybavenosti. Objem vnitřního stěhování se zvýšil již pátý rok v řadě, bylo zaznamenáno 250,7 tis. změn adres trvalého bydliště mezi obcemi</w:t>
            </w:r>
            <w:r w:rsidRPr="00BA24F5">
              <w:rPr>
                <w:color w:val="FF0000"/>
                <w:spacing w:val="-4"/>
              </w:rPr>
              <w:t xml:space="preserve">. </w:t>
            </w:r>
            <w:r w:rsidRPr="007D4BC1">
              <w:rPr>
                <w:color w:val="0D0D0D" w:themeColor="text1" w:themeTint="F2"/>
                <w:spacing w:val="-4"/>
              </w:rPr>
              <w:t xml:space="preserve">Na meziročním růstu </w:t>
            </w:r>
            <w:r>
              <w:rPr>
                <w:color w:val="0D0D0D" w:themeColor="text1" w:themeTint="F2"/>
                <w:spacing w:val="-4"/>
              </w:rPr>
              <w:t xml:space="preserve">objemu migrace se nejvíce podílela </w:t>
            </w:r>
            <w:proofErr w:type="spellStart"/>
            <w:r>
              <w:rPr>
                <w:color w:val="0D0D0D" w:themeColor="text1" w:themeTint="F2"/>
                <w:spacing w:val="-4"/>
              </w:rPr>
              <w:t>mezikrajská</w:t>
            </w:r>
            <w:proofErr w:type="spellEnd"/>
            <w:r>
              <w:rPr>
                <w:color w:val="0D0D0D" w:themeColor="text1" w:themeTint="F2"/>
                <w:spacing w:val="-4"/>
              </w:rPr>
              <w:t xml:space="preserve"> stěhování (90,5 tis.), jichž bylo proti roku 2015 o téměř 5 tis. více. </w:t>
            </w:r>
          </w:p>
        </w:tc>
      </w:tr>
    </w:tbl>
    <w:p w:rsidR="006135BC" w:rsidRPr="009638F0" w:rsidRDefault="006135BC" w:rsidP="006135BC">
      <w:pPr>
        <w:pStyle w:val="Textpoznpodarou"/>
        <w:jc w:val="both"/>
        <w:rPr>
          <w:sz w:val="16"/>
          <w:szCs w:val="16"/>
        </w:rPr>
      </w:pPr>
    </w:p>
    <w:tbl>
      <w:tblPr>
        <w:tblW w:w="5068" w:type="pct"/>
        <w:tblInd w:w="27" w:type="dxa"/>
        <w:tblLayout w:type="fixed"/>
        <w:tblCellMar>
          <w:left w:w="28" w:type="dxa"/>
          <w:right w:w="28" w:type="dxa"/>
        </w:tblCellMar>
        <w:tblLook w:val="04A0"/>
      </w:tblPr>
      <w:tblGrid>
        <w:gridCol w:w="2270"/>
        <w:gridCol w:w="992"/>
        <w:gridCol w:w="6564"/>
      </w:tblGrid>
      <w:tr w:rsidR="006135BC" w:rsidTr="002272B3">
        <w:trPr>
          <w:trHeight w:val="192"/>
        </w:trPr>
        <w:tc>
          <w:tcPr>
            <w:tcW w:w="1155" w:type="pct"/>
          </w:tcPr>
          <w:p w:rsidR="006135BC" w:rsidRDefault="006135BC" w:rsidP="002272B3">
            <w:pPr>
              <w:spacing w:line="240" w:lineRule="auto"/>
              <w:rPr>
                <w:b/>
              </w:rPr>
            </w:pPr>
          </w:p>
        </w:tc>
        <w:tc>
          <w:tcPr>
            <w:tcW w:w="505" w:type="pct"/>
          </w:tcPr>
          <w:p w:rsidR="006135BC" w:rsidRDefault="006135BC" w:rsidP="002272B3">
            <w:pPr>
              <w:spacing w:line="240" w:lineRule="auto"/>
              <w:ind w:left="-28"/>
              <w:rPr>
                <w:b/>
              </w:rPr>
            </w:pPr>
            <w:r>
              <w:t>Graf 2.4</w:t>
            </w:r>
          </w:p>
        </w:tc>
        <w:tc>
          <w:tcPr>
            <w:tcW w:w="3340" w:type="pct"/>
          </w:tcPr>
          <w:p w:rsidR="006135BC" w:rsidRPr="00444E6D" w:rsidRDefault="006135BC" w:rsidP="002272B3">
            <w:pPr>
              <w:spacing w:line="240" w:lineRule="auto"/>
              <w:ind w:left="-28"/>
              <w:rPr>
                <w:b/>
                <w:spacing w:val="-2"/>
              </w:rPr>
            </w:pPr>
            <w:r>
              <w:rPr>
                <w:b/>
                <w:spacing w:val="-2"/>
              </w:rPr>
              <w:t>Přirozený a migrační přírůstek obyvatel v krajích ČR</w:t>
            </w:r>
            <w:r w:rsidRPr="00D971B7">
              <w:rPr>
                <w:spacing w:val="-2"/>
              </w:rPr>
              <w:t xml:space="preserve"> (na tis. obyvatel)</w:t>
            </w:r>
          </w:p>
        </w:tc>
      </w:tr>
      <w:tr w:rsidR="006135BC" w:rsidTr="002272B3">
        <w:trPr>
          <w:trHeight w:val="191"/>
        </w:trPr>
        <w:tc>
          <w:tcPr>
            <w:tcW w:w="1155" w:type="pct"/>
          </w:tcPr>
          <w:p w:rsidR="006135BC" w:rsidRDefault="006135BC" w:rsidP="002272B3">
            <w:pPr>
              <w:spacing w:line="240" w:lineRule="auto"/>
              <w:ind w:left="-28"/>
              <w:rPr>
                <w:b/>
              </w:rPr>
            </w:pPr>
          </w:p>
        </w:tc>
        <w:tc>
          <w:tcPr>
            <w:tcW w:w="3845" w:type="pct"/>
            <w:gridSpan w:val="2"/>
          </w:tcPr>
          <w:p w:rsidR="006135BC" w:rsidRDefault="006135BC" w:rsidP="002272B3">
            <w:pPr>
              <w:spacing w:line="240" w:lineRule="auto"/>
              <w:ind w:left="-28"/>
              <w:rPr>
                <w:b/>
              </w:rPr>
            </w:pPr>
            <w:r w:rsidRPr="00D60143">
              <w:rPr>
                <w:b/>
                <w:noProof/>
              </w:rPr>
              <w:drawing>
                <wp:inline distT="0" distB="0" distL="0" distR="0">
                  <wp:extent cx="4762511" cy="3528000"/>
                  <wp:effectExtent l="19050" t="0" r="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135BC" w:rsidRPr="00661D66" w:rsidTr="002272B3">
        <w:trPr>
          <w:trHeight w:val="58"/>
        </w:trPr>
        <w:tc>
          <w:tcPr>
            <w:tcW w:w="1155" w:type="pct"/>
          </w:tcPr>
          <w:p w:rsidR="006135BC" w:rsidRPr="00661D66" w:rsidRDefault="006135BC" w:rsidP="002272B3">
            <w:pPr>
              <w:pStyle w:val="Zhlav"/>
              <w:spacing w:line="240" w:lineRule="auto"/>
              <w:rPr>
                <w:rFonts w:ascii="Arial" w:hAnsi="Arial" w:cs="Arial"/>
                <w:sz w:val="18"/>
                <w:szCs w:val="18"/>
                <w:lang w:eastAsia="cs-CZ"/>
              </w:rPr>
            </w:pPr>
          </w:p>
        </w:tc>
        <w:tc>
          <w:tcPr>
            <w:tcW w:w="3845" w:type="pct"/>
            <w:gridSpan w:val="2"/>
          </w:tcPr>
          <w:p w:rsidR="006135BC" w:rsidRPr="00444E6D" w:rsidRDefault="006135BC" w:rsidP="002272B3">
            <w:pPr>
              <w:pStyle w:val="Zhlav"/>
              <w:spacing w:before="40" w:line="240" w:lineRule="auto"/>
              <w:jc w:val="right"/>
              <w:rPr>
                <w:rFonts w:ascii="Arial" w:hAnsi="Arial" w:cs="Arial"/>
                <w:sz w:val="14"/>
                <w:szCs w:val="14"/>
                <w:lang w:eastAsia="cs-CZ"/>
              </w:rPr>
            </w:pPr>
            <w:r w:rsidRPr="00444E6D">
              <w:rPr>
                <w:rFonts w:ascii="Arial" w:hAnsi="Arial" w:cs="Arial"/>
                <w:sz w:val="14"/>
                <w:szCs w:val="14"/>
                <w:lang w:eastAsia="cs-CZ"/>
              </w:rPr>
              <w:t>Zdroj: ČSÚ</w:t>
            </w:r>
          </w:p>
        </w:tc>
      </w:tr>
    </w:tbl>
    <w:p w:rsidR="006135BC" w:rsidRPr="008F3451" w:rsidRDefault="006135BC" w:rsidP="006135BC">
      <w:pPr>
        <w:pStyle w:val="Textpoznpodarou"/>
        <w:jc w:val="both"/>
        <w:rPr>
          <w:sz w:val="16"/>
          <w:szCs w:val="16"/>
        </w:rPr>
      </w:pPr>
    </w:p>
    <w:tbl>
      <w:tblPr>
        <w:tblW w:w="4986" w:type="pct"/>
        <w:tblInd w:w="107" w:type="dxa"/>
        <w:tblLayout w:type="fixed"/>
        <w:tblLook w:val="00A0"/>
      </w:tblPr>
      <w:tblGrid>
        <w:gridCol w:w="1997"/>
        <w:gridCol w:w="283"/>
        <w:gridCol w:w="7546"/>
      </w:tblGrid>
      <w:tr w:rsidR="006135BC" w:rsidRPr="00DE32DB" w:rsidTr="002272B3">
        <w:trPr>
          <w:trHeight w:val="145"/>
        </w:trPr>
        <w:tc>
          <w:tcPr>
            <w:tcW w:w="1016" w:type="pct"/>
          </w:tcPr>
          <w:p w:rsidR="006135BC" w:rsidRPr="00341F4D" w:rsidRDefault="006135BC" w:rsidP="002272B3">
            <w:pPr>
              <w:spacing w:line="240" w:lineRule="auto"/>
              <w:rPr>
                <w:spacing w:val="-4"/>
                <w:sz w:val="16"/>
                <w:szCs w:val="16"/>
              </w:rPr>
            </w:pPr>
            <w:r w:rsidRPr="00341F4D">
              <w:rPr>
                <w:spacing w:val="-4"/>
                <w:sz w:val="16"/>
                <w:szCs w:val="16"/>
              </w:rPr>
              <w:t>Tempo růstu počtu o</w:t>
            </w:r>
            <w:r>
              <w:rPr>
                <w:spacing w:val="-4"/>
                <w:sz w:val="16"/>
                <w:szCs w:val="16"/>
              </w:rPr>
              <w:t>byvatel ČR bylo v letech 2010–20</w:t>
            </w:r>
            <w:r w:rsidRPr="00341F4D">
              <w:rPr>
                <w:spacing w:val="-4"/>
                <w:sz w:val="16"/>
                <w:szCs w:val="16"/>
              </w:rPr>
              <w:t>16 proti EU poloviční.</w:t>
            </w:r>
          </w:p>
          <w:p w:rsidR="006135BC" w:rsidRDefault="006135BC" w:rsidP="002272B3">
            <w:pPr>
              <w:spacing w:line="240" w:lineRule="auto"/>
              <w:rPr>
                <w:spacing w:val="-4"/>
                <w:sz w:val="16"/>
                <w:szCs w:val="16"/>
              </w:rPr>
            </w:pPr>
          </w:p>
          <w:p w:rsidR="006135BC" w:rsidRDefault="006135BC" w:rsidP="002272B3">
            <w:pPr>
              <w:spacing w:line="240" w:lineRule="auto"/>
              <w:rPr>
                <w:spacing w:val="-4"/>
                <w:sz w:val="16"/>
                <w:szCs w:val="16"/>
              </w:rPr>
            </w:pPr>
          </w:p>
          <w:p w:rsidR="006135BC" w:rsidRDefault="006135BC" w:rsidP="002272B3">
            <w:pPr>
              <w:spacing w:line="240" w:lineRule="auto"/>
              <w:rPr>
                <w:spacing w:val="-4"/>
                <w:sz w:val="16"/>
                <w:szCs w:val="16"/>
              </w:rPr>
            </w:pPr>
          </w:p>
          <w:p w:rsidR="006135BC" w:rsidRDefault="006135BC" w:rsidP="002272B3">
            <w:pPr>
              <w:spacing w:line="240" w:lineRule="auto"/>
              <w:rPr>
                <w:spacing w:val="-4"/>
                <w:sz w:val="16"/>
                <w:szCs w:val="16"/>
              </w:rPr>
            </w:pPr>
          </w:p>
          <w:p w:rsidR="006135BC" w:rsidRDefault="006135BC" w:rsidP="002272B3">
            <w:pPr>
              <w:spacing w:line="240" w:lineRule="auto"/>
              <w:rPr>
                <w:spacing w:val="-4"/>
                <w:sz w:val="16"/>
                <w:szCs w:val="16"/>
              </w:rPr>
            </w:pPr>
          </w:p>
          <w:p w:rsidR="006135BC" w:rsidRPr="005E4483" w:rsidRDefault="006135BC" w:rsidP="002272B3">
            <w:pPr>
              <w:spacing w:line="240" w:lineRule="auto"/>
              <w:rPr>
                <w:spacing w:val="-4"/>
                <w:sz w:val="16"/>
                <w:szCs w:val="16"/>
              </w:rPr>
            </w:pPr>
            <w:r>
              <w:rPr>
                <w:spacing w:val="-4"/>
                <w:sz w:val="16"/>
                <w:szCs w:val="16"/>
              </w:rPr>
              <w:t>Ve většině novějších členských států EU se v hlubším poklesu počtu obyvatel promítlo záporné saldo jak migrační, tak</w:t>
            </w:r>
            <w:r>
              <w:rPr>
                <w:spacing w:val="-2"/>
                <w:sz w:val="16"/>
                <w:szCs w:val="16"/>
              </w:rPr>
              <w:t xml:space="preserve"> </w:t>
            </w:r>
            <w:r>
              <w:rPr>
                <w:spacing w:val="-4"/>
                <w:sz w:val="16"/>
                <w:szCs w:val="16"/>
              </w:rPr>
              <w:t>i</w:t>
            </w:r>
            <w:r>
              <w:rPr>
                <w:spacing w:val="-2"/>
                <w:sz w:val="16"/>
                <w:szCs w:val="16"/>
              </w:rPr>
              <w:t> </w:t>
            </w:r>
            <w:r>
              <w:rPr>
                <w:spacing w:val="-4"/>
                <w:sz w:val="16"/>
                <w:szCs w:val="16"/>
              </w:rPr>
              <w:t>přirozené měny.</w:t>
            </w:r>
          </w:p>
        </w:tc>
        <w:tc>
          <w:tcPr>
            <w:tcW w:w="144" w:type="pct"/>
          </w:tcPr>
          <w:p w:rsidR="006135BC" w:rsidRPr="005E4483" w:rsidRDefault="006135BC" w:rsidP="002272B3">
            <w:pPr>
              <w:pStyle w:val="Textpoznpodarou"/>
              <w:jc w:val="both"/>
              <w:rPr>
                <w:spacing w:val="-4"/>
              </w:rPr>
            </w:pPr>
          </w:p>
        </w:tc>
        <w:tc>
          <w:tcPr>
            <w:tcW w:w="3840" w:type="pct"/>
          </w:tcPr>
          <w:p w:rsidR="006135BC" w:rsidRPr="00341F4D" w:rsidRDefault="006135BC" w:rsidP="002272B3">
            <w:pPr>
              <w:pStyle w:val="Textpoznpodarou"/>
              <w:jc w:val="both"/>
              <w:rPr>
                <w:rFonts w:cs="Arial"/>
                <w:spacing w:val="-4"/>
              </w:rPr>
            </w:pPr>
            <w:r>
              <w:rPr>
                <w:spacing w:val="-4"/>
              </w:rPr>
              <w:t xml:space="preserve">Průměrné roční tempo růstu počtu obyvatel bylo v Česku v období let 2010–2016 oproti EU zhruba poloviční (1,6 </w:t>
            </w:r>
            <w:r>
              <w:rPr>
                <w:rFonts w:cs="Arial"/>
                <w:spacing w:val="-4"/>
              </w:rPr>
              <w:t>‰</w:t>
            </w:r>
            <w:r>
              <w:rPr>
                <w:spacing w:val="-4"/>
              </w:rPr>
              <w:t xml:space="preserve"> ku 2,8 </w:t>
            </w:r>
            <w:r>
              <w:rPr>
                <w:rFonts w:cs="Arial"/>
                <w:spacing w:val="-4"/>
              </w:rPr>
              <w:t>‰</w:t>
            </w:r>
            <w:r>
              <w:rPr>
                <w:spacing w:val="-4"/>
              </w:rPr>
              <w:t xml:space="preserve">). Nejdynamičtěji se v tomto období rozrůstala populace v Lucembursku (22,5 </w:t>
            </w:r>
            <w:r>
              <w:rPr>
                <w:rFonts w:cs="Arial"/>
                <w:spacing w:val="-4"/>
              </w:rPr>
              <w:t>‰) a Švédsku (9,7 ‰). Z velkých států dosáhla především vlivem migrace silného přírůstku Velká Británie (7,4 ‰), naopak primárně přirozený přírůstek táhl celkový růst obyvatel Francie (4,6 ‰). Úbytek obyvatelstva zaznamenalo deset zemí Unie (shodně jako v samotném roce 2016). Byl soustředěn hlavně do Pobaltí (Litva -14,1 ‰, Lotyšsko -12,0 ‰), většiny balkánských států a také recesí silně zasaženém Portugalsku a Řecku. Tempo populačního růstu v Česku bylo v roce 2016 z novějších členských zemí EU třetí nejvyšší (po Maltě a Kypru). Přirozenou měnou ztrácelo obyvatelstvo třináct zemí EU. Pouze ve třech z nich (Německo, Polsko, Finsko) však byly tyto úbytky v roce 2016 plně vykompenzovány migračním ziskem. Počet států EU, které zaznamenaly migrační úbytek, se v roce 2016 ztenčil na sedm – šlo výhradně o novější členské státy Unie, doplněné o Portugalsko. Naopak jiné státy zasažené po roce 2008 hlubokou hospodářskou recesí se v roce 2016 z migračních ztrát dokázaly vymanit (Španělsko, Kypr, Irsko).</w:t>
            </w:r>
          </w:p>
        </w:tc>
      </w:tr>
    </w:tbl>
    <w:p w:rsidR="00A03A9E" w:rsidRPr="00097CF2" w:rsidRDefault="00A03A9E" w:rsidP="00A03A9E">
      <w:pPr>
        <w:pStyle w:val="Textpoznpodarou"/>
        <w:jc w:val="both"/>
        <w:rPr>
          <w:sz w:val="14"/>
          <w:szCs w:val="14"/>
        </w:rPr>
      </w:pPr>
    </w:p>
    <w:sectPr w:rsidR="00A03A9E" w:rsidRPr="00097CF2" w:rsidSect="00B72154">
      <w:headerReference w:type="even" r:id="rId12"/>
      <w:headerReference w:type="default" r:id="rId13"/>
      <w:footerReference w:type="even" r:id="rId14"/>
      <w:footerReference w:type="default" r:id="rId15"/>
      <w:pgSz w:w="11906" w:h="16838" w:code="9"/>
      <w:pgMar w:top="1134" w:right="1134" w:bottom="1418" w:left="1134" w:header="680" w:footer="680"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E8A" w:rsidRDefault="00DB0E8A" w:rsidP="00E71A58">
      <w:r>
        <w:separator/>
      </w:r>
    </w:p>
  </w:endnote>
  <w:endnote w:type="continuationSeparator" w:id="0">
    <w:p w:rsidR="00DB0E8A" w:rsidRDefault="00DB0E8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Default="003E00B9"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2E3C38" w:rsidRPr="005A21E0">
      <w:rPr>
        <w:rFonts w:ascii="Arial" w:hAnsi="Arial" w:cs="Arial"/>
        <w:sz w:val="16"/>
        <w:szCs w:val="16"/>
      </w:rPr>
      <w:fldChar w:fldCharType="begin"/>
    </w:r>
    <w:r w:rsidRPr="005A21E0">
      <w:rPr>
        <w:rFonts w:ascii="Arial" w:hAnsi="Arial" w:cs="Arial"/>
        <w:sz w:val="16"/>
        <w:szCs w:val="16"/>
      </w:rPr>
      <w:instrText>PAGE   \* MERGEFORMAT</w:instrText>
    </w:r>
    <w:r w:rsidR="002E3C38" w:rsidRPr="005A21E0">
      <w:rPr>
        <w:rFonts w:ascii="Arial" w:hAnsi="Arial" w:cs="Arial"/>
        <w:sz w:val="16"/>
        <w:szCs w:val="16"/>
      </w:rPr>
      <w:fldChar w:fldCharType="separate"/>
    </w:r>
    <w:r w:rsidR="00B72154">
      <w:rPr>
        <w:rFonts w:ascii="Arial" w:hAnsi="Arial" w:cs="Arial"/>
        <w:noProof/>
        <w:sz w:val="16"/>
        <w:szCs w:val="16"/>
      </w:rPr>
      <w:t>8</w:t>
    </w:r>
    <w:r w:rsidR="002E3C38"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Default="003E00B9"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3E00B9" w:rsidRPr="00223E00" w:rsidRDefault="003E00B9"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2E3C38"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2E3C38" w:rsidRPr="00223E00">
      <w:rPr>
        <w:rFonts w:ascii="Arial" w:hAnsi="Arial" w:cs="Arial"/>
        <w:sz w:val="16"/>
        <w:szCs w:val="16"/>
      </w:rPr>
      <w:fldChar w:fldCharType="separate"/>
    </w:r>
    <w:r w:rsidR="00B72154">
      <w:rPr>
        <w:rFonts w:ascii="Arial" w:hAnsi="Arial" w:cs="Arial"/>
        <w:noProof/>
        <w:sz w:val="16"/>
        <w:szCs w:val="16"/>
      </w:rPr>
      <w:t>9</w:t>
    </w:r>
    <w:r w:rsidR="002E3C38"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E8A" w:rsidRDefault="00DB0E8A" w:rsidP="00E71A58">
      <w:r>
        <w:separator/>
      </w:r>
    </w:p>
  </w:footnote>
  <w:footnote w:type="continuationSeparator" w:id="0">
    <w:p w:rsidR="00DB0E8A" w:rsidRDefault="00DB0E8A" w:rsidP="00E71A58">
      <w:r>
        <w:continuationSeparator/>
      </w:r>
    </w:p>
  </w:footnote>
  <w:footnote w:id="1">
    <w:p w:rsidR="003E00B9" w:rsidRPr="00E41BE0" w:rsidRDefault="003E00B9" w:rsidP="006135BC">
      <w:pPr>
        <w:pStyle w:val="Textpoznpodarou"/>
        <w:rPr>
          <w:spacing w:val="-2"/>
          <w:sz w:val="16"/>
          <w:szCs w:val="16"/>
        </w:rPr>
      </w:pPr>
      <w:r w:rsidRPr="00E41BE0">
        <w:rPr>
          <w:rStyle w:val="Znakapoznpodarou"/>
          <w:spacing w:val="-2"/>
          <w:sz w:val="16"/>
          <w:szCs w:val="16"/>
        </w:rPr>
        <w:footnoteRef/>
      </w:r>
      <w:r w:rsidRPr="00E41BE0">
        <w:rPr>
          <w:spacing w:val="-2"/>
          <w:sz w:val="16"/>
          <w:szCs w:val="16"/>
        </w:rPr>
        <w:t xml:space="preserve"> Tento index zachycuje počet obyvatel mimo „produktivní věk“ (do 15 let a starších 64 let) připadajících na 100 obyvatel ve věku 15-64 let. </w:t>
      </w:r>
    </w:p>
  </w:footnote>
  <w:footnote w:id="2">
    <w:p w:rsidR="003E00B9" w:rsidRPr="006C14F9" w:rsidRDefault="003E00B9" w:rsidP="006135BC">
      <w:pPr>
        <w:pStyle w:val="Textpoznpodarou"/>
        <w:rPr>
          <w:sz w:val="16"/>
          <w:szCs w:val="16"/>
        </w:rPr>
      </w:pPr>
      <w:r w:rsidRPr="006C14F9">
        <w:rPr>
          <w:rStyle w:val="Znakapoznpodarou"/>
          <w:sz w:val="16"/>
          <w:szCs w:val="16"/>
        </w:rPr>
        <w:footnoteRef/>
      </w:r>
      <w:r w:rsidRPr="006C14F9">
        <w:rPr>
          <w:sz w:val="16"/>
          <w:szCs w:val="16"/>
        </w:rPr>
        <w:t xml:space="preserve"> Mírně vyšší rozdíly </w:t>
      </w:r>
      <w:r>
        <w:rPr>
          <w:sz w:val="16"/>
          <w:szCs w:val="16"/>
        </w:rPr>
        <w:t>byly patrné na úrovni okresů. Rozdíl mezi okresem s nejvyšší nadějí dožití při narození (u mužů Praha, u žen Brno-město) a okresem s nejnižší hodnotou (u obou pohlaví shodně Most) činil v období 2012-2016 u mužů 4,8 roků, u žen 4,4 roky.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Pr="003576A8" w:rsidRDefault="003E00B9" w:rsidP="003576A8">
    <w:pPr>
      <w:pStyle w:val="Zhlav"/>
      <w:tabs>
        <w:tab w:val="clear" w:pos="4536"/>
        <w:tab w:val="clear" w:pos="9072"/>
        <w:tab w:val="left" w:pos="-6379"/>
        <w:tab w:val="center" w:pos="4820"/>
        <w:tab w:val="right" w:pos="9639"/>
      </w:tabs>
      <w:rPr>
        <w:rFonts w:ascii="Arial" w:hAnsi="Arial" w:cs="Arial"/>
        <w:sz w:val="16"/>
        <w:szCs w:val="16"/>
      </w:rPr>
    </w:pPr>
    <w:r w:rsidRPr="00B031D9">
      <w:rPr>
        <w:rFonts w:ascii="Arial" w:hAnsi="Arial" w:cs="Arial"/>
        <w:sz w:val="16"/>
        <w:szCs w:val="16"/>
      </w:rPr>
      <w:t>Analýza společenského a hospodářského vývoje ČR v roce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Pr="003576A8" w:rsidRDefault="003E00B9" w:rsidP="003576A8">
    <w:pPr>
      <w:pStyle w:val="Zhlav"/>
      <w:tabs>
        <w:tab w:val="clear" w:pos="4536"/>
        <w:tab w:val="clear" w:pos="9072"/>
        <w:tab w:val="left" w:pos="-6379"/>
        <w:tab w:val="center" w:pos="4820"/>
        <w:tab w:val="right" w:pos="9639"/>
      </w:tabs>
      <w:rPr>
        <w:rFonts w:ascii="Arial" w:hAnsi="Arial" w:cs="Arial"/>
        <w:sz w:val="16"/>
        <w:szCs w:val="16"/>
      </w:rPr>
    </w:pPr>
    <w:r w:rsidRPr="00B031D9">
      <w:rPr>
        <w:rFonts w:ascii="Arial" w:hAnsi="Arial" w:cs="Arial"/>
        <w:sz w:val="16"/>
        <w:szCs w:val="16"/>
      </w:rPr>
      <w:t>Analýza společenského a hospodářského vývoje ČR v roce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3pt;height:14.4pt;visibility:visible;mso-wrap-style:square" o:bullet="t">
        <v:imagedata r:id="rId1" o:title=""/>
      </v:shape>
    </w:pict>
  </w:numPicBullet>
  <w:numPicBullet w:numPicBulletId="1">
    <w:pict>
      <v:shape id="_x0000_i1029" type="#_x0000_t75" style="width:36.3pt;height:21.9pt;visibility:visible;mso-wrap-style:square" o:bullet="t">
        <v:imagedata r:id="rId2" o:title=""/>
      </v:shape>
    </w:pict>
  </w:numPicBullet>
  <w:abstractNum w:abstractNumId="0">
    <w:nsid w:val="05BB0A88"/>
    <w:multiLevelType w:val="hybridMultilevel"/>
    <w:tmpl w:val="5C64F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80137A"/>
    <w:multiLevelType w:val="hybridMultilevel"/>
    <w:tmpl w:val="E56AB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812E9F"/>
    <w:multiLevelType w:val="hybridMultilevel"/>
    <w:tmpl w:val="7D9C602C"/>
    <w:lvl w:ilvl="0" w:tplc="FE5CA57A">
      <w:start w:val="1"/>
      <w:numFmt w:val="bullet"/>
      <w:lvlText w:val=""/>
      <w:lvlPicBulletId w:val="0"/>
      <w:lvlJc w:val="left"/>
      <w:pPr>
        <w:tabs>
          <w:tab w:val="num" w:pos="720"/>
        </w:tabs>
        <w:ind w:left="720" w:hanging="360"/>
      </w:pPr>
      <w:rPr>
        <w:rFonts w:ascii="Symbol" w:hAnsi="Symbol" w:hint="default"/>
      </w:rPr>
    </w:lvl>
    <w:lvl w:ilvl="1" w:tplc="BA668460" w:tentative="1">
      <w:start w:val="1"/>
      <w:numFmt w:val="bullet"/>
      <w:lvlText w:val=""/>
      <w:lvlJc w:val="left"/>
      <w:pPr>
        <w:tabs>
          <w:tab w:val="num" w:pos="1440"/>
        </w:tabs>
        <w:ind w:left="1440" w:hanging="360"/>
      </w:pPr>
      <w:rPr>
        <w:rFonts w:ascii="Symbol" w:hAnsi="Symbol" w:hint="default"/>
      </w:rPr>
    </w:lvl>
    <w:lvl w:ilvl="2" w:tplc="F7E6E3AC" w:tentative="1">
      <w:start w:val="1"/>
      <w:numFmt w:val="bullet"/>
      <w:lvlText w:val=""/>
      <w:lvlJc w:val="left"/>
      <w:pPr>
        <w:tabs>
          <w:tab w:val="num" w:pos="2160"/>
        </w:tabs>
        <w:ind w:left="2160" w:hanging="360"/>
      </w:pPr>
      <w:rPr>
        <w:rFonts w:ascii="Symbol" w:hAnsi="Symbol" w:hint="default"/>
      </w:rPr>
    </w:lvl>
    <w:lvl w:ilvl="3" w:tplc="DCF44058" w:tentative="1">
      <w:start w:val="1"/>
      <w:numFmt w:val="bullet"/>
      <w:lvlText w:val=""/>
      <w:lvlJc w:val="left"/>
      <w:pPr>
        <w:tabs>
          <w:tab w:val="num" w:pos="2880"/>
        </w:tabs>
        <w:ind w:left="2880" w:hanging="360"/>
      </w:pPr>
      <w:rPr>
        <w:rFonts w:ascii="Symbol" w:hAnsi="Symbol" w:hint="default"/>
      </w:rPr>
    </w:lvl>
    <w:lvl w:ilvl="4" w:tplc="ED522672" w:tentative="1">
      <w:start w:val="1"/>
      <w:numFmt w:val="bullet"/>
      <w:lvlText w:val=""/>
      <w:lvlJc w:val="left"/>
      <w:pPr>
        <w:tabs>
          <w:tab w:val="num" w:pos="3600"/>
        </w:tabs>
        <w:ind w:left="3600" w:hanging="360"/>
      </w:pPr>
      <w:rPr>
        <w:rFonts w:ascii="Symbol" w:hAnsi="Symbol" w:hint="default"/>
      </w:rPr>
    </w:lvl>
    <w:lvl w:ilvl="5" w:tplc="3476E1C0" w:tentative="1">
      <w:start w:val="1"/>
      <w:numFmt w:val="bullet"/>
      <w:lvlText w:val=""/>
      <w:lvlJc w:val="left"/>
      <w:pPr>
        <w:tabs>
          <w:tab w:val="num" w:pos="4320"/>
        </w:tabs>
        <w:ind w:left="4320" w:hanging="360"/>
      </w:pPr>
      <w:rPr>
        <w:rFonts w:ascii="Symbol" w:hAnsi="Symbol" w:hint="default"/>
      </w:rPr>
    </w:lvl>
    <w:lvl w:ilvl="6" w:tplc="33665C60" w:tentative="1">
      <w:start w:val="1"/>
      <w:numFmt w:val="bullet"/>
      <w:lvlText w:val=""/>
      <w:lvlJc w:val="left"/>
      <w:pPr>
        <w:tabs>
          <w:tab w:val="num" w:pos="5040"/>
        </w:tabs>
        <w:ind w:left="5040" w:hanging="360"/>
      </w:pPr>
      <w:rPr>
        <w:rFonts w:ascii="Symbol" w:hAnsi="Symbol" w:hint="default"/>
      </w:rPr>
    </w:lvl>
    <w:lvl w:ilvl="7" w:tplc="4EB4B50C" w:tentative="1">
      <w:start w:val="1"/>
      <w:numFmt w:val="bullet"/>
      <w:lvlText w:val=""/>
      <w:lvlJc w:val="left"/>
      <w:pPr>
        <w:tabs>
          <w:tab w:val="num" w:pos="5760"/>
        </w:tabs>
        <w:ind w:left="5760" w:hanging="360"/>
      </w:pPr>
      <w:rPr>
        <w:rFonts w:ascii="Symbol" w:hAnsi="Symbol" w:hint="default"/>
      </w:rPr>
    </w:lvl>
    <w:lvl w:ilvl="8" w:tplc="45E4C21C" w:tentative="1">
      <w:start w:val="1"/>
      <w:numFmt w:val="bullet"/>
      <w:lvlText w:val=""/>
      <w:lvlJc w:val="left"/>
      <w:pPr>
        <w:tabs>
          <w:tab w:val="num" w:pos="6480"/>
        </w:tabs>
        <w:ind w:left="6480" w:hanging="360"/>
      </w:pPr>
      <w:rPr>
        <w:rFonts w:ascii="Symbol" w:hAnsi="Symbol" w:hint="default"/>
      </w:rPr>
    </w:lvl>
  </w:abstractNum>
  <w:abstractNum w:abstractNumId="3">
    <w:nsid w:val="1635223D"/>
    <w:multiLevelType w:val="hybridMultilevel"/>
    <w:tmpl w:val="99FA9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3D37A1"/>
    <w:multiLevelType w:val="multilevel"/>
    <w:tmpl w:val="698C7F1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2ADC7537"/>
    <w:multiLevelType w:val="hybridMultilevel"/>
    <w:tmpl w:val="2BB2A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F83F12"/>
    <w:multiLevelType w:val="multilevel"/>
    <w:tmpl w:val="0B74C25A"/>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nsid w:val="3AB14BFE"/>
    <w:multiLevelType w:val="hybridMultilevel"/>
    <w:tmpl w:val="118A4438"/>
    <w:lvl w:ilvl="0" w:tplc="82DE1B68">
      <w:start w:val="1"/>
      <w:numFmt w:val="bullet"/>
      <w:lvlText w:val=""/>
      <w:lvlPicBulletId w:val="1"/>
      <w:lvlJc w:val="left"/>
      <w:pPr>
        <w:tabs>
          <w:tab w:val="num" w:pos="720"/>
        </w:tabs>
        <w:ind w:left="720" w:hanging="360"/>
      </w:pPr>
      <w:rPr>
        <w:rFonts w:ascii="Symbol" w:hAnsi="Symbol" w:hint="default"/>
      </w:rPr>
    </w:lvl>
    <w:lvl w:ilvl="1" w:tplc="AE0ED9CE" w:tentative="1">
      <w:start w:val="1"/>
      <w:numFmt w:val="bullet"/>
      <w:lvlText w:val=""/>
      <w:lvlJc w:val="left"/>
      <w:pPr>
        <w:tabs>
          <w:tab w:val="num" w:pos="1440"/>
        </w:tabs>
        <w:ind w:left="1440" w:hanging="360"/>
      </w:pPr>
      <w:rPr>
        <w:rFonts w:ascii="Symbol" w:hAnsi="Symbol" w:hint="default"/>
      </w:rPr>
    </w:lvl>
    <w:lvl w:ilvl="2" w:tplc="4934A9A0" w:tentative="1">
      <w:start w:val="1"/>
      <w:numFmt w:val="bullet"/>
      <w:lvlText w:val=""/>
      <w:lvlJc w:val="left"/>
      <w:pPr>
        <w:tabs>
          <w:tab w:val="num" w:pos="2160"/>
        </w:tabs>
        <w:ind w:left="2160" w:hanging="360"/>
      </w:pPr>
      <w:rPr>
        <w:rFonts w:ascii="Symbol" w:hAnsi="Symbol" w:hint="default"/>
      </w:rPr>
    </w:lvl>
    <w:lvl w:ilvl="3" w:tplc="DA360986" w:tentative="1">
      <w:start w:val="1"/>
      <w:numFmt w:val="bullet"/>
      <w:lvlText w:val=""/>
      <w:lvlJc w:val="left"/>
      <w:pPr>
        <w:tabs>
          <w:tab w:val="num" w:pos="2880"/>
        </w:tabs>
        <w:ind w:left="2880" w:hanging="360"/>
      </w:pPr>
      <w:rPr>
        <w:rFonts w:ascii="Symbol" w:hAnsi="Symbol" w:hint="default"/>
      </w:rPr>
    </w:lvl>
    <w:lvl w:ilvl="4" w:tplc="BDBECB06" w:tentative="1">
      <w:start w:val="1"/>
      <w:numFmt w:val="bullet"/>
      <w:lvlText w:val=""/>
      <w:lvlJc w:val="left"/>
      <w:pPr>
        <w:tabs>
          <w:tab w:val="num" w:pos="3600"/>
        </w:tabs>
        <w:ind w:left="3600" w:hanging="360"/>
      </w:pPr>
      <w:rPr>
        <w:rFonts w:ascii="Symbol" w:hAnsi="Symbol" w:hint="default"/>
      </w:rPr>
    </w:lvl>
    <w:lvl w:ilvl="5" w:tplc="3AFEAE6A" w:tentative="1">
      <w:start w:val="1"/>
      <w:numFmt w:val="bullet"/>
      <w:lvlText w:val=""/>
      <w:lvlJc w:val="left"/>
      <w:pPr>
        <w:tabs>
          <w:tab w:val="num" w:pos="4320"/>
        </w:tabs>
        <w:ind w:left="4320" w:hanging="360"/>
      </w:pPr>
      <w:rPr>
        <w:rFonts w:ascii="Symbol" w:hAnsi="Symbol" w:hint="default"/>
      </w:rPr>
    </w:lvl>
    <w:lvl w:ilvl="6" w:tplc="C2583FCE" w:tentative="1">
      <w:start w:val="1"/>
      <w:numFmt w:val="bullet"/>
      <w:lvlText w:val=""/>
      <w:lvlJc w:val="left"/>
      <w:pPr>
        <w:tabs>
          <w:tab w:val="num" w:pos="5040"/>
        </w:tabs>
        <w:ind w:left="5040" w:hanging="360"/>
      </w:pPr>
      <w:rPr>
        <w:rFonts w:ascii="Symbol" w:hAnsi="Symbol" w:hint="default"/>
      </w:rPr>
    </w:lvl>
    <w:lvl w:ilvl="7" w:tplc="10140CE6" w:tentative="1">
      <w:start w:val="1"/>
      <w:numFmt w:val="bullet"/>
      <w:lvlText w:val=""/>
      <w:lvlJc w:val="left"/>
      <w:pPr>
        <w:tabs>
          <w:tab w:val="num" w:pos="5760"/>
        </w:tabs>
        <w:ind w:left="5760" w:hanging="360"/>
      </w:pPr>
      <w:rPr>
        <w:rFonts w:ascii="Symbol" w:hAnsi="Symbol" w:hint="default"/>
      </w:rPr>
    </w:lvl>
    <w:lvl w:ilvl="8" w:tplc="390E427C" w:tentative="1">
      <w:start w:val="1"/>
      <w:numFmt w:val="bullet"/>
      <w:lvlText w:val=""/>
      <w:lvlJc w:val="left"/>
      <w:pPr>
        <w:tabs>
          <w:tab w:val="num" w:pos="6480"/>
        </w:tabs>
        <w:ind w:left="6480" w:hanging="360"/>
      </w:pPr>
      <w:rPr>
        <w:rFonts w:ascii="Symbol" w:hAnsi="Symbol" w:hint="default"/>
      </w:rPr>
    </w:lvl>
  </w:abstractNum>
  <w:abstractNum w:abstractNumId="8">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6E2984"/>
    <w:multiLevelType w:val="hybridMultilevel"/>
    <w:tmpl w:val="366AF43E"/>
    <w:lvl w:ilvl="0" w:tplc="FC1C587E">
      <w:start w:val="2"/>
      <w:numFmt w:val="bullet"/>
      <w:lvlText w:val="-"/>
      <w:lvlJc w:val="left"/>
      <w:pPr>
        <w:ind w:left="405" w:hanging="360"/>
      </w:pPr>
      <w:rPr>
        <w:rFonts w:ascii="Arial" w:eastAsia="Calibr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nsid w:val="6761419E"/>
    <w:multiLevelType w:val="multilevel"/>
    <w:tmpl w:val="0B74C25A"/>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3E1652"/>
    <w:multiLevelType w:val="hybridMultilevel"/>
    <w:tmpl w:val="DA2A3836"/>
    <w:lvl w:ilvl="0" w:tplc="B790AC8A">
      <w:numFmt w:val="bullet"/>
      <w:lvlText w:val=""/>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1CF6FB9"/>
    <w:multiLevelType w:val="hybridMultilevel"/>
    <w:tmpl w:val="490CAD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7">
    <w:nsid w:val="7FEE15A2"/>
    <w:multiLevelType w:val="hybridMultilevel"/>
    <w:tmpl w:val="B4BE7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15"/>
  </w:num>
  <w:num w:numId="5">
    <w:abstractNumId w:val="9"/>
  </w:num>
  <w:num w:numId="6">
    <w:abstractNumId w:val="17"/>
  </w:num>
  <w:num w:numId="7">
    <w:abstractNumId w:val="4"/>
  </w:num>
  <w:num w:numId="8">
    <w:abstractNumId w:val="11"/>
  </w:num>
  <w:num w:numId="9">
    <w:abstractNumId w:val="6"/>
  </w:num>
  <w:num w:numId="10">
    <w:abstractNumId w:val="13"/>
  </w:num>
  <w:num w:numId="11">
    <w:abstractNumId w:val="10"/>
  </w:num>
  <w:num w:numId="12">
    <w:abstractNumId w:val="0"/>
  </w:num>
  <w:num w:numId="13">
    <w:abstractNumId w:val="3"/>
  </w:num>
  <w:num w:numId="14">
    <w:abstractNumId w:val="2"/>
  </w:num>
  <w:num w:numId="15">
    <w:abstractNumId w:val="7"/>
  </w:num>
  <w:num w:numId="16">
    <w:abstractNumId w:val="5"/>
  </w:num>
  <w:num w:numId="17">
    <w:abstractNumId w:val="14"/>
  </w:num>
  <w:num w:numId="1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9B70BD"/>
    <w:rsid w:val="0000023E"/>
    <w:rsid w:val="00000FA7"/>
    <w:rsid w:val="00001236"/>
    <w:rsid w:val="00001A7D"/>
    <w:rsid w:val="00001EFF"/>
    <w:rsid w:val="00003687"/>
    <w:rsid w:val="00003C43"/>
    <w:rsid w:val="00006ECF"/>
    <w:rsid w:val="00007498"/>
    <w:rsid w:val="0000767A"/>
    <w:rsid w:val="00010151"/>
    <w:rsid w:val="000101F5"/>
    <w:rsid w:val="000104B9"/>
    <w:rsid w:val="00010702"/>
    <w:rsid w:val="00011191"/>
    <w:rsid w:val="0001159B"/>
    <w:rsid w:val="00011778"/>
    <w:rsid w:val="000128C7"/>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304C4"/>
    <w:rsid w:val="0003066A"/>
    <w:rsid w:val="00030CAD"/>
    <w:rsid w:val="00030F14"/>
    <w:rsid w:val="000311C5"/>
    <w:rsid w:val="00031328"/>
    <w:rsid w:val="00032838"/>
    <w:rsid w:val="00032C12"/>
    <w:rsid w:val="00032E0C"/>
    <w:rsid w:val="000344C5"/>
    <w:rsid w:val="000350FB"/>
    <w:rsid w:val="00035CCF"/>
    <w:rsid w:val="00035FC6"/>
    <w:rsid w:val="00037667"/>
    <w:rsid w:val="0004075D"/>
    <w:rsid w:val="000411E1"/>
    <w:rsid w:val="000417FB"/>
    <w:rsid w:val="0004229A"/>
    <w:rsid w:val="00043E05"/>
    <w:rsid w:val="0004694F"/>
    <w:rsid w:val="000500DC"/>
    <w:rsid w:val="00052052"/>
    <w:rsid w:val="00052172"/>
    <w:rsid w:val="000531D0"/>
    <w:rsid w:val="00053CBA"/>
    <w:rsid w:val="00054382"/>
    <w:rsid w:val="00054E43"/>
    <w:rsid w:val="00055059"/>
    <w:rsid w:val="000553E4"/>
    <w:rsid w:val="00055FD3"/>
    <w:rsid w:val="000567FA"/>
    <w:rsid w:val="00056B26"/>
    <w:rsid w:val="00057C16"/>
    <w:rsid w:val="00060F26"/>
    <w:rsid w:val="00061733"/>
    <w:rsid w:val="00062D43"/>
    <w:rsid w:val="00062E81"/>
    <w:rsid w:val="00062EC5"/>
    <w:rsid w:val="00064256"/>
    <w:rsid w:val="000650C5"/>
    <w:rsid w:val="0007013D"/>
    <w:rsid w:val="000706A4"/>
    <w:rsid w:val="00070A0C"/>
    <w:rsid w:val="00071F80"/>
    <w:rsid w:val="00072118"/>
    <w:rsid w:val="00073173"/>
    <w:rsid w:val="000759A5"/>
    <w:rsid w:val="00075BA7"/>
    <w:rsid w:val="000779AC"/>
    <w:rsid w:val="0008046C"/>
    <w:rsid w:val="00083803"/>
    <w:rsid w:val="00084393"/>
    <w:rsid w:val="0008716A"/>
    <w:rsid w:val="00087634"/>
    <w:rsid w:val="000903B3"/>
    <w:rsid w:val="000907D0"/>
    <w:rsid w:val="00091237"/>
    <w:rsid w:val="0009191B"/>
    <w:rsid w:val="000920EC"/>
    <w:rsid w:val="00092208"/>
    <w:rsid w:val="00092505"/>
    <w:rsid w:val="00092C9A"/>
    <w:rsid w:val="0009464F"/>
    <w:rsid w:val="00095CD8"/>
    <w:rsid w:val="00097CF2"/>
    <w:rsid w:val="00097D02"/>
    <w:rsid w:val="000A1183"/>
    <w:rsid w:val="000A2121"/>
    <w:rsid w:val="000A2484"/>
    <w:rsid w:val="000A2493"/>
    <w:rsid w:val="000A36CE"/>
    <w:rsid w:val="000A5415"/>
    <w:rsid w:val="000A59BF"/>
    <w:rsid w:val="000A5B73"/>
    <w:rsid w:val="000A66C2"/>
    <w:rsid w:val="000B1CFE"/>
    <w:rsid w:val="000B210A"/>
    <w:rsid w:val="000B249B"/>
    <w:rsid w:val="000B3B01"/>
    <w:rsid w:val="000B3DB9"/>
    <w:rsid w:val="000B3F02"/>
    <w:rsid w:val="000B48A2"/>
    <w:rsid w:val="000B48E7"/>
    <w:rsid w:val="000B4F41"/>
    <w:rsid w:val="000B5230"/>
    <w:rsid w:val="000B5262"/>
    <w:rsid w:val="000B5782"/>
    <w:rsid w:val="000B7663"/>
    <w:rsid w:val="000C045E"/>
    <w:rsid w:val="000C11D3"/>
    <w:rsid w:val="000C12F5"/>
    <w:rsid w:val="000C2C40"/>
    <w:rsid w:val="000C2FAB"/>
    <w:rsid w:val="000C3408"/>
    <w:rsid w:val="000C5BF3"/>
    <w:rsid w:val="000C5C0F"/>
    <w:rsid w:val="000C5D56"/>
    <w:rsid w:val="000C6498"/>
    <w:rsid w:val="000C6C84"/>
    <w:rsid w:val="000D0D51"/>
    <w:rsid w:val="000D14B3"/>
    <w:rsid w:val="000D208B"/>
    <w:rsid w:val="000D2B8D"/>
    <w:rsid w:val="000D2E41"/>
    <w:rsid w:val="000D342A"/>
    <w:rsid w:val="000D353A"/>
    <w:rsid w:val="000D5E7A"/>
    <w:rsid w:val="000D5FAA"/>
    <w:rsid w:val="000D65A4"/>
    <w:rsid w:val="000D6AEF"/>
    <w:rsid w:val="000D6B09"/>
    <w:rsid w:val="000E025B"/>
    <w:rsid w:val="000E0ECB"/>
    <w:rsid w:val="000E153A"/>
    <w:rsid w:val="000E19A8"/>
    <w:rsid w:val="000E1EEA"/>
    <w:rsid w:val="000E214B"/>
    <w:rsid w:val="000E3E34"/>
    <w:rsid w:val="000E4A42"/>
    <w:rsid w:val="000E6476"/>
    <w:rsid w:val="000E78D2"/>
    <w:rsid w:val="000F3332"/>
    <w:rsid w:val="000F33EE"/>
    <w:rsid w:val="000F401E"/>
    <w:rsid w:val="000F5445"/>
    <w:rsid w:val="000F559E"/>
    <w:rsid w:val="000F5673"/>
    <w:rsid w:val="000F59DF"/>
    <w:rsid w:val="000F60D1"/>
    <w:rsid w:val="000F67B2"/>
    <w:rsid w:val="000F67E3"/>
    <w:rsid w:val="000F7639"/>
    <w:rsid w:val="000F790F"/>
    <w:rsid w:val="000F7E1B"/>
    <w:rsid w:val="00100014"/>
    <w:rsid w:val="0010039A"/>
    <w:rsid w:val="00101E94"/>
    <w:rsid w:val="00101FB2"/>
    <w:rsid w:val="00102CB8"/>
    <w:rsid w:val="00102F02"/>
    <w:rsid w:val="0010385D"/>
    <w:rsid w:val="00103E41"/>
    <w:rsid w:val="001041B6"/>
    <w:rsid w:val="00105F6B"/>
    <w:rsid w:val="001070EA"/>
    <w:rsid w:val="0011002A"/>
    <w:rsid w:val="001107CE"/>
    <w:rsid w:val="0011110A"/>
    <w:rsid w:val="001118AF"/>
    <w:rsid w:val="00111CA5"/>
    <w:rsid w:val="0011256E"/>
    <w:rsid w:val="0011352E"/>
    <w:rsid w:val="00113AE4"/>
    <w:rsid w:val="00114FC0"/>
    <w:rsid w:val="00115496"/>
    <w:rsid w:val="00116DB9"/>
    <w:rsid w:val="00116F28"/>
    <w:rsid w:val="001205E9"/>
    <w:rsid w:val="00121C39"/>
    <w:rsid w:val="001225F2"/>
    <w:rsid w:val="00123255"/>
    <w:rsid w:val="00124D2D"/>
    <w:rsid w:val="00124DA1"/>
    <w:rsid w:val="0012511D"/>
    <w:rsid w:val="00125326"/>
    <w:rsid w:val="001253DB"/>
    <w:rsid w:val="00125CB5"/>
    <w:rsid w:val="00127535"/>
    <w:rsid w:val="00127FD1"/>
    <w:rsid w:val="001307BE"/>
    <w:rsid w:val="00130C8F"/>
    <w:rsid w:val="001314F2"/>
    <w:rsid w:val="001317DA"/>
    <w:rsid w:val="001323BA"/>
    <w:rsid w:val="0013254D"/>
    <w:rsid w:val="00133AAC"/>
    <w:rsid w:val="00133FBD"/>
    <w:rsid w:val="00136561"/>
    <w:rsid w:val="001400E1"/>
    <w:rsid w:val="001405FA"/>
    <w:rsid w:val="00141346"/>
    <w:rsid w:val="001413B3"/>
    <w:rsid w:val="001425C3"/>
    <w:rsid w:val="00142F16"/>
    <w:rsid w:val="00143E03"/>
    <w:rsid w:val="00143E93"/>
    <w:rsid w:val="001441F1"/>
    <w:rsid w:val="0014428D"/>
    <w:rsid w:val="001500FC"/>
    <w:rsid w:val="00151AC0"/>
    <w:rsid w:val="00151B27"/>
    <w:rsid w:val="00152046"/>
    <w:rsid w:val="00154147"/>
    <w:rsid w:val="00155746"/>
    <w:rsid w:val="00156318"/>
    <w:rsid w:val="0015639A"/>
    <w:rsid w:val="001606CF"/>
    <w:rsid w:val="0016081D"/>
    <w:rsid w:val="00160CC3"/>
    <w:rsid w:val="00160CF3"/>
    <w:rsid w:val="00160E61"/>
    <w:rsid w:val="00160F90"/>
    <w:rsid w:val="00161DD7"/>
    <w:rsid w:val="001620FA"/>
    <w:rsid w:val="00162853"/>
    <w:rsid w:val="00163793"/>
    <w:rsid w:val="00167FB2"/>
    <w:rsid w:val="001707DE"/>
    <w:rsid w:val="00170B04"/>
    <w:rsid w:val="00170F47"/>
    <w:rsid w:val="001714F2"/>
    <w:rsid w:val="00172BC8"/>
    <w:rsid w:val="001735AF"/>
    <w:rsid w:val="00173642"/>
    <w:rsid w:val="00173AF4"/>
    <w:rsid w:val="00173CB0"/>
    <w:rsid w:val="00174CE8"/>
    <w:rsid w:val="00175351"/>
    <w:rsid w:val="00175854"/>
    <w:rsid w:val="0017598A"/>
    <w:rsid w:val="00175F60"/>
    <w:rsid w:val="00176050"/>
    <w:rsid w:val="001764D8"/>
    <w:rsid w:val="00176A8F"/>
    <w:rsid w:val="001809EB"/>
    <w:rsid w:val="00180D58"/>
    <w:rsid w:val="00181362"/>
    <w:rsid w:val="00182981"/>
    <w:rsid w:val="00184A20"/>
    <w:rsid w:val="00184CF9"/>
    <w:rsid w:val="00185010"/>
    <w:rsid w:val="001852EC"/>
    <w:rsid w:val="00186447"/>
    <w:rsid w:val="001874CF"/>
    <w:rsid w:val="0018770F"/>
    <w:rsid w:val="00190214"/>
    <w:rsid w:val="00190D9B"/>
    <w:rsid w:val="00191BAE"/>
    <w:rsid w:val="00193432"/>
    <w:rsid w:val="0019346C"/>
    <w:rsid w:val="00195444"/>
    <w:rsid w:val="001A199D"/>
    <w:rsid w:val="001A2A44"/>
    <w:rsid w:val="001A2BDB"/>
    <w:rsid w:val="001A30F4"/>
    <w:rsid w:val="001A4BF4"/>
    <w:rsid w:val="001A4C0D"/>
    <w:rsid w:val="001A4F20"/>
    <w:rsid w:val="001A552F"/>
    <w:rsid w:val="001A56F3"/>
    <w:rsid w:val="001A737B"/>
    <w:rsid w:val="001A750C"/>
    <w:rsid w:val="001A7F49"/>
    <w:rsid w:val="001B10C0"/>
    <w:rsid w:val="001B1B54"/>
    <w:rsid w:val="001B1D89"/>
    <w:rsid w:val="001B2512"/>
    <w:rsid w:val="001B3110"/>
    <w:rsid w:val="001B3F37"/>
    <w:rsid w:val="001B4198"/>
    <w:rsid w:val="001B44BC"/>
    <w:rsid w:val="001B4CCF"/>
    <w:rsid w:val="001B54FA"/>
    <w:rsid w:val="001B5888"/>
    <w:rsid w:val="001B618F"/>
    <w:rsid w:val="001B6545"/>
    <w:rsid w:val="001B681B"/>
    <w:rsid w:val="001B6A49"/>
    <w:rsid w:val="001B7231"/>
    <w:rsid w:val="001B74FB"/>
    <w:rsid w:val="001B77A1"/>
    <w:rsid w:val="001C0422"/>
    <w:rsid w:val="001C0E0E"/>
    <w:rsid w:val="001C0EB9"/>
    <w:rsid w:val="001C1219"/>
    <w:rsid w:val="001C357A"/>
    <w:rsid w:val="001C368C"/>
    <w:rsid w:val="001C3A37"/>
    <w:rsid w:val="001C4384"/>
    <w:rsid w:val="001C4C8D"/>
    <w:rsid w:val="001C4E7D"/>
    <w:rsid w:val="001C65FF"/>
    <w:rsid w:val="001C7FB7"/>
    <w:rsid w:val="001D1155"/>
    <w:rsid w:val="001D222C"/>
    <w:rsid w:val="001D47E5"/>
    <w:rsid w:val="001D584C"/>
    <w:rsid w:val="001D5E1B"/>
    <w:rsid w:val="001D66C1"/>
    <w:rsid w:val="001D7C6F"/>
    <w:rsid w:val="001E0024"/>
    <w:rsid w:val="001E0C65"/>
    <w:rsid w:val="001E23E3"/>
    <w:rsid w:val="001E387A"/>
    <w:rsid w:val="001E3DA4"/>
    <w:rsid w:val="001E5555"/>
    <w:rsid w:val="001E5563"/>
    <w:rsid w:val="001E5830"/>
    <w:rsid w:val="001E670D"/>
    <w:rsid w:val="001E684C"/>
    <w:rsid w:val="001E701C"/>
    <w:rsid w:val="001E7C03"/>
    <w:rsid w:val="001F01CF"/>
    <w:rsid w:val="001F02AF"/>
    <w:rsid w:val="001F0649"/>
    <w:rsid w:val="001F0A76"/>
    <w:rsid w:val="001F28F4"/>
    <w:rsid w:val="001F2CC6"/>
    <w:rsid w:val="001F2D59"/>
    <w:rsid w:val="001F3055"/>
    <w:rsid w:val="001F31BC"/>
    <w:rsid w:val="001F31F5"/>
    <w:rsid w:val="001F378E"/>
    <w:rsid w:val="001F3C79"/>
    <w:rsid w:val="001F3E68"/>
    <w:rsid w:val="001F3F8E"/>
    <w:rsid w:val="001F4597"/>
    <w:rsid w:val="001F4599"/>
    <w:rsid w:val="001F56A9"/>
    <w:rsid w:val="001F5C6A"/>
    <w:rsid w:val="001F5D00"/>
    <w:rsid w:val="001F670A"/>
    <w:rsid w:val="001F6CAA"/>
    <w:rsid w:val="00200D15"/>
    <w:rsid w:val="00201F3C"/>
    <w:rsid w:val="0020223B"/>
    <w:rsid w:val="0020297F"/>
    <w:rsid w:val="00203074"/>
    <w:rsid w:val="00203B46"/>
    <w:rsid w:val="002048E1"/>
    <w:rsid w:val="002056A8"/>
    <w:rsid w:val="00205DF4"/>
    <w:rsid w:val="0020609C"/>
    <w:rsid w:val="002075FA"/>
    <w:rsid w:val="00207DB6"/>
    <w:rsid w:val="00210278"/>
    <w:rsid w:val="00210CC2"/>
    <w:rsid w:val="00210F5B"/>
    <w:rsid w:val="00210FFA"/>
    <w:rsid w:val="00211262"/>
    <w:rsid w:val="002115F5"/>
    <w:rsid w:val="00211AC9"/>
    <w:rsid w:val="00211AF3"/>
    <w:rsid w:val="002122F8"/>
    <w:rsid w:val="002126AD"/>
    <w:rsid w:val="0021355B"/>
    <w:rsid w:val="00217965"/>
    <w:rsid w:val="002179F9"/>
    <w:rsid w:val="002205F2"/>
    <w:rsid w:val="0022080E"/>
    <w:rsid w:val="0022139E"/>
    <w:rsid w:val="0022221B"/>
    <w:rsid w:val="0022272B"/>
    <w:rsid w:val="00222A99"/>
    <w:rsid w:val="00223678"/>
    <w:rsid w:val="002236F7"/>
    <w:rsid w:val="00223E00"/>
    <w:rsid w:val="002252E0"/>
    <w:rsid w:val="002255F6"/>
    <w:rsid w:val="00226029"/>
    <w:rsid w:val="00226466"/>
    <w:rsid w:val="002266D0"/>
    <w:rsid w:val="00226887"/>
    <w:rsid w:val="002272B3"/>
    <w:rsid w:val="00230DAD"/>
    <w:rsid w:val="00231195"/>
    <w:rsid w:val="0023229C"/>
    <w:rsid w:val="00232FB4"/>
    <w:rsid w:val="0023355C"/>
    <w:rsid w:val="00234280"/>
    <w:rsid w:val="00235000"/>
    <w:rsid w:val="002350E3"/>
    <w:rsid w:val="00235330"/>
    <w:rsid w:val="00236443"/>
    <w:rsid w:val="00240773"/>
    <w:rsid w:val="00240815"/>
    <w:rsid w:val="00240A5B"/>
    <w:rsid w:val="00240C76"/>
    <w:rsid w:val="002411EF"/>
    <w:rsid w:val="00242730"/>
    <w:rsid w:val="002436BA"/>
    <w:rsid w:val="00243924"/>
    <w:rsid w:val="0024442C"/>
    <w:rsid w:val="002444ED"/>
    <w:rsid w:val="00244A15"/>
    <w:rsid w:val="00244D40"/>
    <w:rsid w:val="00246AE9"/>
    <w:rsid w:val="0024799E"/>
    <w:rsid w:val="00250521"/>
    <w:rsid w:val="00250C59"/>
    <w:rsid w:val="00250D82"/>
    <w:rsid w:val="00250E0D"/>
    <w:rsid w:val="00251D59"/>
    <w:rsid w:val="00252602"/>
    <w:rsid w:val="00252943"/>
    <w:rsid w:val="00252FDC"/>
    <w:rsid w:val="00257613"/>
    <w:rsid w:val="00261E5B"/>
    <w:rsid w:val="00262F34"/>
    <w:rsid w:val="0026319D"/>
    <w:rsid w:val="00263470"/>
    <w:rsid w:val="00263733"/>
    <w:rsid w:val="00264676"/>
    <w:rsid w:val="00265536"/>
    <w:rsid w:val="00265E54"/>
    <w:rsid w:val="0026658D"/>
    <w:rsid w:val="00266F3E"/>
    <w:rsid w:val="002702CC"/>
    <w:rsid w:val="00270785"/>
    <w:rsid w:val="002714E2"/>
    <w:rsid w:val="00272464"/>
    <w:rsid w:val="00272823"/>
    <w:rsid w:val="00273DCD"/>
    <w:rsid w:val="00274291"/>
    <w:rsid w:val="00276CFE"/>
    <w:rsid w:val="00277071"/>
    <w:rsid w:val="0027786C"/>
    <w:rsid w:val="00277BF7"/>
    <w:rsid w:val="002813A2"/>
    <w:rsid w:val="00281416"/>
    <w:rsid w:val="00281688"/>
    <w:rsid w:val="00283C84"/>
    <w:rsid w:val="00285CD3"/>
    <w:rsid w:val="00286220"/>
    <w:rsid w:val="0028686A"/>
    <w:rsid w:val="00286E66"/>
    <w:rsid w:val="002870B7"/>
    <w:rsid w:val="002919B5"/>
    <w:rsid w:val="00293441"/>
    <w:rsid w:val="0029390D"/>
    <w:rsid w:val="00294238"/>
    <w:rsid w:val="0029493E"/>
    <w:rsid w:val="002962E0"/>
    <w:rsid w:val="00296B2C"/>
    <w:rsid w:val="00296BB2"/>
    <w:rsid w:val="00296C2E"/>
    <w:rsid w:val="002A1B05"/>
    <w:rsid w:val="002A267F"/>
    <w:rsid w:val="002A2CAF"/>
    <w:rsid w:val="002A3354"/>
    <w:rsid w:val="002A35EA"/>
    <w:rsid w:val="002A37B6"/>
    <w:rsid w:val="002A3BD5"/>
    <w:rsid w:val="002A3F79"/>
    <w:rsid w:val="002A43A2"/>
    <w:rsid w:val="002A44ED"/>
    <w:rsid w:val="002A4612"/>
    <w:rsid w:val="002A4F70"/>
    <w:rsid w:val="002A5170"/>
    <w:rsid w:val="002A5263"/>
    <w:rsid w:val="002A6821"/>
    <w:rsid w:val="002A74D2"/>
    <w:rsid w:val="002A7CDA"/>
    <w:rsid w:val="002A7E0A"/>
    <w:rsid w:val="002A7F47"/>
    <w:rsid w:val="002B1544"/>
    <w:rsid w:val="002B22BD"/>
    <w:rsid w:val="002B2593"/>
    <w:rsid w:val="002B36C8"/>
    <w:rsid w:val="002B4A9C"/>
    <w:rsid w:val="002B71B4"/>
    <w:rsid w:val="002B7240"/>
    <w:rsid w:val="002B7590"/>
    <w:rsid w:val="002C0FF4"/>
    <w:rsid w:val="002C125A"/>
    <w:rsid w:val="002C2668"/>
    <w:rsid w:val="002C2BAF"/>
    <w:rsid w:val="002C43BD"/>
    <w:rsid w:val="002C493D"/>
    <w:rsid w:val="002C5261"/>
    <w:rsid w:val="002C6091"/>
    <w:rsid w:val="002D0562"/>
    <w:rsid w:val="002D1114"/>
    <w:rsid w:val="002D1B5A"/>
    <w:rsid w:val="002D2500"/>
    <w:rsid w:val="002D338A"/>
    <w:rsid w:val="002D399F"/>
    <w:rsid w:val="002D3F00"/>
    <w:rsid w:val="002D4D59"/>
    <w:rsid w:val="002D52D0"/>
    <w:rsid w:val="002D54BF"/>
    <w:rsid w:val="002D5579"/>
    <w:rsid w:val="002D5E94"/>
    <w:rsid w:val="002D632D"/>
    <w:rsid w:val="002D6CBA"/>
    <w:rsid w:val="002D6F36"/>
    <w:rsid w:val="002E02A1"/>
    <w:rsid w:val="002E0982"/>
    <w:rsid w:val="002E0DB9"/>
    <w:rsid w:val="002E270D"/>
    <w:rsid w:val="002E2CE4"/>
    <w:rsid w:val="002E34F3"/>
    <w:rsid w:val="002E3C38"/>
    <w:rsid w:val="002E3CC8"/>
    <w:rsid w:val="002E435E"/>
    <w:rsid w:val="002E73F2"/>
    <w:rsid w:val="002F33FB"/>
    <w:rsid w:val="002F38B5"/>
    <w:rsid w:val="002F4825"/>
    <w:rsid w:val="002F663A"/>
    <w:rsid w:val="002F68A4"/>
    <w:rsid w:val="002F7594"/>
    <w:rsid w:val="00300D6F"/>
    <w:rsid w:val="00301357"/>
    <w:rsid w:val="00301D04"/>
    <w:rsid w:val="00302033"/>
    <w:rsid w:val="00302429"/>
    <w:rsid w:val="00302CC5"/>
    <w:rsid w:val="003035D4"/>
    <w:rsid w:val="00303DCB"/>
    <w:rsid w:val="00304771"/>
    <w:rsid w:val="00305736"/>
    <w:rsid w:val="00306C5B"/>
    <w:rsid w:val="00306E3B"/>
    <w:rsid w:val="00307277"/>
    <w:rsid w:val="003119B6"/>
    <w:rsid w:val="00311A14"/>
    <w:rsid w:val="00312237"/>
    <w:rsid w:val="00312C3D"/>
    <w:rsid w:val="00314331"/>
    <w:rsid w:val="00314F9F"/>
    <w:rsid w:val="003165BF"/>
    <w:rsid w:val="00317538"/>
    <w:rsid w:val="00317E31"/>
    <w:rsid w:val="00320214"/>
    <w:rsid w:val="003209D6"/>
    <w:rsid w:val="0032109A"/>
    <w:rsid w:val="0032214F"/>
    <w:rsid w:val="00322164"/>
    <w:rsid w:val="00322A2F"/>
    <w:rsid w:val="00322CED"/>
    <w:rsid w:val="00323CF7"/>
    <w:rsid w:val="00323E61"/>
    <w:rsid w:val="0032513D"/>
    <w:rsid w:val="00325B20"/>
    <w:rsid w:val="00326251"/>
    <w:rsid w:val="0032739C"/>
    <w:rsid w:val="00327DEE"/>
    <w:rsid w:val="003302DA"/>
    <w:rsid w:val="00330EB0"/>
    <w:rsid w:val="00331544"/>
    <w:rsid w:val="00331785"/>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4613F"/>
    <w:rsid w:val="00351B63"/>
    <w:rsid w:val="00351F7E"/>
    <w:rsid w:val="00352061"/>
    <w:rsid w:val="00352E57"/>
    <w:rsid w:val="003541B0"/>
    <w:rsid w:val="0035457E"/>
    <w:rsid w:val="00355885"/>
    <w:rsid w:val="0035605E"/>
    <w:rsid w:val="00356106"/>
    <w:rsid w:val="0035612B"/>
    <w:rsid w:val="00357449"/>
    <w:rsid w:val="003576A8"/>
    <w:rsid w:val="0036238B"/>
    <w:rsid w:val="00363A2A"/>
    <w:rsid w:val="003651A4"/>
    <w:rsid w:val="00365680"/>
    <w:rsid w:val="0036572A"/>
    <w:rsid w:val="003657F3"/>
    <w:rsid w:val="00366D4D"/>
    <w:rsid w:val="00367038"/>
    <w:rsid w:val="00370963"/>
    <w:rsid w:val="0037144E"/>
    <w:rsid w:val="003721D6"/>
    <w:rsid w:val="003736B5"/>
    <w:rsid w:val="00373809"/>
    <w:rsid w:val="00374F1E"/>
    <w:rsid w:val="00376CBB"/>
    <w:rsid w:val="00376DEC"/>
    <w:rsid w:val="00377200"/>
    <w:rsid w:val="0038034A"/>
    <w:rsid w:val="00380E04"/>
    <w:rsid w:val="00380E6C"/>
    <w:rsid w:val="00383227"/>
    <w:rsid w:val="00383926"/>
    <w:rsid w:val="00384D8F"/>
    <w:rsid w:val="00385D98"/>
    <w:rsid w:val="00385EC5"/>
    <w:rsid w:val="0038658E"/>
    <w:rsid w:val="00390561"/>
    <w:rsid w:val="0039066E"/>
    <w:rsid w:val="00391C95"/>
    <w:rsid w:val="0039462F"/>
    <w:rsid w:val="00394D49"/>
    <w:rsid w:val="003950BC"/>
    <w:rsid w:val="00396DAC"/>
    <w:rsid w:val="003A0214"/>
    <w:rsid w:val="003A027D"/>
    <w:rsid w:val="003A09DB"/>
    <w:rsid w:val="003A1D74"/>
    <w:rsid w:val="003A28DB"/>
    <w:rsid w:val="003A2B4D"/>
    <w:rsid w:val="003A2D2B"/>
    <w:rsid w:val="003A2DD4"/>
    <w:rsid w:val="003A3B1C"/>
    <w:rsid w:val="003A3E1C"/>
    <w:rsid w:val="003A4088"/>
    <w:rsid w:val="003A478C"/>
    <w:rsid w:val="003A4F82"/>
    <w:rsid w:val="003A5525"/>
    <w:rsid w:val="003A5648"/>
    <w:rsid w:val="003A6B38"/>
    <w:rsid w:val="003B2580"/>
    <w:rsid w:val="003B27D4"/>
    <w:rsid w:val="003B2E63"/>
    <w:rsid w:val="003B3189"/>
    <w:rsid w:val="003B3A9D"/>
    <w:rsid w:val="003B3DDD"/>
    <w:rsid w:val="003B5031"/>
    <w:rsid w:val="003B5A32"/>
    <w:rsid w:val="003B6105"/>
    <w:rsid w:val="003C03CC"/>
    <w:rsid w:val="003C04C4"/>
    <w:rsid w:val="003C26F4"/>
    <w:rsid w:val="003C3686"/>
    <w:rsid w:val="003C4852"/>
    <w:rsid w:val="003C5162"/>
    <w:rsid w:val="003C59F2"/>
    <w:rsid w:val="003C5BC7"/>
    <w:rsid w:val="003C601E"/>
    <w:rsid w:val="003C66C4"/>
    <w:rsid w:val="003D0765"/>
    <w:rsid w:val="003D2C4E"/>
    <w:rsid w:val="003D3600"/>
    <w:rsid w:val="003D3825"/>
    <w:rsid w:val="003D3EC4"/>
    <w:rsid w:val="003D3FB7"/>
    <w:rsid w:val="003D4760"/>
    <w:rsid w:val="003D49DC"/>
    <w:rsid w:val="003D4DD9"/>
    <w:rsid w:val="003D5D7A"/>
    <w:rsid w:val="003E00B9"/>
    <w:rsid w:val="003E0663"/>
    <w:rsid w:val="003E133F"/>
    <w:rsid w:val="003E49F6"/>
    <w:rsid w:val="003E4F5C"/>
    <w:rsid w:val="003E699C"/>
    <w:rsid w:val="003E69F3"/>
    <w:rsid w:val="003E6B1F"/>
    <w:rsid w:val="003E6CAF"/>
    <w:rsid w:val="003E782E"/>
    <w:rsid w:val="003E7A0B"/>
    <w:rsid w:val="003E7B2B"/>
    <w:rsid w:val="003F0297"/>
    <w:rsid w:val="003F0CE4"/>
    <w:rsid w:val="003F181F"/>
    <w:rsid w:val="003F1A48"/>
    <w:rsid w:val="003F1E23"/>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50D7"/>
    <w:rsid w:val="00405507"/>
    <w:rsid w:val="00405FC7"/>
    <w:rsid w:val="004078BD"/>
    <w:rsid w:val="00410132"/>
    <w:rsid w:val="00410BCD"/>
    <w:rsid w:val="00410DE5"/>
    <w:rsid w:val="0041175D"/>
    <w:rsid w:val="004123BE"/>
    <w:rsid w:val="00414CE5"/>
    <w:rsid w:val="00416673"/>
    <w:rsid w:val="004173A7"/>
    <w:rsid w:val="0042160D"/>
    <w:rsid w:val="00423A3C"/>
    <w:rsid w:val="0042570C"/>
    <w:rsid w:val="0042681B"/>
    <w:rsid w:val="00427193"/>
    <w:rsid w:val="0043068A"/>
    <w:rsid w:val="004306E0"/>
    <w:rsid w:val="00431D32"/>
    <w:rsid w:val="00431D54"/>
    <w:rsid w:val="00432041"/>
    <w:rsid w:val="004329BE"/>
    <w:rsid w:val="00432C38"/>
    <w:rsid w:val="004342EC"/>
    <w:rsid w:val="0043509C"/>
    <w:rsid w:val="00437C76"/>
    <w:rsid w:val="0044105C"/>
    <w:rsid w:val="004422DD"/>
    <w:rsid w:val="00443E95"/>
    <w:rsid w:val="004441A0"/>
    <w:rsid w:val="00444268"/>
    <w:rsid w:val="00444326"/>
    <w:rsid w:val="004443BF"/>
    <w:rsid w:val="00444C19"/>
    <w:rsid w:val="00445218"/>
    <w:rsid w:val="00445CDD"/>
    <w:rsid w:val="004464D5"/>
    <w:rsid w:val="00446892"/>
    <w:rsid w:val="00447E36"/>
    <w:rsid w:val="00450326"/>
    <w:rsid w:val="00450700"/>
    <w:rsid w:val="0045095C"/>
    <w:rsid w:val="00450C30"/>
    <w:rsid w:val="00451AD1"/>
    <w:rsid w:val="00452819"/>
    <w:rsid w:val="004529C7"/>
    <w:rsid w:val="004540FF"/>
    <w:rsid w:val="004541F1"/>
    <w:rsid w:val="00455ECA"/>
    <w:rsid w:val="00456031"/>
    <w:rsid w:val="0045726E"/>
    <w:rsid w:val="00457296"/>
    <w:rsid w:val="00457320"/>
    <w:rsid w:val="00460164"/>
    <w:rsid w:val="0046039A"/>
    <w:rsid w:val="00460A6B"/>
    <w:rsid w:val="00461977"/>
    <w:rsid w:val="00461A3F"/>
    <w:rsid w:val="004629FD"/>
    <w:rsid w:val="00462AD2"/>
    <w:rsid w:val="00463B4B"/>
    <w:rsid w:val="00463F4D"/>
    <w:rsid w:val="004640FB"/>
    <w:rsid w:val="0046471F"/>
    <w:rsid w:val="00464BE8"/>
    <w:rsid w:val="00465019"/>
    <w:rsid w:val="00465FA4"/>
    <w:rsid w:val="0046613F"/>
    <w:rsid w:val="0046655D"/>
    <w:rsid w:val="0046765E"/>
    <w:rsid w:val="004676E2"/>
    <w:rsid w:val="00467FB8"/>
    <w:rsid w:val="00471EDD"/>
    <w:rsid w:val="00473E94"/>
    <w:rsid w:val="0047400C"/>
    <w:rsid w:val="004745D9"/>
    <w:rsid w:val="004762D8"/>
    <w:rsid w:val="004765B3"/>
    <w:rsid w:val="00476D29"/>
    <w:rsid w:val="00477241"/>
    <w:rsid w:val="00477D39"/>
    <w:rsid w:val="00477EAF"/>
    <w:rsid w:val="00477EE0"/>
    <w:rsid w:val="00480AB8"/>
    <w:rsid w:val="00480B92"/>
    <w:rsid w:val="0048139F"/>
    <w:rsid w:val="00481C00"/>
    <w:rsid w:val="00483053"/>
    <w:rsid w:val="0048414D"/>
    <w:rsid w:val="00484874"/>
    <w:rsid w:val="00485230"/>
    <w:rsid w:val="004859B2"/>
    <w:rsid w:val="004879E9"/>
    <w:rsid w:val="00487F81"/>
    <w:rsid w:val="00490247"/>
    <w:rsid w:val="0049104F"/>
    <w:rsid w:val="00491218"/>
    <w:rsid w:val="004914B2"/>
    <w:rsid w:val="00491CFD"/>
    <w:rsid w:val="00493362"/>
    <w:rsid w:val="00494343"/>
    <w:rsid w:val="00496C2F"/>
    <w:rsid w:val="0049740D"/>
    <w:rsid w:val="004978D3"/>
    <w:rsid w:val="004A11F8"/>
    <w:rsid w:val="004A22BD"/>
    <w:rsid w:val="004A22FA"/>
    <w:rsid w:val="004A269A"/>
    <w:rsid w:val="004A30FB"/>
    <w:rsid w:val="004A35DD"/>
    <w:rsid w:val="004A37D3"/>
    <w:rsid w:val="004A3AD6"/>
    <w:rsid w:val="004A5865"/>
    <w:rsid w:val="004A77DF"/>
    <w:rsid w:val="004B0295"/>
    <w:rsid w:val="004B0400"/>
    <w:rsid w:val="004B0803"/>
    <w:rsid w:val="004B10A8"/>
    <w:rsid w:val="004B22DA"/>
    <w:rsid w:val="004B3CB7"/>
    <w:rsid w:val="004B3D55"/>
    <w:rsid w:val="004B55B7"/>
    <w:rsid w:val="004B5836"/>
    <w:rsid w:val="004B623C"/>
    <w:rsid w:val="004B6A7F"/>
    <w:rsid w:val="004C00A6"/>
    <w:rsid w:val="004C0BBB"/>
    <w:rsid w:val="004C1AD6"/>
    <w:rsid w:val="004C1B86"/>
    <w:rsid w:val="004C2AF6"/>
    <w:rsid w:val="004C3382"/>
    <w:rsid w:val="004C3867"/>
    <w:rsid w:val="004C4AB7"/>
    <w:rsid w:val="004C4CD0"/>
    <w:rsid w:val="004C57B5"/>
    <w:rsid w:val="004C5C25"/>
    <w:rsid w:val="004C6717"/>
    <w:rsid w:val="004C6CFF"/>
    <w:rsid w:val="004C70DC"/>
    <w:rsid w:val="004C7268"/>
    <w:rsid w:val="004D0211"/>
    <w:rsid w:val="004D1C9C"/>
    <w:rsid w:val="004D4025"/>
    <w:rsid w:val="004D458D"/>
    <w:rsid w:val="004D504B"/>
    <w:rsid w:val="004D536E"/>
    <w:rsid w:val="004D5D6E"/>
    <w:rsid w:val="004D74FF"/>
    <w:rsid w:val="004D76CC"/>
    <w:rsid w:val="004E1803"/>
    <w:rsid w:val="004E1839"/>
    <w:rsid w:val="004E4A75"/>
    <w:rsid w:val="004E541A"/>
    <w:rsid w:val="004E5A5C"/>
    <w:rsid w:val="004E7007"/>
    <w:rsid w:val="004E76D6"/>
    <w:rsid w:val="004E7F57"/>
    <w:rsid w:val="004F0119"/>
    <w:rsid w:val="004F06F5"/>
    <w:rsid w:val="004F0C84"/>
    <w:rsid w:val="004F191F"/>
    <w:rsid w:val="004F2A73"/>
    <w:rsid w:val="004F33A0"/>
    <w:rsid w:val="004F4353"/>
    <w:rsid w:val="004F447D"/>
    <w:rsid w:val="004F4C28"/>
    <w:rsid w:val="004F4E82"/>
    <w:rsid w:val="004F5CC5"/>
    <w:rsid w:val="004F6350"/>
    <w:rsid w:val="004F67DF"/>
    <w:rsid w:val="00502230"/>
    <w:rsid w:val="005028E1"/>
    <w:rsid w:val="005029C3"/>
    <w:rsid w:val="0050692E"/>
    <w:rsid w:val="00507040"/>
    <w:rsid w:val="005079F8"/>
    <w:rsid w:val="00510189"/>
    <w:rsid w:val="005106F1"/>
    <w:rsid w:val="005108C0"/>
    <w:rsid w:val="00511873"/>
    <w:rsid w:val="0051367B"/>
    <w:rsid w:val="00513B7E"/>
    <w:rsid w:val="005140DE"/>
    <w:rsid w:val="00514474"/>
    <w:rsid w:val="005147E9"/>
    <w:rsid w:val="0051778E"/>
    <w:rsid w:val="005205A2"/>
    <w:rsid w:val="0052142D"/>
    <w:rsid w:val="005215EF"/>
    <w:rsid w:val="005230D0"/>
    <w:rsid w:val="00524637"/>
    <w:rsid w:val="00524E02"/>
    <w:rsid w:val="00524FDD"/>
    <w:rsid w:val="00525067"/>
    <w:rsid w:val="00525137"/>
    <w:rsid w:val="005251DD"/>
    <w:rsid w:val="005263D4"/>
    <w:rsid w:val="00526DB6"/>
    <w:rsid w:val="0053017A"/>
    <w:rsid w:val="00530492"/>
    <w:rsid w:val="00530C72"/>
    <w:rsid w:val="00532854"/>
    <w:rsid w:val="005350F2"/>
    <w:rsid w:val="00535152"/>
    <w:rsid w:val="00535359"/>
    <w:rsid w:val="005357A2"/>
    <w:rsid w:val="005359E3"/>
    <w:rsid w:val="00535D87"/>
    <w:rsid w:val="00535EF0"/>
    <w:rsid w:val="005363DF"/>
    <w:rsid w:val="0053734B"/>
    <w:rsid w:val="005375B1"/>
    <w:rsid w:val="00537A03"/>
    <w:rsid w:val="00537AFD"/>
    <w:rsid w:val="00537CB4"/>
    <w:rsid w:val="00541606"/>
    <w:rsid w:val="00542FA4"/>
    <w:rsid w:val="0054458F"/>
    <w:rsid w:val="0054495C"/>
    <w:rsid w:val="00544C1E"/>
    <w:rsid w:val="0054516B"/>
    <w:rsid w:val="0054559E"/>
    <w:rsid w:val="005513D5"/>
    <w:rsid w:val="005523B9"/>
    <w:rsid w:val="00552806"/>
    <w:rsid w:val="00553232"/>
    <w:rsid w:val="0055420D"/>
    <w:rsid w:val="005545E0"/>
    <w:rsid w:val="00554843"/>
    <w:rsid w:val="00554865"/>
    <w:rsid w:val="00554E57"/>
    <w:rsid w:val="00560403"/>
    <w:rsid w:val="00561B39"/>
    <w:rsid w:val="00562749"/>
    <w:rsid w:val="00562DE9"/>
    <w:rsid w:val="005638A5"/>
    <w:rsid w:val="00563BEB"/>
    <w:rsid w:val="00564AD6"/>
    <w:rsid w:val="00565109"/>
    <w:rsid w:val="00566381"/>
    <w:rsid w:val="00566A03"/>
    <w:rsid w:val="005703D7"/>
    <w:rsid w:val="00571932"/>
    <w:rsid w:val="00573C97"/>
    <w:rsid w:val="00574240"/>
    <w:rsid w:val="00575CDC"/>
    <w:rsid w:val="005765D5"/>
    <w:rsid w:val="00576A3E"/>
    <w:rsid w:val="0057703D"/>
    <w:rsid w:val="00583384"/>
    <w:rsid w:val="0058366F"/>
    <w:rsid w:val="00583D5B"/>
    <w:rsid w:val="00583FFD"/>
    <w:rsid w:val="00587CCD"/>
    <w:rsid w:val="00587E4C"/>
    <w:rsid w:val="00590502"/>
    <w:rsid w:val="005908AE"/>
    <w:rsid w:val="0059176E"/>
    <w:rsid w:val="00592854"/>
    <w:rsid w:val="00593152"/>
    <w:rsid w:val="00593CA3"/>
    <w:rsid w:val="00594161"/>
    <w:rsid w:val="00594969"/>
    <w:rsid w:val="00596C5E"/>
    <w:rsid w:val="005A2194"/>
    <w:rsid w:val="005A21E0"/>
    <w:rsid w:val="005A33A1"/>
    <w:rsid w:val="005A54EE"/>
    <w:rsid w:val="005A563B"/>
    <w:rsid w:val="005A6AB4"/>
    <w:rsid w:val="005A7500"/>
    <w:rsid w:val="005A77E4"/>
    <w:rsid w:val="005A7A7A"/>
    <w:rsid w:val="005B0DE8"/>
    <w:rsid w:val="005B1BDB"/>
    <w:rsid w:val="005B2BAA"/>
    <w:rsid w:val="005B2D53"/>
    <w:rsid w:val="005B3247"/>
    <w:rsid w:val="005B3409"/>
    <w:rsid w:val="005B3BB7"/>
    <w:rsid w:val="005B498A"/>
    <w:rsid w:val="005B4E00"/>
    <w:rsid w:val="005B60B5"/>
    <w:rsid w:val="005B7B12"/>
    <w:rsid w:val="005C0D93"/>
    <w:rsid w:val="005C16CB"/>
    <w:rsid w:val="005C21D6"/>
    <w:rsid w:val="005C3871"/>
    <w:rsid w:val="005C3F9F"/>
    <w:rsid w:val="005C406F"/>
    <w:rsid w:val="005C4A23"/>
    <w:rsid w:val="005C562C"/>
    <w:rsid w:val="005C5812"/>
    <w:rsid w:val="005C6400"/>
    <w:rsid w:val="005C7F1E"/>
    <w:rsid w:val="005D2B4D"/>
    <w:rsid w:val="005D374F"/>
    <w:rsid w:val="005D4336"/>
    <w:rsid w:val="005D5802"/>
    <w:rsid w:val="005D6CFC"/>
    <w:rsid w:val="005D73E2"/>
    <w:rsid w:val="005D757A"/>
    <w:rsid w:val="005D7C4B"/>
    <w:rsid w:val="005E116A"/>
    <w:rsid w:val="005E1E4B"/>
    <w:rsid w:val="005E214F"/>
    <w:rsid w:val="005E362D"/>
    <w:rsid w:val="005E3A0C"/>
    <w:rsid w:val="005E3CC9"/>
    <w:rsid w:val="005E3FAC"/>
    <w:rsid w:val="005E4177"/>
    <w:rsid w:val="005E492C"/>
    <w:rsid w:val="005E4BAA"/>
    <w:rsid w:val="005E52EF"/>
    <w:rsid w:val="005E5B56"/>
    <w:rsid w:val="005E6088"/>
    <w:rsid w:val="005E61DF"/>
    <w:rsid w:val="005E6B65"/>
    <w:rsid w:val="005E6B78"/>
    <w:rsid w:val="005E75B8"/>
    <w:rsid w:val="005E7CE4"/>
    <w:rsid w:val="005F0976"/>
    <w:rsid w:val="005F16C3"/>
    <w:rsid w:val="005F26CE"/>
    <w:rsid w:val="005F4057"/>
    <w:rsid w:val="005F4088"/>
    <w:rsid w:val="005F601D"/>
    <w:rsid w:val="005F6119"/>
    <w:rsid w:val="005F77CA"/>
    <w:rsid w:val="005F7940"/>
    <w:rsid w:val="00600E81"/>
    <w:rsid w:val="0060107A"/>
    <w:rsid w:val="00601AFF"/>
    <w:rsid w:val="00602D1D"/>
    <w:rsid w:val="00603A7F"/>
    <w:rsid w:val="00604307"/>
    <w:rsid w:val="0060487F"/>
    <w:rsid w:val="00605814"/>
    <w:rsid w:val="00606B93"/>
    <w:rsid w:val="006076A7"/>
    <w:rsid w:val="00607727"/>
    <w:rsid w:val="00610BD5"/>
    <w:rsid w:val="00611531"/>
    <w:rsid w:val="006118AA"/>
    <w:rsid w:val="006132A2"/>
    <w:rsid w:val="006135BC"/>
    <w:rsid w:val="006139C7"/>
    <w:rsid w:val="006153E3"/>
    <w:rsid w:val="00615EDF"/>
    <w:rsid w:val="00616542"/>
    <w:rsid w:val="006167AB"/>
    <w:rsid w:val="00616EA3"/>
    <w:rsid w:val="00617D13"/>
    <w:rsid w:val="00617D2D"/>
    <w:rsid w:val="00617D83"/>
    <w:rsid w:val="00617EC9"/>
    <w:rsid w:val="00620430"/>
    <w:rsid w:val="00620AC5"/>
    <w:rsid w:val="00621575"/>
    <w:rsid w:val="006215FC"/>
    <w:rsid w:val="006228BE"/>
    <w:rsid w:val="00623B77"/>
    <w:rsid w:val="00624093"/>
    <w:rsid w:val="00624EC8"/>
    <w:rsid w:val="00625E54"/>
    <w:rsid w:val="00627678"/>
    <w:rsid w:val="00630F66"/>
    <w:rsid w:val="00631562"/>
    <w:rsid w:val="00631FC2"/>
    <w:rsid w:val="00632171"/>
    <w:rsid w:val="0063332A"/>
    <w:rsid w:val="00633FBD"/>
    <w:rsid w:val="006347F9"/>
    <w:rsid w:val="0063494E"/>
    <w:rsid w:val="00634C90"/>
    <w:rsid w:val="00635E79"/>
    <w:rsid w:val="00636E5E"/>
    <w:rsid w:val="006379E0"/>
    <w:rsid w:val="006404A7"/>
    <w:rsid w:val="006407F3"/>
    <w:rsid w:val="006408EC"/>
    <w:rsid w:val="0064129B"/>
    <w:rsid w:val="00641DF7"/>
    <w:rsid w:val="0064354E"/>
    <w:rsid w:val="00643A80"/>
    <w:rsid w:val="006446CA"/>
    <w:rsid w:val="00644DFC"/>
    <w:rsid w:val="006451E4"/>
    <w:rsid w:val="006454B4"/>
    <w:rsid w:val="00645A9C"/>
    <w:rsid w:val="0064608E"/>
    <w:rsid w:val="006460B8"/>
    <w:rsid w:val="00647313"/>
    <w:rsid w:val="006502D1"/>
    <w:rsid w:val="006504A0"/>
    <w:rsid w:val="00650B18"/>
    <w:rsid w:val="006520C7"/>
    <w:rsid w:val="006520D5"/>
    <w:rsid w:val="00652CBB"/>
    <w:rsid w:val="006530B8"/>
    <w:rsid w:val="006535D6"/>
    <w:rsid w:val="00656716"/>
    <w:rsid w:val="006572ED"/>
    <w:rsid w:val="00657E87"/>
    <w:rsid w:val="00660457"/>
    <w:rsid w:val="00660E1E"/>
    <w:rsid w:val="006637B1"/>
    <w:rsid w:val="00664B64"/>
    <w:rsid w:val="00664C15"/>
    <w:rsid w:val="00665D67"/>
    <w:rsid w:val="00665D77"/>
    <w:rsid w:val="006660CD"/>
    <w:rsid w:val="00666EC8"/>
    <w:rsid w:val="00666F4B"/>
    <w:rsid w:val="006676D0"/>
    <w:rsid w:val="0066796E"/>
    <w:rsid w:val="00670FAC"/>
    <w:rsid w:val="006710C9"/>
    <w:rsid w:val="006716A5"/>
    <w:rsid w:val="006732A0"/>
    <w:rsid w:val="00673940"/>
    <w:rsid w:val="00675E37"/>
    <w:rsid w:val="00676AFC"/>
    <w:rsid w:val="00676F11"/>
    <w:rsid w:val="00680079"/>
    <w:rsid w:val="00680F68"/>
    <w:rsid w:val="006812E6"/>
    <w:rsid w:val="0068173A"/>
    <w:rsid w:val="0068260E"/>
    <w:rsid w:val="00682BD7"/>
    <w:rsid w:val="0068373D"/>
    <w:rsid w:val="00683BFE"/>
    <w:rsid w:val="00683C08"/>
    <w:rsid w:val="0068437D"/>
    <w:rsid w:val="006857DF"/>
    <w:rsid w:val="00685E66"/>
    <w:rsid w:val="00686B72"/>
    <w:rsid w:val="00686BF1"/>
    <w:rsid w:val="00687AE5"/>
    <w:rsid w:val="00690A09"/>
    <w:rsid w:val="00690A25"/>
    <w:rsid w:val="006914E4"/>
    <w:rsid w:val="00693313"/>
    <w:rsid w:val="006936AD"/>
    <w:rsid w:val="00693EA1"/>
    <w:rsid w:val="00693FEA"/>
    <w:rsid w:val="00694930"/>
    <w:rsid w:val="006949B2"/>
    <w:rsid w:val="00695170"/>
    <w:rsid w:val="00695BEF"/>
    <w:rsid w:val="006960D6"/>
    <w:rsid w:val="00696AA5"/>
    <w:rsid w:val="006977F6"/>
    <w:rsid w:val="00697A13"/>
    <w:rsid w:val="006A0256"/>
    <w:rsid w:val="006A0AA6"/>
    <w:rsid w:val="006A109C"/>
    <w:rsid w:val="006A18AE"/>
    <w:rsid w:val="006A2EE8"/>
    <w:rsid w:val="006A3CF3"/>
    <w:rsid w:val="006A568F"/>
    <w:rsid w:val="006A65EF"/>
    <w:rsid w:val="006A672B"/>
    <w:rsid w:val="006A7E01"/>
    <w:rsid w:val="006B23A9"/>
    <w:rsid w:val="006B262C"/>
    <w:rsid w:val="006B281D"/>
    <w:rsid w:val="006B3F8A"/>
    <w:rsid w:val="006B5CA3"/>
    <w:rsid w:val="006B6B3B"/>
    <w:rsid w:val="006B7248"/>
    <w:rsid w:val="006B7714"/>
    <w:rsid w:val="006B78D8"/>
    <w:rsid w:val="006C090F"/>
    <w:rsid w:val="006C0935"/>
    <w:rsid w:val="006C0BCE"/>
    <w:rsid w:val="006C113F"/>
    <w:rsid w:val="006C2AED"/>
    <w:rsid w:val="006C38DD"/>
    <w:rsid w:val="006C53C7"/>
    <w:rsid w:val="006C5440"/>
    <w:rsid w:val="006C5577"/>
    <w:rsid w:val="006C559A"/>
    <w:rsid w:val="006C58FA"/>
    <w:rsid w:val="006C7458"/>
    <w:rsid w:val="006C7600"/>
    <w:rsid w:val="006D042D"/>
    <w:rsid w:val="006D06EF"/>
    <w:rsid w:val="006D142E"/>
    <w:rsid w:val="006D3290"/>
    <w:rsid w:val="006D4497"/>
    <w:rsid w:val="006D4E6F"/>
    <w:rsid w:val="006D61F6"/>
    <w:rsid w:val="006D6D7D"/>
    <w:rsid w:val="006E0937"/>
    <w:rsid w:val="006E0EB0"/>
    <w:rsid w:val="006E1F4C"/>
    <w:rsid w:val="006E22C8"/>
    <w:rsid w:val="006E279A"/>
    <w:rsid w:val="006E2F3F"/>
    <w:rsid w:val="006E313B"/>
    <w:rsid w:val="006E442A"/>
    <w:rsid w:val="006E4434"/>
    <w:rsid w:val="006E59FC"/>
    <w:rsid w:val="006E5CFD"/>
    <w:rsid w:val="006E7E2C"/>
    <w:rsid w:val="006F1326"/>
    <w:rsid w:val="006F2BEE"/>
    <w:rsid w:val="006F3708"/>
    <w:rsid w:val="006F3E6B"/>
    <w:rsid w:val="006F4619"/>
    <w:rsid w:val="006F489F"/>
    <w:rsid w:val="006F4A59"/>
    <w:rsid w:val="006F59A3"/>
    <w:rsid w:val="00700232"/>
    <w:rsid w:val="007014C7"/>
    <w:rsid w:val="00702D6F"/>
    <w:rsid w:val="00703B6C"/>
    <w:rsid w:val="00703C6B"/>
    <w:rsid w:val="007047D5"/>
    <w:rsid w:val="00705025"/>
    <w:rsid w:val="00705D98"/>
    <w:rsid w:val="00707891"/>
    <w:rsid w:val="00707D43"/>
    <w:rsid w:val="00711CB9"/>
    <w:rsid w:val="00711EF1"/>
    <w:rsid w:val="0071229A"/>
    <w:rsid w:val="00712572"/>
    <w:rsid w:val="00713495"/>
    <w:rsid w:val="00713EEB"/>
    <w:rsid w:val="007159D2"/>
    <w:rsid w:val="007200D6"/>
    <w:rsid w:val="0072050E"/>
    <w:rsid w:val="00720FA2"/>
    <w:rsid w:val="007211F5"/>
    <w:rsid w:val="00724666"/>
    <w:rsid w:val="00725492"/>
    <w:rsid w:val="00726043"/>
    <w:rsid w:val="0072704A"/>
    <w:rsid w:val="007303DF"/>
    <w:rsid w:val="00730AE8"/>
    <w:rsid w:val="007315DA"/>
    <w:rsid w:val="00731963"/>
    <w:rsid w:val="00734321"/>
    <w:rsid w:val="0073532E"/>
    <w:rsid w:val="007377A7"/>
    <w:rsid w:val="00740310"/>
    <w:rsid w:val="00740652"/>
    <w:rsid w:val="00740F02"/>
    <w:rsid w:val="00740FEC"/>
    <w:rsid w:val="0074103A"/>
    <w:rsid w:val="0074132E"/>
    <w:rsid w:val="00741493"/>
    <w:rsid w:val="00741C92"/>
    <w:rsid w:val="007426B3"/>
    <w:rsid w:val="007426FD"/>
    <w:rsid w:val="0074329D"/>
    <w:rsid w:val="00743861"/>
    <w:rsid w:val="00744376"/>
    <w:rsid w:val="007449EA"/>
    <w:rsid w:val="00744D00"/>
    <w:rsid w:val="00745273"/>
    <w:rsid w:val="00746DD9"/>
    <w:rsid w:val="0075057A"/>
    <w:rsid w:val="00751771"/>
    <w:rsid w:val="00751C1C"/>
    <w:rsid w:val="00752180"/>
    <w:rsid w:val="007521A1"/>
    <w:rsid w:val="0075275A"/>
    <w:rsid w:val="00752BC3"/>
    <w:rsid w:val="0075315D"/>
    <w:rsid w:val="007538F9"/>
    <w:rsid w:val="00754253"/>
    <w:rsid w:val="00755045"/>
    <w:rsid w:val="007552BB"/>
    <w:rsid w:val="007558D3"/>
    <w:rsid w:val="007559D7"/>
    <w:rsid w:val="00755D3A"/>
    <w:rsid w:val="00760141"/>
    <w:rsid w:val="007609C6"/>
    <w:rsid w:val="007610A0"/>
    <w:rsid w:val="00761D43"/>
    <w:rsid w:val="00762036"/>
    <w:rsid w:val="007620F2"/>
    <w:rsid w:val="00762EBA"/>
    <w:rsid w:val="00763547"/>
    <w:rsid w:val="0076359D"/>
    <w:rsid w:val="007639E7"/>
    <w:rsid w:val="0077058D"/>
    <w:rsid w:val="007708DF"/>
    <w:rsid w:val="00772536"/>
    <w:rsid w:val="00773613"/>
    <w:rsid w:val="00774782"/>
    <w:rsid w:val="00776476"/>
    <w:rsid w:val="00776527"/>
    <w:rsid w:val="0077744C"/>
    <w:rsid w:val="007805E1"/>
    <w:rsid w:val="0078113E"/>
    <w:rsid w:val="00781834"/>
    <w:rsid w:val="007821DB"/>
    <w:rsid w:val="00782818"/>
    <w:rsid w:val="007838F1"/>
    <w:rsid w:val="00784712"/>
    <w:rsid w:val="00784C4A"/>
    <w:rsid w:val="00785FCA"/>
    <w:rsid w:val="00787432"/>
    <w:rsid w:val="00787507"/>
    <w:rsid w:val="0078777B"/>
    <w:rsid w:val="00787959"/>
    <w:rsid w:val="007879F2"/>
    <w:rsid w:val="00791CF8"/>
    <w:rsid w:val="00791E7B"/>
    <w:rsid w:val="00791EF9"/>
    <w:rsid w:val="00792262"/>
    <w:rsid w:val="00793387"/>
    <w:rsid w:val="00793BAE"/>
    <w:rsid w:val="00794E0A"/>
    <w:rsid w:val="007952D6"/>
    <w:rsid w:val="00796642"/>
    <w:rsid w:val="007A0BF4"/>
    <w:rsid w:val="007A11D9"/>
    <w:rsid w:val="007A327B"/>
    <w:rsid w:val="007A3BC7"/>
    <w:rsid w:val="007A4048"/>
    <w:rsid w:val="007A45B1"/>
    <w:rsid w:val="007A4606"/>
    <w:rsid w:val="007A48FC"/>
    <w:rsid w:val="007A5AC8"/>
    <w:rsid w:val="007B010B"/>
    <w:rsid w:val="007B06C4"/>
    <w:rsid w:val="007B089E"/>
    <w:rsid w:val="007B0D67"/>
    <w:rsid w:val="007B1966"/>
    <w:rsid w:val="007B19FC"/>
    <w:rsid w:val="007B2779"/>
    <w:rsid w:val="007B3DCC"/>
    <w:rsid w:val="007B4518"/>
    <w:rsid w:val="007B5031"/>
    <w:rsid w:val="007B573F"/>
    <w:rsid w:val="007B75A9"/>
    <w:rsid w:val="007B78F8"/>
    <w:rsid w:val="007C0065"/>
    <w:rsid w:val="007C010B"/>
    <w:rsid w:val="007C3AE3"/>
    <w:rsid w:val="007C605B"/>
    <w:rsid w:val="007D2A5A"/>
    <w:rsid w:val="007D2AD8"/>
    <w:rsid w:val="007D2C47"/>
    <w:rsid w:val="007D2F81"/>
    <w:rsid w:val="007D3167"/>
    <w:rsid w:val="007D4128"/>
    <w:rsid w:val="007D4281"/>
    <w:rsid w:val="007D42F5"/>
    <w:rsid w:val="007D44C3"/>
    <w:rsid w:val="007D4AA5"/>
    <w:rsid w:val="007D5947"/>
    <w:rsid w:val="007D65C1"/>
    <w:rsid w:val="007E0278"/>
    <w:rsid w:val="007E030F"/>
    <w:rsid w:val="007E0E59"/>
    <w:rsid w:val="007E0F4B"/>
    <w:rsid w:val="007E1D89"/>
    <w:rsid w:val="007E292E"/>
    <w:rsid w:val="007E3715"/>
    <w:rsid w:val="007E527B"/>
    <w:rsid w:val="007E54E8"/>
    <w:rsid w:val="007E6A56"/>
    <w:rsid w:val="007E7E61"/>
    <w:rsid w:val="007F0037"/>
    <w:rsid w:val="007F0845"/>
    <w:rsid w:val="007F123D"/>
    <w:rsid w:val="007F16F9"/>
    <w:rsid w:val="007F2732"/>
    <w:rsid w:val="007F2E1A"/>
    <w:rsid w:val="007F3E3E"/>
    <w:rsid w:val="007F4167"/>
    <w:rsid w:val="007F42E0"/>
    <w:rsid w:val="007F43A1"/>
    <w:rsid w:val="007F500D"/>
    <w:rsid w:val="007F5F14"/>
    <w:rsid w:val="007F7B54"/>
    <w:rsid w:val="00800073"/>
    <w:rsid w:val="008005D7"/>
    <w:rsid w:val="00801FDD"/>
    <w:rsid w:val="008020C2"/>
    <w:rsid w:val="0080255C"/>
    <w:rsid w:val="00803BD2"/>
    <w:rsid w:val="00804914"/>
    <w:rsid w:val="00806625"/>
    <w:rsid w:val="00806D07"/>
    <w:rsid w:val="00807B2D"/>
    <w:rsid w:val="00811859"/>
    <w:rsid w:val="0081187C"/>
    <w:rsid w:val="00811E24"/>
    <w:rsid w:val="00812386"/>
    <w:rsid w:val="00812E2B"/>
    <w:rsid w:val="008137CD"/>
    <w:rsid w:val="00813A70"/>
    <w:rsid w:val="00813FE6"/>
    <w:rsid w:val="00815C6E"/>
    <w:rsid w:val="0081645F"/>
    <w:rsid w:val="00816608"/>
    <w:rsid w:val="00816E02"/>
    <w:rsid w:val="00817702"/>
    <w:rsid w:val="00817755"/>
    <w:rsid w:val="008178C2"/>
    <w:rsid w:val="008178CF"/>
    <w:rsid w:val="00817C98"/>
    <w:rsid w:val="00820773"/>
    <w:rsid w:val="00820C9F"/>
    <w:rsid w:val="0082132B"/>
    <w:rsid w:val="00821FF6"/>
    <w:rsid w:val="00823AAF"/>
    <w:rsid w:val="0082401E"/>
    <w:rsid w:val="00824081"/>
    <w:rsid w:val="0082409A"/>
    <w:rsid w:val="008252D7"/>
    <w:rsid w:val="008253E0"/>
    <w:rsid w:val="00825C0F"/>
    <w:rsid w:val="00826ED1"/>
    <w:rsid w:val="00827181"/>
    <w:rsid w:val="0082733C"/>
    <w:rsid w:val="00827746"/>
    <w:rsid w:val="0083102D"/>
    <w:rsid w:val="0083143E"/>
    <w:rsid w:val="0083159D"/>
    <w:rsid w:val="008318FF"/>
    <w:rsid w:val="00831EF3"/>
    <w:rsid w:val="00832187"/>
    <w:rsid w:val="0083239D"/>
    <w:rsid w:val="00832493"/>
    <w:rsid w:val="008329BD"/>
    <w:rsid w:val="008336D8"/>
    <w:rsid w:val="008339C4"/>
    <w:rsid w:val="00834F0A"/>
    <w:rsid w:val="00834FAA"/>
    <w:rsid w:val="00835181"/>
    <w:rsid w:val="00835991"/>
    <w:rsid w:val="00836086"/>
    <w:rsid w:val="00840699"/>
    <w:rsid w:val="00841D9F"/>
    <w:rsid w:val="00842604"/>
    <w:rsid w:val="00843ECF"/>
    <w:rsid w:val="00845AB1"/>
    <w:rsid w:val="00846673"/>
    <w:rsid w:val="0085049D"/>
    <w:rsid w:val="008507C8"/>
    <w:rsid w:val="0085281A"/>
    <w:rsid w:val="008559FE"/>
    <w:rsid w:val="00855F63"/>
    <w:rsid w:val="00857339"/>
    <w:rsid w:val="00860706"/>
    <w:rsid w:val="0086158A"/>
    <w:rsid w:val="00861DCB"/>
    <w:rsid w:val="00862A7A"/>
    <w:rsid w:val="00863104"/>
    <w:rsid w:val="008636CD"/>
    <w:rsid w:val="00863D9E"/>
    <w:rsid w:val="00863FDC"/>
    <w:rsid w:val="008642AF"/>
    <w:rsid w:val="00865729"/>
    <w:rsid w:val="00865ED4"/>
    <w:rsid w:val="008669A7"/>
    <w:rsid w:val="00867E29"/>
    <w:rsid w:val="00870F2B"/>
    <w:rsid w:val="00871F03"/>
    <w:rsid w:val="008724FE"/>
    <w:rsid w:val="008746E6"/>
    <w:rsid w:val="00875174"/>
    <w:rsid w:val="0087594C"/>
    <w:rsid w:val="00876086"/>
    <w:rsid w:val="008765FA"/>
    <w:rsid w:val="008768D6"/>
    <w:rsid w:val="008775D1"/>
    <w:rsid w:val="008777BB"/>
    <w:rsid w:val="00877D68"/>
    <w:rsid w:val="00877E5D"/>
    <w:rsid w:val="00880150"/>
    <w:rsid w:val="00880ABA"/>
    <w:rsid w:val="008826F7"/>
    <w:rsid w:val="0088369C"/>
    <w:rsid w:val="00883A67"/>
    <w:rsid w:val="00883D45"/>
    <w:rsid w:val="00884D69"/>
    <w:rsid w:val="00884DD6"/>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4E39"/>
    <w:rsid w:val="008A615E"/>
    <w:rsid w:val="008A632B"/>
    <w:rsid w:val="008A6BFE"/>
    <w:rsid w:val="008A7D9F"/>
    <w:rsid w:val="008B00C2"/>
    <w:rsid w:val="008B07EF"/>
    <w:rsid w:val="008B16DE"/>
    <w:rsid w:val="008B190E"/>
    <w:rsid w:val="008B1A8A"/>
    <w:rsid w:val="008B1FC9"/>
    <w:rsid w:val="008B531F"/>
    <w:rsid w:val="008B6B67"/>
    <w:rsid w:val="008B7306"/>
    <w:rsid w:val="008B775F"/>
    <w:rsid w:val="008B7C02"/>
    <w:rsid w:val="008B7C62"/>
    <w:rsid w:val="008B7D13"/>
    <w:rsid w:val="008B7F9E"/>
    <w:rsid w:val="008C034E"/>
    <w:rsid w:val="008C0E88"/>
    <w:rsid w:val="008C1399"/>
    <w:rsid w:val="008C1AA8"/>
    <w:rsid w:val="008C22A8"/>
    <w:rsid w:val="008C4EBC"/>
    <w:rsid w:val="008C5B43"/>
    <w:rsid w:val="008C5E68"/>
    <w:rsid w:val="008C63FD"/>
    <w:rsid w:val="008C6CB8"/>
    <w:rsid w:val="008C7815"/>
    <w:rsid w:val="008C7A07"/>
    <w:rsid w:val="008D0171"/>
    <w:rsid w:val="008D1037"/>
    <w:rsid w:val="008D13EA"/>
    <w:rsid w:val="008D1C7C"/>
    <w:rsid w:val="008D2671"/>
    <w:rsid w:val="008D2A16"/>
    <w:rsid w:val="008D2ECF"/>
    <w:rsid w:val="008D347D"/>
    <w:rsid w:val="008D3F3D"/>
    <w:rsid w:val="008D4A87"/>
    <w:rsid w:val="008D59DD"/>
    <w:rsid w:val="008E0367"/>
    <w:rsid w:val="008E308D"/>
    <w:rsid w:val="008E30A5"/>
    <w:rsid w:val="008E31FF"/>
    <w:rsid w:val="008E46A3"/>
    <w:rsid w:val="008E5B85"/>
    <w:rsid w:val="008E5DE6"/>
    <w:rsid w:val="008E6113"/>
    <w:rsid w:val="008E6AB3"/>
    <w:rsid w:val="008E6AD3"/>
    <w:rsid w:val="008E71A6"/>
    <w:rsid w:val="008E77B6"/>
    <w:rsid w:val="008E7902"/>
    <w:rsid w:val="008E7C55"/>
    <w:rsid w:val="008F032E"/>
    <w:rsid w:val="008F0F14"/>
    <w:rsid w:val="008F226E"/>
    <w:rsid w:val="008F37DA"/>
    <w:rsid w:val="008F4FCE"/>
    <w:rsid w:val="008F5301"/>
    <w:rsid w:val="008F6967"/>
    <w:rsid w:val="008F6A0C"/>
    <w:rsid w:val="008F6F38"/>
    <w:rsid w:val="008F6F88"/>
    <w:rsid w:val="008F7019"/>
    <w:rsid w:val="008F7721"/>
    <w:rsid w:val="008F7D28"/>
    <w:rsid w:val="009003A8"/>
    <w:rsid w:val="009010A7"/>
    <w:rsid w:val="00901AF3"/>
    <w:rsid w:val="00901E9C"/>
    <w:rsid w:val="00902CBE"/>
    <w:rsid w:val="00902D74"/>
    <w:rsid w:val="00902EFF"/>
    <w:rsid w:val="00903E06"/>
    <w:rsid w:val="00904B9D"/>
    <w:rsid w:val="00905A11"/>
    <w:rsid w:val="009066E1"/>
    <w:rsid w:val="00907A41"/>
    <w:rsid w:val="009102BD"/>
    <w:rsid w:val="00910F93"/>
    <w:rsid w:val="00911AE9"/>
    <w:rsid w:val="0091255A"/>
    <w:rsid w:val="00914426"/>
    <w:rsid w:val="00914B3C"/>
    <w:rsid w:val="0091675F"/>
    <w:rsid w:val="00917709"/>
    <w:rsid w:val="00917918"/>
    <w:rsid w:val="00920874"/>
    <w:rsid w:val="00921DAB"/>
    <w:rsid w:val="00921F14"/>
    <w:rsid w:val="00923750"/>
    <w:rsid w:val="009243A5"/>
    <w:rsid w:val="0092500F"/>
    <w:rsid w:val="009250D2"/>
    <w:rsid w:val="0092540B"/>
    <w:rsid w:val="009256C5"/>
    <w:rsid w:val="00926283"/>
    <w:rsid w:val="009271BA"/>
    <w:rsid w:val="00927C5A"/>
    <w:rsid w:val="009306BE"/>
    <w:rsid w:val="00930C07"/>
    <w:rsid w:val="00932E61"/>
    <w:rsid w:val="00937B11"/>
    <w:rsid w:val="00940F1F"/>
    <w:rsid w:val="00941250"/>
    <w:rsid w:val="00941AF1"/>
    <w:rsid w:val="00941C48"/>
    <w:rsid w:val="00942546"/>
    <w:rsid w:val="00943373"/>
    <w:rsid w:val="00943C92"/>
    <w:rsid w:val="0094427A"/>
    <w:rsid w:val="00944380"/>
    <w:rsid w:val="009459C5"/>
    <w:rsid w:val="0094626C"/>
    <w:rsid w:val="0095013A"/>
    <w:rsid w:val="00950754"/>
    <w:rsid w:val="00953AEF"/>
    <w:rsid w:val="00953F7E"/>
    <w:rsid w:val="00954AAA"/>
    <w:rsid w:val="009551E2"/>
    <w:rsid w:val="00955783"/>
    <w:rsid w:val="009558A6"/>
    <w:rsid w:val="00955E5F"/>
    <w:rsid w:val="009560B0"/>
    <w:rsid w:val="00956F23"/>
    <w:rsid w:val="009576AC"/>
    <w:rsid w:val="00957871"/>
    <w:rsid w:val="00960077"/>
    <w:rsid w:val="00960769"/>
    <w:rsid w:val="009620B8"/>
    <w:rsid w:val="00962D2E"/>
    <w:rsid w:val="00963724"/>
    <w:rsid w:val="00963BC7"/>
    <w:rsid w:val="00964498"/>
    <w:rsid w:val="0096504D"/>
    <w:rsid w:val="00965795"/>
    <w:rsid w:val="00965A2D"/>
    <w:rsid w:val="009663EB"/>
    <w:rsid w:val="0096650F"/>
    <w:rsid w:val="0096701E"/>
    <w:rsid w:val="00967801"/>
    <w:rsid w:val="00967AD2"/>
    <w:rsid w:val="009700DB"/>
    <w:rsid w:val="00971D95"/>
    <w:rsid w:val="00971DC6"/>
    <w:rsid w:val="00972263"/>
    <w:rsid w:val="00972502"/>
    <w:rsid w:val="00972D8D"/>
    <w:rsid w:val="009733E3"/>
    <w:rsid w:val="00973AAE"/>
    <w:rsid w:val="0097476C"/>
    <w:rsid w:val="00974923"/>
    <w:rsid w:val="00974D48"/>
    <w:rsid w:val="00974D5F"/>
    <w:rsid w:val="00975017"/>
    <w:rsid w:val="009759DF"/>
    <w:rsid w:val="00975F89"/>
    <w:rsid w:val="00980373"/>
    <w:rsid w:val="00980621"/>
    <w:rsid w:val="0098095B"/>
    <w:rsid w:val="00980BE0"/>
    <w:rsid w:val="00982072"/>
    <w:rsid w:val="009833FA"/>
    <w:rsid w:val="00983DBB"/>
    <w:rsid w:val="00983ECF"/>
    <w:rsid w:val="00986745"/>
    <w:rsid w:val="009867BC"/>
    <w:rsid w:val="00987109"/>
    <w:rsid w:val="00987309"/>
    <w:rsid w:val="0099012D"/>
    <w:rsid w:val="00990363"/>
    <w:rsid w:val="00990C3F"/>
    <w:rsid w:val="00990D4D"/>
    <w:rsid w:val="00993D0C"/>
    <w:rsid w:val="009954FF"/>
    <w:rsid w:val="00995E2F"/>
    <w:rsid w:val="00995E5E"/>
    <w:rsid w:val="009961BC"/>
    <w:rsid w:val="00996355"/>
    <w:rsid w:val="00996686"/>
    <w:rsid w:val="00996A0B"/>
    <w:rsid w:val="009A1229"/>
    <w:rsid w:val="009A2014"/>
    <w:rsid w:val="009A3A87"/>
    <w:rsid w:val="009A3BB2"/>
    <w:rsid w:val="009A4E12"/>
    <w:rsid w:val="009A5C68"/>
    <w:rsid w:val="009A6EF7"/>
    <w:rsid w:val="009B04D0"/>
    <w:rsid w:val="009B052C"/>
    <w:rsid w:val="009B0EF2"/>
    <w:rsid w:val="009B1158"/>
    <w:rsid w:val="009B23A3"/>
    <w:rsid w:val="009B4925"/>
    <w:rsid w:val="009B4B4B"/>
    <w:rsid w:val="009B56EC"/>
    <w:rsid w:val="009B6FD3"/>
    <w:rsid w:val="009B70BD"/>
    <w:rsid w:val="009C07A5"/>
    <w:rsid w:val="009C21BA"/>
    <w:rsid w:val="009C24A8"/>
    <w:rsid w:val="009C3705"/>
    <w:rsid w:val="009C51CD"/>
    <w:rsid w:val="009C7388"/>
    <w:rsid w:val="009D0CFF"/>
    <w:rsid w:val="009D1551"/>
    <w:rsid w:val="009D2859"/>
    <w:rsid w:val="009D2DE9"/>
    <w:rsid w:val="009D36EC"/>
    <w:rsid w:val="009D4173"/>
    <w:rsid w:val="009D4612"/>
    <w:rsid w:val="009D6095"/>
    <w:rsid w:val="009D6306"/>
    <w:rsid w:val="009E048A"/>
    <w:rsid w:val="009E1B67"/>
    <w:rsid w:val="009E1FBA"/>
    <w:rsid w:val="009E2C54"/>
    <w:rsid w:val="009E3710"/>
    <w:rsid w:val="009E55E3"/>
    <w:rsid w:val="009E6F65"/>
    <w:rsid w:val="009E7340"/>
    <w:rsid w:val="009E7B1F"/>
    <w:rsid w:val="009F1790"/>
    <w:rsid w:val="009F2470"/>
    <w:rsid w:val="009F3FC3"/>
    <w:rsid w:val="009F41C4"/>
    <w:rsid w:val="009F5846"/>
    <w:rsid w:val="009F6C80"/>
    <w:rsid w:val="009F7B52"/>
    <w:rsid w:val="009F7D77"/>
    <w:rsid w:val="00A004D2"/>
    <w:rsid w:val="00A015EA"/>
    <w:rsid w:val="00A03A9E"/>
    <w:rsid w:val="00A06ADC"/>
    <w:rsid w:val="00A07582"/>
    <w:rsid w:val="00A10D66"/>
    <w:rsid w:val="00A1155A"/>
    <w:rsid w:val="00A12BA8"/>
    <w:rsid w:val="00A135F1"/>
    <w:rsid w:val="00A13C9E"/>
    <w:rsid w:val="00A1420C"/>
    <w:rsid w:val="00A1456C"/>
    <w:rsid w:val="00A14821"/>
    <w:rsid w:val="00A170B3"/>
    <w:rsid w:val="00A17754"/>
    <w:rsid w:val="00A2055B"/>
    <w:rsid w:val="00A2253C"/>
    <w:rsid w:val="00A23545"/>
    <w:rsid w:val="00A23A55"/>
    <w:rsid w:val="00A23E43"/>
    <w:rsid w:val="00A243B6"/>
    <w:rsid w:val="00A24F8C"/>
    <w:rsid w:val="00A262BF"/>
    <w:rsid w:val="00A2683D"/>
    <w:rsid w:val="00A271AD"/>
    <w:rsid w:val="00A276D5"/>
    <w:rsid w:val="00A30336"/>
    <w:rsid w:val="00A304FE"/>
    <w:rsid w:val="00A305E3"/>
    <w:rsid w:val="00A30BB5"/>
    <w:rsid w:val="00A3128F"/>
    <w:rsid w:val="00A31C8B"/>
    <w:rsid w:val="00A326D0"/>
    <w:rsid w:val="00A35287"/>
    <w:rsid w:val="00A36B1A"/>
    <w:rsid w:val="00A37483"/>
    <w:rsid w:val="00A378F8"/>
    <w:rsid w:val="00A37EE9"/>
    <w:rsid w:val="00A40B19"/>
    <w:rsid w:val="00A40C3F"/>
    <w:rsid w:val="00A41D07"/>
    <w:rsid w:val="00A420DF"/>
    <w:rsid w:val="00A424F8"/>
    <w:rsid w:val="00A42883"/>
    <w:rsid w:val="00A436CC"/>
    <w:rsid w:val="00A437B7"/>
    <w:rsid w:val="00A465B4"/>
    <w:rsid w:val="00A46D48"/>
    <w:rsid w:val="00A46DE0"/>
    <w:rsid w:val="00A4778A"/>
    <w:rsid w:val="00A47C94"/>
    <w:rsid w:val="00A504C0"/>
    <w:rsid w:val="00A5067F"/>
    <w:rsid w:val="00A50E27"/>
    <w:rsid w:val="00A517C1"/>
    <w:rsid w:val="00A53058"/>
    <w:rsid w:val="00A55301"/>
    <w:rsid w:val="00A572FB"/>
    <w:rsid w:val="00A57B3C"/>
    <w:rsid w:val="00A57F1B"/>
    <w:rsid w:val="00A6128E"/>
    <w:rsid w:val="00A62CE1"/>
    <w:rsid w:val="00A631FA"/>
    <w:rsid w:val="00A64203"/>
    <w:rsid w:val="00A64348"/>
    <w:rsid w:val="00A644E1"/>
    <w:rsid w:val="00A65901"/>
    <w:rsid w:val="00A67855"/>
    <w:rsid w:val="00A7015E"/>
    <w:rsid w:val="00A711B0"/>
    <w:rsid w:val="00A716EC"/>
    <w:rsid w:val="00A721FB"/>
    <w:rsid w:val="00A727BA"/>
    <w:rsid w:val="00A72D4B"/>
    <w:rsid w:val="00A732AE"/>
    <w:rsid w:val="00A73CF4"/>
    <w:rsid w:val="00A74E80"/>
    <w:rsid w:val="00A75E40"/>
    <w:rsid w:val="00A77EB2"/>
    <w:rsid w:val="00A81094"/>
    <w:rsid w:val="00A81441"/>
    <w:rsid w:val="00A82B66"/>
    <w:rsid w:val="00A83B58"/>
    <w:rsid w:val="00A84FAF"/>
    <w:rsid w:val="00A851B6"/>
    <w:rsid w:val="00A85729"/>
    <w:rsid w:val="00A8574B"/>
    <w:rsid w:val="00A857C0"/>
    <w:rsid w:val="00A859BA"/>
    <w:rsid w:val="00A85C47"/>
    <w:rsid w:val="00A87C44"/>
    <w:rsid w:val="00A90343"/>
    <w:rsid w:val="00A91336"/>
    <w:rsid w:val="00A9221C"/>
    <w:rsid w:val="00A94628"/>
    <w:rsid w:val="00A94954"/>
    <w:rsid w:val="00A95BD0"/>
    <w:rsid w:val="00A96463"/>
    <w:rsid w:val="00A96A24"/>
    <w:rsid w:val="00A977EC"/>
    <w:rsid w:val="00A97E3F"/>
    <w:rsid w:val="00AA09D3"/>
    <w:rsid w:val="00AA1F5D"/>
    <w:rsid w:val="00AA23FB"/>
    <w:rsid w:val="00AA42AB"/>
    <w:rsid w:val="00AA4B93"/>
    <w:rsid w:val="00AA559A"/>
    <w:rsid w:val="00AA5F10"/>
    <w:rsid w:val="00AA7FDC"/>
    <w:rsid w:val="00AB104D"/>
    <w:rsid w:val="00AB1441"/>
    <w:rsid w:val="00AB2AF1"/>
    <w:rsid w:val="00AB2FD6"/>
    <w:rsid w:val="00AB35BA"/>
    <w:rsid w:val="00AB440B"/>
    <w:rsid w:val="00AB47E3"/>
    <w:rsid w:val="00AB74C5"/>
    <w:rsid w:val="00AB76B0"/>
    <w:rsid w:val="00AB7BEE"/>
    <w:rsid w:val="00AB7DF2"/>
    <w:rsid w:val="00AC1E3F"/>
    <w:rsid w:val="00AC219A"/>
    <w:rsid w:val="00AC4F18"/>
    <w:rsid w:val="00AC58EF"/>
    <w:rsid w:val="00AC744A"/>
    <w:rsid w:val="00AD0898"/>
    <w:rsid w:val="00AD0B46"/>
    <w:rsid w:val="00AD1094"/>
    <w:rsid w:val="00AD2565"/>
    <w:rsid w:val="00AD306C"/>
    <w:rsid w:val="00AD3424"/>
    <w:rsid w:val="00AD50D1"/>
    <w:rsid w:val="00AD59BB"/>
    <w:rsid w:val="00AD5D68"/>
    <w:rsid w:val="00AD6C39"/>
    <w:rsid w:val="00AD6C73"/>
    <w:rsid w:val="00AD7D49"/>
    <w:rsid w:val="00AE06D0"/>
    <w:rsid w:val="00AE1B8A"/>
    <w:rsid w:val="00AE39DC"/>
    <w:rsid w:val="00AE3CDA"/>
    <w:rsid w:val="00AE42D2"/>
    <w:rsid w:val="00AE63EF"/>
    <w:rsid w:val="00AE6537"/>
    <w:rsid w:val="00AE65B8"/>
    <w:rsid w:val="00AE7968"/>
    <w:rsid w:val="00AE7DFF"/>
    <w:rsid w:val="00AF1032"/>
    <w:rsid w:val="00AF128B"/>
    <w:rsid w:val="00AF1AEA"/>
    <w:rsid w:val="00AF2491"/>
    <w:rsid w:val="00AF2852"/>
    <w:rsid w:val="00AF3225"/>
    <w:rsid w:val="00AF4983"/>
    <w:rsid w:val="00AF518B"/>
    <w:rsid w:val="00AF5275"/>
    <w:rsid w:val="00AF6367"/>
    <w:rsid w:val="00AF6A79"/>
    <w:rsid w:val="00AF724E"/>
    <w:rsid w:val="00AF73A9"/>
    <w:rsid w:val="00B01436"/>
    <w:rsid w:val="00B01C2C"/>
    <w:rsid w:val="00B0231C"/>
    <w:rsid w:val="00B03E79"/>
    <w:rsid w:val="00B07C2A"/>
    <w:rsid w:val="00B13681"/>
    <w:rsid w:val="00B15DCD"/>
    <w:rsid w:val="00B17E71"/>
    <w:rsid w:val="00B17FDE"/>
    <w:rsid w:val="00B208FC"/>
    <w:rsid w:val="00B20C65"/>
    <w:rsid w:val="00B20F7B"/>
    <w:rsid w:val="00B22E17"/>
    <w:rsid w:val="00B25567"/>
    <w:rsid w:val="00B266C5"/>
    <w:rsid w:val="00B27293"/>
    <w:rsid w:val="00B301BB"/>
    <w:rsid w:val="00B3229E"/>
    <w:rsid w:val="00B32DDB"/>
    <w:rsid w:val="00B34931"/>
    <w:rsid w:val="00B35174"/>
    <w:rsid w:val="00B356D8"/>
    <w:rsid w:val="00B35AA0"/>
    <w:rsid w:val="00B35BEA"/>
    <w:rsid w:val="00B37915"/>
    <w:rsid w:val="00B3793D"/>
    <w:rsid w:val="00B41BE6"/>
    <w:rsid w:val="00B428A4"/>
    <w:rsid w:val="00B45170"/>
    <w:rsid w:val="00B457E7"/>
    <w:rsid w:val="00B45D1B"/>
    <w:rsid w:val="00B46D25"/>
    <w:rsid w:val="00B47430"/>
    <w:rsid w:val="00B50186"/>
    <w:rsid w:val="00B502F7"/>
    <w:rsid w:val="00B52D2D"/>
    <w:rsid w:val="00B534EF"/>
    <w:rsid w:val="00B53B68"/>
    <w:rsid w:val="00B55BA8"/>
    <w:rsid w:val="00B55F15"/>
    <w:rsid w:val="00B561A6"/>
    <w:rsid w:val="00B60062"/>
    <w:rsid w:val="00B62960"/>
    <w:rsid w:val="00B63A11"/>
    <w:rsid w:val="00B63FD0"/>
    <w:rsid w:val="00B65C84"/>
    <w:rsid w:val="00B6608F"/>
    <w:rsid w:val="00B662EB"/>
    <w:rsid w:val="00B72154"/>
    <w:rsid w:val="00B74317"/>
    <w:rsid w:val="00B76D1E"/>
    <w:rsid w:val="00B77BC8"/>
    <w:rsid w:val="00B800EB"/>
    <w:rsid w:val="00B822D2"/>
    <w:rsid w:val="00B83D46"/>
    <w:rsid w:val="00B848B8"/>
    <w:rsid w:val="00B84A41"/>
    <w:rsid w:val="00B84D57"/>
    <w:rsid w:val="00B8504B"/>
    <w:rsid w:val="00B85689"/>
    <w:rsid w:val="00B85A53"/>
    <w:rsid w:val="00B86748"/>
    <w:rsid w:val="00B87853"/>
    <w:rsid w:val="00B907EA"/>
    <w:rsid w:val="00B91EC9"/>
    <w:rsid w:val="00B924CA"/>
    <w:rsid w:val="00B92A4B"/>
    <w:rsid w:val="00B93384"/>
    <w:rsid w:val="00B94417"/>
    <w:rsid w:val="00B95566"/>
    <w:rsid w:val="00B95940"/>
    <w:rsid w:val="00B95EF8"/>
    <w:rsid w:val="00B95F50"/>
    <w:rsid w:val="00B96BD9"/>
    <w:rsid w:val="00BA759F"/>
    <w:rsid w:val="00BA7F01"/>
    <w:rsid w:val="00BB0274"/>
    <w:rsid w:val="00BB1CFD"/>
    <w:rsid w:val="00BB2C53"/>
    <w:rsid w:val="00BB32DA"/>
    <w:rsid w:val="00BB3A54"/>
    <w:rsid w:val="00BB4D26"/>
    <w:rsid w:val="00BB4E21"/>
    <w:rsid w:val="00BB5739"/>
    <w:rsid w:val="00BB6FED"/>
    <w:rsid w:val="00BB7746"/>
    <w:rsid w:val="00BC22EB"/>
    <w:rsid w:val="00BC52C3"/>
    <w:rsid w:val="00BC682B"/>
    <w:rsid w:val="00BC6B04"/>
    <w:rsid w:val="00BC6D27"/>
    <w:rsid w:val="00BC78E4"/>
    <w:rsid w:val="00BC7D5D"/>
    <w:rsid w:val="00BD186B"/>
    <w:rsid w:val="00BD1995"/>
    <w:rsid w:val="00BD1EAC"/>
    <w:rsid w:val="00BD254C"/>
    <w:rsid w:val="00BD29A3"/>
    <w:rsid w:val="00BD3428"/>
    <w:rsid w:val="00BD366B"/>
    <w:rsid w:val="00BD534C"/>
    <w:rsid w:val="00BD55A9"/>
    <w:rsid w:val="00BD56BC"/>
    <w:rsid w:val="00BD5D91"/>
    <w:rsid w:val="00BD6445"/>
    <w:rsid w:val="00BD6615"/>
    <w:rsid w:val="00BD6D50"/>
    <w:rsid w:val="00BD6E7C"/>
    <w:rsid w:val="00BE0D79"/>
    <w:rsid w:val="00BE0DB0"/>
    <w:rsid w:val="00BE20CF"/>
    <w:rsid w:val="00BE3381"/>
    <w:rsid w:val="00BE3F09"/>
    <w:rsid w:val="00BE627A"/>
    <w:rsid w:val="00BE670A"/>
    <w:rsid w:val="00BE6906"/>
    <w:rsid w:val="00BF1191"/>
    <w:rsid w:val="00BF18F4"/>
    <w:rsid w:val="00BF1A69"/>
    <w:rsid w:val="00BF3BC8"/>
    <w:rsid w:val="00BF3DF1"/>
    <w:rsid w:val="00BF4538"/>
    <w:rsid w:val="00BF4C31"/>
    <w:rsid w:val="00BF4E57"/>
    <w:rsid w:val="00BF5107"/>
    <w:rsid w:val="00BF53B8"/>
    <w:rsid w:val="00BF786A"/>
    <w:rsid w:val="00BF7CB8"/>
    <w:rsid w:val="00C00F20"/>
    <w:rsid w:val="00C01700"/>
    <w:rsid w:val="00C034E6"/>
    <w:rsid w:val="00C042C6"/>
    <w:rsid w:val="00C05715"/>
    <w:rsid w:val="00C05926"/>
    <w:rsid w:val="00C0784A"/>
    <w:rsid w:val="00C10B28"/>
    <w:rsid w:val="00C10D62"/>
    <w:rsid w:val="00C10FAE"/>
    <w:rsid w:val="00C11DAF"/>
    <w:rsid w:val="00C123B4"/>
    <w:rsid w:val="00C12A69"/>
    <w:rsid w:val="00C13737"/>
    <w:rsid w:val="00C138D8"/>
    <w:rsid w:val="00C150BE"/>
    <w:rsid w:val="00C158B0"/>
    <w:rsid w:val="00C15A0C"/>
    <w:rsid w:val="00C15DCB"/>
    <w:rsid w:val="00C16208"/>
    <w:rsid w:val="00C1711F"/>
    <w:rsid w:val="00C17E38"/>
    <w:rsid w:val="00C20489"/>
    <w:rsid w:val="00C20744"/>
    <w:rsid w:val="00C20C4D"/>
    <w:rsid w:val="00C21D46"/>
    <w:rsid w:val="00C21F94"/>
    <w:rsid w:val="00C222A1"/>
    <w:rsid w:val="00C22BDA"/>
    <w:rsid w:val="00C23371"/>
    <w:rsid w:val="00C235B9"/>
    <w:rsid w:val="00C238A2"/>
    <w:rsid w:val="00C23CBD"/>
    <w:rsid w:val="00C23D22"/>
    <w:rsid w:val="00C2463B"/>
    <w:rsid w:val="00C24E77"/>
    <w:rsid w:val="00C2732D"/>
    <w:rsid w:val="00C273C6"/>
    <w:rsid w:val="00C27913"/>
    <w:rsid w:val="00C300C6"/>
    <w:rsid w:val="00C30828"/>
    <w:rsid w:val="00C31190"/>
    <w:rsid w:val="00C31DD8"/>
    <w:rsid w:val="00C3271C"/>
    <w:rsid w:val="00C34FDE"/>
    <w:rsid w:val="00C35C16"/>
    <w:rsid w:val="00C3634E"/>
    <w:rsid w:val="00C407B9"/>
    <w:rsid w:val="00C40F81"/>
    <w:rsid w:val="00C41463"/>
    <w:rsid w:val="00C41A72"/>
    <w:rsid w:val="00C42D45"/>
    <w:rsid w:val="00C4422D"/>
    <w:rsid w:val="00C46766"/>
    <w:rsid w:val="00C476C5"/>
    <w:rsid w:val="00C503B0"/>
    <w:rsid w:val="00C511C2"/>
    <w:rsid w:val="00C526C8"/>
    <w:rsid w:val="00C53CDB"/>
    <w:rsid w:val="00C53D82"/>
    <w:rsid w:val="00C54748"/>
    <w:rsid w:val="00C5476D"/>
    <w:rsid w:val="00C5672D"/>
    <w:rsid w:val="00C575FB"/>
    <w:rsid w:val="00C60696"/>
    <w:rsid w:val="00C60937"/>
    <w:rsid w:val="00C60943"/>
    <w:rsid w:val="00C60EEF"/>
    <w:rsid w:val="00C60FC9"/>
    <w:rsid w:val="00C6121D"/>
    <w:rsid w:val="00C615F1"/>
    <w:rsid w:val="00C61627"/>
    <w:rsid w:val="00C6331A"/>
    <w:rsid w:val="00C647E0"/>
    <w:rsid w:val="00C64E60"/>
    <w:rsid w:val="00C657A4"/>
    <w:rsid w:val="00C6736C"/>
    <w:rsid w:val="00C71A1D"/>
    <w:rsid w:val="00C71EC4"/>
    <w:rsid w:val="00C73B18"/>
    <w:rsid w:val="00C74822"/>
    <w:rsid w:val="00C7591E"/>
    <w:rsid w:val="00C75C7E"/>
    <w:rsid w:val="00C75C9B"/>
    <w:rsid w:val="00C75E71"/>
    <w:rsid w:val="00C76D8E"/>
    <w:rsid w:val="00C77833"/>
    <w:rsid w:val="00C80C9B"/>
    <w:rsid w:val="00C8335E"/>
    <w:rsid w:val="00C83F9C"/>
    <w:rsid w:val="00C84181"/>
    <w:rsid w:val="00C84CE3"/>
    <w:rsid w:val="00C85614"/>
    <w:rsid w:val="00C86127"/>
    <w:rsid w:val="00C90024"/>
    <w:rsid w:val="00C90CF4"/>
    <w:rsid w:val="00C91C19"/>
    <w:rsid w:val="00C929A0"/>
    <w:rsid w:val="00C92B7B"/>
    <w:rsid w:val="00C9333F"/>
    <w:rsid w:val="00C93389"/>
    <w:rsid w:val="00C937DB"/>
    <w:rsid w:val="00C94519"/>
    <w:rsid w:val="00C94E83"/>
    <w:rsid w:val="00C97038"/>
    <w:rsid w:val="00CA02B2"/>
    <w:rsid w:val="00CA0883"/>
    <w:rsid w:val="00CA1085"/>
    <w:rsid w:val="00CA140F"/>
    <w:rsid w:val="00CA25C2"/>
    <w:rsid w:val="00CA31A5"/>
    <w:rsid w:val="00CA34FB"/>
    <w:rsid w:val="00CA37BB"/>
    <w:rsid w:val="00CA37CA"/>
    <w:rsid w:val="00CA5268"/>
    <w:rsid w:val="00CA5724"/>
    <w:rsid w:val="00CA6508"/>
    <w:rsid w:val="00CA6BA1"/>
    <w:rsid w:val="00CA6CD5"/>
    <w:rsid w:val="00CB1910"/>
    <w:rsid w:val="00CB2150"/>
    <w:rsid w:val="00CB28EE"/>
    <w:rsid w:val="00CB43A7"/>
    <w:rsid w:val="00CB4DF1"/>
    <w:rsid w:val="00CB5996"/>
    <w:rsid w:val="00CB6809"/>
    <w:rsid w:val="00CB7452"/>
    <w:rsid w:val="00CC0E10"/>
    <w:rsid w:val="00CC1DAF"/>
    <w:rsid w:val="00CC2642"/>
    <w:rsid w:val="00CC2967"/>
    <w:rsid w:val="00CC2A36"/>
    <w:rsid w:val="00CC2E15"/>
    <w:rsid w:val="00CC3440"/>
    <w:rsid w:val="00CC3908"/>
    <w:rsid w:val="00CC62AD"/>
    <w:rsid w:val="00CC6CA2"/>
    <w:rsid w:val="00CC7B80"/>
    <w:rsid w:val="00CD2B3C"/>
    <w:rsid w:val="00CD30F6"/>
    <w:rsid w:val="00CD4B29"/>
    <w:rsid w:val="00CD4D09"/>
    <w:rsid w:val="00CD6954"/>
    <w:rsid w:val="00CD6DA3"/>
    <w:rsid w:val="00CD6EF1"/>
    <w:rsid w:val="00CD7E35"/>
    <w:rsid w:val="00CE0420"/>
    <w:rsid w:val="00CE21C7"/>
    <w:rsid w:val="00CE2682"/>
    <w:rsid w:val="00CE2756"/>
    <w:rsid w:val="00CE283F"/>
    <w:rsid w:val="00CE442A"/>
    <w:rsid w:val="00CE505D"/>
    <w:rsid w:val="00CE57D8"/>
    <w:rsid w:val="00CE617A"/>
    <w:rsid w:val="00CE6E3C"/>
    <w:rsid w:val="00CE76FC"/>
    <w:rsid w:val="00CF25D2"/>
    <w:rsid w:val="00CF28C2"/>
    <w:rsid w:val="00CF42BD"/>
    <w:rsid w:val="00CF4FCF"/>
    <w:rsid w:val="00CF51EC"/>
    <w:rsid w:val="00CF6A9D"/>
    <w:rsid w:val="00CF6CD7"/>
    <w:rsid w:val="00CF7031"/>
    <w:rsid w:val="00CF75EC"/>
    <w:rsid w:val="00CF7BDA"/>
    <w:rsid w:val="00D0037A"/>
    <w:rsid w:val="00D0061E"/>
    <w:rsid w:val="00D00DAF"/>
    <w:rsid w:val="00D017EC"/>
    <w:rsid w:val="00D01CDA"/>
    <w:rsid w:val="00D037E1"/>
    <w:rsid w:val="00D03F45"/>
    <w:rsid w:val="00D040DD"/>
    <w:rsid w:val="00D043CE"/>
    <w:rsid w:val="00D046DA"/>
    <w:rsid w:val="00D04E1B"/>
    <w:rsid w:val="00D0547B"/>
    <w:rsid w:val="00D05E80"/>
    <w:rsid w:val="00D076DB"/>
    <w:rsid w:val="00D07EFF"/>
    <w:rsid w:val="00D1067C"/>
    <w:rsid w:val="00D12E78"/>
    <w:rsid w:val="00D136D4"/>
    <w:rsid w:val="00D13830"/>
    <w:rsid w:val="00D13ECF"/>
    <w:rsid w:val="00D142E5"/>
    <w:rsid w:val="00D148CD"/>
    <w:rsid w:val="00D1611E"/>
    <w:rsid w:val="00D16E69"/>
    <w:rsid w:val="00D17A94"/>
    <w:rsid w:val="00D17F4A"/>
    <w:rsid w:val="00D205A9"/>
    <w:rsid w:val="00D217EE"/>
    <w:rsid w:val="00D245BA"/>
    <w:rsid w:val="00D26923"/>
    <w:rsid w:val="00D27315"/>
    <w:rsid w:val="00D27856"/>
    <w:rsid w:val="00D27D34"/>
    <w:rsid w:val="00D3006B"/>
    <w:rsid w:val="00D301CA"/>
    <w:rsid w:val="00D30740"/>
    <w:rsid w:val="00D31075"/>
    <w:rsid w:val="00D31445"/>
    <w:rsid w:val="00D31932"/>
    <w:rsid w:val="00D32AE0"/>
    <w:rsid w:val="00D32C31"/>
    <w:rsid w:val="00D33B78"/>
    <w:rsid w:val="00D34686"/>
    <w:rsid w:val="00D360DA"/>
    <w:rsid w:val="00D37689"/>
    <w:rsid w:val="00D378CC"/>
    <w:rsid w:val="00D4042C"/>
    <w:rsid w:val="00D40B9E"/>
    <w:rsid w:val="00D41281"/>
    <w:rsid w:val="00D42312"/>
    <w:rsid w:val="00D433F5"/>
    <w:rsid w:val="00D43998"/>
    <w:rsid w:val="00D451E0"/>
    <w:rsid w:val="00D45A1D"/>
    <w:rsid w:val="00D4615E"/>
    <w:rsid w:val="00D475E6"/>
    <w:rsid w:val="00D4774E"/>
    <w:rsid w:val="00D478E2"/>
    <w:rsid w:val="00D508CF"/>
    <w:rsid w:val="00D5264C"/>
    <w:rsid w:val="00D52C37"/>
    <w:rsid w:val="00D547BA"/>
    <w:rsid w:val="00D55626"/>
    <w:rsid w:val="00D556BC"/>
    <w:rsid w:val="00D5626D"/>
    <w:rsid w:val="00D56631"/>
    <w:rsid w:val="00D60277"/>
    <w:rsid w:val="00D60336"/>
    <w:rsid w:val="00D609D3"/>
    <w:rsid w:val="00D6145B"/>
    <w:rsid w:val="00D6180A"/>
    <w:rsid w:val="00D61EC9"/>
    <w:rsid w:val="00D61F88"/>
    <w:rsid w:val="00D62108"/>
    <w:rsid w:val="00D62901"/>
    <w:rsid w:val="00D6470C"/>
    <w:rsid w:val="00D6484D"/>
    <w:rsid w:val="00D64853"/>
    <w:rsid w:val="00D64CB5"/>
    <w:rsid w:val="00D66D48"/>
    <w:rsid w:val="00D7162F"/>
    <w:rsid w:val="00D71B83"/>
    <w:rsid w:val="00D72897"/>
    <w:rsid w:val="00D73256"/>
    <w:rsid w:val="00D73A30"/>
    <w:rsid w:val="00D74C65"/>
    <w:rsid w:val="00D75DC2"/>
    <w:rsid w:val="00D766EF"/>
    <w:rsid w:val="00D76BE7"/>
    <w:rsid w:val="00D76C03"/>
    <w:rsid w:val="00D77F8D"/>
    <w:rsid w:val="00D8119B"/>
    <w:rsid w:val="00D81988"/>
    <w:rsid w:val="00D82462"/>
    <w:rsid w:val="00D868CE"/>
    <w:rsid w:val="00D86DAE"/>
    <w:rsid w:val="00D871DA"/>
    <w:rsid w:val="00D90116"/>
    <w:rsid w:val="00D90C1E"/>
    <w:rsid w:val="00D91BDF"/>
    <w:rsid w:val="00D91F2C"/>
    <w:rsid w:val="00D937AF"/>
    <w:rsid w:val="00D93F09"/>
    <w:rsid w:val="00D94C62"/>
    <w:rsid w:val="00D95378"/>
    <w:rsid w:val="00D954C2"/>
    <w:rsid w:val="00D96162"/>
    <w:rsid w:val="00D97BB8"/>
    <w:rsid w:val="00DA1318"/>
    <w:rsid w:val="00DA1382"/>
    <w:rsid w:val="00DA1F92"/>
    <w:rsid w:val="00DA28B7"/>
    <w:rsid w:val="00DA2FE8"/>
    <w:rsid w:val="00DA424A"/>
    <w:rsid w:val="00DA49E6"/>
    <w:rsid w:val="00DA4AF6"/>
    <w:rsid w:val="00DB016E"/>
    <w:rsid w:val="00DB06E9"/>
    <w:rsid w:val="00DB0E8A"/>
    <w:rsid w:val="00DB19BD"/>
    <w:rsid w:val="00DB1D55"/>
    <w:rsid w:val="00DB378E"/>
    <w:rsid w:val="00DB3B36"/>
    <w:rsid w:val="00DB3E9D"/>
    <w:rsid w:val="00DB47B9"/>
    <w:rsid w:val="00DB4A67"/>
    <w:rsid w:val="00DB4FB8"/>
    <w:rsid w:val="00DB53CE"/>
    <w:rsid w:val="00DB549D"/>
    <w:rsid w:val="00DB5792"/>
    <w:rsid w:val="00DB6A88"/>
    <w:rsid w:val="00DB6ABF"/>
    <w:rsid w:val="00DB7BA4"/>
    <w:rsid w:val="00DC226A"/>
    <w:rsid w:val="00DC257F"/>
    <w:rsid w:val="00DC350B"/>
    <w:rsid w:val="00DC3790"/>
    <w:rsid w:val="00DC3AFD"/>
    <w:rsid w:val="00DC408A"/>
    <w:rsid w:val="00DC436D"/>
    <w:rsid w:val="00DC519B"/>
    <w:rsid w:val="00DC5B3B"/>
    <w:rsid w:val="00DC6796"/>
    <w:rsid w:val="00DC78DF"/>
    <w:rsid w:val="00DC7D4C"/>
    <w:rsid w:val="00DD0821"/>
    <w:rsid w:val="00DD0E32"/>
    <w:rsid w:val="00DD2872"/>
    <w:rsid w:val="00DD2BFE"/>
    <w:rsid w:val="00DD373E"/>
    <w:rsid w:val="00DD4DAA"/>
    <w:rsid w:val="00DD57AD"/>
    <w:rsid w:val="00DD5AB6"/>
    <w:rsid w:val="00DD60D3"/>
    <w:rsid w:val="00DD6EDB"/>
    <w:rsid w:val="00DD7787"/>
    <w:rsid w:val="00DE009B"/>
    <w:rsid w:val="00DE0C31"/>
    <w:rsid w:val="00DE2ED9"/>
    <w:rsid w:val="00DE319A"/>
    <w:rsid w:val="00DE5291"/>
    <w:rsid w:val="00DE74B2"/>
    <w:rsid w:val="00DF0615"/>
    <w:rsid w:val="00DF0DC3"/>
    <w:rsid w:val="00DF21FD"/>
    <w:rsid w:val="00DF2873"/>
    <w:rsid w:val="00DF293C"/>
    <w:rsid w:val="00DF4413"/>
    <w:rsid w:val="00DF4C74"/>
    <w:rsid w:val="00DF5578"/>
    <w:rsid w:val="00DF55AB"/>
    <w:rsid w:val="00DF78DD"/>
    <w:rsid w:val="00DF792E"/>
    <w:rsid w:val="00DF7FEC"/>
    <w:rsid w:val="00E01C0E"/>
    <w:rsid w:val="00E02086"/>
    <w:rsid w:val="00E02740"/>
    <w:rsid w:val="00E03B27"/>
    <w:rsid w:val="00E042B3"/>
    <w:rsid w:val="00E04694"/>
    <w:rsid w:val="00E049F6"/>
    <w:rsid w:val="00E04CA9"/>
    <w:rsid w:val="00E05B2B"/>
    <w:rsid w:val="00E060DD"/>
    <w:rsid w:val="00E06A2A"/>
    <w:rsid w:val="00E06B3B"/>
    <w:rsid w:val="00E07F05"/>
    <w:rsid w:val="00E1136D"/>
    <w:rsid w:val="00E127E1"/>
    <w:rsid w:val="00E144D2"/>
    <w:rsid w:val="00E144D6"/>
    <w:rsid w:val="00E15346"/>
    <w:rsid w:val="00E15B7D"/>
    <w:rsid w:val="00E165A8"/>
    <w:rsid w:val="00E2097E"/>
    <w:rsid w:val="00E21121"/>
    <w:rsid w:val="00E215EA"/>
    <w:rsid w:val="00E21CAB"/>
    <w:rsid w:val="00E221FC"/>
    <w:rsid w:val="00E22E78"/>
    <w:rsid w:val="00E24619"/>
    <w:rsid w:val="00E25223"/>
    <w:rsid w:val="00E263A8"/>
    <w:rsid w:val="00E271DA"/>
    <w:rsid w:val="00E30BEA"/>
    <w:rsid w:val="00E31764"/>
    <w:rsid w:val="00E32BC2"/>
    <w:rsid w:val="00E340A1"/>
    <w:rsid w:val="00E34985"/>
    <w:rsid w:val="00E34E4A"/>
    <w:rsid w:val="00E365B3"/>
    <w:rsid w:val="00E366BB"/>
    <w:rsid w:val="00E3709C"/>
    <w:rsid w:val="00E37C45"/>
    <w:rsid w:val="00E40AAA"/>
    <w:rsid w:val="00E42444"/>
    <w:rsid w:val="00E4255E"/>
    <w:rsid w:val="00E42785"/>
    <w:rsid w:val="00E438CF"/>
    <w:rsid w:val="00E43B06"/>
    <w:rsid w:val="00E43C41"/>
    <w:rsid w:val="00E4500E"/>
    <w:rsid w:val="00E450CE"/>
    <w:rsid w:val="00E45A00"/>
    <w:rsid w:val="00E45CE7"/>
    <w:rsid w:val="00E4631F"/>
    <w:rsid w:val="00E46A4A"/>
    <w:rsid w:val="00E47CB8"/>
    <w:rsid w:val="00E50ACF"/>
    <w:rsid w:val="00E522BB"/>
    <w:rsid w:val="00E539E4"/>
    <w:rsid w:val="00E55AF3"/>
    <w:rsid w:val="00E569C7"/>
    <w:rsid w:val="00E571F2"/>
    <w:rsid w:val="00E57429"/>
    <w:rsid w:val="00E61EA8"/>
    <w:rsid w:val="00E6374E"/>
    <w:rsid w:val="00E63C99"/>
    <w:rsid w:val="00E64EA1"/>
    <w:rsid w:val="00E653DE"/>
    <w:rsid w:val="00E669C7"/>
    <w:rsid w:val="00E70510"/>
    <w:rsid w:val="00E71262"/>
    <w:rsid w:val="00E71A58"/>
    <w:rsid w:val="00E7330E"/>
    <w:rsid w:val="00E737F6"/>
    <w:rsid w:val="00E7568F"/>
    <w:rsid w:val="00E75D69"/>
    <w:rsid w:val="00E7628E"/>
    <w:rsid w:val="00E764AE"/>
    <w:rsid w:val="00E7724B"/>
    <w:rsid w:val="00E77EAA"/>
    <w:rsid w:val="00E84F21"/>
    <w:rsid w:val="00E8618A"/>
    <w:rsid w:val="00E90A4B"/>
    <w:rsid w:val="00E90F73"/>
    <w:rsid w:val="00E910A7"/>
    <w:rsid w:val="00E914B7"/>
    <w:rsid w:val="00E91607"/>
    <w:rsid w:val="00E921C7"/>
    <w:rsid w:val="00E92995"/>
    <w:rsid w:val="00E93DB8"/>
    <w:rsid w:val="00E9402B"/>
    <w:rsid w:val="00E94612"/>
    <w:rsid w:val="00E952A1"/>
    <w:rsid w:val="00E95797"/>
    <w:rsid w:val="00E9682F"/>
    <w:rsid w:val="00E96A8D"/>
    <w:rsid w:val="00E972BA"/>
    <w:rsid w:val="00E975BC"/>
    <w:rsid w:val="00E978CA"/>
    <w:rsid w:val="00E97FA2"/>
    <w:rsid w:val="00EA06CB"/>
    <w:rsid w:val="00EA0AF3"/>
    <w:rsid w:val="00EA0C68"/>
    <w:rsid w:val="00EA19E2"/>
    <w:rsid w:val="00EA3EBE"/>
    <w:rsid w:val="00EA3FAC"/>
    <w:rsid w:val="00EA4153"/>
    <w:rsid w:val="00EA5CD6"/>
    <w:rsid w:val="00EA63C8"/>
    <w:rsid w:val="00EA76FD"/>
    <w:rsid w:val="00EB03D4"/>
    <w:rsid w:val="00EB0555"/>
    <w:rsid w:val="00EB17F4"/>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2FF"/>
    <w:rsid w:val="00ED2989"/>
    <w:rsid w:val="00ED2CA5"/>
    <w:rsid w:val="00ED32FB"/>
    <w:rsid w:val="00ED336F"/>
    <w:rsid w:val="00ED3A94"/>
    <w:rsid w:val="00ED40F0"/>
    <w:rsid w:val="00ED4AC0"/>
    <w:rsid w:val="00ED54D6"/>
    <w:rsid w:val="00ED5726"/>
    <w:rsid w:val="00EE0113"/>
    <w:rsid w:val="00EE0298"/>
    <w:rsid w:val="00EE0384"/>
    <w:rsid w:val="00EE10AA"/>
    <w:rsid w:val="00EE1637"/>
    <w:rsid w:val="00EE3B7A"/>
    <w:rsid w:val="00EE3E78"/>
    <w:rsid w:val="00EE495A"/>
    <w:rsid w:val="00EE5E02"/>
    <w:rsid w:val="00EE617D"/>
    <w:rsid w:val="00EE61BF"/>
    <w:rsid w:val="00EE6538"/>
    <w:rsid w:val="00EE6748"/>
    <w:rsid w:val="00EE6C6B"/>
    <w:rsid w:val="00EE7034"/>
    <w:rsid w:val="00EF0E75"/>
    <w:rsid w:val="00EF1F5A"/>
    <w:rsid w:val="00EF4685"/>
    <w:rsid w:val="00EF5397"/>
    <w:rsid w:val="00EF5420"/>
    <w:rsid w:val="00EF597F"/>
    <w:rsid w:val="00EF6217"/>
    <w:rsid w:val="00EF6BE3"/>
    <w:rsid w:val="00EF7D0F"/>
    <w:rsid w:val="00F00D0E"/>
    <w:rsid w:val="00F00D3C"/>
    <w:rsid w:val="00F04811"/>
    <w:rsid w:val="00F0488C"/>
    <w:rsid w:val="00F0496E"/>
    <w:rsid w:val="00F04D10"/>
    <w:rsid w:val="00F053EA"/>
    <w:rsid w:val="00F0625B"/>
    <w:rsid w:val="00F07EDF"/>
    <w:rsid w:val="00F101FF"/>
    <w:rsid w:val="00F104DF"/>
    <w:rsid w:val="00F10A33"/>
    <w:rsid w:val="00F10B64"/>
    <w:rsid w:val="00F1186C"/>
    <w:rsid w:val="00F14637"/>
    <w:rsid w:val="00F14ACD"/>
    <w:rsid w:val="00F15BEF"/>
    <w:rsid w:val="00F172BE"/>
    <w:rsid w:val="00F1776C"/>
    <w:rsid w:val="00F2037E"/>
    <w:rsid w:val="00F20D17"/>
    <w:rsid w:val="00F2103E"/>
    <w:rsid w:val="00F214FC"/>
    <w:rsid w:val="00F21C31"/>
    <w:rsid w:val="00F23825"/>
    <w:rsid w:val="00F23FFF"/>
    <w:rsid w:val="00F2441D"/>
    <w:rsid w:val="00F24FAA"/>
    <w:rsid w:val="00F25721"/>
    <w:rsid w:val="00F26197"/>
    <w:rsid w:val="00F26351"/>
    <w:rsid w:val="00F2646A"/>
    <w:rsid w:val="00F273D4"/>
    <w:rsid w:val="00F307DD"/>
    <w:rsid w:val="00F318FC"/>
    <w:rsid w:val="00F31F76"/>
    <w:rsid w:val="00F325A3"/>
    <w:rsid w:val="00F3364D"/>
    <w:rsid w:val="00F33DC6"/>
    <w:rsid w:val="00F359A1"/>
    <w:rsid w:val="00F35ACD"/>
    <w:rsid w:val="00F365BF"/>
    <w:rsid w:val="00F36BF8"/>
    <w:rsid w:val="00F36F50"/>
    <w:rsid w:val="00F375BA"/>
    <w:rsid w:val="00F37760"/>
    <w:rsid w:val="00F403D1"/>
    <w:rsid w:val="00F41CC8"/>
    <w:rsid w:val="00F43921"/>
    <w:rsid w:val="00F447E3"/>
    <w:rsid w:val="00F44E1B"/>
    <w:rsid w:val="00F4524F"/>
    <w:rsid w:val="00F45530"/>
    <w:rsid w:val="00F457CE"/>
    <w:rsid w:val="00F4591F"/>
    <w:rsid w:val="00F47321"/>
    <w:rsid w:val="00F4736B"/>
    <w:rsid w:val="00F47870"/>
    <w:rsid w:val="00F47997"/>
    <w:rsid w:val="00F47D05"/>
    <w:rsid w:val="00F50030"/>
    <w:rsid w:val="00F502F5"/>
    <w:rsid w:val="00F50B9D"/>
    <w:rsid w:val="00F51FC9"/>
    <w:rsid w:val="00F52B42"/>
    <w:rsid w:val="00F53243"/>
    <w:rsid w:val="00F538C3"/>
    <w:rsid w:val="00F541ED"/>
    <w:rsid w:val="00F54B31"/>
    <w:rsid w:val="00F54FD3"/>
    <w:rsid w:val="00F5508B"/>
    <w:rsid w:val="00F55605"/>
    <w:rsid w:val="00F57CD7"/>
    <w:rsid w:val="00F62F02"/>
    <w:rsid w:val="00F6339F"/>
    <w:rsid w:val="00F63DDE"/>
    <w:rsid w:val="00F63FB7"/>
    <w:rsid w:val="00F64726"/>
    <w:rsid w:val="00F6561A"/>
    <w:rsid w:val="00F65620"/>
    <w:rsid w:val="00F673CA"/>
    <w:rsid w:val="00F6758C"/>
    <w:rsid w:val="00F70309"/>
    <w:rsid w:val="00F7078A"/>
    <w:rsid w:val="00F70E45"/>
    <w:rsid w:val="00F71372"/>
    <w:rsid w:val="00F727D5"/>
    <w:rsid w:val="00F72F44"/>
    <w:rsid w:val="00F73A0C"/>
    <w:rsid w:val="00F759DC"/>
    <w:rsid w:val="00F7717C"/>
    <w:rsid w:val="00F771A5"/>
    <w:rsid w:val="00F817A4"/>
    <w:rsid w:val="00F81C3A"/>
    <w:rsid w:val="00F835FC"/>
    <w:rsid w:val="00F8373A"/>
    <w:rsid w:val="00F83E21"/>
    <w:rsid w:val="00F83FA4"/>
    <w:rsid w:val="00F84E18"/>
    <w:rsid w:val="00F852E5"/>
    <w:rsid w:val="00F862CF"/>
    <w:rsid w:val="00F87E58"/>
    <w:rsid w:val="00F929E7"/>
    <w:rsid w:val="00F9310A"/>
    <w:rsid w:val="00F937C0"/>
    <w:rsid w:val="00F95117"/>
    <w:rsid w:val="00F95796"/>
    <w:rsid w:val="00F97DBC"/>
    <w:rsid w:val="00F97ED2"/>
    <w:rsid w:val="00FA05D7"/>
    <w:rsid w:val="00FA15BD"/>
    <w:rsid w:val="00FA1C6C"/>
    <w:rsid w:val="00FA2447"/>
    <w:rsid w:val="00FA2C2A"/>
    <w:rsid w:val="00FA309A"/>
    <w:rsid w:val="00FA5B57"/>
    <w:rsid w:val="00FA7644"/>
    <w:rsid w:val="00FB039E"/>
    <w:rsid w:val="00FB0A9A"/>
    <w:rsid w:val="00FB16AD"/>
    <w:rsid w:val="00FB2EAA"/>
    <w:rsid w:val="00FB483B"/>
    <w:rsid w:val="00FB56F1"/>
    <w:rsid w:val="00FB590B"/>
    <w:rsid w:val="00FB5FD4"/>
    <w:rsid w:val="00FB67F3"/>
    <w:rsid w:val="00FC0D8A"/>
    <w:rsid w:val="00FC0E5F"/>
    <w:rsid w:val="00FC135D"/>
    <w:rsid w:val="00FC3C84"/>
    <w:rsid w:val="00FC3F3C"/>
    <w:rsid w:val="00FC4660"/>
    <w:rsid w:val="00FC56DE"/>
    <w:rsid w:val="00FC5E01"/>
    <w:rsid w:val="00FD1261"/>
    <w:rsid w:val="00FD1627"/>
    <w:rsid w:val="00FD1BBD"/>
    <w:rsid w:val="00FD473D"/>
    <w:rsid w:val="00FD4763"/>
    <w:rsid w:val="00FD61C8"/>
    <w:rsid w:val="00FD63CE"/>
    <w:rsid w:val="00FD7D49"/>
    <w:rsid w:val="00FE1251"/>
    <w:rsid w:val="00FE16E6"/>
    <w:rsid w:val="00FE2F78"/>
    <w:rsid w:val="00FE3510"/>
    <w:rsid w:val="00FE371D"/>
    <w:rsid w:val="00FE375F"/>
    <w:rsid w:val="00FE3760"/>
    <w:rsid w:val="00FE3D8B"/>
    <w:rsid w:val="00FE440E"/>
    <w:rsid w:val="00FE4FCB"/>
    <w:rsid w:val="00FE688F"/>
    <w:rsid w:val="00FE705E"/>
    <w:rsid w:val="00FF02EB"/>
    <w:rsid w:val="00FF079B"/>
    <w:rsid w:val="00FF2436"/>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71"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adpis2"/>
    <w:next w:val="Normln"/>
    <w:link w:val="Nadpis3Char"/>
    <w:uiPriority w:val="99"/>
    <w:qFormat/>
    <w:rsid w:val="00302CC5"/>
    <w:pPr>
      <w:outlineLvl w:val="2"/>
    </w:pPr>
    <w:rPr>
      <w:sz w:val="24"/>
      <w:szCs w:val="24"/>
    </w:rPr>
  </w:style>
  <w:style w:type="paragraph" w:styleId="Nadpis4">
    <w:name w:val="heading 4"/>
    <w:basedOn w:val="Normln"/>
    <w:next w:val="Normln"/>
    <w:link w:val="Nadpis4Char"/>
    <w:uiPriority w:val="9"/>
    <w:qFormat/>
    <w:rsid w:val="005E492C"/>
    <w:pPr>
      <w:keepNext/>
      <w:keepLines/>
      <w:outlineLvl w:val="3"/>
    </w:pPr>
    <w:rPr>
      <w:rFonts w:eastAsia="MS Gothic"/>
      <w:b/>
      <w:bCs/>
      <w:iCs/>
    </w:rPr>
  </w:style>
  <w:style w:type="paragraph" w:styleId="Nadpis5">
    <w:name w:val="heading 5"/>
    <w:basedOn w:val="Normln"/>
    <w:next w:val="Normln"/>
    <w:link w:val="Nadpis5Char"/>
    <w:uiPriority w:val="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
    <w:locked/>
    <w:rsid w:val="00302CC5"/>
    <w:rPr>
      <w:rFonts w:ascii="Arial" w:eastAsia="MS Gothic" w:hAnsi="Arial"/>
      <w:b/>
      <w:bCs/>
      <w:color w:val="71818C"/>
      <w:sz w:val="24"/>
      <w:szCs w:val="24"/>
    </w:rPr>
  </w:style>
  <w:style w:type="character" w:customStyle="1" w:styleId="Nadpis4Char">
    <w:name w:val="Nadpis 4 Char"/>
    <w:basedOn w:val="Standardnpsmoodstavce"/>
    <w:link w:val="Nadpis4"/>
    <w:uiPriority w:val="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rsid w:val="00E71A58"/>
    <w:rPr>
      <w:rFonts w:ascii="Tahoma" w:hAnsi="Tahoma"/>
      <w:sz w:val="16"/>
      <w:szCs w:val="16"/>
    </w:rPr>
  </w:style>
  <w:style w:type="character" w:customStyle="1" w:styleId="TextbublinyChar">
    <w:name w:val="Text bubliny Char"/>
    <w:basedOn w:val="Standardnpsmoodstavce"/>
    <w:link w:val="Textbubliny"/>
    <w:uiPriority w:val="99"/>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10"/>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10"/>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11"/>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11"/>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1"/>
    <w:qFormat/>
    <w:rsid w:val="005E492C"/>
    <w:pPr>
      <w:spacing w:line="288" w:lineRule="auto"/>
    </w:pPr>
    <w:rPr>
      <w:rFonts w:ascii="Arial" w:hAnsi="Arial"/>
      <w:sz w:val="22"/>
      <w:szCs w:val="22"/>
    </w:rPr>
  </w:style>
  <w:style w:type="paragraph" w:customStyle="1" w:styleId="Box1">
    <w:name w:val="Box 1"/>
    <w:basedOn w:val="Zkladnodstavec"/>
    <w:next w:val="Normln"/>
    <w:qFormat/>
    <w:rsid w:val="005E492C"/>
    <w:pPr>
      <w:ind w:left="1134"/>
    </w:pPr>
    <w:rPr>
      <w:rFonts w:ascii="Arial" w:hAnsi="Arial" w:cs="Arial"/>
      <w:color w:val="71818C"/>
      <w:sz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qFormat/>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locked/>
    <w:rsid w:val="006710C9"/>
    <w:rPr>
      <w:rFonts w:ascii="Arial" w:hAnsi="Arial"/>
      <w:b/>
      <w:color w:val="000000"/>
      <w:sz w:val="24"/>
      <w:shd w:val="clear" w:color="auto" w:fill="CCC0D9"/>
    </w:rPr>
  </w:style>
  <w:style w:type="character" w:customStyle="1" w:styleId="BoxChar">
    <w:name w:val="Box Char"/>
    <w:link w:val="Box"/>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hAnsi="Arial"/>
      <w:sz w:val="22"/>
      <w:szCs w:val="22"/>
    </w:rPr>
  </w:style>
  <w:style w:type="character" w:customStyle="1" w:styleId="TL-KontaktyChar">
    <w:name w:val="TL - Kontakty Char"/>
    <w:link w:val="TL-Kontakty"/>
    <w:locked/>
    <w:rsid w:val="005E492C"/>
    <w:rPr>
      <w:rFonts w:ascii="Arial" w:hAnsi="Arial"/>
      <w:b/>
      <w:caps/>
      <w:color w:val="BD1B21"/>
      <w:sz w:val="22"/>
      <w:szCs w:val="22"/>
      <w:lang w:bidi="ar-SA"/>
    </w:rPr>
  </w:style>
  <w:style w:type="character" w:customStyle="1" w:styleId="TL-IdentifikaceChar">
    <w:name w:val="TL - Identifikace Char"/>
    <w:link w:val="TL-Identifikace"/>
    <w:locked/>
    <w:rsid w:val="005E492C"/>
    <w:rPr>
      <w:rFonts w:ascii="Arial" w:hAnsi="Arial"/>
      <w:sz w:val="22"/>
      <w:szCs w:val="22"/>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locked/>
    <w:rsid w:val="005E492C"/>
    <w:rPr>
      <w:rFonts w:ascii="Arial" w:hAnsi="Arial"/>
      <w:sz w:val="22"/>
      <w:szCs w:val="22"/>
      <w:lang w:bidi="ar-SA"/>
    </w:rPr>
  </w:style>
  <w:style w:type="paragraph" w:customStyle="1" w:styleId="TL-identifikace-sted">
    <w:name w:val="TL - identifikace - střed"/>
    <w:basedOn w:val="Normln"/>
    <w:link w:val="TL-identifikace-stedChar"/>
    <w:qFormat/>
    <w:rsid w:val="005E492C"/>
    <w:pPr>
      <w:spacing w:after="200"/>
    </w:pPr>
    <w:rPr>
      <w:sz w:val="24"/>
      <w:szCs w:val="20"/>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locked/>
    <w:rsid w:val="005E492C"/>
    <w:rPr>
      <w:rFonts w:ascii="Arial" w:hAnsi="Arial"/>
      <w:sz w:val="24"/>
    </w:rPr>
  </w:style>
  <w:style w:type="character" w:customStyle="1" w:styleId="TL-Identifikace-doleChar">
    <w:name w:val="TL - Identifikace - dole Char"/>
    <w:link w:val="TL-Identifikace-dole"/>
    <w:locked/>
    <w:rsid w:val="005E492C"/>
    <w:rPr>
      <w:rFonts w:ascii="Arial" w:hAnsi="Arial"/>
      <w:lang w:eastAsia="ar-SA" w:bidi="ar-SA"/>
    </w:rPr>
  </w:style>
  <w:style w:type="paragraph" w:styleId="Nadpisobsahu">
    <w:name w:val="TOC Heading"/>
    <w:basedOn w:val="Nadpis1"/>
    <w:next w:val="Normln"/>
    <w:uiPriority w:val="71"/>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rsid w:val="00D142E5"/>
    <w:pPr>
      <w:ind w:left="200"/>
    </w:pPr>
  </w:style>
  <w:style w:type="paragraph" w:styleId="Obsah3">
    <w:name w:val="toc 3"/>
    <w:basedOn w:val="Normln"/>
    <w:next w:val="Normln"/>
    <w:autoRedefine/>
    <w:uiPriority w:val="3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22"/>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locked/>
    <w:rsid w:val="005D4336"/>
    <w:pPr>
      <w:spacing w:before="100" w:beforeAutospacing="1" w:after="100" w:afterAutospacing="1" w:line="240" w:lineRule="auto"/>
    </w:pPr>
    <w:rPr>
      <w:rFonts w:ascii="Times New Roman" w:eastAsia="Times New Roman" w:hAnsi="Times New Roman"/>
      <w:sz w:val="24"/>
    </w:rPr>
  </w:style>
  <w:style w:type="paragraph" w:styleId="Zkladntextodsazen">
    <w:name w:val="Body Text Indent"/>
    <w:basedOn w:val="Normln"/>
    <w:link w:val="ZkladntextodsazenChar"/>
    <w:semiHidden/>
    <w:locked/>
    <w:rsid w:val="00943373"/>
    <w:pPr>
      <w:autoSpaceDE w:val="0"/>
      <w:autoSpaceDN w:val="0"/>
      <w:adjustRightInd w:val="0"/>
      <w:spacing w:line="240" w:lineRule="auto"/>
      <w:ind w:left="720" w:hanging="720"/>
    </w:pPr>
    <w:rPr>
      <w:rFonts w:eastAsia="Times New Roman" w:cs="Arial"/>
      <w:szCs w:val="32"/>
    </w:rPr>
  </w:style>
  <w:style w:type="character" w:customStyle="1" w:styleId="ZkladntextodsazenChar">
    <w:name w:val="Základní text odsazený Char"/>
    <w:basedOn w:val="Standardnpsmoodstavce"/>
    <w:link w:val="Zkladntextodsazen"/>
    <w:semiHidden/>
    <w:rsid w:val="00943373"/>
    <w:rPr>
      <w:rFonts w:ascii="Arial" w:eastAsia="Times New Roman" w:hAnsi="Arial" w:cs="Arial"/>
      <w:szCs w:val="32"/>
    </w:rPr>
  </w:style>
  <w:style w:type="character" w:styleId="Odkaznakoment">
    <w:name w:val="annotation reference"/>
    <w:basedOn w:val="Standardnpsmoodstavce"/>
    <w:uiPriority w:val="99"/>
    <w:semiHidden/>
    <w:unhideWhenUsed/>
    <w:locked/>
    <w:rsid w:val="0029390D"/>
    <w:rPr>
      <w:sz w:val="16"/>
      <w:szCs w:val="16"/>
    </w:rPr>
  </w:style>
  <w:style w:type="paragraph" w:styleId="Textkomente">
    <w:name w:val="annotation text"/>
    <w:basedOn w:val="Normln"/>
    <w:link w:val="TextkomenteChar"/>
    <w:uiPriority w:val="99"/>
    <w:unhideWhenUsed/>
    <w:locked/>
    <w:rsid w:val="0029390D"/>
    <w:rPr>
      <w:szCs w:val="20"/>
    </w:rPr>
  </w:style>
  <w:style w:type="character" w:customStyle="1" w:styleId="TextkomenteChar">
    <w:name w:val="Text komentáře Char"/>
    <w:basedOn w:val="Standardnpsmoodstavce"/>
    <w:link w:val="Textkomente"/>
    <w:uiPriority w:val="99"/>
    <w:rsid w:val="0029390D"/>
    <w:rPr>
      <w:rFonts w:ascii="Arial" w:hAnsi="Arial"/>
    </w:rPr>
  </w:style>
  <w:style w:type="paragraph" w:styleId="Pedmtkomente">
    <w:name w:val="annotation subject"/>
    <w:basedOn w:val="Textkomente"/>
    <w:next w:val="Textkomente"/>
    <w:link w:val="PedmtkomenteChar"/>
    <w:uiPriority w:val="99"/>
    <w:semiHidden/>
    <w:unhideWhenUsed/>
    <w:locked/>
    <w:rsid w:val="0029390D"/>
    <w:rPr>
      <w:b/>
      <w:bCs/>
    </w:rPr>
  </w:style>
  <w:style w:type="character" w:customStyle="1" w:styleId="PedmtkomenteChar">
    <w:name w:val="Předmět komentáře Char"/>
    <w:basedOn w:val="TextkomenteChar"/>
    <w:link w:val="Pedmtkomente"/>
    <w:uiPriority w:val="99"/>
    <w:semiHidden/>
    <w:rsid w:val="0029390D"/>
    <w:rPr>
      <w:b/>
      <w:bCs/>
    </w:rPr>
  </w:style>
  <w:style w:type="character" w:styleId="Sledovanodkaz">
    <w:name w:val="FollowedHyperlink"/>
    <w:basedOn w:val="Standardnpsmoodstavce"/>
    <w:uiPriority w:val="99"/>
    <w:semiHidden/>
    <w:unhideWhenUsed/>
    <w:locked/>
    <w:rsid w:val="0029390D"/>
    <w:rPr>
      <w:color w:val="800080"/>
      <w:u w:val="single"/>
    </w:rPr>
  </w:style>
  <w:style w:type="paragraph" w:customStyle="1" w:styleId="TLKontaktyerven">
    <w:name w:val="TL Kontakty červené"/>
    <w:basedOn w:val="Normln"/>
    <w:qFormat/>
    <w:rsid w:val="00616EA3"/>
    <w:pPr>
      <w:spacing w:after="40"/>
      <w:contextualSpacing/>
    </w:pPr>
    <w:rPr>
      <w:rFonts w:eastAsia="Times New Roman"/>
      <w:b/>
      <w:caps/>
      <w:color w:val="BD1B21"/>
      <w:sz w:val="24"/>
    </w:rPr>
  </w:style>
  <w:style w:type="paragraph" w:customStyle="1" w:styleId="TLKontakty">
    <w:name w:val="TL Kontakty"/>
    <w:qFormat/>
    <w:rsid w:val="00616EA3"/>
    <w:pPr>
      <w:spacing w:after="160" w:line="259" w:lineRule="auto"/>
      <w:contextualSpacing/>
    </w:pPr>
    <w:rPr>
      <w:rFonts w:ascii="Arial" w:eastAsia="Times New Roman" w:hAnsi="Arial"/>
      <w:b/>
      <w:color w:val="0071BC"/>
    </w:rPr>
  </w:style>
  <w:style w:type="character" w:customStyle="1" w:styleId="odkaz-style-wrapper">
    <w:name w:val="odkaz-style-wrapper"/>
    <w:basedOn w:val="Standardnpsmoodstavce"/>
    <w:rsid w:val="000E214B"/>
  </w:style>
  <w:style w:type="paragraph" w:styleId="Zkladntext">
    <w:name w:val="Body Text"/>
    <w:basedOn w:val="Normln"/>
    <w:link w:val="ZkladntextChar"/>
    <w:uiPriority w:val="99"/>
    <w:semiHidden/>
    <w:unhideWhenUsed/>
    <w:locked/>
    <w:rsid w:val="00C235B9"/>
    <w:pPr>
      <w:spacing w:after="120"/>
    </w:pPr>
  </w:style>
  <w:style w:type="character" w:customStyle="1" w:styleId="ZkladntextChar">
    <w:name w:val="Základní text Char"/>
    <w:basedOn w:val="Standardnpsmoodstavce"/>
    <w:link w:val="Zkladntext"/>
    <w:uiPriority w:val="99"/>
    <w:semiHidden/>
    <w:rsid w:val="00C235B9"/>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7\Velk&#225;%20makro\1--Obyvatelstvo\Obyvatelstvo-grafy-nov&#225;%20verz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7\Velk&#225;%20makro\1--Obyvatelstvo\Obyvatelstvo-grafy-nov&#225;%20verz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17\Velk&#225;%20makro\1--Obyvatelstvo\Obyvatelstvo-grafy-nov&#225;%20verz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17\Velk&#225;%20makro\1--Obyvatelstvo\Obyvatelstvo-grafy-nov&#225;%20ver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7834594650114594E-2"/>
          <c:y val="2.7180910194864287E-2"/>
          <c:w val="0.87191278284363349"/>
          <c:h val="0.80534183673469673"/>
        </c:manualLayout>
      </c:layout>
      <c:barChart>
        <c:barDir val="col"/>
        <c:grouping val="clustered"/>
        <c:ser>
          <c:idx val="4"/>
          <c:order val="0"/>
          <c:tx>
            <c:strRef>
              <c:f>'Graf 1-Věkové složení'!$A$38</c:f>
              <c:strCache>
                <c:ptCount val="1"/>
                <c:pt idx="0">
                  <c:v>Věkový medián (EU28), pravá osa</c:v>
                </c:pt>
              </c:strCache>
            </c:strRef>
          </c:tx>
          <c:spPr>
            <a:solidFill>
              <a:schemeClr val="bg1">
                <a:lumMod val="85000"/>
              </a:schemeClr>
            </a:solidFill>
          </c:spPr>
          <c:cat>
            <c:numRef>
              <c:f>'Graf 1-Věkové složení'!$B$37:$R$37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'Graf 1-Věkové složení'!$B$38:$R$38</c:f>
              <c:numCache>
                <c:formatCode>#,##0.0</c:formatCode>
                <c:ptCount val="17"/>
                <c:pt idx="0">
                  <c:v>38</c:v>
                </c:pt>
                <c:pt idx="1">
                  <c:v>38.300000000000004</c:v>
                </c:pt>
                <c:pt idx="2">
                  <c:v>38.6</c:v>
                </c:pt>
                <c:pt idx="3">
                  <c:v>38.9</c:v>
                </c:pt>
                <c:pt idx="4">
                  <c:v>39.200000000000003</c:v>
                </c:pt>
                <c:pt idx="5">
                  <c:v>39.5</c:v>
                </c:pt>
                <c:pt idx="6">
                  <c:v>39.800000000000004</c:v>
                </c:pt>
                <c:pt idx="7">
                  <c:v>40.1</c:v>
                </c:pt>
                <c:pt idx="8">
                  <c:v>40.4</c:v>
                </c:pt>
                <c:pt idx="9">
                  <c:v>40.700000000000003</c:v>
                </c:pt>
                <c:pt idx="10">
                  <c:v>41</c:v>
                </c:pt>
                <c:pt idx="11">
                  <c:v>41.3</c:v>
                </c:pt>
                <c:pt idx="12">
                  <c:v>41.6</c:v>
                </c:pt>
                <c:pt idx="13">
                  <c:v>41.9</c:v>
                </c:pt>
                <c:pt idx="14">
                  <c:v>42.2</c:v>
                </c:pt>
                <c:pt idx="15">
                  <c:v>42.4</c:v>
                </c:pt>
                <c:pt idx="16">
                  <c:v>42.6</c:v>
                </c:pt>
              </c:numCache>
            </c:numRef>
          </c:val>
        </c:ser>
        <c:ser>
          <c:idx val="1"/>
          <c:order val="1"/>
          <c:tx>
            <c:strRef>
              <c:f>'Graf 1-Věkové složení'!$A$39</c:f>
              <c:strCache>
                <c:ptCount val="1"/>
                <c:pt idx="0">
                  <c:v>Věkový medián (ČR), pravá osa</c:v>
                </c:pt>
              </c:strCache>
            </c:strRef>
          </c:tx>
          <c:spPr>
            <a:solidFill>
              <a:schemeClr val="bg1">
                <a:lumMod val="65000"/>
              </a:schemeClr>
            </a:solidFill>
            <a:ln w="25400">
              <a:noFill/>
            </a:ln>
          </c:spPr>
          <c:cat>
            <c:numRef>
              <c:f>'Graf 1-Věkové složení'!$B$37:$R$37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'Graf 1-Věkové složení'!$B$39:$R$39</c:f>
              <c:numCache>
                <c:formatCode>#,##0.0</c:formatCode>
                <c:ptCount val="17"/>
                <c:pt idx="0">
                  <c:v>37.300000000000004</c:v>
                </c:pt>
                <c:pt idx="1">
                  <c:v>37.6</c:v>
                </c:pt>
                <c:pt idx="2">
                  <c:v>37.9</c:v>
                </c:pt>
                <c:pt idx="3">
                  <c:v>38.300000000000004</c:v>
                </c:pt>
                <c:pt idx="4">
                  <c:v>38.6</c:v>
                </c:pt>
                <c:pt idx="5">
                  <c:v>38.800000000000004</c:v>
                </c:pt>
                <c:pt idx="6">
                  <c:v>39</c:v>
                </c:pt>
                <c:pt idx="7">
                  <c:v>39.200000000000003</c:v>
                </c:pt>
                <c:pt idx="8">
                  <c:v>39.300000000000004</c:v>
                </c:pt>
                <c:pt idx="9">
                  <c:v>39.4</c:v>
                </c:pt>
                <c:pt idx="10">
                  <c:v>39.6</c:v>
                </c:pt>
                <c:pt idx="11">
                  <c:v>39.800000000000004</c:v>
                </c:pt>
                <c:pt idx="12">
                  <c:v>40.1</c:v>
                </c:pt>
                <c:pt idx="13">
                  <c:v>40.4</c:v>
                </c:pt>
                <c:pt idx="14">
                  <c:v>40.800000000000004</c:v>
                </c:pt>
                <c:pt idx="15">
                  <c:v>41.1</c:v>
                </c:pt>
                <c:pt idx="16">
                  <c:v>41.5</c:v>
                </c:pt>
              </c:numCache>
            </c:numRef>
          </c:val>
        </c:ser>
        <c:axId val="98803072"/>
        <c:axId val="98801536"/>
      </c:barChart>
      <c:lineChart>
        <c:grouping val="standard"/>
        <c:ser>
          <c:idx val="2"/>
          <c:order val="2"/>
          <c:tx>
            <c:strRef>
              <c:f>'Graf 1-Věkové složení'!$A$40</c:f>
              <c:strCache>
                <c:ptCount val="1"/>
                <c:pt idx="0">
                  <c:v>65+/ 0-14 let (ČR)</c:v>
                </c:pt>
              </c:strCache>
            </c:strRef>
          </c:tx>
          <c:spPr>
            <a:ln w="25400">
              <a:solidFill>
                <a:srgbClr val="00B0F0"/>
              </a:solidFill>
            </a:ln>
          </c:spPr>
          <c:marker>
            <c:symbol val="none"/>
          </c:marker>
          <c:cat>
            <c:numRef>
              <c:f>'Graf 1-Věkové složení'!$B$37:$R$37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'Graf 1-Věkové složení'!$B$40:$R$40</c:f>
              <c:numCache>
                <c:formatCode>0.00</c:formatCode>
                <c:ptCount val="17"/>
                <c:pt idx="0">
                  <c:v>0.85494708711790313</c:v>
                </c:pt>
                <c:pt idx="1">
                  <c:v>0.87218086372330073</c:v>
                </c:pt>
                <c:pt idx="2">
                  <c:v>0.89193126535603351</c:v>
                </c:pt>
                <c:pt idx="3">
                  <c:v>0.91554511973495856</c:v>
                </c:pt>
                <c:pt idx="4">
                  <c:v>0.93954206632061643</c:v>
                </c:pt>
                <c:pt idx="5">
                  <c:v>0.97006656093825516</c:v>
                </c:pt>
                <c:pt idx="6">
                  <c:v>1.0019756487603289</c:v>
                </c:pt>
                <c:pt idx="7">
                  <c:v>1.0243147408497262</c:v>
                </c:pt>
                <c:pt idx="8">
                  <c:v>1.0514490809840698</c:v>
                </c:pt>
                <c:pt idx="9">
                  <c:v>1.0699378333344478</c:v>
                </c:pt>
                <c:pt idx="10">
                  <c:v>1.0775184403040032</c:v>
                </c:pt>
                <c:pt idx="11">
                  <c:v>1.1039389686622663</c:v>
                </c:pt>
                <c:pt idx="12">
                  <c:v>1.132873506052698</c:v>
                </c:pt>
                <c:pt idx="13">
                  <c:v>1.1572716812840864</c:v>
                </c:pt>
                <c:pt idx="14">
                  <c:v>1.1744866633979683</c:v>
                </c:pt>
                <c:pt idx="15">
                  <c:v>1.1901169909023501</c:v>
                </c:pt>
                <c:pt idx="16">
                  <c:v>1.207401314291785</c:v>
                </c:pt>
              </c:numCache>
            </c:numRef>
          </c:val>
        </c:ser>
        <c:ser>
          <c:idx val="0"/>
          <c:order val="3"/>
          <c:tx>
            <c:strRef>
              <c:f>'Graf 1-Věkové složení'!$A$41</c:f>
              <c:strCache>
                <c:ptCount val="1"/>
                <c:pt idx="0">
                  <c:v>0-14 a 65+ / 15-64 let (ČR)</c:v>
                </c:pt>
              </c:strCache>
            </c:strRef>
          </c:tx>
          <c:spPr>
            <a:ln w="25400">
              <a:solidFill>
                <a:schemeClr val="accent6">
                  <a:lumMod val="75000"/>
                </a:schemeClr>
              </a:solidFill>
            </a:ln>
          </c:spPr>
          <c:marker>
            <c:symbol val="none"/>
          </c:marker>
          <c:cat>
            <c:numRef>
              <c:f>'Graf 1-Věkové složení'!$B$37:$R$37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'Graf 1-Věkové složení'!$B$41:$R$41</c:f>
              <c:numCache>
                <c:formatCode>0.00</c:formatCode>
                <c:ptCount val="17"/>
                <c:pt idx="0">
                  <c:v>0.43005852118975063</c:v>
                </c:pt>
                <c:pt idx="1">
                  <c:v>0.42348839619209078</c:v>
                </c:pt>
                <c:pt idx="2">
                  <c:v>0.41799886902180483</c:v>
                </c:pt>
                <c:pt idx="3">
                  <c:v>0.41163315817383461</c:v>
                </c:pt>
                <c:pt idx="4">
                  <c:v>0.40798671883362742</c:v>
                </c:pt>
                <c:pt idx="5">
                  <c:v>0.40553643541650275</c:v>
                </c:pt>
                <c:pt idx="6">
                  <c:v>0.40434877337774355</c:v>
                </c:pt>
                <c:pt idx="7">
                  <c:v>0.40449277827002034</c:v>
                </c:pt>
                <c:pt idx="8">
                  <c:v>0.4085590797836709</c:v>
                </c:pt>
                <c:pt idx="9">
                  <c:v>0.41724259330200603</c:v>
                </c:pt>
                <c:pt idx="10">
                  <c:v>0.42743632367422485</c:v>
                </c:pt>
                <c:pt idx="11">
                  <c:v>0.44647949652253804</c:v>
                </c:pt>
                <c:pt idx="12">
                  <c:v>0.4629683241073495</c:v>
                </c:pt>
                <c:pt idx="13">
                  <c:v>0.47866056584081812</c:v>
                </c:pt>
                <c:pt idx="14">
                  <c:v>0.49334530661385556</c:v>
                </c:pt>
                <c:pt idx="15">
                  <c:v>0.50818417154742657</c:v>
                </c:pt>
                <c:pt idx="16">
                  <c:v>0.5237497412721388</c:v>
                </c:pt>
              </c:numCache>
            </c:numRef>
          </c:val>
        </c:ser>
        <c:ser>
          <c:idx val="3"/>
          <c:order val="4"/>
          <c:tx>
            <c:strRef>
              <c:f>'Graf 1-Věkové složení'!$A$42</c:f>
              <c:strCache>
                <c:ptCount val="1"/>
                <c:pt idx="0">
                  <c:v>0-19 a 65+ / 20-64 let (ČR)</c:v>
                </c:pt>
              </c:strCache>
            </c:strRef>
          </c:tx>
          <c:spPr>
            <a:ln w="25400">
              <a:solidFill>
                <a:srgbClr val="FF0000"/>
              </a:solidFill>
              <a:prstDash val="solid"/>
            </a:ln>
          </c:spPr>
          <c:marker>
            <c:symbol val="none"/>
          </c:marker>
          <c:cat>
            <c:numRef>
              <c:f>'Graf 1-Věkové složení'!$B$37:$R$37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'Graf 1-Věkové složení'!$B$42:$R$42</c:f>
              <c:numCache>
                <c:formatCode>0.00</c:formatCode>
                <c:ptCount val="17"/>
                <c:pt idx="0">
                  <c:v>0.58025242058522153</c:v>
                </c:pt>
                <c:pt idx="1">
                  <c:v>0.57129447981305381</c:v>
                </c:pt>
                <c:pt idx="2">
                  <c:v>0.56246008006726156</c:v>
                </c:pt>
                <c:pt idx="3">
                  <c:v>0.5543148008591503</c:v>
                </c:pt>
                <c:pt idx="4">
                  <c:v>0.54814864296224397</c:v>
                </c:pt>
                <c:pt idx="5">
                  <c:v>0.5438748656217216</c:v>
                </c:pt>
                <c:pt idx="6">
                  <c:v>0.54138490747140655</c:v>
                </c:pt>
                <c:pt idx="7">
                  <c:v>0.53909757023999894</c:v>
                </c:pt>
                <c:pt idx="8">
                  <c:v>0.54067324243630865</c:v>
                </c:pt>
                <c:pt idx="9">
                  <c:v>0.54567213661236835</c:v>
                </c:pt>
                <c:pt idx="10">
                  <c:v>0.54981377697261558</c:v>
                </c:pt>
                <c:pt idx="11">
                  <c:v>0.56292349080874782</c:v>
                </c:pt>
                <c:pt idx="12">
                  <c:v>0.57475442299174062</c:v>
                </c:pt>
                <c:pt idx="13">
                  <c:v>0.5856921424182</c:v>
                </c:pt>
                <c:pt idx="14">
                  <c:v>0.59822398240998553</c:v>
                </c:pt>
                <c:pt idx="15">
                  <c:v>0.61380852857128965</c:v>
                </c:pt>
                <c:pt idx="16">
                  <c:v>0.63153941655935686</c:v>
                </c:pt>
              </c:numCache>
            </c:numRef>
          </c:val>
        </c:ser>
        <c:ser>
          <c:idx val="5"/>
          <c:order val="5"/>
          <c:tx>
            <c:strRef>
              <c:f>'Graf 1-Věkové složení'!$A$43</c:f>
              <c:strCache>
                <c:ptCount val="1"/>
                <c:pt idx="0">
                  <c:v>40-64 / 15-39 let (ČR)</c:v>
                </c:pt>
              </c:strCache>
            </c:strRef>
          </c:tx>
          <c:spPr>
            <a:ln w="25400">
              <a:solidFill>
                <a:srgbClr val="404040"/>
              </a:solidFill>
              <a:prstDash val="dash"/>
            </a:ln>
          </c:spPr>
          <c:marker>
            <c:symbol val="none"/>
          </c:marker>
          <c:cat>
            <c:numRef>
              <c:f>'Graf 1-Věkové složení'!$B$37:$R$37</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'Graf 1-Věkové složení'!$B$43:$R$43</c:f>
              <c:numCache>
                <c:formatCode>0.00</c:formatCode>
                <c:ptCount val="17"/>
                <c:pt idx="0">
                  <c:v>0.89786249839401888</c:v>
                </c:pt>
                <c:pt idx="1">
                  <c:v>0.90468546199802891</c:v>
                </c:pt>
                <c:pt idx="2">
                  <c:v>0.90913746109380178</c:v>
                </c:pt>
                <c:pt idx="3">
                  <c:v>0.91754017502241858</c:v>
                </c:pt>
                <c:pt idx="4">
                  <c:v>0.93007000258442196</c:v>
                </c:pt>
                <c:pt idx="5">
                  <c:v>0.93371779548402367</c:v>
                </c:pt>
                <c:pt idx="6">
                  <c:v>0.93429013990338661</c:v>
                </c:pt>
                <c:pt idx="7">
                  <c:v>0.92939088515182711</c:v>
                </c:pt>
                <c:pt idx="8">
                  <c:v>0.92220004645530063</c:v>
                </c:pt>
                <c:pt idx="9">
                  <c:v>0.92604023776863365</c:v>
                </c:pt>
                <c:pt idx="10">
                  <c:v>0.93848793883471648</c:v>
                </c:pt>
                <c:pt idx="11">
                  <c:v>0.96337723566686162</c:v>
                </c:pt>
                <c:pt idx="12">
                  <c:v>0.97925232826538811</c:v>
                </c:pt>
                <c:pt idx="13">
                  <c:v>1.007822958264367</c:v>
                </c:pt>
                <c:pt idx="14">
                  <c:v>1.0453121707659441</c:v>
                </c:pt>
                <c:pt idx="15">
                  <c:v>1.0826018285857821</c:v>
                </c:pt>
                <c:pt idx="16">
                  <c:v>1.1185503604904761</c:v>
                </c:pt>
              </c:numCache>
            </c:numRef>
          </c:val>
        </c:ser>
        <c:marker val="1"/>
        <c:axId val="98750848"/>
        <c:axId val="98753152"/>
      </c:lineChart>
      <c:catAx>
        <c:axId val="98750848"/>
        <c:scaling>
          <c:orientation val="minMax"/>
        </c:scaling>
        <c:axPos val="b"/>
        <c:numFmt formatCode="General" sourceLinked="1"/>
        <c:tickLblPos val="nextTo"/>
        <c:txPr>
          <a:bodyPr rot="0" vert="horz"/>
          <a:lstStyle/>
          <a:p>
            <a:pPr>
              <a:defRPr sz="800">
                <a:latin typeface="Arial" pitchFamily="34" charset="0"/>
                <a:cs typeface="Arial" pitchFamily="34" charset="0"/>
              </a:defRPr>
            </a:pPr>
            <a:endParaRPr lang="cs-CZ"/>
          </a:p>
        </c:txPr>
        <c:crossAx val="98753152"/>
        <c:crosses val="autoZero"/>
        <c:auto val="1"/>
        <c:lblAlgn val="ctr"/>
        <c:lblOffset val="10"/>
      </c:catAx>
      <c:valAx>
        <c:axId val="98753152"/>
        <c:scaling>
          <c:orientation val="minMax"/>
          <c:max val="1.3"/>
          <c:min val="0.4"/>
        </c:scaling>
        <c:axPos val="l"/>
        <c:majorGridlines>
          <c:spPr>
            <a:ln w="6350">
              <a:solidFill>
                <a:srgbClr val="BFBFBF"/>
              </a:solidFill>
            </a:ln>
          </c:spPr>
        </c:majorGridlines>
        <c:numFmt formatCode="0.0" sourceLinked="0"/>
        <c:tickLblPos val="nextTo"/>
        <c:txPr>
          <a:bodyPr/>
          <a:lstStyle/>
          <a:p>
            <a:pPr>
              <a:defRPr sz="800">
                <a:latin typeface="Arial" pitchFamily="34" charset="0"/>
                <a:cs typeface="Arial" pitchFamily="34" charset="0"/>
              </a:defRPr>
            </a:pPr>
            <a:endParaRPr lang="cs-CZ"/>
          </a:p>
        </c:txPr>
        <c:crossAx val="98750848"/>
        <c:crosses val="autoZero"/>
        <c:crossBetween val="between"/>
        <c:majorUnit val="0.1"/>
      </c:valAx>
      <c:valAx>
        <c:axId val="98801536"/>
        <c:scaling>
          <c:orientation val="minMax"/>
          <c:max val="46"/>
          <c:min val="32"/>
        </c:scaling>
        <c:axPos val="r"/>
        <c:numFmt formatCode="0" sourceLinked="0"/>
        <c:tickLblPos val="nextTo"/>
        <c:txPr>
          <a:bodyPr/>
          <a:lstStyle/>
          <a:p>
            <a:pPr>
              <a:defRPr sz="800">
                <a:latin typeface="Arial" pitchFamily="34" charset="0"/>
                <a:cs typeface="Arial" pitchFamily="34" charset="0"/>
              </a:defRPr>
            </a:pPr>
            <a:endParaRPr lang="cs-CZ"/>
          </a:p>
        </c:txPr>
        <c:crossAx val="98803072"/>
        <c:crosses val="max"/>
        <c:crossBetween val="between"/>
        <c:majorUnit val="2"/>
      </c:valAx>
      <c:catAx>
        <c:axId val="98803072"/>
        <c:scaling>
          <c:orientation val="minMax"/>
        </c:scaling>
        <c:delete val="1"/>
        <c:axPos val="b"/>
        <c:numFmt formatCode="General" sourceLinked="1"/>
        <c:tickLblPos val="none"/>
        <c:crossAx val="98801536"/>
        <c:crosses val="autoZero"/>
        <c:auto val="1"/>
        <c:lblAlgn val="ctr"/>
        <c:lblOffset val="100"/>
      </c:catAx>
      <c:spPr>
        <a:ln>
          <a:solidFill>
            <a:sysClr val="windowText" lastClr="000000"/>
          </a:solidFill>
        </a:ln>
      </c:spPr>
    </c:plotArea>
    <c:legend>
      <c:legendPos val="r"/>
      <c:layout>
        <c:manualLayout>
          <c:xMode val="edge"/>
          <c:yMode val="edge"/>
          <c:x val="7.4789344815941211E-2"/>
          <c:y val="0.88324552516041888"/>
          <c:w val="0.87105454238433389"/>
          <c:h val="0.11242119779353821"/>
        </c:manualLayout>
      </c:layout>
      <c:spPr>
        <a:ln>
          <a:solidFill>
            <a:sysClr val="windowText" lastClr="000000">
              <a:lumMod val="95000"/>
              <a:lumOff val="5000"/>
            </a:sysClr>
          </a:solidFill>
        </a:ln>
      </c:spPr>
      <c:txPr>
        <a:bodyPr/>
        <a:lstStyle/>
        <a:p>
          <a:pPr>
            <a:defRPr sz="800">
              <a:latin typeface="Arial" pitchFamily="34" charset="0"/>
              <a:cs typeface="Arial" pitchFamily="34" charset="0"/>
            </a:defRPr>
          </a:pPr>
          <a:endParaRPr lang="cs-CZ"/>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5.7008697393643636E-2"/>
          <c:y val="1.6457954391385761E-2"/>
          <c:w val="0.91210697221983805"/>
          <c:h val="0.92797798690816369"/>
        </c:manualLayout>
      </c:layout>
      <c:scatterChart>
        <c:scatterStyle val="lineMarker"/>
        <c:ser>
          <c:idx val="0"/>
          <c:order val="0"/>
          <c:tx>
            <c:strRef>
              <c:f>'Graf 3-porodnost'!$E$7</c:f>
              <c:strCache>
                <c:ptCount val="1"/>
                <c:pt idx="0">
                  <c:v>Průměrný věk matek při narození dítěte (v letech)</c:v>
                </c:pt>
              </c:strCache>
            </c:strRef>
          </c:tx>
          <c:spPr>
            <a:ln w="28575">
              <a:noFill/>
            </a:ln>
          </c:spPr>
          <c:marker>
            <c:symbol val="diamond"/>
            <c:size val="5"/>
            <c:spPr>
              <a:ln w="6350">
                <a:solidFill>
                  <a:schemeClr val="bg1">
                    <a:lumMod val="75000"/>
                  </a:schemeClr>
                </a:solidFill>
              </a:ln>
            </c:spPr>
          </c:marker>
          <c:dPt>
            <c:idx val="0"/>
            <c:marker>
              <c:spPr>
                <a:solidFill>
                  <a:srgbClr val="FF0000"/>
                </a:solidFill>
                <a:ln w="6350">
                  <a:solidFill>
                    <a:schemeClr val="bg1">
                      <a:lumMod val="75000"/>
                    </a:schemeClr>
                  </a:solidFill>
                </a:ln>
              </c:spPr>
            </c:marker>
          </c:dPt>
          <c:dPt>
            <c:idx val="1"/>
            <c:marker>
              <c:spPr>
                <a:solidFill>
                  <a:srgbClr val="FF0000"/>
                </a:solidFill>
                <a:ln w="6350">
                  <a:solidFill>
                    <a:schemeClr val="bg1">
                      <a:lumMod val="75000"/>
                    </a:schemeClr>
                  </a:solidFill>
                </a:ln>
              </c:spPr>
            </c:marker>
          </c:dPt>
          <c:dPt>
            <c:idx val="2"/>
            <c:marker>
              <c:spPr>
                <a:solidFill>
                  <a:srgbClr val="FF0000"/>
                </a:solidFill>
                <a:ln w="6350">
                  <a:solidFill>
                    <a:schemeClr val="bg1">
                      <a:lumMod val="75000"/>
                    </a:schemeClr>
                  </a:solidFill>
                </a:ln>
              </c:spPr>
            </c:marker>
          </c:dPt>
          <c:dPt>
            <c:idx val="3"/>
            <c:marker>
              <c:spPr>
                <a:solidFill>
                  <a:srgbClr val="920000"/>
                </a:solidFill>
                <a:ln w="6350">
                  <a:solidFill>
                    <a:schemeClr val="bg1">
                      <a:lumMod val="75000"/>
                    </a:schemeClr>
                  </a:solidFill>
                </a:ln>
              </c:spPr>
            </c:marker>
          </c:dPt>
          <c:dPt>
            <c:idx val="4"/>
            <c:marker>
              <c:spPr>
                <a:solidFill>
                  <a:srgbClr val="FF0000"/>
                </a:solidFill>
                <a:ln w="6350">
                  <a:solidFill>
                    <a:schemeClr val="bg1">
                      <a:lumMod val="75000"/>
                    </a:schemeClr>
                  </a:solidFill>
                </a:ln>
              </c:spPr>
            </c:marker>
          </c:dPt>
          <c:dPt>
            <c:idx val="5"/>
            <c:marker>
              <c:spPr>
                <a:solidFill>
                  <a:srgbClr val="920000"/>
                </a:solidFill>
                <a:ln w="6350">
                  <a:solidFill>
                    <a:schemeClr val="bg1">
                      <a:lumMod val="75000"/>
                    </a:schemeClr>
                  </a:solidFill>
                </a:ln>
              </c:spPr>
            </c:marker>
          </c:dPt>
          <c:dPt>
            <c:idx val="6"/>
            <c:marker>
              <c:spPr>
                <a:solidFill>
                  <a:srgbClr val="FF8B8B"/>
                </a:solidFill>
                <a:ln w="6350">
                  <a:solidFill>
                    <a:schemeClr val="bg1">
                      <a:lumMod val="75000"/>
                    </a:schemeClr>
                  </a:solidFill>
                </a:ln>
              </c:spPr>
            </c:marker>
          </c:dPt>
          <c:dPt>
            <c:idx val="7"/>
            <c:marker>
              <c:spPr>
                <a:solidFill>
                  <a:srgbClr val="920000"/>
                </a:solidFill>
                <a:ln w="6350">
                  <a:solidFill>
                    <a:schemeClr val="bg1">
                      <a:lumMod val="75000"/>
                    </a:schemeClr>
                  </a:solidFill>
                </a:ln>
              </c:spPr>
            </c:marker>
          </c:dPt>
          <c:dPt>
            <c:idx val="8"/>
            <c:marker>
              <c:spPr>
                <a:solidFill>
                  <a:srgbClr val="FF8B8B"/>
                </a:solidFill>
                <a:ln w="6350">
                  <a:solidFill>
                    <a:schemeClr val="bg1">
                      <a:lumMod val="75000"/>
                    </a:schemeClr>
                  </a:solidFill>
                </a:ln>
              </c:spPr>
            </c:marker>
          </c:dPt>
          <c:dPt>
            <c:idx val="9"/>
            <c:marker>
              <c:spPr>
                <a:solidFill>
                  <a:srgbClr val="FFFF53"/>
                </a:solidFill>
                <a:ln w="6350">
                  <a:solidFill>
                    <a:schemeClr val="bg1">
                      <a:lumMod val="75000"/>
                    </a:schemeClr>
                  </a:solidFill>
                </a:ln>
              </c:spPr>
            </c:marker>
          </c:dPt>
          <c:dPt>
            <c:idx val="10"/>
            <c:marker>
              <c:spPr>
                <a:solidFill>
                  <a:srgbClr val="FF0000"/>
                </a:solidFill>
                <a:ln w="6350">
                  <a:solidFill>
                    <a:schemeClr val="bg1">
                      <a:lumMod val="75000"/>
                    </a:schemeClr>
                  </a:solidFill>
                </a:ln>
              </c:spPr>
            </c:marker>
          </c:dPt>
          <c:dPt>
            <c:idx val="11"/>
            <c:marker>
              <c:spPr>
                <a:solidFill>
                  <a:srgbClr val="920000"/>
                </a:solidFill>
                <a:ln w="6350">
                  <a:solidFill>
                    <a:schemeClr val="bg1">
                      <a:lumMod val="75000"/>
                    </a:schemeClr>
                  </a:solidFill>
                </a:ln>
              </c:spPr>
            </c:marker>
          </c:dPt>
          <c:dPt>
            <c:idx val="12"/>
            <c:marker>
              <c:spPr>
                <a:solidFill>
                  <a:srgbClr val="D0CB00"/>
                </a:solidFill>
                <a:ln w="6350">
                  <a:solidFill>
                    <a:schemeClr val="bg1">
                      <a:lumMod val="75000"/>
                    </a:schemeClr>
                  </a:solidFill>
                </a:ln>
              </c:spPr>
            </c:marker>
          </c:dPt>
          <c:dPt>
            <c:idx val="13"/>
            <c:marker>
              <c:spPr>
                <a:solidFill>
                  <a:srgbClr val="FF8B8B"/>
                </a:solidFill>
                <a:ln w="6350">
                  <a:solidFill>
                    <a:schemeClr val="bg1">
                      <a:lumMod val="75000"/>
                    </a:schemeClr>
                  </a:solidFill>
                </a:ln>
              </c:spPr>
            </c:marker>
          </c:dPt>
          <c:dPt>
            <c:idx val="14"/>
            <c:marker>
              <c:spPr>
                <a:solidFill>
                  <a:srgbClr val="D0CB00"/>
                </a:solidFill>
                <a:ln w="6350">
                  <a:solidFill>
                    <a:schemeClr val="bg1">
                      <a:lumMod val="75000"/>
                    </a:schemeClr>
                  </a:solidFill>
                </a:ln>
              </c:spPr>
            </c:marker>
          </c:dPt>
          <c:dPt>
            <c:idx val="15"/>
            <c:marker>
              <c:spPr>
                <a:solidFill>
                  <a:srgbClr val="FF0000"/>
                </a:solidFill>
                <a:ln w="6350">
                  <a:solidFill>
                    <a:schemeClr val="bg1">
                      <a:lumMod val="75000"/>
                    </a:schemeClr>
                  </a:solidFill>
                </a:ln>
              </c:spPr>
            </c:marker>
          </c:dPt>
          <c:dPt>
            <c:idx val="16"/>
            <c:marker>
              <c:spPr>
                <a:solidFill>
                  <a:srgbClr val="FAC090"/>
                </a:solidFill>
                <a:ln w="6350">
                  <a:solidFill>
                    <a:schemeClr val="bg1">
                      <a:lumMod val="75000"/>
                    </a:schemeClr>
                  </a:solidFill>
                </a:ln>
              </c:spPr>
            </c:marker>
          </c:dPt>
          <c:dPt>
            <c:idx val="17"/>
            <c:marker>
              <c:spPr>
                <a:solidFill>
                  <a:srgbClr val="FF8B8B"/>
                </a:solidFill>
                <a:ln w="6350">
                  <a:solidFill>
                    <a:schemeClr val="bg1">
                      <a:lumMod val="75000"/>
                    </a:schemeClr>
                  </a:solidFill>
                </a:ln>
              </c:spPr>
            </c:marker>
          </c:dPt>
          <c:dPt>
            <c:idx val="18"/>
            <c:marker>
              <c:spPr>
                <a:solidFill>
                  <a:srgbClr val="FF0000"/>
                </a:solidFill>
                <a:ln w="6350">
                  <a:solidFill>
                    <a:schemeClr val="bg1">
                      <a:lumMod val="75000"/>
                    </a:schemeClr>
                  </a:solidFill>
                </a:ln>
              </c:spPr>
            </c:marker>
          </c:dPt>
          <c:dPt>
            <c:idx val="19"/>
            <c:marker>
              <c:spPr>
                <a:solidFill>
                  <a:srgbClr val="FAC090"/>
                </a:solidFill>
                <a:ln w="6350">
                  <a:solidFill>
                    <a:schemeClr val="bg1">
                      <a:lumMod val="75000"/>
                    </a:schemeClr>
                  </a:solidFill>
                </a:ln>
              </c:spPr>
            </c:marker>
          </c:dPt>
          <c:dPt>
            <c:idx val="20"/>
            <c:marker>
              <c:spPr>
                <a:solidFill>
                  <a:srgbClr val="FF0000"/>
                </a:solidFill>
                <a:ln w="6350">
                  <a:solidFill>
                    <a:schemeClr val="bg1">
                      <a:lumMod val="75000"/>
                    </a:schemeClr>
                  </a:solidFill>
                </a:ln>
              </c:spPr>
            </c:marker>
          </c:dPt>
          <c:dPt>
            <c:idx val="21"/>
            <c:marker>
              <c:spPr>
                <a:solidFill>
                  <a:srgbClr val="FF0000"/>
                </a:solidFill>
                <a:ln w="6350">
                  <a:solidFill>
                    <a:schemeClr val="bg1">
                      <a:lumMod val="75000"/>
                    </a:schemeClr>
                  </a:solidFill>
                </a:ln>
              </c:spPr>
            </c:marker>
          </c:dPt>
          <c:dPt>
            <c:idx val="22"/>
            <c:marker>
              <c:spPr>
                <a:solidFill>
                  <a:srgbClr val="FAC090"/>
                </a:solidFill>
                <a:ln w="6350">
                  <a:solidFill>
                    <a:schemeClr val="bg1">
                      <a:lumMod val="75000"/>
                    </a:schemeClr>
                  </a:solidFill>
                </a:ln>
              </c:spPr>
            </c:marker>
          </c:dPt>
          <c:dPt>
            <c:idx val="23"/>
            <c:marker>
              <c:spPr>
                <a:solidFill>
                  <a:srgbClr val="920000"/>
                </a:solidFill>
                <a:ln w="6350">
                  <a:solidFill>
                    <a:schemeClr val="bg1">
                      <a:lumMod val="75000"/>
                    </a:schemeClr>
                  </a:solidFill>
                </a:ln>
              </c:spPr>
            </c:marker>
          </c:dPt>
          <c:dPt>
            <c:idx val="24"/>
            <c:marker>
              <c:spPr>
                <a:solidFill>
                  <a:srgbClr val="FF8B8B"/>
                </a:solidFill>
                <a:ln w="6350">
                  <a:solidFill>
                    <a:schemeClr val="bg1">
                      <a:lumMod val="75000"/>
                    </a:schemeClr>
                  </a:solidFill>
                </a:ln>
              </c:spPr>
            </c:marker>
          </c:dPt>
          <c:dPt>
            <c:idx val="25"/>
            <c:marker>
              <c:spPr>
                <a:solidFill>
                  <a:srgbClr val="920000"/>
                </a:solidFill>
                <a:ln w="6350">
                  <a:solidFill>
                    <a:schemeClr val="bg1">
                      <a:lumMod val="75000"/>
                    </a:schemeClr>
                  </a:solidFill>
                </a:ln>
              </c:spPr>
            </c:marker>
          </c:dPt>
          <c:dPt>
            <c:idx val="26"/>
            <c:marker>
              <c:spPr>
                <a:solidFill>
                  <a:srgbClr val="FF8B8B"/>
                </a:solidFill>
                <a:ln w="6350">
                  <a:solidFill>
                    <a:schemeClr val="bg1">
                      <a:lumMod val="75000"/>
                    </a:schemeClr>
                  </a:solidFill>
                </a:ln>
              </c:spPr>
            </c:marker>
          </c:dPt>
          <c:dPt>
            <c:idx val="27"/>
            <c:marker>
              <c:spPr>
                <a:solidFill>
                  <a:srgbClr val="FF0000"/>
                </a:solidFill>
                <a:ln w="6350">
                  <a:solidFill>
                    <a:schemeClr val="bg1">
                      <a:lumMod val="75000"/>
                    </a:schemeClr>
                  </a:solidFill>
                </a:ln>
              </c:spPr>
            </c:marker>
          </c:dPt>
          <c:dPt>
            <c:idx val="28"/>
            <c:marker>
              <c:spPr>
                <a:solidFill>
                  <a:srgbClr val="920000"/>
                </a:solidFill>
                <a:ln w="6350">
                  <a:solidFill>
                    <a:schemeClr val="bg1">
                      <a:lumMod val="75000"/>
                    </a:schemeClr>
                  </a:solidFill>
                </a:ln>
              </c:spPr>
            </c:marker>
          </c:dPt>
          <c:dPt>
            <c:idx val="29"/>
            <c:marker>
              <c:spPr>
                <a:solidFill>
                  <a:srgbClr val="FF0000"/>
                </a:solidFill>
                <a:ln w="6350">
                  <a:solidFill>
                    <a:schemeClr val="bg1">
                      <a:lumMod val="75000"/>
                    </a:schemeClr>
                  </a:solidFill>
                </a:ln>
              </c:spPr>
            </c:marker>
          </c:dPt>
          <c:dPt>
            <c:idx val="30"/>
            <c:marker>
              <c:spPr>
                <a:solidFill>
                  <a:srgbClr val="FF0000"/>
                </a:solidFill>
                <a:ln w="6350">
                  <a:solidFill>
                    <a:schemeClr val="bg1">
                      <a:lumMod val="75000"/>
                    </a:schemeClr>
                  </a:solidFill>
                </a:ln>
              </c:spPr>
            </c:marker>
          </c:dPt>
          <c:dPt>
            <c:idx val="31"/>
            <c:marker>
              <c:spPr>
                <a:solidFill>
                  <a:srgbClr val="920000"/>
                </a:solidFill>
                <a:ln w="6350">
                  <a:solidFill>
                    <a:schemeClr val="bg1">
                      <a:lumMod val="75000"/>
                    </a:schemeClr>
                  </a:solidFill>
                </a:ln>
              </c:spPr>
            </c:marker>
          </c:dPt>
          <c:dPt>
            <c:idx val="32"/>
            <c:marker>
              <c:spPr>
                <a:solidFill>
                  <a:srgbClr val="FAC090"/>
                </a:solidFill>
                <a:ln w="6350">
                  <a:solidFill>
                    <a:schemeClr val="bg1">
                      <a:lumMod val="75000"/>
                    </a:schemeClr>
                  </a:solidFill>
                </a:ln>
              </c:spPr>
            </c:marker>
          </c:dPt>
          <c:dPt>
            <c:idx val="33"/>
            <c:marker>
              <c:spPr>
                <a:solidFill>
                  <a:srgbClr val="D0CB00"/>
                </a:solidFill>
                <a:ln w="6350">
                  <a:solidFill>
                    <a:schemeClr val="bg1">
                      <a:lumMod val="75000"/>
                    </a:schemeClr>
                  </a:solidFill>
                </a:ln>
              </c:spPr>
            </c:marker>
          </c:dPt>
          <c:dPt>
            <c:idx val="34"/>
            <c:marker>
              <c:spPr>
                <a:solidFill>
                  <a:srgbClr val="FAC090"/>
                </a:solidFill>
                <a:ln w="6350">
                  <a:solidFill>
                    <a:schemeClr val="bg1">
                      <a:lumMod val="75000"/>
                    </a:schemeClr>
                  </a:solidFill>
                </a:ln>
              </c:spPr>
            </c:marker>
          </c:dPt>
          <c:dPt>
            <c:idx val="35"/>
            <c:marker>
              <c:spPr>
                <a:solidFill>
                  <a:srgbClr val="FFFF53"/>
                </a:solidFill>
                <a:ln w="6350">
                  <a:solidFill>
                    <a:schemeClr val="bg1">
                      <a:lumMod val="75000"/>
                    </a:schemeClr>
                  </a:solidFill>
                </a:ln>
              </c:spPr>
            </c:marker>
          </c:dPt>
          <c:dPt>
            <c:idx val="36"/>
            <c:marker>
              <c:spPr>
                <a:solidFill>
                  <a:srgbClr val="D0CB00"/>
                </a:solidFill>
                <a:ln w="6350">
                  <a:solidFill>
                    <a:schemeClr val="bg1">
                      <a:lumMod val="75000"/>
                    </a:schemeClr>
                  </a:solidFill>
                </a:ln>
              </c:spPr>
            </c:marker>
          </c:dPt>
          <c:dPt>
            <c:idx val="37"/>
            <c:marker>
              <c:spPr>
                <a:solidFill>
                  <a:srgbClr val="FAC090"/>
                </a:solidFill>
                <a:ln w="6350">
                  <a:solidFill>
                    <a:schemeClr val="bg1">
                      <a:lumMod val="75000"/>
                    </a:schemeClr>
                  </a:solidFill>
                </a:ln>
              </c:spPr>
            </c:marker>
          </c:dPt>
          <c:dPt>
            <c:idx val="38"/>
            <c:marker>
              <c:spPr>
                <a:solidFill>
                  <a:srgbClr val="FAC090"/>
                </a:solidFill>
                <a:ln w="6350">
                  <a:solidFill>
                    <a:schemeClr val="bg1">
                      <a:lumMod val="75000"/>
                    </a:schemeClr>
                  </a:solidFill>
                </a:ln>
              </c:spPr>
            </c:marker>
          </c:dPt>
          <c:dPt>
            <c:idx val="39"/>
            <c:marker>
              <c:spPr>
                <a:solidFill>
                  <a:srgbClr val="D0CB00"/>
                </a:solidFill>
                <a:ln w="6350">
                  <a:solidFill>
                    <a:schemeClr val="bg1">
                      <a:lumMod val="75000"/>
                    </a:schemeClr>
                  </a:solidFill>
                </a:ln>
              </c:spPr>
            </c:marker>
          </c:dPt>
          <c:dLbls>
            <c:dLbl>
              <c:idx val="0"/>
              <c:layout>
                <c:manualLayout>
                  <c:x val="-6.6630764031732181E-2"/>
                  <c:y val="-1.9210893635559521E-2"/>
                </c:manualLayout>
              </c:layout>
              <c:tx>
                <c:rich>
                  <a:bodyPr/>
                  <a:lstStyle/>
                  <a:p>
                    <a:r>
                      <a:rPr lang="cs-CZ" sz="750"/>
                      <a:t>E</a:t>
                    </a:r>
                    <a:r>
                      <a:rPr lang="cs-CZ"/>
                      <a:t>U28</a:t>
                    </a:r>
                    <a:endParaRPr lang="en-US"/>
                  </a:p>
                </c:rich>
              </c:tx>
              <c:showVal val="1"/>
            </c:dLbl>
            <c:dLbl>
              <c:idx val="1"/>
              <c:layout>
                <c:manualLayout>
                  <c:x val="-3.1984971293481934E-2"/>
                  <c:y val="-4.4453450410897433E-2"/>
                </c:manualLayout>
              </c:layout>
              <c:tx>
                <c:rich>
                  <a:bodyPr/>
                  <a:lstStyle/>
                  <a:p>
                    <a:r>
                      <a:rPr lang="en-US" sz="750"/>
                      <a:t>E</a:t>
                    </a:r>
                    <a:r>
                      <a:rPr lang="en-US"/>
                      <a:t>uro</a:t>
                    </a:r>
                    <a:r>
                      <a:rPr lang="cs-CZ"/>
                      <a:t>-</a:t>
                    </a:r>
                  </a:p>
                  <a:p>
                    <a:r>
                      <a:rPr lang="en-US"/>
                      <a:t>zóna</a:t>
                    </a:r>
                  </a:p>
                </c:rich>
              </c:tx>
              <c:showVal val="1"/>
            </c:dLbl>
            <c:dLbl>
              <c:idx val="2"/>
              <c:layout>
                <c:manualLayout>
                  <c:x val="-3.9194567077489514E-2"/>
                  <c:y val="2.8816340453339594E-2"/>
                </c:manualLayout>
              </c:layout>
              <c:tx>
                <c:rich>
                  <a:bodyPr/>
                  <a:lstStyle/>
                  <a:p>
                    <a:r>
                      <a:rPr lang="cs-CZ" sz="750"/>
                      <a:t>B</a:t>
                    </a:r>
                    <a:r>
                      <a:rPr lang="cs-CZ"/>
                      <a:t>E</a:t>
                    </a:r>
                    <a:endParaRPr lang="en-US"/>
                  </a:p>
                </c:rich>
              </c:tx>
              <c:showVal val="1"/>
            </c:dLbl>
            <c:dLbl>
              <c:idx val="3"/>
              <c:layout>
                <c:manualLayout>
                  <c:x val="-4.2910967578520823E-2"/>
                  <c:y val="2.7698694134864352E-2"/>
                </c:manualLayout>
              </c:layout>
              <c:tx>
                <c:rich>
                  <a:bodyPr/>
                  <a:lstStyle/>
                  <a:p>
                    <a:r>
                      <a:rPr lang="cs-CZ" sz="750"/>
                      <a:t>B</a:t>
                    </a:r>
                    <a:r>
                      <a:rPr lang="cs-CZ"/>
                      <a:t>G</a:t>
                    </a:r>
                    <a:endParaRPr lang="en-US"/>
                  </a:p>
                </c:rich>
              </c:tx>
              <c:showVal val="1"/>
            </c:dLbl>
            <c:dLbl>
              <c:idx val="4"/>
              <c:layout>
                <c:manualLayout>
                  <c:x val="-7.4469677447231236E-2"/>
                  <c:y val="6.7237749557260751E-2"/>
                </c:manualLayout>
              </c:layout>
              <c:tx>
                <c:rich>
                  <a:bodyPr/>
                  <a:lstStyle/>
                  <a:p>
                    <a:r>
                      <a:rPr lang="cs-CZ" sz="750"/>
                      <a:t>C</a:t>
                    </a:r>
                    <a:r>
                      <a:rPr lang="cs-CZ"/>
                      <a:t>Z</a:t>
                    </a:r>
                    <a:endParaRPr lang="en-US"/>
                  </a:p>
                </c:rich>
              </c:tx>
              <c:showVal val="1"/>
            </c:dLbl>
            <c:dLbl>
              <c:idx val="5"/>
              <c:layout>
                <c:manualLayout>
                  <c:x val="-1.1758370123246853E-2"/>
                  <c:y val="-1.4408170226669783E-2"/>
                </c:manualLayout>
              </c:layout>
              <c:tx>
                <c:rich>
                  <a:bodyPr/>
                  <a:lstStyle/>
                  <a:p>
                    <a:r>
                      <a:rPr lang="cs-CZ" sz="750"/>
                      <a:t>D</a:t>
                    </a:r>
                    <a:r>
                      <a:rPr lang="cs-CZ"/>
                      <a:t>K</a:t>
                    </a:r>
                    <a:endParaRPr lang="en-US"/>
                  </a:p>
                </c:rich>
              </c:tx>
              <c:showVal val="1"/>
            </c:dLbl>
            <c:dLbl>
              <c:idx val="6"/>
              <c:layout>
                <c:manualLayout>
                  <c:x val="-6.3747044917257703E-2"/>
                  <c:y val="-9.7168749296408872E-3"/>
                </c:manualLayout>
              </c:layout>
              <c:tx>
                <c:rich>
                  <a:bodyPr/>
                  <a:lstStyle/>
                  <a:p>
                    <a:r>
                      <a:rPr lang="cs-CZ" sz="750"/>
                      <a:t>D</a:t>
                    </a:r>
                    <a:r>
                      <a:rPr lang="cs-CZ"/>
                      <a:t>E</a:t>
                    </a:r>
                    <a:endParaRPr lang="en-US"/>
                  </a:p>
                </c:rich>
              </c:tx>
              <c:showVal val="1"/>
            </c:dLbl>
            <c:dLbl>
              <c:idx val="7"/>
              <c:layout>
                <c:manualLayout>
                  <c:x val="-7.4326663289430075E-3"/>
                  <c:y val="-1.0061353146459541E-3"/>
                </c:manualLayout>
              </c:layout>
              <c:tx>
                <c:rich>
                  <a:bodyPr/>
                  <a:lstStyle/>
                  <a:p>
                    <a:r>
                      <a:rPr lang="cs-CZ" sz="750"/>
                      <a:t>E</a:t>
                    </a:r>
                    <a:r>
                      <a:rPr lang="cs-CZ"/>
                      <a:t>E</a:t>
                    </a:r>
                    <a:endParaRPr lang="en-US"/>
                  </a:p>
                </c:rich>
              </c:tx>
              <c:showVal val="1"/>
            </c:dLbl>
            <c:dLbl>
              <c:idx val="8"/>
              <c:layout>
                <c:manualLayout>
                  <c:x val="-1.1758370123246853E-2"/>
                  <c:y val="0"/>
                </c:manualLayout>
              </c:layout>
              <c:tx>
                <c:rich>
                  <a:bodyPr/>
                  <a:lstStyle/>
                  <a:p>
                    <a:r>
                      <a:rPr lang="cs-CZ" sz="750"/>
                      <a:t>I</a:t>
                    </a:r>
                    <a:r>
                      <a:rPr lang="cs-CZ"/>
                      <a:t>E</a:t>
                    </a:r>
                    <a:endParaRPr lang="en-US"/>
                  </a:p>
                </c:rich>
              </c:tx>
              <c:showVal val="1"/>
            </c:dLbl>
            <c:dLbl>
              <c:idx val="9"/>
              <c:layout>
                <c:manualLayout>
                  <c:x val="-1.1555217831813579E-2"/>
                  <c:y val="1.1950354609929196E-2"/>
                </c:manualLayout>
              </c:layout>
              <c:tx>
                <c:rich>
                  <a:bodyPr/>
                  <a:lstStyle/>
                  <a:p>
                    <a:r>
                      <a:rPr lang="cs-CZ" sz="750"/>
                      <a:t>G</a:t>
                    </a:r>
                    <a:r>
                      <a:rPr lang="cs-CZ"/>
                      <a:t>R</a:t>
                    </a:r>
                    <a:endParaRPr lang="en-US"/>
                  </a:p>
                </c:rich>
              </c:tx>
              <c:showVal val="1"/>
            </c:dLbl>
            <c:dLbl>
              <c:idx val="10"/>
              <c:layout>
                <c:manualLayout>
                  <c:x val="-1.2997053872053858E-2"/>
                  <c:y val="-1.2029478458049866E-3"/>
                </c:manualLayout>
              </c:layout>
              <c:tx>
                <c:rich>
                  <a:bodyPr/>
                  <a:lstStyle/>
                  <a:p>
                    <a:r>
                      <a:rPr lang="cs-CZ" sz="750"/>
                      <a:t>E</a:t>
                    </a:r>
                    <a:r>
                      <a:rPr lang="cs-CZ"/>
                      <a:t>S</a:t>
                    </a:r>
                    <a:endParaRPr lang="en-US"/>
                  </a:p>
                </c:rich>
              </c:tx>
              <c:showVal val="1"/>
            </c:dLbl>
            <c:dLbl>
              <c:idx val="11"/>
              <c:layout>
                <c:manualLayout>
                  <c:x val="-1.1758370123246853E-2"/>
                  <c:y val="0"/>
                </c:manualLayout>
              </c:layout>
              <c:tx>
                <c:rich>
                  <a:bodyPr/>
                  <a:lstStyle/>
                  <a:p>
                    <a:r>
                      <a:rPr lang="cs-CZ" sz="750"/>
                      <a:t>F</a:t>
                    </a:r>
                    <a:r>
                      <a:rPr lang="cs-CZ"/>
                      <a:t>R</a:t>
                    </a:r>
                    <a:endParaRPr lang="en-US"/>
                  </a:p>
                </c:rich>
              </c:tx>
              <c:showVal val="1"/>
            </c:dLbl>
            <c:dLbl>
              <c:idx val="12"/>
              <c:layout>
                <c:manualLayout>
                  <c:x val="-6.1899062816616134E-2"/>
                  <c:y val="0"/>
                </c:manualLayout>
              </c:layout>
              <c:tx>
                <c:rich>
                  <a:bodyPr/>
                  <a:lstStyle/>
                  <a:p>
                    <a:r>
                      <a:rPr lang="cs-CZ" sz="750"/>
                      <a:t>H</a:t>
                    </a:r>
                    <a:r>
                      <a:rPr lang="cs-CZ"/>
                      <a:t>R</a:t>
                    </a:r>
                    <a:endParaRPr lang="en-US"/>
                  </a:p>
                </c:rich>
              </c:tx>
              <c:showVal val="1"/>
            </c:dLbl>
            <c:dLbl>
              <c:idx val="13"/>
              <c:layout>
                <c:manualLayout>
                  <c:x val="-1.1758370123246853E-2"/>
                  <c:y val="0"/>
                </c:manualLayout>
              </c:layout>
              <c:tx>
                <c:rich>
                  <a:bodyPr/>
                  <a:lstStyle/>
                  <a:p>
                    <a:r>
                      <a:rPr lang="cs-CZ" sz="750"/>
                      <a:t>I</a:t>
                    </a:r>
                    <a:r>
                      <a:rPr lang="cs-CZ"/>
                      <a:t>T</a:t>
                    </a:r>
                    <a:endParaRPr lang="en-US"/>
                  </a:p>
                </c:rich>
              </c:tx>
              <c:showVal val="1"/>
            </c:dLbl>
            <c:dLbl>
              <c:idx val="14"/>
              <c:layout>
                <c:manualLayout>
                  <c:x val="-3.7988883681575693E-2"/>
                  <c:y val="-2.283083723435592E-2"/>
                </c:manualLayout>
              </c:layout>
              <c:tx>
                <c:rich>
                  <a:bodyPr/>
                  <a:lstStyle/>
                  <a:p>
                    <a:r>
                      <a:rPr lang="cs-CZ" sz="750"/>
                      <a:t>C</a:t>
                    </a:r>
                    <a:r>
                      <a:rPr lang="cs-CZ"/>
                      <a:t>Y</a:t>
                    </a:r>
                    <a:endParaRPr lang="en-US"/>
                  </a:p>
                </c:rich>
              </c:tx>
              <c:showVal val="1"/>
            </c:dLbl>
            <c:dLbl>
              <c:idx val="15"/>
              <c:layout>
                <c:manualLayout>
                  <c:x val="-6.6001773049645931E-3"/>
                  <c:y val="6.1423505572441774E-3"/>
                </c:manualLayout>
              </c:layout>
              <c:tx>
                <c:rich>
                  <a:bodyPr/>
                  <a:lstStyle/>
                  <a:p>
                    <a:r>
                      <a:rPr lang="cs-CZ" sz="750"/>
                      <a:t>L</a:t>
                    </a:r>
                    <a:r>
                      <a:rPr lang="cs-CZ"/>
                      <a:t>V</a:t>
                    </a:r>
                    <a:endParaRPr lang="en-US"/>
                  </a:p>
                </c:rich>
              </c:tx>
              <c:showVal val="1"/>
            </c:dLbl>
            <c:dLbl>
              <c:idx val="16"/>
              <c:layout>
                <c:manualLayout>
                  <c:x val="-5.3613644039175994E-3"/>
                  <c:y val="-1.9099684791174153E-2"/>
                </c:manualLayout>
              </c:layout>
              <c:tx>
                <c:rich>
                  <a:bodyPr/>
                  <a:lstStyle/>
                  <a:p>
                    <a:r>
                      <a:rPr lang="cs-CZ" sz="750"/>
                      <a:t>L</a:t>
                    </a:r>
                    <a:r>
                      <a:rPr lang="cs-CZ"/>
                      <a:t>T</a:t>
                    </a:r>
                    <a:endParaRPr lang="en-US"/>
                  </a:p>
                </c:rich>
              </c:tx>
              <c:showVal val="1"/>
            </c:dLbl>
            <c:dLbl>
              <c:idx val="17"/>
              <c:layout>
                <c:manualLayout>
                  <c:x val="-4.3946724079702813E-2"/>
                  <c:y val="-2.8816278284363697E-2"/>
                </c:manualLayout>
              </c:layout>
              <c:tx>
                <c:rich>
                  <a:bodyPr/>
                  <a:lstStyle/>
                  <a:p>
                    <a:r>
                      <a:rPr lang="cs-CZ" sz="750"/>
                      <a:t>L</a:t>
                    </a:r>
                    <a:r>
                      <a:rPr lang="cs-CZ"/>
                      <a:t>U</a:t>
                    </a:r>
                    <a:endParaRPr lang="en-US"/>
                  </a:p>
                </c:rich>
              </c:tx>
              <c:showVal val="1"/>
            </c:dLbl>
            <c:dLbl>
              <c:idx val="18"/>
              <c:layout>
                <c:manualLayout>
                  <c:x val="-1.5677826830995806E-2"/>
                  <c:y val="0"/>
                </c:manualLayout>
              </c:layout>
              <c:tx>
                <c:rich>
                  <a:bodyPr/>
                  <a:lstStyle/>
                  <a:p>
                    <a:r>
                      <a:rPr lang="cs-CZ" sz="750"/>
                      <a:t>H</a:t>
                    </a:r>
                    <a:r>
                      <a:rPr lang="cs-CZ"/>
                      <a:t>U</a:t>
                    </a:r>
                    <a:endParaRPr lang="en-US"/>
                  </a:p>
                </c:rich>
              </c:tx>
              <c:showVal val="1"/>
            </c:dLbl>
            <c:dLbl>
              <c:idx val="19"/>
              <c:layout>
                <c:manualLayout>
                  <c:x val="-6.4782590341102023E-2"/>
                  <c:y val="-6.0311831588427843E-3"/>
                </c:manualLayout>
              </c:layout>
              <c:tx>
                <c:rich>
                  <a:bodyPr/>
                  <a:lstStyle/>
                  <a:p>
                    <a:r>
                      <a:rPr lang="cs-CZ" sz="750"/>
                      <a:t>M</a:t>
                    </a:r>
                    <a:r>
                      <a:rPr lang="cs-CZ"/>
                      <a:t>T</a:t>
                    </a:r>
                    <a:endParaRPr lang="en-US"/>
                  </a:p>
                </c:rich>
              </c:tx>
              <c:showVal val="1"/>
            </c:dLbl>
            <c:dLbl>
              <c:idx val="20"/>
              <c:layout>
                <c:manualLayout>
                  <c:x val="-1.9597283538744754E-2"/>
                  <c:y val="-2.8816340453339594E-2"/>
                </c:manualLayout>
              </c:layout>
              <c:tx>
                <c:rich>
                  <a:bodyPr/>
                  <a:lstStyle/>
                  <a:p>
                    <a:r>
                      <a:rPr lang="cs-CZ" sz="750"/>
                      <a:t>N</a:t>
                    </a:r>
                    <a:r>
                      <a:rPr lang="cs-CZ"/>
                      <a:t>L</a:t>
                    </a:r>
                    <a:endParaRPr lang="en-US"/>
                  </a:p>
                </c:rich>
              </c:tx>
              <c:showVal val="1"/>
            </c:dLbl>
            <c:dLbl>
              <c:idx val="21"/>
              <c:layout>
                <c:manualLayout>
                  <c:x val="-6.2305175616345833E-2"/>
                  <c:y val="-7.259653270291642E-3"/>
                </c:manualLayout>
              </c:layout>
              <c:tx>
                <c:rich>
                  <a:bodyPr/>
                  <a:lstStyle/>
                  <a:p>
                    <a:r>
                      <a:rPr lang="cs-CZ" sz="750"/>
                      <a:t>A</a:t>
                    </a:r>
                    <a:r>
                      <a:rPr lang="cs-CZ"/>
                      <a:t>T</a:t>
                    </a:r>
                    <a:endParaRPr lang="en-US"/>
                  </a:p>
                </c:rich>
              </c:tx>
              <c:showVal val="1"/>
            </c:dLbl>
            <c:dLbl>
              <c:idx val="22"/>
              <c:layout>
                <c:manualLayout>
                  <c:x val="-1.1758370123246853E-2"/>
                  <c:y val="4.4024456007220251E-17"/>
                </c:manualLayout>
              </c:layout>
              <c:tx>
                <c:rich>
                  <a:bodyPr/>
                  <a:lstStyle/>
                  <a:p>
                    <a:r>
                      <a:rPr lang="cs-CZ" sz="750"/>
                      <a:t>P</a:t>
                    </a:r>
                    <a:r>
                      <a:rPr lang="cs-CZ"/>
                      <a:t>L</a:t>
                    </a:r>
                    <a:endParaRPr lang="en-US"/>
                  </a:p>
                </c:rich>
              </c:tx>
              <c:showVal val="1"/>
            </c:dLbl>
            <c:dLbl>
              <c:idx val="23"/>
              <c:layout>
                <c:manualLayout>
                  <c:x val="-1.1555217831813579E-2"/>
                  <c:y val="9.6054260947879607E-3"/>
                </c:manualLayout>
              </c:layout>
              <c:tx>
                <c:rich>
                  <a:bodyPr/>
                  <a:lstStyle/>
                  <a:p>
                    <a:r>
                      <a:rPr lang="cs-CZ" sz="750"/>
                      <a:t>P</a:t>
                    </a:r>
                    <a:r>
                      <a:rPr lang="cs-CZ"/>
                      <a:t>T</a:t>
                    </a:r>
                    <a:endParaRPr lang="en-US"/>
                  </a:p>
                </c:rich>
              </c:tx>
              <c:showVal val="1"/>
            </c:dLbl>
            <c:dLbl>
              <c:idx val="24"/>
              <c:layout>
                <c:manualLayout>
                  <c:x val="-1.5677826830995806E-2"/>
                  <c:y val="-1.4408170226669783E-2"/>
                </c:manualLayout>
              </c:layout>
              <c:tx>
                <c:rich>
                  <a:bodyPr/>
                  <a:lstStyle/>
                  <a:p>
                    <a:r>
                      <a:rPr lang="cs-CZ" sz="750"/>
                      <a:t>R</a:t>
                    </a:r>
                    <a:r>
                      <a:rPr lang="cs-CZ"/>
                      <a:t>O</a:t>
                    </a:r>
                    <a:endParaRPr lang="en-US"/>
                  </a:p>
                </c:rich>
              </c:tx>
              <c:showVal val="1"/>
            </c:dLbl>
            <c:dLbl>
              <c:idx val="25"/>
              <c:layout>
                <c:manualLayout>
                  <c:x val="-5.0343633907464123E-2"/>
                  <c:y val="-4.8027130473938988E-3"/>
                </c:manualLayout>
              </c:layout>
              <c:tx>
                <c:rich>
                  <a:bodyPr/>
                  <a:lstStyle/>
                  <a:p>
                    <a:r>
                      <a:rPr lang="cs-CZ" sz="750"/>
                      <a:t>S</a:t>
                    </a:r>
                    <a:r>
                      <a:rPr lang="cs-CZ"/>
                      <a:t>I</a:t>
                    </a:r>
                    <a:endParaRPr lang="en-US"/>
                  </a:p>
                </c:rich>
              </c:tx>
              <c:showVal val="1"/>
            </c:dLbl>
            <c:dLbl>
              <c:idx val="26"/>
              <c:layout>
                <c:manualLayout>
                  <c:x val="-3.9194567077489494E-2"/>
                  <c:y val="3.3619063862229202E-2"/>
                </c:manualLayout>
              </c:layout>
              <c:tx>
                <c:rich>
                  <a:bodyPr/>
                  <a:lstStyle/>
                  <a:p>
                    <a:r>
                      <a:rPr lang="cs-CZ" sz="750"/>
                      <a:t>S</a:t>
                    </a:r>
                    <a:r>
                      <a:rPr lang="cs-CZ"/>
                      <a:t>K</a:t>
                    </a:r>
                    <a:endParaRPr lang="en-US"/>
                  </a:p>
                </c:rich>
              </c:tx>
              <c:showVal val="1"/>
            </c:dLbl>
            <c:dLbl>
              <c:idx val="27"/>
              <c:layout>
                <c:manualLayout>
                  <c:x val="-3.9194567077489514E-2"/>
                  <c:y val="2.8816340453339594E-2"/>
                </c:manualLayout>
              </c:layout>
              <c:tx>
                <c:rich>
                  <a:bodyPr/>
                  <a:lstStyle/>
                  <a:p>
                    <a:r>
                      <a:rPr lang="cs-CZ" sz="750"/>
                      <a:t>F</a:t>
                    </a:r>
                    <a:r>
                      <a:rPr lang="cs-CZ"/>
                      <a:t>I</a:t>
                    </a:r>
                    <a:endParaRPr lang="en-US"/>
                  </a:p>
                </c:rich>
              </c:tx>
              <c:showVal val="1"/>
            </c:dLbl>
            <c:dLbl>
              <c:idx val="28"/>
              <c:layout>
                <c:manualLayout>
                  <c:x val="-1.9597283538744754E-2"/>
                  <c:y val="-1.4408170226669783E-2"/>
                </c:manualLayout>
              </c:layout>
              <c:tx>
                <c:rich>
                  <a:bodyPr/>
                  <a:lstStyle/>
                  <a:p>
                    <a:r>
                      <a:rPr lang="cs-CZ" sz="750"/>
                      <a:t>S</a:t>
                    </a:r>
                    <a:r>
                      <a:rPr lang="cs-CZ"/>
                      <a:t>E</a:t>
                    </a:r>
                    <a:endParaRPr lang="en-US"/>
                  </a:p>
                </c:rich>
              </c:tx>
              <c:showVal val="1"/>
            </c:dLbl>
            <c:dLbl>
              <c:idx val="29"/>
              <c:layout>
                <c:manualLayout>
                  <c:x val="-1.3014817629179333E-2"/>
                  <c:y val="-8.3032196330068767E-3"/>
                </c:manualLayout>
              </c:layout>
              <c:tx>
                <c:rich>
                  <a:bodyPr/>
                  <a:lstStyle/>
                  <a:p>
                    <a:r>
                      <a:rPr lang="cs-CZ" sz="750"/>
                      <a:t>G</a:t>
                    </a:r>
                    <a:r>
                      <a:rPr lang="cs-CZ"/>
                      <a:t>B</a:t>
                    </a:r>
                    <a:endParaRPr lang="en-US"/>
                  </a:p>
                </c:rich>
              </c:tx>
              <c:showVal val="1"/>
            </c:dLbl>
            <c:dLbl>
              <c:idx val="30"/>
              <c:delete val="1"/>
            </c:dLbl>
            <c:dLbl>
              <c:idx val="31"/>
              <c:layout>
                <c:manualLayout>
                  <c:x val="-1.1758370123246853E-2"/>
                  <c:y val="-4.8027234088898934E-3"/>
                </c:manualLayout>
              </c:layout>
              <c:tx>
                <c:rich>
                  <a:bodyPr/>
                  <a:lstStyle/>
                  <a:p>
                    <a:r>
                      <a:rPr lang="cs-CZ" sz="750"/>
                      <a:t>N</a:t>
                    </a:r>
                    <a:r>
                      <a:rPr lang="cs-CZ"/>
                      <a:t>O</a:t>
                    </a:r>
                    <a:endParaRPr lang="en-US"/>
                  </a:p>
                </c:rich>
              </c:tx>
              <c:showVal val="1"/>
            </c:dLbl>
            <c:dLbl>
              <c:idx val="32"/>
              <c:layout>
                <c:manualLayout>
                  <c:x val="-1.1758370123246853E-2"/>
                  <c:y val="0"/>
                </c:manualLayout>
              </c:layout>
              <c:tx>
                <c:rich>
                  <a:bodyPr/>
                  <a:lstStyle/>
                  <a:p>
                    <a:r>
                      <a:rPr lang="cs-CZ" sz="750"/>
                      <a:t>C</a:t>
                    </a:r>
                    <a:r>
                      <a:rPr lang="cs-CZ"/>
                      <a:t>H</a:t>
                    </a:r>
                    <a:endParaRPr lang="en-US"/>
                  </a:p>
                </c:rich>
              </c:tx>
              <c:showVal val="1"/>
            </c:dLbl>
            <c:dLbl>
              <c:idx val="33"/>
              <c:layout>
                <c:manualLayout>
                  <c:x val="-1.1758370123246853E-2"/>
                  <c:y val="0"/>
                </c:manualLayout>
              </c:layout>
              <c:tx>
                <c:rich>
                  <a:bodyPr/>
                  <a:lstStyle/>
                  <a:p>
                    <a:r>
                      <a:rPr lang="cs-CZ" sz="750"/>
                      <a:t>M</a:t>
                    </a:r>
                    <a:r>
                      <a:rPr lang="cs-CZ"/>
                      <a:t>K</a:t>
                    </a:r>
                    <a:endParaRPr lang="en-US"/>
                  </a:p>
                </c:rich>
              </c:tx>
              <c:showVal val="1"/>
            </c:dLbl>
            <c:dLbl>
              <c:idx val="34"/>
              <c:layout>
                <c:manualLayout>
                  <c:x val="-1.1758370123246853E-2"/>
                  <c:y val="-4.8027234088899324E-3"/>
                </c:manualLayout>
              </c:layout>
              <c:tx>
                <c:rich>
                  <a:bodyPr/>
                  <a:lstStyle/>
                  <a:p>
                    <a:r>
                      <a:rPr lang="cs-CZ" sz="750"/>
                      <a:t>R</a:t>
                    </a:r>
                    <a:r>
                      <a:rPr lang="cs-CZ"/>
                      <a:t>S</a:t>
                    </a:r>
                    <a:endParaRPr lang="en-US"/>
                  </a:p>
                </c:rich>
              </c:tx>
              <c:showVal val="1"/>
            </c:dLbl>
            <c:dLbl>
              <c:idx val="35"/>
              <c:layout>
                <c:manualLayout>
                  <c:x val="-1.1758370123246853E-2"/>
                  <c:y val="0"/>
                </c:manualLayout>
              </c:layout>
              <c:tx>
                <c:rich>
                  <a:bodyPr/>
                  <a:lstStyle/>
                  <a:p>
                    <a:r>
                      <a:rPr lang="cs-CZ" sz="750"/>
                      <a:t>T</a:t>
                    </a:r>
                    <a:r>
                      <a:rPr lang="cs-CZ"/>
                      <a:t>R</a:t>
                    </a:r>
                    <a:endParaRPr lang="en-US"/>
                  </a:p>
                </c:rich>
              </c:tx>
              <c:showVal val="1"/>
            </c:dLbl>
            <c:dLbl>
              <c:idx val="36"/>
              <c:layout>
                <c:manualLayout>
                  <c:x val="-5.4669452887538134E-2"/>
                  <c:y val="-2.647050545986749E-2"/>
                </c:manualLayout>
              </c:layout>
              <c:tx>
                <c:rich>
                  <a:bodyPr/>
                  <a:lstStyle/>
                  <a:p>
                    <a:r>
                      <a:rPr lang="cs-CZ" sz="750"/>
                      <a:t>B</a:t>
                    </a:r>
                    <a:r>
                      <a:rPr lang="cs-CZ"/>
                      <a:t>Y</a:t>
                    </a:r>
                    <a:endParaRPr lang="en-US"/>
                  </a:p>
                </c:rich>
              </c:tx>
              <c:showVal val="1"/>
            </c:dLbl>
            <c:dLbl>
              <c:idx val="37"/>
              <c:layout>
                <c:manualLayout>
                  <c:x val="-7.8392220341364244E-3"/>
                  <c:y val="-1.4408170226669783E-2"/>
                </c:manualLayout>
              </c:layout>
              <c:tx>
                <c:rich>
                  <a:bodyPr/>
                  <a:lstStyle/>
                  <a:p>
                    <a:r>
                      <a:rPr lang="cs-CZ" sz="750"/>
                      <a:t>R</a:t>
                    </a:r>
                    <a:r>
                      <a:rPr lang="cs-CZ"/>
                      <a:t>U</a:t>
                    </a:r>
                    <a:endParaRPr lang="en-US"/>
                  </a:p>
                </c:rich>
              </c:tx>
              <c:showVal val="1"/>
            </c:dLbl>
            <c:dLbl>
              <c:idx val="38"/>
              <c:layout>
                <c:manualLayout>
                  <c:x val="-6.6427727119216531E-2"/>
                  <c:y val="1.4519306540583136E-2"/>
                </c:manualLayout>
              </c:layout>
              <c:tx>
                <c:rich>
                  <a:bodyPr/>
                  <a:lstStyle/>
                  <a:p>
                    <a:r>
                      <a:rPr lang="cs-CZ" sz="750"/>
                      <a:t>U</a:t>
                    </a:r>
                    <a:r>
                      <a:rPr lang="cs-CZ"/>
                      <a:t>A</a:t>
                    </a:r>
                    <a:endParaRPr lang="en-US"/>
                  </a:p>
                </c:rich>
              </c:tx>
              <c:showVal val="1"/>
            </c:dLbl>
            <c:dLbl>
              <c:idx val="39"/>
              <c:layout>
                <c:manualLayout>
                  <c:x val="-7.8389134154979133E-3"/>
                  <c:y val="-4.8027234088898934E-3"/>
                </c:manualLayout>
              </c:layout>
              <c:tx>
                <c:rich>
                  <a:bodyPr/>
                  <a:lstStyle/>
                  <a:p>
                    <a:r>
                      <a:rPr lang="cs-CZ" sz="750"/>
                      <a:t>A</a:t>
                    </a:r>
                    <a:r>
                      <a:rPr lang="cs-CZ"/>
                      <a:t>Z</a:t>
                    </a:r>
                    <a:endParaRPr lang="en-US"/>
                  </a:p>
                </c:rich>
              </c:tx>
              <c:showVal val="1"/>
            </c:dLbl>
            <c:txPr>
              <a:bodyPr/>
              <a:lstStyle/>
              <a:p>
                <a:pPr>
                  <a:defRPr sz="750">
                    <a:latin typeface="Arial" pitchFamily="34" charset="0"/>
                    <a:cs typeface="Arial" pitchFamily="34" charset="0"/>
                  </a:defRPr>
                </a:pPr>
                <a:endParaRPr lang="cs-CZ"/>
              </a:p>
            </c:txPr>
            <c:showVal val="1"/>
          </c:dLbls>
          <c:xVal>
            <c:numRef>
              <c:f>'Graf 3-porodnost'!$D$8:$D$47</c:f>
              <c:numCache>
                <c:formatCode>#,##0.00</c:formatCode>
                <c:ptCount val="40"/>
                <c:pt idx="0">
                  <c:v>1.58</c:v>
                </c:pt>
                <c:pt idx="1">
                  <c:v>1.56</c:v>
                </c:pt>
                <c:pt idx="2">
                  <c:v>1.7</c:v>
                </c:pt>
                <c:pt idx="3">
                  <c:v>1.53</c:v>
                </c:pt>
                <c:pt idx="4">
                  <c:v>1.57</c:v>
                </c:pt>
                <c:pt idx="5">
                  <c:v>1.71</c:v>
                </c:pt>
                <c:pt idx="6">
                  <c:v>1.5</c:v>
                </c:pt>
                <c:pt idx="7">
                  <c:v>1.58</c:v>
                </c:pt>
                <c:pt idx="8">
                  <c:v>1.9200000000000021</c:v>
                </c:pt>
                <c:pt idx="9">
                  <c:v>1.33</c:v>
                </c:pt>
                <c:pt idx="10">
                  <c:v>1.33</c:v>
                </c:pt>
                <c:pt idx="11">
                  <c:v>1.9600000000000082</c:v>
                </c:pt>
                <c:pt idx="12">
                  <c:v>1.4</c:v>
                </c:pt>
                <c:pt idx="13">
                  <c:v>1.35</c:v>
                </c:pt>
                <c:pt idx="14">
                  <c:v>1.32</c:v>
                </c:pt>
                <c:pt idx="15">
                  <c:v>1.7</c:v>
                </c:pt>
                <c:pt idx="16">
                  <c:v>1.7</c:v>
                </c:pt>
                <c:pt idx="17">
                  <c:v>1.47</c:v>
                </c:pt>
                <c:pt idx="18">
                  <c:v>1.45</c:v>
                </c:pt>
                <c:pt idx="19">
                  <c:v>1.45</c:v>
                </c:pt>
                <c:pt idx="20">
                  <c:v>1.6600000000000001</c:v>
                </c:pt>
                <c:pt idx="21">
                  <c:v>1.49</c:v>
                </c:pt>
                <c:pt idx="22">
                  <c:v>1.32</c:v>
                </c:pt>
                <c:pt idx="23">
                  <c:v>1.31</c:v>
                </c:pt>
                <c:pt idx="24">
                  <c:v>1.58</c:v>
                </c:pt>
                <c:pt idx="25">
                  <c:v>1.57</c:v>
                </c:pt>
                <c:pt idx="26">
                  <c:v>1.4</c:v>
                </c:pt>
                <c:pt idx="27">
                  <c:v>1.6500000000000001</c:v>
                </c:pt>
                <c:pt idx="28">
                  <c:v>1.85</c:v>
                </c:pt>
                <c:pt idx="29">
                  <c:v>1.8</c:v>
                </c:pt>
                <c:pt idx="30">
                  <c:v>1.8</c:v>
                </c:pt>
                <c:pt idx="31">
                  <c:v>1.72</c:v>
                </c:pt>
                <c:pt idx="32">
                  <c:v>1.54</c:v>
                </c:pt>
                <c:pt idx="33">
                  <c:v>1.5</c:v>
                </c:pt>
                <c:pt idx="34">
                  <c:v>1.46</c:v>
                </c:pt>
                <c:pt idx="35">
                  <c:v>2.14</c:v>
                </c:pt>
                <c:pt idx="36">
                  <c:v>1.7</c:v>
                </c:pt>
                <c:pt idx="37">
                  <c:v>1.74</c:v>
                </c:pt>
                <c:pt idx="38">
                  <c:v>1.46</c:v>
                </c:pt>
                <c:pt idx="39">
                  <c:v>1.9700000000000082</c:v>
                </c:pt>
              </c:numCache>
            </c:numRef>
          </c:xVal>
          <c:yVal>
            <c:numRef>
              <c:f>'Graf 3-porodnost'!$E$8:$E$47</c:f>
              <c:numCache>
                <c:formatCode>#,##0.0</c:formatCode>
                <c:ptCount val="40"/>
                <c:pt idx="0">
                  <c:v>30.5</c:v>
                </c:pt>
                <c:pt idx="1">
                  <c:v>30.9</c:v>
                </c:pt>
                <c:pt idx="2">
                  <c:v>30.4</c:v>
                </c:pt>
                <c:pt idx="3">
                  <c:v>27.4</c:v>
                </c:pt>
                <c:pt idx="4">
                  <c:v>30</c:v>
                </c:pt>
                <c:pt idx="5">
                  <c:v>31</c:v>
                </c:pt>
                <c:pt idx="6">
                  <c:v>30.9</c:v>
                </c:pt>
                <c:pt idx="7">
                  <c:v>29.9</c:v>
                </c:pt>
                <c:pt idx="8">
                  <c:v>31.6</c:v>
                </c:pt>
                <c:pt idx="9">
                  <c:v>31.3</c:v>
                </c:pt>
                <c:pt idx="10">
                  <c:v>31.9</c:v>
                </c:pt>
                <c:pt idx="11">
                  <c:v>30.4</c:v>
                </c:pt>
                <c:pt idx="12">
                  <c:v>29.9</c:v>
                </c:pt>
                <c:pt idx="13">
                  <c:v>31.7</c:v>
                </c:pt>
                <c:pt idx="14">
                  <c:v>31.3</c:v>
                </c:pt>
                <c:pt idx="15">
                  <c:v>29.4</c:v>
                </c:pt>
                <c:pt idx="16">
                  <c:v>29.5</c:v>
                </c:pt>
                <c:pt idx="17">
                  <c:v>31.5</c:v>
                </c:pt>
                <c:pt idx="18">
                  <c:v>29.6</c:v>
                </c:pt>
                <c:pt idx="19">
                  <c:v>30.3</c:v>
                </c:pt>
                <c:pt idx="20">
                  <c:v>31.2</c:v>
                </c:pt>
                <c:pt idx="21">
                  <c:v>30.6</c:v>
                </c:pt>
                <c:pt idx="22">
                  <c:v>29.2</c:v>
                </c:pt>
                <c:pt idx="23">
                  <c:v>30.9</c:v>
                </c:pt>
                <c:pt idx="24">
                  <c:v>27.7</c:v>
                </c:pt>
                <c:pt idx="25">
                  <c:v>30.2</c:v>
                </c:pt>
                <c:pt idx="26">
                  <c:v>28.8</c:v>
                </c:pt>
                <c:pt idx="27">
                  <c:v>30.6</c:v>
                </c:pt>
                <c:pt idx="28">
                  <c:v>31</c:v>
                </c:pt>
                <c:pt idx="29">
                  <c:v>30.3</c:v>
                </c:pt>
                <c:pt idx="30">
                  <c:v>30.3</c:v>
                </c:pt>
                <c:pt idx="31">
                  <c:v>30.7</c:v>
                </c:pt>
                <c:pt idx="32">
                  <c:v>31.8</c:v>
                </c:pt>
                <c:pt idx="33">
                  <c:v>28.6</c:v>
                </c:pt>
                <c:pt idx="34">
                  <c:v>29</c:v>
                </c:pt>
                <c:pt idx="35">
                  <c:v>28.6</c:v>
                </c:pt>
                <c:pt idx="36">
                  <c:v>28</c:v>
                </c:pt>
                <c:pt idx="37">
                  <c:v>28.1</c:v>
                </c:pt>
                <c:pt idx="38">
                  <c:v>27.4</c:v>
                </c:pt>
                <c:pt idx="39">
                  <c:v>25.6</c:v>
                </c:pt>
              </c:numCache>
            </c:numRef>
          </c:yVal>
        </c:ser>
        <c:axId val="101503360"/>
        <c:axId val="101504896"/>
      </c:scatterChart>
      <c:valAx>
        <c:axId val="101503360"/>
        <c:scaling>
          <c:orientation val="minMax"/>
          <c:max val="2.2000000000000002"/>
          <c:min val="1.3"/>
        </c:scaling>
        <c:axPos val="b"/>
        <c:majorGridlines>
          <c:spPr>
            <a:ln w="6350">
              <a:solidFill>
                <a:srgbClr val="BFBFBF"/>
              </a:solidFill>
            </a:ln>
          </c:spPr>
        </c:majorGridlines>
        <c:numFmt formatCode="#,##0.0" sourceLinked="0"/>
        <c:tickLblPos val="nextTo"/>
        <c:txPr>
          <a:bodyPr/>
          <a:lstStyle/>
          <a:p>
            <a:pPr>
              <a:defRPr sz="800">
                <a:latin typeface="Arial" pitchFamily="34" charset="0"/>
                <a:cs typeface="Arial" pitchFamily="34" charset="0"/>
              </a:defRPr>
            </a:pPr>
            <a:endParaRPr lang="cs-CZ"/>
          </a:p>
        </c:txPr>
        <c:crossAx val="101504896"/>
        <c:crosses val="autoZero"/>
        <c:crossBetween val="midCat"/>
        <c:majorUnit val="0.1"/>
      </c:valAx>
      <c:valAx>
        <c:axId val="101504896"/>
        <c:scaling>
          <c:orientation val="minMax"/>
          <c:max val="32"/>
          <c:min val="25"/>
        </c:scaling>
        <c:axPos val="l"/>
        <c:majorGridlines>
          <c:spPr>
            <a:ln w="6350">
              <a:solidFill>
                <a:srgbClr val="BFBFBF"/>
              </a:solidFill>
            </a:ln>
          </c:spPr>
        </c:majorGridlines>
        <c:numFmt formatCode="#,##0" sourceLinked="0"/>
        <c:tickLblPos val="nextTo"/>
        <c:txPr>
          <a:bodyPr/>
          <a:lstStyle/>
          <a:p>
            <a:pPr>
              <a:defRPr sz="800">
                <a:latin typeface="Arial" pitchFamily="34" charset="0"/>
                <a:cs typeface="Arial" pitchFamily="34" charset="0"/>
              </a:defRPr>
            </a:pPr>
            <a:endParaRPr lang="cs-CZ"/>
          </a:p>
        </c:txPr>
        <c:crossAx val="101503360"/>
        <c:crosses val="autoZero"/>
        <c:crossBetween val="midCat"/>
        <c:majorUnit val="1"/>
        <c:minorUnit val="1"/>
      </c:valAx>
      <c:spPr>
        <a:ln>
          <a:solidFill>
            <a:schemeClr val="tx1">
              <a:lumMod val="95000"/>
              <a:lumOff val="5000"/>
            </a:schemeClr>
          </a:solidFill>
        </a:ln>
      </c:spPr>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254004383746418E-2"/>
          <c:y val="1.6465877044557514E-2"/>
          <c:w val="0.94068980778958922"/>
          <c:h val="0.81079872617160964"/>
        </c:manualLayout>
      </c:layout>
      <c:lineChart>
        <c:grouping val="standard"/>
        <c:ser>
          <c:idx val="0"/>
          <c:order val="0"/>
          <c:tx>
            <c:strRef>
              <c:f>'Graf 4-délka života'!$A$18</c:f>
              <c:strCache>
                <c:ptCount val="1"/>
                <c:pt idx="0">
                  <c:v>Muži (Česko)</c:v>
                </c:pt>
              </c:strCache>
            </c:strRef>
          </c:tx>
          <c:spPr>
            <a:ln w="25400"/>
          </c:spPr>
          <c:marker>
            <c:symbol val="none"/>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života'!$B$18:$R$18</c:f>
              <c:numCache>
                <c:formatCode>#,##0.0</c:formatCode>
                <c:ptCount val="17"/>
                <c:pt idx="0">
                  <c:v>71.645900438200115</c:v>
                </c:pt>
                <c:pt idx="1">
                  <c:v>72.070981739088154</c:v>
                </c:pt>
                <c:pt idx="2">
                  <c:v>72.070606186172782</c:v>
                </c:pt>
                <c:pt idx="3">
                  <c:v>72.029755645178227</c:v>
                </c:pt>
                <c:pt idx="4">
                  <c:v>72.546550990516863</c:v>
                </c:pt>
                <c:pt idx="5">
                  <c:v>72.879021973731099</c:v>
                </c:pt>
                <c:pt idx="6">
                  <c:v>73.448417739043336</c:v>
                </c:pt>
                <c:pt idx="7">
                  <c:v>73.666304456428705</c:v>
                </c:pt>
                <c:pt idx="8">
                  <c:v>73.957123823709964</c:v>
                </c:pt>
                <c:pt idx="9">
                  <c:v>74.193422401811745</c:v>
                </c:pt>
                <c:pt idx="10">
                  <c:v>74.372000469042035</c:v>
                </c:pt>
                <c:pt idx="11">
                  <c:v>74.694426018523259</c:v>
                </c:pt>
                <c:pt idx="12">
                  <c:v>74.999654141843607</c:v>
                </c:pt>
                <c:pt idx="13">
                  <c:v>75.227714490844036</c:v>
                </c:pt>
                <c:pt idx="14">
                  <c:v>75.780988066651346</c:v>
                </c:pt>
                <c:pt idx="15">
                  <c:v>75.823716637985385</c:v>
                </c:pt>
                <c:pt idx="16">
                  <c:v>76.2</c:v>
                </c:pt>
              </c:numCache>
            </c:numRef>
          </c:val>
        </c:ser>
        <c:ser>
          <c:idx val="3"/>
          <c:order val="1"/>
          <c:tx>
            <c:strRef>
              <c:f>'Graf 4-délka života'!$A$19</c:f>
              <c:strCache>
                <c:ptCount val="1"/>
                <c:pt idx="0">
                  <c:v>Ženy (Česko)</c:v>
                </c:pt>
              </c:strCache>
            </c:strRef>
          </c:tx>
          <c:spPr>
            <a:ln w="25400">
              <a:solidFill>
                <a:srgbClr val="FF0000"/>
              </a:solidFill>
            </a:ln>
          </c:spPr>
          <c:marker>
            <c:symbol val="none"/>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života'!$B$19:$R$19</c:f>
              <c:numCache>
                <c:formatCode>#,##0.0</c:formatCode>
                <c:ptCount val="17"/>
                <c:pt idx="0">
                  <c:v>78.349316695086031</c:v>
                </c:pt>
                <c:pt idx="1">
                  <c:v>78.405415068013966</c:v>
                </c:pt>
                <c:pt idx="2">
                  <c:v>78.54108207172726</c:v>
                </c:pt>
                <c:pt idx="3">
                  <c:v>78.508078158247997</c:v>
                </c:pt>
                <c:pt idx="4">
                  <c:v>79.04029477342641</c:v>
                </c:pt>
                <c:pt idx="5">
                  <c:v>79.099089730222076</c:v>
                </c:pt>
                <c:pt idx="6">
                  <c:v>79.671766203592085</c:v>
                </c:pt>
                <c:pt idx="7">
                  <c:v>79.900744797005572</c:v>
                </c:pt>
                <c:pt idx="8">
                  <c:v>80.132227675016097</c:v>
                </c:pt>
                <c:pt idx="9">
                  <c:v>80.126929065731915</c:v>
                </c:pt>
                <c:pt idx="10">
                  <c:v>80.597332568837643</c:v>
                </c:pt>
                <c:pt idx="11">
                  <c:v>80.740671420208344</c:v>
                </c:pt>
                <c:pt idx="12">
                  <c:v>80.880576900202286</c:v>
                </c:pt>
                <c:pt idx="13">
                  <c:v>81.133401197621524</c:v>
                </c:pt>
                <c:pt idx="14">
                  <c:v>81.691644450124613</c:v>
                </c:pt>
                <c:pt idx="15">
                  <c:v>81.447645435196051</c:v>
                </c:pt>
                <c:pt idx="16">
                  <c:v>82.1</c:v>
                </c:pt>
              </c:numCache>
            </c:numRef>
          </c:val>
        </c:ser>
        <c:ser>
          <c:idx val="1"/>
          <c:order val="2"/>
          <c:tx>
            <c:strRef>
              <c:f>'Graf 4-délka života'!$A$20</c:f>
              <c:strCache>
                <c:ptCount val="1"/>
                <c:pt idx="0">
                  <c:v>Muži (Bulharsko)</c:v>
                </c:pt>
              </c:strCache>
            </c:strRef>
          </c:tx>
          <c:spPr>
            <a:ln w="22225">
              <a:solidFill>
                <a:srgbClr val="00B0F0"/>
              </a:solidFill>
              <a:prstDash val="sysDash"/>
            </a:ln>
          </c:spPr>
          <c:marker>
            <c:symbol val="none"/>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života'!$B$20:$R$20</c:f>
              <c:numCache>
                <c:formatCode>#,##0.0</c:formatCode>
                <c:ptCount val="17"/>
                <c:pt idx="0">
                  <c:v>68.400000000000006</c:v>
                </c:pt>
                <c:pt idx="1">
                  <c:v>68.599999999999994</c:v>
                </c:pt>
                <c:pt idx="2">
                  <c:v>68.8</c:v>
                </c:pt>
                <c:pt idx="3">
                  <c:v>68.900000000000006</c:v>
                </c:pt>
                <c:pt idx="4">
                  <c:v>69</c:v>
                </c:pt>
                <c:pt idx="5">
                  <c:v>69</c:v>
                </c:pt>
                <c:pt idx="6">
                  <c:v>69.2</c:v>
                </c:pt>
                <c:pt idx="7">
                  <c:v>69.5</c:v>
                </c:pt>
                <c:pt idx="8">
                  <c:v>69.8</c:v>
                </c:pt>
                <c:pt idx="9">
                  <c:v>70.2</c:v>
                </c:pt>
                <c:pt idx="10">
                  <c:v>70.3</c:v>
                </c:pt>
                <c:pt idx="11">
                  <c:v>70.7</c:v>
                </c:pt>
                <c:pt idx="12">
                  <c:v>70.900000000000006</c:v>
                </c:pt>
                <c:pt idx="13">
                  <c:v>71.3</c:v>
                </c:pt>
                <c:pt idx="14">
                  <c:v>71.099999999999994</c:v>
                </c:pt>
                <c:pt idx="15">
                  <c:v>71.2</c:v>
                </c:pt>
              </c:numCache>
            </c:numRef>
          </c:val>
        </c:ser>
        <c:ser>
          <c:idx val="4"/>
          <c:order val="3"/>
          <c:tx>
            <c:strRef>
              <c:f>'Graf 4-délka života'!$A$21</c:f>
              <c:strCache>
                <c:ptCount val="1"/>
                <c:pt idx="0">
                  <c:v>Ženy (Bulharsko)</c:v>
                </c:pt>
              </c:strCache>
            </c:strRef>
          </c:tx>
          <c:spPr>
            <a:ln w="22225">
              <a:solidFill>
                <a:srgbClr val="FF5D5D"/>
              </a:solidFill>
              <a:prstDash val="sysDash"/>
            </a:ln>
          </c:spPr>
          <c:marker>
            <c:symbol val="none"/>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života'!$B$21:$R$21</c:f>
              <c:numCache>
                <c:formatCode>#,##0.0</c:formatCode>
                <c:ptCount val="17"/>
                <c:pt idx="0">
                  <c:v>75</c:v>
                </c:pt>
                <c:pt idx="1">
                  <c:v>75.400000000000006</c:v>
                </c:pt>
                <c:pt idx="2">
                  <c:v>75.5</c:v>
                </c:pt>
                <c:pt idx="3">
                  <c:v>75.900000000000006</c:v>
                </c:pt>
                <c:pt idx="4">
                  <c:v>76.2</c:v>
                </c:pt>
                <c:pt idx="5">
                  <c:v>76.2</c:v>
                </c:pt>
                <c:pt idx="6">
                  <c:v>76.3</c:v>
                </c:pt>
                <c:pt idx="7">
                  <c:v>76.599999999999994</c:v>
                </c:pt>
                <c:pt idx="8">
                  <c:v>77</c:v>
                </c:pt>
                <c:pt idx="9">
                  <c:v>77.400000000000006</c:v>
                </c:pt>
                <c:pt idx="10">
                  <c:v>77.400000000000006</c:v>
                </c:pt>
                <c:pt idx="11">
                  <c:v>77.8</c:v>
                </c:pt>
                <c:pt idx="12">
                  <c:v>77.900000000000006</c:v>
                </c:pt>
                <c:pt idx="13">
                  <c:v>78.599999999999994</c:v>
                </c:pt>
                <c:pt idx="14">
                  <c:v>78</c:v>
                </c:pt>
                <c:pt idx="15">
                  <c:v>78.2</c:v>
                </c:pt>
              </c:numCache>
            </c:numRef>
          </c:val>
        </c:ser>
        <c:ser>
          <c:idx val="2"/>
          <c:order val="4"/>
          <c:tx>
            <c:strRef>
              <c:f>'Graf 4-délka života'!$A$22</c:f>
              <c:strCache>
                <c:ptCount val="1"/>
                <c:pt idx="0">
                  <c:v>Muži (Španělsko)</c:v>
                </c:pt>
              </c:strCache>
            </c:strRef>
          </c:tx>
          <c:spPr>
            <a:ln w="22225">
              <a:solidFill>
                <a:srgbClr val="3D7FCF"/>
              </a:solidFill>
              <a:prstDash val="lgDash"/>
            </a:ln>
          </c:spPr>
          <c:marker>
            <c:symbol val="none"/>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života'!$B$22:$R$22</c:f>
              <c:numCache>
                <c:formatCode>#,##0.0</c:formatCode>
                <c:ptCount val="17"/>
                <c:pt idx="0">
                  <c:v>75.8</c:v>
                </c:pt>
                <c:pt idx="1">
                  <c:v>76.3</c:v>
                </c:pt>
                <c:pt idx="2">
                  <c:v>76.400000000000006</c:v>
                </c:pt>
                <c:pt idx="3">
                  <c:v>76.400000000000006</c:v>
                </c:pt>
                <c:pt idx="4">
                  <c:v>77</c:v>
                </c:pt>
                <c:pt idx="5">
                  <c:v>77</c:v>
                </c:pt>
                <c:pt idx="6">
                  <c:v>77.8</c:v>
                </c:pt>
                <c:pt idx="7">
                  <c:v>77.900000000000006</c:v>
                </c:pt>
                <c:pt idx="8">
                  <c:v>78.3</c:v>
                </c:pt>
                <c:pt idx="9">
                  <c:v>78.8</c:v>
                </c:pt>
                <c:pt idx="10">
                  <c:v>79.2</c:v>
                </c:pt>
                <c:pt idx="11">
                  <c:v>79.5</c:v>
                </c:pt>
                <c:pt idx="12">
                  <c:v>79.5</c:v>
                </c:pt>
                <c:pt idx="13">
                  <c:v>80.2</c:v>
                </c:pt>
                <c:pt idx="14">
                  <c:v>80.400000000000006</c:v>
                </c:pt>
                <c:pt idx="15">
                  <c:v>80.099999999999994</c:v>
                </c:pt>
              </c:numCache>
            </c:numRef>
          </c:val>
        </c:ser>
        <c:ser>
          <c:idx val="5"/>
          <c:order val="5"/>
          <c:tx>
            <c:strRef>
              <c:f>'Graf 4-délka života'!$A$23</c:f>
              <c:strCache>
                <c:ptCount val="1"/>
                <c:pt idx="0">
                  <c:v>Ženy (Španělsko)</c:v>
                </c:pt>
              </c:strCache>
            </c:strRef>
          </c:tx>
          <c:spPr>
            <a:ln w="22225">
              <a:solidFill>
                <a:srgbClr val="C00000"/>
              </a:solidFill>
              <a:prstDash val="lgDash"/>
            </a:ln>
          </c:spPr>
          <c:marker>
            <c:symbol val="none"/>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života'!$B$23:$R$23</c:f>
              <c:numCache>
                <c:formatCode>#,##0.0</c:formatCode>
                <c:ptCount val="17"/>
                <c:pt idx="0">
                  <c:v>82.8</c:v>
                </c:pt>
                <c:pt idx="1">
                  <c:v>83.2</c:v>
                </c:pt>
                <c:pt idx="2">
                  <c:v>83.3</c:v>
                </c:pt>
                <c:pt idx="3">
                  <c:v>83</c:v>
                </c:pt>
                <c:pt idx="4">
                  <c:v>83.7</c:v>
                </c:pt>
                <c:pt idx="5">
                  <c:v>83.6</c:v>
                </c:pt>
                <c:pt idx="6">
                  <c:v>84.4</c:v>
                </c:pt>
                <c:pt idx="7">
                  <c:v>84.4</c:v>
                </c:pt>
                <c:pt idx="8">
                  <c:v>84.6</c:v>
                </c:pt>
                <c:pt idx="9">
                  <c:v>85</c:v>
                </c:pt>
                <c:pt idx="10">
                  <c:v>85.5</c:v>
                </c:pt>
                <c:pt idx="11">
                  <c:v>85.6</c:v>
                </c:pt>
                <c:pt idx="12">
                  <c:v>85.5</c:v>
                </c:pt>
                <c:pt idx="13">
                  <c:v>86.1</c:v>
                </c:pt>
                <c:pt idx="14">
                  <c:v>86.2</c:v>
                </c:pt>
                <c:pt idx="15">
                  <c:v>85.8</c:v>
                </c:pt>
              </c:numCache>
            </c:numRef>
          </c:val>
        </c:ser>
        <c:ser>
          <c:idx val="6"/>
          <c:order val="6"/>
          <c:tx>
            <c:strRef>
              <c:f>'Graf 4-délka života'!$A$24</c:f>
              <c:strCache>
                <c:ptCount val="1"/>
                <c:pt idx="0">
                  <c:v>Muži (EU28)</c:v>
                </c:pt>
              </c:strCache>
            </c:strRef>
          </c:tx>
          <c:spPr>
            <a:ln>
              <a:noFill/>
            </a:ln>
          </c:spPr>
          <c:marker>
            <c:symbol val="diamond"/>
            <c:size val="5"/>
            <c:spPr>
              <a:solidFill>
                <a:srgbClr val="0070C0"/>
              </a:solidFill>
              <a:ln>
                <a:noFill/>
              </a:ln>
            </c:spPr>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života'!$B$24:$R$24</c:f>
              <c:numCache>
                <c:formatCode>General</c:formatCode>
                <c:ptCount val="17"/>
                <c:pt idx="2" formatCode="#,##0.0">
                  <c:v>74.5</c:v>
                </c:pt>
                <c:pt idx="3" formatCode="#,##0.0">
                  <c:v>74.599999999999994</c:v>
                </c:pt>
                <c:pt idx="4" formatCode="#,##0.0">
                  <c:v>75.2</c:v>
                </c:pt>
                <c:pt idx="5" formatCode="#,##0.0">
                  <c:v>75.400000000000006</c:v>
                </c:pt>
                <c:pt idx="6" formatCode="#,##0.0">
                  <c:v>75.8</c:v>
                </c:pt>
                <c:pt idx="7" formatCode="#,##0.0">
                  <c:v>76</c:v>
                </c:pt>
                <c:pt idx="8" formatCode="#,##0.0">
                  <c:v>76.3</c:v>
                </c:pt>
                <c:pt idx="9" formatCode="#,##0.0">
                  <c:v>76.599999999999994</c:v>
                </c:pt>
                <c:pt idx="10" formatCode="#,##0.0">
                  <c:v>76.900000000000006</c:v>
                </c:pt>
                <c:pt idx="11" formatCode="#,##0.0">
                  <c:v>77.3</c:v>
                </c:pt>
                <c:pt idx="12" formatCode="#,##0.0">
                  <c:v>77.400000000000006</c:v>
                </c:pt>
                <c:pt idx="13" formatCode="#,##0.0">
                  <c:v>77.7</c:v>
                </c:pt>
                <c:pt idx="14" formatCode="#,##0.0">
                  <c:v>78.099999999999994</c:v>
                </c:pt>
                <c:pt idx="15" formatCode="#,##0.0">
                  <c:v>77.900000000000006</c:v>
                </c:pt>
              </c:numCache>
            </c:numRef>
          </c:val>
        </c:ser>
        <c:ser>
          <c:idx val="7"/>
          <c:order val="7"/>
          <c:tx>
            <c:strRef>
              <c:f>'Graf 4-délka života'!$A$25</c:f>
              <c:strCache>
                <c:ptCount val="1"/>
                <c:pt idx="0">
                  <c:v>Ženy (EU28)</c:v>
                </c:pt>
              </c:strCache>
            </c:strRef>
          </c:tx>
          <c:spPr>
            <a:ln>
              <a:noFill/>
            </a:ln>
          </c:spPr>
          <c:marker>
            <c:symbol val="diamond"/>
            <c:size val="5"/>
            <c:spPr>
              <a:solidFill>
                <a:srgbClr val="FF0000"/>
              </a:solidFill>
              <a:ln>
                <a:noFill/>
              </a:ln>
            </c:spPr>
          </c:marker>
          <c:cat>
            <c:strRef>
              <c:f>'Graf 4-délka života'!$B$17:$R$17</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'Graf 4-délka života'!$B$25:$R$25</c:f>
              <c:numCache>
                <c:formatCode>General</c:formatCode>
                <c:ptCount val="17"/>
                <c:pt idx="2" formatCode="#,##0.0">
                  <c:v>80.900000000000006</c:v>
                </c:pt>
                <c:pt idx="3" formatCode="#,##0.0">
                  <c:v>80.8</c:v>
                </c:pt>
                <c:pt idx="4" formatCode="#,##0.0">
                  <c:v>81.5</c:v>
                </c:pt>
                <c:pt idx="5" formatCode="#,##0.0">
                  <c:v>81.5</c:v>
                </c:pt>
                <c:pt idx="6" formatCode="#,##0.0">
                  <c:v>82</c:v>
                </c:pt>
                <c:pt idx="7" formatCode="#,##0.0">
                  <c:v>82.2</c:v>
                </c:pt>
                <c:pt idx="8" formatCode="#,##0.0">
                  <c:v>82.3</c:v>
                </c:pt>
                <c:pt idx="9" formatCode="#,##0.0">
                  <c:v>82.6</c:v>
                </c:pt>
                <c:pt idx="10" formatCode="#,##0.0">
                  <c:v>82.8</c:v>
                </c:pt>
                <c:pt idx="11" formatCode="#,##0.0">
                  <c:v>83.1</c:v>
                </c:pt>
                <c:pt idx="12" formatCode="#,##0.0">
                  <c:v>83</c:v>
                </c:pt>
                <c:pt idx="13" formatCode="#,##0.0">
                  <c:v>83.3</c:v>
                </c:pt>
                <c:pt idx="14" formatCode="#,##0.0">
                  <c:v>83.6</c:v>
                </c:pt>
                <c:pt idx="15" formatCode="#,##0.0">
                  <c:v>83.3</c:v>
                </c:pt>
              </c:numCache>
            </c:numRef>
          </c:val>
        </c:ser>
        <c:marker val="1"/>
        <c:axId val="101455744"/>
        <c:axId val="103010304"/>
      </c:lineChart>
      <c:catAx>
        <c:axId val="101455744"/>
        <c:scaling>
          <c:orientation val="minMax"/>
        </c:scaling>
        <c:axPos val="b"/>
        <c:tickLblPos val="nextTo"/>
        <c:txPr>
          <a:bodyPr rot="0" vert="horz"/>
          <a:lstStyle/>
          <a:p>
            <a:pPr>
              <a:defRPr sz="800">
                <a:latin typeface="Arial" pitchFamily="34" charset="0"/>
                <a:cs typeface="Arial" pitchFamily="34" charset="0"/>
              </a:defRPr>
            </a:pPr>
            <a:endParaRPr lang="cs-CZ"/>
          </a:p>
        </c:txPr>
        <c:crossAx val="103010304"/>
        <c:crosses val="autoZero"/>
        <c:auto val="1"/>
        <c:lblAlgn val="ctr"/>
        <c:lblOffset val="10"/>
      </c:catAx>
      <c:valAx>
        <c:axId val="103010304"/>
        <c:scaling>
          <c:orientation val="minMax"/>
          <c:max val="88"/>
          <c:min val="68"/>
        </c:scaling>
        <c:axPos val="l"/>
        <c:majorGridlines>
          <c:spPr>
            <a:ln w="6350">
              <a:solidFill>
                <a:srgbClr val="BFBFBF"/>
              </a:solidFill>
            </a:ln>
          </c:spPr>
        </c:majorGridlines>
        <c:numFmt formatCode="#,##0" sourceLinked="0"/>
        <c:tickLblPos val="nextTo"/>
        <c:txPr>
          <a:bodyPr/>
          <a:lstStyle/>
          <a:p>
            <a:pPr>
              <a:defRPr sz="800">
                <a:latin typeface="Arial" pitchFamily="34" charset="0"/>
                <a:cs typeface="Arial" pitchFamily="34" charset="0"/>
              </a:defRPr>
            </a:pPr>
            <a:endParaRPr lang="cs-CZ"/>
          </a:p>
        </c:txPr>
        <c:crossAx val="101455744"/>
        <c:crosses val="autoZero"/>
        <c:crossBetween val="between"/>
        <c:majorUnit val="2"/>
      </c:valAx>
      <c:spPr>
        <a:ln>
          <a:solidFill>
            <a:schemeClr val="tx1">
              <a:lumMod val="95000"/>
              <a:lumOff val="5000"/>
            </a:schemeClr>
          </a:solidFill>
        </a:ln>
      </c:spPr>
    </c:plotArea>
    <c:legend>
      <c:legendPos val="r"/>
      <c:layout>
        <c:manualLayout>
          <c:xMode val="edge"/>
          <c:yMode val="edge"/>
          <c:x val="4.4771750126454221E-2"/>
          <c:y val="0.87432318104906936"/>
          <c:w val="0.93441114483222765"/>
          <c:h val="0.11406683587140452"/>
        </c:manualLayout>
      </c:layout>
      <c:spPr>
        <a:ln>
          <a:solidFill>
            <a:schemeClr val="tx1">
              <a:lumMod val="95000"/>
              <a:lumOff val="5000"/>
            </a:schemeClr>
          </a:solidFill>
        </a:ln>
      </c:spPr>
      <c:txPr>
        <a:bodyPr/>
        <a:lstStyle/>
        <a:p>
          <a:pPr>
            <a:defRPr sz="800">
              <a:latin typeface="Arial" pitchFamily="34" charset="0"/>
              <a:cs typeface="Arial" pitchFamily="34" charset="0"/>
            </a:defRPr>
          </a:pPr>
          <a:endParaRPr lang="cs-CZ"/>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982654617684916E-2"/>
          <c:y val="1.9305237958358895E-2"/>
          <c:w val="0.94498420646742565"/>
          <c:h val="0.83616046249294951"/>
        </c:manualLayout>
      </c:layout>
      <c:barChart>
        <c:barDir val="col"/>
        <c:grouping val="stacked"/>
        <c:ser>
          <c:idx val="0"/>
          <c:order val="0"/>
          <c:tx>
            <c:strRef>
              <c:f>'Graf 6-přírůstky v krajích'!$B$2</c:f>
              <c:strCache>
                <c:ptCount val="1"/>
                <c:pt idx="0">
                  <c:v>Přirozený přírůstek (rok 2016)</c:v>
                </c:pt>
              </c:strCache>
            </c:strRef>
          </c:tx>
          <c:spPr>
            <a:solidFill>
              <a:srgbClr val="FFC000"/>
            </a:solidFill>
          </c:spPr>
          <c:cat>
            <c:strRef>
              <c:f>'Graf 6-přírůstky v krajích'!$A$3:$A$16</c:f>
              <c:strCache>
                <c:ptCount val="14"/>
                <c:pt idx="0">
                  <c:v>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strCache>
            </c:strRef>
          </c:cat>
          <c:val>
            <c:numRef>
              <c:f>'Graf 6-přírůstky v krajích'!$B$3:$B$16</c:f>
              <c:numCache>
                <c:formatCode>0.0</c:formatCode>
                <c:ptCount val="14"/>
                <c:pt idx="0">
                  <c:v>2.1905632921934859</c:v>
                </c:pt>
                <c:pt idx="1">
                  <c:v>1.5398473953477558</c:v>
                </c:pt>
                <c:pt idx="2">
                  <c:v>0.47625985615072369</c:v>
                </c:pt>
                <c:pt idx="3">
                  <c:v>-0.368743053607969</c:v>
                </c:pt>
                <c:pt idx="4">
                  <c:v>-1.1839215382907806</c:v>
                </c:pt>
                <c:pt idx="5">
                  <c:v>-0.96680043779642877</c:v>
                </c:pt>
                <c:pt idx="6">
                  <c:v>1.3062867606133042</c:v>
                </c:pt>
                <c:pt idx="7">
                  <c:v>-0.11792944916061462</c:v>
                </c:pt>
                <c:pt idx="8">
                  <c:v>0.57883702156410299</c:v>
                </c:pt>
                <c:pt idx="9">
                  <c:v>0.60881365785065211</c:v>
                </c:pt>
                <c:pt idx="10">
                  <c:v>1.2362231217055373</c:v>
                </c:pt>
                <c:pt idx="11">
                  <c:v>-5.3620909631419335E-2</c:v>
                </c:pt>
                <c:pt idx="12">
                  <c:v>-0.56663043199150964</c:v>
                </c:pt>
                <c:pt idx="13">
                  <c:v>-0.89232869724137565</c:v>
                </c:pt>
              </c:numCache>
            </c:numRef>
          </c:val>
        </c:ser>
        <c:ser>
          <c:idx val="1"/>
          <c:order val="1"/>
          <c:tx>
            <c:strRef>
              <c:f>'Graf 6-přírůstky v krajích'!$C$2</c:f>
              <c:strCache>
                <c:ptCount val="1"/>
                <c:pt idx="0">
                  <c:v>Přírůstek vnitřním stěhováním (rok 2016)</c:v>
                </c:pt>
              </c:strCache>
            </c:strRef>
          </c:tx>
          <c:spPr>
            <a:solidFill>
              <a:srgbClr val="00B0F0"/>
            </a:solidFill>
          </c:spPr>
          <c:dLbls>
            <c:dLbl>
              <c:idx val="0"/>
              <c:layout>
                <c:manualLayout>
                  <c:x val="-4.1046213865264195E-3"/>
                  <c:y val="0.24609839329778593"/>
                </c:manualLayout>
              </c:layout>
              <c:showCatName val="1"/>
            </c:dLbl>
            <c:dLbl>
              <c:idx val="1"/>
              <c:layout>
                <c:manualLayout>
                  <c:x val="0"/>
                  <c:y val="0.3934366744698865"/>
                </c:manualLayout>
              </c:layout>
              <c:showCatName val="1"/>
            </c:dLbl>
            <c:dLbl>
              <c:idx val="2"/>
              <c:layout>
                <c:manualLayout>
                  <c:x val="-3.9441272465119371E-3"/>
                  <c:y val="-0.13955247858864719"/>
                </c:manualLayout>
              </c:layout>
              <c:showCatName val="1"/>
            </c:dLbl>
            <c:dLbl>
              <c:idx val="3"/>
              <c:layout>
                <c:manualLayout>
                  <c:x val="-3.9441272465119371E-3"/>
                  <c:y val="0.17318504062261095"/>
                </c:manualLayout>
              </c:layout>
              <c:showCatName val="1"/>
            </c:dLbl>
            <c:dLbl>
              <c:idx val="4"/>
              <c:layout>
                <c:manualLayout>
                  <c:x val="0"/>
                  <c:y val="0.43127276266993791"/>
                </c:manualLayout>
              </c:layout>
              <c:showCatName val="1"/>
            </c:dLbl>
            <c:dLbl>
              <c:idx val="5"/>
              <c:layout>
                <c:manualLayout>
                  <c:x val="0"/>
                  <c:y val="0.28751596651424804"/>
                </c:manualLayout>
              </c:layout>
              <c:showCatName val="1"/>
            </c:dLbl>
            <c:dLbl>
              <c:idx val="6"/>
              <c:layout>
                <c:manualLayout>
                  <c:x val="-3.9441272465119371E-3"/>
                  <c:y val="-0.15719043164591018"/>
                </c:manualLayout>
              </c:layout>
              <c:showCatName val="1"/>
            </c:dLbl>
            <c:dLbl>
              <c:idx val="7"/>
              <c:layout>
                <c:manualLayout>
                  <c:x val="-3.9444521334350332E-3"/>
                  <c:y val="0.301770680494027"/>
                </c:manualLayout>
              </c:layout>
              <c:showCatName val="1"/>
            </c:dLbl>
            <c:dLbl>
              <c:idx val="8"/>
              <c:layout>
                <c:manualLayout>
                  <c:x val="-3.2488692310641894E-7"/>
                  <c:y val="-0.1513427699983064"/>
                </c:manualLayout>
              </c:layout>
              <c:showCatName val="1"/>
            </c:dLbl>
            <c:dLbl>
              <c:idx val="9"/>
              <c:layout>
                <c:manualLayout>
                  <c:x val="7.5643631421595237E-17"/>
                  <c:y val="0.26311311810392979"/>
                </c:manualLayout>
              </c:layout>
              <c:showCatName val="1"/>
            </c:dLbl>
            <c:dLbl>
              <c:idx val="10"/>
              <c:layout>
                <c:manualLayout>
                  <c:x val="0"/>
                  <c:y val="0.24465369085662841"/>
                </c:manualLayout>
              </c:layout>
              <c:showCatName val="1"/>
            </c:dLbl>
            <c:dLbl>
              <c:idx val="11"/>
              <c:layout>
                <c:manualLayout>
                  <c:x val="0"/>
                  <c:y val="0.22609929549487293"/>
                </c:manualLayout>
              </c:layout>
              <c:showCatName val="1"/>
            </c:dLbl>
            <c:dLbl>
              <c:idx val="12"/>
              <c:layout>
                <c:manualLayout>
                  <c:x val="1.8193667693959298E-4"/>
                  <c:y val="0.22527702990387469"/>
                </c:manualLayout>
              </c:layout>
              <c:showCatName val="1"/>
            </c:dLbl>
            <c:dLbl>
              <c:idx val="13"/>
              <c:layout>
                <c:manualLayout>
                  <c:x val="1.8193667693959298E-4"/>
                  <c:y val="0.33960676869408418"/>
                </c:manualLayout>
              </c:layout>
              <c:showCatName val="1"/>
            </c:dLbl>
            <c:txPr>
              <a:bodyPr rot="-5400000" vert="horz"/>
              <a:lstStyle/>
              <a:p>
                <a:pPr>
                  <a:defRPr sz="800">
                    <a:latin typeface="Arial" pitchFamily="34" charset="0"/>
                    <a:cs typeface="Arial" pitchFamily="34" charset="0"/>
                  </a:defRPr>
                </a:pPr>
                <a:endParaRPr lang="cs-CZ"/>
              </a:p>
            </c:txPr>
            <c:showCatName val="1"/>
          </c:dLbls>
          <c:cat>
            <c:strRef>
              <c:f>'Graf 6-přírůstky v krajích'!$A$3:$A$16</c:f>
              <c:strCache>
                <c:ptCount val="14"/>
                <c:pt idx="0">
                  <c:v>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strCache>
            </c:strRef>
          </c:cat>
          <c:val>
            <c:numRef>
              <c:f>'Graf 6-přírůstky v krajích'!$C$3:$C$16</c:f>
              <c:numCache>
                <c:formatCode>0.0</c:formatCode>
                <c:ptCount val="14"/>
                <c:pt idx="0">
                  <c:v>1.8071361449228902</c:v>
                </c:pt>
                <c:pt idx="1">
                  <c:v>5.7633645328066985</c:v>
                </c:pt>
                <c:pt idx="2">
                  <c:v>-0.38696113312246688</c:v>
                </c:pt>
                <c:pt idx="3">
                  <c:v>1.0127450063880841</c:v>
                </c:pt>
                <c:pt idx="4">
                  <c:v>-4.2513546147714392</c:v>
                </c:pt>
                <c:pt idx="5">
                  <c:v>-1.9700839109814083</c:v>
                </c:pt>
                <c:pt idx="6">
                  <c:v>-0.94279827070351563</c:v>
                </c:pt>
                <c:pt idx="7">
                  <c:v>-1.9394858638876531</c:v>
                </c:pt>
                <c:pt idx="8">
                  <c:v>-0.42977196918806376</c:v>
                </c:pt>
                <c:pt idx="9">
                  <c:v>-2.2977805796298805</c:v>
                </c:pt>
                <c:pt idx="10">
                  <c:v>0.35684791142015282</c:v>
                </c:pt>
                <c:pt idx="11">
                  <c:v>-1.6496315139548416</c:v>
                </c:pt>
                <c:pt idx="12">
                  <c:v>-1.581771961208926</c:v>
                </c:pt>
                <c:pt idx="13">
                  <c:v>-2.4863034561434065</c:v>
                </c:pt>
              </c:numCache>
            </c:numRef>
          </c:val>
        </c:ser>
        <c:ser>
          <c:idx val="2"/>
          <c:order val="2"/>
          <c:tx>
            <c:strRef>
              <c:f>'Graf 6-přírůstky v krajích'!$D$2</c:f>
              <c:strCache>
                <c:ptCount val="1"/>
                <c:pt idx="0">
                  <c:v>Přírůstek zahraničním stěhováním (rok 2016)</c:v>
                </c:pt>
              </c:strCache>
            </c:strRef>
          </c:tx>
          <c:spPr>
            <a:solidFill>
              <a:srgbClr val="92D050"/>
            </a:solidFill>
          </c:spPr>
          <c:cat>
            <c:strRef>
              <c:f>'Graf 6-přírůstky v krajích'!$A$3:$A$16</c:f>
              <c:strCache>
                <c:ptCount val="14"/>
                <c:pt idx="0">
                  <c:v>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strCache>
            </c:strRef>
          </c:cat>
          <c:val>
            <c:numRef>
              <c:f>'Graf 6-přírůstky v krajích'!$D$3:$D$16</c:f>
              <c:numCache>
                <c:formatCode>0.0</c:formatCode>
                <c:ptCount val="14"/>
                <c:pt idx="0">
                  <c:v>6.2629053092088345</c:v>
                </c:pt>
                <c:pt idx="1">
                  <c:v>1.7911132879154497</c:v>
                </c:pt>
                <c:pt idx="2">
                  <c:v>1.3958800389154435</c:v>
                </c:pt>
                <c:pt idx="3">
                  <c:v>2.8079870091649095</c:v>
                </c:pt>
                <c:pt idx="4">
                  <c:v>1.8868749516509313</c:v>
                </c:pt>
                <c:pt idx="5">
                  <c:v>1.145567311200292</c:v>
                </c:pt>
                <c:pt idx="6">
                  <c:v>1.9014991628405715</c:v>
                </c:pt>
                <c:pt idx="7">
                  <c:v>0.93799269563134891</c:v>
                </c:pt>
                <c:pt idx="8">
                  <c:v>1.6668183129320708</c:v>
                </c:pt>
                <c:pt idx="9">
                  <c:v>0.66183936353442496</c:v>
                </c:pt>
                <c:pt idx="10">
                  <c:v>1.6262069106146959</c:v>
                </c:pt>
                <c:pt idx="11">
                  <c:v>0.44946938955748766</c:v>
                </c:pt>
                <c:pt idx="12">
                  <c:v>0.47418921347929932</c:v>
                </c:pt>
                <c:pt idx="13">
                  <c:v>0.54563299618552263</c:v>
                </c:pt>
              </c:numCache>
            </c:numRef>
          </c:val>
        </c:ser>
        <c:gapWidth val="75"/>
        <c:overlap val="100"/>
        <c:axId val="103066240"/>
        <c:axId val="105816832"/>
      </c:barChart>
      <c:lineChart>
        <c:grouping val="standard"/>
        <c:ser>
          <c:idx val="3"/>
          <c:order val="3"/>
          <c:tx>
            <c:strRef>
              <c:f>'Graf 6-přírůstky v krajích'!$E$2</c:f>
              <c:strCache>
                <c:ptCount val="1"/>
                <c:pt idx="0">
                  <c:v>Celkový přírůstek (rok 2016)</c:v>
                </c:pt>
              </c:strCache>
            </c:strRef>
          </c:tx>
          <c:spPr>
            <a:ln>
              <a:noFill/>
            </a:ln>
          </c:spPr>
          <c:marker>
            <c:symbol val="diamond"/>
            <c:size val="6"/>
            <c:spPr>
              <a:solidFill>
                <a:schemeClr val="bg1"/>
              </a:solidFill>
            </c:spPr>
          </c:marker>
          <c:cat>
            <c:strRef>
              <c:f>'Graf 6-přírůstky v krajích'!$A$3:$A$16</c:f>
              <c:strCache>
                <c:ptCount val="14"/>
                <c:pt idx="0">
                  <c:v>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strCache>
            </c:strRef>
          </c:cat>
          <c:val>
            <c:numRef>
              <c:f>'Graf 6-přírůstky v krajích'!$E$3:$E$16</c:f>
              <c:numCache>
                <c:formatCode>0.0</c:formatCode>
                <c:ptCount val="14"/>
                <c:pt idx="0">
                  <c:v>10.260604746325274</c:v>
                </c:pt>
                <c:pt idx="1">
                  <c:v>9.0943252160699206</c:v>
                </c:pt>
                <c:pt idx="2">
                  <c:v>1.4851787619437136</c:v>
                </c:pt>
                <c:pt idx="3">
                  <c:v>3.4519889619450237</c:v>
                </c:pt>
                <c:pt idx="4">
                  <c:v>-3.5484012014112891</c:v>
                </c:pt>
                <c:pt idx="5">
                  <c:v>-1.7913170375775265</c:v>
                </c:pt>
                <c:pt idx="6">
                  <c:v>2.2649876527503987</c:v>
                </c:pt>
                <c:pt idx="7">
                  <c:v>-1.1194226174169015</c:v>
                </c:pt>
                <c:pt idx="8">
                  <c:v>1.8158833653081097</c:v>
                </c:pt>
                <c:pt idx="9">
                  <c:v>-1.0271275582448096</c:v>
                </c:pt>
                <c:pt idx="10">
                  <c:v>3.2192779437403782</c:v>
                </c:pt>
                <c:pt idx="11">
                  <c:v>-1.2537830340287761</c:v>
                </c:pt>
                <c:pt idx="12">
                  <c:v>-1.6742131797211504</c:v>
                </c:pt>
                <c:pt idx="13">
                  <c:v>-2.8329991571992577</c:v>
                </c:pt>
              </c:numCache>
            </c:numRef>
          </c:val>
        </c:ser>
        <c:ser>
          <c:idx val="4"/>
          <c:order val="4"/>
          <c:tx>
            <c:strRef>
              <c:f>'Graf 6-přírůstky v krajích'!$F$2</c:f>
              <c:strCache>
                <c:ptCount val="1"/>
                <c:pt idx="0">
                  <c:v>Celkový přírůstek (roč. průměr za 2010-2016)</c:v>
                </c:pt>
              </c:strCache>
            </c:strRef>
          </c:tx>
          <c:spPr>
            <a:ln w="28575">
              <a:noFill/>
            </a:ln>
          </c:spPr>
          <c:marker>
            <c:symbol val="dash"/>
            <c:size val="6"/>
            <c:spPr>
              <a:ln>
                <a:solidFill>
                  <a:prstClr val="black">
                    <a:lumMod val="85000"/>
                    <a:lumOff val="15000"/>
                  </a:prstClr>
                </a:solidFill>
              </a:ln>
            </c:spPr>
          </c:marker>
          <c:cat>
            <c:strRef>
              <c:f>'Graf 6-přírůstky v krajích'!$A$3:$A$16</c:f>
              <c:strCache>
                <c:ptCount val="14"/>
                <c:pt idx="0">
                  <c:v>Praha</c:v>
                </c:pt>
                <c:pt idx="1">
                  <c:v>Středočeský kraj</c:v>
                </c:pt>
                <c:pt idx="2">
                  <c:v>Jihočeský kraj</c:v>
                </c:pt>
                <c:pt idx="3">
                  <c:v>Plzeňský kraj</c:v>
                </c:pt>
                <c:pt idx="4">
                  <c:v>Karlovarský kraj</c:v>
                </c:pt>
                <c:pt idx="5">
                  <c:v>Ústecký kraj</c:v>
                </c:pt>
                <c:pt idx="6">
                  <c:v>Liberecký kraj</c:v>
                </c:pt>
                <c:pt idx="7">
                  <c:v>Královéhradecký kraj</c:v>
                </c:pt>
                <c:pt idx="8">
                  <c:v>Pardubický kraj</c:v>
                </c:pt>
                <c:pt idx="9">
                  <c:v>Kraj Vysočina</c:v>
                </c:pt>
                <c:pt idx="10">
                  <c:v>Jihomoravský kraj</c:v>
                </c:pt>
                <c:pt idx="11">
                  <c:v>Olomoucký kraj</c:v>
                </c:pt>
                <c:pt idx="12">
                  <c:v>Zlínský kraj</c:v>
                </c:pt>
                <c:pt idx="13">
                  <c:v>Moravskoslezský kraj</c:v>
                </c:pt>
              </c:strCache>
            </c:strRef>
          </c:cat>
          <c:val>
            <c:numRef>
              <c:f>'Graf 6-přírůstky v krajích'!$F$3:$F$16</c:f>
              <c:numCache>
                <c:formatCode>0.0</c:formatCode>
                <c:ptCount val="14"/>
                <c:pt idx="0">
                  <c:v>6.2111018333755306</c:v>
                </c:pt>
                <c:pt idx="1">
                  <c:v>10.103503767729</c:v>
                </c:pt>
                <c:pt idx="2">
                  <c:v>0.91310956651156161</c:v>
                </c:pt>
                <c:pt idx="3">
                  <c:v>1.8732391455017721</c:v>
                </c:pt>
                <c:pt idx="4">
                  <c:v>-3.4340834081906264</c:v>
                </c:pt>
                <c:pt idx="5">
                  <c:v>-1.2547819618934661</c:v>
                </c:pt>
                <c:pt idx="6">
                  <c:v>1.1807725338371471</c:v>
                </c:pt>
                <c:pt idx="7">
                  <c:v>-0.86649965222635028</c:v>
                </c:pt>
                <c:pt idx="8">
                  <c:v>0.45943375425688626</c:v>
                </c:pt>
                <c:pt idx="9">
                  <c:v>-1.0388698812893258</c:v>
                </c:pt>
                <c:pt idx="10">
                  <c:v>2.2180999893286164</c:v>
                </c:pt>
                <c:pt idx="11">
                  <c:v>-1.2267582904270438</c:v>
                </c:pt>
                <c:pt idx="12">
                  <c:v>-1.7202190004741134</c:v>
                </c:pt>
                <c:pt idx="13">
                  <c:v>-3.3787735721034422</c:v>
                </c:pt>
              </c:numCache>
            </c:numRef>
          </c:val>
        </c:ser>
        <c:marker val="1"/>
        <c:axId val="103066240"/>
        <c:axId val="105816832"/>
      </c:lineChart>
      <c:catAx>
        <c:axId val="103066240"/>
        <c:scaling>
          <c:orientation val="minMax"/>
        </c:scaling>
        <c:axPos val="b"/>
        <c:tickLblPos val="none"/>
        <c:crossAx val="105816832"/>
        <c:crosses val="autoZero"/>
        <c:auto val="1"/>
        <c:lblAlgn val="ctr"/>
        <c:lblOffset val="100"/>
      </c:catAx>
      <c:valAx>
        <c:axId val="105816832"/>
        <c:scaling>
          <c:orientation val="minMax"/>
          <c:max val="11"/>
          <c:min val="-6"/>
        </c:scaling>
        <c:axPos val="l"/>
        <c:numFmt formatCode="0" sourceLinked="0"/>
        <c:tickLblPos val="nextTo"/>
        <c:txPr>
          <a:bodyPr/>
          <a:lstStyle/>
          <a:p>
            <a:pPr>
              <a:defRPr sz="800">
                <a:latin typeface="Arial" pitchFamily="34" charset="0"/>
                <a:cs typeface="Arial" pitchFamily="34" charset="0"/>
              </a:defRPr>
            </a:pPr>
            <a:endParaRPr lang="cs-CZ"/>
          </a:p>
        </c:txPr>
        <c:crossAx val="103066240"/>
        <c:crosses val="autoZero"/>
        <c:crossBetween val="between"/>
        <c:majorUnit val="1"/>
      </c:valAx>
      <c:spPr>
        <a:noFill/>
        <a:ln>
          <a:solidFill>
            <a:schemeClr val="tx1">
              <a:lumMod val="95000"/>
              <a:lumOff val="5000"/>
            </a:schemeClr>
          </a:solidFill>
        </a:ln>
      </c:spPr>
    </c:plotArea>
    <c:legend>
      <c:legendPos val="r"/>
      <c:layout>
        <c:manualLayout>
          <c:xMode val="edge"/>
          <c:yMode val="edge"/>
          <c:x val="4.9105147230847482E-2"/>
          <c:y val="0.87775879597180062"/>
          <c:w val="0.94018466284241331"/>
          <c:h val="0.11445464852607712"/>
        </c:manualLayout>
      </c:layout>
      <c:spPr>
        <a:noFill/>
        <a:ln>
          <a:solidFill>
            <a:schemeClr val="tx1">
              <a:lumMod val="95000"/>
              <a:lumOff val="5000"/>
            </a:schemeClr>
          </a:solidFill>
        </a:ln>
      </c:spPr>
      <c:txPr>
        <a:bodyPr/>
        <a:lstStyle/>
        <a:p>
          <a:pPr>
            <a:defRPr sz="800">
              <a:latin typeface="Arial" pitchFamily="34" charset="0"/>
              <a:cs typeface="Arial" pitchFamily="34" charset="0"/>
            </a:defRPr>
          </a:pPr>
          <a:endParaRPr lang="cs-CZ"/>
        </a:p>
      </c:txPr>
    </c:legend>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0.05725</cdr:x>
      <cdr:y>0.44869</cdr:y>
    </cdr:from>
    <cdr:to>
      <cdr:x>0.11418</cdr:x>
      <cdr:y>0.89644</cdr:y>
    </cdr:to>
    <cdr:sp macro="" textlink="">
      <cdr:nvSpPr>
        <cdr:cNvPr id="3" name="TextovéPole 1"/>
        <cdr:cNvSpPr txBox="1"/>
      </cdr:nvSpPr>
      <cdr:spPr>
        <a:xfrm xmlns:a="http://schemas.openxmlformats.org/drawingml/2006/main">
          <a:off x="272147" y="1553831"/>
          <a:ext cx="270636" cy="1550593"/>
        </a:xfrm>
        <a:prstGeom xmlns:a="http://schemas.openxmlformats.org/drawingml/2006/main" prst="rect">
          <a:avLst/>
        </a:prstGeom>
        <a:solidFill xmlns:a="http://schemas.openxmlformats.org/drawingml/2006/main">
          <a:sysClr val="window" lastClr="FFFFFF"/>
        </a:solidFill>
        <a:ln xmlns:a="http://schemas.openxmlformats.org/drawingml/2006/main">
          <a:solidFill>
            <a:prstClr val="black">
              <a:lumMod val="85000"/>
              <a:lumOff val="15000"/>
            </a:prstClr>
          </a:solidFill>
        </a:ln>
      </cdr:spPr>
      <cdr:txBody>
        <a:bodyPr xmlns:a="http://schemas.openxmlformats.org/drawingml/2006/main" vert="vert270"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a:latin typeface="Arial" pitchFamily="34" charset="0"/>
              <a:cs typeface="Arial" pitchFamily="34" charset="0"/>
            </a:rPr>
            <a:t> Průměrný věk matek při narození </a:t>
          </a:r>
        </a:p>
        <a:p xmlns:a="http://schemas.openxmlformats.org/drawingml/2006/main">
          <a:r>
            <a:rPr lang="cs-CZ" sz="800">
              <a:latin typeface="Arial" pitchFamily="34" charset="0"/>
              <a:cs typeface="Arial" pitchFamily="34" charset="0"/>
            </a:rPr>
            <a:t> dítěte (v letech)</a:t>
          </a:r>
        </a:p>
      </cdr:txBody>
    </cdr:sp>
  </cdr:relSizeAnchor>
  <cdr:relSizeAnchor xmlns:cdr="http://schemas.openxmlformats.org/drawingml/2006/chartDrawing">
    <cdr:from>
      <cdr:x>0.55026</cdr:x>
      <cdr:y>0.2535</cdr:y>
    </cdr:from>
    <cdr:to>
      <cdr:x>0.57035</cdr:x>
      <cdr:y>0.27763</cdr:y>
    </cdr:to>
    <cdr:sp macro="" textlink="">
      <cdr:nvSpPr>
        <cdr:cNvPr id="14" name="Kosočtverec 13"/>
        <cdr:cNvSpPr/>
      </cdr:nvSpPr>
      <cdr:spPr>
        <a:xfrm xmlns:a="http://schemas.openxmlformats.org/drawingml/2006/main">
          <a:off x="1774958" y="680792"/>
          <a:ext cx="64800" cy="64800"/>
        </a:xfrm>
        <a:prstGeom xmlns:a="http://schemas.openxmlformats.org/drawingml/2006/main" prst="diamond">
          <a:avLst/>
        </a:prstGeom>
        <a:solidFill xmlns:a="http://schemas.openxmlformats.org/drawingml/2006/main">
          <a:srgbClr val="663300"/>
        </a:solidFill>
        <a:ln xmlns:a="http://schemas.openxmlformats.org/drawingml/2006/main" w="6350">
          <a:solidFill>
            <a:schemeClr val="bg1">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cs-CZ"/>
        </a:p>
      </cdr:txBody>
    </cdr:sp>
  </cdr:relSizeAnchor>
  <cdr:relSizeAnchor xmlns:cdr="http://schemas.openxmlformats.org/drawingml/2006/chartDrawing">
    <cdr:from>
      <cdr:x>0.15969</cdr:x>
      <cdr:y>0.90658</cdr:y>
    </cdr:from>
    <cdr:to>
      <cdr:x>0.32981</cdr:x>
      <cdr:y>0.94357</cdr:y>
    </cdr:to>
    <cdr:sp macro="" textlink="">
      <cdr:nvSpPr>
        <cdr:cNvPr id="10" name="TextovéPole 1"/>
        <cdr:cNvSpPr txBox="1"/>
      </cdr:nvSpPr>
      <cdr:spPr>
        <a:xfrm xmlns:a="http://schemas.openxmlformats.org/drawingml/2006/main">
          <a:off x="759090" y="3139536"/>
          <a:ext cx="808685" cy="128111"/>
        </a:xfrm>
        <a:prstGeom xmlns:a="http://schemas.openxmlformats.org/drawingml/2006/main" prst="rect">
          <a:avLst/>
        </a:prstGeom>
        <a:solidFill xmlns:a="http://schemas.openxmlformats.org/drawingml/2006/main">
          <a:sysClr val="window" lastClr="FFFFFF"/>
        </a:solidFill>
        <a:ln xmlns:a="http://schemas.openxmlformats.org/drawingml/2006/main">
          <a:solidFill>
            <a:prstClr val="black">
              <a:lumMod val="85000"/>
              <a:lumOff val="15000"/>
            </a:prstClr>
          </a:solidFill>
        </a:ln>
      </cdr:spPr>
      <cdr:txBody>
        <a:bodyPr xmlns:a="http://schemas.openxmlformats.org/drawingml/2006/main" vertOverflow="clip" wrap="square" lIns="0" tIns="0" rIns="0" bIns="0" rtlCol="0"/>
        <a:lstStyle xmlns:a="http://schemas.openxmlformats.org/drawingml/2006/main"/>
        <a:p xmlns:a="http://schemas.openxmlformats.org/drawingml/2006/main">
          <a:r>
            <a:rPr lang="cs-CZ" sz="800">
              <a:latin typeface="Arial" pitchFamily="34" charset="0"/>
              <a:cs typeface="Arial" pitchFamily="34" charset="0"/>
            </a:rPr>
            <a:t> Úhrnná plodnost</a:t>
          </a:r>
        </a:p>
      </cdr:txBody>
    </cdr:sp>
  </cdr:relSizeAnchor>
  <cdr:relSizeAnchor xmlns:cdr="http://schemas.openxmlformats.org/drawingml/2006/chartDrawing">
    <cdr:from>
      <cdr:x>0.49331</cdr:x>
      <cdr:y>0.67707</cdr:y>
    </cdr:from>
    <cdr:to>
      <cdr:x>0.96801</cdr:x>
      <cdr:y>0.71452</cdr:y>
    </cdr:to>
    <cdr:sp macro="" textlink="">
      <cdr:nvSpPr>
        <cdr:cNvPr id="17" name="TextovéPole 1"/>
        <cdr:cNvSpPr txBox="1"/>
      </cdr:nvSpPr>
      <cdr:spPr>
        <a:xfrm xmlns:a="http://schemas.openxmlformats.org/drawingml/2006/main">
          <a:off x="2331802" y="2324169"/>
          <a:ext cx="2243884" cy="128560"/>
        </a:xfrm>
        <a:prstGeom xmlns:a="http://schemas.openxmlformats.org/drawingml/2006/main" prst="rect">
          <a:avLst/>
        </a:prstGeom>
        <a:solidFill xmlns:a="http://schemas.openxmlformats.org/drawingml/2006/main">
          <a:schemeClr val="bg1"/>
        </a:solidFill>
        <a:ln xmlns:a="http://schemas.openxmlformats.org/drawingml/2006/main">
          <a:solidFill>
            <a:schemeClr val="tx1">
              <a:lumMod val="95000"/>
              <a:lumOff val="5000"/>
            </a:schemeClr>
          </a:solidFill>
        </a:ln>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800">
              <a:latin typeface="Arial" pitchFamily="34" charset="0"/>
              <a:cs typeface="Arial" pitchFamily="34" charset="0"/>
            </a:rPr>
            <a:t>  Podíl živě narozených dětí mimo manželství (%)</a:t>
          </a:r>
        </a:p>
      </cdr:txBody>
    </cdr:sp>
  </cdr:relSizeAnchor>
  <cdr:relSizeAnchor xmlns:cdr="http://schemas.openxmlformats.org/drawingml/2006/chartDrawing">
    <cdr:from>
      <cdr:x>0.55701</cdr:x>
      <cdr:y>0.75877</cdr:y>
    </cdr:from>
    <cdr:to>
      <cdr:x>0.62046</cdr:x>
      <cdr:y>0.78224</cdr:y>
    </cdr:to>
    <cdr:sp macro="" textlink="">
      <cdr:nvSpPr>
        <cdr:cNvPr id="18" name="Obdélník 4"/>
        <cdr:cNvSpPr/>
      </cdr:nvSpPr>
      <cdr:spPr>
        <a:xfrm xmlns:a="http://schemas.openxmlformats.org/drawingml/2006/main">
          <a:off x="2620561" y="2701309"/>
          <a:ext cx="298513" cy="83555"/>
        </a:xfrm>
        <a:prstGeom xmlns:a="http://schemas.openxmlformats.org/drawingml/2006/main" prst="rect">
          <a:avLst/>
        </a:prstGeom>
        <a:solidFill xmlns:a="http://schemas.openxmlformats.org/drawingml/2006/main">
          <a:srgbClr val="D0CB00"/>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cs-CZ"/>
        </a:p>
      </cdr:txBody>
    </cdr:sp>
  </cdr:relSizeAnchor>
  <cdr:relSizeAnchor xmlns:cdr="http://schemas.openxmlformats.org/drawingml/2006/chartDrawing">
    <cdr:from>
      <cdr:x>0.61981</cdr:x>
      <cdr:y>0.75882</cdr:y>
    </cdr:from>
    <cdr:to>
      <cdr:x>0.68326</cdr:x>
      <cdr:y>0.78229</cdr:y>
    </cdr:to>
    <cdr:sp macro="" textlink="">
      <cdr:nvSpPr>
        <cdr:cNvPr id="19" name="Obdélník 5"/>
        <cdr:cNvSpPr/>
      </cdr:nvSpPr>
      <cdr:spPr>
        <a:xfrm xmlns:a="http://schemas.openxmlformats.org/drawingml/2006/main">
          <a:off x="2916016" y="2701487"/>
          <a:ext cx="298513" cy="83555"/>
        </a:xfrm>
        <a:prstGeom xmlns:a="http://schemas.openxmlformats.org/drawingml/2006/main" prst="rect">
          <a:avLst/>
        </a:prstGeom>
        <a:solidFill xmlns:a="http://schemas.openxmlformats.org/drawingml/2006/main">
          <a:schemeClr val="accent6">
            <a:lumMod val="60000"/>
            <a:lumOff val="40000"/>
          </a:schemeClr>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cs-CZ"/>
        </a:p>
      </cdr:txBody>
    </cdr:sp>
  </cdr:relSizeAnchor>
  <cdr:relSizeAnchor xmlns:cdr="http://schemas.openxmlformats.org/drawingml/2006/chartDrawing">
    <cdr:from>
      <cdr:x>0.68417</cdr:x>
      <cdr:y>0.75839</cdr:y>
    </cdr:from>
    <cdr:to>
      <cdr:x>0.74762</cdr:x>
      <cdr:y>0.78186</cdr:y>
    </cdr:to>
    <cdr:sp macro="" textlink="">
      <cdr:nvSpPr>
        <cdr:cNvPr id="20" name="Obdélník 6"/>
        <cdr:cNvSpPr/>
      </cdr:nvSpPr>
      <cdr:spPr>
        <a:xfrm xmlns:a="http://schemas.openxmlformats.org/drawingml/2006/main">
          <a:off x="3218810" y="2699956"/>
          <a:ext cx="298513" cy="83555"/>
        </a:xfrm>
        <a:prstGeom xmlns:a="http://schemas.openxmlformats.org/drawingml/2006/main" prst="rect">
          <a:avLst/>
        </a:prstGeom>
        <a:solidFill xmlns:a="http://schemas.openxmlformats.org/drawingml/2006/main">
          <a:srgbClr val="FF8B8B"/>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cs-CZ"/>
        </a:p>
      </cdr:txBody>
    </cdr:sp>
  </cdr:relSizeAnchor>
  <cdr:relSizeAnchor xmlns:cdr="http://schemas.openxmlformats.org/drawingml/2006/chartDrawing">
    <cdr:from>
      <cdr:x>0.74878</cdr:x>
      <cdr:y>0.75839</cdr:y>
    </cdr:from>
    <cdr:to>
      <cdr:x>0.81223</cdr:x>
      <cdr:y>0.78186</cdr:y>
    </cdr:to>
    <cdr:sp macro="" textlink="">
      <cdr:nvSpPr>
        <cdr:cNvPr id="21" name="Obdélník 7"/>
        <cdr:cNvSpPr/>
      </cdr:nvSpPr>
      <cdr:spPr>
        <a:xfrm xmlns:a="http://schemas.openxmlformats.org/drawingml/2006/main">
          <a:off x="3522781" y="2699956"/>
          <a:ext cx="298513" cy="83555"/>
        </a:xfrm>
        <a:prstGeom xmlns:a="http://schemas.openxmlformats.org/drawingml/2006/main" prst="rect">
          <a:avLst/>
        </a:prstGeom>
        <a:solidFill xmlns:a="http://schemas.openxmlformats.org/drawingml/2006/main">
          <a:srgbClr val="FF0000"/>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cs-CZ"/>
        </a:p>
      </cdr:txBody>
    </cdr:sp>
  </cdr:relSizeAnchor>
  <cdr:relSizeAnchor xmlns:cdr="http://schemas.openxmlformats.org/drawingml/2006/chartDrawing">
    <cdr:from>
      <cdr:x>0.813</cdr:x>
      <cdr:y>0.75855</cdr:y>
    </cdr:from>
    <cdr:to>
      <cdr:x>0.87645</cdr:x>
      <cdr:y>0.78201</cdr:y>
    </cdr:to>
    <cdr:sp macro="" textlink="">
      <cdr:nvSpPr>
        <cdr:cNvPr id="22" name="Obdélník 8"/>
        <cdr:cNvSpPr/>
      </cdr:nvSpPr>
      <cdr:spPr>
        <a:xfrm xmlns:a="http://schemas.openxmlformats.org/drawingml/2006/main">
          <a:off x="3824917" y="2700525"/>
          <a:ext cx="298513" cy="83520"/>
        </a:xfrm>
        <a:prstGeom xmlns:a="http://schemas.openxmlformats.org/drawingml/2006/main" prst="rect">
          <a:avLst/>
        </a:prstGeom>
        <a:solidFill xmlns:a="http://schemas.openxmlformats.org/drawingml/2006/main">
          <a:srgbClr val="920000"/>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cs-CZ"/>
        </a:p>
      </cdr:txBody>
    </cdr:sp>
  </cdr:relSizeAnchor>
  <cdr:relSizeAnchor xmlns:cdr="http://schemas.openxmlformats.org/drawingml/2006/chartDrawing">
    <cdr:from>
      <cdr:x>0.49364</cdr:x>
      <cdr:y>0.75895</cdr:y>
    </cdr:from>
    <cdr:to>
      <cdr:x>0.55709</cdr:x>
      <cdr:y>0.78242</cdr:y>
    </cdr:to>
    <cdr:sp macro="" textlink="">
      <cdr:nvSpPr>
        <cdr:cNvPr id="23" name="Obdélník 10"/>
        <cdr:cNvSpPr/>
      </cdr:nvSpPr>
      <cdr:spPr>
        <a:xfrm xmlns:a="http://schemas.openxmlformats.org/drawingml/2006/main">
          <a:off x="2322424" y="2701950"/>
          <a:ext cx="298513" cy="83555"/>
        </a:xfrm>
        <a:prstGeom xmlns:a="http://schemas.openxmlformats.org/drawingml/2006/main" prst="rect">
          <a:avLst/>
        </a:prstGeom>
        <a:solidFill xmlns:a="http://schemas.openxmlformats.org/drawingml/2006/main">
          <a:srgbClr val="FFFF53"/>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cs-CZ"/>
        </a:p>
      </cdr:txBody>
    </cdr:sp>
  </cdr:relSizeAnchor>
  <cdr:relSizeAnchor xmlns:cdr="http://schemas.openxmlformats.org/drawingml/2006/chartDrawing">
    <cdr:from>
      <cdr:x>0.51409</cdr:x>
      <cdr:y>0.72145</cdr:y>
    </cdr:from>
    <cdr:to>
      <cdr:x>0.94822</cdr:x>
      <cdr:y>0.75061</cdr:y>
    </cdr:to>
    <cdr:sp macro="" textlink="">
      <cdr:nvSpPr>
        <cdr:cNvPr id="24" name="TextovéPole 1"/>
        <cdr:cNvSpPr txBox="1"/>
      </cdr:nvSpPr>
      <cdr:spPr>
        <a:xfrm xmlns:a="http://schemas.openxmlformats.org/drawingml/2006/main">
          <a:off x="2429220" y="2523357"/>
          <a:ext cx="2051397" cy="101993"/>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700">
              <a:latin typeface="Arial" pitchFamily="34" charset="0"/>
              <a:cs typeface="Arial" pitchFamily="34" charset="0"/>
            </a:rPr>
            <a:t>    </a:t>
          </a:r>
          <a:r>
            <a:rPr lang="cs-CZ" sz="700" baseline="0">
              <a:latin typeface="Arial" pitchFamily="34" charset="0"/>
              <a:cs typeface="Arial" pitchFamily="34" charset="0"/>
            </a:rPr>
            <a:t> </a:t>
          </a:r>
          <a:r>
            <a:rPr lang="cs-CZ" sz="700">
              <a:latin typeface="Arial" pitchFamily="34" charset="0"/>
              <a:cs typeface="Arial" pitchFamily="34" charset="0"/>
            </a:rPr>
            <a:t>10        20         30        40        50        60</a:t>
          </a:r>
        </a:p>
      </cdr:txBody>
    </cdr:sp>
  </cdr:relSizeAnchor>
  <cdr:relSizeAnchor xmlns:cdr="http://schemas.openxmlformats.org/drawingml/2006/chartDrawing">
    <cdr:from>
      <cdr:x>0.87669</cdr:x>
      <cdr:y>0.75866</cdr:y>
    </cdr:from>
    <cdr:to>
      <cdr:x>0.94014</cdr:x>
      <cdr:y>0.78212</cdr:y>
    </cdr:to>
    <cdr:sp macro="" textlink="">
      <cdr:nvSpPr>
        <cdr:cNvPr id="25" name="Obdélník 12"/>
        <cdr:cNvSpPr/>
      </cdr:nvSpPr>
      <cdr:spPr>
        <a:xfrm xmlns:a="http://schemas.openxmlformats.org/drawingml/2006/main">
          <a:off x="4124559" y="2700917"/>
          <a:ext cx="298513" cy="83520"/>
        </a:xfrm>
        <a:prstGeom xmlns:a="http://schemas.openxmlformats.org/drawingml/2006/main" prst="rect">
          <a:avLst/>
        </a:prstGeom>
        <a:solidFill xmlns:a="http://schemas.openxmlformats.org/drawingml/2006/main">
          <a:srgbClr val="663300"/>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cs-CZ"/>
        </a:p>
      </cdr:txBody>
    </cdr:sp>
  </cdr:relSizeAnchor>
  <cdr:relSizeAnchor xmlns:cdr="http://schemas.openxmlformats.org/drawingml/2006/chartDrawing">
    <cdr:from>
      <cdr:x>0.30634</cdr:x>
      <cdr:y>0.29294</cdr:y>
    </cdr:from>
    <cdr:to>
      <cdr:x>0.32954</cdr:x>
      <cdr:y>0.33465</cdr:y>
    </cdr:to>
    <cdr:sp macro="" textlink="">
      <cdr:nvSpPr>
        <cdr:cNvPr id="26" name="Přímá spojovací šipka 14"/>
        <cdr:cNvSpPr/>
      </cdr:nvSpPr>
      <cdr:spPr>
        <a:xfrm xmlns:a="http://schemas.openxmlformats.org/drawingml/2006/main" flipV="1">
          <a:off x="992605" y="774637"/>
          <a:ext cx="75183" cy="110296"/>
        </a:xfrm>
        <a:prstGeom xmlns:a="http://schemas.openxmlformats.org/drawingml/2006/main" prst="straightConnector1">
          <a:avLst/>
        </a:prstGeom>
        <a:ln xmlns:a="http://schemas.openxmlformats.org/drawingml/2006/main">
          <a:solidFill>
            <a:schemeClr val="tx1">
              <a:lumMod val="95000"/>
              <a:lumOff val="5000"/>
            </a:schemeClr>
          </a:solidFill>
          <a:headEnd w="sm" len="sm"/>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cs-CZ"/>
        </a:p>
      </cdr:txBody>
    </cdr:sp>
  </cdr:relSizeAnchor>
  <cdr:relSizeAnchor xmlns:cdr="http://schemas.openxmlformats.org/drawingml/2006/chartDrawing">
    <cdr:from>
      <cdr:x>0.55026</cdr:x>
      <cdr:y>0.2535</cdr:y>
    </cdr:from>
    <cdr:to>
      <cdr:x>0.57035</cdr:x>
      <cdr:y>0.27763</cdr:y>
    </cdr:to>
    <cdr:sp macro="" textlink="">
      <cdr:nvSpPr>
        <cdr:cNvPr id="27" name="Kosočtverec 13"/>
        <cdr:cNvSpPr/>
      </cdr:nvSpPr>
      <cdr:spPr>
        <a:xfrm xmlns:a="http://schemas.openxmlformats.org/drawingml/2006/main">
          <a:off x="1774958" y="680792"/>
          <a:ext cx="64800" cy="64800"/>
        </a:xfrm>
        <a:prstGeom xmlns:a="http://schemas.openxmlformats.org/drawingml/2006/main" prst="diamond">
          <a:avLst/>
        </a:prstGeom>
        <a:solidFill xmlns:a="http://schemas.openxmlformats.org/drawingml/2006/main">
          <a:srgbClr val="663300"/>
        </a:solidFill>
        <a:ln xmlns:a="http://schemas.openxmlformats.org/drawingml/2006/main" w="6350">
          <a:solidFill>
            <a:schemeClr val="bg1">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cs-CZ"/>
        </a:p>
      </cdr:txBody>
    </cdr:sp>
  </cdr:relSizeAnchor>
  <cdr:relSizeAnchor xmlns:cdr="http://schemas.openxmlformats.org/drawingml/2006/chartDrawing">
    <cdr:from>
      <cdr:x>0.57468</cdr:x>
      <cdr:y>0.25238</cdr:y>
    </cdr:from>
    <cdr:to>
      <cdr:x>0.61945</cdr:x>
      <cdr:y>0.29013</cdr:y>
    </cdr:to>
    <cdr:sp macro="" textlink="">
      <cdr:nvSpPr>
        <cdr:cNvPr id="28" name="TextovéPole 27"/>
        <cdr:cNvSpPr txBox="1"/>
      </cdr:nvSpPr>
      <cdr:spPr>
        <a:xfrm xmlns:a="http://schemas.openxmlformats.org/drawingml/2006/main">
          <a:off x="1853736" y="677776"/>
          <a:ext cx="144411" cy="10139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cs-CZ" sz="700">
              <a:latin typeface="Arial" pitchFamily="34" charset="0"/>
              <a:cs typeface="Arial" pitchFamily="34" charset="0"/>
            </a:rPr>
            <a:t>IS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6F79D-A849-4EE9-ABC9-12FF96C5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3</TotalTime>
  <Pages>4</Pages>
  <Words>1777</Words>
  <Characters>10485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Ing. Karolína Súkupová</cp:lastModifiedBy>
  <cp:revision>3</cp:revision>
  <cp:lastPrinted>2017-08-30T12:10:00Z</cp:lastPrinted>
  <dcterms:created xsi:type="dcterms:W3CDTF">2017-09-13T10:49:00Z</dcterms:created>
  <dcterms:modified xsi:type="dcterms:W3CDTF">2017-09-13T11:20:00Z</dcterms:modified>
</cp:coreProperties>
</file>