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F2E" w:rsidRPr="00806BED" w:rsidRDefault="00521807">
      <w:pPr>
        <w:jc w:val="center"/>
        <w:rPr>
          <w:rFonts w:ascii="Arial" w:hAnsi="Arial" w:cs="Arial"/>
          <w:bCs/>
          <w:i/>
          <w:iCs/>
          <w:sz w:val="20"/>
          <w:szCs w:val="20"/>
        </w:rPr>
      </w:pPr>
      <w:bookmarkStart w:id="0" w:name="_GoBack"/>
      <w:bookmarkEnd w:id="0"/>
      <w:r>
        <w:rPr>
          <w:rFonts w:ascii="Arial" w:hAnsi="Arial" w:cs="Arial"/>
          <w:b/>
          <w:bCs/>
          <w:i/>
          <w:iCs/>
        </w:rPr>
        <w:t>20</w:t>
      </w:r>
      <w:r w:rsidR="00826F27" w:rsidRPr="00806BED">
        <w:rPr>
          <w:rFonts w:ascii="Arial" w:hAnsi="Arial" w:cs="Arial"/>
          <w:b/>
          <w:bCs/>
          <w:i/>
          <w:iCs/>
        </w:rPr>
        <w:t>. TRANSPORT</w:t>
      </w:r>
      <w:r w:rsidR="00200B83" w:rsidRPr="00806BED">
        <w:rPr>
          <w:rFonts w:ascii="Arial" w:hAnsi="Arial" w:cs="Arial"/>
          <w:b/>
          <w:bCs/>
          <w:i/>
          <w:iCs/>
        </w:rPr>
        <w:t>ATION</w:t>
      </w:r>
      <w:r w:rsidR="008F58B7" w:rsidRPr="00806BED">
        <w:rPr>
          <w:rFonts w:ascii="Arial" w:hAnsi="Arial" w:cs="Arial"/>
          <w:b/>
          <w:bCs/>
          <w:i/>
          <w:iCs/>
        </w:rPr>
        <w:t>, INFORMATION AND COMMUNICATION</w:t>
      </w:r>
    </w:p>
    <w:p w:rsidR="00D62F2E" w:rsidRPr="00806BED" w:rsidRDefault="00D62F2E" w:rsidP="00CE7BB9">
      <w:pPr>
        <w:rPr>
          <w:rFonts w:ascii="Arial" w:hAnsi="Arial" w:cs="Arial"/>
          <w:b/>
          <w:i/>
          <w:iCs/>
          <w:sz w:val="20"/>
        </w:rPr>
      </w:pPr>
    </w:p>
    <w:p w:rsidR="00284786" w:rsidRPr="00806BED" w:rsidRDefault="00284786" w:rsidP="00CE7BB9">
      <w:pPr>
        <w:ind w:firstLine="709"/>
        <w:jc w:val="both"/>
        <w:rPr>
          <w:rFonts w:ascii="Arial" w:hAnsi="Arial" w:cs="Arial"/>
          <w:i/>
          <w:iCs/>
          <w:sz w:val="20"/>
        </w:rPr>
      </w:pPr>
      <w:r w:rsidRPr="00806BED">
        <w:rPr>
          <w:rFonts w:ascii="Arial" w:hAnsi="Arial" w:cs="Arial"/>
          <w:i/>
          <w:iCs/>
          <w:sz w:val="20"/>
        </w:rPr>
        <w:t>This chapter contains natural indicators for transport and financial indicators on businesses classified according to the Classification of Economic Activities (CZ-NACE)</w:t>
      </w:r>
      <w:r>
        <w:rPr>
          <w:rFonts w:ascii="Arial" w:hAnsi="Arial" w:cs="Arial"/>
          <w:i/>
          <w:iCs/>
          <w:sz w:val="20"/>
        </w:rPr>
        <w:t>,</w:t>
      </w:r>
      <w:r w:rsidRPr="0032171F">
        <w:rPr>
          <w:rFonts w:ascii="Arial" w:hAnsi="Arial" w:cs="Arial"/>
          <w:i/>
          <w:iCs/>
          <w:sz w:val="20"/>
          <w:szCs w:val="20"/>
        </w:rPr>
        <w:t xml:space="preserve"> </w:t>
      </w:r>
      <w:r>
        <w:rPr>
          <w:rFonts w:ascii="Arial" w:hAnsi="Arial" w:cs="Arial"/>
          <w:i/>
          <w:iCs/>
          <w:sz w:val="20"/>
          <w:szCs w:val="20"/>
        </w:rPr>
        <w:t>a</w:t>
      </w:r>
      <w:r w:rsidRPr="009F01FD">
        <w:rPr>
          <w:rFonts w:ascii="Arial" w:hAnsi="Arial" w:cs="Arial"/>
          <w:i/>
          <w:iCs/>
          <w:sz w:val="20"/>
          <w:szCs w:val="20"/>
        </w:rPr>
        <w:t xml:space="preserve"> </w:t>
      </w:r>
      <w:r>
        <w:rPr>
          <w:rFonts w:ascii="Arial" w:hAnsi="Arial" w:cs="Arial"/>
          <w:i/>
          <w:iCs/>
          <w:sz w:val="20"/>
          <w:szCs w:val="20"/>
        </w:rPr>
        <w:t xml:space="preserve">national version of </w:t>
      </w:r>
      <w:r w:rsidRPr="0021397C">
        <w:rPr>
          <w:rFonts w:ascii="Arial" w:hAnsi="Arial" w:cs="Arial"/>
          <w:i/>
          <w:iCs/>
          <w:sz w:val="20"/>
          <w:szCs w:val="20"/>
        </w:rPr>
        <w:t>Statistical classification of economic activit</w:t>
      </w:r>
      <w:r>
        <w:rPr>
          <w:rFonts w:ascii="Arial" w:hAnsi="Arial" w:cs="Arial"/>
          <w:i/>
          <w:iCs/>
          <w:sz w:val="20"/>
          <w:szCs w:val="20"/>
        </w:rPr>
        <w:t>i</w:t>
      </w:r>
      <w:r w:rsidRPr="0021397C">
        <w:rPr>
          <w:rFonts w:ascii="Arial" w:hAnsi="Arial" w:cs="Arial"/>
          <w:i/>
          <w:iCs/>
          <w:sz w:val="20"/>
          <w:szCs w:val="20"/>
        </w:rPr>
        <w:t>es</w:t>
      </w:r>
      <w:r>
        <w:rPr>
          <w:rFonts w:ascii="Arial" w:hAnsi="Arial" w:cs="Arial"/>
          <w:i/>
          <w:iCs/>
          <w:sz w:val="20"/>
          <w:szCs w:val="20"/>
        </w:rPr>
        <w:t xml:space="preserve"> </w:t>
      </w:r>
      <w:r w:rsidRPr="0021397C">
        <w:rPr>
          <w:rFonts w:ascii="Arial" w:hAnsi="Arial" w:cs="Arial"/>
          <w:i/>
          <w:iCs/>
          <w:sz w:val="20"/>
          <w:szCs w:val="20"/>
        </w:rPr>
        <w:t>in the European Community (NACE Rev.2)</w:t>
      </w:r>
      <w:r>
        <w:rPr>
          <w:rFonts w:ascii="Arial" w:hAnsi="Arial" w:cs="Arial"/>
          <w:i/>
          <w:iCs/>
          <w:sz w:val="20"/>
          <w:szCs w:val="20"/>
        </w:rPr>
        <w:t>,</w:t>
      </w:r>
      <w:r w:rsidRPr="00806BED">
        <w:rPr>
          <w:rFonts w:ascii="Arial" w:hAnsi="Arial" w:cs="Arial"/>
          <w:i/>
          <w:iCs/>
          <w:sz w:val="20"/>
        </w:rPr>
        <w:t xml:space="preserve"> to the section H – Transportation and Storage and the section J – Information and Communication.</w:t>
      </w:r>
    </w:p>
    <w:p w:rsidR="00D62F2E" w:rsidRPr="00806BED" w:rsidRDefault="0043130F" w:rsidP="00CE7BB9">
      <w:pPr>
        <w:spacing w:before="120"/>
        <w:ind w:firstLine="709"/>
        <w:jc w:val="both"/>
        <w:rPr>
          <w:rFonts w:ascii="Arial" w:hAnsi="Arial" w:cs="Arial"/>
          <w:i/>
          <w:iCs/>
          <w:sz w:val="20"/>
        </w:rPr>
      </w:pPr>
      <w:r w:rsidRPr="00806BED">
        <w:rPr>
          <w:rFonts w:ascii="Arial" w:hAnsi="Arial" w:cs="Arial"/>
          <w:i/>
          <w:iCs/>
          <w:sz w:val="20"/>
        </w:rPr>
        <w:t>The </w:t>
      </w:r>
      <w:r w:rsidR="008F58B7" w:rsidRPr="00806BED">
        <w:rPr>
          <w:rFonts w:ascii="Arial" w:hAnsi="Arial" w:cs="Arial"/>
          <w:i/>
          <w:iCs/>
          <w:sz w:val="20"/>
        </w:rPr>
        <w:t xml:space="preserve">section H </w:t>
      </w:r>
      <w:r w:rsidR="00965700" w:rsidRPr="00806BED">
        <w:rPr>
          <w:rFonts w:ascii="Arial" w:hAnsi="Arial" w:cs="Arial"/>
          <w:i/>
          <w:iCs/>
          <w:sz w:val="20"/>
        </w:rPr>
        <w:t>–</w:t>
      </w:r>
      <w:r w:rsidR="0095039B" w:rsidRPr="00806BED">
        <w:rPr>
          <w:rFonts w:ascii="Arial" w:hAnsi="Arial" w:cs="Arial"/>
          <w:i/>
          <w:iCs/>
          <w:sz w:val="20"/>
        </w:rPr>
        <w:t xml:space="preserve"> </w:t>
      </w:r>
      <w:r w:rsidR="008F58B7" w:rsidRPr="00806BED">
        <w:rPr>
          <w:rFonts w:ascii="Arial" w:hAnsi="Arial" w:cs="Arial"/>
          <w:i/>
          <w:iCs/>
          <w:sz w:val="20"/>
        </w:rPr>
        <w:t xml:space="preserve">Transportation and Storage involves </w:t>
      </w:r>
      <w:r w:rsidR="00D62F2E" w:rsidRPr="00806BED">
        <w:rPr>
          <w:rFonts w:ascii="Arial" w:hAnsi="Arial" w:cs="Arial"/>
          <w:i/>
          <w:iCs/>
          <w:sz w:val="20"/>
        </w:rPr>
        <w:t xml:space="preserve">businesses </w:t>
      </w:r>
      <w:r w:rsidR="004F2F13" w:rsidRPr="00806BED">
        <w:rPr>
          <w:rFonts w:ascii="Arial" w:hAnsi="Arial" w:cs="Arial"/>
          <w:i/>
          <w:iCs/>
          <w:sz w:val="20"/>
        </w:rPr>
        <w:t xml:space="preserve">engaged in </w:t>
      </w:r>
      <w:r w:rsidRPr="00806BED">
        <w:rPr>
          <w:rFonts w:ascii="Arial" w:hAnsi="Arial" w:cs="Arial"/>
          <w:i/>
          <w:iCs/>
          <w:sz w:val="20"/>
        </w:rPr>
        <w:t>the </w:t>
      </w:r>
      <w:r w:rsidR="004F2F13" w:rsidRPr="00806BED">
        <w:rPr>
          <w:rFonts w:ascii="Arial" w:hAnsi="Arial" w:cs="Arial"/>
          <w:i/>
          <w:iCs/>
          <w:sz w:val="20"/>
        </w:rPr>
        <w:t xml:space="preserve">transport of passengers and cargo, storage, auxiliary transport </w:t>
      </w:r>
      <w:r w:rsidR="00015B47" w:rsidRPr="00806BED">
        <w:rPr>
          <w:rFonts w:ascii="Arial" w:hAnsi="Arial" w:cs="Arial"/>
          <w:i/>
          <w:iCs/>
          <w:sz w:val="20"/>
        </w:rPr>
        <w:t>activities</w:t>
      </w:r>
      <w:r w:rsidR="004F2F13" w:rsidRPr="00806BED">
        <w:rPr>
          <w:rFonts w:ascii="Arial" w:hAnsi="Arial" w:cs="Arial"/>
          <w:i/>
          <w:iCs/>
          <w:sz w:val="20"/>
        </w:rPr>
        <w:t xml:space="preserve"> and postal and courier activities</w:t>
      </w:r>
      <w:r w:rsidR="00D62F2E" w:rsidRPr="00806BED">
        <w:rPr>
          <w:rFonts w:ascii="Arial" w:hAnsi="Arial" w:cs="Arial"/>
          <w:i/>
          <w:iCs/>
          <w:sz w:val="20"/>
        </w:rPr>
        <w:t>.</w:t>
      </w:r>
      <w:r w:rsidR="00350D47" w:rsidRPr="00806BED">
        <w:rPr>
          <w:rFonts w:ascii="Arial" w:hAnsi="Arial" w:cs="Arial"/>
          <w:i/>
          <w:iCs/>
          <w:sz w:val="20"/>
        </w:rPr>
        <w:t xml:space="preserve"> The section J – Information and Communication includes businesses active in, for instance, publishing, film making, programme making and broadcasting, telecommunications, and informati</w:t>
      </w:r>
      <w:r w:rsidR="00587CDB">
        <w:rPr>
          <w:rFonts w:ascii="Arial" w:hAnsi="Arial" w:cs="Arial"/>
          <w:i/>
          <w:iCs/>
          <w:sz w:val="20"/>
        </w:rPr>
        <w:t>on technologies and activities.</w:t>
      </w:r>
    </w:p>
    <w:p w:rsidR="00A75505" w:rsidRPr="00806BED" w:rsidRDefault="00A75505" w:rsidP="00CE7BB9">
      <w:pPr>
        <w:spacing w:before="120"/>
        <w:ind w:firstLine="709"/>
        <w:jc w:val="both"/>
        <w:rPr>
          <w:rFonts w:ascii="Arial" w:hAnsi="Arial" w:cs="Arial"/>
          <w:i/>
          <w:iCs/>
          <w:sz w:val="20"/>
        </w:rPr>
      </w:pPr>
      <w:r w:rsidRPr="00806BED">
        <w:rPr>
          <w:rFonts w:ascii="Arial" w:hAnsi="Arial" w:cs="Arial"/>
          <w:i/>
          <w:iCs/>
          <w:sz w:val="20"/>
        </w:rPr>
        <w:t>The data were obtained from regular statistical surveys conducted by the Czech Statistical Office</w:t>
      </w:r>
      <w:r w:rsidRPr="009E15E7">
        <w:rPr>
          <w:rFonts w:ascii="Arial" w:hAnsi="Arial" w:cs="Arial"/>
          <w:i/>
          <w:iCs/>
          <w:sz w:val="20"/>
        </w:rPr>
        <w:t xml:space="preserve"> </w:t>
      </w:r>
      <w:r>
        <w:rPr>
          <w:rFonts w:ascii="Arial" w:hAnsi="Arial" w:cs="Arial"/>
          <w:i/>
          <w:iCs/>
          <w:sz w:val="20"/>
        </w:rPr>
        <w:t>and also using administrative data sources. Data for natural persons are modelled in full using administrative data. Data for natural indicators are taken from</w:t>
      </w:r>
      <w:r w:rsidRPr="00806BED">
        <w:rPr>
          <w:rFonts w:ascii="Arial" w:hAnsi="Arial" w:cs="Arial"/>
          <w:i/>
          <w:iCs/>
          <w:sz w:val="20"/>
        </w:rPr>
        <w:t xml:space="preserve"> reports of the Ministry of Transport.</w:t>
      </w:r>
    </w:p>
    <w:p w:rsidR="00D62F2E" w:rsidRPr="00806BED" w:rsidRDefault="00D62F2E" w:rsidP="00CE7BB9">
      <w:pPr>
        <w:rPr>
          <w:rFonts w:ascii="Arial" w:hAnsi="Arial" w:cs="Arial"/>
          <w:b/>
          <w:i/>
          <w:iCs/>
          <w:sz w:val="20"/>
        </w:rPr>
      </w:pPr>
    </w:p>
    <w:p w:rsidR="00D62F2E" w:rsidRPr="00806BED" w:rsidRDefault="00D62F2E" w:rsidP="00CE7BB9">
      <w:pPr>
        <w:rPr>
          <w:rFonts w:ascii="Arial" w:hAnsi="Arial" w:cs="Arial"/>
          <w:b/>
          <w:i/>
          <w:iCs/>
          <w:sz w:val="20"/>
        </w:rPr>
      </w:pPr>
    </w:p>
    <w:p w:rsidR="00104FCF" w:rsidRPr="00806BED" w:rsidRDefault="00104FCF" w:rsidP="00104FCF">
      <w:pPr>
        <w:rPr>
          <w:rFonts w:ascii="Arial" w:hAnsi="Arial" w:cs="Arial"/>
          <w:i/>
          <w:sz w:val="20"/>
          <w:szCs w:val="20"/>
        </w:rPr>
      </w:pPr>
    </w:p>
    <w:p w:rsidR="00D62F2E" w:rsidRPr="00CE7BB9" w:rsidRDefault="00D62F2E" w:rsidP="00CE7BB9">
      <w:pPr>
        <w:rPr>
          <w:rFonts w:ascii="Arial" w:hAnsi="Arial" w:cs="Arial"/>
          <w:b/>
          <w:i/>
          <w:iCs/>
          <w:sz w:val="20"/>
        </w:rPr>
      </w:pPr>
      <w:r w:rsidRPr="00CE7BB9">
        <w:rPr>
          <w:rFonts w:ascii="Arial" w:hAnsi="Arial" w:cs="Arial"/>
          <w:b/>
          <w:i/>
          <w:iCs/>
          <w:sz w:val="20"/>
        </w:rPr>
        <w:t xml:space="preserve">Notes on </w:t>
      </w:r>
      <w:r w:rsidR="00BB3E90" w:rsidRPr="00CE7BB9">
        <w:rPr>
          <w:rFonts w:ascii="Arial" w:hAnsi="Arial" w:cs="Arial"/>
          <w:b/>
          <w:i/>
          <w:iCs/>
          <w:sz w:val="20"/>
        </w:rPr>
        <w:t>Tables</w:t>
      </w:r>
    </w:p>
    <w:p w:rsidR="00D62F2E" w:rsidRDefault="00D62F2E">
      <w:pPr>
        <w:jc w:val="both"/>
        <w:rPr>
          <w:rFonts w:ascii="Arial" w:hAnsi="Arial" w:cs="Arial"/>
          <w:i/>
          <w:iCs/>
          <w:sz w:val="20"/>
        </w:rPr>
      </w:pPr>
    </w:p>
    <w:p w:rsidR="003571CB" w:rsidRPr="00806BED" w:rsidRDefault="003571CB">
      <w:pPr>
        <w:jc w:val="both"/>
        <w:rPr>
          <w:rFonts w:ascii="Arial" w:hAnsi="Arial" w:cs="Arial"/>
          <w:i/>
          <w:iCs/>
          <w:sz w:val="20"/>
        </w:rPr>
      </w:pPr>
    </w:p>
    <w:p w:rsidR="003571CB" w:rsidRPr="004F7C66" w:rsidRDefault="003571CB" w:rsidP="003571CB">
      <w:pPr>
        <w:ind w:left="709" w:hanging="709"/>
        <w:jc w:val="both"/>
        <w:rPr>
          <w:rFonts w:ascii="Arial" w:hAnsi="Arial" w:cs="Arial"/>
          <w:bCs/>
          <w:i/>
          <w:iCs/>
          <w:sz w:val="20"/>
        </w:rPr>
      </w:pPr>
      <w:r w:rsidRPr="004F7C66">
        <w:rPr>
          <w:rFonts w:ascii="Arial" w:hAnsi="Arial" w:cs="Arial"/>
          <w:i/>
          <w:iCs/>
          <w:sz w:val="20"/>
        </w:rPr>
        <w:t xml:space="preserve">Tables </w:t>
      </w:r>
      <w:r w:rsidRPr="004F7C66">
        <w:rPr>
          <w:rFonts w:ascii="Arial" w:hAnsi="Arial" w:cs="Arial"/>
          <w:b/>
          <w:bCs/>
          <w:i/>
          <w:iCs/>
          <w:sz w:val="20"/>
        </w:rPr>
        <w:t>20</w:t>
      </w:r>
      <w:r w:rsidRPr="004F7C66">
        <w:rPr>
          <w:rFonts w:ascii="Arial" w:hAnsi="Arial" w:cs="Arial"/>
          <w:i/>
          <w:iCs/>
          <w:sz w:val="20"/>
        </w:rPr>
        <w:t xml:space="preserve">-1 and </w:t>
      </w:r>
      <w:r w:rsidRPr="004F7C66">
        <w:rPr>
          <w:rFonts w:ascii="Arial" w:hAnsi="Arial" w:cs="Arial"/>
          <w:b/>
          <w:bCs/>
          <w:i/>
          <w:iCs/>
          <w:sz w:val="20"/>
        </w:rPr>
        <w:t>20</w:t>
      </w:r>
      <w:r w:rsidRPr="004F7C66">
        <w:rPr>
          <w:rFonts w:ascii="Arial" w:hAnsi="Arial" w:cs="Arial"/>
          <w:i/>
          <w:iCs/>
          <w:sz w:val="20"/>
        </w:rPr>
        <w:t xml:space="preserve">-2, </w:t>
      </w:r>
      <w:r w:rsidRPr="004F7C66">
        <w:rPr>
          <w:rFonts w:ascii="Arial" w:hAnsi="Arial" w:cs="Arial"/>
          <w:b/>
          <w:i/>
          <w:iCs/>
          <w:sz w:val="20"/>
        </w:rPr>
        <w:t>20</w:t>
      </w:r>
      <w:r w:rsidRPr="004F7C66">
        <w:rPr>
          <w:rFonts w:ascii="Arial" w:hAnsi="Arial" w:cs="Arial"/>
          <w:i/>
          <w:iCs/>
          <w:sz w:val="20"/>
        </w:rPr>
        <w:t xml:space="preserve">-13 to </w:t>
      </w:r>
      <w:r w:rsidRPr="004F7C66">
        <w:rPr>
          <w:rFonts w:ascii="Arial" w:hAnsi="Arial" w:cs="Arial"/>
          <w:b/>
          <w:i/>
          <w:iCs/>
          <w:sz w:val="20"/>
        </w:rPr>
        <w:t>20</w:t>
      </w:r>
      <w:r w:rsidRPr="004F7C66">
        <w:rPr>
          <w:rFonts w:ascii="Arial" w:hAnsi="Arial" w:cs="Arial"/>
          <w:i/>
          <w:iCs/>
          <w:sz w:val="20"/>
        </w:rPr>
        <w:t xml:space="preserve">-15 </w:t>
      </w:r>
      <w:r w:rsidRPr="004F7C66">
        <w:rPr>
          <w:rFonts w:ascii="Arial" w:hAnsi="Arial" w:cs="Arial"/>
          <w:b/>
          <w:bCs/>
          <w:i/>
          <w:iCs/>
          <w:sz w:val="20"/>
        </w:rPr>
        <w:t>Basic indicators of transportation and storage and of information and communication</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
          <w:bCs/>
          <w:i/>
          <w:iCs/>
          <w:sz w:val="20"/>
        </w:rPr>
        <w:t>Active enterprises, total</w:t>
      </w:r>
      <w:r w:rsidRPr="004F7C66">
        <w:rPr>
          <w:rFonts w:ascii="Arial" w:hAnsi="Arial" w:cs="Arial"/>
          <w:bCs/>
          <w:i/>
          <w:iCs/>
          <w:sz w:val="20"/>
        </w:rPr>
        <w:t xml:space="preserve"> shall mean the number of enterprises, which were active for a part of a given year, at least.</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
          <w:bCs/>
          <w:i/>
          <w:iCs/>
          <w:sz w:val="20"/>
        </w:rPr>
        <w:t>Employed persons, total</w:t>
      </w:r>
      <w:r w:rsidRPr="004F7C66">
        <w:rPr>
          <w:rFonts w:ascii="Arial" w:hAnsi="Arial" w:cs="Arial"/>
          <w:bCs/>
          <w:i/>
          <w:iCs/>
          <w:sz w:val="20"/>
        </w:rPr>
        <w:t xml:space="preserve"> include the registered number of employees as headcount, the number of family workers, for whom activities in the enterprise is one (main) job, and persons employed on an agreement recalculated to the standard full-time employed (FTE) persons according to hours worked.</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Cs/>
          <w:i/>
          <w:iCs/>
          <w:sz w:val="20"/>
        </w:rPr>
        <w:t>The </w:t>
      </w:r>
      <w:r w:rsidRPr="004F7C66">
        <w:rPr>
          <w:rFonts w:ascii="Arial" w:hAnsi="Arial" w:cs="Arial"/>
          <w:b/>
          <w:bCs/>
          <w:i/>
          <w:iCs/>
          <w:sz w:val="20"/>
        </w:rPr>
        <w:t>average registered number of employees</w:t>
      </w:r>
      <w:r w:rsidRPr="004F7C66">
        <w:rPr>
          <w:rFonts w:ascii="Arial" w:hAnsi="Arial" w:cs="Arial"/>
          <w:bCs/>
          <w:i/>
          <w:iCs/>
          <w:sz w:val="20"/>
        </w:rPr>
        <w:t xml:space="preserve"> is the annual arithmetic average of the number of natural persons having employment contract with the employer. The </w:t>
      </w:r>
      <w:r w:rsidRPr="00877671">
        <w:rPr>
          <w:rFonts w:ascii="Arial" w:hAnsi="Arial" w:cs="Arial"/>
          <w:b/>
          <w:bCs/>
          <w:i/>
          <w:iCs/>
          <w:sz w:val="20"/>
        </w:rPr>
        <w:t>full-time equivalent</w:t>
      </w:r>
      <w:r w:rsidRPr="004F7C66">
        <w:rPr>
          <w:rFonts w:ascii="Arial" w:hAnsi="Arial" w:cs="Arial"/>
          <w:bCs/>
          <w:i/>
          <w:iCs/>
          <w:sz w:val="20"/>
        </w:rPr>
        <w:t xml:space="preserve"> (</w:t>
      </w:r>
      <w:r w:rsidRPr="004F7C66">
        <w:rPr>
          <w:rFonts w:ascii="Arial" w:hAnsi="Arial" w:cs="Arial"/>
          <w:b/>
          <w:bCs/>
          <w:i/>
          <w:iCs/>
          <w:sz w:val="20"/>
        </w:rPr>
        <w:t>FTE) number</w:t>
      </w:r>
      <w:r w:rsidRPr="004F7C66">
        <w:rPr>
          <w:rFonts w:ascii="Arial" w:hAnsi="Arial" w:cs="Arial"/>
          <w:bCs/>
          <w:i/>
          <w:iCs/>
          <w:sz w:val="20"/>
        </w:rPr>
        <w:t xml:space="preserve"> of employees is the </w:t>
      </w:r>
      <w:r w:rsidRPr="00877671">
        <w:rPr>
          <w:rFonts w:ascii="Arial" w:hAnsi="Arial" w:cs="Arial"/>
          <w:bCs/>
          <w:i/>
          <w:iCs/>
          <w:sz w:val="20"/>
        </w:rPr>
        <w:t>average registered number of employees</w:t>
      </w:r>
      <w:r w:rsidRPr="004F7C66">
        <w:rPr>
          <w:rFonts w:ascii="Arial" w:hAnsi="Arial" w:cs="Arial"/>
          <w:bCs/>
          <w:i/>
          <w:iCs/>
          <w:sz w:val="20"/>
        </w:rPr>
        <w:t xml:space="preserve"> recalculated to full-time jobs. </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
          <w:bCs/>
          <w:i/>
          <w:iCs/>
          <w:sz w:val="20"/>
        </w:rPr>
        <w:t>Wages, excluding other personnel expenses,</w:t>
      </w:r>
      <w:r w:rsidRPr="004F7C66">
        <w:rPr>
          <w:rFonts w:ascii="Arial" w:hAnsi="Arial" w:cs="Arial"/>
          <w:bCs/>
          <w:i/>
          <w:iCs/>
          <w:sz w:val="20"/>
        </w:rPr>
        <w:t xml:space="preserve"> include basic wages and salaries of employees having employment contract (wage rate, salary scale, and contractual wage), extra and additional payments, bonuses, rewards, compensations of wages and salaries, standby duty supplements, and other components of wages or salaries.</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Cs/>
          <w:i/>
          <w:iCs/>
          <w:sz w:val="20"/>
        </w:rPr>
        <w:t>The </w:t>
      </w:r>
      <w:r w:rsidRPr="004F7C66">
        <w:rPr>
          <w:rFonts w:ascii="Arial" w:hAnsi="Arial" w:cs="Arial"/>
          <w:b/>
          <w:bCs/>
          <w:i/>
          <w:iCs/>
          <w:sz w:val="20"/>
        </w:rPr>
        <w:t>average gross monthly wage</w:t>
      </w:r>
      <w:r w:rsidRPr="004F7C66">
        <w:rPr>
          <w:rFonts w:ascii="Arial" w:hAnsi="Arial" w:cs="Arial"/>
          <w:bCs/>
          <w:i/>
          <w:iCs/>
          <w:sz w:val="20"/>
        </w:rPr>
        <w:t xml:space="preserve"> shall mean the wage without other personnel costs per employee (as headcount or FTE person) and month.</w:t>
      </w:r>
    </w:p>
    <w:p w:rsidR="00247E9D" w:rsidRPr="00806BED" w:rsidRDefault="003571CB" w:rsidP="003571CB">
      <w:pPr>
        <w:spacing w:before="120"/>
        <w:ind w:firstLine="709"/>
        <w:jc w:val="both"/>
        <w:rPr>
          <w:rFonts w:ascii="Arial" w:hAnsi="Arial" w:cs="Arial"/>
          <w:bCs/>
          <w:i/>
          <w:iCs/>
          <w:sz w:val="20"/>
        </w:rPr>
      </w:pPr>
      <w:r w:rsidRPr="004F7C66">
        <w:rPr>
          <w:rFonts w:ascii="Arial" w:hAnsi="Arial" w:cs="Arial"/>
          <w:b/>
          <w:bCs/>
          <w:i/>
          <w:iCs/>
          <w:sz w:val="20"/>
        </w:rPr>
        <w:t>Sales of products and services and of goods for resale</w:t>
      </w:r>
      <w:r w:rsidRPr="004F7C66">
        <w:rPr>
          <w:rFonts w:ascii="Arial" w:hAnsi="Arial" w:cs="Arial"/>
          <w:bCs/>
          <w:i/>
          <w:iCs/>
          <w:sz w:val="20"/>
        </w:rPr>
        <w:t xml:space="preserve"> include revenues, excluding VAT, from sales of goods, products, and services.</w:t>
      </w:r>
      <w:r w:rsidR="00877671">
        <w:rPr>
          <w:rFonts w:ascii="Arial" w:hAnsi="Arial" w:cs="Arial"/>
          <w:bCs/>
          <w:i/>
          <w:iCs/>
          <w:sz w:val="20"/>
        </w:rPr>
        <w:t xml:space="preserve"> </w:t>
      </w:r>
      <w:r w:rsidR="00AF2EBC" w:rsidRPr="00806BED">
        <w:rPr>
          <w:rFonts w:ascii="Arial" w:hAnsi="Arial" w:cs="Arial"/>
          <w:b/>
          <w:bCs/>
          <w:i/>
          <w:iCs/>
          <w:sz w:val="20"/>
        </w:rPr>
        <w:t>Sales, total</w:t>
      </w:r>
      <w:r w:rsidR="00247E9D" w:rsidRPr="00806BED">
        <w:rPr>
          <w:rFonts w:ascii="Arial" w:hAnsi="Arial" w:cs="Arial"/>
          <w:bCs/>
          <w:i/>
          <w:iCs/>
          <w:sz w:val="20"/>
        </w:rPr>
        <w:t xml:space="preserve"> include</w:t>
      </w:r>
      <w:r w:rsidR="00514557" w:rsidRPr="00806BED">
        <w:rPr>
          <w:rFonts w:ascii="Arial" w:hAnsi="Arial" w:cs="Arial"/>
          <w:bCs/>
          <w:i/>
          <w:iCs/>
          <w:sz w:val="20"/>
        </w:rPr>
        <w:t xml:space="preserve"> revenues,</w:t>
      </w:r>
      <w:r w:rsidR="00247E9D" w:rsidRPr="00806BED">
        <w:rPr>
          <w:rFonts w:ascii="Arial" w:hAnsi="Arial" w:cs="Arial"/>
          <w:bCs/>
          <w:i/>
          <w:iCs/>
          <w:sz w:val="20"/>
        </w:rPr>
        <w:t xml:space="preserve"> </w:t>
      </w:r>
      <w:r w:rsidR="00514557" w:rsidRPr="00806BED">
        <w:rPr>
          <w:rFonts w:ascii="Arial" w:hAnsi="Arial" w:cs="Arial"/>
          <w:bCs/>
          <w:i/>
          <w:iCs/>
          <w:sz w:val="20"/>
        </w:rPr>
        <w:t xml:space="preserve">excluding VAT, </w:t>
      </w:r>
      <w:r w:rsidR="00371984">
        <w:rPr>
          <w:rFonts w:ascii="Arial" w:hAnsi="Arial" w:cs="Arial"/>
          <w:bCs/>
          <w:i/>
          <w:iCs/>
          <w:sz w:val="20"/>
        </w:rPr>
        <w:t>from</w:t>
      </w:r>
      <w:r w:rsidR="00514557" w:rsidRPr="00806BED">
        <w:rPr>
          <w:rFonts w:ascii="Arial" w:hAnsi="Arial" w:cs="Arial"/>
          <w:bCs/>
          <w:i/>
          <w:iCs/>
          <w:sz w:val="20"/>
        </w:rPr>
        <w:t xml:space="preserve"> </w:t>
      </w:r>
      <w:r w:rsidR="00371984" w:rsidRPr="00806BED">
        <w:rPr>
          <w:rFonts w:ascii="Arial" w:hAnsi="Arial" w:cs="Arial"/>
          <w:bCs/>
          <w:i/>
          <w:iCs/>
          <w:sz w:val="20"/>
        </w:rPr>
        <w:t>sale</w:t>
      </w:r>
      <w:r w:rsidR="00371984">
        <w:rPr>
          <w:rFonts w:ascii="Arial" w:hAnsi="Arial" w:cs="Arial"/>
          <w:bCs/>
          <w:i/>
          <w:iCs/>
          <w:sz w:val="20"/>
        </w:rPr>
        <w:t>s of</w:t>
      </w:r>
      <w:r w:rsidR="00371984" w:rsidRPr="00806BED">
        <w:rPr>
          <w:rFonts w:ascii="Arial" w:hAnsi="Arial" w:cs="Arial"/>
          <w:bCs/>
          <w:i/>
          <w:iCs/>
          <w:sz w:val="20"/>
        </w:rPr>
        <w:t xml:space="preserve"> </w:t>
      </w:r>
      <w:r w:rsidR="00701B6C" w:rsidRPr="00806BED">
        <w:rPr>
          <w:rFonts w:ascii="Arial" w:hAnsi="Arial" w:cs="Arial"/>
          <w:bCs/>
          <w:i/>
          <w:iCs/>
          <w:sz w:val="20"/>
        </w:rPr>
        <w:t>goods</w:t>
      </w:r>
      <w:r w:rsidR="00247E9D" w:rsidRPr="00806BED">
        <w:rPr>
          <w:rFonts w:ascii="Arial" w:hAnsi="Arial" w:cs="Arial"/>
          <w:bCs/>
          <w:i/>
          <w:iCs/>
          <w:sz w:val="20"/>
        </w:rPr>
        <w:t xml:space="preserve">, </w:t>
      </w:r>
      <w:r w:rsidR="00371984">
        <w:rPr>
          <w:rFonts w:ascii="Arial" w:hAnsi="Arial" w:cs="Arial"/>
          <w:bCs/>
          <w:i/>
          <w:iCs/>
          <w:sz w:val="20"/>
        </w:rPr>
        <w:t>products</w:t>
      </w:r>
      <w:r w:rsidR="00514557" w:rsidRPr="00806BED">
        <w:rPr>
          <w:rFonts w:ascii="Arial" w:hAnsi="Arial" w:cs="Arial"/>
          <w:bCs/>
          <w:i/>
          <w:iCs/>
          <w:sz w:val="20"/>
        </w:rPr>
        <w:t>,</w:t>
      </w:r>
      <w:r w:rsidR="00701B6C" w:rsidRPr="00806BED">
        <w:rPr>
          <w:rFonts w:ascii="Arial" w:hAnsi="Arial" w:cs="Arial"/>
          <w:bCs/>
          <w:i/>
          <w:iCs/>
          <w:sz w:val="20"/>
        </w:rPr>
        <w:t xml:space="preserve"> a</w:t>
      </w:r>
      <w:r w:rsidR="00247E9D" w:rsidRPr="00806BED">
        <w:rPr>
          <w:rFonts w:ascii="Arial" w:hAnsi="Arial" w:cs="Arial"/>
          <w:bCs/>
          <w:i/>
          <w:iCs/>
          <w:sz w:val="20"/>
        </w:rPr>
        <w:t>nd service</w:t>
      </w:r>
      <w:r w:rsidR="00701B6C" w:rsidRPr="00806BED">
        <w:rPr>
          <w:rFonts w:ascii="Arial" w:hAnsi="Arial" w:cs="Arial"/>
          <w:bCs/>
          <w:i/>
          <w:iCs/>
          <w:sz w:val="20"/>
        </w:rPr>
        <w:t>s</w:t>
      </w:r>
      <w:r w:rsidR="00247E9D" w:rsidRPr="00806BED">
        <w:rPr>
          <w:rFonts w:ascii="Arial" w:hAnsi="Arial" w:cs="Arial"/>
          <w:bCs/>
          <w:i/>
          <w:iCs/>
          <w:sz w:val="20"/>
        </w:rPr>
        <w:t>.</w:t>
      </w:r>
    </w:p>
    <w:p w:rsidR="00247E9D" w:rsidRPr="00806BED" w:rsidRDefault="00247E9D" w:rsidP="00167185">
      <w:pPr>
        <w:spacing w:before="120"/>
        <w:ind w:firstLine="709"/>
        <w:jc w:val="both"/>
        <w:rPr>
          <w:rFonts w:ascii="Arial" w:hAnsi="Arial" w:cs="Arial"/>
          <w:bCs/>
          <w:i/>
          <w:iCs/>
          <w:sz w:val="20"/>
        </w:rPr>
      </w:pPr>
      <w:r w:rsidRPr="00806BED">
        <w:rPr>
          <w:rFonts w:ascii="Arial" w:hAnsi="Arial" w:cs="Arial"/>
          <w:b/>
          <w:bCs/>
          <w:i/>
          <w:iCs/>
          <w:sz w:val="20"/>
        </w:rPr>
        <w:t>Outputs</w:t>
      </w:r>
      <w:r w:rsidR="00101CC3" w:rsidRPr="00806BED">
        <w:rPr>
          <w:rFonts w:ascii="Arial" w:hAnsi="Arial" w:cs="Arial"/>
          <w:b/>
          <w:bCs/>
          <w:i/>
          <w:iCs/>
          <w:sz w:val="20"/>
        </w:rPr>
        <w:t>,</w:t>
      </w:r>
      <w:r w:rsidRPr="00806BED">
        <w:rPr>
          <w:rFonts w:ascii="Arial" w:hAnsi="Arial" w:cs="Arial"/>
          <w:b/>
          <w:bCs/>
          <w:i/>
          <w:iCs/>
          <w:sz w:val="20"/>
        </w:rPr>
        <w:t xml:space="preserve"> incl</w:t>
      </w:r>
      <w:r w:rsidR="00514557" w:rsidRPr="00806BED">
        <w:rPr>
          <w:rFonts w:ascii="Arial" w:hAnsi="Arial" w:cs="Arial"/>
          <w:b/>
          <w:bCs/>
          <w:i/>
          <w:iCs/>
          <w:sz w:val="20"/>
        </w:rPr>
        <w:t>uding</w:t>
      </w:r>
      <w:r w:rsidR="00101CC3" w:rsidRPr="00806BED">
        <w:rPr>
          <w:rFonts w:ascii="Arial" w:hAnsi="Arial" w:cs="Arial"/>
          <w:b/>
          <w:bCs/>
          <w:i/>
          <w:iCs/>
          <w:sz w:val="20"/>
        </w:rPr>
        <w:t xml:space="preserve"> trade margin</w:t>
      </w:r>
      <w:r w:rsidRPr="00806BED">
        <w:rPr>
          <w:rFonts w:ascii="Arial" w:hAnsi="Arial" w:cs="Arial"/>
          <w:bCs/>
          <w:i/>
          <w:iCs/>
          <w:sz w:val="20"/>
        </w:rPr>
        <w:t xml:space="preserve"> include </w:t>
      </w:r>
      <w:r w:rsidR="005612D4" w:rsidRPr="00806BED">
        <w:rPr>
          <w:rFonts w:ascii="Arial" w:hAnsi="Arial" w:cs="Arial"/>
          <w:bCs/>
          <w:i/>
          <w:iCs/>
          <w:sz w:val="20"/>
        </w:rPr>
        <w:t xml:space="preserve">revenues </w:t>
      </w:r>
      <w:r w:rsidR="00371984">
        <w:rPr>
          <w:rFonts w:ascii="Arial" w:hAnsi="Arial" w:cs="Arial"/>
          <w:bCs/>
          <w:i/>
          <w:iCs/>
          <w:sz w:val="20"/>
        </w:rPr>
        <w:t>from sales of products</w:t>
      </w:r>
      <w:r w:rsidR="00371984" w:rsidRPr="00806BED">
        <w:rPr>
          <w:rFonts w:ascii="Arial" w:hAnsi="Arial" w:cs="Arial"/>
          <w:bCs/>
          <w:i/>
          <w:iCs/>
          <w:sz w:val="20"/>
        </w:rPr>
        <w:t xml:space="preserve"> </w:t>
      </w:r>
      <w:r w:rsidR="00D603AC" w:rsidRPr="00806BED">
        <w:rPr>
          <w:rFonts w:ascii="Arial" w:hAnsi="Arial" w:cs="Arial"/>
          <w:bCs/>
          <w:i/>
          <w:iCs/>
          <w:sz w:val="20"/>
        </w:rPr>
        <w:t>and service</w:t>
      </w:r>
      <w:r w:rsidR="002F103D" w:rsidRPr="00806BED">
        <w:rPr>
          <w:rFonts w:ascii="Arial" w:hAnsi="Arial" w:cs="Arial"/>
          <w:bCs/>
          <w:i/>
          <w:iCs/>
          <w:sz w:val="20"/>
        </w:rPr>
        <w:t>s</w:t>
      </w:r>
      <w:r w:rsidRPr="00806BED">
        <w:rPr>
          <w:rFonts w:ascii="Arial" w:hAnsi="Arial" w:cs="Arial"/>
          <w:bCs/>
          <w:i/>
          <w:iCs/>
          <w:sz w:val="20"/>
        </w:rPr>
        <w:t xml:space="preserve">, </w:t>
      </w:r>
      <w:r w:rsidR="00101CC3" w:rsidRPr="00806BED">
        <w:rPr>
          <w:rFonts w:ascii="Arial" w:hAnsi="Arial" w:cs="Arial"/>
          <w:bCs/>
          <w:i/>
          <w:iCs/>
          <w:sz w:val="20"/>
        </w:rPr>
        <w:t>trade margin</w:t>
      </w:r>
      <w:r w:rsidRPr="00806BED">
        <w:rPr>
          <w:rFonts w:ascii="Arial" w:hAnsi="Arial" w:cs="Arial"/>
          <w:bCs/>
          <w:i/>
          <w:iCs/>
          <w:sz w:val="20"/>
        </w:rPr>
        <w:t xml:space="preserve">, change in </w:t>
      </w:r>
      <w:r w:rsidR="00D603AC" w:rsidRPr="00806BED">
        <w:rPr>
          <w:rFonts w:ascii="Arial" w:hAnsi="Arial" w:cs="Arial"/>
          <w:bCs/>
          <w:i/>
          <w:iCs/>
          <w:sz w:val="20"/>
        </w:rPr>
        <w:t>manufactured goods inventory</w:t>
      </w:r>
      <w:r w:rsidRPr="00806BED">
        <w:rPr>
          <w:rFonts w:ascii="Arial" w:hAnsi="Arial" w:cs="Arial"/>
          <w:bCs/>
          <w:i/>
          <w:iCs/>
          <w:sz w:val="20"/>
        </w:rPr>
        <w:t xml:space="preserve"> and </w:t>
      </w:r>
      <w:r w:rsidR="00A85ABA" w:rsidRPr="00806BED">
        <w:rPr>
          <w:rFonts w:ascii="Arial" w:hAnsi="Arial" w:cs="Arial"/>
          <w:bCs/>
          <w:i/>
          <w:iCs/>
          <w:sz w:val="20"/>
        </w:rPr>
        <w:t xml:space="preserve">revenuisation of raw </w:t>
      </w:r>
      <w:r w:rsidRPr="00806BED">
        <w:rPr>
          <w:rFonts w:ascii="Arial" w:hAnsi="Arial" w:cs="Arial"/>
          <w:bCs/>
          <w:i/>
          <w:iCs/>
          <w:sz w:val="20"/>
        </w:rPr>
        <w:t>material</w:t>
      </w:r>
      <w:r w:rsidR="00A85ABA" w:rsidRPr="00806BED">
        <w:rPr>
          <w:rFonts w:ascii="Arial" w:hAnsi="Arial" w:cs="Arial"/>
          <w:bCs/>
          <w:i/>
          <w:iCs/>
          <w:sz w:val="20"/>
        </w:rPr>
        <w:t xml:space="preserve">s, </w:t>
      </w:r>
      <w:r w:rsidR="002F103D" w:rsidRPr="00806BED">
        <w:rPr>
          <w:rFonts w:ascii="Arial" w:hAnsi="Arial" w:cs="Arial"/>
          <w:bCs/>
          <w:i/>
          <w:iCs/>
          <w:sz w:val="20"/>
        </w:rPr>
        <w:t>goods</w:t>
      </w:r>
      <w:r w:rsidR="00A85ABA" w:rsidRPr="00806BED">
        <w:rPr>
          <w:rFonts w:ascii="Arial" w:hAnsi="Arial" w:cs="Arial"/>
          <w:bCs/>
          <w:i/>
          <w:iCs/>
          <w:sz w:val="20"/>
        </w:rPr>
        <w:t>, services</w:t>
      </w:r>
      <w:r w:rsidR="00371984">
        <w:rPr>
          <w:rFonts w:ascii="Arial" w:hAnsi="Arial" w:cs="Arial"/>
          <w:bCs/>
          <w:i/>
          <w:iCs/>
          <w:sz w:val="20"/>
        </w:rPr>
        <w:t>,</w:t>
      </w:r>
      <w:r w:rsidR="00A85ABA" w:rsidRPr="00806BED">
        <w:rPr>
          <w:rFonts w:ascii="Arial" w:hAnsi="Arial" w:cs="Arial"/>
          <w:bCs/>
          <w:i/>
          <w:iCs/>
          <w:sz w:val="20"/>
        </w:rPr>
        <w:t xml:space="preserve"> and </w:t>
      </w:r>
      <w:r w:rsidR="00E87E78" w:rsidRPr="00806BED">
        <w:rPr>
          <w:rFonts w:ascii="Arial" w:hAnsi="Arial" w:cs="Arial"/>
          <w:bCs/>
          <w:i/>
          <w:iCs/>
          <w:sz w:val="20"/>
        </w:rPr>
        <w:t>fixed</w:t>
      </w:r>
      <w:r w:rsidR="00A85ABA" w:rsidRPr="00806BED">
        <w:rPr>
          <w:rFonts w:ascii="Arial" w:hAnsi="Arial" w:cs="Arial"/>
          <w:bCs/>
          <w:i/>
          <w:iCs/>
          <w:sz w:val="20"/>
        </w:rPr>
        <w:t xml:space="preserve"> assets.</w:t>
      </w:r>
    </w:p>
    <w:p w:rsidR="00247E9D" w:rsidRPr="00806BED" w:rsidRDefault="00101CC3" w:rsidP="00167185">
      <w:pPr>
        <w:spacing w:before="120"/>
        <w:ind w:firstLine="709"/>
        <w:jc w:val="both"/>
        <w:rPr>
          <w:rFonts w:ascii="Arial" w:hAnsi="Arial" w:cs="Arial"/>
          <w:bCs/>
          <w:i/>
          <w:iCs/>
          <w:sz w:val="20"/>
        </w:rPr>
      </w:pPr>
      <w:r w:rsidRPr="00806BED">
        <w:rPr>
          <w:rFonts w:ascii="Arial" w:hAnsi="Arial" w:cs="Arial"/>
          <w:b/>
          <w:bCs/>
          <w:i/>
          <w:iCs/>
          <w:sz w:val="20"/>
        </w:rPr>
        <w:t>Trade margin</w:t>
      </w:r>
      <w:r w:rsidR="00247E9D" w:rsidRPr="00806BED">
        <w:rPr>
          <w:rFonts w:ascii="Arial" w:hAnsi="Arial" w:cs="Arial"/>
          <w:bCs/>
          <w:i/>
          <w:iCs/>
          <w:sz w:val="20"/>
        </w:rPr>
        <w:t xml:space="preserve"> is </w:t>
      </w:r>
      <w:r w:rsidR="0043130F" w:rsidRPr="00806BED">
        <w:rPr>
          <w:rFonts w:ascii="Arial" w:hAnsi="Arial" w:cs="Arial"/>
          <w:bCs/>
          <w:i/>
          <w:iCs/>
          <w:sz w:val="20"/>
        </w:rPr>
        <w:t>the </w:t>
      </w:r>
      <w:r w:rsidR="00247E9D" w:rsidRPr="00806BED">
        <w:rPr>
          <w:rFonts w:ascii="Arial" w:hAnsi="Arial" w:cs="Arial"/>
          <w:bCs/>
          <w:i/>
          <w:iCs/>
          <w:sz w:val="20"/>
        </w:rPr>
        <w:t xml:space="preserve">difference between </w:t>
      </w:r>
      <w:r w:rsidR="005754FD" w:rsidRPr="00806BED">
        <w:rPr>
          <w:rFonts w:ascii="Arial" w:hAnsi="Arial" w:cs="Arial"/>
          <w:bCs/>
          <w:i/>
          <w:iCs/>
          <w:sz w:val="20"/>
        </w:rPr>
        <w:t xml:space="preserve">revenues for </w:t>
      </w:r>
      <w:r w:rsidR="002F103D" w:rsidRPr="00806BED">
        <w:rPr>
          <w:rFonts w:ascii="Arial" w:hAnsi="Arial" w:cs="Arial"/>
          <w:bCs/>
          <w:i/>
          <w:iCs/>
          <w:sz w:val="20"/>
        </w:rPr>
        <w:t xml:space="preserve">goods </w:t>
      </w:r>
      <w:r w:rsidR="005754FD" w:rsidRPr="00806BED">
        <w:rPr>
          <w:rFonts w:ascii="Arial" w:hAnsi="Arial" w:cs="Arial"/>
          <w:bCs/>
          <w:i/>
          <w:iCs/>
          <w:sz w:val="20"/>
        </w:rPr>
        <w:t>sold</w:t>
      </w:r>
      <w:r w:rsidR="00A85ABA" w:rsidRPr="00806BED">
        <w:rPr>
          <w:rFonts w:ascii="Arial" w:hAnsi="Arial" w:cs="Arial"/>
          <w:bCs/>
          <w:i/>
          <w:iCs/>
          <w:sz w:val="20"/>
        </w:rPr>
        <w:t xml:space="preserve"> </w:t>
      </w:r>
      <w:r w:rsidR="00247E9D" w:rsidRPr="00806BED">
        <w:rPr>
          <w:rFonts w:ascii="Arial" w:hAnsi="Arial" w:cs="Arial"/>
          <w:bCs/>
          <w:i/>
          <w:iCs/>
          <w:sz w:val="20"/>
        </w:rPr>
        <w:t xml:space="preserve">and </w:t>
      </w:r>
      <w:r w:rsidR="005754FD" w:rsidRPr="00806BED">
        <w:rPr>
          <w:rFonts w:ascii="Arial" w:hAnsi="Arial" w:cs="Arial"/>
          <w:bCs/>
          <w:i/>
          <w:iCs/>
          <w:sz w:val="20"/>
        </w:rPr>
        <w:t xml:space="preserve">costs for </w:t>
      </w:r>
      <w:r w:rsidR="002F103D" w:rsidRPr="00806BED">
        <w:rPr>
          <w:rFonts w:ascii="Arial" w:hAnsi="Arial" w:cs="Arial"/>
          <w:bCs/>
          <w:i/>
          <w:iCs/>
          <w:sz w:val="20"/>
        </w:rPr>
        <w:t xml:space="preserve">goods </w:t>
      </w:r>
      <w:r w:rsidR="005754FD" w:rsidRPr="00806BED">
        <w:rPr>
          <w:rFonts w:ascii="Arial" w:hAnsi="Arial" w:cs="Arial"/>
          <w:bCs/>
          <w:i/>
          <w:iCs/>
          <w:sz w:val="20"/>
        </w:rPr>
        <w:t>sold</w:t>
      </w:r>
      <w:r w:rsidR="00247E9D" w:rsidRPr="00806BED">
        <w:rPr>
          <w:rFonts w:ascii="Arial" w:hAnsi="Arial" w:cs="Arial"/>
          <w:bCs/>
          <w:i/>
          <w:iCs/>
          <w:sz w:val="20"/>
        </w:rPr>
        <w:t>.</w:t>
      </w:r>
    </w:p>
    <w:p w:rsidR="00850C8C" w:rsidRDefault="008710FB" w:rsidP="00167185">
      <w:pPr>
        <w:spacing w:before="120"/>
        <w:ind w:firstLine="709"/>
        <w:jc w:val="both"/>
        <w:rPr>
          <w:rFonts w:ascii="Arial" w:hAnsi="Arial" w:cs="Arial"/>
          <w:bCs/>
          <w:i/>
          <w:iCs/>
          <w:sz w:val="20"/>
        </w:rPr>
      </w:pPr>
      <w:r>
        <w:rPr>
          <w:rFonts w:ascii="Arial" w:hAnsi="Arial" w:cs="Arial"/>
          <w:b/>
          <w:bCs/>
          <w:i/>
          <w:iCs/>
          <w:sz w:val="20"/>
        </w:rPr>
        <w:t>Consumed materials, energy and services</w:t>
      </w:r>
      <w:r w:rsidR="00247E9D" w:rsidRPr="00806BED">
        <w:rPr>
          <w:rFonts w:ascii="Arial" w:hAnsi="Arial" w:cs="Arial"/>
          <w:bCs/>
          <w:i/>
          <w:iCs/>
          <w:sz w:val="20"/>
        </w:rPr>
        <w:t xml:space="preserve"> </w:t>
      </w:r>
      <w:r w:rsidR="005754FD" w:rsidRPr="00806BED">
        <w:rPr>
          <w:rFonts w:ascii="Arial" w:hAnsi="Arial" w:cs="Arial"/>
          <w:bCs/>
          <w:i/>
          <w:iCs/>
          <w:sz w:val="20"/>
        </w:rPr>
        <w:t xml:space="preserve">shall </w:t>
      </w:r>
      <w:r w:rsidR="00247E9D" w:rsidRPr="00806BED">
        <w:rPr>
          <w:rFonts w:ascii="Arial" w:hAnsi="Arial" w:cs="Arial"/>
          <w:bCs/>
          <w:i/>
          <w:iCs/>
          <w:sz w:val="20"/>
        </w:rPr>
        <w:t xml:space="preserve">mean </w:t>
      </w:r>
      <w:r w:rsidR="00095384" w:rsidRPr="00806BED">
        <w:rPr>
          <w:rFonts w:ascii="Arial" w:hAnsi="Arial" w:cs="Arial"/>
          <w:bCs/>
          <w:i/>
          <w:iCs/>
          <w:sz w:val="20"/>
        </w:rPr>
        <w:t xml:space="preserve">consumption </w:t>
      </w:r>
      <w:r w:rsidR="00163469" w:rsidRPr="00806BED">
        <w:rPr>
          <w:rFonts w:ascii="Arial" w:hAnsi="Arial" w:cs="Arial"/>
          <w:bCs/>
          <w:i/>
          <w:iCs/>
          <w:sz w:val="20"/>
        </w:rPr>
        <w:t xml:space="preserve">of </w:t>
      </w:r>
      <w:r>
        <w:rPr>
          <w:rFonts w:ascii="Arial" w:hAnsi="Arial" w:cs="Arial"/>
          <w:bCs/>
          <w:i/>
          <w:iCs/>
          <w:sz w:val="20"/>
        </w:rPr>
        <w:t xml:space="preserve">purchased items (values of consumed </w:t>
      </w:r>
      <w:r w:rsidR="00247E9D" w:rsidRPr="00806BED">
        <w:rPr>
          <w:rFonts w:ascii="Arial" w:hAnsi="Arial" w:cs="Arial"/>
          <w:bCs/>
          <w:i/>
          <w:iCs/>
          <w:sz w:val="20"/>
        </w:rPr>
        <w:t>material</w:t>
      </w:r>
      <w:r w:rsidR="000F7A89" w:rsidRPr="00806BED">
        <w:rPr>
          <w:rFonts w:ascii="Arial" w:hAnsi="Arial" w:cs="Arial"/>
          <w:bCs/>
          <w:i/>
          <w:iCs/>
          <w:sz w:val="20"/>
        </w:rPr>
        <w:t>s</w:t>
      </w:r>
      <w:r>
        <w:rPr>
          <w:rFonts w:ascii="Arial" w:hAnsi="Arial" w:cs="Arial"/>
          <w:bCs/>
          <w:i/>
          <w:iCs/>
          <w:sz w:val="20"/>
        </w:rPr>
        <w:t xml:space="preserve"> and</w:t>
      </w:r>
      <w:r w:rsidR="000F7A89" w:rsidRPr="00806BED">
        <w:rPr>
          <w:rFonts w:ascii="Arial" w:hAnsi="Arial" w:cs="Arial"/>
          <w:bCs/>
          <w:i/>
          <w:iCs/>
          <w:sz w:val="20"/>
        </w:rPr>
        <w:t xml:space="preserve"> energy</w:t>
      </w:r>
      <w:r>
        <w:rPr>
          <w:rFonts w:ascii="Arial" w:hAnsi="Arial" w:cs="Arial"/>
          <w:bCs/>
          <w:i/>
          <w:iCs/>
          <w:sz w:val="20"/>
        </w:rPr>
        <w:t>)</w:t>
      </w:r>
      <w:r w:rsidR="005754FD" w:rsidRPr="00806BED">
        <w:rPr>
          <w:rFonts w:ascii="Arial" w:hAnsi="Arial" w:cs="Arial"/>
          <w:bCs/>
          <w:i/>
          <w:iCs/>
          <w:sz w:val="20"/>
        </w:rPr>
        <w:t>,</w:t>
      </w:r>
      <w:r w:rsidR="000F7A89" w:rsidRPr="00806BED">
        <w:rPr>
          <w:rFonts w:ascii="Arial" w:hAnsi="Arial" w:cs="Arial"/>
          <w:bCs/>
          <w:i/>
          <w:iCs/>
          <w:sz w:val="20"/>
        </w:rPr>
        <w:t xml:space="preserve"> and </w:t>
      </w:r>
      <w:r>
        <w:rPr>
          <w:rFonts w:ascii="Arial" w:hAnsi="Arial" w:cs="Arial"/>
          <w:bCs/>
          <w:i/>
          <w:iCs/>
          <w:sz w:val="20"/>
        </w:rPr>
        <w:t xml:space="preserve">costs of </w:t>
      </w:r>
      <w:r w:rsidR="005754FD" w:rsidRPr="00806BED">
        <w:rPr>
          <w:rFonts w:ascii="Arial" w:hAnsi="Arial" w:cs="Arial"/>
          <w:bCs/>
          <w:i/>
          <w:iCs/>
          <w:sz w:val="20"/>
        </w:rPr>
        <w:t>services</w:t>
      </w:r>
      <w:r>
        <w:rPr>
          <w:rFonts w:ascii="Arial" w:hAnsi="Arial" w:cs="Arial"/>
          <w:bCs/>
          <w:i/>
          <w:iCs/>
          <w:sz w:val="20"/>
        </w:rPr>
        <w:t xml:space="preserve"> (external services, costs for image promotion, and small intangible property, which the accounting unit has decided it is not a long-term property. Before 2015 this indicator was in its content identical with the indicator of production consumption. </w:t>
      </w:r>
    </w:p>
    <w:p w:rsidR="00247E9D" w:rsidRPr="00806BED" w:rsidRDefault="005033F5" w:rsidP="00167185">
      <w:pPr>
        <w:spacing w:before="120"/>
        <w:ind w:firstLine="709"/>
        <w:jc w:val="both"/>
        <w:rPr>
          <w:rFonts w:ascii="Arial" w:hAnsi="Arial" w:cs="Arial"/>
          <w:bCs/>
          <w:i/>
          <w:iCs/>
          <w:sz w:val="20"/>
        </w:rPr>
      </w:pPr>
      <w:r w:rsidRPr="00806BED">
        <w:rPr>
          <w:rFonts w:ascii="Arial" w:hAnsi="Arial" w:cs="Arial"/>
          <w:b/>
          <w:bCs/>
          <w:i/>
          <w:iCs/>
          <w:sz w:val="20"/>
        </w:rPr>
        <w:t xml:space="preserve">Value </w:t>
      </w:r>
      <w:r w:rsidR="00247E9D" w:rsidRPr="00806BED">
        <w:rPr>
          <w:rFonts w:ascii="Arial" w:hAnsi="Arial" w:cs="Arial"/>
          <w:b/>
          <w:bCs/>
          <w:i/>
          <w:iCs/>
          <w:sz w:val="20"/>
        </w:rPr>
        <w:t>added</w:t>
      </w:r>
      <w:r w:rsidR="00247E9D" w:rsidRPr="00806BED">
        <w:rPr>
          <w:rFonts w:ascii="Arial" w:hAnsi="Arial" w:cs="Arial"/>
          <w:bCs/>
          <w:i/>
          <w:iCs/>
          <w:sz w:val="20"/>
        </w:rPr>
        <w:t xml:space="preserve"> is </w:t>
      </w:r>
      <w:r w:rsidR="0043130F" w:rsidRPr="00806BED">
        <w:rPr>
          <w:rFonts w:ascii="Arial" w:hAnsi="Arial" w:cs="Arial"/>
          <w:bCs/>
          <w:i/>
          <w:iCs/>
          <w:sz w:val="20"/>
        </w:rPr>
        <w:t>the </w:t>
      </w:r>
      <w:r w:rsidR="00247E9D" w:rsidRPr="00806BED">
        <w:rPr>
          <w:rFonts w:ascii="Arial" w:hAnsi="Arial" w:cs="Arial"/>
          <w:bCs/>
          <w:i/>
          <w:iCs/>
          <w:sz w:val="20"/>
        </w:rPr>
        <w:t>difference between outputs</w:t>
      </w:r>
      <w:r w:rsidR="00101CC3" w:rsidRPr="00806BED">
        <w:rPr>
          <w:rFonts w:ascii="Arial" w:hAnsi="Arial" w:cs="Arial"/>
          <w:bCs/>
          <w:i/>
          <w:iCs/>
          <w:sz w:val="20"/>
        </w:rPr>
        <w:t xml:space="preserve">, </w:t>
      </w:r>
      <w:r w:rsidR="00247E9D" w:rsidRPr="00806BED">
        <w:rPr>
          <w:rFonts w:ascii="Arial" w:hAnsi="Arial" w:cs="Arial"/>
          <w:bCs/>
          <w:i/>
          <w:iCs/>
          <w:sz w:val="20"/>
        </w:rPr>
        <w:t>incl</w:t>
      </w:r>
      <w:r w:rsidR="00AA4564" w:rsidRPr="00806BED">
        <w:rPr>
          <w:rFonts w:ascii="Arial" w:hAnsi="Arial" w:cs="Arial"/>
          <w:bCs/>
          <w:i/>
          <w:iCs/>
          <w:sz w:val="20"/>
        </w:rPr>
        <w:t>uding</w:t>
      </w:r>
      <w:r w:rsidR="00101CC3" w:rsidRPr="00806BED">
        <w:rPr>
          <w:rFonts w:ascii="Arial" w:hAnsi="Arial" w:cs="Arial"/>
          <w:bCs/>
          <w:i/>
          <w:iCs/>
          <w:sz w:val="20"/>
        </w:rPr>
        <w:t xml:space="preserve"> trade margin</w:t>
      </w:r>
      <w:r w:rsidR="006313E7" w:rsidRPr="00806BED">
        <w:rPr>
          <w:rFonts w:ascii="Arial" w:hAnsi="Arial" w:cs="Arial"/>
          <w:bCs/>
          <w:i/>
          <w:iCs/>
          <w:sz w:val="20"/>
        </w:rPr>
        <w:t>,</w:t>
      </w:r>
      <w:r w:rsidR="00247E9D" w:rsidRPr="00806BED">
        <w:rPr>
          <w:rFonts w:ascii="Arial" w:hAnsi="Arial" w:cs="Arial"/>
          <w:bCs/>
          <w:i/>
          <w:iCs/>
          <w:sz w:val="20"/>
        </w:rPr>
        <w:t xml:space="preserve"> and </w:t>
      </w:r>
      <w:r w:rsidR="00101CC3" w:rsidRPr="00806BED">
        <w:rPr>
          <w:rFonts w:ascii="Arial" w:hAnsi="Arial" w:cs="Arial"/>
          <w:bCs/>
          <w:i/>
          <w:iCs/>
          <w:sz w:val="20"/>
        </w:rPr>
        <w:t>consum</w:t>
      </w:r>
      <w:r w:rsidR="008710FB">
        <w:rPr>
          <w:rFonts w:ascii="Arial" w:hAnsi="Arial" w:cs="Arial"/>
          <w:bCs/>
          <w:i/>
          <w:iCs/>
          <w:sz w:val="20"/>
        </w:rPr>
        <w:t>ed materials, energy, and services</w:t>
      </w:r>
      <w:r w:rsidR="00247E9D" w:rsidRPr="00806BED">
        <w:rPr>
          <w:rFonts w:ascii="Arial" w:hAnsi="Arial" w:cs="Arial"/>
          <w:bCs/>
          <w:i/>
          <w:iCs/>
          <w:sz w:val="20"/>
        </w:rPr>
        <w:t>.</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
          <w:bCs/>
          <w:i/>
          <w:iCs/>
          <w:sz w:val="20"/>
        </w:rPr>
        <w:t>Profit/loss of the current accounting period</w:t>
      </w:r>
      <w:r w:rsidRPr="004F7C66">
        <w:rPr>
          <w:rFonts w:ascii="Arial" w:hAnsi="Arial" w:cs="Arial"/>
          <w:bCs/>
          <w:i/>
          <w:iCs/>
          <w:sz w:val="20"/>
        </w:rPr>
        <w:t xml:space="preserve"> is calculated as a difference between sales (revenues), total and costs, total.</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
          <w:bCs/>
          <w:i/>
          <w:iCs/>
          <w:sz w:val="20"/>
        </w:rPr>
        <w:lastRenderedPageBreak/>
        <w:t>Assets, net value</w:t>
      </w:r>
      <w:r w:rsidRPr="00877671">
        <w:rPr>
          <w:rFonts w:ascii="Arial" w:hAnsi="Arial" w:cs="Arial"/>
          <w:bCs/>
          <w:i/>
          <w:iCs/>
          <w:sz w:val="20"/>
        </w:rPr>
        <w:t xml:space="preserve"> </w:t>
      </w:r>
      <w:r w:rsidRPr="004F7C66">
        <w:rPr>
          <w:rFonts w:ascii="Arial" w:hAnsi="Arial" w:cs="Arial"/>
          <w:bCs/>
          <w:i/>
          <w:iCs/>
          <w:sz w:val="20"/>
        </w:rPr>
        <w:t>shall mean property in the form of fixed, current, and other assets.</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
          <w:bCs/>
          <w:i/>
          <w:iCs/>
          <w:sz w:val="20"/>
        </w:rPr>
        <w:t>Tangible fixed assets, net value</w:t>
      </w:r>
      <w:r w:rsidRPr="004F7C66">
        <w:rPr>
          <w:rFonts w:ascii="Arial" w:hAnsi="Arial" w:cs="Arial"/>
          <w:bCs/>
          <w:i/>
          <w:iCs/>
          <w:sz w:val="20"/>
        </w:rPr>
        <w:t xml:space="preserve"> shall mean plots, structures, including buildings, self-standing real estate and premises of real estate, grower’s units of permanent stands and plantations, basic herds and flocks and draught animals, incomplete and other long-term tangible assets, provided advance payments for long-term tangible assets, and the appraisal difference of acquired assets.</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
          <w:bCs/>
          <w:i/>
          <w:iCs/>
          <w:sz w:val="20"/>
        </w:rPr>
        <w:t>Inventories, net value, excluding advance payments paid,</w:t>
      </w:r>
      <w:r w:rsidRPr="004F7C66">
        <w:rPr>
          <w:rFonts w:ascii="Arial" w:hAnsi="Arial" w:cs="Arial"/>
          <w:bCs/>
          <w:i/>
          <w:iCs/>
          <w:sz w:val="20"/>
        </w:rPr>
        <w:t xml:space="preserve"> involve materials, work in progress or semi-finished products, finished products, animals and goods, excluding advance payments provided.</w:t>
      </w:r>
    </w:p>
    <w:p w:rsidR="003571CB" w:rsidRPr="004F7C66" w:rsidRDefault="003571CB" w:rsidP="003571CB">
      <w:pPr>
        <w:spacing w:before="120"/>
        <w:ind w:firstLine="709"/>
        <w:jc w:val="both"/>
        <w:rPr>
          <w:rFonts w:ascii="Arial" w:hAnsi="Arial" w:cs="Arial"/>
          <w:bCs/>
          <w:i/>
          <w:iCs/>
          <w:sz w:val="20"/>
        </w:rPr>
      </w:pPr>
      <w:r w:rsidRPr="004F7C66">
        <w:rPr>
          <w:rFonts w:ascii="Arial" w:hAnsi="Arial" w:cs="Arial"/>
          <w:bCs/>
          <w:i/>
          <w:iCs/>
          <w:sz w:val="20"/>
        </w:rPr>
        <w:t>State indicators are as at 31 December of the reference year.</w:t>
      </w:r>
    </w:p>
    <w:p w:rsidR="00D62F2E" w:rsidRPr="00806BED" w:rsidRDefault="00D62F2E" w:rsidP="00B57B0F">
      <w:pPr>
        <w:jc w:val="both"/>
        <w:rPr>
          <w:rFonts w:ascii="Arial" w:hAnsi="Arial" w:cs="Arial"/>
          <w:bCs/>
          <w:i/>
          <w:iCs/>
          <w:sz w:val="20"/>
        </w:rPr>
      </w:pPr>
    </w:p>
    <w:p w:rsidR="001B2ADC" w:rsidRPr="00806BED" w:rsidRDefault="001B2ADC">
      <w:pPr>
        <w:jc w:val="both"/>
        <w:rPr>
          <w:rFonts w:ascii="Arial" w:hAnsi="Arial" w:cs="Arial"/>
          <w:i/>
          <w:iCs/>
          <w:sz w:val="20"/>
        </w:rPr>
      </w:pPr>
    </w:p>
    <w:p w:rsidR="00D62F2E" w:rsidRPr="00806BED" w:rsidRDefault="00D62F2E">
      <w:pPr>
        <w:jc w:val="both"/>
        <w:rPr>
          <w:rFonts w:ascii="Arial" w:hAnsi="Arial" w:cs="Arial"/>
          <w:i/>
          <w:iCs/>
          <w:sz w:val="20"/>
        </w:rPr>
      </w:pPr>
      <w:r w:rsidRPr="00806BED">
        <w:rPr>
          <w:rFonts w:ascii="Arial" w:hAnsi="Arial" w:cs="Arial"/>
          <w:i/>
          <w:iCs/>
          <w:sz w:val="20"/>
        </w:rPr>
        <w:t xml:space="preserve">Table </w:t>
      </w:r>
      <w:r w:rsidR="00521807">
        <w:rPr>
          <w:rFonts w:ascii="Arial" w:hAnsi="Arial" w:cs="Arial"/>
          <w:b/>
          <w:bCs/>
          <w:i/>
          <w:iCs/>
          <w:sz w:val="20"/>
        </w:rPr>
        <w:t>20</w:t>
      </w:r>
      <w:r w:rsidRPr="00806BED">
        <w:rPr>
          <w:rFonts w:ascii="Arial" w:hAnsi="Arial" w:cs="Arial"/>
          <w:i/>
          <w:iCs/>
          <w:sz w:val="20"/>
        </w:rPr>
        <w:t xml:space="preserve">-3 </w:t>
      </w:r>
      <w:r w:rsidR="004E1E33" w:rsidRPr="00806BED">
        <w:rPr>
          <w:rFonts w:ascii="Arial" w:hAnsi="Arial" w:cs="Arial"/>
          <w:b/>
          <w:bCs/>
          <w:i/>
          <w:iCs/>
          <w:sz w:val="20"/>
        </w:rPr>
        <w:t xml:space="preserve">Rail </w:t>
      </w:r>
      <w:r w:rsidRPr="00806BED">
        <w:rPr>
          <w:rFonts w:ascii="Arial" w:hAnsi="Arial" w:cs="Arial"/>
          <w:b/>
          <w:bCs/>
          <w:i/>
          <w:iCs/>
          <w:sz w:val="20"/>
        </w:rPr>
        <w:t>transport outputs</w:t>
      </w:r>
    </w:p>
    <w:p w:rsidR="00D62F2E" w:rsidRPr="00806BED" w:rsidRDefault="0043130F">
      <w:pPr>
        <w:spacing w:before="120"/>
        <w:ind w:firstLine="709"/>
        <w:jc w:val="both"/>
        <w:rPr>
          <w:rFonts w:ascii="Arial" w:hAnsi="Arial" w:cs="Arial"/>
          <w:i/>
          <w:iCs/>
          <w:sz w:val="20"/>
        </w:rPr>
      </w:pPr>
      <w:r w:rsidRPr="00806BED">
        <w:rPr>
          <w:rFonts w:ascii="Arial" w:hAnsi="Arial" w:cs="Arial"/>
          <w:i/>
          <w:iCs/>
          <w:sz w:val="20"/>
        </w:rPr>
        <w:t>The </w:t>
      </w:r>
      <w:r w:rsidR="00D62F2E" w:rsidRPr="00806BED">
        <w:rPr>
          <w:rFonts w:ascii="Arial" w:hAnsi="Arial" w:cs="Arial"/>
          <w:i/>
          <w:iCs/>
          <w:sz w:val="20"/>
        </w:rPr>
        <w:t>number of passengers transported includes all categories of fare paying persons transported.</w:t>
      </w:r>
    </w:p>
    <w:p w:rsidR="00D62F2E" w:rsidRPr="00806BED" w:rsidRDefault="00D678B9">
      <w:pPr>
        <w:spacing w:before="120"/>
        <w:ind w:firstLine="709"/>
        <w:jc w:val="both"/>
        <w:rPr>
          <w:rFonts w:ascii="Arial" w:hAnsi="Arial" w:cs="Arial"/>
          <w:i/>
          <w:iCs/>
          <w:sz w:val="20"/>
        </w:rPr>
      </w:pPr>
      <w:r w:rsidRPr="00D678B9">
        <w:rPr>
          <w:rFonts w:ascii="Arial" w:hAnsi="Arial" w:cs="Arial"/>
          <w:i/>
          <w:iCs/>
          <w:sz w:val="20"/>
        </w:rPr>
        <w:t>A </w:t>
      </w:r>
      <w:r w:rsidR="00D62F2E" w:rsidRPr="00806BED">
        <w:rPr>
          <w:rFonts w:ascii="Arial" w:hAnsi="Arial" w:cs="Arial"/>
          <w:b/>
          <w:i/>
          <w:iCs/>
          <w:sz w:val="20"/>
        </w:rPr>
        <w:t>passenger-kilometre</w:t>
      </w:r>
      <w:r w:rsidR="00105CE7" w:rsidRPr="00806BED">
        <w:rPr>
          <w:rFonts w:ascii="Arial" w:hAnsi="Arial" w:cs="Arial"/>
          <w:i/>
          <w:iCs/>
          <w:sz w:val="20"/>
        </w:rPr>
        <w:t xml:space="preserve"> (pkm)</w:t>
      </w:r>
      <w:r w:rsidR="00D62F2E" w:rsidRPr="00806BED">
        <w:rPr>
          <w:rFonts w:ascii="Arial" w:hAnsi="Arial" w:cs="Arial"/>
          <w:i/>
          <w:iCs/>
          <w:sz w:val="20"/>
        </w:rPr>
        <w:t xml:space="preserve"> in passenger transport </w:t>
      </w:r>
      <w:r w:rsidR="00105CE7" w:rsidRPr="00806BED">
        <w:rPr>
          <w:rFonts w:ascii="Arial" w:hAnsi="Arial" w:cs="Arial"/>
          <w:i/>
          <w:iCs/>
          <w:sz w:val="20"/>
        </w:rPr>
        <w:t>is</w:t>
      </w:r>
      <w:r w:rsidR="0043130F" w:rsidRPr="00806BED">
        <w:rPr>
          <w:rFonts w:ascii="Arial" w:hAnsi="Arial" w:cs="Arial"/>
          <w:i/>
          <w:iCs/>
          <w:sz w:val="20"/>
        </w:rPr>
        <w:t xml:space="preserve"> a </w:t>
      </w:r>
      <w:r w:rsidR="00105CE7" w:rsidRPr="00806BED">
        <w:rPr>
          <w:rFonts w:ascii="Arial" w:hAnsi="Arial" w:cs="Arial"/>
          <w:i/>
          <w:iCs/>
          <w:sz w:val="20"/>
        </w:rPr>
        <w:t xml:space="preserve">unit of measure representing </w:t>
      </w:r>
      <w:r w:rsidR="0043130F" w:rsidRPr="00806BED">
        <w:rPr>
          <w:rFonts w:ascii="Arial" w:hAnsi="Arial" w:cs="Arial"/>
          <w:i/>
          <w:iCs/>
          <w:sz w:val="20"/>
        </w:rPr>
        <w:t>the </w:t>
      </w:r>
      <w:r w:rsidR="00105CE7" w:rsidRPr="00806BED">
        <w:rPr>
          <w:rFonts w:ascii="Arial" w:hAnsi="Arial" w:cs="Arial"/>
          <w:i/>
          <w:iCs/>
          <w:sz w:val="20"/>
        </w:rPr>
        <w:t>transport of one rail passenger by rail over</w:t>
      </w:r>
      <w:r w:rsidR="0043130F" w:rsidRPr="00806BED">
        <w:rPr>
          <w:rFonts w:ascii="Arial" w:hAnsi="Arial" w:cs="Arial"/>
          <w:i/>
          <w:iCs/>
          <w:sz w:val="20"/>
        </w:rPr>
        <w:t xml:space="preserve"> a </w:t>
      </w:r>
      <w:r w:rsidR="00105CE7" w:rsidRPr="00806BED">
        <w:rPr>
          <w:rFonts w:ascii="Arial" w:hAnsi="Arial" w:cs="Arial"/>
          <w:i/>
          <w:iCs/>
          <w:sz w:val="20"/>
        </w:rPr>
        <w:t>distance of one kilometre</w:t>
      </w:r>
      <w:r w:rsidR="00D62F2E" w:rsidRPr="00806BED">
        <w:rPr>
          <w:rFonts w:ascii="Arial" w:hAnsi="Arial" w:cs="Arial"/>
          <w:i/>
          <w:iCs/>
          <w:sz w:val="20"/>
        </w:rPr>
        <w:t>.</w:t>
      </w:r>
    </w:p>
    <w:p w:rsidR="00D62F2E" w:rsidRPr="00806BED" w:rsidRDefault="00D678B9">
      <w:pPr>
        <w:spacing w:before="120"/>
        <w:ind w:firstLine="709"/>
        <w:jc w:val="both"/>
        <w:rPr>
          <w:rFonts w:ascii="Arial" w:hAnsi="Arial" w:cs="Arial"/>
          <w:i/>
          <w:iCs/>
          <w:sz w:val="20"/>
        </w:rPr>
      </w:pPr>
      <w:r w:rsidRPr="00D678B9">
        <w:rPr>
          <w:rFonts w:ascii="Arial" w:hAnsi="Arial" w:cs="Arial"/>
          <w:i/>
          <w:iCs/>
          <w:sz w:val="20"/>
        </w:rPr>
        <w:t>A </w:t>
      </w:r>
      <w:r w:rsidR="00D62F2E" w:rsidRPr="00806BED">
        <w:rPr>
          <w:rFonts w:ascii="Arial" w:hAnsi="Arial" w:cs="Arial"/>
          <w:b/>
          <w:i/>
          <w:iCs/>
          <w:sz w:val="20"/>
        </w:rPr>
        <w:t>tariff tonne-kilometre</w:t>
      </w:r>
      <w:r w:rsidR="00D62F2E" w:rsidRPr="00806BED">
        <w:rPr>
          <w:rFonts w:ascii="Arial" w:hAnsi="Arial" w:cs="Arial"/>
          <w:i/>
          <w:iCs/>
          <w:sz w:val="20"/>
        </w:rPr>
        <w:t xml:space="preserve"> characterizes </w:t>
      </w:r>
      <w:r w:rsidR="0043130F" w:rsidRPr="00806BED">
        <w:rPr>
          <w:rFonts w:ascii="Arial" w:hAnsi="Arial" w:cs="Arial"/>
          <w:i/>
          <w:iCs/>
          <w:sz w:val="20"/>
        </w:rPr>
        <w:t>the </w:t>
      </w:r>
      <w:r w:rsidR="00D62F2E" w:rsidRPr="00806BED">
        <w:rPr>
          <w:rFonts w:ascii="Arial" w:hAnsi="Arial" w:cs="Arial"/>
          <w:i/>
          <w:iCs/>
          <w:sz w:val="20"/>
        </w:rPr>
        <w:t xml:space="preserve">output </w:t>
      </w:r>
      <w:r w:rsidR="00CC023F" w:rsidRPr="00806BED">
        <w:rPr>
          <w:rFonts w:ascii="Arial" w:hAnsi="Arial" w:cs="Arial"/>
          <w:i/>
          <w:iCs/>
          <w:sz w:val="20"/>
        </w:rPr>
        <w:t xml:space="preserve">of </w:t>
      </w:r>
      <w:r w:rsidR="00D62F2E" w:rsidRPr="00806BED">
        <w:rPr>
          <w:rFonts w:ascii="Arial" w:hAnsi="Arial" w:cs="Arial"/>
          <w:i/>
          <w:iCs/>
          <w:sz w:val="20"/>
        </w:rPr>
        <w:t xml:space="preserve">freight transport </w:t>
      </w:r>
      <w:r w:rsidR="00331D30" w:rsidRPr="00806BED">
        <w:rPr>
          <w:rFonts w:ascii="Arial" w:hAnsi="Arial" w:cs="Arial"/>
          <w:i/>
          <w:iCs/>
          <w:sz w:val="20"/>
        </w:rPr>
        <w:t xml:space="preserve">depending on </w:t>
      </w:r>
      <w:r w:rsidR="0043130F" w:rsidRPr="00806BED">
        <w:rPr>
          <w:rFonts w:ascii="Arial" w:hAnsi="Arial" w:cs="Arial"/>
          <w:i/>
          <w:iCs/>
          <w:sz w:val="20"/>
        </w:rPr>
        <w:t>the </w:t>
      </w:r>
      <w:r w:rsidR="00D62F2E" w:rsidRPr="00806BED">
        <w:rPr>
          <w:rFonts w:ascii="Arial" w:hAnsi="Arial" w:cs="Arial"/>
          <w:i/>
          <w:iCs/>
          <w:sz w:val="20"/>
        </w:rPr>
        <w:t xml:space="preserve">tariff distance. </w:t>
      </w:r>
      <w:r w:rsidR="0043130F" w:rsidRPr="00806BED">
        <w:rPr>
          <w:rFonts w:ascii="Arial" w:hAnsi="Arial" w:cs="Arial"/>
          <w:i/>
          <w:iCs/>
          <w:sz w:val="20"/>
        </w:rPr>
        <w:t>The </w:t>
      </w:r>
      <w:r w:rsidR="00D62F2E" w:rsidRPr="00806BED">
        <w:rPr>
          <w:rFonts w:ascii="Arial" w:hAnsi="Arial" w:cs="Arial"/>
          <w:i/>
          <w:iCs/>
          <w:sz w:val="20"/>
        </w:rPr>
        <w:t xml:space="preserve">tariff distance is </w:t>
      </w:r>
      <w:r w:rsidR="00331D30" w:rsidRPr="00806BED">
        <w:rPr>
          <w:rFonts w:ascii="Arial" w:hAnsi="Arial" w:cs="Arial"/>
          <w:i/>
          <w:iCs/>
          <w:sz w:val="20"/>
        </w:rPr>
        <w:t xml:space="preserve">determined </w:t>
      </w:r>
      <w:r w:rsidR="00D62F2E" w:rsidRPr="00806BED">
        <w:rPr>
          <w:rFonts w:ascii="Arial" w:hAnsi="Arial" w:cs="Arial"/>
          <w:i/>
          <w:iCs/>
          <w:sz w:val="20"/>
        </w:rPr>
        <w:t xml:space="preserve">by </w:t>
      </w:r>
      <w:r w:rsidR="0043130F" w:rsidRPr="00806BED">
        <w:rPr>
          <w:rFonts w:ascii="Arial" w:hAnsi="Arial" w:cs="Arial"/>
          <w:i/>
          <w:iCs/>
          <w:sz w:val="20"/>
        </w:rPr>
        <w:t>the </w:t>
      </w:r>
      <w:r w:rsidR="00D62F2E" w:rsidRPr="00806BED">
        <w:rPr>
          <w:rFonts w:ascii="Arial" w:hAnsi="Arial" w:cs="Arial"/>
          <w:i/>
          <w:iCs/>
          <w:sz w:val="20"/>
        </w:rPr>
        <w:t>milestone and used for calculating carriage charges. One</w:t>
      </w:r>
      <w:r w:rsidR="00331D30" w:rsidRPr="00806BED">
        <w:rPr>
          <w:rFonts w:ascii="Arial" w:hAnsi="Arial" w:cs="Arial"/>
          <w:i/>
          <w:iCs/>
          <w:sz w:val="20"/>
        </w:rPr>
        <w:t xml:space="preserve"> </w:t>
      </w:r>
      <w:r w:rsidR="00D62F2E" w:rsidRPr="00806BED">
        <w:rPr>
          <w:rFonts w:ascii="Arial" w:hAnsi="Arial" w:cs="Arial"/>
          <w:i/>
          <w:iCs/>
          <w:sz w:val="20"/>
        </w:rPr>
        <w:t xml:space="preserve">tariff tonne-kilometre </w:t>
      </w:r>
      <w:r w:rsidR="00331D30" w:rsidRPr="00806BED">
        <w:rPr>
          <w:rFonts w:ascii="Arial" w:hAnsi="Arial" w:cs="Arial"/>
          <w:i/>
          <w:iCs/>
          <w:sz w:val="20"/>
        </w:rPr>
        <w:t xml:space="preserve">is equal </w:t>
      </w:r>
      <w:r w:rsidR="00D62F2E" w:rsidRPr="00806BED">
        <w:rPr>
          <w:rFonts w:ascii="Arial" w:hAnsi="Arial" w:cs="Arial"/>
          <w:i/>
          <w:iCs/>
          <w:sz w:val="20"/>
        </w:rPr>
        <w:t xml:space="preserve">to </w:t>
      </w:r>
      <w:r w:rsidR="0043130F" w:rsidRPr="00806BED">
        <w:rPr>
          <w:rFonts w:ascii="Arial" w:hAnsi="Arial" w:cs="Arial"/>
          <w:i/>
          <w:iCs/>
          <w:sz w:val="20"/>
        </w:rPr>
        <w:t>the </w:t>
      </w:r>
      <w:r w:rsidR="00D62F2E" w:rsidRPr="00806BED">
        <w:rPr>
          <w:rFonts w:ascii="Arial" w:hAnsi="Arial" w:cs="Arial"/>
          <w:i/>
          <w:iCs/>
          <w:sz w:val="20"/>
        </w:rPr>
        <w:t>transport of one tonne of goods over</w:t>
      </w:r>
      <w:r w:rsidR="0043130F" w:rsidRPr="00806BED">
        <w:rPr>
          <w:rFonts w:ascii="Arial" w:hAnsi="Arial" w:cs="Arial"/>
          <w:i/>
          <w:iCs/>
          <w:sz w:val="20"/>
        </w:rPr>
        <w:t xml:space="preserve"> a </w:t>
      </w:r>
      <w:r w:rsidR="00D62F2E" w:rsidRPr="00806BED">
        <w:rPr>
          <w:rFonts w:ascii="Arial" w:hAnsi="Arial" w:cs="Arial"/>
          <w:i/>
          <w:iCs/>
          <w:sz w:val="20"/>
        </w:rPr>
        <w:t>tariff distance of one kilometre.</w:t>
      </w:r>
    </w:p>
    <w:p w:rsidR="00D62F2E" w:rsidRPr="00806BED" w:rsidRDefault="00D62F2E">
      <w:pPr>
        <w:jc w:val="both"/>
        <w:rPr>
          <w:rFonts w:ascii="Arial" w:hAnsi="Arial" w:cs="Arial"/>
          <w:i/>
          <w:iCs/>
          <w:sz w:val="20"/>
        </w:rPr>
      </w:pPr>
    </w:p>
    <w:p w:rsidR="00D62F2E" w:rsidRPr="00806BED" w:rsidRDefault="00D62F2E">
      <w:pPr>
        <w:jc w:val="both"/>
        <w:rPr>
          <w:rFonts w:ascii="Arial" w:hAnsi="Arial" w:cs="Arial"/>
          <w:i/>
          <w:iCs/>
          <w:sz w:val="20"/>
        </w:rPr>
      </w:pPr>
    </w:p>
    <w:p w:rsidR="00D62F2E" w:rsidRPr="00806BED" w:rsidRDefault="00D62F2E">
      <w:pPr>
        <w:jc w:val="both"/>
        <w:rPr>
          <w:rFonts w:ascii="Arial" w:hAnsi="Arial" w:cs="Arial"/>
          <w:i/>
          <w:iCs/>
          <w:sz w:val="20"/>
        </w:rPr>
      </w:pPr>
      <w:r w:rsidRPr="00806BED">
        <w:rPr>
          <w:rFonts w:ascii="Arial" w:hAnsi="Arial" w:cs="Arial"/>
          <w:i/>
          <w:iCs/>
          <w:sz w:val="20"/>
        </w:rPr>
        <w:t xml:space="preserve">Table </w:t>
      </w:r>
      <w:r w:rsidR="00521807">
        <w:rPr>
          <w:rFonts w:ascii="Arial" w:hAnsi="Arial" w:cs="Arial"/>
          <w:b/>
          <w:bCs/>
          <w:i/>
          <w:iCs/>
          <w:sz w:val="20"/>
        </w:rPr>
        <w:t>20</w:t>
      </w:r>
      <w:r w:rsidRPr="00806BED">
        <w:rPr>
          <w:rFonts w:ascii="Arial" w:hAnsi="Arial" w:cs="Arial"/>
          <w:i/>
          <w:iCs/>
          <w:sz w:val="20"/>
        </w:rPr>
        <w:t>-4</w:t>
      </w:r>
      <w:r w:rsidRPr="00806BED">
        <w:rPr>
          <w:rFonts w:ascii="Arial" w:hAnsi="Arial" w:cs="Arial"/>
          <w:bCs/>
          <w:i/>
          <w:iCs/>
          <w:sz w:val="20"/>
        </w:rPr>
        <w:t xml:space="preserve"> </w:t>
      </w:r>
      <w:r w:rsidR="005754FD" w:rsidRPr="00806BED">
        <w:rPr>
          <w:rFonts w:ascii="Arial" w:hAnsi="Arial" w:cs="Arial"/>
          <w:b/>
          <w:bCs/>
          <w:i/>
          <w:iCs/>
          <w:sz w:val="20"/>
        </w:rPr>
        <w:t xml:space="preserve">Selected indicators of rail </w:t>
      </w:r>
      <w:r w:rsidRPr="00806BED">
        <w:rPr>
          <w:rFonts w:ascii="Arial" w:hAnsi="Arial" w:cs="Arial"/>
          <w:b/>
          <w:bCs/>
          <w:i/>
          <w:iCs/>
          <w:sz w:val="20"/>
        </w:rPr>
        <w:t>transport</w:t>
      </w:r>
    </w:p>
    <w:p w:rsidR="00D62F2E" w:rsidRPr="00806BED" w:rsidRDefault="00D678B9">
      <w:pPr>
        <w:pStyle w:val="Zkladntextodsazen2"/>
        <w:rPr>
          <w:rFonts w:ascii="Arial" w:hAnsi="Arial" w:cs="Arial"/>
          <w:sz w:val="20"/>
        </w:rPr>
      </w:pPr>
      <w:r w:rsidRPr="00D678B9">
        <w:rPr>
          <w:rFonts w:ascii="Arial" w:hAnsi="Arial" w:cs="Arial"/>
          <w:sz w:val="20"/>
        </w:rPr>
        <w:t>A </w:t>
      </w:r>
      <w:r w:rsidR="00D62F2E" w:rsidRPr="00806BED">
        <w:rPr>
          <w:rFonts w:ascii="Arial" w:hAnsi="Arial" w:cs="Arial"/>
          <w:b/>
          <w:sz w:val="20"/>
        </w:rPr>
        <w:t>train-kilometre</w:t>
      </w:r>
      <w:r w:rsidR="00D62F2E" w:rsidRPr="00806BED">
        <w:rPr>
          <w:rFonts w:ascii="Arial" w:hAnsi="Arial" w:cs="Arial"/>
          <w:sz w:val="20"/>
        </w:rPr>
        <w:t xml:space="preserve"> in passenger transport </w:t>
      </w:r>
      <w:r w:rsidR="009318D2" w:rsidRPr="00806BED">
        <w:rPr>
          <w:rFonts w:ascii="Arial" w:hAnsi="Arial" w:cs="Arial"/>
          <w:sz w:val="20"/>
        </w:rPr>
        <w:t>is</w:t>
      </w:r>
      <w:r w:rsidR="0043130F" w:rsidRPr="00806BED">
        <w:rPr>
          <w:rFonts w:ascii="Arial" w:hAnsi="Arial" w:cs="Arial"/>
          <w:sz w:val="20"/>
        </w:rPr>
        <w:t xml:space="preserve"> a </w:t>
      </w:r>
      <w:r w:rsidR="009318D2" w:rsidRPr="00806BED">
        <w:rPr>
          <w:rFonts w:ascii="Arial" w:hAnsi="Arial" w:cs="Arial"/>
          <w:sz w:val="20"/>
          <w:szCs w:val="20"/>
        </w:rPr>
        <w:t xml:space="preserve">unit of measure representing </w:t>
      </w:r>
      <w:r w:rsidR="0043130F" w:rsidRPr="00806BED">
        <w:rPr>
          <w:rFonts w:ascii="Arial" w:hAnsi="Arial" w:cs="Arial"/>
          <w:sz w:val="20"/>
          <w:szCs w:val="20"/>
        </w:rPr>
        <w:t>the </w:t>
      </w:r>
      <w:r w:rsidR="009318D2" w:rsidRPr="00806BED">
        <w:rPr>
          <w:rFonts w:ascii="Arial" w:hAnsi="Arial" w:cs="Arial"/>
          <w:sz w:val="20"/>
          <w:szCs w:val="20"/>
        </w:rPr>
        <w:t>movement of</w:t>
      </w:r>
      <w:r w:rsidR="0043130F" w:rsidRPr="00806BED">
        <w:rPr>
          <w:rFonts w:ascii="Arial" w:hAnsi="Arial" w:cs="Arial"/>
          <w:sz w:val="20"/>
          <w:szCs w:val="20"/>
        </w:rPr>
        <w:t xml:space="preserve"> a </w:t>
      </w:r>
      <w:r w:rsidR="009318D2" w:rsidRPr="00806BED">
        <w:rPr>
          <w:rFonts w:ascii="Arial" w:hAnsi="Arial" w:cs="Arial"/>
          <w:sz w:val="20"/>
          <w:szCs w:val="20"/>
        </w:rPr>
        <w:t>train, or</w:t>
      </w:r>
      <w:r w:rsidR="0043130F" w:rsidRPr="00806BED">
        <w:rPr>
          <w:rFonts w:ascii="Arial" w:hAnsi="Arial" w:cs="Arial"/>
          <w:sz w:val="20"/>
          <w:szCs w:val="20"/>
        </w:rPr>
        <w:t xml:space="preserve"> a </w:t>
      </w:r>
      <w:r w:rsidR="009318D2" w:rsidRPr="00806BED">
        <w:rPr>
          <w:rFonts w:ascii="Arial" w:hAnsi="Arial" w:cs="Arial"/>
          <w:sz w:val="20"/>
          <w:szCs w:val="20"/>
        </w:rPr>
        <w:t>railcar, over one kilometre</w:t>
      </w:r>
      <w:r w:rsidR="00D62F2E" w:rsidRPr="00806BED">
        <w:rPr>
          <w:rFonts w:ascii="Arial" w:hAnsi="Arial" w:cs="Arial"/>
          <w:sz w:val="20"/>
        </w:rPr>
        <w:t>.</w:t>
      </w:r>
    </w:p>
    <w:p w:rsidR="00CB7574" w:rsidRPr="00806BED" w:rsidRDefault="00D678B9">
      <w:pPr>
        <w:pStyle w:val="Zkladntextodsazen2"/>
        <w:rPr>
          <w:rFonts w:ascii="Arial" w:hAnsi="Arial" w:cs="Arial"/>
          <w:sz w:val="20"/>
        </w:rPr>
      </w:pPr>
      <w:r w:rsidRPr="00D678B9">
        <w:rPr>
          <w:rFonts w:ascii="Arial" w:hAnsi="Arial" w:cs="Arial"/>
          <w:sz w:val="20"/>
        </w:rPr>
        <w:t>A </w:t>
      </w:r>
      <w:hyperlink r:id="rId5" w:history="1">
        <w:r w:rsidR="00CB7574" w:rsidRPr="00806BED">
          <w:rPr>
            <w:rFonts w:ascii="Arial" w:hAnsi="Arial" w:cs="Arial"/>
            <w:b/>
            <w:sz w:val="20"/>
          </w:rPr>
          <w:t>gross tonne-kilometre hauled</w:t>
        </w:r>
      </w:hyperlink>
      <w:r w:rsidR="00CB7574" w:rsidRPr="00806BED">
        <w:rPr>
          <w:rFonts w:ascii="Arial" w:hAnsi="Arial" w:cs="Arial"/>
          <w:sz w:val="20"/>
        </w:rPr>
        <w:t xml:space="preserve"> is</w:t>
      </w:r>
      <w:r w:rsidR="0043130F" w:rsidRPr="00806BED">
        <w:rPr>
          <w:rFonts w:ascii="Arial" w:hAnsi="Arial" w:cs="Arial"/>
          <w:sz w:val="20"/>
        </w:rPr>
        <w:t xml:space="preserve"> a </w:t>
      </w:r>
      <w:r w:rsidR="00CB7574" w:rsidRPr="00806BED">
        <w:rPr>
          <w:rFonts w:ascii="Arial" w:hAnsi="Arial" w:cs="Arial"/>
          <w:sz w:val="20"/>
        </w:rPr>
        <w:t xml:space="preserve">unit of measure representing </w:t>
      </w:r>
      <w:r w:rsidR="0043130F" w:rsidRPr="00806BED">
        <w:rPr>
          <w:rFonts w:ascii="Arial" w:hAnsi="Arial" w:cs="Arial"/>
          <w:sz w:val="20"/>
        </w:rPr>
        <w:t>the </w:t>
      </w:r>
      <w:r w:rsidR="00CB7574" w:rsidRPr="00806BED">
        <w:rPr>
          <w:rFonts w:ascii="Arial" w:hAnsi="Arial" w:cs="Arial"/>
          <w:sz w:val="20"/>
        </w:rPr>
        <w:t>movement over</w:t>
      </w:r>
      <w:r w:rsidR="0043130F" w:rsidRPr="00806BED">
        <w:rPr>
          <w:rFonts w:ascii="Arial" w:hAnsi="Arial" w:cs="Arial"/>
          <w:sz w:val="20"/>
        </w:rPr>
        <w:t xml:space="preserve"> a </w:t>
      </w:r>
      <w:r w:rsidR="00CB7574" w:rsidRPr="00806BED">
        <w:rPr>
          <w:rFonts w:ascii="Arial" w:hAnsi="Arial" w:cs="Arial"/>
          <w:sz w:val="20"/>
        </w:rPr>
        <w:t xml:space="preserve">distance of one kilometre of one tonne of vehicle and contents excluding </w:t>
      </w:r>
      <w:r w:rsidR="0043130F" w:rsidRPr="00806BED">
        <w:rPr>
          <w:rFonts w:ascii="Arial" w:hAnsi="Arial" w:cs="Arial"/>
          <w:sz w:val="20"/>
        </w:rPr>
        <w:t>the </w:t>
      </w:r>
      <w:r w:rsidR="00CB7574" w:rsidRPr="00806BED">
        <w:rPr>
          <w:rFonts w:ascii="Arial" w:hAnsi="Arial" w:cs="Arial"/>
          <w:sz w:val="20"/>
        </w:rPr>
        <w:t>weight of</w:t>
      </w:r>
      <w:r w:rsidR="0043130F" w:rsidRPr="00806BED">
        <w:rPr>
          <w:rFonts w:ascii="Arial" w:hAnsi="Arial" w:cs="Arial"/>
          <w:sz w:val="20"/>
        </w:rPr>
        <w:t xml:space="preserve"> a </w:t>
      </w:r>
      <w:r w:rsidR="00CB7574" w:rsidRPr="00806BED">
        <w:rPr>
          <w:rFonts w:ascii="Arial" w:hAnsi="Arial" w:cs="Arial"/>
          <w:sz w:val="20"/>
        </w:rPr>
        <w:t xml:space="preserve">tractive vehicle and is used for </w:t>
      </w:r>
      <w:r w:rsidR="0043130F" w:rsidRPr="00806BED">
        <w:rPr>
          <w:rFonts w:ascii="Arial" w:hAnsi="Arial" w:cs="Arial"/>
          <w:sz w:val="20"/>
        </w:rPr>
        <w:t>the </w:t>
      </w:r>
      <w:r w:rsidR="00CB7574" w:rsidRPr="00806BED">
        <w:rPr>
          <w:rFonts w:ascii="Arial" w:hAnsi="Arial" w:cs="Arial"/>
          <w:sz w:val="20"/>
        </w:rPr>
        <w:t xml:space="preserve">calculation of </w:t>
      </w:r>
      <w:r w:rsidR="0043130F" w:rsidRPr="00806BED">
        <w:rPr>
          <w:rFonts w:ascii="Arial" w:hAnsi="Arial" w:cs="Arial"/>
          <w:sz w:val="20"/>
        </w:rPr>
        <w:t>the </w:t>
      </w:r>
      <w:r w:rsidR="00CB7574" w:rsidRPr="00806BED">
        <w:rPr>
          <w:rFonts w:ascii="Arial" w:hAnsi="Arial" w:cs="Arial"/>
          <w:sz w:val="20"/>
        </w:rPr>
        <w:t xml:space="preserve">gross output of tractive vehicles. It characterizes </w:t>
      </w:r>
      <w:r w:rsidR="0043130F" w:rsidRPr="00806BED">
        <w:rPr>
          <w:rFonts w:ascii="Arial" w:hAnsi="Arial" w:cs="Arial"/>
          <w:sz w:val="20"/>
        </w:rPr>
        <w:t>the </w:t>
      </w:r>
      <w:r w:rsidR="00CB7574" w:rsidRPr="00806BED">
        <w:rPr>
          <w:rFonts w:ascii="Arial" w:hAnsi="Arial" w:cs="Arial"/>
          <w:sz w:val="20"/>
        </w:rPr>
        <w:t xml:space="preserve">overall volume of transport activities. </w:t>
      </w:r>
      <w:r w:rsidR="0043130F" w:rsidRPr="00806BED">
        <w:rPr>
          <w:rFonts w:ascii="Arial" w:hAnsi="Arial" w:cs="Arial"/>
          <w:sz w:val="20"/>
        </w:rPr>
        <w:t>The </w:t>
      </w:r>
      <w:r w:rsidR="00CB7574" w:rsidRPr="00806BED">
        <w:rPr>
          <w:rFonts w:ascii="Arial" w:hAnsi="Arial" w:cs="Arial"/>
          <w:sz w:val="20"/>
        </w:rPr>
        <w:t xml:space="preserve">calculation takes into account not merely </w:t>
      </w:r>
      <w:r w:rsidR="0043130F" w:rsidRPr="00806BED">
        <w:rPr>
          <w:rFonts w:ascii="Arial" w:hAnsi="Arial" w:cs="Arial"/>
          <w:sz w:val="20"/>
        </w:rPr>
        <w:t>the </w:t>
      </w:r>
      <w:r w:rsidR="00CB7574" w:rsidRPr="00806BED">
        <w:rPr>
          <w:rFonts w:ascii="Arial" w:hAnsi="Arial" w:cs="Arial"/>
          <w:sz w:val="20"/>
        </w:rPr>
        <w:t xml:space="preserve">weight of goods transported yet also </w:t>
      </w:r>
      <w:r w:rsidR="0043130F" w:rsidRPr="00806BED">
        <w:rPr>
          <w:rFonts w:ascii="Arial" w:hAnsi="Arial" w:cs="Arial"/>
          <w:sz w:val="20"/>
        </w:rPr>
        <w:t>the </w:t>
      </w:r>
      <w:r w:rsidR="00CB7574" w:rsidRPr="00806BED">
        <w:rPr>
          <w:rFonts w:ascii="Arial" w:hAnsi="Arial" w:cs="Arial"/>
          <w:sz w:val="20"/>
        </w:rPr>
        <w:t xml:space="preserve">weight of railway carriages, excluding </w:t>
      </w:r>
      <w:r w:rsidR="0043130F" w:rsidRPr="00806BED">
        <w:rPr>
          <w:rFonts w:ascii="Arial" w:hAnsi="Arial" w:cs="Arial"/>
          <w:sz w:val="20"/>
        </w:rPr>
        <w:t>the </w:t>
      </w:r>
      <w:r w:rsidR="00CB7574" w:rsidRPr="00806BED">
        <w:rPr>
          <w:rFonts w:ascii="Arial" w:hAnsi="Arial" w:cs="Arial"/>
          <w:sz w:val="20"/>
        </w:rPr>
        <w:t>weight of</w:t>
      </w:r>
      <w:r w:rsidR="0043130F" w:rsidRPr="00806BED">
        <w:rPr>
          <w:rFonts w:ascii="Arial" w:hAnsi="Arial" w:cs="Arial"/>
          <w:sz w:val="20"/>
        </w:rPr>
        <w:t xml:space="preserve"> a </w:t>
      </w:r>
      <w:r w:rsidR="00CB7574" w:rsidRPr="00806BED">
        <w:rPr>
          <w:rFonts w:ascii="Arial" w:hAnsi="Arial" w:cs="Arial"/>
          <w:sz w:val="20"/>
        </w:rPr>
        <w:t>tractive vehicle.</w:t>
      </w:r>
    </w:p>
    <w:p w:rsidR="00D62F2E" w:rsidRPr="00806BED" w:rsidRDefault="00D678B9">
      <w:pPr>
        <w:pStyle w:val="Zkladntextodsazen2"/>
        <w:rPr>
          <w:rFonts w:ascii="Arial" w:hAnsi="Arial" w:cs="Arial"/>
          <w:sz w:val="20"/>
        </w:rPr>
      </w:pPr>
      <w:r w:rsidRPr="00D678B9">
        <w:rPr>
          <w:rFonts w:ascii="Arial" w:hAnsi="Arial" w:cs="Arial"/>
          <w:sz w:val="20"/>
        </w:rPr>
        <w:t>A </w:t>
      </w:r>
      <w:r w:rsidR="00D62F2E" w:rsidRPr="00806BED">
        <w:rPr>
          <w:rFonts w:ascii="Arial" w:hAnsi="Arial" w:cs="Arial"/>
          <w:b/>
          <w:sz w:val="20"/>
        </w:rPr>
        <w:t xml:space="preserve">train-kilometre </w:t>
      </w:r>
      <w:r w:rsidR="00D62F2E" w:rsidRPr="00F418A1">
        <w:rPr>
          <w:rFonts w:ascii="Arial" w:hAnsi="Arial" w:cs="Arial"/>
          <w:sz w:val="20"/>
        </w:rPr>
        <w:t>i</w:t>
      </w:r>
      <w:r w:rsidR="00D62F2E" w:rsidRPr="00806BED">
        <w:rPr>
          <w:rFonts w:ascii="Arial" w:hAnsi="Arial" w:cs="Arial"/>
          <w:sz w:val="20"/>
        </w:rPr>
        <w:t xml:space="preserve">n freight transport </w:t>
      </w:r>
      <w:r w:rsidR="00CB7574" w:rsidRPr="00806BED">
        <w:rPr>
          <w:rFonts w:ascii="Arial" w:hAnsi="Arial" w:cs="Arial"/>
          <w:sz w:val="20"/>
        </w:rPr>
        <w:t>is</w:t>
      </w:r>
      <w:r w:rsidR="0043130F" w:rsidRPr="00806BED">
        <w:rPr>
          <w:rFonts w:ascii="Arial" w:hAnsi="Arial" w:cs="Arial"/>
          <w:sz w:val="20"/>
        </w:rPr>
        <w:t xml:space="preserve"> a </w:t>
      </w:r>
      <w:r w:rsidR="00CB7574" w:rsidRPr="00806BED">
        <w:rPr>
          <w:rFonts w:ascii="Arial" w:hAnsi="Arial" w:cs="Arial"/>
          <w:sz w:val="20"/>
          <w:szCs w:val="20"/>
        </w:rPr>
        <w:t xml:space="preserve">unit of measure representing </w:t>
      </w:r>
      <w:r w:rsidR="0043130F" w:rsidRPr="00806BED">
        <w:rPr>
          <w:rFonts w:ascii="Arial" w:hAnsi="Arial" w:cs="Arial"/>
          <w:sz w:val="20"/>
          <w:szCs w:val="20"/>
        </w:rPr>
        <w:t>the </w:t>
      </w:r>
      <w:r w:rsidR="00CB7574" w:rsidRPr="00806BED">
        <w:rPr>
          <w:rFonts w:ascii="Arial" w:hAnsi="Arial" w:cs="Arial"/>
          <w:sz w:val="20"/>
          <w:szCs w:val="20"/>
        </w:rPr>
        <w:t>movement of</w:t>
      </w:r>
      <w:r w:rsidR="0043130F" w:rsidRPr="00806BED">
        <w:rPr>
          <w:rFonts w:ascii="Arial" w:hAnsi="Arial" w:cs="Arial"/>
          <w:sz w:val="20"/>
          <w:szCs w:val="20"/>
        </w:rPr>
        <w:t xml:space="preserve"> a </w:t>
      </w:r>
      <w:r w:rsidR="00CB7574" w:rsidRPr="00806BED">
        <w:rPr>
          <w:rFonts w:ascii="Arial" w:hAnsi="Arial" w:cs="Arial"/>
          <w:sz w:val="20"/>
          <w:szCs w:val="20"/>
        </w:rPr>
        <w:t>freight train over one kilometre</w:t>
      </w:r>
      <w:r w:rsidR="00D62F2E" w:rsidRPr="00806BED">
        <w:rPr>
          <w:rFonts w:ascii="Arial" w:hAnsi="Arial" w:cs="Arial"/>
          <w:sz w:val="20"/>
        </w:rPr>
        <w:t>.</w:t>
      </w:r>
    </w:p>
    <w:p w:rsidR="00D62F2E" w:rsidRPr="00806BED" w:rsidRDefault="00D62F2E">
      <w:pPr>
        <w:jc w:val="both"/>
        <w:rPr>
          <w:rFonts w:ascii="Arial" w:hAnsi="Arial" w:cs="Arial"/>
          <w:i/>
          <w:iCs/>
          <w:sz w:val="20"/>
        </w:rPr>
      </w:pPr>
    </w:p>
    <w:p w:rsidR="00717736" w:rsidRPr="00806BED" w:rsidRDefault="00717736">
      <w:pPr>
        <w:jc w:val="both"/>
        <w:rPr>
          <w:rFonts w:ascii="Arial" w:hAnsi="Arial" w:cs="Arial"/>
          <w:i/>
          <w:iCs/>
          <w:sz w:val="20"/>
        </w:rPr>
      </w:pPr>
    </w:p>
    <w:p w:rsidR="00D62F2E" w:rsidRPr="00806BED" w:rsidRDefault="00D62F2E">
      <w:pPr>
        <w:jc w:val="both"/>
        <w:rPr>
          <w:rFonts w:ascii="Arial" w:hAnsi="Arial" w:cs="Arial"/>
          <w:i/>
          <w:iCs/>
          <w:sz w:val="20"/>
        </w:rPr>
      </w:pPr>
      <w:r w:rsidRPr="00806BED">
        <w:rPr>
          <w:rFonts w:ascii="Arial" w:hAnsi="Arial" w:cs="Arial"/>
          <w:i/>
          <w:iCs/>
          <w:sz w:val="20"/>
        </w:rPr>
        <w:t xml:space="preserve">Table </w:t>
      </w:r>
      <w:r w:rsidR="00521807">
        <w:rPr>
          <w:rFonts w:ascii="Arial" w:hAnsi="Arial" w:cs="Arial"/>
          <w:b/>
          <w:bCs/>
          <w:i/>
          <w:iCs/>
          <w:sz w:val="20"/>
        </w:rPr>
        <w:t>20</w:t>
      </w:r>
      <w:r w:rsidRPr="00806BED">
        <w:rPr>
          <w:rFonts w:ascii="Arial" w:hAnsi="Arial" w:cs="Arial"/>
          <w:i/>
          <w:iCs/>
          <w:sz w:val="20"/>
        </w:rPr>
        <w:t>-6</w:t>
      </w:r>
      <w:r w:rsidR="004E1E33" w:rsidRPr="00806BED">
        <w:rPr>
          <w:rFonts w:ascii="Arial" w:hAnsi="Arial" w:cs="Arial"/>
          <w:i/>
          <w:iCs/>
          <w:sz w:val="20"/>
        </w:rPr>
        <w:t xml:space="preserve"> </w:t>
      </w:r>
      <w:r w:rsidR="005568AC" w:rsidRPr="00806BED">
        <w:rPr>
          <w:rFonts w:ascii="Arial" w:hAnsi="Arial" w:cs="Arial"/>
          <w:b/>
          <w:bCs/>
          <w:i/>
          <w:iCs/>
          <w:sz w:val="20"/>
        </w:rPr>
        <w:t xml:space="preserve">Road transport </w:t>
      </w:r>
      <w:r w:rsidRPr="00806BED">
        <w:rPr>
          <w:rFonts w:ascii="Arial" w:hAnsi="Arial" w:cs="Arial"/>
          <w:b/>
          <w:bCs/>
          <w:i/>
          <w:iCs/>
          <w:sz w:val="20"/>
        </w:rPr>
        <w:t>outputs</w:t>
      </w:r>
    </w:p>
    <w:p w:rsidR="00D62F2E" w:rsidRPr="00806BED" w:rsidRDefault="00D678B9">
      <w:pPr>
        <w:pStyle w:val="Zkladntextodsazen2"/>
        <w:rPr>
          <w:rFonts w:ascii="Arial" w:hAnsi="Arial" w:cs="Arial"/>
          <w:sz w:val="20"/>
        </w:rPr>
      </w:pPr>
      <w:r w:rsidRPr="00D678B9">
        <w:rPr>
          <w:rFonts w:ascii="Arial" w:hAnsi="Arial" w:cs="Arial"/>
          <w:sz w:val="20"/>
        </w:rPr>
        <w:t>The </w:t>
      </w:r>
      <w:r w:rsidR="00D62F2E" w:rsidRPr="00806BED">
        <w:rPr>
          <w:rFonts w:ascii="Arial" w:hAnsi="Arial" w:cs="Arial"/>
          <w:b/>
          <w:sz w:val="20"/>
        </w:rPr>
        <w:t xml:space="preserve">number of </w:t>
      </w:r>
      <w:r w:rsidR="0043130F" w:rsidRPr="00806BED">
        <w:rPr>
          <w:rFonts w:ascii="Arial" w:hAnsi="Arial" w:cs="Arial"/>
          <w:b/>
          <w:sz w:val="20"/>
        </w:rPr>
        <w:t>the </w:t>
      </w:r>
      <w:r w:rsidR="00D62F2E" w:rsidRPr="00806BED">
        <w:rPr>
          <w:rFonts w:ascii="Arial" w:hAnsi="Arial" w:cs="Arial"/>
          <w:b/>
          <w:sz w:val="20"/>
        </w:rPr>
        <w:t>passengers transported</w:t>
      </w:r>
      <w:r w:rsidR="00D62F2E" w:rsidRPr="00806BED">
        <w:rPr>
          <w:rFonts w:ascii="Arial" w:hAnsi="Arial" w:cs="Arial"/>
          <w:sz w:val="20"/>
        </w:rPr>
        <w:t xml:space="preserve"> refers to </w:t>
      </w:r>
      <w:r w:rsidR="0043130F" w:rsidRPr="00806BED">
        <w:rPr>
          <w:rFonts w:ascii="Arial" w:hAnsi="Arial" w:cs="Arial"/>
          <w:sz w:val="20"/>
        </w:rPr>
        <w:t>the </w:t>
      </w:r>
      <w:r w:rsidR="00D62F2E" w:rsidRPr="00806BED">
        <w:rPr>
          <w:rFonts w:ascii="Arial" w:hAnsi="Arial" w:cs="Arial"/>
          <w:sz w:val="20"/>
        </w:rPr>
        <w:t>volume of</w:t>
      </w:r>
      <w:r w:rsidR="00B01AF2" w:rsidRPr="00806BED">
        <w:rPr>
          <w:rFonts w:ascii="Arial" w:hAnsi="Arial" w:cs="Arial"/>
          <w:sz w:val="20"/>
        </w:rPr>
        <w:t xml:space="preserve"> regular and irregular bus </w:t>
      </w:r>
      <w:r w:rsidR="00D62F2E" w:rsidRPr="00806BED">
        <w:rPr>
          <w:rFonts w:ascii="Arial" w:hAnsi="Arial" w:cs="Arial"/>
          <w:sz w:val="20"/>
        </w:rPr>
        <w:t xml:space="preserve">transport. </w:t>
      </w:r>
      <w:r w:rsidR="00B01AF2" w:rsidRPr="00806BED">
        <w:rPr>
          <w:rFonts w:ascii="Arial" w:hAnsi="Arial" w:cs="Arial"/>
          <w:sz w:val="20"/>
        </w:rPr>
        <w:t xml:space="preserve">Season tickets </w:t>
      </w:r>
      <w:r w:rsidR="00D62F2E" w:rsidRPr="00806BED">
        <w:rPr>
          <w:rFonts w:ascii="Arial" w:hAnsi="Arial" w:cs="Arial"/>
          <w:sz w:val="20"/>
        </w:rPr>
        <w:t xml:space="preserve">are </w:t>
      </w:r>
      <w:r w:rsidR="00B01AF2" w:rsidRPr="00806BED">
        <w:rPr>
          <w:rFonts w:ascii="Arial" w:hAnsi="Arial" w:cs="Arial"/>
          <w:sz w:val="20"/>
        </w:rPr>
        <w:t xml:space="preserve">recalculated </w:t>
      </w:r>
      <w:r w:rsidR="00D62F2E" w:rsidRPr="00806BED">
        <w:rPr>
          <w:rFonts w:ascii="Arial" w:hAnsi="Arial" w:cs="Arial"/>
          <w:sz w:val="20"/>
        </w:rPr>
        <w:t xml:space="preserve">to </w:t>
      </w:r>
      <w:r w:rsidR="0043130F" w:rsidRPr="00806BED">
        <w:rPr>
          <w:rFonts w:ascii="Arial" w:hAnsi="Arial" w:cs="Arial"/>
          <w:sz w:val="20"/>
        </w:rPr>
        <w:t>the </w:t>
      </w:r>
      <w:r w:rsidR="00D62F2E" w:rsidRPr="00806BED">
        <w:rPr>
          <w:rFonts w:ascii="Arial" w:hAnsi="Arial" w:cs="Arial"/>
          <w:sz w:val="20"/>
        </w:rPr>
        <w:t>number of transported passengers.</w:t>
      </w:r>
    </w:p>
    <w:p w:rsidR="00D62F2E" w:rsidRPr="00806BED" w:rsidRDefault="00B01AF2">
      <w:pPr>
        <w:spacing w:before="120"/>
        <w:ind w:firstLine="709"/>
        <w:jc w:val="both"/>
        <w:rPr>
          <w:rFonts w:ascii="Arial" w:hAnsi="Arial" w:cs="Arial"/>
          <w:i/>
          <w:iCs/>
          <w:sz w:val="20"/>
        </w:rPr>
      </w:pPr>
      <w:r w:rsidRPr="00806BED">
        <w:rPr>
          <w:rFonts w:ascii="Arial" w:hAnsi="Arial" w:cs="Arial"/>
          <w:b/>
          <w:i/>
          <w:iCs/>
          <w:sz w:val="20"/>
        </w:rPr>
        <w:t>Outputs</w:t>
      </w:r>
      <w:r w:rsidRPr="00806BED">
        <w:rPr>
          <w:rFonts w:ascii="Arial" w:hAnsi="Arial" w:cs="Arial"/>
          <w:i/>
          <w:iCs/>
          <w:sz w:val="20"/>
        </w:rPr>
        <w:t xml:space="preserve"> in passenger-kilometres </w:t>
      </w:r>
      <w:r w:rsidR="006068C6" w:rsidRPr="00806BED">
        <w:rPr>
          <w:rFonts w:ascii="Arial" w:hAnsi="Arial" w:cs="Arial"/>
          <w:i/>
          <w:iCs/>
          <w:sz w:val="20"/>
        </w:rPr>
        <w:t xml:space="preserve">(pkm) are obtained by </w:t>
      </w:r>
      <w:r w:rsidR="0043130F" w:rsidRPr="00806BED">
        <w:rPr>
          <w:rFonts w:ascii="Arial" w:hAnsi="Arial" w:cs="Arial"/>
          <w:i/>
          <w:iCs/>
          <w:sz w:val="20"/>
        </w:rPr>
        <w:t>the </w:t>
      </w:r>
      <w:r w:rsidR="006068C6" w:rsidRPr="00806BED">
        <w:rPr>
          <w:rFonts w:ascii="Arial" w:hAnsi="Arial" w:cs="Arial"/>
          <w:i/>
          <w:iCs/>
          <w:sz w:val="20"/>
        </w:rPr>
        <w:t xml:space="preserve">recalculation of </w:t>
      </w:r>
      <w:r w:rsidR="0043130F" w:rsidRPr="00806BED">
        <w:rPr>
          <w:rFonts w:ascii="Arial" w:hAnsi="Arial" w:cs="Arial"/>
          <w:i/>
          <w:iCs/>
          <w:sz w:val="20"/>
        </w:rPr>
        <w:t>the </w:t>
      </w:r>
      <w:r w:rsidR="006068C6" w:rsidRPr="00806BED">
        <w:rPr>
          <w:rFonts w:ascii="Arial" w:hAnsi="Arial" w:cs="Arial"/>
          <w:i/>
          <w:iCs/>
          <w:sz w:val="20"/>
        </w:rPr>
        <w:t xml:space="preserve">amount </w:t>
      </w:r>
      <w:r w:rsidR="00D62F2E" w:rsidRPr="00806BED">
        <w:rPr>
          <w:rFonts w:ascii="Arial" w:hAnsi="Arial" w:cs="Arial"/>
          <w:i/>
          <w:iCs/>
          <w:sz w:val="20"/>
        </w:rPr>
        <w:t>of sales in CZK (</w:t>
      </w:r>
      <w:r w:rsidR="006068C6" w:rsidRPr="00806BED">
        <w:rPr>
          <w:rFonts w:ascii="Arial" w:hAnsi="Arial" w:cs="Arial"/>
          <w:i/>
          <w:iCs/>
          <w:sz w:val="20"/>
        </w:rPr>
        <w:t xml:space="preserve">while </w:t>
      </w:r>
      <w:r w:rsidR="0043130F" w:rsidRPr="00806BED">
        <w:rPr>
          <w:rFonts w:ascii="Arial" w:hAnsi="Arial" w:cs="Arial"/>
          <w:i/>
          <w:iCs/>
          <w:sz w:val="20"/>
        </w:rPr>
        <w:t>the </w:t>
      </w:r>
      <w:r w:rsidR="00D62F2E" w:rsidRPr="00806BED">
        <w:rPr>
          <w:rFonts w:ascii="Arial" w:hAnsi="Arial" w:cs="Arial"/>
          <w:i/>
          <w:iCs/>
          <w:sz w:val="20"/>
        </w:rPr>
        <w:t xml:space="preserve">ratio between actually transported passengers and kilometres </w:t>
      </w:r>
      <w:r w:rsidR="006068C6" w:rsidRPr="00806BED">
        <w:rPr>
          <w:rFonts w:ascii="Arial" w:hAnsi="Arial" w:cs="Arial"/>
          <w:i/>
          <w:iCs/>
          <w:sz w:val="20"/>
        </w:rPr>
        <w:t>travelled</w:t>
      </w:r>
      <w:r w:rsidR="00D62F2E" w:rsidRPr="00806BED">
        <w:rPr>
          <w:rFonts w:ascii="Arial" w:hAnsi="Arial" w:cs="Arial"/>
          <w:i/>
          <w:iCs/>
          <w:sz w:val="20"/>
        </w:rPr>
        <w:t xml:space="preserve"> is maintained).</w:t>
      </w:r>
    </w:p>
    <w:p w:rsidR="00D62F2E" w:rsidRPr="00806BED" w:rsidRDefault="00D678B9">
      <w:pPr>
        <w:spacing w:before="120"/>
        <w:ind w:firstLine="709"/>
        <w:jc w:val="both"/>
        <w:rPr>
          <w:rFonts w:ascii="Arial" w:hAnsi="Arial" w:cs="Arial"/>
          <w:i/>
          <w:iCs/>
          <w:sz w:val="20"/>
        </w:rPr>
      </w:pPr>
      <w:r w:rsidRPr="00D678B9">
        <w:rPr>
          <w:rFonts w:ascii="Arial" w:hAnsi="Arial" w:cs="Arial"/>
          <w:i/>
          <w:iCs/>
          <w:sz w:val="20"/>
        </w:rPr>
        <w:t>The </w:t>
      </w:r>
      <w:r w:rsidR="00D62F2E" w:rsidRPr="00806BED">
        <w:rPr>
          <w:rFonts w:ascii="Arial" w:hAnsi="Arial" w:cs="Arial"/>
          <w:b/>
          <w:i/>
          <w:iCs/>
          <w:sz w:val="20"/>
        </w:rPr>
        <w:t>volume of freight transport</w:t>
      </w:r>
      <w:r w:rsidR="00D62F2E" w:rsidRPr="00806BED">
        <w:rPr>
          <w:rFonts w:ascii="Arial" w:hAnsi="Arial" w:cs="Arial"/>
          <w:i/>
          <w:iCs/>
          <w:sz w:val="20"/>
        </w:rPr>
        <w:t xml:space="preserve"> in tonnes shows </w:t>
      </w:r>
      <w:r w:rsidR="0043130F" w:rsidRPr="00806BED">
        <w:rPr>
          <w:rFonts w:ascii="Arial" w:hAnsi="Arial" w:cs="Arial"/>
          <w:i/>
          <w:iCs/>
          <w:sz w:val="20"/>
        </w:rPr>
        <w:t>the </w:t>
      </w:r>
      <w:r w:rsidR="00D62F2E" w:rsidRPr="00806BED">
        <w:rPr>
          <w:rFonts w:ascii="Arial" w:hAnsi="Arial" w:cs="Arial"/>
          <w:i/>
          <w:iCs/>
          <w:sz w:val="20"/>
        </w:rPr>
        <w:t>actual weight of goods carried by road</w:t>
      </w:r>
      <w:r w:rsidR="003A31F3" w:rsidRPr="00806BED">
        <w:rPr>
          <w:rFonts w:ascii="Arial" w:hAnsi="Arial" w:cs="Arial"/>
          <w:i/>
          <w:iCs/>
          <w:sz w:val="20"/>
        </w:rPr>
        <w:t xml:space="preserve"> freight</w:t>
      </w:r>
      <w:r w:rsidR="00D62F2E" w:rsidRPr="00806BED">
        <w:rPr>
          <w:rFonts w:ascii="Arial" w:hAnsi="Arial" w:cs="Arial"/>
          <w:i/>
          <w:iCs/>
          <w:sz w:val="20"/>
        </w:rPr>
        <w:t xml:space="preserve"> vehicles, including trailers and semi-trailers, registered in </w:t>
      </w:r>
      <w:r w:rsidR="0043130F" w:rsidRPr="00806BED">
        <w:rPr>
          <w:rFonts w:ascii="Arial" w:hAnsi="Arial" w:cs="Arial"/>
          <w:i/>
          <w:iCs/>
          <w:sz w:val="20"/>
        </w:rPr>
        <w:t>the </w:t>
      </w:r>
      <w:r w:rsidR="00D62F2E" w:rsidRPr="00806BED">
        <w:rPr>
          <w:rFonts w:ascii="Arial" w:hAnsi="Arial" w:cs="Arial"/>
          <w:i/>
          <w:iCs/>
          <w:sz w:val="20"/>
        </w:rPr>
        <w:t>Czech Republic.</w:t>
      </w:r>
    </w:p>
    <w:p w:rsidR="00D62F2E" w:rsidRPr="00806BED" w:rsidRDefault="00D62F2E">
      <w:pPr>
        <w:jc w:val="both"/>
        <w:rPr>
          <w:rFonts w:ascii="Arial" w:hAnsi="Arial" w:cs="Arial"/>
          <w:i/>
          <w:iCs/>
          <w:sz w:val="20"/>
        </w:rPr>
      </w:pPr>
    </w:p>
    <w:p w:rsidR="00D62F2E" w:rsidRPr="00806BED" w:rsidRDefault="00D62F2E">
      <w:pPr>
        <w:jc w:val="both"/>
        <w:rPr>
          <w:rFonts w:ascii="Arial" w:hAnsi="Arial" w:cs="Arial"/>
          <w:i/>
          <w:iCs/>
          <w:sz w:val="20"/>
        </w:rPr>
      </w:pPr>
    </w:p>
    <w:p w:rsidR="00D62F2E" w:rsidRPr="00806BED" w:rsidRDefault="00D62F2E">
      <w:pPr>
        <w:jc w:val="both"/>
        <w:rPr>
          <w:rFonts w:ascii="Arial" w:hAnsi="Arial" w:cs="Arial"/>
          <w:i/>
          <w:iCs/>
          <w:sz w:val="20"/>
        </w:rPr>
      </w:pPr>
      <w:r w:rsidRPr="00806BED">
        <w:rPr>
          <w:rFonts w:ascii="Arial" w:hAnsi="Arial" w:cs="Arial"/>
          <w:i/>
          <w:iCs/>
          <w:sz w:val="20"/>
        </w:rPr>
        <w:t xml:space="preserve">Table </w:t>
      </w:r>
      <w:r w:rsidR="00521807">
        <w:rPr>
          <w:rFonts w:ascii="Arial" w:hAnsi="Arial" w:cs="Arial"/>
          <w:b/>
          <w:bCs/>
          <w:i/>
          <w:iCs/>
          <w:sz w:val="20"/>
        </w:rPr>
        <w:t>20</w:t>
      </w:r>
      <w:r w:rsidRPr="00806BED">
        <w:rPr>
          <w:rFonts w:ascii="Arial" w:hAnsi="Arial" w:cs="Arial"/>
          <w:i/>
          <w:iCs/>
          <w:sz w:val="20"/>
        </w:rPr>
        <w:t xml:space="preserve">-8 </w:t>
      </w:r>
      <w:r w:rsidRPr="00806BED">
        <w:rPr>
          <w:rFonts w:ascii="Arial" w:hAnsi="Arial" w:cs="Arial"/>
          <w:b/>
          <w:bCs/>
          <w:i/>
          <w:iCs/>
          <w:sz w:val="20"/>
        </w:rPr>
        <w:t>Motor vehicles</w:t>
      </w:r>
      <w:r w:rsidR="00A725FF" w:rsidRPr="00806BED">
        <w:rPr>
          <w:rFonts w:ascii="Arial" w:hAnsi="Arial" w:cs="Arial"/>
          <w:b/>
          <w:bCs/>
          <w:i/>
          <w:iCs/>
          <w:sz w:val="20"/>
        </w:rPr>
        <w:t xml:space="preserve"> and trailers</w:t>
      </w:r>
    </w:p>
    <w:p w:rsidR="00D62F2E" w:rsidRPr="00806BED" w:rsidRDefault="0043130F">
      <w:pPr>
        <w:pStyle w:val="Zkladntext"/>
        <w:spacing w:before="120"/>
        <w:ind w:firstLine="709"/>
        <w:rPr>
          <w:rFonts w:ascii="Arial" w:hAnsi="Arial" w:cs="Arial"/>
          <w:i/>
          <w:iCs/>
          <w:sz w:val="20"/>
        </w:rPr>
      </w:pPr>
      <w:r w:rsidRPr="00806BED">
        <w:rPr>
          <w:rFonts w:ascii="Arial" w:hAnsi="Arial" w:cs="Arial"/>
          <w:i/>
          <w:iCs/>
          <w:sz w:val="20"/>
        </w:rPr>
        <w:t>The </w:t>
      </w:r>
      <w:r w:rsidR="00D62F2E" w:rsidRPr="00806BED">
        <w:rPr>
          <w:rFonts w:ascii="Arial" w:hAnsi="Arial" w:cs="Arial"/>
          <w:i/>
          <w:iCs/>
          <w:sz w:val="20"/>
        </w:rPr>
        <w:t xml:space="preserve">numbers of </w:t>
      </w:r>
      <w:r w:rsidR="002A3E21" w:rsidRPr="00806BED">
        <w:rPr>
          <w:rFonts w:ascii="Arial" w:hAnsi="Arial" w:cs="Arial"/>
          <w:i/>
          <w:iCs/>
          <w:sz w:val="20"/>
        </w:rPr>
        <w:t xml:space="preserve">road </w:t>
      </w:r>
      <w:r w:rsidR="00D62F2E" w:rsidRPr="00806BED">
        <w:rPr>
          <w:rFonts w:ascii="Arial" w:hAnsi="Arial" w:cs="Arial"/>
          <w:i/>
          <w:iCs/>
          <w:sz w:val="20"/>
        </w:rPr>
        <w:t xml:space="preserve">motor vehicles are taken from </w:t>
      </w:r>
      <w:r w:rsidRPr="00806BED">
        <w:rPr>
          <w:rFonts w:ascii="Arial" w:hAnsi="Arial" w:cs="Arial"/>
          <w:i/>
          <w:iCs/>
          <w:sz w:val="20"/>
        </w:rPr>
        <w:t>the </w:t>
      </w:r>
      <w:r w:rsidR="00D62F2E" w:rsidRPr="00806BED">
        <w:rPr>
          <w:rFonts w:ascii="Arial" w:hAnsi="Arial" w:cs="Arial"/>
          <w:i/>
          <w:iCs/>
          <w:sz w:val="20"/>
        </w:rPr>
        <w:t xml:space="preserve">statistics of </w:t>
      </w:r>
      <w:r w:rsidRPr="00806BED">
        <w:rPr>
          <w:rFonts w:ascii="Arial" w:hAnsi="Arial" w:cs="Arial"/>
          <w:i/>
          <w:iCs/>
          <w:sz w:val="20"/>
        </w:rPr>
        <w:t>the </w:t>
      </w:r>
      <w:r w:rsidR="00EE7752">
        <w:rPr>
          <w:rFonts w:ascii="Arial" w:hAnsi="Arial" w:cs="Arial"/>
          <w:i/>
          <w:iCs/>
          <w:sz w:val="20"/>
        </w:rPr>
        <w:t xml:space="preserve">Ministry of Transport </w:t>
      </w:r>
      <w:r w:rsidR="00D62F2E" w:rsidRPr="00806BED">
        <w:rPr>
          <w:rFonts w:ascii="Arial" w:hAnsi="Arial" w:cs="Arial"/>
          <w:i/>
          <w:iCs/>
          <w:sz w:val="20"/>
        </w:rPr>
        <w:t>(</w:t>
      </w:r>
      <w:r w:rsidR="002A3E21" w:rsidRPr="00806BED">
        <w:rPr>
          <w:rFonts w:ascii="Arial" w:hAnsi="Arial" w:cs="Arial"/>
          <w:i/>
          <w:iCs/>
          <w:sz w:val="20"/>
        </w:rPr>
        <w:t xml:space="preserve">from </w:t>
      </w:r>
      <w:r w:rsidRPr="00806BED">
        <w:rPr>
          <w:rFonts w:ascii="Arial" w:hAnsi="Arial" w:cs="Arial"/>
          <w:i/>
          <w:iCs/>
          <w:sz w:val="20"/>
        </w:rPr>
        <w:t>the </w:t>
      </w:r>
      <w:r w:rsidR="00D62F2E" w:rsidRPr="00806BED">
        <w:rPr>
          <w:rFonts w:ascii="Arial" w:hAnsi="Arial" w:cs="Arial"/>
          <w:i/>
          <w:iCs/>
          <w:sz w:val="20"/>
        </w:rPr>
        <w:t>Central Register of Motor Vehicles) and include all road motor vehicles</w:t>
      </w:r>
      <w:r w:rsidR="002A3E21" w:rsidRPr="00806BED">
        <w:rPr>
          <w:rFonts w:ascii="Arial" w:hAnsi="Arial" w:cs="Arial"/>
          <w:i/>
          <w:iCs/>
          <w:sz w:val="20"/>
        </w:rPr>
        <w:t>,</w:t>
      </w:r>
      <w:r w:rsidR="00D62F2E" w:rsidRPr="00806BED">
        <w:rPr>
          <w:rFonts w:ascii="Arial" w:hAnsi="Arial" w:cs="Arial"/>
          <w:i/>
          <w:iCs/>
          <w:sz w:val="20"/>
        </w:rPr>
        <w:t xml:space="preserve"> which had valid license plates as at 31 December</w:t>
      </w:r>
      <w:r w:rsidR="00EB4057" w:rsidRPr="00806BED">
        <w:rPr>
          <w:rFonts w:ascii="Arial" w:hAnsi="Arial" w:cs="Arial"/>
          <w:i/>
          <w:iCs/>
          <w:sz w:val="20"/>
        </w:rPr>
        <w:t xml:space="preserve"> of the</w:t>
      </w:r>
      <w:r w:rsidR="00E63D61">
        <w:rPr>
          <w:rFonts w:ascii="Arial" w:hAnsi="Arial" w:cs="Arial"/>
          <w:i/>
          <w:iCs/>
          <w:sz w:val="20"/>
        </w:rPr>
        <w:t> </w:t>
      </w:r>
      <w:r w:rsidR="00EB4057" w:rsidRPr="00806BED">
        <w:rPr>
          <w:rFonts w:ascii="Arial" w:hAnsi="Arial" w:cs="Arial"/>
          <w:i/>
          <w:iCs/>
          <w:sz w:val="20"/>
        </w:rPr>
        <w:t>reference year</w:t>
      </w:r>
      <w:r w:rsidR="00D62F2E" w:rsidRPr="00806BED">
        <w:rPr>
          <w:rFonts w:ascii="Arial" w:hAnsi="Arial" w:cs="Arial"/>
          <w:i/>
          <w:iCs/>
          <w:sz w:val="20"/>
        </w:rPr>
        <w:t>.</w:t>
      </w:r>
    </w:p>
    <w:p w:rsidR="00D62F2E" w:rsidRPr="00806BED" w:rsidRDefault="00D62F2E">
      <w:pPr>
        <w:jc w:val="both"/>
        <w:rPr>
          <w:rFonts w:ascii="Arial" w:hAnsi="Arial" w:cs="Arial"/>
          <w:i/>
          <w:iCs/>
          <w:sz w:val="20"/>
        </w:rPr>
      </w:pPr>
    </w:p>
    <w:p w:rsidR="00D62F2E" w:rsidRPr="00806BED" w:rsidRDefault="00D62F2E">
      <w:pPr>
        <w:jc w:val="both"/>
        <w:rPr>
          <w:rFonts w:ascii="Arial" w:hAnsi="Arial" w:cs="Arial"/>
          <w:i/>
          <w:iCs/>
          <w:sz w:val="20"/>
        </w:rPr>
      </w:pPr>
    </w:p>
    <w:p w:rsidR="00D62F2E" w:rsidRPr="00806BED" w:rsidRDefault="00D62F2E" w:rsidP="009C286A">
      <w:pPr>
        <w:jc w:val="both"/>
        <w:rPr>
          <w:rFonts w:ascii="Arial" w:hAnsi="Arial" w:cs="Arial"/>
          <w:i/>
          <w:iCs/>
          <w:sz w:val="20"/>
        </w:rPr>
      </w:pPr>
      <w:r w:rsidRPr="00806BED">
        <w:rPr>
          <w:rFonts w:ascii="Arial" w:hAnsi="Arial" w:cs="Arial"/>
          <w:i/>
          <w:iCs/>
          <w:sz w:val="20"/>
        </w:rPr>
        <w:t xml:space="preserve">Table </w:t>
      </w:r>
      <w:r w:rsidR="00521807">
        <w:rPr>
          <w:rFonts w:ascii="Arial" w:hAnsi="Arial" w:cs="Arial"/>
          <w:b/>
          <w:bCs/>
          <w:i/>
          <w:iCs/>
          <w:sz w:val="20"/>
        </w:rPr>
        <w:t>20</w:t>
      </w:r>
      <w:r w:rsidRPr="00806BED">
        <w:rPr>
          <w:rFonts w:ascii="Arial" w:hAnsi="Arial" w:cs="Arial"/>
          <w:i/>
          <w:iCs/>
          <w:sz w:val="20"/>
        </w:rPr>
        <w:t>-10</w:t>
      </w:r>
      <w:r w:rsidR="00637ABE" w:rsidRPr="00806BED">
        <w:rPr>
          <w:rFonts w:ascii="Arial" w:hAnsi="Arial" w:cs="Arial"/>
          <w:i/>
          <w:iCs/>
          <w:sz w:val="20"/>
          <w:szCs w:val="20"/>
        </w:rPr>
        <w:t xml:space="preserve"> </w:t>
      </w:r>
      <w:r w:rsidR="00637ABE" w:rsidRPr="00806BED">
        <w:rPr>
          <w:rFonts w:ascii="Arial" w:hAnsi="Arial" w:cs="Arial"/>
          <w:b/>
          <w:bCs/>
          <w:i/>
          <w:iCs/>
          <w:sz w:val="20"/>
        </w:rPr>
        <w:t xml:space="preserve">Outputs of </w:t>
      </w:r>
      <w:r w:rsidR="0043130F" w:rsidRPr="00806BED">
        <w:rPr>
          <w:rFonts w:ascii="Arial" w:hAnsi="Arial" w:cs="Arial"/>
          <w:b/>
          <w:bCs/>
          <w:i/>
          <w:iCs/>
          <w:sz w:val="20"/>
        </w:rPr>
        <w:t>the</w:t>
      </w:r>
      <w:r w:rsidR="00185BEF" w:rsidRPr="00806BED">
        <w:rPr>
          <w:rFonts w:ascii="Arial" w:hAnsi="Arial" w:cs="Arial"/>
          <w:b/>
          <w:bCs/>
          <w:i/>
          <w:iCs/>
          <w:sz w:val="20"/>
        </w:rPr>
        <w:t xml:space="preserve"> </w:t>
      </w:r>
      <w:r w:rsidR="00637ABE" w:rsidRPr="00806BED">
        <w:rPr>
          <w:rFonts w:ascii="Arial" w:hAnsi="Arial" w:cs="Arial"/>
          <w:b/>
          <w:bCs/>
          <w:i/>
          <w:iCs/>
          <w:sz w:val="20"/>
        </w:rPr>
        <w:t xml:space="preserve">crude </w:t>
      </w:r>
      <w:r w:rsidR="00CA3CA3">
        <w:rPr>
          <w:rFonts w:ascii="Arial" w:hAnsi="Arial" w:cs="Arial"/>
          <w:b/>
          <w:bCs/>
          <w:i/>
          <w:iCs/>
          <w:sz w:val="20"/>
        </w:rPr>
        <w:t>oil</w:t>
      </w:r>
      <w:r w:rsidR="00CA3CA3" w:rsidRPr="00806BED">
        <w:rPr>
          <w:rFonts w:ascii="Arial" w:hAnsi="Arial" w:cs="Arial"/>
          <w:b/>
          <w:bCs/>
          <w:i/>
          <w:iCs/>
          <w:sz w:val="20"/>
        </w:rPr>
        <w:t xml:space="preserve"> </w:t>
      </w:r>
      <w:r w:rsidR="00637ABE" w:rsidRPr="00806BED">
        <w:rPr>
          <w:rFonts w:ascii="Arial" w:hAnsi="Arial" w:cs="Arial"/>
          <w:b/>
          <w:bCs/>
          <w:i/>
          <w:iCs/>
          <w:sz w:val="20"/>
        </w:rPr>
        <w:t xml:space="preserve">transport </w:t>
      </w:r>
      <w:r w:rsidR="009B5124">
        <w:rPr>
          <w:rFonts w:ascii="Arial" w:hAnsi="Arial" w:cs="Arial"/>
          <w:b/>
          <w:bCs/>
          <w:i/>
          <w:iCs/>
          <w:sz w:val="20"/>
        </w:rPr>
        <w:t>by</w:t>
      </w:r>
      <w:r w:rsidR="009B5124" w:rsidRPr="00806BED">
        <w:rPr>
          <w:rFonts w:ascii="Arial" w:hAnsi="Arial" w:cs="Arial"/>
          <w:b/>
          <w:bCs/>
          <w:i/>
          <w:iCs/>
          <w:sz w:val="20"/>
        </w:rPr>
        <w:t xml:space="preserve"> </w:t>
      </w:r>
      <w:r w:rsidR="00637ABE" w:rsidRPr="00806BED">
        <w:rPr>
          <w:rFonts w:ascii="Arial" w:hAnsi="Arial" w:cs="Arial"/>
          <w:b/>
          <w:bCs/>
          <w:i/>
          <w:iCs/>
          <w:sz w:val="20"/>
        </w:rPr>
        <w:t>pipelines</w:t>
      </w:r>
    </w:p>
    <w:p w:rsidR="00D62F2E" w:rsidRPr="00806BED" w:rsidRDefault="0043130F" w:rsidP="00965700">
      <w:pPr>
        <w:pStyle w:val="clear"/>
        <w:spacing w:before="120" w:beforeAutospacing="0" w:after="0" w:afterAutospacing="0"/>
        <w:ind w:firstLine="709"/>
        <w:jc w:val="both"/>
        <w:rPr>
          <w:rFonts w:ascii="Arial" w:hAnsi="Arial" w:cs="Arial"/>
          <w:i/>
          <w:sz w:val="20"/>
          <w:lang w:val="en-GB"/>
        </w:rPr>
      </w:pPr>
      <w:r w:rsidRPr="00806BED">
        <w:rPr>
          <w:rFonts w:ascii="Arial" w:hAnsi="Arial" w:cs="Arial"/>
          <w:i/>
          <w:sz w:val="20"/>
          <w:lang w:val="en-GB"/>
        </w:rPr>
        <w:t>The </w:t>
      </w:r>
      <w:r w:rsidR="000A704D" w:rsidRPr="00806BED">
        <w:rPr>
          <w:rFonts w:ascii="Arial" w:hAnsi="Arial" w:cs="Arial"/>
          <w:i/>
          <w:sz w:val="20"/>
          <w:lang w:val="en-GB"/>
        </w:rPr>
        <w:t xml:space="preserve">total </w:t>
      </w:r>
      <w:r w:rsidR="00D62F2E" w:rsidRPr="00806BED">
        <w:rPr>
          <w:rFonts w:ascii="Arial" w:hAnsi="Arial" w:cs="Arial"/>
          <w:i/>
          <w:sz w:val="20"/>
          <w:lang w:val="en-GB"/>
        </w:rPr>
        <w:t xml:space="preserve">tonnage of </w:t>
      </w:r>
      <w:r w:rsidRPr="00806BED">
        <w:rPr>
          <w:rFonts w:ascii="Arial" w:hAnsi="Arial" w:cs="Arial"/>
          <w:i/>
          <w:sz w:val="20"/>
          <w:lang w:val="en-GB"/>
        </w:rPr>
        <w:t>the </w:t>
      </w:r>
      <w:r w:rsidR="00D62F2E" w:rsidRPr="00806BED">
        <w:rPr>
          <w:rFonts w:ascii="Arial" w:hAnsi="Arial" w:cs="Arial"/>
          <w:i/>
          <w:sz w:val="20"/>
          <w:lang w:val="en-GB"/>
        </w:rPr>
        <w:t xml:space="preserve">crude </w:t>
      </w:r>
      <w:r w:rsidR="00CA3CA3">
        <w:rPr>
          <w:rFonts w:ascii="Arial" w:hAnsi="Arial" w:cs="Arial"/>
          <w:i/>
          <w:sz w:val="20"/>
          <w:lang w:val="en-GB"/>
        </w:rPr>
        <w:t>oil</w:t>
      </w:r>
      <w:r w:rsidR="00CA3CA3" w:rsidRPr="00806BED">
        <w:rPr>
          <w:rFonts w:ascii="Arial" w:hAnsi="Arial" w:cs="Arial"/>
          <w:i/>
          <w:sz w:val="20"/>
          <w:lang w:val="en-GB"/>
        </w:rPr>
        <w:t xml:space="preserve"> </w:t>
      </w:r>
      <w:r w:rsidR="000A704D" w:rsidRPr="00806BED">
        <w:rPr>
          <w:rFonts w:ascii="Arial" w:hAnsi="Arial" w:cs="Arial"/>
          <w:i/>
          <w:sz w:val="20"/>
          <w:lang w:val="en-GB"/>
        </w:rPr>
        <w:t>trans</w:t>
      </w:r>
      <w:r w:rsidR="00637ABE" w:rsidRPr="00806BED">
        <w:rPr>
          <w:rFonts w:ascii="Arial" w:hAnsi="Arial" w:cs="Arial"/>
          <w:i/>
          <w:sz w:val="20"/>
          <w:lang w:val="en-GB"/>
        </w:rPr>
        <w:t>ferred</w:t>
      </w:r>
      <w:r w:rsidR="00D62F2E" w:rsidRPr="00806BED">
        <w:rPr>
          <w:rFonts w:ascii="Arial" w:hAnsi="Arial" w:cs="Arial"/>
          <w:i/>
          <w:sz w:val="20"/>
          <w:lang w:val="en-GB"/>
        </w:rPr>
        <w:t xml:space="preserve"> includes both transport and deliveries of crude </w:t>
      </w:r>
      <w:r w:rsidR="00CA3CA3">
        <w:rPr>
          <w:rFonts w:ascii="Arial" w:hAnsi="Arial" w:cs="Arial"/>
          <w:i/>
          <w:sz w:val="20"/>
          <w:lang w:val="en-GB"/>
        </w:rPr>
        <w:t>oil</w:t>
      </w:r>
      <w:r w:rsidR="00D62F2E" w:rsidRPr="00806BED">
        <w:rPr>
          <w:rFonts w:ascii="Arial" w:hAnsi="Arial" w:cs="Arial"/>
          <w:i/>
          <w:sz w:val="20"/>
          <w:lang w:val="en-GB"/>
        </w:rPr>
        <w:t xml:space="preserve">. </w:t>
      </w:r>
      <w:r w:rsidR="00D678B9" w:rsidRPr="00D678B9">
        <w:rPr>
          <w:rFonts w:ascii="Arial" w:hAnsi="Arial" w:cs="Arial"/>
          <w:i/>
          <w:sz w:val="20"/>
          <w:lang w:val="en-GB"/>
        </w:rPr>
        <w:t>The</w:t>
      </w:r>
      <w:r w:rsidRPr="00806BED">
        <w:rPr>
          <w:rFonts w:ascii="Arial" w:hAnsi="Arial" w:cs="Arial"/>
          <w:b/>
          <w:i/>
          <w:sz w:val="20"/>
          <w:lang w:val="en-GB"/>
        </w:rPr>
        <w:t> </w:t>
      </w:r>
      <w:r w:rsidR="00D62F2E" w:rsidRPr="00806BED">
        <w:rPr>
          <w:rFonts w:ascii="Arial" w:hAnsi="Arial" w:cs="Arial"/>
          <w:b/>
          <w:i/>
          <w:sz w:val="20"/>
          <w:lang w:val="en-GB"/>
        </w:rPr>
        <w:t>transport</w:t>
      </w:r>
      <w:r w:rsidR="00D62F2E" w:rsidRPr="00806BED">
        <w:rPr>
          <w:rFonts w:ascii="Arial" w:hAnsi="Arial" w:cs="Arial"/>
          <w:i/>
          <w:sz w:val="20"/>
          <w:lang w:val="en-GB"/>
        </w:rPr>
        <w:t xml:space="preserve"> refers to </w:t>
      </w:r>
      <w:r w:rsidRPr="00806BED">
        <w:rPr>
          <w:rFonts w:ascii="Arial" w:hAnsi="Arial" w:cs="Arial"/>
          <w:i/>
          <w:sz w:val="20"/>
          <w:lang w:val="en-GB"/>
        </w:rPr>
        <w:t>the </w:t>
      </w:r>
      <w:r w:rsidR="00D62F2E" w:rsidRPr="00806BED">
        <w:rPr>
          <w:rFonts w:ascii="Arial" w:hAnsi="Arial" w:cs="Arial"/>
          <w:i/>
          <w:sz w:val="20"/>
          <w:lang w:val="en-GB"/>
        </w:rPr>
        <w:t xml:space="preserve">transfer of crude </w:t>
      </w:r>
      <w:r w:rsidR="00CA3CA3">
        <w:rPr>
          <w:rFonts w:ascii="Arial" w:hAnsi="Arial" w:cs="Arial"/>
          <w:i/>
          <w:sz w:val="20"/>
          <w:lang w:val="en-GB"/>
        </w:rPr>
        <w:t>oil</w:t>
      </w:r>
      <w:r w:rsidR="00CA3CA3" w:rsidRPr="00806BED">
        <w:rPr>
          <w:rFonts w:ascii="Arial" w:hAnsi="Arial" w:cs="Arial"/>
          <w:i/>
          <w:sz w:val="20"/>
          <w:lang w:val="en-GB"/>
        </w:rPr>
        <w:t xml:space="preserve"> </w:t>
      </w:r>
      <w:r w:rsidR="00D62F2E" w:rsidRPr="00806BED">
        <w:rPr>
          <w:rFonts w:ascii="Arial" w:hAnsi="Arial" w:cs="Arial"/>
          <w:i/>
          <w:sz w:val="20"/>
          <w:lang w:val="en-GB"/>
        </w:rPr>
        <w:t xml:space="preserve">from </w:t>
      </w:r>
      <w:r w:rsidRPr="00806BED">
        <w:rPr>
          <w:rFonts w:ascii="Arial" w:hAnsi="Arial" w:cs="Arial"/>
          <w:i/>
          <w:sz w:val="20"/>
          <w:lang w:val="en-GB"/>
        </w:rPr>
        <w:t>the </w:t>
      </w:r>
      <w:r w:rsidR="00D62F2E" w:rsidRPr="00806BED">
        <w:rPr>
          <w:rFonts w:ascii="Arial" w:hAnsi="Arial" w:cs="Arial"/>
          <w:i/>
          <w:sz w:val="20"/>
          <w:lang w:val="en-GB"/>
        </w:rPr>
        <w:t xml:space="preserve">state border </w:t>
      </w:r>
      <w:r w:rsidR="00744C73" w:rsidRPr="00806BED">
        <w:rPr>
          <w:rFonts w:ascii="Arial" w:hAnsi="Arial" w:cs="Arial"/>
          <w:i/>
          <w:sz w:val="20"/>
          <w:lang w:val="en-GB"/>
        </w:rPr>
        <w:t>in</w:t>
      </w:r>
      <w:r w:rsidR="00D62F2E" w:rsidRPr="00806BED">
        <w:rPr>
          <w:rFonts w:ascii="Arial" w:hAnsi="Arial" w:cs="Arial"/>
          <w:i/>
          <w:sz w:val="20"/>
          <w:lang w:val="en-GB"/>
        </w:rPr>
        <w:t xml:space="preserve">to </w:t>
      </w:r>
      <w:r w:rsidR="000A704D" w:rsidRPr="00806BED">
        <w:rPr>
          <w:rFonts w:ascii="Arial" w:hAnsi="Arial" w:cs="Arial"/>
          <w:i/>
          <w:sz w:val="20"/>
          <w:lang w:val="en-GB"/>
        </w:rPr>
        <w:t xml:space="preserve">tanks at </w:t>
      </w:r>
      <w:r w:rsidRPr="00806BED">
        <w:rPr>
          <w:rFonts w:ascii="Arial" w:hAnsi="Arial" w:cs="Arial"/>
          <w:i/>
          <w:sz w:val="20"/>
          <w:lang w:val="en-GB"/>
        </w:rPr>
        <w:t>the </w:t>
      </w:r>
      <w:r w:rsidR="00744C73" w:rsidRPr="00806BED">
        <w:rPr>
          <w:rFonts w:ascii="Arial" w:hAnsi="Arial" w:cs="Arial"/>
          <w:i/>
          <w:sz w:val="20"/>
          <w:lang w:val="en-GB"/>
        </w:rPr>
        <w:t>Central Crude Oil Tank Farm</w:t>
      </w:r>
      <w:r w:rsidR="00521543" w:rsidRPr="00806BED">
        <w:rPr>
          <w:rFonts w:ascii="Arial" w:hAnsi="Arial" w:cs="Arial"/>
          <w:i/>
          <w:sz w:val="20"/>
          <w:lang w:val="en-GB"/>
        </w:rPr>
        <w:t xml:space="preserve">, </w:t>
      </w:r>
      <w:r w:rsidR="00521543" w:rsidRPr="00806BED">
        <w:rPr>
          <w:rFonts w:ascii="Arial" w:hAnsi="Arial" w:cs="Arial"/>
          <w:sz w:val="20"/>
          <w:lang w:val="en-GB"/>
        </w:rPr>
        <w:t>Nelahozeves</w:t>
      </w:r>
      <w:r w:rsidR="000A704D" w:rsidRPr="00806BED">
        <w:rPr>
          <w:rFonts w:ascii="Arial" w:hAnsi="Arial" w:cs="Arial"/>
          <w:i/>
          <w:sz w:val="20"/>
          <w:lang w:val="en-GB"/>
        </w:rPr>
        <w:t>.</w:t>
      </w:r>
      <w:r w:rsidR="00D62F2E" w:rsidRPr="00806BED">
        <w:rPr>
          <w:rFonts w:ascii="Arial" w:hAnsi="Arial" w:cs="Arial"/>
          <w:i/>
          <w:sz w:val="20"/>
          <w:lang w:val="en-GB"/>
        </w:rPr>
        <w:t xml:space="preserve"> </w:t>
      </w:r>
      <w:r w:rsidR="00D678B9" w:rsidRPr="00D678B9">
        <w:rPr>
          <w:rFonts w:ascii="Arial" w:hAnsi="Arial" w:cs="Arial"/>
          <w:i/>
          <w:sz w:val="20"/>
          <w:lang w:val="en-GB"/>
        </w:rPr>
        <w:t>The </w:t>
      </w:r>
      <w:r w:rsidR="00D62F2E" w:rsidRPr="00806BED">
        <w:rPr>
          <w:rFonts w:ascii="Arial" w:hAnsi="Arial" w:cs="Arial"/>
          <w:b/>
          <w:i/>
          <w:sz w:val="20"/>
          <w:lang w:val="en-GB"/>
        </w:rPr>
        <w:t>deliveries</w:t>
      </w:r>
      <w:r w:rsidR="00D62F2E" w:rsidRPr="00806BED">
        <w:rPr>
          <w:rFonts w:ascii="Arial" w:hAnsi="Arial" w:cs="Arial"/>
          <w:i/>
          <w:sz w:val="20"/>
          <w:lang w:val="en-GB"/>
        </w:rPr>
        <w:t xml:space="preserve"> </w:t>
      </w:r>
      <w:r w:rsidR="000A704D" w:rsidRPr="00806BED">
        <w:rPr>
          <w:rFonts w:ascii="Arial" w:hAnsi="Arial" w:cs="Arial"/>
          <w:i/>
          <w:sz w:val="20"/>
          <w:lang w:val="en-GB"/>
        </w:rPr>
        <w:t xml:space="preserve">shall mean </w:t>
      </w:r>
      <w:r w:rsidRPr="00806BED">
        <w:rPr>
          <w:rFonts w:ascii="Arial" w:hAnsi="Arial" w:cs="Arial"/>
          <w:i/>
          <w:sz w:val="20"/>
          <w:lang w:val="en-GB"/>
        </w:rPr>
        <w:t>the </w:t>
      </w:r>
      <w:r w:rsidR="00D62F2E" w:rsidRPr="00806BED">
        <w:rPr>
          <w:rFonts w:ascii="Arial" w:hAnsi="Arial" w:cs="Arial"/>
          <w:i/>
          <w:sz w:val="20"/>
          <w:lang w:val="en-GB"/>
        </w:rPr>
        <w:t xml:space="preserve">transfer of crude </w:t>
      </w:r>
      <w:r w:rsidR="00CA3CA3">
        <w:rPr>
          <w:rFonts w:ascii="Arial" w:hAnsi="Arial" w:cs="Arial"/>
          <w:i/>
          <w:sz w:val="20"/>
          <w:lang w:val="en-GB"/>
        </w:rPr>
        <w:t>oil</w:t>
      </w:r>
      <w:r w:rsidR="00CA3CA3" w:rsidRPr="00806BED">
        <w:rPr>
          <w:rFonts w:ascii="Arial" w:hAnsi="Arial" w:cs="Arial"/>
          <w:i/>
          <w:sz w:val="20"/>
          <w:lang w:val="en-GB"/>
        </w:rPr>
        <w:t xml:space="preserve"> </w:t>
      </w:r>
      <w:r w:rsidR="00D62F2E" w:rsidRPr="00806BED">
        <w:rPr>
          <w:rFonts w:ascii="Arial" w:hAnsi="Arial" w:cs="Arial"/>
          <w:i/>
          <w:sz w:val="20"/>
          <w:lang w:val="en-GB"/>
        </w:rPr>
        <w:t>to</w:t>
      </w:r>
      <w:r w:rsidR="000A704D" w:rsidRPr="00806BED">
        <w:rPr>
          <w:rFonts w:ascii="Arial" w:hAnsi="Arial" w:cs="Arial"/>
          <w:i/>
          <w:sz w:val="20"/>
          <w:lang w:val="en-GB"/>
        </w:rPr>
        <w:t xml:space="preserve"> </w:t>
      </w:r>
      <w:r w:rsidRPr="00806BED">
        <w:rPr>
          <w:rFonts w:ascii="Arial" w:hAnsi="Arial" w:cs="Arial"/>
          <w:i/>
          <w:sz w:val="20"/>
          <w:lang w:val="en-GB"/>
        </w:rPr>
        <w:t>the </w:t>
      </w:r>
      <w:r w:rsidR="00D62F2E" w:rsidRPr="00806BED">
        <w:rPr>
          <w:rFonts w:ascii="Arial" w:hAnsi="Arial" w:cs="Arial"/>
          <w:i/>
          <w:sz w:val="20"/>
          <w:lang w:val="en-GB"/>
        </w:rPr>
        <w:t xml:space="preserve">customer’s storage </w:t>
      </w:r>
      <w:r w:rsidR="00D62F2E" w:rsidRPr="00806BED">
        <w:rPr>
          <w:rFonts w:ascii="Arial" w:hAnsi="Arial" w:cs="Arial"/>
          <w:i/>
          <w:sz w:val="20"/>
          <w:lang w:val="en-GB"/>
        </w:rPr>
        <w:lastRenderedPageBreak/>
        <w:t xml:space="preserve">tanks </w:t>
      </w:r>
      <w:r w:rsidR="009B5124">
        <w:rPr>
          <w:rFonts w:ascii="Arial" w:hAnsi="Arial" w:cs="Arial"/>
          <w:i/>
          <w:sz w:val="20"/>
          <w:lang w:val="en-GB"/>
        </w:rPr>
        <w:t xml:space="preserve">not only </w:t>
      </w:r>
      <w:r w:rsidR="009B5124" w:rsidRPr="00806BED">
        <w:rPr>
          <w:rFonts w:ascii="Arial" w:hAnsi="Arial" w:cs="Arial"/>
          <w:i/>
          <w:sz w:val="20"/>
          <w:lang w:val="en-GB"/>
        </w:rPr>
        <w:t xml:space="preserve">directly </w:t>
      </w:r>
      <w:r w:rsidR="00D62F2E" w:rsidRPr="00806BED">
        <w:rPr>
          <w:rFonts w:ascii="Arial" w:hAnsi="Arial" w:cs="Arial"/>
          <w:i/>
          <w:sz w:val="20"/>
          <w:lang w:val="en-GB"/>
        </w:rPr>
        <w:t xml:space="preserve">from </w:t>
      </w:r>
      <w:r w:rsidR="000A704D" w:rsidRPr="00806BED">
        <w:rPr>
          <w:rFonts w:ascii="Arial" w:hAnsi="Arial" w:cs="Arial"/>
          <w:i/>
          <w:sz w:val="20"/>
          <w:lang w:val="en-GB"/>
        </w:rPr>
        <w:t xml:space="preserve">oil </w:t>
      </w:r>
      <w:r w:rsidR="00D62F2E" w:rsidRPr="00806BED">
        <w:rPr>
          <w:rFonts w:ascii="Arial" w:hAnsi="Arial" w:cs="Arial"/>
          <w:i/>
          <w:sz w:val="20"/>
          <w:lang w:val="en-GB"/>
        </w:rPr>
        <w:t>pipelines</w:t>
      </w:r>
      <w:r w:rsidR="0076335E">
        <w:rPr>
          <w:rFonts w:ascii="Arial" w:hAnsi="Arial" w:cs="Arial"/>
          <w:i/>
          <w:sz w:val="20"/>
          <w:lang w:val="en-GB"/>
        </w:rPr>
        <w:t xml:space="preserve"> yet</w:t>
      </w:r>
      <w:r w:rsidR="00D62F2E" w:rsidRPr="00806BED">
        <w:rPr>
          <w:rFonts w:ascii="Arial" w:hAnsi="Arial" w:cs="Arial"/>
          <w:i/>
          <w:sz w:val="20"/>
          <w:lang w:val="en-GB"/>
        </w:rPr>
        <w:t xml:space="preserve"> </w:t>
      </w:r>
      <w:r w:rsidR="009B5124">
        <w:rPr>
          <w:rFonts w:ascii="Arial" w:hAnsi="Arial" w:cs="Arial"/>
          <w:i/>
          <w:sz w:val="20"/>
          <w:lang w:val="en-GB"/>
        </w:rPr>
        <w:t xml:space="preserve">also </w:t>
      </w:r>
      <w:r w:rsidR="00D62F2E" w:rsidRPr="00806BED">
        <w:rPr>
          <w:rFonts w:ascii="Arial" w:hAnsi="Arial" w:cs="Arial"/>
          <w:i/>
          <w:sz w:val="20"/>
          <w:lang w:val="en-GB"/>
        </w:rPr>
        <w:t xml:space="preserve">from </w:t>
      </w:r>
      <w:r w:rsidR="000A704D" w:rsidRPr="00806BED">
        <w:rPr>
          <w:rFonts w:ascii="Arial" w:hAnsi="Arial" w:cs="Arial"/>
          <w:i/>
          <w:sz w:val="20"/>
          <w:lang w:val="en-GB"/>
        </w:rPr>
        <w:t xml:space="preserve">tanks </w:t>
      </w:r>
      <w:r w:rsidR="00D62F2E" w:rsidRPr="00806BED">
        <w:rPr>
          <w:rFonts w:ascii="Arial" w:hAnsi="Arial" w:cs="Arial"/>
          <w:i/>
          <w:sz w:val="20"/>
          <w:lang w:val="en-GB"/>
        </w:rPr>
        <w:t>a</w:t>
      </w:r>
      <w:r w:rsidR="000A704D" w:rsidRPr="00806BED">
        <w:rPr>
          <w:rFonts w:ascii="Arial" w:hAnsi="Arial" w:cs="Arial"/>
          <w:i/>
          <w:sz w:val="20"/>
          <w:lang w:val="en-GB"/>
        </w:rPr>
        <w:t xml:space="preserve">t </w:t>
      </w:r>
      <w:r w:rsidRPr="00806BED">
        <w:rPr>
          <w:rFonts w:ascii="Arial" w:hAnsi="Arial" w:cs="Arial"/>
          <w:i/>
          <w:sz w:val="20"/>
          <w:lang w:val="en-GB"/>
        </w:rPr>
        <w:t>the </w:t>
      </w:r>
      <w:r w:rsidR="00521543" w:rsidRPr="00806BED">
        <w:rPr>
          <w:rFonts w:ascii="Arial" w:hAnsi="Arial" w:cs="Arial"/>
          <w:i/>
          <w:sz w:val="20"/>
          <w:lang w:val="en-GB"/>
        </w:rPr>
        <w:t xml:space="preserve">Central Crude Oil Tank Farm, </w:t>
      </w:r>
      <w:r w:rsidR="00521543" w:rsidRPr="00806BED">
        <w:rPr>
          <w:rFonts w:ascii="Arial" w:hAnsi="Arial" w:cs="Arial"/>
          <w:sz w:val="20"/>
          <w:lang w:val="en-GB"/>
        </w:rPr>
        <w:t>Nelahozeves</w:t>
      </w:r>
      <w:r w:rsidR="00D62F2E" w:rsidRPr="00806BED">
        <w:rPr>
          <w:rFonts w:ascii="Arial" w:hAnsi="Arial" w:cs="Arial"/>
          <w:i/>
          <w:sz w:val="20"/>
          <w:lang w:val="en-GB"/>
        </w:rPr>
        <w:t>.</w:t>
      </w:r>
    </w:p>
    <w:p w:rsidR="00D62F2E" w:rsidRPr="00806BED" w:rsidRDefault="00D62F2E">
      <w:pPr>
        <w:jc w:val="both"/>
        <w:rPr>
          <w:rFonts w:ascii="Arial" w:hAnsi="Arial" w:cs="Arial"/>
          <w:i/>
          <w:iCs/>
          <w:sz w:val="20"/>
        </w:rPr>
      </w:pPr>
    </w:p>
    <w:p w:rsidR="00D62F2E" w:rsidRPr="00806BED" w:rsidRDefault="00D62F2E">
      <w:pPr>
        <w:jc w:val="both"/>
        <w:rPr>
          <w:rFonts w:ascii="Arial" w:hAnsi="Arial" w:cs="Arial"/>
          <w:i/>
          <w:iCs/>
          <w:sz w:val="20"/>
        </w:rPr>
      </w:pPr>
    </w:p>
    <w:p w:rsidR="00D62F2E" w:rsidRPr="00806BED" w:rsidRDefault="00D62F2E" w:rsidP="00DA0541">
      <w:pPr>
        <w:jc w:val="both"/>
        <w:rPr>
          <w:rFonts w:ascii="Arial" w:hAnsi="Arial" w:cs="Arial"/>
          <w:i/>
          <w:iCs/>
          <w:sz w:val="20"/>
        </w:rPr>
      </w:pPr>
      <w:r w:rsidRPr="00806BED">
        <w:rPr>
          <w:rFonts w:ascii="Arial" w:hAnsi="Arial" w:cs="Arial"/>
          <w:i/>
          <w:iCs/>
          <w:sz w:val="20"/>
        </w:rPr>
        <w:t xml:space="preserve">Table </w:t>
      </w:r>
      <w:r w:rsidR="00521807">
        <w:rPr>
          <w:rFonts w:ascii="Arial" w:hAnsi="Arial" w:cs="Arial"/>
          <w:b/>
          <w:bCs/>
          <w:i/>
          <w:iCs/>
          <w:sz w:val="20"/>
        </w:rPr>
        <w:t>20</w:t>
      </w:r>
      <w:r w:rsidRPr="00806BED">
        <w:rPr>
          <w:rFonts w:ascii="Arial" w:hAnsi="Arial" w:cs="Arial"/>
          <w:i/>
          <w:iCs/>
          <w:sz w:val="20"/>
        </w:rPr>
        <w:t xml:space="preserve">-11 </w:t>
      </w:r>
      <w:r w:rsidRPr="00806BED">
        <w:rPr>
          <w:rFonts w:ascii="Arial" w:hAnsi="Arial" w:cs="Arial"/>
          <w:b/>
          <w:bCs/>
          <w:i/>
          <w:iCs/>
          <w:sz w:val="20"/>
        </w:rPr>
        <w:t>Air transport outputs</w:t>
      </w:r>
    </w:p>
    <w:p w:rsidR="00D62F2E" w:rsidRPr="00806BED" w:rsidRDefault="0043130F">
      <w:pPr>
        <w:spacing w:before="120"/>
        <w:ind w:firstLine="709"/>
        <w:jc w:val="both"/>
        <w:rPr>
          <w:rFonts w:ascii="Arial" w:hAnsi="Arial" w:cs="Arial"/>
          <w:i/>
          <w:iCs/>
          <w:sz w:val="20"/>
        </w:rPr>
      </w:pPr>
      <w:r w:rsidRPr="00806BED">
        <w:rPr>
          <w:rFonts w:ascii="Arial" w:hAnsi="Arial" w:cs="Arial"/>
          <w:i/>
          <w:iCs/>
          <w:sz w:val="20"/>
        </w:rPr>
        <w:t>The </w:t>
      </w:r>
      <w:r w:rsidR="003215E4" w:rsidRPr="00806BED">
        <w:rPr>
          <w:rFonts w:ascii="Arial" w:hAnsi="Arial" w:cs="Arial"/>
          <w:i/>
          <w:iCs/>
          <w:sz w:val="20"/>
        </w:rPr>
        <w:t xml:space="preserve">given </w:t>
      </w:r>
      <w:r w:rsidR="00D62F2E" w:rsidRPr="00806BED">
        <w:rPr>
          <w:rFonts w:ascii="Arial" w:hAnsi="Arial" w:cs="Arial"/>
          <w:i/>
          <w:iCs/>
          <w:sz w:val="20"/>
        </w:rPr>
        <w:t xml:space="preserve">data </w:t>
      </w:r>
      <w:r w:rsidR="003215E4" w:rsidRPr="00806BED">
        <w:rPr>
          <w:rFonts w:ascii="Arial" w:hAnsi="Arial" w:cs="Arial"/>
          <w:i/>
          <w:iCs/>
          <w:sz w:val="20"/>
        </w:rPr>
        <w:t xml:space="preserve">are for </w:t>
      </w:r>
      <w:r w:rsidR="00D62F2E" w:rsidRPr="00806BED">
        <w:rPr>
          <w:rFonts w:ascii="Arial" w:hAnsi="Arial" w:cs="Arial"/>
          <w:i/>
          <w:iCs/>
          <w:sz w:val="20"/>
        </w:rPr>
        <w:t xml:space="preserve">domestic civil air carriers </w:t>
      </w:r>
      <w:r w:rsidR="003215E4" w:rsidRPr="00806BED">
        <w:rPr>
          <w:rFonts w:ascii="Arial" w:hAnsi="Arial" w:cs="Arial"/>
          <w:i/>
          <w:iCs/>
          <w:sz w:val="20"/>
        </w:rPr>
        <w:t xml:space="preserve">providing for </w:t>
      </w:r>
      <w:r w:rsidRPr="00806BED">
        <w:rPr>
          <w:rFonts w:ascii="Arial" w:hAnsi="Arial" w:cs="Arial"/>
          <w:i/>
          <w:iCs/>
          <w:sz w:val="20"/>
        </w:rPr>
        <w:t>the </w:t>
      </w:r>
      <w:r w:rsidR="00D62F2E" w:rsidRPr="00806BED">
        <w:rPr>
          <w:rFonts w:ascii="Arial" w:hAnsi="Arial" w:cs="Arial"/>
          <w:i/>
          <w:iCs/>
          <w:sz w:val="20"/>
        </w:rPr>
        <w:t xml:space="preserve">national and international regular and irregular transport of passengers or </w:t>
      </w:r>
      <w:r w:rsidR="003215E4" w:rsidRPr="00806BED">
        <w:rPr>
          <w:rFonts w:ascii="Arial" w:hAnsi="Arial" w:cs="Arial"/>
          <w:i/>
          <w:iCs/>
          <w:sz w:val="20"/>
        </w:rPr>
        <w:t>freight</w:t>
      </w:r>
      <w:r w:rsidR="00D62F2E" w:rsidRPr="00806BED">
        <w:rPr>
          <w:rFonts w:ascii="Arial" w:hAnsi="Arial" w:cs="Arial"/>
          <w:i/>
          <w:iCs/>
          <w:sz w:val="20"/>
        </w:rPr>
        <w:t>.</w:t>
      </w:r>
    </w:p>
    <w:p w:rsidR="00D62F2E" w:rsidRPr="00806BED" w:rsidRDefault="0043130F">
      <w:pPr>
        <w:spacing w:before="120"/>
        <w:ind w:firstLine="709"/>
        <w:jc w:val="both"/>
        <w:rPr>
          <w:rFonts w:ascii="Arial" w:hAnsi="Arial" w:cs="Arial"/>
          <w:i/>
          <w:iCs/>
          <w:sz w:val="20"/>
        </w:rPr>
      </w:pPr>
      <w:r w:rsidRPr="00806BED">
        <w:rPr>
          <w:rFonts w:ascii="Arial" w:hAnsi="Arial" w:cs="Arial"/>
          <w:i/>
          <w:iCs/>
          <w:sz w:val="20"/>
        </w:rPr>
        <w:t>The </w:t>
      </w:r>
      <w:r w:rsidR="00D62F2E" w:rsidRPr="00806BED">
        <w:rPr>
          <w:rFonts w:ascii="Arial" w:hAnsi="Arial" w:cs="Arial"/>
          <w:i/>
          <w:iCs/>
          <w:sz w:val="20"/>
        </w:rPr>
        <w:t xml:space="preserve">passenger-kilometres </w:t>
      </w:r>
      <w:r w:rsidR="003215E4" w:rsidRPr="00806BED">
        <w:rPr>
          <w:rFonts w:ascii="Arial" w:hAnsi="Arial" w:cs="Arial"/>
          <w:i/>
          <w:iCs/>
          <w:sz w:val="20"/>
        </w:rPr>
        <w:t xml:space="preserve">(pkm) </w:t>
      </w:r>
      <w:r w:rsidR="00D62F2E" w:rsidRPr="00806BED">
        <w:rPr>
          <w:rFonts w:ascii="Arial" w:hAnsi="Arial" w:cs="Arial"/>
          <w:i/>
          <w:iCs/>
          <w:sz w:val="20"/>
        </w:rPr>
        <w:t xml:space="preserve">and tonne-kilometres </w:t>
      </w:r>
      <w:r w:rsidR="003215E4" w:rsidRPr="00806BED">
        <w:rPr>
          <w:rFonts w:ascii="Arial" w:hAnsi="Arial" w:cs="Arial"/>
          <w:i/>
          <w:iCs/>
          <w:sz w:val="20"/>
        </w:rPr>
        <w:t xml:space="preserve">(tkm) </w:t>
      </w:r>
      <w:r w:rsidR="00D62F2E" w:rsidRPr="00806BED">
        <w:rPr>
          <w:rFonts w:ascii="Arial" w:hAnsi="Arial" w:cs="Arial"/>
          <w:i/>
          <w:iCs/>
          <w:sz w:val="20"/>
        </w:rPr>
        <w:t xml:space="preserve">in </w:t>
      </w:r>
      <w:r w:rsidRPr="00806BED">
        <w:rPr>
          <w:rFonts w:ascii="Arial" w:hAnsi="Arial" w:cs="Arial"/>
          <w:i/>
          <w:iCs/>
          <w:sz w:val="20"/>
        </w:rPr>
        <w:t>the </w:t>
      </w:r>
      <w:r w:rsidR="00D62F2E" w:rsidRPr="00806BED">
        <w:rPr>
          <w:rFonts w:ascii="Arial" w:hAnsi="Arial" w:cs="Arial"/>
          <w:i/>
          <w:iCs/>
          <w:sz w:val="20"/>
        </w:rPr>
        <w:t xml:space="preserve">air transport are </w:t>
      </w:r>
      <w:r w:rsidR="003215E4" w:rsidRPr="00806BED">
        <w:rPr>
          <w:rFonts w:ascii="Arial" w:hAnsi="Arial" w:cs="Arial"/>
          <w:i/>
          <w:iCs/>
          <w:sz w:val="20"/>
        </w:rPr>
        <w:t xml:space="preserve">calculated </w:t>
      </w:r>
      <w:r w:rsidR="00D62F2E" w:rsidRPr="00806BED">
        <w:rPr>
          <w:rFonts w:ascii="Arial" w:hAnsi="Arial" w:cs="Arial"/>
          <w:i/>
          <w:iCs/>
          <w:sz w:val="20"/>
        </w:rPr>
        <w:t xml:space="preserve">from tariff distances </w:t>
      </w:r>
      <w:r w:rsidR="003215E4" w:rsidRPr="00806BED">
        <w:rPr>
          <w:rFonts w:ascii="Arial" w:hAnsi="Arial" w:cs="Arial"/>
          <w:i/>
          <w:iCs/>
          <w:sz w:val="20"/>
        </w:rPr>
        <w:t xml:space="preserve">(according to </w:t>
      </w:r>
      <w:r w:rsidRPr="00806BED">
        <w:rPr>
          <w:rFonts w:ascii="Arial" w:hAnsi="Arial" w:cs="Arial"/>
          <w:i/>
          <w:iCs/>
          <w:sz w:val="20"/>
        </w:rPr>
        <w:t>the </w:t>
      </w:r>
      <w:r w:rsidR="00D62F2E" w:rsidRPr="00806BED">
        <w:rPr>
          <w:rFonts w:ascii="Arial" w:hAnsi="Arial" w:cs="Arial"/>
          <w:i/>
          <w:iCs/>
          <w:sz w:val="20"/>
        </w:rPr>
        <w:t>flight schedule</w:t>
      </w:r>
      <w:r w:rsidR="003215E4" w:rsidRPr="00806BED">
        <w:rPr>
          <w:rFonts w:ascii="Arial" w:hAnsi="Arial" w:cs="Arial"/>
          <w:i/>
          <w:iCs/>
          <w:sz w:val="20"/>
        </w:rPr>
        <w:t>)</w:t>
      </w:r>
      <w:r w:rsidR="00D62F2E" w:rsidRPr="00806BED">
        <w:rPr>
          <w:rFonts w:ascii="Arial" w:hAnsi="Arial" w:cs="Arial"/>
          <w:i/>
          <w:iCs/>
          <w:sz w:val="20"/>
        </w:rPr>
        <w:t>.</w:t>
      </w:r>
    </w:p>
    <w:p w:rsidR="00D62F2E" w:rsidRPr="00806BED" w:rsidRDefault="00D62F2E">
      <w:pPr>
        <w:jc w:val="both"/>
        <w:rPr>
          <w:rFonts w:ascii="Arial" w:hAnsi="Arial" w:cs="Arial"/>
          <w:i/>
          <w:iCs/>
          <w:sz w:val="20"/>
        </w:rPr>
      </w:pPr>
    </w:p>
    <w:p w:rsidR="00D62F2E" w:rsidRPr="00806BED" w:rsidRDefault="00D62F2E">
      <w:pPr>
        <w:jc w:val="both"/>
        <w:rPr>
          <w:rFonts w:ascii="Arial" w:hAnsi="Arial" w:cs="Arial"/>
          <w:i/>
          <w:iCs/>
          <w:sz w:val="20"/>
        </w:rPr>
      </w:pPr>
    </w:p>
    <w:p w:rsidR="00D62F2E" w:rsidRPr="00806BED" w:rsidRDefault="00D62F2E" w:rsidP="00B57B0F">
      <w:pPr>
        <w:jc w:val="both"/>
        <w:rPr>
          <w:rFonts w:ascii="Arial" w:hAnsi="Arial" w:cs="Arial"/>
          <w:i/>
          <w:iCs/>
          <w:sz w:val="20"/>
        </w:rPr>
      </w:pPr>
      <w:r w:rsidRPr="00806BED">
        <w:rPr>
          <w:rFonts w:ascii="Arial" w:hAnsi="Arial" w:cs="Arial"/>
          <w:i/>
          <w:iCs/>
          <w:sz w:val="20"/>
        </w:rPr>
        <w:t xml:space="preserve">Table </w:t>
      </w:r>
      <w:r w:rsidR="00521807">
        <w:rPr>
          <w:rFonts w:ascii="Arial" w:hAnsi="Arial" w:cs="Arial"/>
          <w:b/>
          <w:bCs/>
          <w:i/>
          <w:iCs/>
          <w:sz w:val="20"/>
        </w:rPr>
        <w:t>20</w:t>
      </w:r>
      <w:r w:rsidRPr="00806BED">
        <w:rPr>
          <w:rFonts w:ascii="Arial" w:hAnsi="Arial" w:cs="Arial"/>
          <w:i/>
          <w:iCs/>
          <w:sz w:val="20"/>
        </w:rPr>
        <w:t xml:space="preserve">-12 </w:t>
      </w:r>
      <w:r w:rsidR="003215E4" w:rsidRPr="00806BED">
        <w:rPr>
          <w:rFonts w:ascii="Arial" w:hAnsi="Arial" w:cs="Arial"/>
          <w:b/>
          <w:i/>
          <w:iCs/>
          <w:sz w:val="20"/>
        </w:rPr>
        <w:t xml:space="preserve">Outputs of </w:t>
      </w:r>
      <w:r w:rsidR="003215E4" w:rsidRPr="00806BED">
        <w:rPr>
          <w:rFonts w:ascii="Arial" w:hAnsi="Arial" w:cs="Arial"/>
          <w:b/>
          <w:bCs/>
          <w:i/>
          <w:iCs/>
          <w:sz w:val="20"/>
        </w:rPr>
        <w:t xml:space="preserve">airports </w:t>
      </w:r>
      <w:r w:rsidRPr="00806BED">
        <w:rPr>
          <w:rFonts w:ascii="Arial" w:hAnsi="Arial" w:cs="Arial"/>
          <w:b/>
          <w:bCs/>
          <w:i/>
          <w:iCs/>
          <w:sz w:val="20"/>
        </w:rPr>
        <w:t xml:space="preserve">in </w:t>
      </w:r>
      <w:r w:rsidR="0043130F" w:rsidRPr="00806BED">
        <w:rPr>
          <w:rFonts w:ascii="Arial" w:hAnsi="Arial" w:cs="Arial"/>
          <w:b/>
          <w:bCs/>
          <w:i/>
          <w:iCs/>
          <w:sz w:val="20"/>
        </w:rPr>
        <w:t>the </w:t>
      </w:r>
      <w:r w:rsidRPr="00806BED">
        <w:rPr>
          <w:rFonts w:ascii="Arial" w:hAnsi="Arial" w:cs="Arial"/>
          <w:b/>
          <w:bCs/>
          <w:i/>
          <w:iCs/>
          <w:sz w:val="20"/>
        </w:rPr>
        <w:t>C</w:t>
      </w:r>
      <w:r w:rsidR="00521543" w:rsidRPr="00806BED">
        <w:rPr>
          <w:rFonts w:ascii="Arial" w:hAnsi="Arial" w:cs="Arial"/>
          <w:b/>
          <w:bCs/>
          <w:i/>
          <w:iCs/>
          <w:sz w:val="20"/>
        </w:rPr>
        <w:t>zech Republic</w:t>
      </w:r>
    </w:p>
    <w:p w:rsidR="00D62F2E" w:rsidRPr="00806BED" w:rsidRDefault="0043130F">
      <w:pPr>
        <w:pStyle w:val="Zkladntext"/>
        <w:spacing w:before="120"/>
        <w:ind w:firstLine="709"/>
        <w:rPr>
          <w:rFonts w:ascii="Arial" w:hAnsi="Arial" w:cs="Arial"/>
          <w:i/>
          <w:iCs/>
          <w:sz w:val="20"/>
        </w:rPr>
      </w:pPr>
      <w:r w:rsidRPr="00806BED">
        <w:rPr>
          <w:rFonts w:ascii="Arial" w:hAnsi="Arial" w:cs="Arial"/>
          <w:i/>
          <w:iCs/>
          <w:sz w:val="20"/>
        </w:rPr>
        <w:t>The </w:t>
      </w:r>
      <w:r w:rsidR="00D62F2E" w:rsidRPr="00806BED">
        <w:rPr>
          <w:rFonts w:ascii="Arial" w:hAnsi="Arial" w:cs="Arial"/>
          <w:i/>
          <w:iCs/>
          <w:sz w:val="20"/>
        </w:rPr>
        <w:t xml:space="preserve">data are reported by holders of </w:t>
      </w:r>
      <w:r w:rsidRPr="00806BED">
        <w:rPr>
          <w:rFonts w:ascii="Arial" w:hAnsi="Arial" w:cs="Arial"/>
          <w:i/>
          <w:iCs/>
          <w:sz w:val="20"/>
        </w:rPr>
        <w:t>the </w:t>
      </w:r>
      <w:r w:rsidR="00D62F2E" w:rsidRPr="00806BED">
        <w:rPr>
          <w:rFonts w:ascii="Arial" w:hAnsi="Arial" w:cs="Arial"/>
          <w:i/>
          <w:iCs/>
          <w:sz w:val="20"/>
        </w:rPr>
        <w:t xml:space="preserve">licence for </w:t>
      </w:r>
      <w:r w:rsidRPr="00806BED">
        <w:rPr>
          <w:rFonts w:ascii="Arial" w:hAnsi="Arial" w:cs="Arial"/>
          <w:i/>
          <w:iCs/>
          <w:sz w:val="20"/>
        </w:rPr>
        <w:t>the </w:t>
      </w:r>
      <w:r w:rsidR="003215E4" w:rsidRPr="00806BED">
        <w:rPr>
          <w:rFonts w:ascii="Arial" w:hAnsi="Arial" w:cs="Arial"/>
          <w:i/>
          <w:iCs/>
          <w:sz w:val="20"/>
        </w:rPr>
        <w:t xml:space="preserve">operation of an </w:t>
      </w:r>
      <w:r w:rsidR="00D62F2E" w:rsidRPr="00806BED">
        <w:rPr>
          <w:rFonts w:ascii="Arial" w:hAnsi="Arial" w:cs="Arial"/>
          <w:i/>
          <w:iCs/>
          <w:sz w:val="20"/>
        </w:rPr>
        <w:t>airport</w:t>
      </w:r>
      <w:r w:rsidR="003215E4" w:rsidRPr="00806BED">
        <w:rPr>
          <w:rFonts w:ascii="Arial" w:hAnsi="Arial" w:cs="Arial"/>
          <w:i/>
          <w:iCs/>
          <w:sz w:val="20"/>
        </w:rPr>
        <w:t xml:space="preserve"> for </w:t>
      </w:r>
      <w:r w:rsidRPr="00806BED">
        <w:rPr>
          <w:rFonts w:ascii="Arial" w:hAnsi="Arial" w:cs="Arial"/>
          <w:i/>
          <w:iCs/>
          <w:sz w:val="20"/>
        </w:rPr>
        <w:t>the </w:t>
      </w:r>
      <w:r w:rsidR="003215E4" w:rsidRPr="00806BED">
        <w:rPr>
          <w:rFonts w:ascii="Arial" w:hAnsi="Arial" w:cs="Arial"/>
          <w:i/>
          <w:iCs/>
          <w:sz w:val="20"/>
        </w:rPr>
        <w:t>civil air traffic</w:t>
      </w:r>
      <w:r w:rsidR="00D62F2E" w:rsidRPr="00806BED">
        <w:rPr>
          <w:rFonts w:ascii="Arial" w:hAnsi="Arial" w:cs="Arial"/>
          <w:i/>
          <w:iCs/>
          <w:sz w:val="20"/>
        </w:rPr>
        <w:t xml:space="preserve">. </w:t>
      </w:r>
      <w:r w:rsidRPr="00806BED">
        <w:rPr>
          <w:rFonts w:ascii="Arial" w:hAnsi="Arial" w:cs="Arial"/>
          <w:i/>
          <w:iCs/>
          <w:sz w:val="20"/>
        </w:rPr>
        <w:t>The </w:t>
      </w:r>
      <w:r w:rsidR="003215E4" w:rsidRPr="00806BED">
        <w:rPr>
          <w:rFonts w:ascii="Arial" w:hAnsi="Arial" w:cs="Arial"/>
          <w:i/>
          <w:iCs/>
          <w:sz w:val="20"/>
        </w:rPr>
        <w:t xml:space="preserve">data </w:t>
      </w:r>
      <w:r w:rsidR="00D62F2E" w:rsidRPr="00806BED">
        <w:rPr>
          <w:rFonts w:ascii="Arial" w:hAnsi="Arial" w:cs="Arial"/>
          <w:i/>
          <w:iCs/>
          <w:sz w:val="20"/>
        </w:rPr>
        <w:t>include</w:t>
      </w:r>
      <w:r w:rsidR="003215E4" w:rsidRPr="00806BED">
        <w:rPr>
          <w:rFonts w:ascii="Arial" w:hAnsi="Arial" w:cs="Arial"/>
          <w:i/>
          <w:iCs/>
          <w:sz w:val="20"/>
        </w:rPr>
        <w:t xml:space="preserve"> </w:t>
      </w:r>
      <w:r w:rsidRPr="00806BED">
        <w:rPr>
          <w:rFonts w:ascii="Arial" w:hAnsi="Arial" w:cs="Arial"/>
          <w:i/>
          <w:iCs/>
          <w:sz w:val="20"/>
        </w:rPr>
        <w:t>the </w:t>
      </w:r>
      <w:r w:rsidR="00D62F2E" w:rsidRPr="00806BED">
        <w:rPr>
          <w:rFonts w:ascii="Arial" w:hAnsi="Arial" w:cs="Arial"/>
          <w:i/>
          <w:iCs/>
          <w:sz w:val="20"/>
        </w:rPr>
        <w:t xml:space="preserve">numbers of passengers checked in and volume of </w:t>
      </w:r>
      <w:r w:rsidR="003215E4" w:rsidRPr="00806BED">
        <w:rPr>
          <w:rFonts w:ascii="Arial" w:hAnsi="Arial" w:cs="Arial"/>
          <w:i/>
          <w:iCs/>
          <w:sz w:val="20"/>
        </w:rPr>
        <w:t xml:space="preserve">freight </w:t>
      </w:r>
      <w:r w:rsidR="00D62F2E" w:rsidRPr="00806BED">
        <w:rPr>
          <w:rFonts w:ascii="Arial" w:hAnsi="Arial" w:cs="Arial"/>
          <w:i/>
          <w:iCs/>
          <w:sz w:val="20"/>
        </w:rPr>
        <w:t xml:space="preserve">regardless of </w:t>
      </w:r>
      <w:r w:rsidRPr="00806BED">
        <w:rPr>
          <w:rFonts w:ascii="Arial" w:hAnsi="Arial" w:cs="Arial"/>
          <w:i/>
          <w:iCs/>
          <w:sz w:val="20"/>
        </w:rPr>
        <w:t>the </w:t>
      </w:r>
      <w:r w:rsidR="00D62F2E" w:rsidRPr="00806BED">
        <w:rPr>
          <w:rFonts w:ascii="Arial" w:hAnsi="Arial" w:cs="Arial"/>
          <w:i/>
          <w:iCs/>
          <w:sz w:val="20"/>
        </w:rPr>
        <w:t>car</w:t>
      </w:r>
      <w:r w:rsidR="00FA5B87">
        <w:rPr>
          <w:rFonts w:ascii="Arial" w:hAnsi="Arial" w:cs="Arial"/>
          <w:i/>
          <w:iCs/>
          <w:sz w:val="20"/>
        </w:rPr>
        <w:t>rier’s country of registration.</w:t>
      </w:r>
    </w:p>
    <w:p w:rsidR="00D62F2E" w:rsidRPr="00806BED" w:rsidRDefault="00D62F2E">
      <w:pPr>
        <w:jc w:val="both"/>
        <w:rPr>
          <w:rFonts w:ascii="Arial" w:hAnsi="Arial" w:cs="Arial"/>
          <w:i/>
          <w:iCs/>
          <w:sz w:val="20"/>
        </w:rPr>
      </w:pPr>
    </w:p>
    <w:p w:rsidR="00D62F2E" w:rsidRPr="00806BED" w:rsidRDefault="00D62F2E">
      <w:pPr>
        <w:jc w:val="both"/>
        <w:rPr>
          <w:rFonts w:ascii="Arial" w:hAnsi="Arial" w:cs="Arial"/>
          <w:i/>
          <w:iCs/>
          <w:sz w:val="20"/>
        </w:rPr>
      </w:pPr>
    </w:p>
    <w:p w:rsidR="00D62F2E" w:rsidRPr="00806BED" w:rsidRDefault="00D62F2E">
      <w:pPr>
        <w:jc w:val="center"/>
        <w:rPr>
          <w:rFonts w:ascii="Arial" w:hAnsi="Arial" w:cs="Arial"/>
          <w:i/>
          <w:iCs/>
          <w:sz w:val="20"/>
        </w:rPr>
      </w:pPr>
      <w:r w:rsidRPr="00806BED">
        <w:rPr>
          <w:rFonts w:ascii="Arial" w:hAnsi="Arial" w:cs="Arial"/>
          <w:i/>
          <w:iCs/>
          <w:sz w:val="20"/>
        </w:rPr>
        <w:t>*          *          *</w:t>
      </w:r>
    </w:p>
    <w:p w:rsidR="00D62F2E" w:rsidRPr="00806BED" w:rsidRDefault="00D62F2E" w:rsidP="00A75505">
      <w:pPr>
        <w:tabs>
          <w:tab w:val="left" w:pos="3261"/>
        </w:tabs>
        <w:jc w:val="both"/>
        <w:rPr>
          <w:rFonts w:ascii="Arial" w:hAnsi="Arial" w:cs="Arial"/>
          <w:i/>
          <w:iCs/>
          <w:sz w:val="20"/>
        </w:rPr>
      </w:pPr>
    </w:p>
    <w:p w:rsidR="00D62F2E" w:rsidRPr="00806BED" w:rsidRDefault="00D62F2E">
      <w:pPr>
        <w:jc w:val="both"/>
        <w:rPr>
          <w:rFonts w:ascii="Arial" w:hAnsi="Arial" w:cs="Arial"/>
          <w:i/>
          <w:iCs/>
          <w:sz w:val="20"/>
        </w:rPr>
      </w:pPr>
    </w:p>
    <w:p w:rsidR="00284786" w:rsidRPr="00806BED" w:rsidRDefault="00284786" w:rsidP="00284786">
      <w:pPr>
        <w:pStyle w:val="Zkladntext2"/>
        <w:ind w:firstLine="709"/>
        <w:rPr>
          <w:rFonts w:ascii="Arial" w:hAnsi="Arial" w:cs="Arial"/>
          <w:sz w:val="20"/>
          <w:szCs w:val="20"/>
        </w:rPr>
      </w:pPr>
      <w:r w:rsidRPr="00806BED">
        <w:rPr>
          <w:rFonts w:ascii="Arial" w:hAnsi="Arial" w:cs="Arial"/>
          <w:sz w:val="20"/>
          <w:szCs w:val="20"/>
        </w:rPr>
        <w:t xml:space="preserve">Further </w:t>
      </w:r>
      <w:r>
        <w:rPr>
          <w:rFonts w:ascii="Arial" w:hAnsi="Arial" w:cs="Arial"/>
          <w:sz w:val="20"/>
          <w:szCs w:val="20"/>
        </w:rPr>
        <w:t>information</w:t>
      </w:r>
      <w:r w:rsidRPr="00806BED">
        <w:rPr>
          <w:rFonts w:ascii="Arial" w:hAnsi="Arial" w:cs="Arial"/>
          <w:sz w:val="20"/>
          <w:szCs w:val="20"/>
        </w:rPr>
        <w:t xml:space="preserve"> </w:t>
      </w:r>
      <w:r>
        <w:rPr>
          <w:rFonts w:ascii="Arial" w:hAnsi="Arial" w:cs="Arial"/>
          <w:sz w:val="20"/>
          <w:szCs w:val="20"/>
        </w:rPr>
        <w:t>can be found</w:t>
      </w:r>
      <w:r w:rsidRPr="00806BED">
        <w:rPr>
          <w:rFonts w:ascii="Arial" w:hAnsi="Arial" w:cs="Arial"/>
          <w:sz w:val="20"/>
          <w:szCs w:val="20"/>
        </w:rPr>
        <w:t xml:space="preserve"> on the webs</w:t>
      </w:r>
      <w:r>
        <w:rPr>
          <w:rFonts w:ascii="Arial" w:hAnsi="Arial" w:cs="Arial"/>
          <w:sz w:val="20"/>
          <w:szCs w:val="20"/>
        </w:rPr>
        <w:t>ite</w:t>
      </w:r>
      <w:r w:rsidRPr="00806BED">
        <w:rPr>
          <w:rFonts w:ascii="Arial" w:hAnsi="Arial" w:cs="Arial"/>
          <w:sz w:val="20"/>
          <w:szCs w:val="20"/>
        </w:rPr>
        <w:t xml:space="preserve"> of the Czech Statistical Office at:</w:t>
      </w:r>
    </w:p>
    <w:p w:rsidR="00CA41F2" w:rsidRDefault="009C286A" w:rsidP="009C286A">
      <w:pPr>
        <w:spacing w:before="120"/>
        <w:rPr>
          <w:rFonts w:ascii="Arial" w:hAnsi="Arial" w:cs="Arial"/>
          <w:sz w:val="20"/>
        </w:rPr>
      </w:pPr>
      <w:r>
        <w:t>– </w:t>
      </w:r>
      <w:hyperlink r:id="rId6" w:history="1">
        <w:r w:rsidRPr="00E17C9C">
          <w:rPr>
            <w:rStyle w:val="Hypertextovodkaz"/>
            <w:rFonts w:ascii="Arial" w:hAnsi="Arial" w:cs="Arial"/>
            <w:sz w:val="20"/>
          </w:rPr>
          <w:t>www.czso.cz/csu/czso/transport_and_communications_ekon</w:t>
        </w:r>
      </w:hyperlink>
    </w:p>
    <w:p w:rsidR="00D62F2E" w:rsidRPr="00806BED" w:rsidRDefault="00D62F2E" w:rsidP="00D07DAE">
      <w:pPr>
        <w:pStyle w:val="Zkladntext2"/>
        <w:spacing w:before="120"/>
        <w:ind w:firstLine="709"/>
        <w:rPr>
          <w:rFonts w:ascii="Arial" w:hAnsi="Arial" w:cs="Arial"/>
          <w:sz w:val="20"/>
        </w:rPr>
      </w:pPr>
      <w:proofErr w:type="gramStart"/>
      <w:r w:rsidRPr="00806BED">
        <w:rPr>
          <w:rFonts w:ascii="Arial" w:hAnsi="Arial" w:cs="Arial"/>
          <w:sz w:val="20"/>
        </w:rPr>
        <w:t>or</w:t>
      </w:r>
      <w:proofErr w:type="gramEnd"/>
      <w:r w:rsidRPr="00806BED">
        <w:rPr>
          <w:rFonts w:ascii="Arial" w:hAnsi="Arial" w:cs="Arial"/>
          <w:sz w:val="20"/>
        </w:rPr>
        <w:t xml:space="preserve"> on </w:t>
      </w:r>
      <w:r w:rsidR="0043130F" w:rsidRPr="00806BED">
        <w:rPr>
          <w:rFonts w:ascii="Arial" w:hAnsi="Arial" w:cs="Arial"/>
          <w:sz w:val="20"/>
        </w:rPr>
        <w:t>the </w:t>
      </w:r>
      <w:r w:rsidRPr="00806BED">
        <w:rPr>
          <w:rFonts w:ascii="Arial" w:hAnsi="Arial" w:cs="Arial"/>
          <w:sz w:val="20"/>
        </w:rPr>
        <w:t xml:space="preserve">website of </w:t>
      </w:r>
      <w:r w:rsidR="0043130F" w:rsidRPr="00806BED">
        <w:rPr>
          <w:rFonts w:ascii="Arial" w:hAnsi="Arial" w:cs="Arial"/>
          <w:sz w:val="20"/>
        </w:rPr>
        <w:t>the </w:t>
      </w:r>
      <w:r w:rsidRPr="00806BED">
        <w:rPr>
          <w:rFonts w:ascii="Arial" w:hAnsi="Arial" w:cs="Arial"/>
          <w:sz w:val="20"/>
        </w:rPr>
        <w:t>Ministry of Transport:</w:t>
      </w:r>
    </w:p>
    <w:p w:rsidR="00D07DAE" w:rsidRPr="00806BED" w:rsidRDefault="00D62F2E">
      <w:pPr>
        <w:pStyle w:val="Zkladntext2"/>
        <w:spacing w:before="120"/>
        <w:rPr>
          <w:rFonts w:ascii="Arial" w:hAnsi="Arial" w:cs="Arial"/>
          <w:i w:val="0"/>
          <w:iCs w:val="0"/>
          <w:sz w:val="20"/>
        </w:rPr>
      </w:pPr>
      <w:r w:rsidRPr="00806BED">
        <w:rPr>
          <w:rFonts w:ascii="Arial" w:hAnsi="Arial" w:cs="Arial"/>
          <w:i w:val="0"/>
          <w:iCs w:val="0"/>
          <w:sz w:val="20"/>
        </w:rPr>
        <w:t>–</w:t>
      </w:r>
      <w:r w:rsidR="003A3A03" w:rsidRPr="00806BED">
        <w:rPr>
          <w:rFonts w:ascii="Arial" w:hAnsi="Arial" w:cs="Arial"/>
          <w:i w:val="0"/>
          <w:iCs w:val="0"/>
          <w:sz w:val="20"/>
        </w:rPr>
        <w:t> </w:t>
      </w:r>
      <w:hyperlink r:id="rId7" w:history="1">
        <w:r w:rsidR="002270BE">
          <w:rPr>
            <w:rStyle w:val="Hypertextovodkaz"/>
            <w:rFonts w:ascii="Arial" w:hAnsi="Arial" w:cs="Arial"/>
            <w:i w:val="0"/>
            <w:iCs w:val="0"/>
            <w:sz w:val="20"/>
          </w:rPr>
          <w:t>www.mdcr.cz/?lang=en-GB</w:t>
        </w:r>
      </w:hyperlink>
    </w:p>
    <w:sectPr w:rsidR="00D07DAE" w:rsidRPr="00806BED" w:rsidSect="003A3A03">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91261"/>
    <w:multiLevelType w:val="hybridMultilevel"/>
    <w:tmpl w:val="87568BB6"/>
    <w:lvl w:ilvl="0" w:tplc="078A8F5E">
      <w:start w:val="1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A2"/>
    <w:rsid w:val="000018F9"/>
    <w:rsid w:val="00015B47"/>
    <w:rsid w:val="00020B1B"/>
    <w:rsid w:val="00046AF0"/>
    <w:rsid w:val="00057852"/>
    <w:rsid w:val="000625DD"/>
    <w:rsid w:val="000801B9"/>
    <w:rsid w:val="00095384"/>
    <w:rsid w:val="00095608"/>
    <w:rsid w:val="000A1789"/>
    <w:rsid w:val="000A45FA"/>
    <w:rsid w:val="000A704D"/>
    <w:rsid w:val="000B2510"/>
    <w:rsid w:val="000C4A2A"/>
    <w:rsid w:val="000C51C8"/>
    <w:rsid w:val="000C6E83"/>
    <w:rsid w:val="000D2BF5"/>
    <w:rsid w:val="000E2706"/>
    <w:rsid w:val="000E3DAD"/>
    <w:rsid w:val="000E7323"/>
    <w:rsid w:val="000F4DFD"/>
    <w:rsid w:val="000F7A89"/>
    <w:rsid w:val="000F7EA4"/>
    <w:rsid w:val="00101CC3"/>
    <w:rsid w:val="001023A6"/>
    <w:rsid w:val="00102488"/>
    <w:rsid w:val="00104FCF"/>
    <w:rsid w:val="00105CE7"/>
    <w:rsid w:val="00116AF7"/>
    <w:rsid w:val="0012005A"/>
    <w:rsid w:val="0012508C"/>
    <w:rsid w:val="0012670B"/>
    <w:rsid w:val="00141197"/>
    <w:rsid w:val="001439B1"/>
    <w:rsid w:val="00150672"/>
    <w:rsid w:val="0015652B"/>
    <w:rsid w:val="00163469"/>
    <w:rsid w:val="00167185"/>
    <w:rsid w:val="0017325B"/>
    <w:rsid w:val="00185BEF"/>
    <w:rsid w:val="00186A7B"/>
    <w:rsid w:val="00194192"/>
    <w:rsid w:val="001B2ADC"/>
    <w:rsid w:val="001D3D4B"/>
    <w:rsid w:val="001D4971"/>
    <w:rsid w:val="001E2D99"/>
    <w:rsid w:val="001E5DC6"/>
    <w:rsid w:val="001F7F28"/>
    <w:rsid w:val="00200B83"/>
    <w:rsid w:val="002056E6"/>
    <w:rsid w:val="00213630"/>
    <w:rsid w:val="002270BE"/>
    <w:rsid w:val="00247E9D"/>
    <w:rsid w:val="00263237"/>
    <w:rsid w:val="00284786"/>
    <w:rsid w:val="002A12AA"/>
    <w:rsid w:val="002A3E21"/>
    <w:rsid w:val="002A6602"/>
    <w:rsid w:val="002B1F9D"/>
    <w:rsid w:val="002D4FB0"/>
    <w:rsid w:val="002D66D1"/>
    <w:rsid w:val="002F0B76"/>
    <w:rsid w:val="002F103D"/>
    <w:rsid w:val="00304B01"/>
    <w:rsid w:val="00307B6A"/>
    <w:rsid w:val="003215E4"/>
    <w:rsid w:val="00331D30"/>
    <w:rsid w:val="0034764B"/>
    <w:rsid w:val="00350D47"/>
    <w:rsid w:val="003571CB"/>
    <w:rsid w:val="00357FAD"/>
    <w:rsid w:val="00361201"/>
    <w:rsid w:val="00371984"/>
    <w:rsid w:val="00373456"/>
    <w:rsid w:val="003A31F3"/>
    <w:rsid w:val="003A3A03"/>
    <w:rsid w:val="003B106B"/>
    <w:rsid w:val="003B4E3F"/>
    <w:rsid w:val="003C3280"/>
    <w:rsid w:val="003E3474"/>
    <w:rsid w:val="003F6715"/>
    <w:rsid w:val="00420F64"/>
    <w:rsid w:val="0043130F"/>
    <w:rsid w:val="00431449"/>
    <w:rsid w:val="0043282F"/>
    <w:rsid w:val="004447E7"/>
    <w:rsid w:val="00466451"/>
    <w:rsid w:val="0047176D"/>
    <w:rsid w:val="00482471"/>
    <w:rsid w:val="004863E7"/>
    <w:rsid w:val="004B61E4"/>
    <w:rsid w:val="004E1E33"/>
    <w:rsid w:val="004E5D2A"/>
    <w:rsid w:val="004F2F13"/>
    <w:rsid w:val="0050255E"/>
    <w:rsid w:val="005033F5"/>
    <w:rsid w:val="005037A1"/>
    <w:rsid w:val="005079AF"/>
    <w:rsid w:val="00514557"/>
    <w:rsid w:val="005172F0"/>
    <w:rsid w:val="00521543"/>
    <w:rsid w:val="00521807"/>
    <w:rsid w:val="00522801"/>
    <w:rsid w:val="00552516"/>
    <w:rsid w:val="00555249"/>
    <w:rsid w:val="005568AC"/>
    <w:rsid w:val="005612D4"/>
    <w:rsid w:val="005662AA"/>
    <w:rsid w:val="005754FD"/>
    <w:rsid w:val="005777F9"/>
    <w:rsid w:val="00587CDB"/>
    <w:rsid w:val="005A1E67"/>
    <w:rsid w:val="005B0A32"/>
    <w:rsid w:val="00600D71"/>
    <w:rsid w:val="006010E1"/>
    <w:rsid w:val="00606226"/>
    <w:rsid w:val="006068C6"/>
    <w:rsid w:val="00611EAD"/>
    <w:rsid w:val="00615E25"/>
    <w:rsid w:val="006163F7"/>
    <w:rsid w:val="006313E7"/>
    <w:rsid w:val="00637ABE"/>
    <w:rsid w:val="00672E22"/>
    <w:rsid w:val="006A317D"/>
    <w:rsid w:val="006A7C99"/>
    <w:rsid w:val="006B392B"/>
    <w:rsid w:val="006D0129"/>
    <w:rsid w:val="006D1179"/>
    <w:rsid w:val="006D31DA"/>
    <w:rsid w:val="00701B6C"/>
    <w:rsid w:val="0070233C"/>
    <w:rsid w:val="007154AC"/>
    <w:rsid w:val="00717736"/>
    <w:rsid w:val="00744C73"/>
    <w:rsid w:val="00747F76"/>
    <w:rsid w:val="0076335E"/>
    <w:rsid w:val="007978BF"/>
    <w:rsid w:val="007B7ADA"/>
    <w:rsid w:val="007C05E5"/>
    <w:rsid w:val="007C0721"/>
    <w:rsid w:val="007C09B2"/>
    <w:rsid w:val="007D60FF"/>
    <w:rsid w:val="007D61EC"/>
    <w:rsid w:val="007D6F8A"/>
    <w:rsid w:val="00806BED"/>
    <w:rsid w:val="0081048F"/>
    <w:rsid w:val="00826F27"/>
    <w:rsid w:val="00850C8C"/>
    <w:rsid w:val="0085497E"/>
    <w:rsid w:val="008710FB"/>
    <w:rsid w:val="008730F8"/>
    <w:rsid w:val="00877671"/>
    <w:rsid w:val="008875B1"/>
    <w:rsid w:val="008B11D2"/>
    <w:rsid w:val="008F58B7"/>
    <w:rsid w:val="009006EB"/>
    <w:rsid w:val="009129D3"/>
    <w:rsid w:val="009318D2"/>
    <w:rsid w:val="0095039B"/>
    <w:rsid w:val="00950721"/>
    <w:rsid w:val="00965700"/>
    <w:rsid w:val="009A17E7"/>
    <w:rsid w:val="009B1D88"/>
    <w:rsid w:val="009B45F3"/>
    <w:rsid w:val="009B5124"/>
    <w:rsid w:val="009C286A"/>
    <w:rsid w:val="009D208C"/>
    <w:rsid w:val="009D3794"/>
    <w:rsid w:val="009D73E9"/>
    <w:rsid w:val="009F6940"/>
    <w:rsid w:val="00A2643C"/>
    <w:rsid w:val="00A37669"/>
    <w:rsid w:val="00A725FF"/>
    <w:rsid w:val="00A75505"/>
    <w:rsid w:val="00A85ABA"/>
    <w:rsid w:val="00A87669"/>
    <w:rsid w:val="00AA2310"/>
    <w:rsid w:val="00AA3596"/>
    <w:rsid w:val="00AA4564"/>
    <w:rsid w:val="00AC0436"/>
    <w:rsid w:val="00AC0E75"/>
    <w:rsid w:val="00AD3167"/>
    <w:rsid w:val="00AE7188"/>
    <w:rsid w:val="00AF2EBC"/>
    <w:rsid w:val="00B01AF2"/>
    <w:rsid w:val="00B12DA2"/>
    <w:rsid w:val="00B47578"/>
    <w:rsid w:val="00B57B0F"/>
    <w:rsid w:val="00B63C39"/>
    <w:rsid w:val="00B7175F"/>
    <w:rsid w:val="00B76318"/>
    <w:rsid w:val="00B85CB6"/>
    <w:rsid w:val="00B86D8D"/>
    <w:rsid w:val="00BA5BED"/>
    <w:rsid w:val="00BB3E90"/>
    <w:rsid w:val="00C06872"/>
    <w:rsid w:val="00C36D89"/>
    <w:rsid w:val="00C458B1"/>
    <w:rsid w:val="00C656E9"/>
    <w:rsid w:val="00CA3CA3"/>
    <w:rsid w:val="00CA41F2"/>
    <w:rsid w:val="00CB1F69"/>
    <w:rsid w:val="00CB639A"/>
    <w:rsid w:val="00CB7574"/>
    <w:rsid w:val="00CC023F"/>
    <w:rsid w:val="00CC3DEB"/>
    <w:rsid w:val="00CE3E46"/>
    <w:rsid w:val="00CE7BB9"/>
    <w:rsid w:val="00D07DAE"/>
    <w:rsid w:val="00D20727"/>
    <w:rsid w:val="00D34E0C"/>
    <w:rsid w:val="00D603AC"/>
    <w:rsid w:val="00D60C0E"/>
    <w:rsid w:val="00D62F2E"/>
    <w:rsid w:val="00D678B9"/>
    <w:rsid w:val="00D701D2"/>
    <w:rsid w:val="00D86533"/>
    <w:rsid w:val="00D927A3"/>
    <w:rsid w:val="00D9499C"/>
    <w:rsid w:val="00D9608B"/>
    <w:rsid w:val="00DA0541"/>
    <w:rsid w:val="00DA6D7C"/>
    <w:rsid w:val="00DC24A2"/>
    <w:rsid w:val="00E0155A"/>
    <w:rsid w:val="00E15963"/>
    <w:rsid w:val="00E1785A"/>
    <w:rsid w:val="00E26CB8"/>
    <w:rsid w:val="00E33688"/>
    <w:rsid w:val="00E46B73"/>
    <w:rsid w:val="00E542DA"/>
    <w:rsid w:val="00E63D61"/>
    <w:rsid w:val="00E65E5E"/>
    <w:rsid w:val="00E87E78"/>
    <w:rsid w:val="00E90769"/>
    <w:rsid w:val="00E94AD1"/>
    <w:rsid w:val="00EB4057"/>
    <w:rsid w:val="00ED7BB6"/>
    <w:rsid w:val="00EE19F9"/>
    <w:rsid w:val="00EE7752"/>
    <w:rsid w:val="00F418A1"/>
    <w:rsid w:val="00F4633A"/>
    <w:rsid w:val="00F50239"/>
    <w:rsid w:val="00F70337"/>
    <w:rsid w:val="00F84D7E"/>
    <w:rsid w:val="00F946A0"/>
    <w:rsid w:val="00F96C7E"/>
    <w:rsid w:val="00FA5B87"/>
    <w:rsid w:val="00FB02C3"/>
    <w:rsid w:val="00FC0FDD"/>
    <w:rsid w:val="00FF0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7AED1"/>
  <w15:docId w15:val="{8E005B40-2683-418D-9160-FBFEBFCD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0FDD"/>
    <w:rPr>
      <w:sz w:val="24"/>
      <w:szCs w:val="24"/>
      <w:lang w:val="en-GB"/>
    </w:rPr>
  </w:style>
  <w:style w:type="paragraph" w:styleId="Nadpis1">
    <w:name w:val="heading 1"/>
    <w:basedOn w:val="Normln"/>
    <w:next w:val="Normln"/>
    <w:qFormat/>
    <w:rsid w:val="00FC0FDD"/>
    <w:pPr>
      <w:keepNext/>
      <w:outlineLvl w:val="0"/>
    </w:pPr>
    <w:rPr>
      <w:b/>
      <w:bCs/>
    </w:rPr>
  </w:style>
  <w:style w:type="paragraph" w:styleId="Nadpis2">
    <w:name w:val="heading 2"/>
    <w:basedOn w:val="Normln"/>
    <w:next w:val="Normln"/>
    <w:qFormat/>
    <w:rsid w:val="00FC0FDD"/>
    <w:pPr>
      <w:keepNext/>
      <w:jc w:val="both"/>
      <w:outlineLvl w:val="1"/>
    </w:pPr>
    <w:rPr>
      <w:b/>
      <w:bCs/>
    </w:rPr>
  </w:style>
  <w:style w:type="paragraph" w:styleId="Nadpis3">
    <w:name w:val="heading 3"/>
    <w:basedOn w:val="Normln"/>
    <w:next w:val="Normln"/>
    <w:qFormat/>
    <w:rsid w:val="00FC0FDD"/>
    <w:pPr>
      <w:keepNext/>
      <w:spacing w:before="120"/>
      <w:ind w:firstLine="709"/>
      <w:jc w:val="both"/>
      <w:outlineLvl w:val="2"/>
    </w:pPr>
    <w:rPr>
      <w:rFonts w:ascii="Arial" w:hAnsi="Arial" w:cs="Arial"/>
      <w:b/>
      <w:bCs/>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FC0FDD"/>
    <w:pPr>
      <w:spacing w:before="100" w:beforeAutospacing="1" w:after="100" w:afterAutospacing="1"/>
    </w:pPr>
    <w:rPr>
      <w:rFonts w:ascii="Arial Unicode MS" w:eastAsia="Arial Unicode MS" w:hAnsi="Arial Unicode MS" w:cs="Arial Unicode MS"/>
      <w:color w:val="0078B3"/>
      <w:lang w:val="cs-CZ"/>
    </w:rPr>
  </w:style>
  <w:style w:type="paragraph" w:styleId="Zkladntext">
    <w:name w:val="Body Text"/>
    <w:basedOn w:val="Normln"/>
    <w:semiHidden/>
    <w:rsid w:val="00FC0FDD"/>
    <w:pPr>
      <w:jc w:val="both"/>
    </w:pPr>
  </w:style>
  <w:style w:type="paragraph" w:styleId="Zkladntext2">
    <w:name w:val="Body Text 2"/>
    <w:basedOn w:val="Normln"/>
    <w:semiHidden/>
    <w:rsid w:val="00FC0FDD"/>
    <w:pPr>
      <w:jc w:val="both"/>
    </w:pPr>
    <w:rPr>
      <w:i/>
      <w:iCs/>
    </w:rPr>
  </w:style>
  <w:style w:type="paragraph" w:styleId="Zkladntextodsazen">
    <w:name w:val="Body Text Indent"/>
    <w:basedOn w:val="Normln"/>
    <w:semiHidden/>
    <w:rsid w:val="00FC0FDD"/>
    <w:pPr>
      <w:ind w:left="227" w:hanging="227"/>
      <w:jc w:val="both"/>
    </w:pPr>
    <w:rPr>
      <w:i/>
      <w:iCs/>
    </w:rPr>
  </w:style>
  <w:style w:type="paragraph" w:styleId="Zkladntextodsazen2">
    <w:name w:val="Body Text Indent 2"/>
    <w:basedOn w:val="Normln"/>
    <w:semiHidden/>
    <w:rsid w:val="00FC0FDD"/>
    <w:pPr>
      <w:spacing w:before="120"/>
      <w:ind w:firstLine="709"/>
      <w:jc w:val="both"/>
    </w:pPr>
    <w:rPr>
      <w:i/>
      <w:iCs/>
    </w:rPr>
  </w:style>
  <w:style w:type="paragraph" w:styleId="Zkladntextodsazen3">
    <w:name w:val="Body Text Indent 3"/>
    <w:basedOn w:val="Normln"/>
    <w:semiHidden/>
    <w:rsid w:val="00FC0FDD"/>
    <w:pPr>
      <w:spacing w:before="120"/>
      <w:ind w:left="703" w:hanging="703"/>
      <w:jc w:val="both"/>
    </w:pPr>
    <w:rPr>
      <w:i/>
      <w:iCs/>
    </w:rPr>
  </w:style>
  <w:style w:type="character" w:styleId="Hypertextovodkaz">
    <w:name w:val="Hyperlink"/>
    <w:basedOn w:val="Standardnpsmoodstavce"/>
    <w:semiHidden/>
    <w:rsid w:val="00FC0FDD"/>
    <w:rPr>
      <w:color w:val="0000FF"/>
      <w:u w:val="single"/>
    </w:rPr>
  </w:style>
  <w:style w:type="paragraph" w:styleId="Textbubliny">
    <w:name w:val="Balloon Text"/>
    <w:basedOn w:val="Normln"/>
    <w:semiHidden/>
    <w:unhideWhenUsed/>
    <w:rsid w:val="00FC0FDD"/>
    <w:rPr>
      <w:rFonts w:ascii="Tahoma" w:hAnsi="Tahoma" w:cs="Tahoma"/>
      <w:sz w:val="16"/>
      <w:szCs w:val="16"/>
    </w:rPr>
  </w:style>
  <w:style w:type="character" w:customStyle="1" w:styleId="TextbublinyChar">
    <w:name w:val="Text bubliny Char"/>
    <w:basedOn w:val="Standardnpsmoodstavce"/>
    <w:semiHidden/>
    <w:rsid w:val="00FC0FDD"/>
    <w:rPr>
      <w:rFonts w:ascii="Tahoma" w:hAnsi="Tahoma" w:cs="Tahoma"/>
      <w:sz w:val="16"/>
      <w:szCs w:val="16"/>
      <w:lang w:val="en-GB"/>
    </w:rPr>
  </w:style>
  <w:style w:type="character" w:styleId="Sledovanodkaz">
    <w:name w:val="FollowedHyperlink"/>
    <w:basedOn w:val="Standardnpsmoodstavce"/>
    <w:semiHidden/>
    <w:rsid w:val="00FC0FDD"/>
    <w:rPr>
      <w:color w:val="800080"/>
      <w:u w:val="single"/>
    </w:rPr>
  </w:style>
  <w:style w:type="table" w:styleId="Mkatabulky">
    <w:name w:val="Table Grid"/>
    <w:basedOn w:val="Normlntabulka"/>
    <w:rsid w:val="00C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ln"/>
    <w:rsid w:val="00744C73"/>
    <w:pPr>
      <w:spacing w:before="100" w:beforeAutospacing="1" w:after="100" w:afterAutospacing="1"/>
    </w:pPr>
    <w:rPr>
      <w:lang w:val="cs-CZ"/>
    </w:rPr>
  </w:style>
  <w:style w:type="character" w:customStyle="1" w:styleId="st">
    <w:name w:val="st"/>
    <w:basedOn w:val="Standardnpsmoodstavce"/>
    <w:rsid w:val="00350D47"/>
  </w:style>
  <w:style w:type="character" w:styleId="Zdraznn">
    <w:name w:val="Emphasis"/>
    <w:basedOn w:val="Standardnpsmoodstavce"/>
    <w:uiPriority w:val="20"/>
    <w:qFormat/>
    <w:rsid w:val="00350D47"/>
    <w:rPr>
      <w:i/>
      <w:iCs/>
    </w:rPr>
  </w:style>
  <w:style w:type="character" w:styleId="Odkaznakoment">
    <w:name w:val="annotation reference"/>
    <w:basedOn w:val="Standardnpsmoodstavce"/>
    <w:uiPriority w:val="99"/>
    <w:semiHidden/>
    <w:unhideWhenUsed/>
    <w:rsid w:val="00EE19F9"/>
    <w:rPr>
      <w:sz w:val="16"/>
      <w:szCs w:val="16"/>
    </w:rPr>
  </w:style>
  <w:style w:type="paragraph" w:styleId="Textkomente">
    <w:name w:val="annotation text"/>
    <w:basedOn w:val="Normln"/>
    <w:link w:val="TextkomenteChar"/>
    <w:uiPriority w:val="99"/>
    <w:semiHidden/>
    <w:unhideWhenUsed/>
    <w:rsid w:val="00EE19F9"/>
    <w:rPr>
      <w:sz w:val="20"/>
      <w:szCs w:val="20"/>
    </w:rPr>
  </w:style>
  <w:style w:type="character" w:customStyle="1" w:styleId="TextkomenteChar">
    <w:name w:val="Text komentáře Char"/>
    <w:basedOn w:val="Standardnpsmoodstavce"/>
    <w:link w:val="Textkomente"/>
    <w:uiPriority w:val="99"/>
    <w:semiHidden/>
    <w:rsid w:val="00EE19F9"/>
    <w:rPr>
      <w:lang w:val="en-GB"/>
    </w:rPr>
  </w:style>
  <w:style w:type="paragraph" w:styleId="Pedmtkomente">
    <w:name w:val="annotation subject"/>
    <w:basedOn w:val="Textkomente"/>
    <w:next w:val="Textkomente"/>
    <w:link w:val="PedmtkomenteChar"/>
    <w:uiPriority w:val="99"/>
    <w:semiHidden/>
    <w:unhideWhenUsed/>
    <w:rsid w:val="00EE19F9"/>
    <w:rPr>
      <w:b/>
      <w:bCs/>
    </w:rPr>
  </w:style>
  <w:style w:type="character" w:customStyle="1" w:styleId="PedmtkomenteChar">
    <w:name w:val="Předmět komentáře Char"/>
    <w:basedOn w:val="TextkomenteChar"/>
    <w:link w:val="Pedmtkomente"/>
    <w:uiPriority w:val="99"/>
    <w:semiHidden/>
    <w:rsid w:val="00EE19F9"/>
    <w:rPr>
      <w:b/>
      <w:bCs/>
      <w:lang w:val="en-GB"/>
    </w:rPr>
  </w:style>
  <w:style w:type="paragraph" w:styleId="Revize">
    <w:name w:val="Revision"/>
    <w:hidden/>
    <w:uiPriority w:val="99"/>
    <w:semiHidden/>
    <w:rsid w:val="009129D3"/>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893602">
      <w:bodyDiv w:val="1"/>
      <w:marLeft w:val="0"/>
      <w:marRight w:val="0"/>
      <w:marTop w:val="0"/>
      <w:marBottom w:val="0"/>
      <w:divBdr>
        <w:top w:val="none" w:sz="0" w:space="0" w:color="auto"/>
        <w:left w:val="none" w:sz="0" w:space="0" w:color="auto"/>
        <w:bottom w:val="none" w:sz="0" w:space="0" w:color="auto"/>
        <w:right w:val="none" w:sz="0" w:space="0" w:color="auto"/>
      </w:divBdr>
      <w:divsChild>
        <w:div w:id="1734043799">
          <w:marLeft w:val="0"/>
          <w:marRight w:val="0"/>
          <w:marTop w:val="0"/>
          <w:marBottom w:val="0"/>
          <w:divBdr>
            <w:top w:val="none" w:sz="0" w:space="0" w:color="auto"/>
            <w:left w:val="none" w:sz="0" w:space="0" w:color="auto"/>
            <w:bottom w:val="none" w:sz="0" w:space="0" w:color="auto"/>
            <w:right w:val="none" w:sz="0" w:space="0" w:color="auto"/>
          </w:divBdr>
        </w:div>
      </w:divsChild>
    </w:div>
    <w:div w:id="18309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dcr.cz/?lang=en-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zso.cz/csu/czso/transport_and_communications_ekon" TargetMode="External"/><Relationship Id="rId5" Type="http://schemas.openxmlformats.org/officeDocument/2006/relationships/hyperlink" Target="http://stats.oecd.org/glossary/detail.asp?ID=39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6985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A</vt:lpstr>
    </vt:vector>
  </TitlesOfParts>
  <Company>csu</Company>
  <LinksUpToDate>false</LinksUpToDate>
  <CharactersWithSpaces>8152</CharactersWithSpaces>
  <SharedDoc>false</SharedDoc>
  <HLinks>
    <vt:vector size="18" baseType="variant">
      <vt:variant>
        <vt:i4>3145772</vt:i4>
      </vt:variant>
      <vt:variant>
        <vt:i4>6</vt:i4>
      </vt:variant>
      <vt:variant>
        <vt:i4>0</vt:i4>
      </vt:variant>
      <vt:variant>
        <vt:i4>5</vt:i4>
      </vt:variant>
      <vt:variant>
        <vt:lpwstr>http://www.mdcr.cz/en/HomePage.htm</vt:lpwstr>
      </vt:variant>
      <vt:variant>
        <vt:lpwstr/>
      </vt:variant>
      <vt:variant>
        <vt:i4>4325487</vt:i4>
      </vt:variant>
      <vt:variant>
        <vt:i4>3</vt:i4>
      </vt:variant>
      <vt:variant>
        <vt:i4>0</vt:i4>
      </vt:variant>
      <vt:variant>
        <vt:i4>5</vt:i4>
      </vt:variant>
      <vt:variant>
        <vt:lpwstr>http://www.czso.cz/eng/redakce.nsf/i/transport_and_communications_ekon</vt:lpwstr>
      </vt:variant>
      <vt:variant>
        <vt:lpwstr/>
      </vt:variant>
      <vt:variant>
        <vt:i4>4784156</vt:i4>
      </vt:variant>
      <vt:variant>
        <vt:i4>0</vt:i4>
      </vt:variant>
      <vt:variant>
        <vt:i4>0</vt:i4>
      </vt:variant>
      <vt:variant>
        <vt:i4>5</vt:i4>
      </vt:variant>
      <vt:variant>
        <vt:lpwstr>http://stats.oecd.org/glossary/detail.asp?ID=3974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csu</dc:creator>
  <cp:lastModifiedBy>palivcova5849</cp:lastModifiedBy>
  <cp:revision>2</cp:revision>
  <cp:lastPrinted>2016-08-19T07:09:00Z</cp:lastPrinted>
  <dcterms:created xsi:type="dcterms:W3CDTF">2019-07-22T09:05:00Z</dcterms:created>
  <dcterms:modified xsi:type="dcterms:W3CDTF">2019-07-22T09:05:00Z</dcterms:modified>
</cp:coreProperties>
</file>