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D71C" w14:textId="77777777" w:rsidR="00A75E40" w:rsidRPr="009110F7" w:rsidRDefault="00BF4329" w:rsidP="006C3495">
      <w:pPr>
        <w:jc w:val="center"/>
        <w:rPr>
          <w:lang w:eastAsia="ar-SA"/>
        </w:rPr>
        <w:sectPr w:rsidR="00A75E40" w:rsidRPr="009110F7" w:rsidSect="0085114D">
          <w:headerReference w:type="even" r:id="rId12"/>
          <w:headerReference w:type="default" r:id="rId13"/>
          <w:footerReference w:type="even" r:id="rId14"/>
          <w:footerReference w:type="default" r:id="rId15"/>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511DD5DE" wp14:editId="00A28F14">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16="http://schemas.microsoft.com/office/drawing/2014/main" xmlns:c="http://schemas.openxmlformats.org/drawingml/2006/chart">
            <w:pict w14:anchorId="7BA46650">
              <v:group id="Group 24" style="position:absolute;margin-left:45pt;margin-top:36.75pt;width:177.15pt;height:43.65pt;z-index:251657728;mso-position-horizontal-relative:page;mso-position-vertical-relative:page" coordsize="2714,667" coordorigin="567,851" o:spid="_x0000_s1026" w14:anchorId="70D05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">
                <o:lock v:ext="edit" aspectratio="t"/>
                <v:rect id="Rectangle 9" style="position:absolute;left:1215;top:901;width:676;height:154;visibility:visible;mso-wrap-style:square;v-text-anchor:top" o:spid="_x0000_s1027"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o:lock v:ext="edit" aspectratio="t"/>
                </v:rect>
                <v:rect id="Rectangle 10" style="position:absolute;left:567;top:1131;width:1324;height:154;visibility:visible;mso-wrap-style:square;v-text-anchor:top" o:spid="_x0000_s1028"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o:lock v:ext="edit" aspectratio="t"/>
                </v:rect>
                <v:rect id="Rectangle 11" style="position:absolute;left:1288;top:1361;width:603;height:153;visibility:visible;mso-wrap-style:square;v-text-anchor:top" o:spid="_x0000_s1029"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o:lock v:ext="edit" aspectratio="t"/>
                </v:rect>
                <v:shape id="Freeform 12" style="position:absolute;left:1969;top:1311;width:600;height:207;visibility:visible;mso-wrap-style:square;v-text-anchor:top" coordsize="1200,415" o:spid="_x0000_s1030" fillcolor="#bd1b21" stroked="f"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verticies="t" aspectratio="t"/>
                </v:shape>
                <v:shape id="Freeform 13" style="position:absolute;left:1962;top:1081;width:1319;height:208;visibility:visible;mso-wrap-style:square;v-text-anchor:top" coordsize="2637,416" o:spid="_x0000_s1031" fillcolor="#bd1b21" stroked="f"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verticies="t" aspectratio="t"/>
                </v:shape>
                <v:shape id="Freeform 14" style="position:absolute;left:1962;top:851;width:679;height:208;visibility:visible;mso-wrap-style:square;v-text-anchor:top" coordsize="1358,416" o:spid="_x0000_s1032" fillcolor="#bd1b21" stroked="f"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verticies="t" aspectratio="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7757952E" wp14:editId="7602F846">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8CD8" w14:textId="77777777" w:rsidR="000D7C6F" w:rsidRDefault="000D7C6F" w:rsidP="004924DC">
                            <w:r>
                              <w:t>Z</w:t>
                            </w:r>
                            <w:r w:rsidRPr="006C5577">
                              <w:t xml:space="preserve">pracoval: </w:t>
                            </w:r>
                            <w:r>
                              <w:t>o</w:t>
                            </w:r>
                            <w:r w:rsidRPr="006C5577">
                              <w:t>dbor</w:t>
                            </w:r>
                            <w:r>
                              <w:t xml:space="preserve"> Kancelář předsedy</w:t>
                            </w:r>
                          </w:p>
                          <w:p w14:paraId="6CC24131" w14:textId="77777777" w:rsidR="000D7C6F" w:rsidRPr="006C5577" w:rsidRDefault="000D7C6F" w:rsidP="004924DC">
                            <w:r w:rsidRPr="006C5577">
                              <w:t xml:space="preserve">Ředitel odboru: </w:t>
                            </w:r>
                            <w:r>
                              <w:t>Egor Sidorov, Ph.D.</w:t>
                            </w:r>
                          </w:p>
                          <w:p w14:paraId="734BD5FB" w14:textId="77777777" w:rsidR="000D7C6F" w:rsidRPr="006C5577" w:rsidRDefault="000D7C6F" w:rsidP="004924DC">
                            <w:r w:rsidRPr="006C5577">
                              <w:t xml:space="preserve">Kontaktní osoba: </w:t>
                            </w:r>
                            <w:r>
                              <w:t>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7952E"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" filled="f" stroked="f">
                <v:textbox inset="0,0,0,0">
                  <w:txbxContent>
                    <w:p w14:paraId="71628CD8" w14:textId="77777777" w:rsidR="000D7C6F" w:rsidRDefault="000D7C6F" w:rsidP="004924DC">
                      <w:r>
                        <w:t>Z</w:t>
                      </w:r>
                      <w:r w:rsidRPr="006C5577">
                        <w:t xml:space="preserve">pracoval: </w:t>
                      </w:r>
                      <w:r>
                        <w:t>o</w:t>
                      </w:r>
                      <w:r w:rsidRPr="006C5577">
                        <w:t>dbor</w:t>
                      </w:r>
                      <w:r>
                        <w:t xml:space="preserve"> Kancelář předsedy</w:t>
                      </w:r>
                    </w:p>
                    <w:p w14:paraId="6CC24131" w14:textId="77777777" w:rsidR="000D7C6F" w:rsidRPr="006C5577" w:rsidRDefault="000D7C6F" w:rsidP="004924DC">
                      <w:r w:rsidRPr="006C5577">
                        <w:t xml:space="preserve">Ředitel odboru: </w:t>
                      </w:r>
                      <w:r>
                        <w:t>Egor Sidorov, Ph.D.</w:t>
                      </w:r>
                    </w:p>
                    <w:p w14:paraId="734BD5FB" w14:textId="77777777" w:rsidR="000D7C6F" w:rsidRPr="006C5577" w:rsidRDefault="000D7C6F" w:rsidP="004924DC">
                      <w:r w:rsidRPr="006C5577">
                        <w:t xml:space="preserve">Kontaktní osoba: </w:t>
                      </w:r>
                      <w:r>
                        <w:t>Karolína Zábojníková</w:t>
                      </w:r>
                      <w:r w:rsidRPr="006C5577">
                        <w:t>,</w:t>
                      </w:r>
                      <w:r>
                        <w:t xml:space="preserve"> e-mail: karolina.zabojnikova@czso.cz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AFB96D4" wp14:editId="50D63787">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48DE" w14:textId="32168C0B" w:rsidR="000D7C6F" w:rsidRPr="004924DC" w:rsidRDefault="000D7C6F" w:rsidP="004924DC">
                            <w:pPr>
                              <w:pStyle w:val="TLIdentifikace-sted"/>
                            </w:pPr>
                            <w:r>
                              <w:t>Souhrnná data o České republice</w:t>
                            </w:r>
                          </w:p>
                          <w:p w14:paraId="02C46271" w14:textId="299D9B24" w:rsidR="000D7C6F" w:rsidRPr="004924DC" w:rsidRDefault="000D7C6F" w:rsidP="004924DC">
                            <w:pPr>
                              <w:pStyle w:val="TLIdentifikace-sted"/>
                            </w:pPr>
                            <w:r>
                              <w:t>Praha, 18. 12. 2023</w:t>
                            </w:r>
                          </w:p>
                          <w:p w14:paraId="43012AD8" w14:textId="6198DD00" w:rsidR="000D7C6F" w:rsidRPr="00B23E6E" w:rsidRDefault="000D7C6F" w:rsidP="004924DC">
                            <w:pPr>
                              <w:pStyle w:val="TLIdentifikace-sted"/>
                            </w:pPr>
                            <w:r w:rsidRPr="00B23E6E">
                              <w:t>Kód publikace: 320193-2</w:t>
                            </w:r>
                            <w:r>
                              <w:t>3</w:t>
                            </w:r>
                          </w:p>
                          <w:p w14:paraId="1ED5773E" w14:textId="26695416" w:rsidR="000D7C6F" w:rsidRPr="00474646" w:rsidRDefault="000D7C6F" w:rsidP="004924DC">
                            <w:pPr>
                              <w:pStyle w:val="TLIdentifikace-sted"/>
                              <w:rPr>
                                <w:rFonts w:cs="Arial"/>
                              </w:rPr>
                            </w:pPr>
                            <w:r w:rsidRPr="00ED0F73">
                              <w:rPr>
                                <w:rFonts w:cs="Arial"/>
                              </w:rPr>
                              <w:t xml:space="preserve">Č. j.: </w:t>
                            </w:r>
                            <w:r w:rsidRPr="000D7C6F">
                              <w:t>CSU-016070/2023</w:t>
                            </w:r>
                          </w:p>
                          <w:p w14:paraId="7E4C36AC" w14:textId="081B99CE" w:rsidR="000D7C6F" w:rsidRPr="004924DC" w:rsidRDefault="000D7C6F" w:rsidP="004924DC">
                            <w:pPr>
                              <w:pStyle w:val="TLIdentifikace-sted"/>
                            </w:pPr>
                            <w:r w:rsidRPr="004924DC">
                              <w:t>Pořadové číslo v</w:t>
                            </w:r>
                            <w:r>
                              <w:t> </w:t>
                            </w:r>
                            <w:r w:rsidRPr="004924DC">
                              <w:t xml:space="preserve">roce: </w:t>
                            </w:r>
                            <w:r>
                              <w:t>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FB96D4"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fit-shape-to-text:t" inset="0,0,0,0">
                  <w:txbxContent>
                    <w:p w14:paraId="6B3C48DE" w14:textId="32168C0B" w:rsidR="000D7C6F" w:rsidRPr="004924DC" w:rsidRDefault="000D7C6F" w:rsidP="004924DC">
                      <w:pPr>
                        <w:pStyle w:val="TLIdentifikace-sted"/>
                      </w:pPr>
                      <w:r>
                        <w:t>Souhrnná data o České republice</w:t>
                      </w:r>
                    </w:p>
                    <w:p w14:paraId="02C46271" w14:textId="299D9B24" w:rsidR="000D7C6F" w:rsidRPr="004924DC" w:rsidRDefault="000D7C6F" w:rsidP="004924DC">
                      <w:pPr>
                        <w:pStyle w:val="TLIdentifikace-sted"/>
                      </w:pPr>
                      <w:r>
                        <w:t>Praha, 18. 12. 2023</w:t>
                      </w:r>
                    </w:p>
                    <w:p w14:paraId="43012AD8" w14:textId="6198DD00" w:rsidR="000D7C6F" w:rsidRPr="00B23E6E" w:rsidRDefault="000D7C6F" w:rsidP="004924DC">
                      <w:pPr>
                        <w:pStyle w:val="TLIdentifikace-sted"/>
                      </w:pPr>
                      <w:r w:rsidRPr="00B23E6E">
                        <w:t>Kód publikace: 320193-2</w:t>
                      </w:r>
                      <w:r>
                        <w:t>3</w:t>
                      </w:r>
                    </w:p>
                    <w:p w14:paraId="1ED5773E" w14:textId="26695416" w:rsidR="000D7C6F" w:rsidRPr="00474646" w:rsidRDefault="000D7C6F" w:rsidP="004924DC">
                      <w:pPr>
                        <w:pStyle w:val="TLIdentifikace-sted"/>
                        <w:rPr>
                          <w:rFonts w:cs="Arial"/>
                        </w:rPr>
                      </w:pPr>
                      <w:r w:rsidRPr="00ED0F73">
                        <w:rPr>
                          <w:rFonts w:cs="Arial"/>
                        </w:rPr>
                        <w:t xml:space="preserve">Č. j.: </w:t>
                      </w:r>
                      <w:r w:rsidRPr="000D7C6F">
                        <w:t>CSU-016070/2023</w:t>
                      </w:r>
                    </w:p>
                    <w:p w14:paraId="7E4C36AC" w14:textId="081B99CE" w:rsidR="000D7C6F" w:rsidRPr="004924DC" w:rsidRDefault="000D7C6F" w:rsidP="004924DC">
                      <w:pPr>
                        <w:pStyle w:val="TLIdentifikace-sted"/>
                      </w:pPr>
                      <w:r w:rsidRPr="004924DC">
                        <w:t>Pořadové číslo v</w:t>
                      </w:r>
                      <w:r>
                        <w:t> </w:t>
                      </w:r>
                      <w:r w:rsidRPr="004924DC">
                        <w:t xml:space="preserve">roce: </w:t>
                      </w:r>
                      <w:r>
                        <w:t>3</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451D2144" wp14:editId="099204C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7B56" w14:textId="77777777" w:rsidR="000D7C6F" w:rsidRPr="000E6FBD" w:rsidRDefault="000D7C6F" w:rsidP="000E6FBD">
                            <w:pPr>
                              <w:pStyle w:val="Nzev"/>
                            </w:pPr>
                            <w:r>
                              <w:t>Vývoj ekonomiky české republiky</w:t>
                            </w:r>
                          </w:p>
                          <w:p w14:paraId="6EF7822F" w14:textId="77777777" w:rsidR="000D7C6F" w:rsidRPr="0012192F" w:rsidRDefault="000D7C6F" w:rsidP="0012192F">
                            <w:pPr>
                              <w:pStyle w:val="Podnadpis"/>
                            </w:pPr>
                          </w:p>
                          <w:p w14:paraId="284A2D4D" w14:textId="194F3E3B" w:rsidR="000D7C6F" w:rsidRPr="0012192F" w:rsidRDefault="000D7C6F" w:rsidP="000D7C6F">
                            <w:pPr>
                              <w:pStyle w:val="Podnadpis"/>
                            </w:pPr>
                            <w:r>
                              <w:t>1. až 3. čtvrtletí 2023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1D2144"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" filled="f" stroked="f">
                <v:textbox style="mso-fit-shape-to-text:t" inset="0,0,0,0">
                  <w:txbxContent>
                    <w:p w14:paraId="723B7B56" w14:textId="77777777" w:rsidR="000D7C6F" w:rsidRPr="000E6FBD" w:rsidRDefault="000D7C6F" w:rsidP="000E6FBD">
                      <w:pPr>
                        <w:pStyle w:val="Nzev"/>
                      </w:pPr>
                      <w:r>
                        <w:t>Vývoj ekonomiky české republiky</w:t>
                      </w:r>
                    </w:p>
                    <w:p w14:paraId="6EF7822F" w14:textId="77777777" w:rsidR="000D7C6F" w:rsidRPr="0012192F" w:rsidRDefault="000D7C6F" w:rsidP="0012192F">
                      <w:pPr>
                        <w:pStyle w:val="Podnadpis"/>
                      </w:pPr>
                    </w:p>
                    <w:p w14:paraId="284A2D4D" w14:textId="194F3E3B" w:rsidR="000D7C6F" w:rsidRPr="0012192F" w:rsidRDefault="000D7C6F" w:rsidP="000D7C6F">
                      <w:pPr>
                        <w:pStyle w:val="Podnadpis"/>
                      </w:pPr>
                      <w:r>
                        <w:t>1. až 3. čtvrtletí 2023</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41CDD5F4" wp14:editId="1095CA0F">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DF7B" w14:textId="080F437A" w:rsidR="000D7C6F" w:rsidRPr="004924DC" w:rsidRDefault="000D7C6F" w:rsidP="004924DC">
                            <w:r w:rsidRPr="004924DC">
                              <w:t xml:space="preserve">© Český statistický úřad, </w:t>
                            </w:r>
                            <w:r>
                              <w:t>Praha</w:t>
                            </w:r>
                            <w:r w:rsidRPr="004924DC">
                              <w:t xml:space="preserve">, </w:t>
                            </w:r>
                            <w:r>
                              <w:t>2023</w:t>
                            </w:r>
                          </w:p>
                          <w:p w14:paraId="622736FE" w14:textId="77777777" w:rsidR="000D7C6F" w:rsidRPr="005251DD" w:rsidRDefault="000D7C6F" w:rsidP="00665BA4"/>
                          <w:p w14:paraId="157588CA" w14:textId="77777777" w:rsidR="000D7C6F" w:rsidRPr="005251DD" w:rsidRDefault="000D7C6F" w:rsidP="00FC684B"/>
                          <w:p w14:paraId="590D710B" w14:textId="77777777" w:rsidR="000D7C6F" w:rsidRDefault="000D7C6F"/>
                          <w:p w14:paraId="73B68DA8" w14:textId="77777777" w:rsidR="000D7C6F" w:rsidRPr="00097407" w:rsidRDefault="000D7C6F"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3D655DFE" w14:textId="77777777" w:rsidR="000D7C6F" w:rsidRPr="005251DD" w:rsidRDefault="000D7C6F" w:rsidP="00665BA4"/>
                          <w:p w14:paraId="74D3ABC4" w14:textId="77777777" w:rsidR="000D7C6F" w:rsidRPr="005251DD" w:rsidRDefault="000D7C6F"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DD5F4"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MkugIAALY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" filled="f" stroked="f">
                <v:textbox inset="0,0,0,0">
                  <w:txbxContent>
                    <w:p w14:paraId="0841DF7B" w14:textId="080F437A" w:rsidR="000D7C6F" w:rsidRPr="004924DC" w:rsidRDefault="000D7C6F" w:rsidP="004924DC">
                      <w:r w:rsidRPr="004924DC">
                        <w:t xml:space="preserve">© Český statistický úřad, </w:t>
                      </w:r>
                      <w:r>
                        <w:t>Praha</w:t>
                      </w:r>
                      <w:r w:rsidRPr="004924DC">
                        <w:t xml:space="preserve">, </w:t>
                      </w:r>
                      <w:r>
                        <w:t>2023</w:t>
                      </w:r>
                    </w:p>
                    <w:p w14:paraId="622736FE" w14:textId="77777777" w:rsidR="000D7C6F" w:rsidRPr="005251DD" w:rsidRDefault="000D7C6F" w:rsidP="00665BA4"/>
                    <w:p w14:paraId="157588CA" w14:textId="77777777" w:rsidR="000D7C6F" w:rsidRPr="005251DD" w:rsidRDefault="000D7C6F" w:rsidP="00FC684B"/>
                    <w:p w14:paraId="590D710B" w14:textId="77777777" w:rsidR="000D7C6F" w:rsidRDefault="000D7C6F"/>
                    <w:p w14:paraId="73B68DA8" w14:textId="77777777" w:rsidR="000D7C6F" w:rsidRPr="00097407" w:rsidRDefault="000D7C6F"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3D655DFE" w14:textId="77777777" w:rsidR="000D7C6F" w:rsidRPr="005251DD" w:rsidRDefault="000D7C6F" w:rsidP="00665BA4"/>
                    <w:p w14:paraId="74D3ABC4" w14:textId="77777777" w:rsidR="000D7C6F" w:rsidRPr="005251DD" w:rsidRDefault="000D7C6F" w:rsidP="00FC684B"/>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3632" behindDoc="0" locked="1" layoutInCell="0" allowOverlap="1" wp14:anchorId="5D7561D0" wp14:editId="7B364386">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16="http://schemas.microsoft.com/office/drawing/2014/main" xmlns:c="http://schemas.openxmlformats.org/drawingml/2006/chart">
            <w:pict w14:anchorId="0DBAEABF">
              <v:line id="Přímá spojnice 33"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o:spid="_x0000_s1026" o:allowincell="f" strokecolor="windowText" strokeweight="1pt" from="134.65pt,737.1pt" to="538.6pt,737.1pt" w14:anchorId="6DFD5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lock v:ext="edit" shapetype="f"/>
                <w10:wrap anchorx="page" anchory="page"/>
                <w10:anchorlock/>
              </v:line>
            </w:pict>
          </mc:Fallback>
        </mc:AlternateContent>
      </w:r>
      <w:r w:rsidR="00F63FB7" w:rsidRPr="009110F7">
        <w:br w:type="page"/>
      </w:r>
      <w:r w:rsidR="00D57677" w:rsidRPr="009110F7">
        <w:lastRenderedPageBreak/>
        <w:br w:type="page"/>
      </w:r>
      <w:r>
        <w:rPr>
          <w:noProof/>
        </w:rPr>
        <mc:AlternateContent>
          <mc:Choice Requires="wps">
            <w:drawing>
              <wp:anchor distT="0" distB="0" distL="114300" distR="114300" simplePos="0" relativeHeight="251659776" behindDoc="0" locked="1" layoutInCell="1" allowOverlap="1" wp14:anchorId="6BC95926" wp14:editId="266DEF2F">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70E5B" w14:textId="77777777" w:rsidR="000D7C6F" w:rsidRPr="006F5416" w:rsidRDefault="000D7C6F" w:rsidP="006F5416">
                            <w:pPr>
                              <w:pStyle w:val="TLKontaktyerven"/>
                            </w:pPr>
                            <w:r w:rsidRPr="006F5416">
                              <w:t>KONTAKTY V ÚSTŘEDÍ</w:t>
                            </w:r>
                          </w:p>
                          <w:p w14:paraId="3BEEAF5F" w14:textId="77777777" w:rsidR="000D7C6F" w:rsidRPr="007D40DF" w:rsidRDefault="000D7C6F"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4ECAA215" w14:textId="77777777" w:rsidR="000D7C6F" w:rsidRPr="00D235B7" w:rsidRDefault="000D7C6F"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77777777" w:rsidR="000D7C6F" w:rsidRPr="00D235B7" w:rsidRDefault="000D7C6F"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572D725" w14:textId="77777777" w:rsidR="000D7C6F" w:rsidRPr="00D235B7" w:rsidRDefault="000D7C6F"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77777777" w:rsidR="000D7C6F" w:rsidRPr="00D235B7" w:rsidRDefault="000D7C6F"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433A2C62" w14:textId="77777777" w:rsidR="000D7C6F" w:rsidRPr="004A61C5" w:rsidRDefault="000D7C6F" w:rsidP="00825C4D">
                            <w:pPr>
                              <w:pStyle w:val="TLKontakty"/>
                              <w:spacing w:after="80" w:line="240" w:lineRule="auto"/>
                              <w:contextualSpacing w:val="0"/>
                              <w:rPr>
                                <w:color w:val="auto"/>
                              </w:rPr>
                            </w:pPr>
                          </w:p>
                          <w:p w14:paraId="29C57B67" w14:textId="77777777" w:rsidR="000D7C6F" w:rsidRPr="00D66223" w:rsidRDefault="000D7C6F" w:rsidP="00D66223">
                            <w:pPr>
                              <w:pStyle w:val="TLKontaktyerven"/>
                            </w:pPr>
                            <w:r w:rsidRPr="00D66223">
                              <w:t>INFORMAČNÍ SLUŽBY V REGIONECH</w:t>
                            </w:r>
                          </w:p>
                          <w:p w14:paraId="181BE30E" w14:textId="77777777" w:rsidR="000D7C6F" w:rsidRPr="00992CF3" w:rsidRDefault="000D7C6F"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0D7C6F" w:rsidRPr="00992CF3" w:rsidRDefault="000D7C6F"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0D7C6F" w:rsidRPr="004A61C5" w:rsidRDefault="000D7C6F" w:rsidP="00825C4D">
                            <w:pPr>
                              <w:pStyle w:val="TLKontakty"/>
                              <w:spacing w:after="80" w:line="240" w:lineRule="auto"/>
                              <w:rPr>
                                <w:color w:val="auto"/>
                              </w:rPr>
                            </w:pPr>
                          </w:p>
                          <w:p w14:paraId="39B5FB82" w14:textId="77777777" w:rsidR="000D7C6F" w:rsidRPr="00992CF3" w:rsidRDefault="000D7C6F"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0D7C6F" w:rsidRPr="00992CF3" w:rsidRDefault="000D7C6F"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0D7C6F" w:rsidRPr="004A61C5" w:rsidRDefault="000D7C6F" w:rsidP="00825C4D">
                            <w:pPr>
                              <w:pStyle w:val="TLKontakty"/>
                              <w:spacing w:after="80" w:line="240" w:lineRule="auto"/>
                              <w:rPr>
                                <w:color w:val="auto"/>
                              </w:rPr>
                            </w:pPr>
                          </w:p>
                          <w:p w14:paraId="5AF27889" w14:textId="77777777" w:rsidR="000D7C6F" w:rsidRPr="00992CF3" w:rsidRDefault="000D7C6F"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0D7C6F" w:rsidRPr="00992CF3" w:rsidRDefault="000D7C6F"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0D7C6F" w:rsidRPr="004A61C5" w:rsidRDefault="000D7C6F" w:rsidP="00825C4D">
                            <w:pPr>
                              <w:pStyle w:val="TLKontakty"/>
                              <w:spacing w:after="80" w:line="240" w:lineRule="auto"/>
                              <w:rPr>
                                <w:color w:val="auto"/>
                              </w:rPr>
                            </w:pPr>
                          </w:p>
                          <w:p w14:paraId="0065AFA0" w14:textId="77777777" w:rsidR="000D7C6F" w:rsidRPr="00BC731E" w:rsidRDefault="000D7C6F"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0D7C6F" w:rsidRPr="004A61C5" w:rsidRDefault="000D7C6F" w:rsidP="00825C4D">
                            <w:pPr>
                              <w:pStyle w:val="TLKontakty"/>
                              <w:spacing w:after="80" w:line="240" w:lineRule="auto"/>
                              <w:rPr>
                                <w:color w:val="auto"/>
                              </w:rPr>
                            </w:pPr>
                          </w:p>
                          <w:p w14:paraId="345F7961" w14:textId="77777777" w:rsidR="000D7C6F" w:rsidRPr="004A61C5" w:rsidRDefault="000D7C6F"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0D7C6F" w:rsidRPr="004A61C5" w:rsidRDefault="000D7C6F" w:rsidP="00825C4D">
                            <w:pPr>
                              <w:pStyle w:val="TLKontakty"/>
                              <w:spacing w:after="80" w:line="240" w:lineRule="auto"/>
                              <w:rPr>
                                <w:color w:val="auto"/>
                              </w:rPr>
                            </w:pPr>
                          </w:p>
                          <w:p w14:paraId="766F2288" w14:textId="77777777" w:rsidR="000D7C6F" w:rsidRPr="004A61C5" w:rsidRDefault="000D7C6F"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0D7C6F" w:rsidRPr="004A61C5" w:rsidRDefault="000D7C6F" w:rsidP="00825C4D">
                            <w:pPr>
                              <w:pStyle w:val="TLKontakty"/>
                              <w:spacing w:after="80" w:line="240" w:lineRule="auto"/>
                              <w:rPr>
                                <w:color w:val="auto"/>
                              </w:rPr>
                            </w:pPr>
                          </w:p>
                          <w:p w14:paraId="0D4652E6" w14:textId="77777777" w:rsidR="000D7C6F" w:rsidRPr="004A61C5" w:rsidRDefault="000D7C6F"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0D7C6F" w:rsidRPr="004A61C5" w:rsidRDefault="000D7C6F" w:rsidP="00825C4D">
                            <w:pPr>
                              <w:pStyle w:val="TLKontakty"/>
                              <w:spacing w:after="80" w:line="240" w:lineRule="auto"/>
                              <w:rPr>
                                <w:b w:val="0"/>
                                <w:color w:val="auto"/>
                              </w:rPr>
                            </w:pPr>
                          </w:p>
                          <w:p w14:paraId="231AC323" w14:textId="77777777" w:rsidR="000D7C6F" w:rsidRPr="004A61C5" w:rsidRDefault="000D7C6F"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0D7C6F" w:rsidRPr="004A61C5" w:rsidRDefault="000D7C6F" w:rsidP="00825C4D">
                            <w:pPr>
                              <w:pStyle w:val="TLKontakty"/>
                              <w:spacing w:after="80" w:line="240" w:lineRule="auto"/>
                              <w:rPr>
                                <w:color w:val="auto"/>
                              </w:rPr>
                            </w:pPr>
                          </w:p>
                          <w:p w14:paraId="64319B27" w14:textId="77777777" w:rsidR="000D7C6F" w:rsidRPr="004A61C5" w:rsidRDefault="000D7C6F"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0D7C6F" w:rsidRPr="004A61C5" w:rsidRDefault="000D7C6F" w:rsidP="00825C4D">
                            <w:pPr>
                              <w:pStyle w:val="TLKontakty"/>
                              <w:spacing w:after="80" w:line="240" w:lineRule="auto"/>
                              <w:rPr>
                                <w:b w:val="0"/>
                                <w:color w:val="auto"/>
                              </w:rPr>
                            </w:pPr>
                          </w:p>
                          <w:p w14:paraId="4068B566" w14:textId="77777777" w:rsidR="000D7C6F" w:rsidRPr="004A61C5" w:rsidRDefault="000D7C6F"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0D7C6F" w:rsidRDefault="000D7C6F" w:rsidP="00825C4D">
                            <w:pPr>
                              <w:pStyle w:val="TLKontakty"/>
                              <w:spacing w:after="80" w:line="240" w:lineRule="auto"/>
                            </w:pPr>
                          </w:p>
                          <w:p w14:paraId="63ACC352" w14:textId="77777777" w:rsidR="000D7C6F" w:rsidRPr="00BC731E" w:rsidRDefault="000D7C6F"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0D7C6F" w:rsidRPr="004A61C5" w:rsidRDefault="000D7C6F"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0D7C6F" w:rsidRPr="004A61C5" w:rsidRDefault="000D7C6F" w:rsidP="00825C4D">
                            <w:pPr>
                              <w:pStyle w:val="TLKontakty"/>
                              <w:spacing w:after="80" w:line="240" w:lineRule="auto"/>
                              <w:rPr>
                                <w:b w:val="0"/>
                                <w:color w:val="auto"/>
                              </w:rPr>
                            </w:pPr>
                          </w:p>
                          <w:p w14:paraId="71AC5E72" w14:textId="77777777" w:rsidR="000D7C6F" w:rsidRPr="005E7C78" w:rsidRDefault="000D7C6F"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0D7C6F" w:rsidRPr="005E7C78" w:rsidRDefault="000D7C6F"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0D7C6F" w:rsidRPr="005E7C78" w:rsidRDefault="000D7C6F" w:rsidP="00825C4D">
                            <w:pPr>
                              <w:pStyle w:val="TLKontakty"/>
                              <w:spacing w:after="80" w:line="240" w:lineRule="auto"/>
                              <w:rPr>
                                <w:b w:val="0"/>
                                <w:color w:val="auto"/>
                              </w:rPr>
                            </w:pPr>
                          </w:p>
                          <w:p w14:paraId="00E77B80" w14:textId="77777777" w:rsidR="000D7C6F" w:rsidRPr="005E7C78" w:rsidRDefault="000D7C6F"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0D7C6F" w:rsidRDefault="000D7C6F"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0D7C6F" w:rsidRPr="005E7C78" w:rsidRDefault="000D7C6F" w:rsidP="00095135">
                            <w:pPr>
                              <w:pStyle w:val="TLKontakty"/>
                              <w:spacing w:after="80" w:line="240" w:lineRule="auto"/>
                              <w:rPr>
                                <w:b w:val="0"/>
                                <w:color w:val="auto"/>
                              </w:rPr>
                            </w:pPr>
                          </w:p>
                          <w:p w14:paraId="0275618D" w14:textId="77777777" w:rsidR="000D7C6F" w:rsidRPr="005E7C78" w:rsidRDefault="000D7C6F"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0D7C6F" w:rsidRPr="00095135" w:rsidRDefault="000D7C6F"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C9592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0RmbGr0CAAC3BQAADgAAAAAAAAAAAAAAAAAuAgAAZHJzL2Uyb0RvYy54bWxQSwECLQAUAAYACAAA&#10;ACEArRpGXOAAAAANAQAADwAAAAAAAAAAAAAAAAAXBQAAZHJzL2Rvd25yZXYueG1sUEsFBgAAAAAE&#10;AAQA8wAAACQGAAAAAA==&#10;" filled="f" stroked="f">
                <v:textbox style="mso-fit-shape-to-text:t" inset="0,0,0,0">
                  <w:txbxContent>
                    <w:p w14:paraId="57F70E5B" w14:textId="77777777" w:rsidR="000D7C6F" w:rsidRPr="006F5416" w:rsidRDefault="000D7C6F" w:rsidP="006F5416">
                      <w:pPr>
                        <w:pStyle w:val="TLKontaktyerven"/>
                      </w:pPr>
                      <w:r w:rsidRPr="006F5416">
                        <w:t>KONTAKTY V ÚSTŘEDÍ</w:t>
                      </w:r>
                    </w:p>
                    <w:p w14:paraId="3BEEAF5F" w14:textId="77777777" w:rsidR="000D7C6F" w:rsidRPr="007D40DF" w:rsidRDefault="000D7C6F"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4ECAA215" w14:textId="77777777" w:rsidR="000D7C6F" w:rsidRPr="00D235B7" w:rsidRDefault="000D7C6F"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77777777" w:rsidR="000D7C6F" w:rsidRPr="00D235B7" w:rsidRDefault="000D7C6F"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572D725" w14:textId="77777777" w:rsidR="000D7C6F" w:rsidRPr="00D235B7" w:rsidRDefault="000D7C6F"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77777777" w:rsidR="000D7C6F" w:rsidRPr="00D235B7" w:rsidRDefault="000D7C6F"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433A2C62" w14:textId="77777777" w:rsidR="000D7C6F" w:rsidRPr="004A61C5" w:rsidRDefault="000D7C6F" w:rsidP="00825C4D">
                      <w:pPr>
                        <w:pStyle w:val="TLKontakty"/>
                        <w:spacing w:after="80" w:line="240" w:lineRule="auto"/>
                        <w:contextualSpacing w:val="0"/>
                        <w:rPr>
                          <w:color w:val="auto"/>
                        </w:rPr>
                      </w:pPr>
                    </w:p>
                    <w:p w14:paraId="29C57B67" w14:textId="77777777" w:rsidR="000D7C6F" w:rsidRPr="00D66223" w:rsidRDefault="000D7C6F" w:rsidP="00D66223">
                      <w:pPr>
                        <w:pStyle w:val="TLKontaktyerven"/>
                      </w:pPr>
                      <w:r w:rsidRPr="00D66223">
                        <w:t>INFORMAČNÍ SLUŽBY V REGIONECH</w:t>
                      </w:r>
                    </w:p>
                    <w:p w14:paraId="181BE30E" w14:textId="77777777" w:rsidR="000D7C6F" w:rsidRPr="00992CF3" w:rsidRDefault="000D7C6F"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0D7C6F" w:rsidRPr="00992CF3" w:rsidRDefault="000D7C6F"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0D7C6F" w:rsidRPr="004A61C5" w:rsidRDefault="000D7C6F" w:rsidP="00825C4D">
                      <w:pPr>
                        <w:pStyle w:val="TLKontakty"/>
                        <w:spacing w:after="80" w:line="240" w:lineRule="auto"/>
                        <w:rPr>
                          <w:color w:val="auto"/>
                        </w:rPr>
                      </w:pPr>
                    </w:p>
                    <w:p w14:paraId="39B5FB82" w14:textId="77777777" w:rsidR="000D7C6F" w:rsidRPr="00992CF3" w:rsidRDefault="000D7C6F"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0D7C6F" w:rsidRPr="00992CF3" w:rsidRDefault="000D7C6F"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0D7C6F" w:rsidRPr="004A61C5" w:rsidRDefault="000D7C6F" w:rsidP="00825C4D">
                      <w:pPr>
                        <w:pStyle w:val="TLKontakty"/>
                        <w:spacing w:after="80" w:line="240" w:lineRule="auto"/>
                        <w:rPr>
                          <w:color w:val="auto"/>
                        </w:rPr>
                      </w:pPr>
                    </w:p>
                    <w:p w14:paraId="5AF27889" w14:textId="77777777" w:rsidR="000D7C6F" w:rsidRPr="00992CF3" w:rsidRDefault="000D7C6F"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0D7C6F" w:rsidRPr="00992CF3" w:rsidRDefault="000D7C6F"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0D7C6F" w:rsidRPr="004A61C5" w:rsidRDefault="000D7C6F" w:rsidP="00825C4D">
                      <w:pPr>
                        <w:pStyle w:val="TLKontakty"/>
                        <w:spacing w:after="80" w:line="240" w:lineRule="auto"/>
                        <w:rPr>
                          <w:color w:val="auto"/>
                        </w:rPr>
                      </w:pPr>
                    </w:p>
                    <w:p w14:paraId="0065AFA0" w14:textId="77777777" w:rsidR="000D7C6F" w:rsidRPr="00BC731E" w:rsidRDefault="000D7C6F"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0D7C6F" w:rsidRPr="004A61C5" w:rsidRDefault="000D7C6F" w:rsidP="00825C4D">
                      <w:pPr>
                        <w:pStyle w:val="TLKontakty"/>
                        <w:spacing w:after="80" w:line="240" w:lineRule="auto"/>
                        <w:rPr>
                          <w:color w:val="auto"/>
                        </w:rPr>
                      </w:pPr>
                    </w:p>
                    <w:p w14:paraId="345F7961" w14:textId="77777777" w:rsidR="000D7C6F" w:rsidRPr="004A61C5" w:rsidRDefault="000D7C6F"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0D7C6F" w:rsidRPr="004A61C5" w:rsidRDefault="000D7C6F" w:rsidP="00825C4D">
                      <w:pPr>
                        <w:pStyle w:val="TLKontakty"/>
                        <w:spacing w:after="80" w:line="240" w:lineRule="auto"/>
                        <w:rPr>
                          <w:color w:val="auto"/>
                        </w:rPr>
                      </w:pPr>
                    </w:p>
                    <w:p w14:paraId="766F2288" w14:textId="77777777" w:rsidR="000D7C6F" w:rsidRPr="004A61C5" w:rsidRDefault="000D7C6F"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0D7C6F" w:rsidRPr="004A61C5" w:rsidRDefault="000D7C6F" w:rsidP="00825C4D">
                      <w:pPr>
                        <w:pStyle w:val="TLKontakty"/>
                        <w:spacing w:after="80" w:line="240" w:lineRule="auto"/>
                        <w:rPr>
                          <w:color w:val="auto"/>
                        </w:rPr>
                      </w:pPr>
                    </w:p>
                    <w:p w14:paraId="0D4652E6" w14:textId="77777777" w:rsidR="000D7C6F" w:rsidRPr="004A61C5" w:rsidRDefault="000D7C6F"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0D7C6F" w:rsidRPr="004A61C5" w:rsidRDefault="000D7C6F" w:rsidP="00825C4D">
                      <w:pPr>
                        <w:pStyle w:val="TLKontakty"/>
                        <w:spacing w:after="80" w:line="240" w:lineRule="auto"/>
                        <w:rPr>
                          <w:b w:val="0"/>
                          <w:color w:val="auto"/>
                        </w:rPr>
                      </w:pPr>
                    </w:p>
                    <w:p w14:paraId="231AC323" w14:textId="77777777" w:rsidR="000D7C6F" w:rsidRPr="004A61C5" w:rsidRDefault="000D7C6F"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0D7C6F" w:rsidRPr="004A61C5" w:rsidRDefault="000D7C6F" w:rsidP="00825C4D">
                      <w:pPr>
                        <w:pStyle w:val="TLKontakty"/>
                        <w:spacing w:after="80" w:line="240" w:lineRule="auto"/>
                        <w:rPr>
                          <w:color w:val="auto"/>
                        </w:rPr>
                      </w:pPr>
                    </w:p>
                    <w:p w14:paraId="64319B27" w14:textId="77777777" w:rsidR="000D7C6F" w:rsidRPr="004A61C5" w:rsidRDefault="000D7C6F"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0D7C6F" w:rsidRPr="004A61C5" w:rsidRDefault="000D7C6F" w:rsidP="00825C4D">
                      <w:pPr>
                        <w:pStyle w:val="TLKontakty"/>
                        <w:spacing w:after="80" w:line="240" w:lineRule="auto"/>
                        <w:rPr>
                          <w:b w:val="0"/>
                          <w:color w:val="auto"/>
                        </w:rPr>
                      </w:pPr>
                    </w:p>
                    <w:p w14:paraId="4068B566" w14:textId="77777777" w:rsidR="000D7C6F" w:rsidRPr="004A61C5" w:rsidRDefault="000D7C6F"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0D7C6F" w:rsidRPr="004A61C5" w:rsidRDefault="000D7C6F"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0D7C6F" w:rsidRDefault="000D7C6F" w:rsidP="00825C4D">
                      <w:pPr>
                        <w:pStyle w:val="TLKontakty"/>
                        <w:spacing w:after="80" w:line="240" w:lineRule="auto"/>
                      </w:pPr>
                    </w:p>
                    <w:p w14:paraId="63ACC352" w14:textId="77777777" w:rsidR="000D7C6F" w:rsidRPr="00BC731E" w:rsidRDefault="000D7C6F"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0D7C6F" w:rsidRPr="004A61C5" w:rsidRDefault="000D7C6F"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0D7C6F" w:rsidRPr="004A61C5" w:rsidRDefault="000D7C6F" w:rsidP="00825C4D">
                      <w:pPr>
                        <w:pStyle w:val="TLKontakty"/>
                        <w:spacing w:after="80" w:line="240" w:lineRule="auto"/>
                        <w:rPr>
                          <w:b w:val="0"/>
                          <w:color w:val="auto"/>
                        </w:rPr>
                      </w:pPr>
                    </w:p>
                    <w:p w14:paraId="71AC5E72" w14:textId="77777777" w:rsidR="000D7C6F" w:rsidRPr="005E7C78" w:rsidRDefault="000D7C6F"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0D7C6F" w:rsidRPr="005E7C78" w:rsidRDefault="000D7C6F"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0D7C6F" w:rsidRPr="005E7C78" w:rsidRDefault="000D7C6F" w:rsidP="00825C4D">
                      <w:pPr>
                        <w:pStyle w:val="TLKontakty"/>
                        <w:spacing w:after="80" w:line="240" w:lineRule="auto"/>
                        <w:rPr>
                          <w:b w:val="0"/>
                          <w:color w:val="auto"/>
                        </w:rPr>
                      </w:pPr>
                    </w:p>
                    <w:p w14:paraId="00E77B80" w14:textId="77777777" w:rsidR="000D7C6F" w:rsidRPr="005E7C78" w:rsidRDefault="000D7C6F"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0D7C6F" w:rsidRDefault="000D7C6F"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0D7C6F" w:rsidRPr="005E7C78" w:rsidRDefault="000D7C6F" w:rsidP="00095135">
                      <w:pPr>
                        <w:pStyle w:val="TLKontakty"/>
                        <w:spacing w:after="80" w:line="240" w:lineRule="auto"/>
                        <w:rPr>
                          <w:b w:val="0"/>
                          <w:color w:val="auto"/>
                        </w:rPr>
                      </w:pPr>
                    </w:p>
                    <w:p w14:paraId="0275618D" w14:textId="77777777" w:rsidR="000D7C6F" w:rsidRPr="005E7C78" w:rsidRDefault="000D7C6F"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0D7C6F" w:rsidRPr="00095135" w:rsidRDefault="000D7C6F"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627D9299" wp14:editId="066DDE16">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07B0" w14:textId="2371D5AC" w:rsidR="000D7C6F" w:rsidRPr="00321924" w:rsidRDefault="000D7C6F" w:rsidP="00A16E1D">
                            <w:pPr>
                              <w:jc w:val="left"/>
                            </w:pPr>
                            <w:r w:rsidRPr="00321924">
                              <w:br/>
                              <w:t xml:space="preserve">© Český statistický úřad, </w:t>
                            </w:r>
                            <w:r>
                              <w:t>Praha, 2023</w:t>
                            </w:r>
                          </w:p>
                          <w:p w14:paraId="314CB98A" w14:textId="77777777" w:rsidR="000D7C6F" w:rsidRDefault="000D7C6F"/>
                          <w:p w14:paraId="6776AB5D" w14:textId="77777777" w:rsidR="000D7C6F" w:rsidRPr="00841D9F" w:rsidRDefault="000D7C6F"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0D7C6F" w:rsidRPr="00AF2852" w:rsidRDefault="000D7C6F"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D9299"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NbuQ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" filled="f" stroked="f">
                <v:textbox inset="0,0,0,0">
                  <w:txbxContent>
                    <w:p w14:paraId="45ED07B0" w14:textId="2371D5AC" w:rsidR="000D7C6F" w:rsidRPr="00321924" w:rsidRDefault="000D7C6F" w:rsidP="00A16E1D">
                      <w:pPr>
                        <w:jc w:val="left"/>
                      </w:pPr>
                      <w:r w:rsidRPr="00321924">
                        <w:br/>
                        <w:t xml:space="preserve">© Český statistický úřad, </w:t>
                      </w:r>
                      <w:r>
                        <w:t>Praha, 2023</w:t>
                      </w:r>
                    </w:p>
                    <w:p w14:paraId="314CB98A" w14:textId="77777777" w:rsidR="000D7C6F" w:rsidRDefault="000D7C6F"/>
                    <w:p w14:paraId="6776AB5D" w14:textId="77777777" w:rsidR="000D7C6F" w:rsidRPr="00841D9F" w:rsidRDefault="000D7C6F"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0D7C6F" w:rsidRPr="00AF2852" w:rsidRDefault="000D7C6F"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3FEDB80D" wp14:editId="1DBA9E32">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D4D1" w14:textId="77777777" w:rsidR="000D7C6F" w:rsidRPr="009A1902" w:rsidRDefault="000D7C6F"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EDB80D"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" filled="f" stroked="f">
                <v:textbox style="mso-fit-shape-to-text:t" inset="0,0,0,0">
                  <w:txbxContent>
                    <w:p w14:paraId="054ED4D1" w14:textId="77777777" w:rsidR="000D7C6F" w:rsidRPr="009A1902" w:rsidRDefault="000D7C6F"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v:textbox>
                <w10:wrap anchorx="page" anchory="page"/>
                <w10:anchorlock/>
              </v:shape>
            </w:pict>
          </mc:Fallback>
        </mc:AlternateContent>
      </w:r>
    </w:p>
    <w:sdt>
      <w:sdtPr>
        <w:rPr>
          <w:b w:val="0"/>
          <w:color w:val="auto"/>
          <w:sz w:val="20"/>
        </w:rPr>
        <w:id w:val="129444162"/>
        <w:docPartObj>
          <w:docPartGallery w:val="Table of Contents"/>
          <w:docPartUnique/>
        </w:docPartObj>
      </w:sdtPr>
      <w:sdtEndPr/>
      <w:sdtContent>
        <w:p w14:paraId="597230E6" w14:textId="77777777" w:rsidR="00867DAB" w:rsidRPr="009110F7" w:rsidRDefault="00867DAB" w:rsidP="00867DAB">
          <w:pPr>
            <w:pStyle w:val="Obsah"/>
          </w:pPr>
          <w:r>
            <w:t>Obsah</w:t>
          </w:r>
        </w:p>
        <w:bookmarkStart w:id="0" w:name="_GoBack"/>
        <w:bookmarkEnd w:id="0"/>
        <w:p w14:paraId="13FDD60B" w14:textId="0C03C8B5" w:rsidR="00C3579B" w:rsidRDefault="00EF1967">
          <w:pPr>
            <w:pStyle w:val="Obsah1"/>
            <w:rPr>
              <w:rFonts w:asciiTheme="minorHAnsi" w:eastAsiaTheme="minorEastAsia" w:hAnsiTheme="minorHAnsi" w:cstheme="minorBidi"/>
              <w:noProof/>
              <w:sz w:val="22"/>
              <w:szCs w:val="22"/>
            </w:rPr>
          </w:pPr>
          <w:r>
            <w:fldChar w:fldCharType="begin"/>
          </w:r>
          <w:r w:rsidR="007D42E5">
            <w:instrText>TOC \o "1-3" \h \z \u</w:instrText>
          </w:r>
          <w:r>
            <w:fldChar w:fldCharType="separate"/>
          </w:r>
          <w:hyperlink w:anchor="_Toc153531906" w:history="1">
            <w:r w:rsidR="00C3579B" w:rsidRPr="000B2B7F">
              <w:rPr>
                <w:rStyle w:val="Hypertextovodkaz"/>
                <w:noProof/>
              </w:rPr>
              <w:t>1. Shrnutí</w:t>
            </w:r>
            <w:r w:rsidR="00C3579B">
              <w:rPr>
                <w:noProof/>
                <w:webHidden/>
              </w:rPr>
              <w:tab/>
            </w:r>
            <w:r w:rsidR="00C3579B">
              <w:rPr>
                <w:noProof/>
                <w:webHidden/>
              </w:rPr>
              <w:fldChar w:fldCharType="begin"/>
            </w:r>
            <w:r w:rsidR="00C3579B">
              <w:rPr>
                <w:noProof/>
                <w:webHidden/>
              </w:rPr>
              <w:instrText xml:space="preserve"> PAGEREF _Toc153531906 \h </w:instrText>
            </w:r>
            <w:r w:rsidR="00C3579B">
              <w:rPr>
                <w:noProof/>
                <w:webHidden/>
              </w:rPr>
            </w:r>
            <w:r w:rsidR="00C3579B">
              <w:rPr>
                <w:noProof/>
                <w:webHidden/>
              </w:rPr>
              <w:fldChar w:fldCharType="separate"/>
            </w:r>
            <w:r w:rsidR="00C3579B">
              <w:rPr>
                <w:noProof/>
                <w:webHidden/>
              </w:rPr>
              <w:t>4</w:t>
            </w:r>
            <w:r w:rsidR="00C3579B">
              <w:rPr>
                <w:noProof/>
                <w:webHidden/>
              </w:rPr>
              <w:fldChar w:fldCharType="end"/>
            </w:r>
          </w:hyperlink>
        </w:p>
        <w:p w14:paraId="0C091D05" w14:textId="64382C3B" w:rsidR="00C3579B" w:rsidRDefault="00C3579B">
          <w:pPr>
            <w:pStyle w:val="Obsah1"/>
            <w:rPr>
              <w:rFonts w:asciiTheme="minorHAnsi" w:eastAsiaTheme="minorEastAsia" w:hAnsiTheme="minorHAnsi" w:cstheme="minorBidi"/>
              <w:noProof/>
              <w:sz w:val="22"/>
              <w:szCs w:val="22"/>
            </w:rPr>
          </w:pPr>
          <w:hyperlink w:anchor="_Toc153531907" w:history="1">
            <w:r w:rsidRPr="000B2B7F">
              <w:rPr>
                <w:rStyle w:val="Hypertextovodkaz"/>
                <w:noProof/>
              </w:rPr>
              <w:t>2. Souhrnná výkonnost</w:t>
            </w:r>
            <w:r>
              <w:rPr>
                <w:noProof/>
                <w:webHidden/>
              </w:rPr>
              <w:tab/>
            </w:r>
            <w:r>
              <w:rPr>
                <w:noProof/>
                <w:webHidden/>
              </w:rPr>
              <w:fldChar w:fldCharType="begin"/>
            </w:r>
            <w:r>
              <w:rPr>
                <w:noProof/>
                <w:webHidden/>
              </w:rPr>
              <w:instrText xml:space="preserve"> PAGEREF _Toc153531907 \h </w:instrText>
            </w:r>
            <w:r>
              <w:rPr>
                <w:noProof/>
                <w:webHidden/>
              </w:rPr>
            </w:r>
            <w:r>
              <w:rPr>
                <w:noProof/>
                <w:webHidden/>
              </w:rPr>
              <w:fldChar w:fldCharType="separate"/>
            </w:r>
            <w:r>
              <w:rPr>
                <w:noProof/>
                <w:webHidden/>
              </w:rPr>
              <w:t>6</w:t>
            </w:r>
            <w:r>
              <w:rPr>
                <w:noProof/>
                <w:webHidden/>
              </w:rPr>
              <w:fldChar w:fldCharType="end"/>
            </w:r>
          </w:hyperlink>
        </w:p>
        <w:p w14:paraId="54AB050F" w14:textId="6F76F80E" w:rsidR="00C3579B" w:rsidRDefault="00C3579B">
          <w:pPr>
            <w:pStyle w:val="Obsah1"/>
            <w:rPr>
              <w:rFonts w:asciiTheme="minorHAnsi" w:eastAsiaTheme="minorEastAsia" w:hAnsiTheme="minorHAnsi" w:cstheme="minorBidi"/>
              <w:noProof/>
              <w:sz w:val="22"/>
              <w:szCs w:val="22"/>
            </w:rPr>
          </w:pPr>
          <w:hyperlink w:anchor="_Toc153531908" w:history="1">
            <w:r w:rsidRPr="000B2B7F">
              <w:rPr>
                <w:rStyle w:val="Hypertextovodkaz"/>
                <w:noProof/>
              </w:rPr>
              <w:t>3. Výkonnost odvětví</w:t>
            </w:r>
            <w:r>
              <w:rPr>
                <w:noProof/>
                <w:webHidden/>
              </w:rPr>
              <w:tab/>
            </w:r>
            <w:r>
              <w:rPr>
                <w:noProof/>
                <w:webHidden/>
              </w:rPr>
              <w:fldChar w:fldCharType="begin"/>
            </w:r>
            <w:r>
              <w:rPr>
                <w:noProof/>
                <w:webHidden/>
              </w:rPr>
              <w:instrText xml:space="preserve"> PAGEREF _Toc153531908 \h </w:instrText>
            </w:r>
            <w:r>
              <w:rPr>
                <w:noProof/>
                <w:webHidden/>
              </w:rPr>
            </w:r>
            <w:r>
              <w:rPr>
                <w:noProof/>
                <w:webHidden/>
              </w:rPr>
              <w:fldChar w:fldCharType="separate"/>
            </w:r>
            <w:r>
              <w:rPr>
                <w:noProof/>
                <w:webHidden/>
              </w:rPr>
              <w:t>11</w:t>
            </w:r>
            <w:r>
              <w:rPr>
                <w:noProof/>
                <w:webHidden/>
              </w:rPr>
              <w:fldChar w:fldCharType="end"/>
            </w:r>
          </w:hyperlink>
        </w:p>
        <w:p w14:paraId="3FEDEBCA" w14:textId="4E680FBF" w:rsidR="00C3579B" w:rsidRDefault="00C3579B">
          <w:pPr>
            <w:pStyle w:val="Obsah1"/>
            <w:rPr>
              <w:rFonts w:asciiTheme="minorHAnsi" w:eastAsiaTheme="minorEastAsia" w:hAnsiTheme="minorHAnsi" w:cstheme="minorBidi"/>
              <w:noProof/>
              <w:sz w:val="22"/>
              <w:szCs w:val="22"/>
            </w:rPr>
          </w:pPr>
          <w:hyperlink w:anchor="_Toc153531909" w:history="1">
            <w:r w:rsidRPr="000B2B7F">
              <w:rPr>
                <w:rStyle w:val="Hypertextovodkaz"/>
                <w:noProof/>
              </w:rPr>
              <w:t>4. Vnější vztahy</w:t>
            </w:r>
            <w:r>
              <w:rPr>
                <w:noProof/>
                <w:webHidden/>
              </w:rPr>
              <w:tab/>
            </w:r>
            <w:r>
              <w:rPr>
                <w:noProof/>
                <w:webHidden/>
              </w:rPr>
              <w:fldChar w:fldCharType="begin"/>
            </w:r>
            <w:r>
              <w:rPr>
                <w:noProof/>
                <w:webHidden/>
              </w:rPr>
              <w:instrText xml:space="preserve"> PAGEREF _Toc153531909 \h </w:instrText>
            </w:r>
            <w:r>
              <w:rPr>
                <w:noProof/>
                <w:webHidden/>
              </w:rPr>
            </w:r>
            <w:r>
              <w:rPr>
                <w:noProof/>
                <w:webHidden/>
              </w:rPr>
              <w:fldChar w:fldCharType="separate"/>
            </w:r>
            <w:r>
              <w:rPr>
                <w:noProof/>
                <w:webHidden/>
              </w:rPr>
              <w:t>21</w:t>
            </w:r>
            <w:r>
              <w:rPr>
                <w:noProof/>
                <w:webHidden/>
              </w:rPr>
              <w:fldChar w:fldCharType="end"/>
            </w:r>
          </w:hyperlink>
        </w:p>
        <w:p w14:paraId="257B67F8" w14:textId="4AEEB960" w:rsidR="00C3579B" w:rsidRDefault="00C3579B">
          <w:pPr>
            <w:pStyle w:val="Obsah1"/>
            <w:rPr>
              <w:rFonts w:asciiTheme="minorHAnsi" w:eastAsiaTheme="minorEastAsia" w:hAnsiTheme="minorHAnsi" w:cstheme="minorBidi"/>
              <w:noProof/>
              <w:sz w:val="22"/>
              <w:szCs w:val="22"/>
            </w:rPr>
          </w:pPr>
          <w:hyperlink w:anchor="_Toc153531910" w:history="1">
            <w:r w:rsidRPr="000B2B7F">
              <w:rPr>
                <w:rStyle w:val="Hypertextovodkaz"/>
                <w:noProof/>
              </w:rPr>
              <w:t>5. Ceny</w:t>
            </w:r>
            <w:r>
              <w:rPr>
                <w:noProof/>
                <w:webHidden/>
              </w:rPr>
              <w:tab/>
            </w:r>
            <w:r>
              <w:rPr>
                <w:noProof/>
                <w:webHidden/>
              </w:rPr>
              <w:fldChar w:fldCharType="begin"/>
            </w:r>
            <w:r>
              <w:rPr>
                <w:noProof/>
                <w:webHidden/>
              </w:rPr>
              <w:instrText xml:space="preserve"> PAGEREF _Toc153531910 \h </w:instrText>
            </w:r>
            <w:r>
              <w:rPr>
                <w:noProof/>
                <w:webHidden/>
              </w:rPr>
            </w:r>
            <w:r>
              <w:rPr>
                <w:noProof/>
                <w:webHidden/>
              </w:rPr>
              <w:fldChar w:fldCharType="separate"/>
            </w:r>
            <w:r>
              <w:rPr>
                <w:noProof/>
                <w:webHidden/>
              </w:rPr>
              <w:t>24</w:t>
            </w:r>
            <w:r>
              <w:rPr>
                <w:noProof/>
                <w:webHidden/>
              </w:rPr>
              <w:fldChar w:fldCharType="end"/>
            </w:r>
          </w:hyperlink>
        </w:p>
        <w:p w14:paraId="0A5068CB" w14:textId="236B9252" w:rsidR="00C3579B" w:rsidRDefault="00C3579B">
          <w:pPr>
            <w:pStyle w:val="Obsah1"/>
            <w:rPr>
              <w:rFonts w:asciiTheme="minorHAnsi" w:eastAsiaTheme="minorEastAsia" w:hAnsiTheme="minorHAnsi" w:cstheme="minorBidi"/>
              <w:noProof/>
              <w:sz w:val="22"/>
              <w:szCs w:val="22"/>
            </w:rPr>
          </w:pPr>
          <w:hyperlink w:anchor="_Toc153531911" w:history="1">
            <w:r w:rsidRPr="000B2B7F">
              <w:rPr>
                <w:rStyle w:val="Hypertextovodkaz"/>
                <w:noProof/>
              </w:rPr>
              <w:t>6. Trh práce</w:t>
            </w:r>
            <w:r>
              <w:rPr>
                <w:noProof/>
                <w:webHidden/>
              </w:rPr>
              <w:tab/>
            </w:r>
            <w:r>
              <w:rPr>
                <w:noProof/>
                <w:webHidden/>
              </w:rPr>
              <w:fldChar w:fldCharType="begin"/>
            </w:r>
            <w:r>
              <w:rPr>
                <w:noProof/>
                <w:webHidden/>
              </w:rPr>
              <w:instrText xml:space="preserve"> PAGEREF _Toc153531911 \h </w:instrText>
            </w:r>
            <w:r>
              <w:rPr>
                <w:noProof/>
                <w:webHidden/>
              </w:rPr>
            </w:r>
            <w:r>
              <w:rPr>
                <w:noProof/>
                <w:webHidden/>
              </w:rPr>
              <w:fldChar w:fldCharType="separate"/>
            </w:r>
            <w:r>
              <w:rPr>
                <w:noProof/>
                <w:webHidden/>
              </w:rPr>
              <w:t>30</w:t>
            </w:r>
            <w:r>
              <w:rPr>
                <w:noProof/>
                <w:webHidden/>
              </w:rPr>
              <w:fldChar w:fldCharType="end"/>
            </w:r>
          </w:hyperlink>
        </w:p>
        <w:p w14:paraId="49D0E31A" w14:textId="77D87940" w:rsidR="00C3579B" w:rsidRDefault="00C3579B">
          <w:pPr>
            <w:pStyle w:val="Obsah1"/>
            <w:rPr>
              <w:rFonts w:asciiTheme="minorHAnsi" w:eastAsiaTheme="minorEastAsia" w:hAnsiTheme="minorHAnsi" w:cstheme="minorBidi"/>
              <w:noProof/>
              <w:sz w:val="22"/>
              <w:szCs w:val="22"/>
            </w:rPr>
          </w:pPr>
          <w:hyperlink w:anchor="_Toc153531912" w:history="1">
            <w:r w:rsidRPr="000B2B7F">
              <w:rPr>
                <w:rStyle w:val="Hypertextovodkaz"/>
                <w:noProof/>
              </w:rPr>
              <w:t>7. Měnové podmínky</w:t>
            </w:r>
            <w:r>
              <w:rPr>
                <w:noProof/>
                <w:webHidden/>
              </w:rPr>
              <w:tab/>
            </w:r>
            <w:r>
              <w:rPr>
                <w:noProof/>
                <w:webHidden/>
              </w:rPr>
              <w:fldChar w:fldCharType="begin"/>
            </w:r>
            <w:r>
              <w:rPr>
                <w:noProof/>
                <w:webHidden/>
              </w:rPr>
              <w:instrText xml:space="preserve"> PAGEREF _Toc153531912 \h </w:instrText>
            </w:r>
            <w:r>
              <w:rPr>
                <w:noProof/>
                <w:webHidden/>
              </w:rPr>
            </w:r>
            <w:r>
              <w:rPr>
                <w:noProof/>
                <w:webHidden/>
              </w:rPr>
              <w:fldChar w:fldCharType="separate"/>
            </w:r>
            <w:r>
              <w:rPr>
                <w:noProof/>
                <w:webHidden/>
              </w:rPr>
              <w:t>36</w:t>
            </w:r>
            <w:r>
              <w:rPr>
                <w:noProof/>
                <w:webHidden/>
              </w:rPr>
              <w:fldChar w:fldCharType="end"/>
            </w:r>
          </w:hyperlink>
        </w:p>
        <w:p w14:paraId="6DA52E7D" w14:textId="6DD56781" w:rsidR="00C3579B" w:rsidRDefault="00C3579B">
          <w:pPr>
            <w:pStyle w:val="Obsah1"/>
            <w:rPr>
              <w:rFonts w:asciiTheme="minorHAnsi" w:eastAsiaTheme="minorEastAsia" w:hAnsiTheme="minorHAnsi" w:cstheme="minorBidi"/>
              <w:noProof/>
              <w:sz w:val="22"/>
              <w:szCs w:val="22"/>
            </w:rPr>
          </w:pPr>
          <w:hyperlink w:anchor="_Toc153531913" w:history="1">
            <w:r w:rsidRPr="000B2B7F">
              <w:rPr>
                <w:rStyle w:val="Hypertextovodkaz"/>
                <w:noProof/>
              </w:rPr>
              <w:t>8. Státní rozpočet</w:t>
            </w:r>
            <w:r>
              <w:rPr>
                <w:noProof/>
                <w:webHidden/>
              </w:rPr>
              <w:tab/>
            </w:r>
            <w:r>
              <w:rPr>
                <w:noProof/>
                <w:webHidden/>
              </w:rPr>
              <w:fldChar w:fldCharType="begin"/>
            </w:r>
            <w:r>
              <w:rPr>
                <w:noProof/>
                <w:webHidden/>
              </w:rPr>
              <w:instrText xml:space="preserve"> PAGEREF _Toc153531913 \h </w:instrText>
            </w:r>
            <w:r>
              <w:rPr>
                <w:noProof/>
                <w:webHidden/>
              </w:rPr>
            </w:r>
            <w:r>
              <w:rPr>
                <w:noProof/>
                <w:webHidden/>
              </w:rPr>
              <w:fldChar w:fldCharType="separate"/>
            </w:r>
            <w:r>
              <w:rPr>
                <w:noProof/>
                <w:webHidden/>
              </w:rPr>
              <w:t>38</w:t>
            </w:r>
            <w:r>
              <w:rPr>
                <w:noProof/>
                <w:webHidden/>
              </w:rPr>
              <w:fldChar w:fldCharType="end"/>
            </w:r>
          </w:hyperlink>
        </w:p>
        <w:p w14:paraId="1501AF99" w14:textId="1D279EA5" w:rsidR="00FD6667" w:rsidRDefault="00EF1967" w:rsidP="5E8D8646">
          <w:pPr>
            <w:pStyle w:val="Obsah1"/>
            <w:tabs>
              <w:tab w:val="clear" w:pos="9639"/>
              <w:tab w:val="right" w:leader="dot" w:pos="9630"/>
            </w:tabs>
            <w:rPr>
              <w:rStyle w:val="Hypertextovodkaz"/>
              <w:noProof/>
            </w:rPr>
          </w:pPr>
          <w:r>
            <w:fldChar w:fldCharType="end"/>
          </w:r>
        </w:p>
      </w:sdtContent>
    </w:sdt>
    <w:p w14:paraId="39BB97E5" w14:textId="72E58139" w:rsidR="00867DAB" w:rsidRPr="009110F7" w:rsidRDefault="00867DAB"/>
    <w:p w14:paraId="6CBF0906" w14:textId="77777777" w:rsidR="00003F5C" w:rsidRPr="009110F7" w:rsidRDefault="00003F5C" w:rsidP="00003F5C">
      <w:pPr>
        <w:pStyle w:val="Textpoznpodarou"/>
        <w:jc w:val="both"/>
        <w:rPr>
          <w:rFonts w:cs="Arial"/>
          <w:color w:val="000000"/>
        </w:rPr>
      </w:pPr>
    </w:p>
    <w:p w14:paraId="77CA2D67" w14:textId="77777777" w:rsidR="00003F5C" w:rsidRPr="009110F7" w:rsidRDefault="00003F5C" w:rsidP="00003F5C">
      <w:pPr>
        <w:pStyle w:val="Textpoznpodarou"/>
        <w:jc w:val="both"/>
        <w:rPr>
          <w:rFonts w:cs="Arial"/>
          <w:color w:val="000000"/>
        </w:rPr>
      </w:pPr>
    </w:p>
    <w:p w14:paraId="223CBCEF" w14:textId="77777777" w:rsidR="00003F5C" w:rsidRPr="009110F7" w:rsidRDefault="00003F5C" w:rsidP="00003F5C">
      <w:pPr>
        <w:pStyle w:val="Textpoznpodarou"/>
        <w:jc w:val="both"/>
        <w:rPr>
          <w:rFonts w:cs="Arial"/>
          <w:color w:val="000000"/>
        </w:rPr>
      </w:pPr>
    </w:p>
    <w:p w14:paraId="0F28E1B0" w14:textId="77777777" w:rsidR="00003F5C" w:rsidRPr="009110F7" w:rsidRDefault="00003F5C" w:rsidP="00003F5C">
      <w:pPr>
        <w:pStyle w:val="Textpoznpodarou"/>
        <w:jc w:val="both"/>
        <w:rPr>
          <w:rFonts w:cs="Arial"/>
          <w:color w:val="000000"/>
        </w:rPr>
      </w:pPr>
    </w:p>
    <w:p w14:paraId="2E66CDA4" w14:textId="77777777" w:rsidR="00003F5C" w:rsidRPr="009110F7" w:rsidRDefault="00003F5C" w:rsidP="00003F5C">
      <w:pPr>
        <w:pStyle w:val="Textpoznpodarou"/>
        <w:jc w:val="both"/>
        <w:rPr>
          <w:rFonts w:cs="Arial"/>
          <w:color w:val="000000"/>
        </w:rPr>
      </w:pPr>
    </w:p>
    <w:p w14:paraId="38EBE8F7" w14:textId="77777777" w:rsidR="00003F5C" w:rsidRPr="009110F7" w:rsidRDefault="00003F5C" w:rsidP="00003F5C">
      <w:pPr>
        <w:pStyle w:val="Textpoznpodarou"/>
        <w:jc w:val="both"/>
        <w:rPr>
          <w:rFonts w:cs="Arial"/>
          <w:color w:val="000000"/>
        </w:rPr>
      </w:pPr>
    </w:p>
    <w:p w14:paraId="4D552425" w14:textId="6F4027CD" w:rsidR="00003F5C" w:rsidRPr="009110F7" w:rsidRDefault="00ED0F73" w:rsidP="00003F5C">
      <w:pPr>
        <w:pStyle w:val="Textpoznpodarou"/>
        <w:jc w:val="both"/>
        <w:rPr>
          <w:rFonts w:cs="Arial"/>
          <w:color w:val="000000"/>
        </w:rPr>
      </w:pPr>
      <w:r>
        <w:rPr>
          <w:rFonts w:cs="Arial"/>
          <w:color w:val="000000"/>
        </w:rPr>
        <w:t>Hlavní z</w:t>
      </w:r>
      <w:r w:rsidR="00003F5C" w:rsidRPr="009110F7">
        <w:rPr>
          <w:rFonts w:cs="Arial"/>
          <w:color w:val="000000"/>
        </w:rPr>
        <w:t>droje dat v celé analýze: ČSÚ, MF</w:t>
      </w:r>
      <w:r w:rsidR="00A45489" w:rsidRPr="009110F7">
        <w:rPr>
          <w:rFonts w:cs="Arial"/>
          <w:color w:val="000000"/>
        </w:rPr>
        <w:t> </w:t>
      </w:r>
      <w:r w:rsidR="00003F5C" w:rsidRPr="009110F7">
        <w:rPr>
          <w:rFonts w:cs="Arial"/>
          <w:color w:val="000000"/>
        </w:rPr>
        <w:t xml:space="preserve">ČR, ČNB, MPSV, ČSSZ, </w:t>
      </w:r>
      <w:proofErr w:type="spellStart"/>
      <w:r w:rsidR="00003F5C" w:rsidRPr="009110F7">
        <w:rPr>
          <w:rFonts w:cs="Arial"/>
          <w:color w:val="000000"/>
        </w:rPr>
        <w:t>Eurostat</w:t>
      </w:r>
      <w:proofErr w:type="spellEnd"/>
      <w:r w:rsidR="00003F5C" w:rsidRPr="009110F7">
        <w:rPr>
          <w:rFonts w:cs="Arial"/>
          <w:color w:val="000000"/>
        </w:rPr>
        <w:t>, propočty ČSÚ.</w:t>
      </w:r>
    </w:p>
    <w:p w14:paraId="5658862B" w14:textId="109B05B4" w:rsidR="00003F5C" w:rsidRDefault="00003F5C" w:rsidP="00003F5C">
      <w:pPr>
        <w:pStyle w:val="Textpoznpodarou"/>
        <w:jc w:val="both"/>
        <w:rPr>
          <w:rFonts w:cs="Arial"/>
          <w:color w:val="000000"/>
        </w:rPr>
      </w:pPr>
      <w:r w:rsidRPr="009110F7">
        <w:rPr>
          <w:rFonts w:cs="Arial"/>
          <w:color w:val="000000"/>
        </w:rPr>
        <w:t xml:space="preserve">Poslední informace uváděné v této publikaci </w:t>
      </w:r>
      <w:r w:rsidR="00F57A76" w:rsidRPr="009110F7">
        <w:rPr>
          <w:rFonts w:cs="Arial"/>
          <w:color w:val="000000"/>
        </w:rPr>
        <w:t>pocházejí z</w:t>
      </w:r>
      <w:r w:rsidR="0059684D">
        <w:rPr>
          <w:rFonts w:cs="Arial"/>
          <w:color w:val="000000"/>
        </w:rPr>
        <w:t>e</w:t>
      </w:r>
      <w:r w:rsidR="00D23A99">
        <w:rPr>
          <w:rFonts w:cs="Arial"/>
          <w:color w:val="000000"/>
        </w:rPr>
        <w:t xml:space="preserve"> </w:t>
      </w:r>
      <w:r w:rsidR="0059684D">
        <w:rPr>
          <w:rFonts w:cs="Arial"/>
          <w:color w:val="000000"/>
        </w:rPr>
        <w:t>7</w:t>
      </w:r>
      <w:r w:rsidR="00D23A99">
        <w:rPr>
          <w:rFonts w:cs="Arial"/>
          <w:color w:val="000000"/>
        </w:rPr>
        <w:t xml:space="preserve">. </w:t>
      </w:r>
      <w:r w:rsidR="0059684D">
        <w:rPr>
          <w:rFonts w:cs="Arial"/>
          <w:color w:val="000000"/>
        </w:rPr>
        <w:t>prosince</w:t>
      </w:r>
      <w:r w:rsidR="00D23A99">
        <w:rPr>
          <w:rFonts w:cs="Arial"/>
          <w:color w:val="000000"/>
        </w:rPr>
        <w:t xml:space="preserve"> 202</w:t>
      </w:r>
      <w:r w:rsidR="002E631B">
        <w:rPr>
          <w:rFonts w:cs="Arial"/>
          <w:color w:val="000000"/>
        </w:rPr>
        <w:t>3</w:t>
      </w:r>
      <w:r w:rsidRPr="009110F7">
        <w:rPr>
          <w:rFonts w:cs="Arial"/>
          <w:color w:val="000000"/>
        </w:rPr>
        <w:t>.</w:t>
      </w:r>
    </w:p>
    <w:p w14:paraId="1D1FFA96" w14:textId="77777777" w:rsidR="002F1D56" w:rsidRDefault="002F1D56" w:rsidP="00003F5C">
      <w:pPr>
        <w:pStyle w:val="Textpoznpodarou"/>
        <w:jc w:val="both"/>
        <w:rPr>
          <w:rFonts w:cs="Arial"/>
          <w:color w:val="000000"/>
        </w:rPr>
      </w:pPr>
    </w:p>
    <w:p w14:paraId="6EDD1399" w14:textId="77777777" w:rsidR="002F1D56" w:rsidRPr="002F1D56" w:rsidRDefault="002F1D56" w:rsidP="00003F5C">
      <w:pPr>
        <w:pStyle w:val="Textpoznpodarou"/>
        <w:jc w:val="both"/>
        <w:rPr>
          <w:rFonts w:cs="Arial"/>
        </w:rPr>
      </w:pPr>
    </w:p>
    <w:p w14:paraId="7CD2B948" w14:textId="77777777" w:rsidR="001777BA" w:rsidRPr="00AF7277" w:rsidRDefault="00087F2B" w:rsidP="001777BA">
      <w:pPr>
        <w:pStyle w:val="Nadpis1"/>
      </w:pPr>
      <w:r w:rsidRPr="002F1D56">
        <w:rPr>
          <w:color w:val="auto"/>
        </w:rPr>
        <w:br w:type="page"/>
      </w:r>
      <w:bookmarkStart w:id="1" w:name="_Toc97736114"/>
      <w:bookmarkStart w:id="2" w:name="_Toc444112494"/>
      <w:bookmarkStart w:id="3" w:name="_Toc511215208"/>
      <w:bookmarkStart w:id="4" w:name="_Toc26865017"/>
      <w:bookmarkStart w:id="5" w:name="_Toc74643854"/>
      <w:bookmarkStart w:id="6" w:name="_Toc66719928"/>
      <w:bookmarkStart w:id="7" w:name="_Toc19090676"/>
      <w:bookmarkStart w:id="8" w:name="_Toc58605372"/>
    </w:p>
    <w:p w14:paraId="49EE35AE" w14:textId="77777777" w:rsidR="00B97F3A" w:rsidRPr="00BB4E47" w:rsidRDefault="00B97F3A" w:rsidP="00B97F3A">
      <w:pPr>
        <w:pStyle w:val="Nadpis1"/>
      </w:pPr>
      <w:bookmarkStart w:id="9" w:name="_Toc114134045"/>
      <w:bookmarkStart w:id="10" w:name="_Toc58605374"/>
      <w:bookmarkStart w:id="11" w:name="_Toc66719930"/>
      <w:bookmarkStart w:id="12" w:name="_Toc532558287"/>
      <w:bookmarkStart w:id="13" w:name="_Toc58605375"/>
      <w:bookmarkStart w:id="14" w:name="_Toc82508186"/>
      <w:bookmarkStart w:id="15" w:name="_Toc114134047"/>
      <w:bookmarkStart w:id="16" w:name="_Toc114134048"/>
      <w:bookmarkStart w:id="17" w:name="_Toc97736119"/>
      <w:bookmarkStart w:id="18" w:name="_Toc74643859"/>
      <w:bookmarkStart w:id="19" w:name="_Toc90395915"/>
      <w:bookmarkStart w:id="20" w:name="_Toc98245446"/>
      <w:bookmarkStart w:id="21" w:name="_Toc74643860"/>
      <w:bookmarkStart w:id="22" w:name="_Toc153531906"/>
      <w:bookmarkEnd w:id="1"/>
      <w:bookmarkEnd w:id="2"/>
      <w:bookmarkEnd w:id="3"/>
      <w:bookmarkEnd w:id="4"/>
      <w:bookmarkEnd w:id="5"/>
      <w:bookmarkEnd w:id="6"/>
      <w:bookmarkEnd w:id="7"/>
      <w:bookmarkEnd w:id="8"/>
      <w:r>
        <w:lastRenderedPageBreak/>
        <w:t>1. Shrnutí</w:t>
      </w:r>
      <w:bookmarkEnd w:id="22"/>
    </w:p>
    <w:p w14:paraId="528E28BB" w14:textId="77777777" w:rsidR="00B97F3A" w:rsidRPr="0019123D" w:rsidRDefault="00B97F3A" w:rsidP="00B97F3A">
      <w:pPr>
        <w:pStyle w:val="Normalodrka"/>
        <w:rPr>
          <w:spacing w:val="-4"/>
        </w:rPr>
      </w:pPr>
      <w:r w:rsidRPr="0019123D">
        <w:rPr>
          <w:spacing w:val="-4"/>
        </w:rPr>
        <w:t>Hrubý domácí produkt (HDP) se ve </w:t>
      </w:r>
      <w:r>
        <w:rPr>
          <w:spacing w:val="-4"/>
        </w:rPr>
        <w:t>3</w:t>
      </w:r>
      <w:r w:rsidRPr="0019123D">
        <w:rPr>
          <w:spacing w:val="-4"/>
        </w:rPr>
        <w:t>. čtvrtletí 2023 meziročně snížil o 0,</w:t>
      </w:r>
      <w:r>
        <w:rPr>
          <w:spacing w:val="-4"/>
        </w:rPr>
        <w:t>7</w:t>
      </w:r>
      <w:r w:rsidRPr="0019123D">
        <w:rPr>
          <w:spacing w:val="-4"/>
        </w:rPr>
        <w:t xml:space="preserve"> %</w:t>
      </w:r>
      <w:r w:rsidRPr="0019123D">
        <w:rPr>
          <w:rStyle w:val="Znakapoznpodarou"/>
          <w:spacing w:val="-4"/>
        </w:rPr>
        <w:footnoteReference w:id="1"/>
      </w:r>
      <w:r>
        <w:rPr>
          <w:spacing w:val="-4"/>
        </w:rPr>
        <w:t xml:space="preserve"> a š</w:t>
      </w:r>
      <w:r w:rsidRPr="0019123D">
        <w:rPr>
          <w:spacing w:val="-4"/>
        </w:rPr>
        <w:t>lo</w:t>
      </w:r>
      <w:r>
        <w:rPr>
          <w:spacing w:val="-4"/>
        </w:rPr>
        <w:t xml:space="preserve"> tak </w:t>
      </w:r>
      <w:r w:rsidRPr="0019123D">
        <w:rPr>
          <w:spacing w:val="-4"/>
        </w:rPr>
        <w:t xml:space="preserve">o </w:t>
      </w:r>
      <w:r>
        <w:rPr>
          <w:spacing w:val="-4"/>
        </w:rPr>
        <w:t>třetí</w:t>
      </w:r>
      <w:r w:rsidRPr="0019123D">
        <w:rPr>
          <w:spacing w:val="-4"/>
        </w:rPr>
        <w:t xml:space="preserve"> meziroční pokles v řadě. </w:t>
      </w:r>
      <w:r>
        <w:rPr>
          <w:spacing w:val="-4"/>
        </w:rPr>
        <w:t xml:space="preserve">Ve směru </w:t>
      </w:r>
      <w:r w:rsidRPr="0019123D">
        <w:rPr>
          <w:spacing w:val="-4"/>
        </w:rPr>
        <w:t xml:space="preserve">poklesu </w:t>
      </w:r>
      <w:r>
        <w:rPr>
          <w:spacing w:val="-4"/>
        </w:rPr>
        <w:t>působila</w:t>
      </w:r>
      <w:r w:rsidRPr="0019123D">
        <w:rPr>
          <w:spacing w:val="-4"/>
        </w:rPr>
        <w:t xml:space="preserve"> zejména tvorba zásob a spotřeba domácností. Naproti tomu pozitivně působila vládní spotřeba</w:t>
      </w:r>
      <w:r>
        <w:rPr>
          <w:spacing w:val="-4"/>
        </w:rPr>
        <w:t xml:space="preserve"> a meziročně rostla investiční aktivita</w:t>
      </w:r>
      <w:r w:rsidRPr="0019123D">
        <w:rPr>
          <w:spacing w:val="-4"/>
        </w:rPr>
        <w:t>.</w:t>
      </w:r>
      <w:r>
        <w:rPr>
          <w:spacing w:val="-4"/>
        </w:rPr>
        <w:t xml:space="preserve"> Udržel se také mírný pozitivní příspěvek zahraniční poptávky.</w:t>
      </w:r>
      <w:r w:rsidRPr="0019123D">
        <w:rPr>
          <w:spacing w:val="-4"/>
        </w:rPr>
        <w:t xml:space="preserve"> HDP</w:t>
      </w:r>
      <w:r>
        <w:rPr>
          <w:spacing w:val="-4"/>
        </w:rPr>
        <w:t xml:space="preserve"> mezičtvrtletně klesl o 0,5 %.</w:t>
      </w:r>
      <w:r w:rsidRPr="0019123D">
        <w:rPr>
          <w:spacing w:val="-4"/>
        </w:rPr>
        <w:t xml:space="preserve"> </w:t>
      </w:r>
      <w:r>
        <w:rPr>
          <w:spacing w:val="-4"/>
        </w:rPr>
        <w:t>K poklesu přispěl zejména vývoj kapitálových výdajů – zásob i investiční aktivity. Klesala ale také spotřeba domácností a negativně působila i zahraniční poptávka. Mezičtvrtletně rostla spotřeba vládních institucí.</w:t>
      </w:r>
      <w:r w:rsidRPr="0019123D">
        <w:rPr>
          <w:spacing w:val="-4"/>
        </w:rPr>
        <w:t xml:space="preserve"> Hrubý domácí produkt v EU ve </w:t>
      </w:r>
      <w:r>
        <w:rPr>
          <w:spacing w:val="-4"/>
        </w:rPr>
        <w:t>3</w:t>
      </w:r>
      <w:r w:rsidRPr="0019123D">
        <w:rPr>
          <w:spacing w:val="-4"/>
        </w:rPr>
        <w:t>. čtvrtletí m</w:t>
      </w:r>
      <w:r>
        <w:rPr>
          <w:spacing w:val="-4"/>
        </w:rPr>
        <w:t xml:space="preserve">eziročně rostl </w:t>
      </w:r>
      <w:r w:rsidRPr="0019123D">
        <w:rPr>
          <w:spacing w:val="-4"/>
        </w:rPr>
        <w:t>o</w:t>
      </w:r>
      <w:r>
        <w:rPr>
          <w:spacing w:val="-4"/>
        </w:rPr>
        <w:t> </w:t>
      </w:r>
      <w:r w:rsidRPr="0019123D">
        <w:rPr>
          <w:spacing w:val="-4"/>
        </w:rPr>
        <w:t>0,</w:t>
      </w:r>
      <w:r>
        <w:rPr>
          <w:spacing w:val="-4"/>
        </w:rPr>
        <w:t>1 </w:t>
      </w:r>
      <w:r w:rsidRPr="0019123D">
        <w:rPr>
          <w:spacing w:val="-4"/>
        </w:rPr>
        <w:t>% a mezičtvrtletně stagnoval.</w:t>
      </w:r>
      <w:r>
        <w:rPr>
          <w:spacing w:val="-4"/>
        </w:rPr>
        <w:t xml:space="preserve"> Česko patřilo k menšině zemí EU, kde HDP meziročně klesal a česká ekonomika jako jediná v EU ve 3. čtvrtletí reálně zaostávala za úrovní </w:t>
      </w:r>
      <w:proofErr w:type="spellStart"/>
      <w:r>
        <w:rPr>
          <w:spacing w:val="-4"/>
        </w:rPr>
        <w:t>předpandemického</w:t>
      </w:r>
      <w:proofErr w:type="spellEnd"/>
      <w:r>
        <w:rPr>
          <w:spacing w:val="-4"/>
        </w:rPr>
        <w:t xml:space="preserve"> roku 2019. </w:t>
      </w:r>
    </w:p>
    <w:p w14:paraId="32BD6394" w14:textId="77777777" w:rsidR="00B97F3A" w:rsidRPr="0019123D" w:rsidRDefault="00B97F3A" w:rsidP="00B97F3A">
      <w:pPr>
        <w:pStyle w:val="Normalodrka"/>
      </w:pPr>
      <w:r w:rsidRPr="0019123D">
        <w:t xml:space="preserve">Hrubá přidaná hodnota (HPH) </w:t>
      </w:r>
      <w:r>
        <w:t xml:space="preserve">ve 3. čtvrtletí </w:t>
      </w:r>
      <w:r w:rsidRPr="0019123D">
        <w:t xml:space="preserve">meziročně </w:t>
      </w:r>
      <w:r>
        <w:t>zaostávala o 0,1 %</w:t>
      </w:r>
      <w:r w:rsidRPr="0019123D">
        <w:t xml:space="preserve">. </w:t>
      </w:r>
      <w:r>
        <w:t>Ve směru r</w:t>
      </w:r>
      <w:r w:rsidRPr="0019123D">
        <w:t xml:space="preserve">ůstu </w:t>
      </w:r>
      <w:r>
        <w:t xml:space="preserve">působila řada odvětví služeb, zejména </w:t>
      </w:r>
      <w:r w:rsidRPr="00D26E6B">
        <w:t>informační a komunikační činnost</w:t>
      </w:r>
      <w:r>
        <w:t>i,</w:t>
      </w:r>
      <w:r w:rsidRPr="00D26E6B">
        <w:t xml:space="preserve"> profesní, vědeck</w:t>
      </w:r>
      <w:r>
        <w:t>é</w:t>
      </w:r>
      <w:r w:rsidRPr="00D26E6B">
        <w:t>, technick</w:t>
      </w:r>
      <w:r>
        <w:t>é</w:t>
      </w:r>
      <w:r w:rsidRPr="00D26E6B">
        <w:t xml:space="preserve"> a administrativní činnost</w:t>
      </w:r>
      <w:r>
        <w:t>i nebo</w:t>
      </w:r>
      <w:r w:rsidRPr="00D26E6B">
        <w:t xml:space="preserve"> peněžnictví a pojišťovnictví</w:t>
      </w:r>
      <w:r>
        <w:t xml:space="preserve">. Převážil ale negativní meziroční vývoj v průmyslu včetně </w:t>
      </w:r>
      <w:r w:rsidRPr="0019123D">
        <w:t>zpracovatelsk</w:t>
      </w:r>
      <w:r>
        <w:t>ého</w:t>
      </w:r>
      <w:r w:rsidRPr="0019123D">
        <w:t xml:space="preserve"> průmysl</w:t>
      </w:r>
      <w:r>
        <w:t xml:space="preserve">u, v </w:t>
      </w:r>
      <w:r w:rsidRPr="0019123D">
        <w:t>uskupení obchod, doprava, ubytování a pohostinství</w:t>
      </w:r>
      <w:r>
        <w:t xml:space="preserve"> a ve stavebnictví. M</w:t>
      </w:r>
      <w:r w:rsidRPr="0019123D">
        <w:t>ezičtvrtletně se HPH snížila o 0,</w:t>
      </w:r>
      <w:r>
        <w:t>4 </w:t>
      </w:r>
      <w:r w:rsidRPr="0019123D">
        <w:t xml:space="preserve">%. </w:t>
      </w:r>
      <w:r>
        <w:t xml:space="preserve">Ve většině odvětví HPH klesala, nejvíce </w:t>
      </w:r>
      <w:r w:rsidRPr="00F442E7">
        <w:rPr>
          <w:spacing w:val="-4"/>
        </w:rPr>
        <w:t>ve stavebnictví</w:t>
      </w:r>
      <w:r>
        <w:rPr>
          <w:spacing w:val="-4"/>
        </w:rPr>
        <w:t>,</w:t>
      </w:r>
      <w:r w:rsidRPr="00F442E7">
        <w:rPr>
          <w:spacing w:val="-4"/>
        </w:rPr>
        <w:t xml:space="preserve"> ve veřejné správě a obraně, vzdělávání, zdravotní a sociální péči, ve zpracovatelském průmyslu</w:t>
      </w:r>
      <w:r>
        <w:rPr>
          <w:spacing w:val="-4"/>
        </w:rPr>
        <w:t xml:space="preserve"> a</w:t>
      </w:r>
      <w:r w:rsidRPr="00F442E7">
        <w:rPr>
          <w:spacing w:val="-4"/>
        </w:rPr>
        <w:t xml:space="preserve"> v uskupení obchod, doprava, ubytování a pohostinství</w:t>
      </w:r>
      <w:r>
        <w:rPr>
          <w:spacing w:val="-4"/>
        </w:rPr>
        <w:t>. Ostatní odvětví prakticky stagnovala.</w:t>
      </w:r>
      <w:r w:rsidRPr="0019123D">
        <w:t xml:space="preserve"> </w:t>
      </w:r>
    </w:p>
    <w:p w14:paraId="26A1EFD8" w14:textId="77777777" w:rsidR="00B97F3A" w:rsidRPr="00856AA1" w:rsidRDefault="00B97F3A" w:rsidP="00B97F3A">
      <w:pPr>
        <w:pStyle w:val="Normalodrka"/>
        <w:rPr>
          <w:spacing w:val="-4"/>
        </w:rPr>
      </w:pPr>
      <w:r w:rsidRPr="00856AA1">
        <w:rPr>
          <w:spacing w:val="-4"/>
        </w:rPr>
        <w:t xml:space="preserve">Vývoz zboží a služeb ve </w:t>
      </w:r>
      <w:r>
        <w:rPr>
          <w:spacing w:val="-4"/>
        </w:rPr>
        <w:t>3</w:t>
      </w:r>
      <w:r w:rsidRPr="00856AA1">
        <w:rPr>
          <w:spacing w:val="-4"/>
        </w:rPr>
        <w:t xml:space="preserve">. čtvrtletí reálně meziročně </w:t>
      </w:r>
      <w:r>
        <w:rPr>
          <w:spacing w:val="-4"/>
        </w:rPr>
        <w:t xml:space="preserve">klesl </w:t>
      </w:r>
      <w:r w:rsidRPr="00856AA1">
        <w:rPr>
          <w:spacing w:val="-4"/>
        </w:rPr>
        <w:t xml:space="preserve">o </w:t>
      </w:r>
      <w:r>
        <w:rPr>
          <w:spacing w:val="-4"/>
        </w:rPr>
        <w:t>0</w:t>
      </w:r>
      <w:r w:rsidRPr="00856AA1">
        <w:rPr>
          <w:spacing w:val="-4"/>
        </w:rPr>
        <w:t>,5 %</w:t>
      </w:r>
      <w:r w:rsidRPr="00856AA1">
        <w:rPr>
          <w:rStyle w:val="Znakapoznpodarou"/>
          <w:spacing w:val="-4"/>
        </w:rPr>
        <w:footnoteReference w:id="2"/>
      </w:r>
      <w:r w:rsidRPr="00856AA1">
        <w:rPr>
          <w:spacing w:val="-4"/>
        </w:rPr>
        <w:t xml:space="preserve"> a mezičtvrtletně </w:t>
      </w:r>
      <w:r>
        <w:rPr>
          <w:spacing w:val="-4"/>
        </w:rPr>
        <w:t>se snížil</w:t>
      </w:r>
      <w:r w:rsidRPr="00856AA1">
        <w:rPr>
          <w:spacing w:val="-4"/>
        </w:rPr>
        <w:t xml:space="preserve"> o </w:t>
      </w:r>
      <w:r>
        <w:rPr>
          <w:spacing w:val="-4"/>
        </w:rPr>
        <w:t>1,2</w:t>
      </w:r>
      <w:r w:rsidRPr="00856AA1">
        <w:rPr>
          <w:spacing w:val="-4"/>
        </w:rPr>
        <w:t xml:space="preserve"> %. </w:t>
      </w:r>
      <w:r>
        <w:rPr>
          <w:spacing w:val="-4"/>
        </w:rPr>
        <w:t>I</w:t>
      </w:r>
      <w:r w:rsidRPr="00856AA1">
        <w:rPr>
          <w:spacing w:val="-4"/>
        </w:rPr>
        <w:t xml:space="preserve">mport byl reálně meziročně </w:t>
      </w:r>
      <w:r>
        <w:rPr>
          <w:spacing w:val="-4"/>
        </w:rPr>
        <w:t>nižší o 1,8 %</w:t>
      </w:r>
      <w:r w:rsidRPr="00856AA1">
        <w:rPr>
          <w:spacing w:val="-4"/>
        </w:rPr>
        <w:t xml:space="preserve"> a mezičtvrtletně klesl o 1,</w:t>
      </w:r>
      <w:r>
        <w:rPr>
          <w:spacing w:val="-4"/>
        </w:rPr>
        <w:t>1</w:t>
      </w:r>
      <w:r w:rsidRPr="00856AA1">
        <w:rPr>
          <w:spacing w:val="-4"/>
        </w:rPr>
        <w:t> %. Bilance zahraničního obchodu se zbožím a</w:t>
      </w:r>
      <w:r>
        <w:rPr>
          <w:spacing w:val="-4"/>
        </w:rPr>
        <w:t> </w:t>
      </w:r>
      <w:r w:rsidRPr="00856AA1">
        <w:rPr>
          <w:spacing w:val="-4"/>
        </w:rPr>
        <w:t>službami v běžných cenách dosáhla ve </w:t>
      </w:r>
      <w:r>
        <w:rPr>
          <w:spacing w:val="-4"/>
        </w:rPr>
        <w:t>3</w:t>
      </w:r>
      <w:r w:rsidRPr="00856AA1">
        <w:rPr>
          <w:spacing w:val="-4"/>
        </w:rPr>
        <w:t xml:space="preserve">. čtvrtletí přebytku </w:t>
      </w:r>
      <w:r>
        <w:rPr>
          <w:spacing w:val="-4"/>
        </w:rPr>
        <w:t>91,5</w:t>
      </w:r>
      <w:r w:rsidRPr="00856AA1">
        <w:rPr>
          <w:spacing w:val="-4"/>
        </w:rPr>
        <w:t> mld. korun</w:t>
      </w:r>
      <w:r>
        <w:rPr>
          <w:spacing w:val="-4"/>
        </w:rPr>
        <w:t xml:space="preserve"> a ten se tak meziročně zlepšil </w:t>
      </w:r>
      <w:r w:rsidRPr="00856AA1">
        <w:rPr>
          <w:spacing w:val="-4"/>
        </w:rPr>
        <w:t>o</w:t>
      </w:r>
      <w:r>
        <w:rPr>
          <w:spacing w:val="-4"/>
        </w:rPr>
        <w:t> 60,1</w:t>
      </w:r>
      <w:r w:rsidRPr="00856AA1">
        <w:rPr>
          <w:spacing w:val="-4"/>
        </w:rPr>
        <w:t xml:space="preserve"> mld. K meziročnímu zlepšení bilance obchodu se zbožím nejvíce přispívalo zmírnění deficitu obchodu s ropou a zemním plynem a</w:t>
      </w:r>
      <w:r>
        <w:rPr>
          <w:spacing w:val="-4"/>
        </w:rPr>
        <w:t xml:space="preserve"> v menší míře </w:t>
      </w:r>
      <w:r w:rsidRPr="00856AA1">
        <w:rPr>
          <w:spacing w:val="-4"/>
        </w:rPr>
        <w:t>zlepšení přebytku zahraničního obchodu s motorovými vozidly</w:t>
      </w:r>
      <w:r>
        <w:rPr>
          <w:spacing w:val="-4"/>
        </w:rPr>
        <w:t xml:space="preserve"> nebo základními kovy</w:t>
      </w:r>
      <w:r w:rsidRPr="00856AA1">
        <w:rPr>
          <w:spacing w:val="-4"/>
        </w:rPr>
        <w:t xml:space="preserve">. </w:t>
      </w:r>
      <w:r>
        <w:rPr>
          <w:spacing w:val="-4"/>
        </w:rPr>
        <w:t>Z</w:t>
      </w:r>
      <w:r w:rsidRPr="00856AA1">
        <w:rPr>
          <w:spacing w:val="-4"/>
        </w:rPr>
        <w:t>horš</w:t>
      </w:r>
      <w:r>
        <w:rPr>
          <w:spacing w:val="-4"/>
        </w:rPr>
        <w:t>ovala se b</w:t>
      </w:r>
      <w:r w:rsidRPr="00856AA1">
        <w:rPr>
          <w:spacing w:val="-4"/>
        </w:rPr>
        <w:t>ilance obchodu s elektřinou, plynem, párou a klimatizovaným vzduchem.</w:t>
      </w:r>
    </w:p>
    <w:p w14:paraId="2D7B0B76" w14:textId="77777777" w:rsidR="00B97F3A" w:rsidRPr="00EC189D" w:rsidRDefault="00B97F3A" w:rsidP="00B97F3A">
      <w:pPr>
        <w:pStyle w:val="Normalodrka"/>
        <w:rPr>
          <w:spacing w:val="-4"/>
        </w:rPr>
      </w:pPr>
      <w:r w:rsidRPr="00EC189D">
        <w:rPr>
          <w:spacing w:val="-4"/>
        </w:rPr>
        <w:t>Celková cenová hladina ve </w:t>
      </w:r>
      <w:r>
        <w:rPr>
          <w:spacing w:val="-4"/>
        </w:rPr>
        <w:t>3</w:t>
      </w:r>
      <w:r w:rsidRPr="00EC189D">
        <w:rPr>
          <w:spacing w:val="-4"/>
        </w:rPr>
        <w:t xml:space="preserve">. čtvrtletí (podle deflátoru HDP) meziročně vzrostla o </w:t>
      </w:r>
      <w:r>
        <w:rPr>
          <w:spacing w:val="-4"/>
        </w:rPr>
        <w:t>7,4</w:t>
      </w:r>
      <w:r w:rsidRPr="00EC189D">
        <w:rPr>
          <w:spacing w:val="-4"/>
        </w:rPr>
        <w:t xml:space="preserve"> % a mezičtvrtletně byla vyšší o </w:t>
      </w:r>
      <w:r>
        <w:rPr>
          <w:spacing w:val="-4"/>
        </w:rPr>
        <w:t xml:space="preserve">0,8 </w:t>
      </w:r>
      <w:r w:rsidRPr="00EC189D">
        <w:rPr>
          <w:spacing w:val="-4"/>
        </w:rPr>
        <w:t xml:space="preserve">%. Meziroční růst spotřebitelských cen ve </w:t>
      </w:r>
      <w:r>
        <w:rPr>
          <w:spacing w:val="-4"/>
        </w:rPr>
        <w:t>3</w:t>
      </w:r>
      <w:r w:rsidRPr="00EC189D">
        <w:rPr>
          <w:spacing w:val="-4"/>
        </w:rPr>
        <w:t>. kvartálu</w:t>
      </w:r>
      <w:r>
        <w:rPr>
          <w:spacing w:val="-4"/>
        </w:rPr>
        <w:t xml:space="preserve"> dál zpomalil</w:t>
      </w:r>
      <w:r w:rsidRPr="00EC189D">
        <w:rPr>
          <w:spacing w:val="-4"/>
        </w:rPr>
        <w:t xml:space="preserve"> na </w:t>
      </w:r>
      <w:r>
        <w:rPr>
          <w:spacing w:val="-4"/>
        </w:rPr>
        <w:t>8,0 %</w:t>
      </w:r>
      <w:r w:rsidRPr="00EC189D">
        <w:rPr>
          <w:spacing w:val="-4"/>
        </w:rPr>
        <w:t xml:space="preserve"> a mezičtvrtletně byly ceny vyšší o 0,</w:t>
      </w:r>
      <w:r>
        <w:rPr>
          <w:spacing w:val="-4"/>
        </w:rPr>
        <w:t>7</w:t>
      </w:r>
      <w:r w:rsidRPr="00EC189D">
        <w:rPr>
          <w:spacing w:val="-4"/>
        </w:rPr>
        <w:t xml:space="preserve"> %.</w:t>
      </w:r>
      <w:r>
        <w:rPr>
          <w:spacing w:val="-4"/>
        </w:rPr>
        <w:t xml:space="preserve"> </w:t>
      </w:r>
      <w:r>
        <w:t>Zpomalení meziroční dynamiky bylo ovlivněno hlavně vývojem cen potravin a nealkoholických nápojů a bydlení, vody, energie a paliv. Zpomaloval ale růst cen i v dalších oddílech spotřebního koše. Klesaly ceny dopravy. Dál se snižovaly</w:t>
      </w:r>
      <w:r w:rsidRPr="00EC189D">
        <w:rPr>
          <w:spacing w:val="-4"/>
        </w:rPr>
        <w:t xml:space="preserve"> nabídkové i realizované ceny bytů. Zmírnil se meziroční růst cen průmyslových výrobců (</w:t>
      </w:r>
      <w:r>
        <w:rPr>
          <w:spacing w:val="-4"/>
        </w:rPr>
        <w:t>1,3 %</w:t>
      </w:r>
      <w:r w:rsidRPr="00EC189D">
        <w:rPr>
          <w:spacing w:val="-4"/>
        </w:rPr>
        <w:t xml:space="preserve">) a </w:t>
      </w:r>
      <w:r>
        <w:rPr>
          <w:spacing w:val="-4"/>
        </w:rPr>
        <w:t xml:space="preserve">prohloubil se pokles </w:t>
      </w:r>
      <w:r w:rsidRPr="00EC189D">
        <w:rPr>
          <w:spacing w:val="-4"/>
        </w:rPr>
        <w:t xml:space="preserve">cen zemědělských výrobců </w:t>
      </w:r>
      <w:r>
        <w:rPr>
          <w:spacing w:val="-4"/>
        </w:rPr>
        <w:br/>
      </w:r>
      <w:r w:rsidRPr="00EC189D">
        <w:rPr>
          <w:spacing w:val="-4"/>
        </w:rPr>
        <w:t>(</w:t>
      </w:r>
      <w:r>
        <w:rPr>
          <w:spacing w:val="-4"/>
        </w:rPr>
        <w:t>−14,7</w:t>
      </w:r>
      <w:r w:rsidRPr="00EC189D">
        <w:rPr>
          <w:spacing w:val="-4"/>
        </w:rPr>
        <w:t xml:space="preserve"> %)</w:t>
      </w:r>
      <w:r>
        <w:rPr>
          <w:spacing w:val="-4"/>
        </w:rPr>
        <w:t>.</w:t>
      </w:r>
    </w:p>
    <w:p w14:paraId="6473671C" w14:textId="77777777" w:rsidR="00B97F3A" w:rsidRPr="004D17A6" w:rsidRDefault="00B97F3A" w:rsidP="00B97F3A">
      <w:pPr>
        <w:pStyle w:val="Normalodrka"/>
        <w:rPr>
          <w:spacing w:val="-4"/>
        </w:rPr>
      </w:pPr>
      <w:proofErr w:type="spellStart"/>
      <w:r w:rsidRPr="004D17A6">
        <w:rPr>
          <w:spacing w:val="-4"/>
        </w:rPr>
        <w:t>Měnověpolitické</w:t>
      </w:r>
      <w:proofErr w:type="spellEnd"/>
      <w:r w:rsidRPr="004D17A6">
        <w:rPr>
          <w:spacing w:val="-4"/>
        </w:rPr>
        <w:t xml:space="preserve"> úrokové sazby zůstaly ve </w:t>
      </w:r>
      <w:r>
        <w:rPr>
          <w:spacing w:val="-4"/>
        </w:rPr>
        <w:t>3</w:t>
      </w:r>
      <w:r w:rsidRPr="004D17A6">
        <w:rPr>
          <w:spacing w:val="-4"/>
        </w:rPr>
        <w:t xml:space="preserve">. čtvrtletí na stejné úrovni, jakou měly od začátku druhé poloviny roku 2022. </w:t>
      </w:r>
      <w:r>
        <w:rPr>
          <w:spacing w:val="-4"/>
        </w:rPr>
        <w:t xml:space="preserve">Zejména krátkodobé </w:t>
      </w:r>
      <w:r w:rsidRPr="004D17A6">
        <w:rPr>
          <w:spacing w:val="-4"/>
        </w:rPr>
        <w:t>tržní</w:t>
      </w:r>
      <w:r>
        <w:rPr>
          <w:spacing w:val="-4"/>
        </w:rPr>
        <w:t xml:space="preserve"> úrokové</w:t>
      </w:r>
      <w:r w:rsidRPr="004D17A6">
        <w:rPr>
          <w:spacing w:val="-4"/>
        </w:rPr>
        <w:t xml:space="preserve"> sazb</w:t>
      </w:r>
      <w:r>
        <w:rPr>
          <w:spacing w:val="-4"/>
        </w:rPr>
        <w:t>y tak zůstaly stabilní</w:t>
      </w:r>
      <w:r w:rsidRPr="004D17A6">
        <w:rPr>
          <w:spacing w:val="-4"/>
        </w:rPr>
        <w:t>. Neměnné byly úrokové sazby u</w:t>
      </w:r>
      <w:r>
        <w:rPr>
          <w:spacing w:val="-4"/>
        </w:rPr>
        <w:t> </w:t>
      </w:r>
      <w:r w:rsidRPr="004D17A6">
        <w:rPr>
          <w:spacing w:val="-4"/>
        </w:rPr>
        <w:t xml:space="preserve">spotřebitelských úvěrů, zatímco v případě úvěrů na bydlení dál rostly. </w:t>
      </w:r>
    </w:p>
    <w:p w14:paraId="3A4794AF" w14:textId="77777777" w:rsidR="00B97F3A" w:rsidRPr="005F7B79" w:rsidRDefault="00B97F3A" w:rsidP="00B97F3A">
      <w:pPr>
        <w:pStyle w:val="Normalodrka"/>
        <w:rPr>
          <w:spacing w:val="-4"/>
        </w:rPr>
      </w:pPr>
      <w:r w:rsidRPr="005F7B79">
        <w:rPr>
          <w:spacing w:val="-4"/>
        </w:rPr>
        <w:t>Celková zaměstnanost</w:t>
      </w:r>
      <w:r w:rsidRPr="005F7B79">
        <w:rPr>
          <w:rStyle w:val="Znakapoznpodarou"/>
          <w:spacing w:val="-4"/>
        </w:rPr>
        <w:footnoteReference w:id="3"/>
      </w:r>
      <w:r w:rsidRPr="005F7B79">
        <w:rPr>
          <w:spacing w:val="-4"/>
        </w:rPr>
        <w:t xml:space="preserve"> ve </w:t>
      </w:r>
      <w:r>
        <w:rPr>
          <w:spacing w:val="-4"/>
        </w:rPr>
        <w:t>3</w:t>
      </w:r>
      <w:r w:rsidRPr="005F7B79">
        <w:rPr>
          <w:spacing w:val="-4"/>
        </w:rPr>
        <w:t>. čtvrtletí meziročně vzrostla o 0,</w:t>
      </w:r>
      <w:r>
        <w:rPr>
          <w:spacing w:val="-4"/>
        </w:rPr>
        <w:t>4</w:t>
      </w:r>
      <w:r w:rsidRPr="005F7B79">
        <w:rPr>
          <w:spacing w:val="-4"/>
        </w:rPr>
        <w:t xml:space="preserve"> % a mezičtvrtletně</w:t>
      </w:r>
      <w:r>
        <w:rPr>
          <w:spacing w:val="-4"/>
        </w:rPr>
        <w:t xml:space="preserve"> klesla o 0,7</w:t>
      </w:r>
      <w:r w:rsidRPr="005F7B79">
        <w:rPr>
          <w:spacing w:val="-4"/>
        </w:rPr>
        <w:t xml:space="preserve"> %. Obecná míra nezaměstnanosti </w:t>
      </w:r>
      <w:r>
        <w:rPr>
          <w:spacing w:val="-4"/>
        </w:rPr>
        <w:t xml:space="preserve">pokračovala v mírné růstové tendenci a v říjnu dosáhla 3,0 %. </w:t>
      </w:r>
      <w:r w:rsidRPr="005F7B79">
        <w:rPr>
          <w:spacing w:val="-4"/>
        </w:rPr>
        <w:t>Průměrná hrubá měsíční nominální mzda ve </w:t>
      </w:r>
      <w:r>
        <w:rPr>
          <w:spacing w:val="-4"/>
        </w:rPr>
        <w:t>3</w:t>
      </w:r>
      <w:r w:rsidRPr="005F7B79">
        <w:rPr>
          <w:spacing w:val="-4"/>
        </w:rPr>
        <w:t xml:space="preserve">. čtvrtletí nominálně meziročně vzrostla o </w:t>
      </w:r>
      <w:r>
        <w:rPr>
          <w:spacing w:val="-4"/>
        </w:rPr>
        <w:t xml:space="preserve">7,1 </w:t>
      </w:r>
      <w:r w:rsidRPr="005F7B79">
        <w:rPr>
          <w:spacing w:val="-4"/>
        </w:rPr>
        <w:t xml:space="preserve">% a dosáhla </w:t>
      </w:r>
      <w:r>
        <w:rPr>
          <w:spacing w:val="-4"/>
        </w:rPr>
        <w:t xml:space="preserve">42 658 </w:t>
      </w:r>
      <w:r w:rsidRPr="005F7B79">
        <w:rPr>
          <w:spacing w:val="-4"/>
        </w:rPr>
        <w:t xml:space="preserve">korun. Reálný propad </w:t>
      </w:r>
      <w:r>
        <w:rPr>
          <w:spacing w:val="-4"/>
        </w:rPr>
        <w:t xml:space="preserve">se </w:t>
      </w:r>
      <w:r w:rsidRPr="005F7B79">
        <w:rPr>
          <w:spacing w:val="-4"/>
        </w:rPr>
        <w:t xml:space="preserve">zmírnil na </w:t>
      </w:r>
      <w:r>
        <w:rPr>
          <w:spacing w:val="-4"/>
        </w:rPr>
        <w:t>0,8</w:t>
      </w:r>
      <w:r w:rsidRPr="005F7B79">
        <w:rPr>
          <w:spacing w:val="-4"/>
        </w:rPr>
        <w:t xml:space="preserve"> %. Průměrná mzda</w:t>
      </w:r>
      <w:r>
        <w:rPr>
          <w:spacing w:val="-4"/>
        </w:rPr>
        <w:t xml:space="preserve"> stále</w:t>
      </w:r>
      <w:r w:rsidRPr="005F7B79">
        <w:rPr>
          <w:spacing w:val="-4"/>
        </w:rPr>
        <w:t xml:space="preserve"> reálně klesala v</w:t>
      </w:r>
      <w:r>
        <w:rPr>
          <w:spacing w:val="-4"/>
        </w:rPr>
        <w:t>e</w:t>
      </w:r>
      <w:r w:rsidRPr="005F7B79">
        <w:rPr>
          <w:spacing w:val="-4"/>
        </w:rPr>
        <w:t xml:space="preserve"> většině odvětví. Mezičtvrtletní nominální navýšení průměrné mzdy činilo 1,5 %.</w:t>
      </w:r>
    </w:p>
    <w:p w14:paraId="671FCC8C" w14:textId="77777777" w:rsidR="00B97F3A" w:rsidRPr="004D17A6" w:rsidRDefault="00B97F3A" w:rsidP="00B97F3A">
      <w:pPr>
        <w:pStyle w:val="Normalodrka"/>
        <w:spacing w:after="0"/>
      </w:pPr>
      <w:r w:rsidRPr="004D17A6">
        <w:t xml:space="preserve">Schodek hospodaření státního rozpočtu </w:t>
      </w:r>
      <w:r>
        <w:t xml:space="preserve">za </w:t>
      </w:r>
      <w:r w:rsidRPr="004D17A6">
        <w:t>1.</w:t>
      </w:r>
      <w:r>
        <w:t xml:space="preserve"> až 3. čtvrtletí dosáhl</w:t>
      </w:r>
      <w:r w:rsidRPr="004D17A6">
        <w:t xml:space="preserve"> </w:t>
      </w:r>
      <w:r>
        <w:t>180,7</w:t>
      </w:r>
      <w:r w:rsidRPr="004D17A6">
        <w:t xml:space="preserve"> mld. korun. </w:t>
      </w:r>
      <w:r w:rsidRPr="008F418F">
        <w:t xml:space="preserve">Celkové příjmy meziročně vzrostly o rovných 23 % a mírně předčily rozpočtové očekávání. K růstu přispěly jak daňové příjmy bez pojistného, tak nedaňové a kapitálové příjmy i přijaté transfery. </w:t>
      </w:r>
      <w:r>
        <w:t>T</w:t>
      </w:r>
      <w:r w:rsidRPr="008F418F">
        <w:t>empo</w:t>
      </w:r>
      <w:r>
        <w:t xml:space="preserve"> výběru pojistného </w:t>
      </w:r>
      <w:r w:rsidRPr="008F418F">
        <w:t xml:space="preserve">vlivem mírného ochlazování trhu práce </w:t>
      </w:r>
      <w:r>
        <w:t xml:space="preserve">během roku </w:t>
      </w:r>
      <w:r w:rsidRPr="008F418F">
        <w:t>postupně sláblo</w:t>
      </w:r>
      <w:r>
        <w:t xml:space="preserve">. Celkové </w:t>
      </w:r>
      <w:r w:rsidRPr="008F418F">
        <w:rPr>
          <w:spacing w:val="-4"/>
        </w:rPr>
        <w:t>výdaj</w:t>
      </w:r>
      <w:r>
        <w:rPr>
          <w:spacing w:val="-4"/>
        </w:rPr>
        <w:t xml:space="preserve">e se od začátku roku meziročně zvýšily o </w:t>
      </w:r>
      <w:r w:rsidRPr="008F418F">
        <w:rPr>
          <w:spacing w:val="-4"/>
        </w:rPr>
        <w:t>12,4 %</w:t>
      </w:r>
      <w:r>
        <w:rPr>
          <w:spacing w:val="-4"/>
        </w:rPr>
        <w:t>.</w:t>
      </w:r>
      <w:r w:rsidRPr="008F418F">
        <w:rPr>
          <w:spacing w:val="-4"/>
        </w:rPr>
        <w:t xml:space="preserve"> Do</w:t>
      </w:r>
      <w:r>
        <w:rPr>
          <w:spacing w:val="-4"/>
        </w:rPr>
        <w:t xml:space="preserve"> jejich</w:t>
      </w:r>
      <w:r w:rsidRPr="008F418F">
        <w:rPr>
          <w:spacing w:val="-4"/>
        </w:rPr>
        <w:t xml:space="preserve"> růstu se promítala jak pomoc státu související s vysokými cenami energií, tak dopady pozvolna doznívající vysoké inflace.</w:t>
      </w:r>
    </w:p>
    <w:p w14:paraId="49F701EE" w14:textId="77777777" w:rsidR="00B97F3A" w:rsidRPr="00C10805" w:rsidRDefault="00B97F3A" w:rsidP="00B97F3A">
      <w:pPr>
        <w:pStyle w:val="Normalodrka"/>
        <w:numPr>
          <w:ilvl w:val="0"/>
          <w:numId w:val="0"/>
        </w:numPr>
        <w:spacing w:after="0"/>
        <w:rPr>
          <w:b/>
          <w:sz w:val="2"/>
          <w:szCs w:val="2"/>
        </w:rPr>
      </w:pPr>
    </w:p>
    <w:p w14:paraId="2411F6F5" w14:textId="77777777" w:rsidR="00B97F3A" w:rsidRPr="001C3855" w:rsidRDefault="00B97F3A" w:rsidP="00B97F3A">
      <w:pPr>
        <w:pStyle w:val="Nadpis11"/>
        <w:rPr>
          <w:sz w:val="2"/>
          <w:szCs w:val="2"/>
        </w:rPr>
      </w:pPr>
    </w:p>
    <w:p w14:paraId="603BD345" w14:textId="77777777" w:rsidR="00B97F3A" w:rsidRPr="001C3855" w:rsidRDefault="00B97F3A" w:rsidP="00B97F3A">
      <w:pPr>
        <w:pStyle w:val="Nadpis11"/>
        <w:rPr>
          <w:sz w:val="2"/>
          <w:szCs w:val="2"/>
        </w:rPr>
      </w:pPr>
    </w:p>
    <w:p w14:paraId="3150E3D3" w14:textId="198C5C5E" w:rsidR="00BC223A" w:rsidRPr="00B73FE8" w:rsidRDefault="000D7C6F" w:rsidP="00B73FE8">
      <w:pPr>
        <w:pStyle w:val="Normalodrka"/>
        <w:numPr>
          <w:ilvl w:val="0"/>
          <w:numId w:val="0"/>
        </w:numPr>
        <w:spacing w:after="0"/>
        <w:rPr>
          <w:spacing w:val="-4"/>
        </w:rPr>
      </w:pPr>
      <w:r w:rsidRPr="000D7C6F">
        <w:rPr>
          <w:noProof/>
        </w:rPr>
        <w:drawing>
          <wp:inline distT="0" distB="0" distL="0" distR="0" wp14:anchorId="0618EFD1" wp14:editId="599A37EE">
            <wp:extent cx="5857875" cy="8867775"/>
            <wp:effectExtent l="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8867775"/>
                    </a:xfrm>
                    <a:prstGeom prst="rect">
                      <a:avLst/>
                    </a:prstGeom>
                    <a:noFill/>
                    <a:ln>
                      <a:noFill/>
                    </a:ln>
                  </pic:spPr>
                </pic:pic>
              </a:graphicData>
            </a:graphic>
          </wp:inline>
        </w:drawing>
      </w:r>
    </w:p>
    <w:p w14:paraId="35EA198A" w14:textId="56BFF104" w:rsidR="00993ECA" w:rsidRPr="00C10805" w:rsidRDefault="00993ECA" w:rsidP="00993ECA">
      <w:pPr>
        <w:pStyle w:val="Normalodrka"/>
        <w:numPr>
          <w:ilvl w:val="0"/>
          <w:numId w:val="0"/>
        </w:numPr>
        <w:spacing w:after="0"/>
        <w:rPr>
          <w:b/>
          <w:sz w:val="2"/>
          <w:szCs w:val="2"/>
        </w:rPr>
      </w:pPr>
    </w:p>
    <w:p w14:paraId="755B8C37" w14:textId="77777777" w:rsidR="005E53DC" w:rsidRPr="009110F7" w:rsidRDefault="005E53DC" w:rsidP="005E53DC">
      <w:pPr>
        <w:pStyle w:val="Nadpis1"/>
      </w:pPr>
      <w:bookmarkStart w:id="23" w:name="_Toc145318531"/>
      <w:bookmarkStart w:id="24" w:name="_Toc137233026"/>
      <w:bookmarkStart w:id="25" w:name="_Toc130286019"/>
      <w:bookmarkStart w:id="26" w:name="_Toc114134050"/>
      <w:bookmarkStart w:id="27" w:name="_Toc121993822"/>
      <w:bookmarkStart w:id="28" w:name="_Toc153531907"/>
      <w:bookmarkEnd w:id="9"/>
      <w:bookmarkEnd w:id="10"/>
      <w:bookmarkEnd w:id="11"/>
      <w:bookmarkEnd w:id="12"/>
      <w:bookmarkEnd w:id="13"/>
      <w:bookmarkEnd w:id="14"/>
      <w:bookmarkEnd w:id="15"/>
      <w:bookmarkEnd w:id="16"/>
      <w:bookmarkEnd w:id="17"/>
      <w:bookmarkEnd w:id="18"/>
      <w:bookmarkEnd w:id="19"/>
      <w:bookmarkEnd w:id="20"/>
      <w:bookmarkEnd w:id="21"/>
      <w:r>
        <w:lastRenderedPageBreak/>
        <w:t>2. Souhrnná výkonnost</w:t>
      </w:r>
      <w:bookmarkEnd w:id="23"/>
      <w:bookmarkEnd w:id="28"/>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5E53DC" w:rsidRPr="009110F7" w14:paraId="0E450776" w14:textId="77777777" w:rsidTr="08AB0269">
        <w:trPr>
          <w:trHeight w:val="145"/>
        </w:trPr>
        <w:tc>
          <w:tcPr>
            <w:tcW w:w="1806" w:type="dxa"/>
            <w:shd w:val="clear" w:color="auto" w:fill="auto"/>
            <w:tcMar>
              <w:left w:w="0" w:type="dxa"/>
            </w:tcMar>
          </w:tcPr>
          <w:p w14:paraId="541F02E1" w14:textId="77777777" w:rsidR="005E53DC" w:rsidRDefault="005E53DC" w:rsidP="00EF1967">
            <w:pPr>
              <w:pStyle w:val="Marginlie"/>
            </w:pPr>
            <w:r>
              <w:t xml:space="preserve">Česká ekonomika ve </w:t>
            </w:r>
            <w:r>
              <w:br/>
              <w:t>3. čtvrtletí zpomalovala.</w:t>
            </w:r>
          </w:p>
        </w:tc>
        <w:tc>
          <w:tcPr>
            <w:tcW w:w="223" w:type="dxa"/>
            <w:shd w:val="clear" w:color="auto" w:fill="auto"/>
            <w:tcMar>
              <w:left w:w="0" w:type="dxa"/>
            </w:tcMar>
          </w:tcPr>
          <w:p w14:paraId="44BE56F7" w14:textId="77777777" w:rsidR="005E53DC" w:rsidRDefault="005E53DC" w:rsidP="00EF1967">
            <w:pPr>
              <w:pStyle w:val="Textpoznpodarou"/>
              <w:jc w:val="both"/>
              <w:rPr>
                <w:spacing w:val="-4"/>
              </w:rPr>
            </w:pPr>
          </w:p>
        </w:tc>
        <w:tc>
          <w:tcPr>
            <w:tcW w:w="7610" w:type="dxa"/>
            <w:shd w:val="clear" w:color="auto" w:fill="auto"/>
            <w:tcMar>
              <w:left w:w="0" w:type="dxa"/>
            </w:tcMar>
          </w:tcPr>
          <w:p w14:paraId="551B2AC7" w14:textId="77777777" w:rsidR="005E53DC" w:rsidRPr="00014ED0" w:rsidRDefault="005E53DC" w:rsidP="00EF1967">
            <w:pPr>
              <w:rPr>
                <w:spacing w:val="-2"/>
              </w:rPr>
            </w:pPr>
            <w:r>
              <w:rPr>
                <w:spacing w:val="-2"/>
              </w:rPr>
              <w:t>Česká ekonomika ve 3. čtvrtletí 2023 zpomalovala. Hrubý domácí produkt (HDP) meziročně zaostával o 0,7 %</w:t>
            </w:r>
            <w:r w:rsidRPr="00014ED0">
              <w:rPr>
                <w:rStyle w:val="Znakapoznpodarou"/>
                <w:rFonts w:cs="Arial"/>
                <w:spacing w:val="-2"/>
              </w:rPr>
              <w:footnoteReference w:id="4"/>
            </w:r>
            <w:r>
              <w:rPr>
                <w:spacing w:val="-2"/>
              </w:rPr>
              <w:t xml:space="preserve"> a klesl tak potřetí v řadě. Ve směru meziročního poklesu HDP působila zejména změna zásob a spotřeba domácností. Naopak stabilní meziroční přírůstek si držela vládní spotřeba a rostly také investice. K meziročnímu růstu HDP stále mírně pozitivně přispívala také zahraniční poptávka, její vliv ale ve srovnání s předchozími čtyřmi kvartály výrazně oslabil. Mezičtvrtletně byl HDP nižší o 0,5 %. Ve směru poklesu působily zejména výdaje na tvorbu hrubého kapitálu – negativní příspěvek měla změna zásob i investice. Mírně negativně se projevila i zahraniční poptávka, která tak po více než roce přestala vyvažovat propad domácí poptávky. Především spotřeba vládních institucí ovlivnila výsledný mírný mezičtvrtletní růst spotřeby – u domácností po přírůstku ze 2. kvartálu spotřeba opět klesla. Údaje o HDP v cenách roku 2015 ukazují, že ve 3. čtvrtletí 2023 HDP zaostával za úrovní stejného období roku 2019. Nejblíže k výstupu nad </w:t>
            </w:r>
            <w:proofErr w:type="spellStart"/>
            <w:r>
              <w:rPr>
                <w:spacing w:val="-2"/>
              </w:rPr>
              <w:t>předpandemickou</w:t>
            </w:r>
            <w:proofErr w:type="spellEnd"/>
            <w:r>
              <w:rPr>
                <w:spacing w:val="-2"/>
              </w:rPr>
              <w:t xml:space="preserve"> úroveň měl HDP ve 2. čtvrtletí 2022 a od té doby česká ekonomika klesá.</w:t>
            </w:r>
          </w:p>
        </w:tc>
      </w:tr>
      <w:tr w:rsidR="005E53DC" w:rsidRPr="009110F7" w14:paraId="4806C12D" w14:textId="77777777" w:rsidTr="08AB0269">
        <w:trPr>
          <w:trHeight w:val="170"/>
        </w:trPr>
        <w:tc>
          <w:tcPr>
            <w:tcW w:w="1806" w:type="dxa"/>
            <w:vMerge w:val="restart"/>
            <w:shd w:val="clear" w:color="auto" w:fill="auto"/>
            <w:tcMar>
              <w:left w:w="0" w:type="dxa"/>
            </w:tcMar>
          </w:tcPr>
          <w:p w14:paraId="093BF451" w14:textId="77777777" w:rsidR="005E53DC" w:rsidRDefault="005E53DC" w:rsidP="00EF1967">
            <w:pPr>
              <w:pStyle w:val="Marginlie"/>
            </w:pPr>
          </w:p>
        </w:tc>
        <w:tc>
          <w:tcPr>
            <w:tcW w:w="223" w:type="dxa"/>
            <w:vMerge w:val="restart"/>
            <w:shd w:val="clear" w:color="auto" w:fill="auto"/>
            <w:tcMar>
              <w:left w:w="0" w:type="dxa"/>
            </w:tcMar>
          </w:tcPr>
          <w:p w14:paraId="5C186E9D" w14:textId="77777777" w:rsidR="005E53DC" w:rsidRDefault="005E53DC" w:rsidP="00EF1967">
            <w:pPr>
              <w:pStyle w:val="Textpoznpodarou"/>
              <w:jc w:val="both"/>
              <w:rPr>
                <w:spacing w:val="-4"/>
              </w:rPr>
            </w:pPr>
          </w:p>
        </w:tc>
        <w:tc>
          <w:tcPr>
            <w:tcW w:w="7610" w:type="dxa"/>
            <w:shd w:val="clear" w:color="auto" w:fill="auto"/>
            <w:tcMar>
              <w:left w:w="0" w:type="dxa"/>
            </w:tcMar>
          </w:tcPr>
          <w:p w14:paraId="305856CD" w14:textId="77777777" w:rsidR="005E53DC" w:rsidRPr="00D721B4" w:rsidRDefault="005E53DC" w:rsidP="00EF1967">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 %)</w:t>
            </w:r>
          </w:p>
        </w:tc>
      </w:tr>
      <w:tr w:rsidR="005E53DC" w:rsidRPr="009110F7" w14:paraId="22CA9F7A" w14:textId="77777777" w:rsidTr="08AB0269">
        <w:tblPrEx>
          <w:tblCellMar>
            <w:left w:w="70" w:type="dxa"/>
            <w:right w:w="70" w:type="dxa"/>
          </w:tblCellMar>
        </w:tblPrEx>
        <w:trPr>
          <w:trHeight w:val="170"/>
        </w:trPr>
        <w:tc>
          <w:tcPr>
            <w:tcW w:w="1806" w:type="dxa"/>
            <w:vMerge/>
          </w:tcPr>
          <w:p w14:paraId="462DB8DC" w14:textId="77777777" w:rsidR="005E53DC" w:rsidRPr="009110F7" w:rsidRDefault="005E53DC" w:rsidP="00EF1967">
            <w:pPr>
              <w:pStyle w:val="Marginlie"/>
            </w:pPr>
          </w:p>
        </w:tc>
        <w:tc>
          <w:tcPr>
            <w:tcW w:w="223" w:type="dxa"/>
            <w:vMerge/>
          </w:tcPr>
          <w:p w14:paraId="63199DC5" w14:textId="77777777" w:rsidR="005E53DC" w:rsidRPr="009110F7" w:rsidRDefault="005E53DC" w:rsidP="00EF1967">
            <w:pPr>
              <w:pStyle w:val="Textpoznpodarou"/>
              <w:jc w:val="both"/>
              <w:rPr>
                <w:spacing w:val="-4"/>
              </w:rPr>
            </w:pPr>
          </w:p>
        </w:tc>
        <w:tc>
          <w:tcPr>
            <w:tcW w:w="7610" w:type="dxa"/>
            <w:shd w:val="clear" w:color="auto" w:fill="auto"/>
          </w:tcPr>
          <w:p w14:paraId="68C68434" w14:textId="77777777" w:rsidR="005E53DC" w:rsidRPr="009110F7" w:rsidRDefault="005E53DC" w:rsidP="00EF1967">
            <w:pPr>
              <w:spacing w:after="0"/>
            </w:pPr>
            <w:r>
              <w:rPr>
                <w:noProof/>
              </w:rPr>
              <w:drawing>
                <wp:inline distT="0" distB="0" distL="0" distR="0" wp14:anchorId="58171C58" wp14:editId="09A72E18">
                  <wp:extent cx="4737600" cy="3553200"/>
                  <wp:effectExtent l="0" t="0" r="6350" b="0"/>
                  <wp:docPr id="27" name="Graf 2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5E53DC" w:rsidRPr="009110F7" w14:paraId="5C99F393" w14:textId="77777777" w:rsidTr="08AB0269">
        <w:trPr>
          <w:trHeight w:val="170"/>
        </w:trPr>
        <w:tc>
          <w:tcPr>
            <w:tcW w:w="1806" w:type="dxa"/>
            <w:vMerge/>
            <w:tcMar>
              <w:left w:w="0" w:type="dxa"/>
            </w:tcMar>
          </w:tcPr>
          <w:p w14:paraId="5254C3F7" w14:textId="77777777" w:rsidR="005E53DC" w:rsidRPr="009110F7" w:rsidRDefault="005E53DC" w:rsidP="00EF1967">
            <w:pPr>
              <w:pStyle w:val="Marginlie"/>
            </w:pPr>
          </w:p>
        </w:tc>
        <w:tc>
          <w:tcPr>
            <w:tcW w:w="223" w:type="dxa"/>
            <w:vMerge/>
            <w:tcMar>
              <w:left w:w="0" w:type="dxa"/>
            </w:tcMar>
          </w:tcPr>
          <w:p w14:paraId="18EEC0DC" w14:textId="77777777" w:rsidR="005E53DC" w:rsidRPr="009110F7" w:rsidRDefault="005E53DC" w:rsidP="00EF1967">
            <w:pPr>
              <w:pStyle w:val="Textpoznpodarou"/>
              <w:jc w:val="both"/>
              <w:rPr>
                <w:spacing w:val="-4"/>
              </w:rPr>
            </w:pPr>
          </w:p>
        </w:tc>
        <w:tc>
          <w:tcPr>
            <w:tcW w:w="7610" w:type="dxa"/>
            <w:shd w:val="clear" w:color="auto" w:fill="auto"/>
            <w:tcMar>
              <w:left w:w="0" w:type="dxa"/>
            </w:tcMar>
          </w:tcPr>
          <w:p w14:paraId="1A698181" w14:textId="77777777" w:rsidR="005E53DC" w:rsidRPr="009110F7" w:rsidRDefault="005E53DC" w:rsidP="00EF1967">
            <w:pPr>
              <w:spacing w:after="220"/>
              <w:rPr>
                <w:sz w:val="14"/>
                <w:szCs w:val="14"/>
              </w:rPr>
            </w:pPr>
            <w:r>
              <w:rPr>
                <w:sz w:val="14"/>
                <w:szCs w:val="14"/>
              </w:rPr>
              <w:t xml:space="preserve">Zdroj: ČSÚ, </w:t>
            </w:r>
            <w:proofErr w:type="spellStart"/>
            <w:r>
              <w:rPr>
                <w:sz w:val="14"/>
                <w:szCs w:val="14"/>
              </w:rPr>
              <w:t>Eurostat</w:t>
            </w:r>
            <w:proofErr w:type="spellEnd"/>
          </w:p>
        </w:tc>
      </w:tr>
      <w:tr w:rsidR="005E53DC" w:rsidRPr="009110F7" w14:paraId="0EFE63D6" w14:textId="77777777" w:rsidTr="08AB0269">
        <w:trPr>
          <w:trHeight w:val="145"/>
        </w:trPr>
        <w:tc>
          <w:tcPr>
            <w:tcW w:w="1806" w:type="dxa"/>
            <w:shd w:val="clear" w:color="auto" w:fill="auto"/>
            <w:tcMar>
              <w:left w:w="0" w:type="dxa"/>
            </w:tcMar>
          </w:tcPr>
          <w:p w14:paraId="192233B5" w14:textId="77777777" w:rsidR="005E53DC" w:rsidRDefault="005E53DC" w:rsidP="00EF1967">
            <w:pPr>
              <w:pStyle w:val="Marginlie"/>
            </w:pPr>
            <w:r>
              <w:t>Hrubý domácí produkt v EU mezičtvrtletně stagnoval.</w:t>
            </w:r>
          </w:p>
        </w:tc>
        <w:tc>
          <w:tcPr>
            <w:tcW w:w="223" w:type="dxa"/>
            <w:shd w:val="clear" w:color="auto" w:fill="auto"/>
            <w:tcMar>
              <w:left w:w="0" w:type="dxa"/>
            </w:tcMar>
          </w:tcPr>
          <w:p w14:paraId="50267068" w14:textId="77777777" w:rsidR="005E53DC" w:rsidRDefault="005E53DC" w:rsidP="00EF1967">
            <w:pPr>
              <w:pStyle w:val="Textpoznpodarou"/>
              <w:jc w:val="both"/>
              <w:rPr>
                <w:spacing w:val="-4"/>
              </w:rPr>
            </w:pPr>
          </w:p>
        </w:tc>
        <w:tc>
          <w:tcPr>
            <w:tcW w:w="7610" w:type="dxa"/>
            <w:shd w:val="clear" w:color="auto" w:fill="auto"/>
            <w:tcMar>
              <w:left w:w="0" w:type="dxa"/>
            </w:tcMar>
          </w:tcPr>
          <w:p w14:paraId="6DB334D3" w14:textId="4949CD19" w:rsidR="005E53DC" w:rsidRDefault="005E53DC" w:rsidP="000D7C6F">
            <w:r>
              <w:t xml:space="preserve">Hrubý domácí produkt v EU ve 3. čtvrtletí 2023 meziročně stagnoval. Ve většině zemí EU přitom HDP meziročně rostl, ale převážil negativní vývoj v dominantní německé ekonomice (−0,4 %) a jen mírný růst u Francie (0,6 %) nebo stagnace Itálie (0,1 %). Nejvíce se meziročně propadaly Irsko (−5,6 %), Estonsko (−4,0 %) a </w:t>
            </w:r>
            <w:r w:rsidR="21BE069A">
              <w:t>Lucembursko</w:t>
            </w:r>
            <w:r>
              <w:t xml:space="preserve"> (−1,</w:t>
            </w:r>
            <w:r w:rsidR="76D4E0D9">
              <w:t>8</w:t>
            </w:r>
            <w:r>
              <w:t xml:space="preserve"> %). Naopak nejvíce meziročně rostl HDP </w:t>
            </w:r>
            <w:r w:rsidR="78EC659F">
              <w:t>na Maltě (7,1 %). v</w:t>
            </w:r>
            <w:r>
              <w:t> Chorvatsku (3,0 %) a v Rumunsku (2,</w:t>
            </w:r>
            <w:r w:rsidR="36A6CB7D">
              <w:t>9</w:t>
            </w:r>
            <w:r>
              <w:t xml:space="preserve"> %). </w:t>
            </w:r>
            <w:r w:rsidR="754BB0AE">
              <w:t xml:space="preserve">Také mezičtvrtletně </w:t>
            </w:r>
            <w:r>
              <w:t xml:space="preserve">HDP v EU stagnoval. </w:t>
            </w:r>
            <w:r w:rsidR="64244C5C">
              <w:t>Rovněž</w:t>
            </w:r>
            <w:r>
              <w:t xml:space="preserve"> v případě mezičtvrtletní dynamiky měl na celkový výsledek vliv pokles nebo stagnace velkých ekonomik – Německa, Francie (shodně −0,1 %), Itálie (0,1 %) i Španělska (0,3 %). Nejvíce mezičtvrtletně rostl HDP</w:t>
            </w:r>
            <w:r w:rsidR="07FB41B9">
              <w:t xml:space="preserve"> na Maltě (2,4 %)</w:t>
            </w:r>
            <w:r>
              <w:t xml:space="preserve"> v Polsku (1,</w:t>
            </w:r>
            <w:r w:rsidR="64B5C10F">
              <w:t>5</w:t>
            </w:r>
            <w:r>
              <w:t xml:space="preserve"> %)</w:t>
            </w:r>
            <w:r w:rsidR="16EC38E2">
              <w:t xml:space="preserve"> a</w:t>
            </w:r>
            <w:r>
              <w:t xml:space="preserve"> na Kypru (1,1 %). Naopak nejhlubší poklesy vykázaly ekonomiky Irska (−1,9 %), Estonska (−1,3 %) </w:t>
            </w:r>
            <w:r>
              <w:lastRenderedPageBreak/>
              <w:t>a</w:t>
            </w:r>
            <w:r w:rsidR="000D7C6F">
              <w:t> </w:t>
            </w:r>
            <w:r>
              <w:t xml:space="preserve">Finska (−0,9 %). Údaje o HDP očištěné o vliv cen ukazují, že česká ekonomika jako jediná zaostávala za úrovní </w:t>
            </w:r>
            <w:proofErr w:type="spellStart"/>
            <w:r>
              <w:t>předpandemického</w:t>
            </w:r>
            <w:proofErr w:type="spellEnd"/>
            <w:r>
              <w:t xml:space="preserve"> 3. čtvrtletí 2019 (−1,0 %). Jen o 0,6 % překonal tuto úroveň HDP v Německu a Rakousku. Rozdíl mezi 3. čtvrtletím 2023 a</w:t>
            </w:r>
            <w:r w:rsidR="000D7C6F">
              <w:t> </w:t>
            </w:r>
            <w:r>
              <w:t>2019 v celé EU činil 3,</w:t>
            </w:r>
            <w:r w:rsidR="1371242A">
              <w:t>6</w:t>
            </w:r>
            <w:r>
              <w:t xml:space="preserve"> %.       </w:t>
            </w:r>
            <w:r w:rsidRPr="00A83392">
              <w:t xml:space="preserve"> </w:t>
            </w:r>
          </w:p>
        </w:tc>
      </w:tr>
      <w:tr w:rsidR="005E53DC" w:rsidRPr="009110F7" w14:paraId="60D345ED" w14:textId="77777777" w:rsidTr="08AB0269">
        <w:trPr>
          <w:trHeight w:val="145"/>
        </w:trPr>
        <w:tc>
          <w:tcPr>
            <w:tcW w:w="1806" w:type="dxa"/>
            <w:shd w:val="clear" w:color="auto" w:fill="auto"/>
            <w:tcMar>
              <w:left w:w="0" w:type="dxa"/>
            </w:tcMar>
          </w:tcPr>
          <w:p w14:paraId="5048D2D8" w14:textId="30DDDF77" w:rsidR="005E53DC" w:rsidRDefault="3204B56C" w:rsidP="00EF1967">
            <w:pPr>
              <w:pStyle w:val="Marginlie"/>
            </w:pPr>
            <w:r>
              <w:lastRenderedPageBreak/>
              <w:t>Objem me</w:t>
            </w:r>
            <w:r w:rsidR="005E53DC">
              <w:t>z</w:t>
            </w:r>
            <w:r w:rsidR="581B14F9">
              <w:t>d</w:t>
            </w:r>
            <w:r w:rsidR="005E53DC">
              <w:t xml:space="preserve"> a pla</w:t>
            </w:r>
            <w:r w:rsidR="15DD577B">
              <w:t>tů</w:t>
            </w:r>
            <w:r w:rsidR="005E53DC">
              <w:t xml:space="preserve"> se reálně meziročně zvýšil.</w:t>
            </w:r>
          </w:p>
        </w:tc>
        <w:tc>
          <w:tcPr>
            <w:tcW w:w="223" w:type="dxa"/>
            <w:shd w:val="clear" w:color="auto" w:fill="auto"/>
            <w:tcMar>
              <w:left w:w="0" w:type="dxa"/>
            </w:tcMar>
          </w:tcPr>
          <w:p w14:paraId="14CD9AF6" w14:textId="77777777" w:rsidR="005E53DC" w:rsidRDefault="005E53DC" w:rsidP="00EF1967">
            <w:pPr>
              <w:pStyle w:val="Textpoznpodarou"/>
              <w:jc w:val="both"/>
              <w:rPr>
                <w:spacing w:val="-4"/>
              </w:rPr>
            </w:pPr>
          </w:p>
        </w:tc>
        <w:tc>
          <w:tcPr>
            <w:tcW w:w="7610" w:type="dxa"/>
            <w:shd w:val="clear" w:color="auto" w:fill="auto"/>
            <w:tcMar>
              <w:left w:w="0" w:type="dxa"/>
            </w:tcMar>
          </w:tcPr>
          <w:p w14:paraId="2EBE97D3" w14:textId="200EB3B5" w:rsidR="005E53DC" w:rsidRPr="00014ED0" w:rsidRDefault="005E53DC" w:rsidP="00EF1967">
            <w:r>
              <w:t>Meziroční růst objemu vyplacených mezd a platů ve 3. čtvrtletí zpomalil na 7,5 % při mírném navýšení zaměstnanosti</w:t>
            </w:r>
            <w:r w:rsidRPr="00014ED0">
              <w:rPr>
                <w:rStyle w:val="Znakapoznpodarou"/>
                <w:spacing w:val="-2"/>
              </w:rPr>
              <w:footnoteReference w:id="5"/>
            </w:r>
            <w:r>
              <w:t xml:space="preserve"> (0,4 %). Růst cen také zpomaloval a ve 3. čtvrtletí se přírůstek cen dostal pod úroveň dynamiky mezd, což znamenalo reálný nárůst objemu mezd a platů o 0,5 %</w:t>
            </w:r>
            <w:r>
              <w:rPr>
                <w:rStyle w:val="Znakapoznpodarou"/>
                <w:spacing w:val="-2"/>
              </w:rPr>
              <w:footnoteReference w:id="6"/>
            </w:r>
            <w:r>
              <w:t>. Šlo o první přírůstek po pěti čtvrtletích poklesů. Nejvíce se meziročně zvýšil objem vyplacených mezd a platů v činnostech v oblasti nemovitostí (16,8 % při růstu zaměstnanosti o 0,5 %), v profesních vědeckých, technických a administrativních činnostech (10,7 % p</w:t>
            </w:r>
            <w:r w:rsidR="000D7C6F">
              <w:t xml:space="preserve">ři růstu zaměstnanosti o 2,7 %) </w:t>
            </w:r>
            <w:r>
              <w:t xml:space="preserve">a v informačních a komunikačních činnostech (9,0 % při růstu zaměstnanosti o 1,2 %) a nad celkovým průměrem ekonomiky bylo i navýšení mezd a platů ve veřejné správě a obraně, vzdělávání a zdravotní a sociální péči (8,5 % při růstu zaměstnanosti o 1,4 %). Podprůměrně rostly mzdy a platy ve stavebnictví (7,1 % při růstu zaměstnanosti o 2,1 %), v uskupení obchod, doprava, ubytování a pohostinství </w:t>
            </w:r>
            <w:r>
              <w:br/>
              <w:t>(6,5 %, zaměstnanost o 0,3 %), ve zpracovatelském průmyslu (6,0 %, zaměstnanost klesla o 1,4 %), v ostatních činnostech</w:t>
            </w:r>
            <w:r>
              <w:rPr>
                <w:rStyle w:val="Znakapoznpodarou"/>
                <w:spacing w:val="-2"/>
              </w:rPr>
              <w:footnoteReference w:id="7"/>
            </w:r>
            <w:r>
              <w:t xml:space="preserve"> (5,6 %, růst zaměstnanosti o 1,8 %), v peněžnictví a pojišťovnictví (5,0 % při poklesu zaměstnanosti o 0,6 %) </w:t>
            </w:r>
            <w:r>
              <w:br/>
              <w:t xml:space="preserve">a v zemědělství, lesnictví a rybářství (4,3 %, zaměstnanost o 0,2 %). </w:t>
            </w:r>
          </w:p>
        </w:tc>
      </w:tr>
      <w:tr w:rsidR="005E53DC" w:rsidRPr="009110F7" w14:paraId="027AE4C8" w14:textId="77777777" w:rsidTr="08AB0269">
        <w:trPr>
          <w:trHeight w:val="145"/>
        </w:trPr>
        <w:tc>
          <w:tcPr>
            <w:tcW w:w="1806" w:type="dxa"/>
            <w:shd w:val="clear" w:color="auto" w:fill="auto"/>
            <w:tcMar>
              <w:left w:w="0" w:type="dxa"/>
            </w:tcMar>
          </w:tcPr>
          <w:p w14:paraId="242E91DB" w14:textId="77777777" w:rsidR="005E53DC" w:rsidRDefault="005E53DC" w:rsidP="00EF1967">
            <w:pPr>
              <w:pStyle w:val="Marginlie"/>
            </w:pPr>
            <w:r>
              <w:t>Mzdy a platy mezičtvrtletně mírně rostly.</w:t>
            </w:r>
          </w:p>
        </w:tc>
        <w:tc>
          <w:tcPr>
            <w:tcW w:w="223" w:type="dxa"/>
            <w:shd w:val="clear" w:color="auto" w:fill="auto"/>
            <w:tcMar>
              <w:left w:w="0" w:type="dxa"/>
            </w:tcMar>
          </w:tcPr>
          <w:p w14:paraId="299E4298" w14:textId="77777777" w:rsidR="005E53DC" w:rsidRDefault="005E53DC" w:rsidP="00EF1967">
            <w:pPr>
              <w:pStyle w:val="Textpoznpodarou"/>
              <w:jc w:val="both"/>
              <w:rPr>
                <w:spacing w:val="-4"/>
              </w:rPr>
            </w:pPr>
          </w:p>
        </w:tc>
        <w:tc>
          <w:tcPr>
            <w:tcW w:w="7610" w:type="dxa"/>
            <w:shd w:val="clear" w:color="auto" w:fill="auto"/>
            <w:tcMar>
              <w:left w:w="0" w:type="dxa"/>
            </w:tcMar>
          </w:tcPr>
          <w:p w14:paraId="376D985C" w14:textId="77777777" w:rsidR="005E53DC" w:rsidRDefault="005E53DC" w:rsidP="00EF1967">
            <w:r>
              <w:t>Mezičtvrtletně se objem mezd a platů zvýšil o 0,4 % při současném poklesu celkové zaměstnanosti o 0,7 %. Při zahrnutí cenového růstu mzdy a platy reálně mezičtvrtletně klesly o 0,5 %. Nejvýraznější nárůst mezd a platů byl zaznamenán u profesních vědeckých, technických a administrativních činností (1,4 % při navýšení zaměstnanosti o 1,5 %), informačních a komunikačních činností (1,1 %, zaměstnanost se navýšila o 0,1 %) a ve veřejné správě a obraně, vzdělávání a zdravotní a sociální péči (0,7 % při poklesu zaměstnanosti o 0,3 %). Mírně rostly mzdy a platy také ve zpracovatelském průmyslu (0,5 %, zaměstnanost klesla o 1,1 %), ve stavebnictví (0,5 %, zaměstnanost −0,2 %) a v uskupení obchod, doprava, ubytování a pohostinství (0,2 %, zaměstnanost −0,8 %). Objem vyplacených mezd a platů se mezičtvrtletně snížil v ostatních činnostech (−3,8 % při poklesu zaměstnanosti o 3,3 %), v peněžnictví a pojišťovnictví (−2,0 %, zaměstnanost klesla o 1,7 %), v zemědělství, lesnictví a rybářství (−0,7 %, zaměstnanost −1,5 %) a v činnostech v oblasti nemovitostí (−0,1 %, zaměstnanost −1,1 %).</w:t>
            </w:r>
          </w:p>
        </w:tc>
      </w:tr>
      <w:tr w:rsidR="005E53DC" w:rsidRPr="009110F7" w14:paraId="33F6958F" w14:textId="77777777" w:rsidTr="08AB0269">
        <w:trPr>
          <w:trHeight w:val="145"/>
        </w:trPr>
        <w:tc>
          <w:tcPr>
            <w:tcW w:w="1806" w:type="dxa"/>
            <w:shd w:val="clear" w:color="auto" w:fill="auto"/>
            <w:tcMar>
              <w:left w:w="0" w:type="dxa"/>
            </w:tcMar>
          </w:tcPr>
          <w:p w14:paraId="3FA77A96" w14:textId="77777777" w:rsidR="005E53DC" w:rsidRDefault="005E53DC" w:rsidP="00EF1967">
            <w:pPr>
              <w:pStyle w:val="Marginlie"/>
            </w:pPr>
            <w:r>
              <w:t>Spotřeba domácností se nadále propadala.</w:t>
            </w:r>
          </w:p>
        </w:tc>
        <w:tc>
          <w:tcPr>
            <w:tcW w:w="223" w:type="dxa"/>
            <w:shd w:val="clear" w:color="auto" w:fill="auto"/>
            <w:tcMar>
              <w:left w:w="0" w:type="dxa"/>
            </w:tcMar>
          </w:tcPr>
          <w:p w14:paraId="1716B399" w14:textId="77777777" w:rsidR="005E53DC" w:rsidRDefault="005E53DC" w:rsidP="00EF1967">
            <w:pPr>
              <w:pStyle w:val="Textpoznpodarou"/>
              <w:jc w:val="both"/>
              <w:rPr>
                <w:spacing w:val="-4"/>
              </w:rPr>
            </w:pPr>
          </w:p>
        </w:tc>
        <w:tc>
          <w:tcPr>
            <w:tcW w:w="7610" w:type="dxa"/>
            <w:shd w:val="clear" w:color="auto" w:fill="auto"/>
            <w:tcMar>
              <w:left w:w="0" w:type="dxa"/>
            </w:tcMar>
          </w:tcPr>
          <w:p w14:paraId="5CF4BCA9" w14:textId="77777777" w:rsidR="005E53DC" w:rsidRDefault="005E53DC" w:rsidP="00EF1967">
            <w:pPr>
              <w:rPr>
                <w:spacing w:val="-2"/>
              </w:rPr>
            </w:pPr>
            <w:r>
              <w:rPr>
                <w:spacing w:val="-2"/>
              </w:rPr>
              <w:t xml:space="preserve">Výdaje na konečnou spotřebu byly ve 3. čtvrtletí meziročně nižší o 0,4 %. Přitom za tím stála výhradně spotřeba domácností, která se propadla o 2,3 %, zatímco spotřeba vládních institucí vzrostla o 3,9 %. Celkový příspěvek spotřeby k meziročnímu růstu HDP </w:t>
            </w:r>
            <w:r w:rsidRPr="08AB0269">
              <w:t>po vyloučení dovozu pro konečné užití</w:t>
            </w:r>
            <w:r w:rsidRPr="00AE3B94">
              <w:rPr>
                <w:spacing w:val="-2"/>
                <w:szCs w:val="20"/>
              </w:rPr>
              <w:t xml:space="preserve"> </w:t>
            </w:r>
            <w:r>
              <w:rPr>
                <w:spacing w:val="-2"/>
              </w:rPr>
              <w:t>byl ale ve výsledku mírně kladný (0,1 p. b.), z čehož lze usuzovat, že propad spotřeby domácností byl výrazně tažen importovanými statky. Mezičtvrtletně se spotřeba zvýšila o 0,2 %. Spotřeba domácností ale nenavázala na přírůstek z 2. čtvrtletí a ve 3. kvartálu mezičtvrtletně klesla o 0,3 %. Vládní spotřeba naopak rostla o 1,2 %. Spotřeba domácností ve 3. čtvrtletí reálně zaostávala za stejným obdobím let 2017–2022. Z pohledu spotřeby domácností podle trvanlivosti</w:t>
            </w:r>
            <w:r>
              <w:rPr>
                <w:rStyle w:val="Znakapoznpodarou"/>
              </w:rPr>
              <w:footnoteReference w:id="8"/>
            </w:r>
            <w:r>
              <w:rPr>
                <w:spacing w:val="-2"/>
              </w:rPr>
              <w:t xml:space="preserve"> je patrné, že meziročně zaostávala spotřeba u všech skupin statků – nejvíce u předmětů střednědobé spotřeby (−7,5 %) a dále krátkodobé (−3,7 %) a dlouhodobé (−3,4 %) spotřeby. Spotřeba služeb za stejným obdobím roku 2022 zaostávala o 0,6 %. Mezičtvrtletně se nejvíce </w:t>
            </w:r>
            <w:r>
              <w:rPr>
                <w:spacing w:val="-2"/>
              </w:rPr>
              <w:lastRenderedPageBreak/>
              <w:t xml:space="preserve">propadla spotřeba střednědobých statků (−4,0 %) a po dvou předchozích nárůstech opět mírně klesla i spotřeba netrvanlivého zboží (−0,8 %). Mezičtvrtletně nižší byla spotřeba služeb (−0,2 %). U předmětů dlouhodobé spotřeby došlo naopak k výraznému navýšení (1,9 %).       </w:t>
            </w:r>
          </w:p>
        </w:tc>
      </w:tr>
      <w:tr w:rsidR="005E53DC" w:rsidRPr="009110F7" w14:paraId="66526E29" w14:textId="77777777" w:rsidTr="08AB0269">
        <w:trPr>
          <w:trHeight w:val="145"/>
        </w:trPr>
        <w:tc>
          <w:tcPr>
            <w:tcW w:w="1806" w:type="dxa"/>
            <w:shd w:val="clear" w:color="auto" w:fill="auto"/>
            <w:tcMar>
              <w:left w:w="0" w:type="dxa"/>
            </w:tcMar>
          </w:tcPr>
          <w:p w14:paraId="15D45396" w14:textId="77777777" w:rsidR="005E53DC" w:rsidRDefault="005E53DC" w:rsidP="00EF1967">
            <w:pPr>
              <w:pStyle w:val="Marginlie"/>
            </w:pPr>
            <w:r>
              <w:lastRenderedPageBreak/>
              <w:t>Investiční aktivita meziročně rostla, mezičtvrtletně ale došlo k mírnému poklesu.</w:t>
            </w:r>
          </w:p>
        </w:tc>
        <w:tc>
          <w:tcPr>
            <w:tcW w:w="223" w:type="dxa"/>
            <w:shd w:val="clear" w:color="auto" w:fill="auto"/>
            <w:tcMar>
              <w:left w:w="0" w:type="dxa"/>
            </w:tcMar>
          </w:tcPr>
          <w:p w14:paraId="0D9763A8" w14:textId="77777777" w:rsidR="005E53DC" w:rsidRDefault="005E53DC" w:rsidP="00EF1967">
            <w:pPr>
              <w:pStyle w:val="Textpoznpodarou"/>
              <w:jc w:val="both"/>
              <w:rPr>
                <w:spacing w:val="-4"/>
              </w:rPr>
            </w:pPr>
          </w:p>
        </w:tc>
        <w:tc>
          <w:tcPr>
            <w:tcW w:w="7610" w:type="dxa"/>
            <w:shd w:val="clear" w:color="auto" w:fill="auto"/>
            <w:tcMar>
              <w:left w:w="0" w:type="dxa"/>
            </w:tcMar>
          </w:tcPr>
          <w:p w14:paraId="03D6E66C" w14:textId="77777777" w:rsidR="005E53DC" w:rsidRDefault="005E53DC" w:rsidP="00EF1967">
            <w:pPr>
              <w:rPr>
                <w:spacing w:val="-2"/>
              </w:rPr>
            </w:pPr>
            <w:r>
              <w:t>Výdaje na tvorbu hrubého kapitálu ve 3. čtvrtletí meziročně klesly o 4,3 % a hlavní podíl na tom měla opět změna zásob</w:t>
            </w:r>
            <w:r>
              <w:rPr>
                <w:rStyle w:val="Znakapoznpodarou"/>
              </w:rPr>
              <w:footnoteReference w:id="9"/>
            </w:r>
            <w:r>
              <w:t>. Kapitálové výdaje celkem přispěly ve směru poklesu HDP 1,1 p. b.</w:t>
            </w:r>
            <w:r w:rsidRPr="00014ED0">
              <w:rPr>
                <w:rStyle w:val="Znakapoznpodarou"/>
                <w:spacing w:val="-2"/>
              </w:rPr>
              <w:footnoteReference w:id="10"/>
            </w:r>
            <w:r>
              <w:t xml:space="preserve"> Samotné výdaje na tvorbu hrubého fixního kapitálu (investice) ale ve 3. čtvrtletí meziročně rostly o 3,3 %. Mezičtvrtletně se pokles výdajů na tvorbu hrubého kapitálu prohloubil na −1,8 % a přispívala k tomu změna zásob i oslabení investiční aktivity (−0,3 %). Věcné členění tvorby hrubého fixního kapitálu ukazuje, že ve 3. čtvrtletí meziročně zaostávaly výdaje na produkty duševního vlastnictví (−5,7 %), na ostatní budovy a stavby (−4,8 %) i na obydlí (−2,9 %, investice v této oblasti meziročně klesly pošesté v řadě). Tyto poklesy naopak vyvažoval výrazný meziroční růst investic do ICT a ostatních strojů a zařízení (16,7 %) a do dopravních prostředků a zařízení (20,5 %). Mezičtvrtletně se prudce propadly investice do obydlí (−7,5 %) a snížily se také výdaje na předměty duševního vlastnictví (−2,9 %). Oproti tomu rostly investice do dopravních prostředků a zařízení (3,7 %) a do ICT a ostatních strojů a zařízení (3,4 %). Mírně mezičtvrtletně rostly také výdaje na ostatní budovy a stavby (0,4 %).</w:t>
            </w:r>
          </w:p>
        </w:tc>
      </w:tr>
      <w:tr w:rsidR="005E53DC" w:rsidRPr="009110F7" w14:paraId="755EF2BC" w14:textId="77777777" w:rsidTr="08AB0269">
        <w:trPr>
          <w:trHeight w:val="154"/>
        </w:trPr>
        <w:tc>
          <w:tcPr>
            <w:tcW w:w="1806" w:type="dxa"/>
            <w:vMerge w:val="restart"/>
            <w:shd w:val="clear" w:color="auto" w:fill="auto"/>
            <w:tcMar>
              <w:left w:w="0" w:type="dxa"/>
            </w:tcMar>
          </w:tcPr>
          <w:p w14:paraId="03590C31" w14:textId="77777777" w:rsidR="005E53DC" w:rsidRDefault="005E53DC" w:rsidP="00EF1967">
            <w:pPr>
              <w:pStyle w:val="Marginlie"/>
            </w:pPr>
          </w:p>
        </w:tc>
        <w:tc>
          <w:tcPr>
            <w:tcW w:w="223" w:type="dxa"/>
            <w:vMerge w:val="restart"/>
            <w:shd w:val="clear" w:color="auto" w:fill="auto"/>
            <w:tcMar>
              <w:left w:w="0" w:type="dxa"/>
            </w:tcMar>
          </w:tcPr>
          <w:p w14:paraId="0A35597E" w14:textId="77777777" w:rsidR="005E53DC" w:rsidRDefault="005E53DC" w:rsidP="00EF1967">
            <w:pPr>
              <w:pStyle w:val="Textpoznpodarou"/>
              <w:jc w:val="both"/>
              <w:rPr>
                <w:spacing w:val="-4"/>
              </w:rPr>
            </w:pPr>
          </w:p>
        </w:tc>
        <w:tc>
          <w:tcPr>
            <w:tcW w:w="7610" w:type="dxa"/>
            <w:shd w:val="clear" w:color="auto" w:fill="auto"/>
            <w:tcMar>
              <w:left w:w="0" w:type="dxa"/>
            </w:tcMar>
          </w:tcPr>
          <w:p w14:paraId="3BB6F843" w14:textId="77777777" w:rsidR="005E53DC" w:rsidRDefault="005E53DC" w:rsidP="00EF1967">
            <w:pPr>
              <w:spacing w:after="0"/>
            </w:pPr>
            <w:r w:rsidRPr="00D721B4">
              <w:rPr>
                <w:b/>
                <w:szCs w:val="20"/>
              </w:rPr>
              <w:t>Graf č. 2</w:t>
            </w:r>
            <w:r>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 %)</w:t>
            </w:r>
          </w:p>
        </w:tc>
      </w:tr>
      <w:tr w:rsidR="005E53DC" w:rsidRPr="009110F7" w14:paraId="53ECB1C2" w14:textId="77777777" w:rsidTr="08AB0269">
        <w:tblPrEx>
          <w:tblCellMar>
            <w:left w:w="70" w:type="dxa"/>
            <w:right w:w="70" w:type="dxa"/>
          </w:tblCellMar>
        </w:tblPrEx>
        <w:trPr>
          <w:trHeight w:val="154"/>
        </w:trPr>
        <w:tc>
          <w:tcPr>
            <w:tcW w:w="1806" w:type="dxa"/>
            <w:vMerge/>
          </w:tcPr>
          <w:p w14:paraId="569312AD" w14:textId="77777777" w:rsidR="005E53DC" w:rsidRDefault="005E53DC" w:rsidP="00EF1967">
            <w:pPr>
              <w:pStyle w:val="Marginlie"/>
            </w:pPr>
          </w:p>
        </w:tc>
        <w:tc>
          <w:tcPr>
            <w:tcW w:w="223" w:type="dxa"/>
            <w:vMerge/>
          </w:tcPr>
          <w:p w14:paraId="634064C4" w14:textId="77777777" w:rsidR="005E53DC" w:rsidRDefault="005E53DC" w:rsidP="00EF1967">
            <w:pPr>
              <w:pStyle w:val="Textpoznpodarou"/>
              <w:jc w:val="both"/>
              <w:rPr>
                <w:spacing w:val="-4"/>
              </w:rPr>
            </w:pPr>
          </w:p>
        </w:tc>
        <w:tc>
          <w:tcPr>
            <w:tcW w:w="7610" w:type="dxa"/>
            <w:shd w:val="clear" w:color="auto" w:fill="auto"/>
          </w:tcPr>
          <w:p w14:paraId="38669EF3" w14:textId="77777777" w:rsidR="005E53DC" w:rsidRDefault="005E53DC" w:rsidP="00EF1967">
            <w:pPr>
              <w:spacing w:after="0"/>
            </w:pPr>
            <w:r>
              <w:rPr>
                <w:noProof/>
              </w:rPr>
              <w:drawing>
                <wp:inline distT="0" distB="0" distL="0" distR="0" wp14:anchorId="6DA00530" wp14:editId="2EF404AA">
                  <wp:extent cx="4737600" cy="3553200"/>
                  <wp:effectExtent l="0" t="0" r="6350" b="0"/>
                  <wp:docPr id="3" name="Graf 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5E53DC" w:rsidRPr="009110F7" w14:paraId="7386233B" w14:textId="77777777" w:rsidTr="08AB0269">
        <w:trPr>
          <w:trHeight w:val="154"/>
        </w:trPr>
        <w:tc>
          <w:tcPr>
            <w:tcW w:w="1806" w:type="dxa"/>
            <w:vMerge/>
            <w:tcMar>
              <w:left w:w="0" w:type="dxa"/>
            </w:tcMar>
          </w:tcPr>
          <w:p w14:paraId="3A6C4561" w14:textId="77777777" w:rsidR="005E53DC" w:rsidRDefault="005E53DC" w:rsidP="00EF1967">
            <w:pPr>
              <w:pStyle w:val="Marginlie"/>
            </w:pPr>
          </w:p>
        </w:tc>
        <w:tc>
          <w:tcPr>
            <w:tcW w:w="223" w:type="dxa"/>
            <w:vMerge/>
            <w:tcMar>
              <w:left w:w="0" w:type="dxa"/>
            </w:tcMar>
          </w:tcPr>
          <w:p w14:paraId="66AE7546" w14:textId="77777777" w:rsidR="005E53DC" w:rsidRDefault="005E53DC" w:rsidP="00EF1967">
            <w:pPr>
              <w:pStyle w:val="Textpoznpodarou"/>
              <w:jc w:val="both"/>
              <w:rPr>
                <w:spacing w:val="-4"/>
              </w:rPr>
            </w:pPr>
          </w:p>
        </w:tc>
        <w:tc>
          <w:tcPr>
            <w:tcW w:w="7610" w:type="dxa"/>
            <w:shd w:val="clear" w:color="auto" w:fill="auto"/>
            <w:tcMar>
              <w:left w:w="0" w:type="dxa"/>
            </w:tcMar>
          </w:tcPr>
          <w:p w14:paraId="4DD5F2DE" w14:textId="77777777" w:rsidR="005E53DC" w:rsidRDefault="005E53DC" w:rsidP="00EF1967">
            <w:pPr>
              <w:spacing w:after="0"/>
              <w:rPr>
                <w:sz w:val="14"/>
                <w:szCs w:val="14"/>
              </w:rPr>
            </w:pPr>
            <w:r>
              <w:rPr>
                <w:sz w:val="14"/>
                <w:szCs w:val="14"/>
              </w:rPr>
              <w:t>Zdroj: ČSÚ</w:t>
            </w:r>
          </w:p>
          <w:p w14:paraId="23D312D4" w14:textId="77777777" w:rsidR="005E53DC" w:rsidRDefault="005E53DC" w:rsidP="00EF1967">
            <w:r>
              <w:rPr>
                <w:sz w:val="14"/>
                <w:szCs w:val="14"/>
              </w:rPr>
              <w:t>* po vyloučení dovozu pro konečné užití</w:t>
            </w:r>
          </w:p>
        </w:tc>
      </w:tr>
      <w:tr w:rsidR="005E53DC" w:rsidRPr="009110F7" w14:paraId="7955F793" w14:textId="77777777" w:rsidTr="08AB0269">
        <w:trPr>
          <w:trHeight w:val="145"/>
        </w:trPr>
        <w:tc>
          <w:tcPr>
            <w:tcW w:w="1806" w:type="dxa"/>
            <w:shd w:val="clear" w:color="auto" w:fill="auto"/>
            <w:tcMar>
              <w:left w:w="0" w:type="dxa"/>
            </w:tcMar>
          </w:tcPr>
          <w:p w14:paraId="7C0294ED" w14:textId="77777777" w:rsidR="005E53DC" w:rsidRDefault="005E53DC" w:rsidP="00EF1967">
            <w:pPr>
              <w:pStyle w:val="Marginlie"/>
            </w:pPr>
            <w:r>
              <w:t xml:space="preserve">Export i import zboží </w:t>
            </w:r>
            <w:r>
              <w:br/>
              <w:t>a služeb klesal.</w:t>
            </w:r>
          </w:p>
        </w:tc>
        <w:tc>
          <w:tcPr>
            <w:tcW w:w="223" w:type="dxa"/>
            <w:shd w:val="clear" w:color="auto" w:fill="auto"/>
            <w:tcMar>
              <w:left w:w="0" w:type="dxa"/>
            </w:tcMar>
          </w:tcPr>
          <w:p w14:paraId="0A184A1A" w14:textId="77777777" w:rsidR="005E53DC" w:rsidRDefault="005E53DC" w:rsidP="00EF1967">
            <w:pPr>
              <w:pStyle w:val="Textpoznpodarou"/>
              <w:jc w:val="both"/>
              <w:rPr>
                <w:spacing w:val="-4"/>
              </w:rPr>
            </w:pPr>
          </w:p>
        </w:tc>
        <w:tc>
          <w:tcPr>
            <w:tcW w:w="7610" w:type="dxa"/>
            <w:shd w:val="clear" w:color="auto" w:fill="auto"/>
            <w:tcMar>
              <w:left w:w="0" w:type="dxa"/>
            </w:tcMar>
          </w:tcPr>
          <w:p w14:paraId="60DF809D" w14:textId="77777777" w:rsidR="005E53DC" w:rsidRDefault="005E53DC" w:rsidP="00EF1967">
            <w:r>
              <w:t>Ve 3. čtvrtletí se vývoz zboží a služeb reálně meziročně snížil o 0,5 %</w:t>
            </w:r>
            <w:r w:rsidRPr="009110F7">
              <w:rPr>
                <w:rStyle w:val="Znakapoznpodarou"/>
              </w:rPr>
              <w:footnoteReference w:id="11"/>
            </w:r>
            <w:r>
              <w:t xml:space="preserve">, poprvé po šesti čtvrtletích nárůstů. Klesal export zboží (−1,5 %), zatímco u služeb pokračoval růst (5,1 %). Dovoz zboží a služeb se meziročně propadal výrazněji než vývoz (−1,8 %). Hluboký pokles se týkal importu zboží (−4,1 %), zatímco u služeb dovoz silně rostl </w:t>
            </w:r>
            <w:r>
              <w:lastRenderedPageBreak/>
              <w:t xml:space="preserve">(12,4 %). Zahraniční poptávka stále mírně přispívala ve směru meziročního růstu HDP (0,3 p. b.). Mezičtvrtletně se vývoz zboží a služeb reálně snížil o 1,2 %, zatímco dovoz o 1,1 %. Tento drobný rozdíl v dynamice stál za negativním příspěvkem zahraniční poptávky k mezičtvrtletnímu růstu HDP. Vývoz zboží mezičtvrtletně klesl o 2,2 %, zatímco u služeb export vzrostl o 4,0 %. Bilance zahraničního obchodu se zbožím a službami v běžných cenách ve 3. čtvrtletí dosáhla 91,5 mld. korun. Meziročně tedy došlo ke zlepšení o 60,1 mld. korun. Z toho přebytek obchodu se zbožím vykázal meziroční růst o 66,1 mld. korun, zatímco bilance služeb se o 6,1 mld. zhoršila. Mezičtvrtletně se bilance zahraničního obchodu se zbožím a službami téměř nezměnila. Pokles přebytku zahraničního obchodu se zbožím byl zcela vykompenzován zlepšením přebytku obchodu se službami.         </w:t>
            </w:r>
          </w:p>
        </w:tc>
      </w:tr>
      <w:tr w:rsidR="005E53DC" w:rsidRPr="009110F7" w14:paraId="0F933825" w14:textId="77777777" w:rsidTr="08AB0269">
        <w:trPr>
          <w:trHeight w:val="170"/>
        </w:trPr>
        <w:tc>
          <w:tcPr>
            <w:tcW w:w="1806" w:type="dxa"/>
            <w:vMerge w:val="restart"/>
            <w:shd w:val="clear" w:color="auto" w:fill="auto"/>
            <w:tcMar>
              <w:left w:w="0" w:type="dxa"/>
            </w:tcMar>
          </w:tcPr>
          <w:p w14:paraId="7207BBDC" w14:textId="77777777" w:rsidR="005E53DC" w:rsidRDefault="005E53DC" w:rsidP="00EF1967">
            <w:pPr>
              <w:pStyle w:val="Marginlie"/>
            </w:pPr>
          </w:p>
        </w:tc>
        <w:tc>
          <w:tcPr>
            <w:tcW w:w="223" w:type="dxa"/>
            <w:vMerge w:val="restart"/>
            <w:shd w:val="clear" w:color="auto" w:fill="auto"/>
            <w:tcMar>
              <w:left w:w="0" w:type="dxa"/>
            </w:tcMar>
          </w:tcPr>
          <w:p w14:paraId="2DBED1B2" w14:textId="77777777" w:rsidR="005E53DC" w:rsidRDefault="005E53DC" w:rsidP="00EF1967">
            <w:pPr>
              <w:pStyle w:val="Textpoznpodarou"/>
              <w:jc w:val="both"/>
              <w:rPr>
                <w:spacing w:val="-4"/>
              </w:rPr>
            </w:pPr>
          </w:p>
        </w:tc>
        <w:tc>
          <w:tcPr>
            <w:tcW w:w="7610" w:type="dxa"/>
            <w:shd w:val="clear" w:color="auto" w:fill="auto"/>
            <w:tcMar>
              <w:left w:w="0" w:type="dxa"/>
            </w:tcMar>
          </w:tcPr>
          <w:p w14:paraId="0C7F6D5D" w14:textId="77777777" w:rsidR="005E53DC" w:rsidRDefault="005E53DC" w:rsidP="00EF1967">
            <w:pPr>
              <w:spacing w:after="0"/>
            </w:pPr>
            <w:r w:rsidRPr="00D721B4">
              <w:rPr>
                <w:b/>
                <w:szCs w:val="20"/>
              </w:rPr>
              <w:t>Graf č. 3</w:t>
            </w:r>
            <w:r>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 %)</w:t>
            </w:r>
          </w:p>
        </w:tc>
      </w:tr>
      <w:tr w:rsidR="005E53DC" w:rsidRPr="009110F7" w14:paraId="1A19311B" w14:textId="77777777" w:rsidTr="08AB0269">
        <w:tblPrEx>
          <w:tblCellMar>
            <w:left w:w="70" w:type="dxa"/>
            <w:right w:w="70" w:type="dxa"/>
          </w:tblCellMar>
        </w:tblPrEx>
        <w:trPr>
          <w:trHeight w:val="170"/>
        </w:trPr>
        <w:tc>
          <w:tcPr>
            <w:tcW w:w="1806" w:type="dxa"/>
            <w:vMerge/>
          </w:tcPr>
          <w:p w14:paraId="1DDD8F21" w14:textId="77777777" w:rsidR="005E53DC" w:rsidRDefault="005E53DC" w:rsidP="00EF1967">
            <w:pPr>
              <w:pStyle w:val="Marginlie"/>
            </w:pPr>
          </w:p>
        </w:tc>
        <w:tc>
          <w:tcPr>
            <w:tcW w:w="223" w:type="dxa"/>
            <w:vMerge/>
          </w:tcPr>
          <w:p w14:paraId="57C8947E" w14:textId="77777777" w:rsidR="005E53DC" w:rsidRDefault="005E53DC" w:rsidP="00EF1967">
            <w:pPr>
              <w:pStyle w:val="Textpoznpodarou"/>
              <w:jc w:val="both"/>
              <w:rPr>
                <w:spacing w:val="-4"/>
              </w:rPr>
            </w:pPr>
          </w:p>
        </w:tc>
        <w:tc>
          <w:tcPr>
            <w:tcW w:w="7610" w:type="dxa"/>
            <w:shd w:val="clear" w:color="auto" w:fill="auto"/>
          </w:tcPr>
          <w:p w14:paraId="44F585C2" w14:textId="77777777" w:rsidR="005E53DC" w:rsidRDefault="005E53DC" w:rsidP="00EF1967">
            <w:pPr>
              <w:spacing w:after="0"/>
            </w:pPr>
            <w:r>
              <w:rPr>
                <w:noProof/>
              </w:rPr>
              <w:drawing>
                <wp:inline distT="0" distB="0" distL="0" distR="0" wp14:anchorId="6263BBE8" wp14:editId="272C9E6E">
                  <wp:extent cx="4737600" cy="3486525"/>
                  <wp:effectExtent l="0" t="0" r="6350" b="0"/>
                  <wp:docPr id="29" name="Graf 29">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5E53DC" w:rsidRPr="009110F7" w14:paraId="48D1D3AE" w14:textId="77777777" w:rsidTr="08AB0269">
        <w:trPr>
          <w:trHeight w:val="170"/>
        </w:trPr>
        <w:tc>
          <w:tcPr>
            <w:tcW w:w="1806" w:type="dxa"/>
            <w:vMerge/>
            <w:tcMar>
              <w:left w:w="0" w:type="dxa"/>
            </w:tcMar>
          </w:tcPr>
          <w:p w14:paraId="537D932D" w14:textId="77777777" w:rsidR="005E53DC" w:rsidRDefault="005E53DC" w:rsidP="00EF1967">
            <w:pPr>
              <w:pStyle w:val="Marginlie"/>
            </w:pPr>
          </w:p>
        </w:tc>
        <w:tc>
          <w:tcPr>
            <w:tcW w:w="223" w:type="dxa"/>
            <w:vMerge/>
            <w:tcMar>
              <w:left w:w="0" w:type="dxa"/>
            </w:tcMar>
          </w:tcPr>
          <w:p w14:paraId="1384124C" w14:textId="77777777" w:rsidR="005E53DC" w:rsidRDefault="005E53DC" w:rsidP="00EF1967">
            <w:pPr>
              <w:pStyle w:val="Textpoznpodarou"/>
              <w:jc w:val="both"/>
              <w:rPr>
                <w:spacing w:val="-4"/>
              </w:rPr>
            </w:pPr>
          </w:p>
        </w:tc>
        <w:tc>
          <w:tcPr>
            <w:tcW w:w="7610" w:type="dxa"/>
            <w:shd w:val="clear" w:color="auto" w:fill="auto"/>
            <w:tcMar>
              <w:left w:w="0" w:type="dxa"/>
            </w:tcMar>
          </w:tcPr>
          <w:p w14:paraId="4CBEA521" w14:textId="77777777" w:rsidR="005E53DC" w:rsidRDefault="005E53DC" w:rsidP="00EF1967">
            <w:r w:rsidRPr="00A85DE1">
              <w:rPr>
                <w:sz w:val="14"/>
                <w:szCs w:val="14"/>
              </w:rPr>
              <w:t>Zdroj: ČSÚ</w:t>
            </w:r>
          </w:p>
        </w:tc>
      </w:tr>
      <w:tr w:rsidR="005E53DC" w:rsidRPr="009110F7" w14:paraId="40A95B52" w14:textId="77777777" w:rsidTr="08AB0269">
        <w:trPr>
          <w:trHeight w:val="145"/>
        </w:trPr>
        <w:tc>
          <w:tcPr>
            <w:tcW w:w="1806" w:type="dxa"/>
            <w:shd w:val="clear" w:color="auto" w:fill="auto"/>
            <w:tcMar>
              <w:left w:w="0" w:type="dxa"/>
            </w:tcMar>
          </w:tcPr>
          <w:p w14:paraId="34B29B3E" w14:textId="77777777" w:rsidR="005E53DC" w:rsidRDefault="005E53DC" w:rsidP="00EF1967">
            <w:pPr>
              <w:pStyle w:val="Marginlie"/>
            </w:pPr>
            <w:r>
              <w:t xml:space="preserve">Hrubá přidaná hodnota meziročně i mezičtvrtletně klesala. </w:t>
            </w:r>
          </w:p>
        </w:tc>
        <w:tc>
          <w:tcPr>
            <w:tcW w:w="223" w:type="dxa"/>
            <w:shd w:val="clear" w:color="auto" w:fill="auto"/>
            <w:tcMar>
              <w:left w:w="0" w:type="dxa"/>
            </w:tcMar>
          </w:tcPr>
          <w:p w14:paraId="42FA7BFB" w14:textId="77777777" w:rsidR="005E53DC" w:rsidRDefault="005E53DC" w:rsidP="00EF1967">
            <w:pPr>
              <w:pStyle w:val="Textpoznpodarou"/>
              <w:jc w:val="both"/>
              <w:rPr>
                <w:spacing w:val="-4"/>
              </w:rPr>
            </w:pPr>
          </w:p>
        </w:tc>
        <w:tc>
          <w:tcPr>
            <w:tcW w:w="7610" w:type="dxa"/>
            <w:shd w:val="clear" w:color="auto" w:fill="auto"/>
            <w:tcMar>
              <w:left w:w="0" w:type="dxa"/>
            </w:tcMar>
          </w:tcPr>
          <w:p w14:paraId="1E731996" w14:textId="77777777" w:rsidR="005E53DC" w:rsidRPr="00F93F2C" w:rsidRDefault="005E53DC" w:rsidP="00EF1967">
            <w:r>
              <w:t>Hrubá přidaná hodnota (HPH) ve 3. čtvrtletí meziročně zaostávala o 0,1 %. V meziročním srovnání přetrval citelný rozdíl mezi dynamikou HPH a HDP</w:t>
            </w:r>
            <w:r>
              <w:rPr>
                <w:rStyle w:val="Znakapoznpodarou"/>
              </w:rPr>
              <w:footnoteReference w:id="12"/>
            </w:r>
            <w:r>
              <w:t xml:space="preserve">. Na téměř meziroční stagnaci HPH má podíl protichůdné působení služeb a průmyslu. Služby přispívaly celkově ve směru růstu HPH, když u nich převážil meziroční přírůstek HPH informačních a komunikačních činností (4,4 %), profesních, vědeckých, technických a administrativních činností (2,2 %) a peněžnictví a pojišťovnictví (2,5 %). Jen mírně rostla HPH ve veřejné správě a obraně, vzdělávání, zdravotní a sociální péči (0,5 %) a v ostatních činnostech (0,4 %). Naopak se meziročně propadlo uskupení obchod, doprava, ubytování a pohostinství (−1,1 %), které nejvíce závisí na poptávce domácností, a zaostávaly také činnosti v oblasti nemovitostí (−0,5 %). Hrubá přidaná hodnota průmyslu jako celku se poprvé po šesti čtvrtletích propadla (−1,6 %) a do poklesu se dostal i zpracovatelský průmysl (−0,3 %), který předtím vyvažoval úpadek ostatních průmyslových odvětví. HPH ve stavebnictví meziročně klesla o 0,4 %, čímž </w:t>
            </w:r>
            <w:r>
              <w:lastRenderedPageBreak/>
              <w:t>se série meziročních propadů protáhla na celé dva roky. V zemědělství, lesnictví a rybářství HPH meziročně zaostávala o 1,6 %. Mezičtvrtletně HPH klesla o 0,4 %. Propadala se HPH ve stavebnictví (−1,0 %), ve veřejné správě a obraně, vzdělávání, zdravotní a sociální péči (−0,8 %), ve zpracovatelském průmyslu (−0,7 %), v uskupení obchod, doprava, ubytování a pohostinství (−0,6 %), v informačních a komunikačních činnostech (−0,5 %) a v zemědělství, lesnictví a rybářství (−0,3 %). HPH stagnovala v profesních, vědeckých, technických a administrativních činnostech a v ostatních činnostech. Blízko stagnace se pohyboval mezičtvrtletní přírůstek HPH v činnostech v oblasti nemovitostí (0,2 %) a v peněžnictví a pojišťovnictví (0,1 %).</w:t>
            </w:r>
          </w:p>
        </w:tc>
      </w:tr>
    </w:tbl>
    <w:p w14:paraId="3C212BBC" w14:textId="77777777" w:rsidR="005E53DC" w:rsidRDefault="005E53DC" w:rsidP="005E53DC">
      <w:pPr>
        <w:pStyle w:val="Nadpis11"/>
        <w:rPr>
          <w:szCs w:val="32"/>
        </w:rPr>
      </w:pPr>
    </w:p>
    <w:p w14:paraId="5F97A80E" w14:textId="77777777" w:rsidR="005E53DC" w:rsidRPr="001C3855" w:rsidRDefault="005E53DC" w:rsidP="005E53DC">
      <w:pPr>
        <w:pStyle w:val="Nadpis11"/>
        <w:rPr>
          <w:sz w:val="2"/>
          <w:szCs w:val="2"/>
        </w:rPr>
      </w:pPr>
    </w:p>
    <w:p w14:paraId="54F64EBB" w14:textId="77777777" w:rsidR="005E53DC" w:rsidRDefault="005E53DC">
      <w:pPr>
        <w:spacing w:after="0" w:line="240" w:lineRule="auto"/>
        <w:jc w:val="left"/>
        <w:rPr>
          <w:rFonts w:eastAsia="MS Gothic"/>
          <w:b/>
          <w:bCs/>
          <w:color w:val="71818C"/>
          <w:sz w:val="32"/>
          <w:szCs w:val="32"/>
          <w:highlight w:val="yellow"/>
        </w:rPr>
      </w:pPr>
      <w:r>
        <w:rPr>
          <w:szCs w:val="32"/>
          <w:highlight w:val="yellow"/>
        </w:rPr>
        <w:br w:type="page"/>
      </w:r>
    </w:p>
    <w:p w14:paraId="2D17F8C2" w14:textId="77777777" w:rsidR="00EF1967" w:rsidRPr="00652444" w:rsidRDefault="00EF1967" w:rsidP="00EF1967">
      <w:pPr>
        <w:pStyle w:val="Nadpis11"/>
      </w:pPr>
      <w:bookmarkStart w:id="29" w:name="_Toc145318533"/>
      <w:bookmarkStart w:id="30" w:name="_Toc145318534"/>
      <w:bookmarkStart w:id="31" w:name="_Toc153531908"/>
      <w:bookmarkEnd w:id="24"/>
      <w:bookmarkEnd w:id="25"/>
      <w:bookmarkEnd w:id="26"/>
      <w:r>
        <w:lastRenderedPageBreak/>
        <w:t>3. Výkonnost odvětví</w:t>
      </w:r>
      <w:bookmarkEnd w:id="31"/>
    </w:p>
    <w:p w14:paraId="0BAEE7EC" w14:textId="77777777" w:rsidR="00EF1967" w:rsidRPr="004E1DB2" w:rsidRDefault="00EF1967" w:rsidP="00EF1967">
      <w:pPr>
        <w:pStyle w:val="Nadpis11"/>
        <w:rPr>
          <w:b w:val="0"/>
          <w:sz w:val="2"/>
          <w:szCs w:val="2"/>
          <w:highlight w:val="yellow"/>
        </w:rPr>
      </w:pPr>
    </w:p>
    <w:p w14:paraId="5003FA1D" w14:textId="77777777" w:rsidR="00EF1967" w:rsidRPr="004E1DB2" w:rsidRDefault="00EF1967" w:rsidP="00EF1967">
      <w:pPr>
        <w:pStyle w:val="Nadpis11"/>
        <w:rPr>
          <w:b w:val="0"/>
          <w:sz w:val="2"/>
          <w:szCs w:val="2"/>
          <w:highlight w:val="yellow"/>
        </w:rPr>
      </w:pPr>
    </w:p>
    <w:tbl>
      <w:tblPr>
        <w:tblW w:w="9639" w:type="dxa"/>
        <w:tblInd w:w="-20" w:type="dxa"/>
        <w:tblLayout w:type="fixed"/>
        <w:tblCellMar>
          <w:left w:w="0" w:type="dxa"/>
          <w:right w:w="0" w:type="dxa"/>
        </w:tblCellMar>
        <w:tblLook w:val="00A0" w:firstRow="1" w:lastRow="0" w:firstColumn="1" w:lastColumn="0" w:noHBand="0" w:noVBand="0"/>
      </w:tblPr>
      <w:tblGrid>
        <w:gridCol w:w="1814"/>
        <w:gridCol w:w="229"/>
        <w:gridCol w:w="7596"/>
      </w:tblGrid>
      <w:tr w:rsidR="007D7F4F" w:rsidRPr="00316308" w14:paraId="1804DD5F" w14:textId="77777777" w:rsidTr="00067363">
        <w:trPr>
          <w:trHeight w:val="145"/>
        </w:trPr>
        <w:tc>
          <w:tcPr>
            <w:tcW w:w="1814" w:type="dxa"/>
            <w:shd w:val="clear" w:color="auto" w:fill="auto"/>
            <w:tcMar>
              <w:left w:w="0" w:type="dxa"/>
            </w:tcMar>
          </w:tcPr>
          <w:bookmarkEnd w:id="29"/>
          <w:p w14:paraId="5283FBE1" w14:textId="77777777" w:rsidR="007D7F4F" w:rsidRDefault="007D7F4F" w:rsidP="007D7F4F">
            <w:pPr>
              <w:pStyle w:val="Marginlie"/>
            </w:pPr>
            <w:r>
              <w:t>Hrubá přidaná hodnota během 2 i 3. čtvrtletí klesla. Výkon ekonomiky nedosáhl úrovně z roku 2019.</w:t>
            </w:r>
          </w:p>
          <w:p w14:paraId="2C62D9AE" w14:textId="77777777" w:rsidR="007D7F4F" w:rsidRDefault="007D7F4F" w:rsidP="007D7F4F">
            <w:pPr>
              <w:pStyle w:val="Marginlie"/>
            </w:pPr>
          </w:p>
          <w:p w14:paraId="6745B41C" w14:textId="77777777" w:rsidR="007D7F4F" w:rsidRDefault="007D7F4F" w:rsidP="007D7F4F">
            <w:pPr>
              <w:pStyle w:val="Marginlie"/>
            </w:pPr>
          </w:p>
          <w:p w14:paraId="781B9672" w14:textId="77777777" w:rsidR="007D7F4F" w:rsidRDefault="007D7F4F" w:rsidP="007D7F4F">
            <w:pPr>
              <w:pStyle w:val="Marginlie"/>
            </w:pPr>
          </w:p>
          <w:p w14:paraId="5567926B" w14:textId="77777777" w:rsidR="007D7F4F" w:rsidRDefault="007D7F4F" w:rsidP="007D7F4F">
            <w:pPr>
              <w:pStyle w:val="Marginlie"/>
            </w:pPr>
          </w:p>
          <w:p w14:paraId="0168E838" w14:textId="77777777" w:rsidR="007D7F4F" w:rsidRDefault="007D7F4F" w:rsidP="007D7F4F">
            <w:pPr>
              <w:pStyle w:val="Marginlie"/>
            </w:pPr>
            <w:r>
              <w:t xml:space="preserve">K meziročnímu růstu HPH za tři čtvrtletí přispěl nejvíce zpracovatelský průmysl a oblast IT, opačně působil hlavně propad výkonu těžby </w:t>
            </w:r>
            <w:r>
              <w:br/>
              <w:t>a energetiky.</w:t>
            </w:r>
          </w:p>
          <w:p w14:paraId="30A15B8D" w14:textId="77777777" w:rsidR="007D7F4F" w:rsidRDefault="007D7F4F" w:rsidP="007D7F4F">
            <w:pPr>
              <w:pStyle w:val="Marginlie"/>
            </w:pPr>
          </w:p>
          <w:p w14:paraId="3941F456" w14:textId="77777777" w:rsidR="007D7F4F" w:rsidRDefault="007D7F4F" w:rsidP="007D7F4F">
            <w:pPr>
              <w:pStyle w:val="Marginlie"/>
            </w:pPr>
          </w:p>
          <w:p w14:paraId="32474A7E" w14:textId="77777777" w:rsidR="007D7F4F" w:rsidRDefault="007D7F4F" w:rsidP="007D7F4F">
            <w:pPr>
              <w:pStyle w:val="Marginlie"/>
            </w:pPr>
          </w:p>
          <w:p w14:paraId="74018B41" w14:textId="77777777" w:rsidR="007D7F4F" w:rsidRDefault="007D7F4F" w:rsidP="007D7F4F">
            <w:pPr>
              <w:pStyle w:val="Marginlie"/>
            </w:pPr>
          </w:p>
          <w:p w14:paraId="7A482163" w14:textId="77777777" w:rsidR="007D7F4F" w:rsidRDefault="007D7F4F" w:rsidP="007D7F4F">
            <w:pPr>
              <w:pStyle w:val="Marginlie"/>
            </w:pPr>
            <w:r>
              <w:t>I přes meziroční pokles sklizně většiny hlavních zemědělských plodin lze letošní úrodu celkově hodnotit jako dobrou.</w:t>
            </w:r>
          </w:p>
          <w:p w14:paraId="3C35DF02" w14:textId="77777777" w:rsidR="007D7F4F" w:rsidRDefault="007D7F4F" w:rsidP="007D7F4F">
            <w:pPr>
              <w:pStyle w:val="Marginlie"/>
            </w:pPr>
          </w:p>
        </w:tc>
        <w:tc>
          <w:tcPr>
            <w:tcW w:w="229" w:type="dxa"/>
            <w:shd w:val="clear" w:color="auto" w:fill="auto"/>
            <w:tcMar>
              <w:left w:w="0" w:type="dxa"/>
            </w:tcMar>
          </w:tcPr>
          <w:p w14:paraId="79B915EE" w14:textId="77777777" w:rsidR="007D7F4F" w:rsidRPr="001E6441" w:rsidRDefault="007D7F4F" w:rsidP="007D7F4F">
            <w:pPr>
              <w:pStyle w:val="Textpoznpodarou"/>
              <w:jc w:val="both"/>
              <w:rPr>
                <w:spacing w:val="-5"/>
              </w:rPr>
            </w:pPr>
          </w:p>
        </w:tc>
        <w:tc>
          <w:tcPr>
            <w:tcW w:w="7596" w:type="dxa"/>
            <w:shd w:val="clear" w:color="auto" w:fill="auto"/>
            <w:tcMar>
              <w:left w:w="0" w:type="dxa"/>
            </w:tcMar>
          </w:tcPr>
          <w:p w14:paraId="4C8B533B" w14:textId="2F8E62C7" w:rsidR="007D7F4F" w:rsidRPr="001E6441" w:rsidRDefault="007D7F4F" w:rsidP="007D7F4F">
            <w:pPr>
              <w:spacing w:after="200"/>
              <w:rPr>
                <w:bCs/>
                <w:spacing w:val="-5"/>
              </w:rPr>
            </w:pPr>
            <w:r w:rsidRPr="001E6441">
              <w:rPr>
                <w:spacing w:val="-5"/>
              </w:rPr>
              <w:t xml:space="preserve">Údaje z nabídkové strany ekonomiky naznačují, že i během dosavadní části letošního roku balancovalo tuzemské hospodářství na hraně recese. Zatímco na jeho počátku celková </w:t>
            </w:r>
            <w:r w:rsidRPr="001E6441">
              <w:rPr>
                <w:bCs/>
                <w:spacing w:val="-5"/>
              </w:rPr>
              <w:t>hrubá přidaná hodnota (HPH)</w:t>
            </w:r>
            <w:r w:rsidRPr="001E6441">
              <w:rPr>
                <w:rStyle w:val="Znakapoznpodarou"/>
                <w:color w:val="0D0D0D" w:themeColor="text1" w:themeTint="F2"/>
                <w:spacing w:val="-5"/>
              </w:rPr>
              <w:footnoteReference w:id="13"/>
            </w:r>
            <w:r w:rsidRPr="001E6441">
              <w:rPr>
                <w:bCs/>
                <w:spacing w:val="-5"/>
              </w:rPr>
              <w:t xml:space="preserve"> díky většině služeb i stavebnictví </w:t>
            </w:r>
            <w:proofErr w:type="spellStart"/>
            <w:r w:rsidRPr="001E6441">
              <w:rPr>
                <w:bCs/>
                <w:spacing w:val="-5"/>
              </w:rPr>
              <w:t>mezikvartálně</w:t>
            </w:r>
            <w:proofErr w:type="spellEnd"/>
            <w:r w:rsidRPr="001E6441">
              <w:rPr>
                <w:bCs/>
                <w:spacing w:val="-5"/>
              </w:rPr>
              <w:t xml:space="preserve"> mírně rostla (+0,5 %), během 2. i 3. čtvrtletí se shodně snížila o 0,4 %. Projevil se zde pokles výkonu zpracovatelského průmyslu i uskupení obchod, doprava, ubytování a pohostinství. Celková HPH tak ve 3. čtvrtletí stále o 1 % zaostávala za vrcholem z </w:t>
            </w:r>
            <w:proofErr w:type="spellStart"/>
            <w:r w:rsidRPr="001E6441">
              <w:rPr>
                <w:bCs/>
                <w:spacing w:val="-5"/>
              </w:rPr>
              <w:t>předpandemické</w:t>
            </w:r>
            <w:proofErr w:type="spellEnd"/>
            <w:r w:rsidRPr="001E6441">
              <w:rPr>
                <w:bCs/>
                <w:spacing w:val="-5"/>
              </w:rPr>
              <w:t xml:space="preserve"> konjunktury z roku 2019. Za 1. až 3. čtvrtletí HPH stále mírně rostla (+0,4 %), k čemuž přispěl nejvíce zpracovatelský průmysl (+0,5 p. b.), který profitoval z dobrých výsledků výroby dopravních prostředků. V rámci služeb podpořila vývoj HPH většina hlavních odvětví – hlavně informační a komunikační činnosti (+0,5 p. b.) a veřejné služby</w:t>
            </w:r>
            <w:r w:rsidRPr="001E6441">
              <w:rPr>
                <w:rStyle w:val="Znakapoznpodarou"/>
                <w:bCs/>
                <w:spacing w:val="-5"/>
              </w:rPr>
              <w:footnoteReference w:id="14"/>
            </w:r>
            <w:r w:rsidRPr="001E6441">
              <w:rPr>
                <w:bCs/>
                <w:spacing w:val="-5"/>
              </w:rPr>
              <w:t xml:space="preserve"> (+0,2 p. b.). Přetrvávající útlum spotřeby domácností vyústil v pokles HPH v uskupení obchod, doprava, ubytování a pohostinství (o 1,4 %), jenž nastal poprvé po třech letech. Výrazně se letos snížil výkon ve stavebnictví (−2,7 %), za úrovní HPH z roku 2019 zaostal o pětinu. Růst HPH v ekonomice byl ovšem nejvíce tlumen pokračujícím propadem výkonu těžby a energetiky (příspěvek −0,5 p. b., při útlumu odvětví o 20 %). V primárním sektoru pokra</w:t>
            </w:r>
            <w:r w:rsidR="001E6441">
              <w:rPr>
                <w:bCs/>
                <w:spacing w:val="-5"/>
              </w:rPr>
              <w:t>čoval pokles HPH (−2,0</w:t>
            </w:r>
            <w:r w:rsidR="001E6441" w:rsidRPr="001E6441">
              <w:rPr>
                <w:bCs/>
                <w:spacing w:val="-5"/>
              </w:rPr>
              <w:t> </w:t>
            </w:r>
            <w:r w:rsidRPr="001E6441">
              <w:rPr>
                <w:bCs/>
                <w:spacing w:val="-5"/>
              </w:rPr>
              <w:t xml:space="preserve">%), byl však mírnější než v letech 2021 a 2022, kdy celý sektor zásadně ovlivnila rychle </w:t>
            </w:r>
            <w:r w:rsidR="00143EED">
              <w:rPr>
                <w:spacing w:val="-5"/>
              </w:rPr>
              <w:t xml:space="preserve">klesající </w:t>
            </w:r>
            <w:r w:rsidRPr="001E6441">
              <w:rPr>
                <w:spacing w:val="-5"/>
              </w:rPr>
              <w:t>těžba dřeva. V samotném zemědělství pokračoval druhým rokem v řadě pokles výroby masa, naopak dlouhodobý trend posilování výroby mléka přetrval</w:t>
            </w:r>
            <w:r w:rsidRPr="001E6441">
              <w:rPr>
                <w:rStyle w:val="Znakapoznpodarou"/>
                <w:spacing w:val="-5"/>
              </w:rPr>
              <w:footnoteReference w:id="15"/>
            </w:r>
            <w:r w:rsidRPr="001E6441">
              <w:rPr>
                <w:spacing w:val="-5"/>
              </w:rPr>
              <w:t>. U většiny hlavních plodin došlo sice k meziročnímu poklesu úrody</w:t>
            </w:r>
            <w:r w:rsidRPr="001E6441">
              <w:rPr>
                <w:rStyle w:val="Znakapoznpodarou"/>
                <w:spacing w:val="-5"/>
              </w:rPr>
              <w:footnoteReference w:id="16"/>
            </w:r>
            <w:r w:rsidRPr="001E6441">
              <w:rPr>
                <w:spacing w:val="-5"/>
              </w:rPr>
              <w:t>, i tak lze letošní sklizeň považovat za dobrou (u některých obilovin či olejnin dokonce za nadprůměrnou).</w:t>
            </w:r>
          </w:p>
        </w:tc>
      </w:tr>
      <w:tr w:rsidR="007D7F4F" w:rsidRPr="003D1D6D" w14:paraId="2DC63EF0" w14:textId="77777777" w:rsidTr="00067363">
        <w:trPr>
          <w:trHeight w:val="145"/>
        </w:trPr>
        <w:tc>
          <w:tcPr>
            <w:tcW w:w="1814" w:type="dxa"/>
            <w:shd w:val="clear" w:color="auto" w:fill="auto"/>
            <w:tcMar>
              <w:left w:w="0" w:type="dxa"/>
            </w:tcMar>
          </w:tcPr>
          <w:p w14:paraId="0DAD3E50" w14:textId="77777777" w:rsidR="007D7F4F" w:rsidRDefault="007D7F4F" w:rsidP="007D7F4F">
            <w:pPr>
              <w:pStyle w:val="Marginlie"/>
              <w:rPr>
                <w:color w:val="0D0D0D" w:themeColor="text1" w:themeTint="F2"/>
                <w:spacing w:val="-4"/>
              </w:rPr>
            </w:pPr>
            <w:proofErr w:type="spellStart"/>
            <w:r>
              <w:rPr>
                <w:color w:val="0D0D0D" w:themeColor="text1" w:themeTint="F2"/>
                <w:spacing w:val="-4"/>
              </w:rPr>
              <w:t>Mezikvartální</w:t>
            </w:r>
            <w:proofErr w:type="spellEnd"/>
            <w:r>
              <w:rPr>
                <w:color w:val="0D0D0D" w:themeColor="text1" w:themeTint="F2"/>
                <w:spacing w:val="-4"/>
              </w:rPr>
              <w:t xml:space="preserve"> oživení průmyslu ve 2. čtvrtletí 2023 bylo dočasné. Následně došlo k plošnému útlumu produkce.</w:t>
            </w:r>
          </w:p>
        </w:tc>
        <w:tc>
          <w:tcPr>
            <w:tcW w:w="229" w:type="dxa"/>
            <w:shd w:val="clear" w:color="auto" w:fill="auto"/>
            <w:tcMar>
              <w:left w:w="0" w:type="dxa"/>
            </w:tcMar>
          </w:tcPr>
          <w:p w14:paraId="4A3C2A66" w14:textId="77777777" w:rsidR="007D7F4F" w:rsidRPr="001E6441" w:rsidRDefault="007D7F4F" w:rsidP="007D7F4F">
            <w:pPr>
              <w:pStyle w:val="Textpoznpodarou"/>
              <w:jc w:val="both"/>
              <w:rPr>
                <w:spacing w:val="-5"/>
              </w:rPr>
            </w:pPr>
          </w:p>
        </w:tc>
        <w:tc>
          <w:tcPr>
            <w:tcW w:w="7596" w:type="dxa"/>
            <w:shd w:val="clear" w:color="auto" w:fill="auto"/>
            <w:tcMar>
              <w:left w:w="0" w:type="dxa"/>
            </w:tcMar>
          </w:tcPr>
          <w:p w14:paraId="013372C2" w14:textId="77777777" w:rsidR="007D7F4F" w:rsidRPr="001E6441" w:rsidRDefault="007D7F4F" w:rsidP="007D7F4F">
            <w:pPr>
              <w:spacing w:after="0"/>
              <w:rPr>
                <w:color w:val="0D0D0D" w:themeColor="text1" w:themeTint="F2"/>
                <w:spacing w:val="-5"/>
              </w:rPr>
            </w:pPr>
            <w:r w:rsidRPr="001E6441">
              <w:rPr>
                <w:color w:val="0D0D0D" w:themeColor="text1" w:themeTint="F2"/>
                <w:spacing w:val="-5"/>
              </w:rPr>
              <w:t>Průmysl letos prochází fází cyklického útlumu, jehož počátek lze vystopovat již v polovině roku 2022. Sílící nákladové tlaky spojené s prudkým růstem cen energií a</w:t>
            </w:r>
            <w:r w:rsidRPr="001E6441">
              <w:rPr>
                <w:spacing w:val="-5"/>
              </w:rPr>
              <w:t> </w:t>
            </w:r>
            <w:r w:rsidRPr="001E6441">
              <w:rPr>
                <w:color w:val="0D0D0D" w:themeColor="text1" w:themeTint="F2"/>
                <w:spacing w:val="-5"/>
              </w:rPr>
              <w:t xml:space="preserve">dalších vstupů (i nejistoty ohledně jejich vývoje) byly umocněny slábnoucí poptávkou v klíčových exportních teritoriích doprovázených nepříznivým vývojem spotřeby domácností i soukromé investiční aktivity. To mělo dopad zejména na energeticky náročné průmyslové obory. Situaci dočasně zlepšovalo oživení v automobilovém průmyslu, který postupně finalizoval větší objem zakázek nahromaděných z období, kdy plynulost výroby vázla kvůli narušeným dodavatelským řetězcům. V letošním 2. čtvrtletí se dokonce </w:t>
            </w:r>
            <w:proofErr w:type="spellStart"/>
            <w:r w:rsidRPr="001E6441">
              <w:rPr>
                <w:color w:val="0D0D0D" w:themeColor="text1" w:themeTint="F2"/>
                <w:spacing w:val="-5"/>
              </w:rPr>
              <w:t>mezikvartální</w:t>
            </w:r>
            <w:proofErr w:type="spellEnd"/>
            <w:r w:rsidRPr="001E6441">
              <w:rPr>
                <w:color w:val="0D0D0D" w:themeColor="text1" w:themeTint="F2"/>
                <w:spacing w:val="-5"/>
              </w:rPr>
              <w:t xml:space="preserve"> růst průmyslové produkce</w:t>
            </w:r>
            <w:r w:rsidRPr="001E6441">
              <w:rPr>
                <w:rStyle w:val="Znakapoznpodarou"/>
                <w:color w:val="0D0D0D" w:themeColor="text1" w:themeTint="F2"/>
                <w:spacing w:val="-5"/>
              </w:rPr>
              <w:footnoteReference w:id="17"/>
            </w:r>
            <w:r w:rsidRPr="001E6441">
              <w:rPr>
                <w:color w:val="0D0D0D" w:themeColor="text1" w:themeTint="F2"/>
                <w:spacing w:val="-5"/>
              </w:rPr>
              <w:t xml:space="preserve"> krátkodobě obnovil (+0,8 %). Ovšem slabý výkon průmyslu v září se odrazil na celém 3. čtvrtletí, během nějž se produkce snížila – nejvíce za poslední dva roky (−2,3 %). Na tom se podílela především výroba dopravních prostředků, k útlumu ovšem došlo téměř ve všech zpracovatelských oborech. Aktuální objem produkce celého průmyslu tak opět klesl pod úroveň dosaženou na vrcholu poslední konjunktury (v</w:t>
            </w:r>
            <w:r w:rsidRPr="001E6441">
              <w:rPr>
                <w:spacing w:val="-5"/>
              </w:rPr>
              <w:t> </w:t>
            </w:r>
            <w:r w:rsidRPr="001E6441">
              <w:rPr>
                <w:color w:val="0D0D0D" w:themeColor="text1" w:themeTint="F2"/>
                <w:spacing w:val="-5"/>
              </w:rPr>
              <w:t>závěru minulé dekády).</w:t>
            </w:r>
          </w:p>
        </w:tc>
      </w:tr>
      <w:tr w:rsidR="007D7F4F" w:rsidRPr="003D1D6D" w14:paraId="30464C03" w14:textId="77777777" w:rsidTr="00067363">
        <w:trPr>
          <w:trHeight w:val="145"/>
        </w:trPr>
        <w:tc>
          <w:tcPr>
            <w:tcW w:w="1814" w:type="dxa"/>
            <w:shd w:val="clear" w:color="auto" w:fill="auto"/>
            <w:tcMar>
              <w:left w:w="0" w:type="dxa"/>
            </w:tcMar>
          </w:tcPr>
          <w:p w14:paraId="29695B73" w14:textId="77777777" w:rsidR="007D7F4F" w:rsidRDefault="007D7F4F" w:rsidP="007D7F4F">
            <w:pPr>
              <w:pStyle w:val="Marginlie"/>
              <w:rPr>
                <w:color w:val="0D0D0D" w:themeColor="text1" w:themeTint="F2"/>
                <w:spacing w:val="-4"/>
              </w:rPr>
            </w:pPr>
            <w:r>
              <w:rPr>
                <w:color w:val="0D0D0D" w:themeColor="text1" w:themeTint="F2"/>
                <w:spacing w:val="-4"/>
              </w:rPr>
              <w:lastRenderedPageBreak/>
              <w:t>V 1. pololetí udržovaly mírný meziroční růst produkce v průmyslu zejména investičně náročné obory. Ve 3. kvartálu se však výkon průmyslu znatelně snížil.</w:t>
            </w:r>
          </w:p>
          <w:p w14:paraId="49E61D16" w14:textId="77777777" w:rsidR="007D7F4F" w:rsidRDefault="007D7F4F" w:rsidP="007D7F4F">
            <w:pPr>
              <w:pStyle w:val="Marginlie"/>
              <w:rPr>
                <w:color w:val="0D0D0D" w:themeColor="text1" w:themeTint="F2"/>
                <w:spacing w:val="-4"/>
              </w:rPr>
            </w:pPr>
          </w:p>
          <w:p w14:paraId="1BF6B012" w14:textId="77777777" w:rsidR="007D7F4F" w:rsidRDefault="007D7F4F" w:rsidP="007D7F4F">
            <w:pPr>
              <w:pStyle w:val="Marginlie"/>
              <w:rPr>
                <w:color w:val="0D0D0D" w:themeColor="text1" w:themeTint="F2"/>
                <w:spacing w:val="-4"/>
              </w:rPr>
            </w:pPr>
          </w:p>
          <w:p w14:paraId="61CD60E1" w14:textId="77777777" w:rsidR="007D7F4F" w:rsidRDefault="007D7F4F" w:rsidP="007D7F4F">
            <w:pPr>
              <w:pStyle w:val="Marginlie"/>
              <w:rPr>
                <w:color w:val="0D0D0D" w:themeColor="text1" w:themeTint="F2"/>
                <w:spacing w:val="-4"/>
              </w:rPr>
            </w:pPr>
          </w:p>
          <w:p w14:paraId="1F0A7660" w14:textId="77777777" w:rsidR="007D7F4F" w:rsidRDefault="007D7F4F" w:rsidP="007D7F4F">
            <w:pPr>
              <w:pStyle w:val="Marginlie"/>
              <w:rPr>
                <w:color w:val="0D0D0D" w:themeColor="text1" w:themeTint="F2"/>
                <w:spacing w:val="-4"/>
              </w:rPr>
            </w:pPr>
            <w:r>
              <w:rPr>
                <w:color w:val="0D0D0D" w:themeColor="text1" w:themeTint="F2"/>
                <w:spacing w:val="-4"/>
              </w:rPr>
              <w:t>Za nižší produkcí v průmyslu stála hlavně energetika. Pokles spotřeby elektřiny, plynu a tepla v podnicích i domácnostech pokračoval.</w:t>
            </w:r>
          </w:p>
          <w:p w14:paraId="6F6C0428" w14:textId="77777777" w:rsidR="007D7F4F" w:rsidRDefault="007D7F4F" w:rsidP="007D7F4F">
            <w:pPr>
              <w:pStyle w:val="Marginlie"/>
              <w:rPr>
                <w:color w:val="0D0D0D" w:themeColor="text1" w:themeTint="F2"/>
                <w:spacing w:val="-4"/>
              </w:rPr>
            </w:pPr>
          </w:p>
        </w:tc>
        <w:tc>
          <w:tcPr>
            <w:tcW w:w="229" w:type="dxa"/>
            <w:shd w:val="clear" w:color="auto" w:fill="auto"/>
            <w:tcMar>
              <w:left w:w="0" w:type="dxa"/>
            </w:tcMar>
          </w:tcPr>
          <w:p w14:paraId="1DE87715" w14:textId="77777777" w:rsidR="007D7F4F" w:rsidRDefault="007D7F4F" w:rsidP="007D7F4F">
            <w:pPr>
              <w:pStyle w:val="Textpoznpodarou"/>
              <w:jc w:val="both"/>
              <w:rPr>
                <w:spacing w:val="-4"/>
              </w:rPr>
            </w:pPr>
          </w:p>
        </w:tc>
        <w:tc>
          <w:tcPr>
            <w:tcW w:w="7596" w:type="dxa"/>
            <w:shd w:val="clear" w:color="auto" w:fill="auto"/>
            <w:tcMar>
              <w:left w:w="0" w:type="dxa"/>
            </w:tcMar>
          </w:tcPr>
          <w:p w14:paraId="7A2D208A" w14:textId="77777777" w:rsidR="007D7F4F" w:rsidRPr="005E6936" w:rsidRDefault="007D7F4F" w:rsidP="007D7F4F">
            <w:pPr>
              <w:spacing w:after="180"/>
              <w:rPr>
                <w:color w:val="0D0D0D" w:themeColor="text1" w:themeTint="F2"/>
                <w:spacing w:val="-6"/>
              </w:rPr>
            </w:pPr>
            <w:r w:rsidRPr="005E6936">
              <w:rPr>
                <w:color w:val="0D0D0D" w:themeColor="text1" w:themeTint="F2"/>
                <w:spacing w:val="-6"/>
              </w:rPr>
              <w:t>Nepříznivý vývoj produkce celého odvětví je letos zřejmý i v meziročním srovnání. Zatímco v 1. i 2. čtvrtletí si průmysl udržel velmi mírný růst (okolo 1 %), v následujícím kvartálu se jeho výkon snížil o 3,5 % (a docílil tak nejslabšího tempa od nucených přerušení výroby v období na počátku pandemie ve 2. čtvrtletí 2020). Významný vliv zde měl fakt, že k vývoji průmyslu přestaly pozitivně přispívat některé významné investičně náročné obory (strojírenství, výroba počítačů, elektronických a optických přístrojů), i to, že během léta citelně zvolnil meziroční růst ve výrobě motorových vozidel i v návazném oboru elektrotechniky. Za 1. až 3. čtvrtletí 2023 průmyslová produkce nepatrně klesla (−0,4 %), především vlivem útlumu v energetice (příspěvek −1,2 p. b, při propadu odvětví o 12,3 %). Za nižší výrobou elektřiny stál z drtivé části hlubší útlum u parních (−21,6 %) a paroplynových elektráren (−8,4 %), velmi mírně se snížila i produkce jaderných elektráren (−0,7 %). Vedle pravidelných odstávek výrobních zařízení souvisel výkon celé energetiky s očekávaným poklesem tuzemské poptávky</w:t>
            </w:r>
            <w:r w:rsidRPr="005E6936">
              <w:rPr>
                <w:rStyle w:val="Znakapoznpodarou"/>
                <w:color w:val="0D0D0D" w:themeColor="text1" w:themeTint="F2"/>
                <w:spacing w:val="-6"/>
              </w:rPr>
              <w:footnoteReference w:id="18"/>
            </w:r>
            <w:r w:rsidRPr="005E6936">
              <w:rPr>
                <w:color w:val="0D0D0D" w:themeColor="text1" w:themeTint="F2"/>
                <w:spacing w:val="-6"/>
              </w:rPr>
              <w:t>. V ní se projevily dopady opatření směřující k úsporám spotřeby elektřiny, zemního plynu i tepla na straně domácností i firem, nižší poptávka po energiích v podnicích vlivem poklesu výrobní činnosti, ale i příznivé klimatické podmínky</w:t>
            </w:r>
            <w:r w:rsidRPr="005E6936">
              <w:rPr>
                <w:rStyle w:val="Znakapoznpodarou"/>
                <w:color w:val="0D0D0D" w:themeColor="text1" w:themeTint="F2"/>
                <w:spacing w:val="-6"/>
              </w:rPr>
              <w:footnoteReference w:id="19"/>
            </w:r>
            <w:r w:rsidRPr="005E6936">
              <w:rPr>
                <w:color w:val="0D0D0D" w:themeColor="text1" w:themeTint="F2"/>
                <w:spacing w:val="-6"/>
              </w:rPr>
              <w:t>.</w:t>
            </w:r>
          </w:p>
        </w:tc>
      </w:tr>
      <w:tr w:rsidR="007D7F4F" w:rsidRPr="003D1D6D" w14:paraId="4F00D26A" w14:textId="77777777" w:rsidTr="00067363">
        <w:trPr>
          <w:trHeight w:val="145"/>
        </w:trPr>
        <w:tc>
          <w:tcPr>
            <w:tcW w:w="1814" w:type="dxa"/>
            <w:shd w:val="clear" w:color="auto" w:fill="auto"/>
            <w:tcMar>
              <w:left w:w="0" w:type="dxa"/>
            </w:tcMar>
          </w:tcPr>
          <w:p w14:paraId="13DEEEED" w14:textId="77777777" w:rsidR="007D7F4F" w:rsidRDefault="007D7F4F" w:rsidP="007D7F4F">
            <w:pPr>
              <w:pStyle w:val="Marginlie"/>
              <w:rPr>
                <w:color w:val="0D0D0D" w:themeColor="text1" w:themeTint="F2"/>
                <w:spacing w:val="-4"/>
              </w:rPr>
            </w:pPr>
            <w:r>
              <w:rPr>
                <w:color w:val="0D0D0D" w:themeColor="text1" w:themeTint="F2"/>
                <w:spacing w:val="-4"/>
              </w:rPr>
              <w:t>Energeticky vysoce náročné obory se stále potýkaly se sníženou poptávkou i vysokými výrobními náklady.</w:t>
            </w:r>
          </w:p>
          <w:p w14:paraId="6A80B9C9" w14:textId="77777777" w:rsidR="007D7F4F" w:rsidRDefault="007D7F4F" w:rsidP="007D7F4F">
            <w:pPr>
              <w:pStyle w:val="Marginlie"/>
              <w:rPr>
                <w:color w:val="0D0D0D" w:themeColor="text1" w:themeTint="F2"/>
                <w:spacing w:val="-4"/>
              </w:rPr>
            </w:pPr>
          </w:p>
          <w:p w14:paraId="67643CFE" w14:textId="77777777" w:rsidR="007D7F4F" w:rsidRDefault="007D7F4F" w:rsidP="007D7F4F">
            <w:pPr>
              <w:pStyle w:val="Marginlie"/>
              <w:rPr>
                <w:color w:val="0D0D0D" w:themeColor="text1" w:themeTint="F2"/>
                <w:spacing w:val="-4"/>
              </w:rPr>
            </w:pPr>
          </w:p>
          <w:p w14:paraId="0B84C879" w14:textId="77777777" w:rsidR="007D7F4F" w:rsidRDefault="007D7F4F" w:rsidP="007D7F4F">
            <w:pPr>
              <w:pStyle w:val="Marginlie"/>
              <w:rPr>
                <w:color w:val="0D0D0D" w:themeColor="text1" w:themeTint="F2"/>
                <w:spacing w:val="-4"/>
              </w:rPr>
            </w:pPr>
          </w:p>
          <w:p w14:paraId="000B8887" w14:textId="77777777" w:rsidR="007D7F4F" w:rsidRDefault="007D7F4F" w:rsidP="007D7F4F">
            <w:pPr>
              <w:pStyle w:val="Marginlie"/>
              <w:rPr>
                <w:color w:val="0D0D0D" w:themeColor="text1" w:themeTint="F2"/>
                <w:spacing w:val="-4"/>
              </w:rPr>
            </w:pPr>
            <w:r>
              <w:rPr>
                <w:color w:val="0D0D0D" w:themeColor="text1" w:themeTint="F2"/>
                <w:spacing w:val="-4"/>
              </w:rPr>
              <w:t>Produkce se nejvýrazněji propadla ve výrobě nekovových minerálních výrobků. Útlum nastal také v dalších oborech souvisejících se stavebnictvím.</w:t>
            </w:r>
          </w:p>
        </w:tc>
        <w:tc>
          <w:tcPr>
            <w:tcW w:w="229" w:type="dxa"/>
            <w:shd w:val="clear" w:color="auto" w:fill="auto"/>
            <w:tcMar>
              <w:left w:w="0" w:type="dxa"/>
            </w:tcMar>
          </w:tcPr>
          <w:p w14:paraId="558149DB" w14:textId="77777777" w:rsidR="007D7F4F" w:rsidRDefault="007D7F4F" w:rsidP="007D7F4F">
            <w:pPr>
              <w:pStyle w:val="Textpoznpodarou"/>
              <w:jc w:val="both"/>
              <w:rPr>
                <w:spacing w:val="-4"/>
              </w:rPr>
            </w:pPr>
          </w:p>
        </w:tc>
        <w:tc>
          <w:tcPr>
            <w:tcW w:w="7596" w:type="dxa"/>
            <w:shd w:val="clear" w:color="auto" w:fill="auto"/>
            <w:tcMar>
              <w:left w:w="0" w:type="dxa"/>
            </w:tcMar>
          </w:tcPr>
          <w:p w14:paraId="5BFB33D8" w14:textId="77777777" w:rsidR="007D7F4F" w:rsidRPr="005E6936" w:rsidRDefault="007D7F4F" w:rsidP="007D7F4F">
            <w:pPr>
              <w:spacing w:after="180"/>
              <w:rPr>
                <w:color w:val="0D0D0D" w:themeColor="text1" w:themeTint="F2"/>
                <w:spacing w:val="-6"/>
              </w:rPr>
            </w:pPr>
            <w:r w:rsidRPr="005E6936">
              <w:rPr>
                <w:color w:val="0D0D0D" w:themeColor="text1" w:themeTint="F2"/>
                <w:spacing w:val="-6"/>
              </w:rPr>
              <w:t>Útlum energeticky vysoce náročných oborů letos pokračoval. V těžbě a dobývání se produkce za tři čtvrtletí meziročně propadla o 13,8 %, dvouciferný pokles nastal jak v klíčovém oboru těžby uhlí, tak i v těžbě stavebních materiálů. Na citelný pokles poptávky reagovala rovněž výroba stavebních materiálů, jejíž produkce se propadla nejvíce ze všech průmyslových oborů (−18,1 %), a k poklesu celého průmyslu přispěla 0,8 p. b. Se slabšími výkony stavebnictví souvisí i změna poptávky po technických textiliích, jež se odrazila v téměř 12% poklesu produkce v celém textilním průmyslu. S hlubokým útlumem domácí i zahraniční poptávky se potýkalo hutnictví, jehož výkon letos propadl o sedminu a snižoval se druhým rokem v řadě. O více než desetinu klesla produkce také v chemickém průmyslu. Vysoký růst výrobních nákladů druhý rok v řadě poznamenal také výkon gumárenství a</w:t>
            </w:r>
            <w:r w:rsidRPr="005E6936">
              <w:rPr>
                <w:spacing w:val="-6"/>
              </w:rPr>
              <w:t> </w:t>
            </w:r>
            <w:proofErr w:type="spellStart"/>
            <w:r w:rsidRPr="005E6936">
              <w:rPr>
                <w:color w:val="0D0D0D" w:themeColor="text1" w:themeTint="F2"/>
                <w:spacing w:val="-6"/>
              </w:rPr>
              <w:t>plastikářství</w:t>
            </w:r>
            <w:proofErr w:type="spellEnd"/>
            <w:r w:rsidRPr="005E6936">
              <w:rPr>
                <w:color w:val="0D0D0D" w:themeColor="text1" w:themeTint="F2"/>
                <w:spacing w:val="-6"/>
              </w:rPr>
              <w:t>. Vzhledem k jeho vazbě na rozvíjející se výrobu motorových vozidel zde ale produkce klesala mírněji (−4,6 %). Diverzifikované odvětví kovodělného průmyslu si vedlo lépe, když letos stejně jako za celý loňský rok registrovalo jen mělký pokles (o 2 %). Útlum energeticky náročných segmentů zde mohl být zčásti kompenzován růstem zbrojní výroby.</w:t>
            </w:r>
          </w:p>
        </w:tc>
      </w:tr>
      <w:tr w:rsidR="007D7F4F" w:rsidRPr="003D1D6D" w14:paraId="18A56FC5" w14:textId="77777777" w:rsidTr="00067363">
        <w:trPr>
          <w:trHeight w:val="145"/>
        </w:trPr>
        <w:tc>
          <w:tcPr>
            <w:tcW w:w="1814" w:type="dxa"/>
            <w:shd w:val="clear" w:color="auto" w:fill="auto"/>
            <w:tcMar>
              <w:left w:w="0" w:type="dxa"/>
            </w:tcMar>
          </w:tcPr>
          <w:p w14:paraId="6D950A64" w14:textId="77777777" w:rsidR="007D7F4F" w:rsidRDefault="007D7F4F" w:rsidP="007D7F4F">
            <w:pPr>
              <w:pStyle w:val="Marginlie"/>
              <w:rPr>
                <w:color w:val="0D0D0D" w:themeColor="text1" w:themeTint="F2"/>
                <w:spacing w:val="-4"/>
              </w:rPr>
            </w:pPr>
            <w:r>
              <w:rPr>
                <w:color w:val="0D0D0D" w:themeColor="text1" w:themeTint="F2"/>
                <w:spacing w:val="-4"/>
              </w:rPr>
              <w:t xml:space="preserve">Dvojciferný pokles produkce postihl tiskárenství či nábytkářský průmysl. </w:t>
            </w:r>
          </w:p>
          <w:p w14:paraId="09BC8F06" w14:textId="77777777" w:rsidR="007D7F4F" w:rsidRDefault="007D7F4F" w:rsidP="007D7F4F">
            <w:pPr>
              <w:pStyle w:val="Marginlie"/>
              <w:rPr>
                <w:color w:val="0D0D0D" w:themeColor="text1" w:themeTint="F2"/>
                <w:spacing w:val="-4"/>
              </w:rPr>
            </w:pPr>
          </w:p>
          <w:p w14:paraId="21C793DA" w14:textId="77777777" w:rsidR="007D7F4F" w:rsidRDefault="007D7F4F" w:rsidP="007D7F4F">
            <w:pPr>
              <w:pStyle w:val="Marginlie"/>
              <w:rPr>
                <w:color w:val="0D0D0D" w:themeColor="text1" w:themeTint="F2"/>
                <w:spacing w:val="-4"/>
              </w:rPr>
            </w:pPr>
          </w:p>
          <w:p w14:paraId="007FCE4B" w14:textId="77777777" w:rsidR="007D7F4F" w:rsidRDefault="007D7F4F" w:rsidP="007D7F4F">
            <w:pPr>
              <w:pStyle w:val="Marginlie"/>
              <w:rPr>
                <w:color w:val="0D0D0D" w:themeColor="text1" w:themeTint="F2"/>
                <w:spacing w:val="-4"/>
              </w:rPr>
            </w:pPr>
          </w:p>
          <w:p w14:paraId="4219BA49" w14:textId="77777777" w:rsidR="007D7F4F" w:rsidRDefault="007D7F4F" w:rsidP="007D7F4F">
            <w:pPr>
              <w:pStyle w:val="Marginlie"/>
              <w:rPr>
                <w:color w:val="0D0D0D" w:themeColor="text1" w:themeTint="F2"/>
                <w:spacing w:val="-4"/>
              </w:rPr>
            </w:pPr>
            <w:r>
              <w:rPr>
                <w:color w:val="0D0D0D" w:themeColor="text1" w:themeTint="F2"/>
                <w:spacing w:val="-4"/>
              </w:rPr>
              <w:t>Klesající kupní síla tuzemských domácností vedla k nižší produkci v potravinářství, výrobě nápojů i v oděvnictví.</w:t>
            </w:r>
          </w:p>
        </w:tc>
        <w:tc>
          <w:tcPr>
            <w:tcW w:w="229" w:type="dxa"/>
            <w:shd w:val="clear" w:color="auto" w:fill="auto"/>
            <w:tcMar>
              <w:left w:w="0" w:type="dxa"/>
            </w:tcMar>
          </w:tcPr>
          <w:p w14:paraId="700C4E58" w14:textId="77777777" w:rsidR="007D7F4F" w:rsidRPr="00AC49FC"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23268ABE" w14:textId="77777777" w:rsidR="007D7F4F" w:rsidRPr="005E6936" w:rsidRDefault="007D7F4F" w:rsidP="007D7F4F">
            <w:pPr>
              <w:spacing w:after="200"/>
              <w:rPr>
                <w:color w:val="0D0D0D" w:themeColor="text1" w:themeTint="F2"/>
                <w:spacing w:val="-6"/>
              </w:rPr>
            </w:pPr>
            <w:r w:rsidRPr="005E6936">
              <w:rPr>
                <w:color w:val="0D0D0D" w:themeColor="text1" w:themeTint="F2"/>
                <w:spacing w:val="-6"/>
              </w:rPr>
              <w:t>Nižší poptávka se letos odrážela rovněž ve většině menších zpracovatelských oborů. V tiskárenství tak produkce propadla za tři čtvrtletí meziročně o 17,1 %. Vlivem ústupu kůrovcové kalamity klesala produkce v dřevozpracujícím průmyslu letos zatím pomaleji (−6,5</w:t>
            </w:r>
            <w:r>
              <w:rPr>
                <w:color w:val="0D0D0D" w:themeColor="text1" w:themeTint="F2"/>
                <w:spacing w:val="-6"/>
              </w:rPr>
              <w:t> </w:t>
            </w:r>
            <w:r w:rsidRPr="005E6936">
              <w:rPr>
                <w:color w:val="0D0D0D" w:themeColor="text1" w:themeTint="F2"/>
                <w:spacing w:val="-6"/>
              </w:rPr>
              <w:t>%) než v roce 2022. V návazném energeticky náročném papírenském průmyslu se výkon snížil o 8,2 %, v nábytkářství zasaženém především slabším odbytem v zahraničí pak dokonce o 14,2 %</w:t>
            </w:r>
            <w:r w:rsidRPr="005E6936">
              <w:rPr>
                <w:rStyle w:val="Znakapoznpodarou"/>
                <w:color w:val="0D0D0D" w:themeColor="text1" w:themeTint="F2"/>
                <w:spacing w:val="-6"/>
              </w:rPr>
              <w:footnoteReference w:id="20"/>
            </w:r>
            <w:r w:rsidRPr="005E6936">
              <w:rPr>
                <w:color w:val="0D0D0D" w:themeColor="text1" w:themeTint="F2"/>
                <w:spacing w:val="-6"/>
              </w:rPr>
              <w:t>. Klesající spotřeba</w:t>
            </w:r>
            <w:r w:rsidRPr="005E6936">
              <w:rPr>
                <w:rStyle w:val="Znakapoznpodarou"/>
                <w:color w:val="0D0D0D" w:themeColor="text1" w:themeTint="F2"/>
                <w:spacing w:val="-6"/>
              </w:rPr>
              <w:footnoteReference w:id="21"/>
            </w:r>
            <w:r w:rsidRPr="005E6936">
              <w:rPr>
                <w:color w:val="0D0D0D" w:themeColor="text1" w:themeTint="F2"/>
                <w:spacing w:val="-6"/>
              </w:rPr>
              <w:t xml:space="preserve"> tuzemských domácností se odrazila v nižší produkci nápojového (−3,4 %) či potravinářského průmyslu (−3,3 %, v rámci 1. až 3. čtvrtletí šlo o nejhorší tempo od krizového roku 2009). Omezování „zbytných“ výdajů domácností v reakci na propad reálných výdělků letos zastavilo oděvnictví (−3,2 %)</w:t>
            </w:r>
            <w:r w:rsidRPr="005E6936">
              <w:rPr>
                <w:rStyle w:val="Znakapoznpodarou"/>
                <w:color w:val="0D0D0D" w:themeColor="text1" w:themeTint="F2"/>
                <w:spacing w:val="-6"/>
              </w:rPr>
              <w:footnoteReference w:id="22"/>
            </w:r>
            <w:r w:rsidRPr="005E6936">
              <w:rPr>
                <w:color w:val="0D0D0D" w:themeColor="text1" w:themeTint="F2"/>
                <w:spacing w:val="-6"/>
              </w:rPr>
              <w:t xml:space="preserve">, které se loni slibně zotavovalo, i dlouhodobě rozvíjející se obor ostatní zpracovatelský průmysl (−3,6 %, nejslabší </w:t>
            </w:r>
            <w:r w:rsidRPr="005E6936">
              <w:rPr>
                <w:color w:val="0D0D0D" w:themeColor="text1" w:themeTint="F2"/>
                <w:spacing w:val="-6"/>
              </w:rPr>
              <w:lastRenderedPageBreak/>
              <w:t>tempo od roku 2009)</w:t>
            </w:r>
            <w:r w:rsidRPr="005E6936">
              <w:rPr>
                <w:rStyle w:val="Znakapoznpodarou"/>
                <w:color w:val="0D0D0D" w:themeColor="text1" w:themeTint="F2"/>
                <w:spacing w:val="-6"/>
              </w:rPr>
              <w:footnoteReference w:id="23"/>
            </w:r>
            <w:r w:rsidRPr="005E6936">
              <w:rPr>
                <w:color w:val="0D0D0D" w:themeColor="text1" w:themeTint="F2"/>
                <w:spacing w:val="-6"/>
              </w:rPr>
              <w:t>. Osm výše uvedených menších zpracovatelských oborů přispělo v 1.</w:t>
            </w:r>
            <w:r>
              <w:rPr>
                <w:color w:val="0D0D0D" w:themeColor="text1" w:themeTint="F2"/>
                <w:spacing w:val="-6"/>
              </w:rPr>
              <w:t> </w:t>
            </w:r>
            <w:r w:rsidRPr="005E6936">
              <w:rPr>
                <w:color w:val="0D0D0D" w:themeColor="text1" w:themeTint="F2"/>
                <w:spacing w:val="-6"/>
              </w:rPr>
              <w:t>až 3. čtvrtletí k poklesu průmyslu 0,9 p. b.</w:t>
            </w:r>
          </w:p>
        </w:tc>
      </w:tr>
      <w:tr w:rsidR="007D7F4F" w:rsidRPr="003D1D6D" w14:paraId="0067ABF8" w14:textId="77777777" w:rsidTr="00067363">
        <w:trPr>
          <w:trHeight w:val="145"/>
        </w:trPr>
        <w:tc>
          <w:tcPr>
            <w:tcW w:w="1814" w:type="dxa"/>
            <w:shd w:val="clear" w:color="auto" w:fill="auto"/>
            <w:tcMar>
              <w:left w:w="0" w:type="dxa"/>
            </w:tcMar>
          </w:tcPr>
          <w:p w14:paraId="1DBD9CC1" w14:textId="77777777" w:rsidR="007D7F4F" w:rsidRDefault="007D7F4F" w:rsidP="007D7F4F">
            <w:pPr>
              <w:pStyle w:val="Marginlie"/>
              <w:rPr>
                <w:color w:val="0D0D0D" w:themeColor="text1" w:themeTint="F2"/>
                <w:spacing w:val="-4"/>
              </w:rPr>
            </w:pPr>
            <w:r>
              <w:rPr>
                <w:color w:val="0D0D0D" w:themeColor="text1" w:themeTint="F2"/>
                <w:spacing w:val="-4"/>
              </w:rPr>
              <w:lastRenderedPageBreak/>
              <w:t>Výrobě motorových vozidel se letos stále dařilo i přes občasné dílčí výpadky v dodávkách výrobních komponent.</w:t>
            </w:r>
          </w:p>
          <w:p w14:paraId="0E3356D5" w14:textId="77777777" w:rsidR="007D7F4F" w:rsidRDefault="007D7F4F" w:rsidP="007D7F4F">
            <w:pPr>
              <w:pStyle w:val="Marginlie"/>
              <w:rPr>
                <w:color w:val="0D0D0D" w:themeColor="text1" w:themeTint="F2"/>
                <w:spacing w:val="-4"/>
              </w:rPr>
            </w:pPr>
          </w:p>
        </w:tc>
        <w:tc>
          <w:tcPr>
            <w:tcW w:w="229" w:type="dxa"/>
            <w:shd w:val="clear" w:color="auto" w:fill="auto"/>
            <w:tcMar>
              <w:left w:w="0" w:type="dxa"/>
            </w:tcMar>
          </w:tcPr>
          <w:p w14:paraId="6296DE20" w14:textId="77777777" w:rsidR="007D7F4F" w:rsidRDefault="007D7F4F" w:rsidP="007D7F4F">
            <w:pPr>
              <w:pStyle w:val="Textpoznpodarou"/>
              <w:jc w:val="both"/>
              <w:rPr>
                <w:spacing w:val="-4"/>
              </w:rPr>
            </w:pPr>
          </w:p>
        </w:tc>
        <w:tc>
          <w:tcPr>
            <w:tcW w:w="7596" w:type="dxa"/>
            <w:shd w:val="clear" w:color="auto" w:fill="auto"/>
            <w:tcMar>
              <w:left w:w="0" w:type="dxa"/>
            </w:tcMar>
          </w:tcPr>
          <w:p w14:paraId="50D46D08" w14:textId="77777777" w:rsidR="007D7F4F" w:rsidRPr="005E6936" w:rsidRDefault="007D7F4F" w:rsidP="007D7F4F">
            <w:pPr>
              <w:spacing w:after="200"/>
              <w:rPr>
                <w:spacing w:val="-6"/>
              </w:rPr>
            </w:pPr>
            <w:r w:rsidRPr="005E6936">
              <w:rPr>
                <w:spacing w:val="-6"/>
              </w:rPr>
              <w:t>Přestože automobilový průmysl v 1. až 3. čtvrtletí navýšil svou produkci meziročně o</w:t>
            </w:r>
            <w:r w:rsidRPr="005E6936">
              <w:rPr>
                <w:color w:val="0D0D0D" w:themeColor="text1" w:themeTint="F2"/>
                <w:spacing w:val="-6"/>
              </w:rPr>
              <w:t> </w:t>
            </w:r>
            <w:r w:rsidRPr="005E6936">
              <w:rPr>
                <w:spacing w:val="-6"/>
              </w:rPr>
              <w:t>17,8</w:t>
            </w:r>
            <w:r w:rsidRPr="005E6936">
              <w:rPr>
                <w:color w:val="0D0D0D" w:themeColor="text1" w:themeTint="F2"/>
                <w:spacing w:val="-6"/>
              </w:rPr>
              <w:t> </w:t>
            </w:r>
            <w:r w:rsidRPr="005E6936">
              <w:rPr>
                <w:spacing w:val="-6"/>
              </w:rPr>
              <w:t>%</w:t>
            </w:r>
            <w:r w:rsidRPr="005E6936">
              <w:rPr>
                <w:rStyle w:val="Znakapoznpodarou"/>
                <w:spacing w:val="-6"/>
              </w:rPr>
              <w:footnoteReference w:id="24"/>
            </w:r>
            <w:r w:rsidRPr="005E6936">
              <w:rPr>
                <w:spacing w:val="-6"/>
              </w:rPr>
              <w:t xml:space="preserve"> a ve směru růstu průmyslu přispěl 3,3 p. b., poklesu celého průmyslu nezabránil. V samotném 3. čtvrtletí ovšem růst v tomto odvětví zvolnil na 4,7 % a proti úrovni z letošního 2. čtvrtletí se dokonce snížil (−5,2 %)</w:t>
            </w:r>
            <w:r w:rsidRPr="005E6936">
              <w:rPr>
                <w:rStyle w:val="Znakapoznpodarou"/>
                <w:spacing w:val="-6"/>
              </w:rPr>
              <w:footnoteReference w:id="25"/>
            </w:r>
            <w:r w:rsidRPr="005E6936">
              <w:rPr>
                <w:spacing w:val="-6"/>
              </w:rPr>
              <w:t>. I tak převyšoval úroveň z předkrizového vrcholu (2. čtvrtletí 2021) o více než desetinu.</w:t>
            </w:r>
            <w:r w:rsidRPr="005E6936">
              <w:rPr>
                <w:color w:val="0D0D0D" w:themeColor="text1" w:themeTint="F2"/>
                <w:spacing w:val="-6"/>
              </w:rPr>
              <w:t xml:space="preserve"> Rozvoj výroby automobilů dokládají i údaje o</w:t>
            </w:r>
            <w:r w:rsidRPr="005E6936">
              <w:rPr>
                <w:spacing w:val="-6"/>
              </w:rPr>
              <w:t> </w:t>
            </w:r>
            <w:r w:rsidRPr="005E6936">
              <w:rPr>
                <w:color w:val="0D0D0D" w:themeColor="text1" w:themeTint="F2"/>
                <w:spacing w:val="-6"/>
              </w:rPr>
              <w:t>fyzické produkci</w:t>
            </w:r>
            <w:r w:rsidRPr="005E6936">
              <w:rPr>
                <w:rStyle w:val="Znakapoznpodarou"/>
                <w:color w:val="0D0D0D" w:themeColor="text1" w:themeTint="F2"/>
                <w:spacing w:val="-6"/>
              </w:rPr>
              <w:footnoteReference w:id="26"/>
            </w:r>
            <w:r w:rsidRPr="005E6936">
              <w:rPr>
                <w:color w:val="0D0D0D" w:themeColor="text1" w:themeTint="F2"/>
                <w:spacing w:val="-6"/>
              </w:rPr>
              <w:t>. Zlepšení dříve váznoucích dodávek některých výrobních komponentů se odrazilo citelným zvýšením využití výrobních kapacit automobilového průmyslu. To na počátku 2.,</w:t>
            </w:r>
            <w:r>
              <w:rPr>
                <w:color w:val="0D0D0D" w:themeColor="text1" w:themeTint="F2"/>
                <w:spacing w:val="-6"/>
              </w:rPr>
              <w:t> </w:t>
            </w:r>
            <w:r w:rsidRPr="005E6936">
              <w:rPr>
                <w:color w:val="0D0D0D" w:themeColor="text1" w:themeTint="F2"/>
                <w:spacing w:val="-6"/>
              </w:rPr>
              <w:t>3.</w:t>
            </w:r>
            <w:r>
              <w:rPr>
                <w:color w:val="0D0D0D" w:themeColor="text1" w:themeTint="F2"/>
                <w:spacing w:val="-6"/>
              </w:rPr>
              <w:t> </w:t>
            </w:r>
            <w:r w:rsidRPr="005E6936">
              <w:rPr>
                <w:color w:val="0D0D0D" w:themeColor="text1" w:themeTint="F2"/>
                <w:spacing w:val="-6"/>
              </w:rPr>
              <w:t>i</w:t>
            </w:r>
            <w:r>
              <w:rPr>
                <w:color w:val="0D0D0D" w:themeColor="text1" w:themeTint="F2"/>
                <w:spacing w:val="-6"/>
              </w:rPr>
              <w:t> </w:t>
            </w:r>
            <w:r w:rsidRPr="005E6936">
              <w:rPr>
                <w:color w:val="0D0D0D" w:themeColor="text1" w:themeTint="F2"/>
                <w:spacing w:val="-6"/>
              </w:rPr>
              <w:t xml:space="preserve">4. čtvrtletí 2023 přesáhlo 92 % (společně s petrochemií bylo nejvyšší ze všech hlavních zpracovatelských oborů) a vrátilo se na svou předkrizovou úroveň. </w:t>
            </w:r>
          </w:p>
        </w:tc>
      </w:tr>
      <w:tr w:rsidR="007D7F4F" w:rsidRPr="00A92514" w14:paraId="5050336D" w14:textId="77777777" w:rsidTr="00067363">
        <w:trPr>
          <w:trHeight w:val="170"/>
        </w:trPr>
        <w:tc>
          <w:tcPr>
            <w:tcW w:w="1814" w:type="dxa"/>
            <w:vMerge w:val="restart"/>
            <w:shd w:val="clear" w:color="auto" w:fill="auto"/>
            <w:tcMar>
              <w:left w:w="0" w:type="dxa"/>
            </w:tcMar>
          </w:tcPr>
          <w:p w14:paraId="243CF754" w14:textId="77777777" w:rsidR="007D7F4F" w:rsidRDefault="007D7F4F" w:rsidP="007D7F4F">
            <w:pPr>
              <w:pStyle w:val="Marginlie"/>
            </w:pPr>
          </w:p>
        </w:tc>
        <w:tc>
          <w:tcPr>
            <w:tcW w:w="229" w:type="dxa"/>
            <w:vMerge w:val="restart"/>
            <w:shd w:val="clear" w:color="auto" w:fill="auto"/>
            <w:tcMar>
              <w:left w:w="0" w:type="dxa"/>
            </w:tcMar>
          </w:tcPr>
          <w:p w14:paraId="51E907C4" w14:textId="77777777" w:rsidR="007D7F4F" w:rsidRDefault="007D7F4F" w:rsidP="007D7F4F">
            <w:pPr>
              <w:pStyle w:val="Textpoznpodarou"/>
              <w:jc w:val="both"/>
              <w:rPr>
                <w:spacing w:val="-4"/>
              </w:rPr>
            </w:pPr>
          </w:p>
        </w:tc>
        <w:tc>
          <w:tcPr>
            <w:tcW w:w="7596" w:type="dxa"/>
            <w:shd w:val="clear" w:color="auto" w:fill="auto"/>
            <w:tcMar>
              <w:left w:w="0" w:type="dxa"/>
            </w:tcMar>
          </w:tcPr>
          <w:p w14:paraId="73DBBF8B" w14:textId="77777777" w:rsidR="007D7F4F" w:rsidRPr="005E6936" w:rsidRDefault="007D7F4F" w:rsidP="007D7F4F">
            <w:pPr>
              <w:spacing w:after="0"/>
              <w:rPr>
                <w:spacing w:val="-6"/>
              </w:rPr>
            </w:pPr>
            <w:r w:rsidRPr="005E6936">
              <w:rPr>
                <w:rFonts w:cs="Arial"/>
                <w:b/>
                <w:bCs/>
                <w:color w:val="000000"/>
                <w:spacing w:val="-6"/>
                <w:szCs w:val="20"/>
              </w:rPr>
              <w:t xml:space="preserve">Graf č. 4 </w:t>
            </w:r>
            <w:r w:rsidRPr="005E6936">
              <w:rPr>
                <w:b/>
                <w:spacing w:val="-6"/>
              </w:rPr>
              <w:t xml:space="preserve">Příspěvky dílčích odvětví k meziroční změně průmyslové produkce v ČR </w:t>
            </w:r>
            <w:r w:rsidRPr="005E6936">
              <w:rPr>
                <w:spacing w:val="-6"/>
              </w:rPr>
              <w:t xml:space="preserve">(očištěno o kalendářní vlivy, reálně, v p. b.) </w:t>
            </w:r>
            <w:r w:rsidRPr="005E6936">
              <w:rPr>
                <w:b/>
                <w:spacing w:val="-6"/>
              </w:rPr>
              <w:t xml:space="preserve">a produkce v celém průmyslu v ČR, Německu a EU27 </w:t>
            </w:r>
            <w:r w:rsidRPr="005E6936">
              <w:rPr>
                <w:spacing w:val="-6"/>
              </w:rPr>
              <w:t>(sezónně očištěno, úroveň roku 2015=100, pravá osa)</w:t>
            </w:r>
          </w:p>
        </w:tc>
      </w:tr>
      <w:tr w:rsidR="007D7F4F" w:rsidRPr="0067514E" w14:paraId="1CE37936" w14:textId="77777777" w:rsidTr="00067363">
        <w:tblPrEx>
          <w:tblCellMar>
            <w:left w:w="70" w:type="dxa"/>
            <w:right w:w="70" w:type="dxa"/>
          </w:tblCellMar>
        </w:tblPrEx>
        <w:trPr>
          <w:trHeight w:val="170"/>
        </w:trPr>
        <w:tc>
          <w:tcPr>
            <w:tcW w:w="1814" w:type="dxa"/>
            <w:vMerge/>
            <w:shd w:val="clear" w:color="auto" w:fill="auto"/>
          </w:tcPr>
          <w:p w14:paraId="2FD1C739" w14:textId="77777777" w:rsidR="007D7F4F" w:rsidRDefault="007D7F4F" w:rsidP="007D7F4F">
            <w:pPr>
              <w:pStyle w:val="Marginlie"/>
            </w:pPr>
          </w:p>
        </w:tc>
        <w:tc>
          <w:tcPr>
            <w:tcW w:w="229" w:type="dxa"/>
            <w:vMerge/>
            <w:shd w:val="clear" w:color="auto" w:fill="auto"/>
          </w:tcPr>
          <w:p w14:paraId="1DD49B65" w14:textId="77777777" w:rsidR="007D7F4F" w:rsidRDefault="007D7F4F" w:rsidP="007D7F4F">
            <w:pPr>
              <w:pStyle w:val="Textpoznpodarou"/>
              <w:jc w:val="both"/>
              <w:rPr>
                <w:spacing w:val="-4"/>
              </w:rPr>
            </w:pPr>
          </w:p>
        </w:tc>
        <w:tc>
          <w:tcPr>
            <w:tcW w:w="7596" w:type="dxa"/>
            <w:shd w:val="clear" w:color="auto" w:fill="auto"/>
          </w:tcPr>
          <w:p w14:paraId="005A2253" w14:textId="77777777" w:rsidR="007D7F4F" w:rsidRPr="005E6936" w:rsidRDefault="007D7F4F" w:rsidP="007D7F4F">
            <w:pPr>
              <w:spacing w:after="0"/>
              <w:rPr>
                <w:spacing w:val="-6"/>
              </w:rPr>
            </w:pPr>
            <w:r w:rsidRPr="005E6936">
              <w:rPr>
                <w:noProof/>
                <w:spacing w:val="-6"/>
              </w:rPr>
              <w:drawing>
                <wp:inline distT="0" distB="0" distL="0" distR="0" wp14:anchorId="2B76F41F" wp14:editId="0D80250D">
                  <wp:extent cx="4734560" cy="3456000"/>
                  <wp:effectExtent l="0" t="0" r="889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7D7F4F" w:rsidRPr="00E52D45" w14:paraId="07F76E74" w14:textId="77777777" w:rsidTr="00067363">
        <w:trPr>
          <w:trHeight w:val="170"/>
        </w:trPr>
        <w:tc>
          <w:tcPr>
            <w:tcW w:w="1814" w:type="dxa"/>
            <w:vMerge/>
            <w:shd w:val="clear" w:color="auto" w:fill="auto"/>
            <w:tcMar>
              <w:left w:w="0" w:type="dxa"/>
            </w:tcMar>
          </w:tcPr>
          <w:p w14:paraId="5DADC2CA" w14:textId="77777777" w:rsidR="007D7F4F" w:rsidRDefault="007D7F4F" w:rsidP="007D7F4F">
            <w:pPr>
              <w:pStyle w:val="Marginlie"/>
            </w:pPr>
          </w:p>
        </w:tc>
        <w:tc>
          <w:tcPr>
            <w:tcW w:w="229" w:type="dxa"/>
            <w:vMerge/>
            <w:shd w:val="clear" w:color="auto" w:fill="auto"/>
            <w:tcMar>
              <w:left w:w="0" w:type="dxa"/>
            </w:tcMar>
          </w:tcPr>
          <w:p w14:paraId="6E16B41E" w14:textId="77777777" w:rsidR="007D7F4F" w:rsidRDefault="007D7F4F" w:rsidP="007D7F4F">
            <w:pPr>
              <w:pStyle w:val="Textpoznpodarou"/>
              <w:jc w:val="both"/>
              <w:rPr>
                <w:spacing w:val="-4"/>
              </w:rPr>
            </w:pPr>
          </w:p>
        </w:tc>
        <w:tc>
          <w:tcPr>
            <w:tcW w:w="7596" w:type="dxa"/>
            <w:shd w:val="clear" w:color="auto" w:fill="auto"/>
            <w:tcMar>
              <w:left w:w="0" w:type="dxa"/>
            </w:tcMar>
          </w:tcPr>
          <w:p w14:paraId="7808E2F3" w14:textId="77777777" w:rsidR="007D7F4F" w:rsidRPr="005E6936" w:rsidRDefault="007D7F4F" w:rsidP="007D7F4F">
            <w:pPr>
              <w:tabs>
                <w:tab w:val="right" w:pos="7683"/>
              </w:tabs>
              <w:spacing w:after="200" w:line="240" w:lineRule="auto"/>
              <w:jc w:val="left"/>
              <w:rPr>
                <w:spacing w:val="-6"/>
                <w:sz w:val="14"/>
                <w:szCs w:val="14"/>
              </w:rPr>
            </w:pPr>
            <w:r w:rsidRPr="005E6936">
              <w:rPr>
                <w:rFonts w:cs="Arial"/>
                <w:spacing w:val="-6"/>
                <w:sz w:val="14"/>
                <w:szCs w:val="14"/>
              </w:rPr>
              <w:t xml:space="preserve">Poznámka: Tržby jsou uvedeny v běžných cenách. </w:t>
            </w:r>
            <w:r w:rsidRPr="005E6936">
              <w:rPr>
                <w:rFonts w:cs="Arial"/>
                <w:spacing w:val="-6"/>
                <w:sz w:val="14"/>
                <w:szCs w:val="14"/>
              </w:rPr>
              <w:tab/>
              <w:t xml:space="preserve"> Zdroj: ČSÚ, </w:t>
            </w:r>
            <w:proofErr w:type="spellStart"/>
            <w:r w:rsidRPr="005E6936">
              <w:rPr>
                <w:rFonts w:cs="Arial"/>
                <w:spacing w:val="-6"/>
                <w:sz w:val="14"/>
                <w:szCs w:val="14"/>
              </w:rPr>
              <w:t>Eurostat</w:t>
            </w:r>
            <w:proofErr w:type="spellEnd"/>
          </w:p>
        </w:tc>
      </w:tr>
      <w:tr w:rsidR="007D7F4F" w:rsidRPr="00823342" w14:paraId="356F893E" w14:textId="77777777" w:rsidTr="00067363">
        <w:trPr>
          <w:trHeight w:val="170"/>
        </w:trPr>
        <w:tc>
          <w:tcPr>
            <w:tcW w:w="1814" w:type="dxa"/>
            <w:shd w:val="clear" w:color="auto" w:fill="auto"/>
            <w:tcMar>
              <w:left w:w="0" w:type="dxa"/>
            </w:tcMar>
          </w:tcPr>
          <w:p w14:paraId="3A551A74" w14:textId="77777777" w:rsidR="007D7F4F" w:rsidRDefault="007D7F4F" w:rsidP="007D7F4F">
            <w:pPr>
              <w:pStyle w:val="Marginlie"/>
              <w:rPr>
                <w:color w:val="0D0D0D" w:themeColor="text1" w:themeTint="F2"/>
                <w:spacing w:val="-4"/>
              </w:rPr>
            </w:pPr>
            <w:r>
              <w:rPr>
                <w:color w:val="0D0D0D" w:themeColor="text1" w:themeTint="F2"/>
                <w:spacing w:val="-4"/>
              </w:rPr>
              <w:t>Svižný růst výroby kolejových dopravních prostředků stimulovala domácí poptávka.</w:t>
            </w:r>
          </w:p>
          <w:p w14:paraId="6DE4A476" w14:textId="77777777" w:rsidR="007D7F4F" w:rsidRDefault="007D7F4F" w:rsidP="007D7F4F">
            <w:pPr>
              <w:pStyle w:val="Marginlie"/>
              <w:rPr>
                <w:color w:val="0D0D0D" w:themeColor="text1" w:themeTint="F2"/>
                <w:spacing w:val="-4"/>
              </w:rPr>
            </w:pPr>
          </w:p>
          <w:p w14:paraId="77863847" w14:textId="77777777" w:rsidR="007D7F4F" w:rsidRDefault="007D7F4F" w:rsidP="007D7F4F">
            <w:pPr>
              <w:pStyle w:val="Marginlie"/>
              <w:rPr>
                <w:color w:val="0D0D0D" w:themeColor="text1" w:themeTint="F2"/>
                <w:spacing w:val="-4"/>
              </w:rPr>
            </w:pPr>
          </w:p>
          <w:p w14:paraId="7329EDE8" w14:textId="77777777" w:rsidR="007D7F4F" w:rsidRDefault="007D7F4F" w:rsidP="007D7F4F">
            <w:pPr>
              <w:pStyle w:val="Marginlie"/>
              <w:rPr>
                <w:color w:val="0D0D0D" w:themeColor="text1" w:themeTint="F2"/>
                <w:spacing w:val="-4"/>
              </w:rPr>
            </w:pPr>
            <w:r>
              <w:rPr>
                <w:color w:val="0D0D0D" w:themeColor="text1" w:themeTint="F2"/>
                <w:spacing w:val="-4"/>
              </w:rPr>
              <w:t xml:space="preserve">Výkon strojírenství brzdila slabší zahraniční poptávka. </w:t>
            </w:r>
          </w:p>
          <w:p w14:paraId="2A98CFB3" w14:textId="77777777" w:rsidR="007D7F4F" w:rsidRDefault="007D7F4F" w:rsidP="007D7F4F">
            <w:pPr>
              <w:pStyle w:val="Marginlie"/>
              <w:rPr>
                <w:color w:val="0D0D0D" w:themeColor="text1" w:themeTint="F2"/>
                <w:spacing w:val="-4"/>
              </w:rPr>
            </w:pPr>
            <w:r>
              <w:rPr>
                <w:color w:val="0D0D0D" w:themeColor="text1" w:themeTint="F2"/>
                <w:spacing w:val="-4"/>
              </w:rPr>
              <w:lastRenderedPageBreak/>
              <w:t>Ve farmaceutickém průmyslu poptávka dále svižně rostla.</w:t>
            </w:r>
          </w:p>
          <w:p w14:paraId="4364C797" w14:textId="77777777" w:rsidR="007D7F4F" w:rsidRDefault="007D7F4F" w:rsidP="007D7F4F">
            <w:pPr>
              <w:pStyle w:val="Marginlie"/>
              <w:rPr>
                <w:color w:val="0D0D0D" w:themeColor="text1" w:themeTint="F2"/>
              </w:rPr>
            </w:pPr>
          </w:p>
        </w:tc>
        <w:tc>
          <w:tcPr>
            <w:tcW w:w="229" w:type="dxa"/>
            <w:shd w:val="clear" w:color="auto" w:fill="auto"/>
            <w:tcMar>
              <w:left w:w="0" w:type="dxa"/>
            </w:tcMar>
          </w:tcPr>
          <w:p w14:paraId="0C49C33A" w14:textId="77777777" w:rsidR="007D7F4F" w:rsidRPr="00B51DC6"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04D3339C" w14:textId="17A33520" w:rsidR="007D7F4F" w:rsidRPr="005E6936" w:rsidRDefault="007D7F4F" w:rsidP="007D7F4F">
            <w:pPr>
              <w:spacing w:after="200"/>
              <w:rPr>
                <w:rFonts w:cs="Arial"/>
                <w:bCs/>
                <w:color w:val="0D0D0D" w:themeColor="text1" w:themeTint="F2"/>
                <w:spacing w:val="-6"/>
                <w:szCs w:val="20"/>
              </w:rPr>
            </w:pPr>
            <w:r w:rsidRPr="005E6936">
              <w:rPr>
                <w:color w:val="0D0D0D" w:themeColor="text1" w:themeTint="F2"/>
                <w:spacing w:val="-6"/>
              </w:rPr>
              <w:t xml:space="preserve">Především vlivem domácí poptávky se dařilo odvětví výroby ostatních (zejm. kolejových) dopravních prostředků. I díky finalizaci významných dlouhodobých zakázek </w:t>
            </w:r>
            <w:r>
              <w:rPr>
                <w:color w:val="0D0D0D" w:themeColor="text1" w:themeTint="F2"/>
                <w:spacing w:val="-6"/>
              </w:rPr>
              <w:t>z</w:t>
            </w:r>
            <w:r w:rsidRPr="005E6936">
              <w:rPr>
                <w:color w:val="0D0D0D" w:themeColor="text1" w:themeTint="F2"/>
                <w:spacing w:val="-6"/>
              </w:rPr>
              <w:t xml:space="preserve"> konc</w:t>
            </w:r>
            <w:r>
              <w:rPr>
                <w:color w:val="0D0D0D" w:themeColor="text1" w:themeTint="F2"/>
                <w:spacing w:val="-6"/>
              </w:rPr>
              <w:t>e</w:t>
            </w:r>
            <w:r w:rsidRPr="005E6936">
              <w:rPr>
                <w:color w:val="0D0D0D" w:themeColor="text1" w:themeTint="F2"/>
                <w:spacing w:val="-6"/>
              </w:rPr>
              <w:t xml:space="preserve"> </w:t>
            </w:r>
            <w:r w:rsidRPr="005E6936">
              <w:rPr>
                <w:color w:val="0D0D0D" w:themeColor="text1" w:themeTint="F2"/>
                <w:spacing w:val="-6"/>
              </w:rPr>
              <w:br/>
              <w:t xml:space="preserve">1. pololetí produkce za tři čtvrtletí meziročně vzrostla o 15,3 % (prorůstový příspěvek </w:t>
            </w:r>
            <w:r w:rsidRPr="005E6936">
              <w:rPr>
                <w:color w:val="0D0D0D" w:themeColor="text1" w:themeTint="F2"/>
                <w:spacing w:val="-6"/>
              </w:rPr>
              <w:br/>
              <w:t>k celému průmyslu ovšem činil „jen“ 0,3 p. b).</w:t>
            </w:r>
            <w:r w:rsidRPr="005E6936">
              <w:rPr>
                <w:spacing w:val="-6"/>
              </w:rPr>
              <w:t xml:space="preserve"> Rozvoj výroby dopravních prostředků podpořil i návazné odvětví elektrotechnického průmyslu (+3,3 %). Růst produkce se naopak téměř zastavil ve váhově významném odvětví strojírenství (+0,4 %) a také ve výrobě počítačů, elektronických a optických přístrojů (+1,0 %), kde se od loňského roku odrážel </w:t>
            </w:r>
            <w:r w:rsidRPr="005E6936">
              <w:rPr>
                <w:color w:val="0D0D0D" w:themeColor="text1" w:themeTint="F2"/>
                <w:spacing w:val="-6"/>
              </w:rPr>
              <w:t xml:space="preserve">dynamicky </w:t>
            </w:r>
            <w:r w:rsidRPr="005E6936">
              <w:rPr>
                <w:color w:val="0D0D0D" w:themeColor="text1" w:themeTint="F2"/>
                <w:spacing w:val="-6"/>
              </w:rPr>
              <w:lastRenderedPageBreak/>
              <w:t xml:space="preserve">rostoucí trh v oblasti </w:t>
            </w:r>
            <w:proofErr w:type="spellStart"/>
            <w:r w:rsidRPr="005E6936">
              <w:rPr>
                <w:color w:val="0D0D0D" w:themeColor="text1" w:themeTint="F2"/>
                <w:spacing w:val="-6"/>
              </w:rPr>
              <w:t>fotovoltaiky</w:t>
            </w:r>
            <w:proofErr w:type="spellEnd"/>
            <w:r w:rsidRPr="005E6936">
              <w:rPr>
                <w:color w:val="0D0D0D" w:themeColor="text1" w:themeTint="F2"/>
                <w:spacing w:val="-6"/>
              </w:rPr>
              <w:t xml:space="preserve">. Obě odvětví </w:t>
            </w:r>
            <w:r>
              <w:rPr>
                <w:color w:val="0D0D0D" w:themeColor="text1" w:themeTint="F2"/>
                <w:spacing w:val="-6"/>
              </w:rPr>
              <w:t>zasáhla slabší zahraniční poptávka</w:t>
            </w:r>
            <w:r w:rsidRPr="005E6936">
              <w:rPr>
                <w:color w:val="0D0D0D" w:themeColor="text1" w:themeTint="F2"/>
                <w:spacing w:val="-6"/>
              </w:rPr>
              <w:t xml:space="preserve">, což se </w:t>
            </w:r>
            <w:r>
              <w:rPr>
                <w:color w:val="0D0D0D" w:themeColor="text1" w:themeTint="F2"/>
                <w:spacing w:val="-6"/>
              </w:rPr>
              <w:t>v letošním</w:t>
            </w:r>
            <w:r w:rsidRPr="005E6936">
              <w:rPr>
                <w:color w:val="0D0D0D" w:themeColor="text1" w:themeTint="F2"/>
                <w:spacing w:val="-6"/>
              </w:rPr>
              <w:t xml:space="preserve"> 3. čtvrtletí</w:t>
            </w:r>
            <w:r>
              <w:rPr>
                <w:color w:val="0D0D0D" w:themeColor="text1" w:themeTint="F2"/>
                <w:spacing w:val="-6"/>
              </w:rPr>
              <w:t xml:space="preserve"> projevilo poklesem j</w:t>
            </w:r>
            <w:r w:rsidRPr="005E6936">
              <w:rPr>
                <w:color w:val="0D0D0D" w:themeColor="text1" w:themeTint="F2"/>
                <w:spacing w:val="-6"/>
              </w:rPr>
              <w:t xml:space="preserve">ejich produkce (v případě strojírenství poprvé od konce roku 2020). Naopak ze stabilní poptávky z tuzemska i zahraničí mohly profitovat některé </w:t>
            </w:r>
            <w:r w:rsidR="00CD5EE0">
              <w:rPr>
                <w:color w:val="0D0D0D" w:themeColor="text1" w:themeTint="F2"/>
                <w:spacing w:val="-6"/>
              </w:rPr>
              <w:t xml:space="preserve">relativně </w:t>
            </w:r>
            <w:r w:rsidRPr="005E6936">
              <w:rPr>
                <w:color w:val="0D0D0D" w:themeColor="text1" w:themeTint="F2"/>
                <w:spacing w:val="-6"/>
              </w:rPr>
              <w:t>menší zpracovatelské obory – hlavně farmaceutický průmysl (kde produkce za tři čtvrtletí vzrostla zhruba o</w:t>
            </w:r>
            <w:r w:rsidRPr="005E6936">
              <w:rPr>
                <w:spacing w:val="-6"/>
              </w:rPr>
              <w:t> </w:t>
            </w:r>
            <w:r w:rsidRPr="005E6936">
              <w:rPr>
                <w:color w:val="0D0D0D" w:themeColor="text1" w:themeTint="F2"/>
                <w:spacing w:val="-6"/>
              </w:rPr>
              <w:t>desetinu druhý rok v řadě) a také opravy strojů a</w:t>
            </w:r>
            <w:r>
              <w:rPr>
                <w:color w:val="0D0D0D" w:themeColor="text1" w:themeTint="F2"/>
                <w:spacing w:val="-6"/>
              </w:rPr>
              <w:t> </w:t>
            </w:r>
            <w:r w:rsidRPr="005E6936">
              <w:rPr>
                <w:color w:val="0D0D0D" w:themeColor="text1" w:themeTint="F2"/>
                <w:spacing w:val="-6"/>
              </w:rPr>
              <w:t>zařízení.</w:t>
            </w:r>
          </w:p>
        </w:tc>
      </w:tr>
      <w:tr w:rsidR="007D7F4F" w:rsidRPr="00823342" w14:paraId="7F753187" w14:textId="77777777" w:rsidTr="00067363">
        <w:trPr>
          <w:trHeight w:val="170"/>
        </w:trPr>
        <w:tc>
          <w:tcPr>
            <w:tcW w:w="1814" w:type="dxa"/>
            <w:shd w:val="clear" w:color="auto" w:fill="auto"/>
            <w:tcMar>
              <w:left w:w="0" w:type="dxa"/>
            </w:tcMar>
          </w:tcPr>
          <w:p w14:paraId="12F0D163" w14:textId="77777777" w:rsidR="007D7F4F" w:rsidRDefault="007D7F4F" w:rsidP="007D7F4F">
            <w:pPr>
              <w:pStyle w:val="Marginlie"/>
              <w:rPr>
                <w:color w:val="0D0D0D" w:themeColor="text1" w:themeTint="F2"/>
              </w:rPr>
            </w:pPr>
            <w:r>
              <w:rPr>
                <w:color w:val="0D0D0D" w:themeColor="text1" w:themeTint="F2"/>
              </w:rPr>
              <w:lastRenderedPageBreak/>
              <w:t>Tržby z průmyslové činnosti ve 3. čtvrtletí po téměř třech letech poklesly.</w:t>
            </w:r>
          </w:p>
        </w:tc>
        <w:tc>
          <w:tcPr>
            <w:tcW w:w="229" w:type="dxa"/>
            <w:shd w:val="clear" w:color="auto" w:fill="auto"/>
            <w:tcMar>
              <w:left w:w="0" w:type="dxa"/>
            </w:tcMar>
          </w:tcPr>
          <w:p w14:paraId="3B9D8FD8" w14:textId="77777777" w:rsidR="007D7F4F" w:rsidRPr="00B51DC6"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26A412E2" w14:textId="77777777" w:rsidR="007D7F4F" w:rsidRPr="005E6936" w:rsidRDefault="007D7F4F" w:rsidP="007D7F4F">
            <w:pPr>
              <w:spacing w:after="200"/>
              <w:rPr>
                <w:rFonts w:cs="Arial"/>
                <w:bCs/>
                <w:color w:val="0D0D0D" w:themeColor="text1" w:themeTint="F2"/>
                <w:spacing w:val="-6"/>
                <w:szCs w:val="20"/>
              </w:rPr>
            </w:pPr>
            <w:r w:rsidRPr="005E6936">
              <w:rPr>
                <w:rFonts w:cs="Arial"/>
                <w:bCs/>
                <w:color w:val="0D0D0D" w:themeColor="text1" w:themeTint="F2"/>
                <w:spacing w:val="-6"/>
                <w:szCs w:val="20"/>
              </w:rPr>
              <w:t>Zatímco na počátku letošního roku rostly nominální tržby průmyslových podniků</w:t>
            </w:r>
            <w:r w:rsidRPr="005E6936">
              <w:rPr>
                <w:rStyle w:val="Znakapoznpodarou"/>
                <w:bCs/>
                <w:color w:val="0D0D0D" w:themeColor="text1" w:themeTint="F2"/>
                <w:spacing w:val="-6"/>
                <w:szCs w:val="20"/>
              </w:rPr>
              <w:footnoteReference w:id="27"/>
            </w:r>
            <w:r w:rsidRPr="005E6936">
              <w:rPr>
                <w:rFonts w:cs="Arial"/>
                <w:bCs/>
                <w:color w:val="0D0D0D" w:themeColor="text1" w:themeTint="F2"/>
                <w:spacing w:val="-6"/>
                <w:szCs w:val="20"/>
              </w:rPr>
              <w:t xml:space="preserve"> meziročně ještě dvouciferným tempem, ve 3. čtvrtletí se snížily o 3,5 % (bez významnějšího rozdílu mezi tempy za domácí tržby a ty z přímého vývozu) a klesly tak poprvé po bezmála třech letech. Slábnoucí tempo tržeb lze zčásti připsat vlivu odeznívajícího cenového růstu na straně výrobců (zejména ve zpracovatelském průmyslu), současně ale vypovídá také o poklesu tuzemské i zahraniční poptávky. Růst cen průmyslových výrobců byl ve 3. čtvrtletí již jen mírný (1,3 %) a tržby tak klesly ve více než polovině průmyslových oborů (nejvíce v hutnictví, o 26 %). V jiných oborech postižených poklesem reálné poptávky se však tržby díky přetrvávajícímu cenovému růstu navýšily (v těž</w:t>
            </w:r>
            <w:r>
              <w:rPr>
                <w:rFonts w:cs="Arial"/>
                <w:bCs/>
                <w:color w:val="0D0D0D" w:themeColor="text1" w:themeTint="F2"/>
                <w:spacing w:val="-6"/>
                <w:szCs w:val="20"/>
              </w:rPr>
              <w:t xml:space="preserve">bě uhlí a stavebních materiálů, </w:t>
            </w:r>
            <w:r w:rsidRPr="005E6936">
              <w:rPr>
                <w:rFonts w:cs="Arial"/>
                <w:bCs/>
                <w:color w:val="0D0D0D" w:themeColor="text1" w:themeTint="F2"/>
                <w:spacing w:val="-6"/>
                <w:szCs w:val="20"/>
              </w:rPr>
              <w:t>v potravinářství, výrobě nápojů, oděvnictví a obuvnictví). Ze zpracovatelských oborů registrovaly větší než 10% růst tržeb výrobci ostatních dopravních prostředků a odvětví opravy strojů a zařízení.</w:t>
            </w:r>
          </w:p>
        </w:tc>
      </w:tr>
      <w:tr w:rsidR="007D7F4F" w:rsidRPr="00705C3E" w14:paraId="6DE54788" w14:textId="77777777" w:rsidTr="00067363">
        <w:trPr>
          <w:trHeight w:val="134"/>
        </w:trPr>
        <w:tc>
          <w:tcPr>
            <w:tcW w:w="1814" w:type="dxa"/>
            <w:vMerge w:val="restart"/>
            <w:shd w:val="clear" w:color="auto" w:fill="auto"/>
            <w:tcMar>
              <w:left w:w="0" w:type="dxa"/>
            </w:tcMar>
          </w:tcPr>
          <w:p w14:paraId="4DFA088B" w14:textId="77777777" w:rsidR="007D7F4F" w:rsidRDefault="007D7F4F" w:rsidP="007D7F4F">
            <w:pPr>
              <w:pStyle w:val="Marginlie"/>
            </w:pPr>
          </w:p>
        </w:tc>
        <w:tc>
          <w:tcPr>
            <w:tcW w:w="229" w:type="dxa"/>
            <w:vMerge w:val="restart"/>
            <w:shd w:val="clear" w:color="auto" w:fill="auto"/>
            <w:tcMar>
              <w:left w:w="0" w:type="dxa"/>
            </w:tcMar>
          </w:tcPr>
          <w:p w14:paraId="0C26AA1F" w14:textId="77777777" w:rsidR="007D7F4F" w:rsidRDefault="007D7F4F" w:rsidP="007D7F4F">
            <w:pPr>
              <w:pStyle w:val="Textpoznpodarou"/>
              <w:jc w:val="both"/>
              <w:rPr>
                <w:spacing w:val="-4"/>
              </w:rPr>
            </w:pPr>
          </w:p>
        </w:tc>
        <w:tc>
          <w:tcPr>
            <w:tcW w:w="7596" w:type="dxa"/>
            <w:shd w:val="clear" w:color="auto" w:fill="auto"/>
            <w:tcMar>
              <w:left w:w="0" w:type="dxa"/>
            </w:tcMar>
          </w:tcPr>
          <w:p w14:paraId="425910C6" w14:textId="77777777" w:rsidR="007D7F4F" w:rsidRPr="005E6936" w:rsidRDefault="007D7F4F" w:rsidP="007D7F4F">
            <w:pPr>
              <w:spacing w:after="0"/>
              <w:rPr>
                <w:color w:val="0D0D0D" w:themeColor="text1" w:themeTint="F2"/>
                <w:spacing w:val="-6"/>
              </w:rPr>
            </w:pPr>
            <w:r w:rsidRPr="005E6936">
              <w:rPr>
                <w:b/>
                <w:spacing w:val="-6"/>
              </w:rPr>
              <w:t xml:space="preserve">Graf č. 5  Nové zakázky v průmyslu </w:t>
            </w:r>
            <w:r w:rsidRPr="005E6936">
              <w:rPr>
                <w:bCs/>
                <w:spacing w:val="-6"/>
              </w:rPr>
              <w:t xml:space="preserve">(nominálně, </w:t>
            </w:r>
            <w:r w:rsidRPr="005E6936">
              <w:rPr>
                <w:spacing w:val="-6"/>
              </w:rPr>
              <w:t>meziročně,</w:t>
            </w:r>
            <w:r w:rsidRPr="005E6936">
              <w:rPr>
                <w:bCs/>
                <w:spacing w:val="-6"/>
              </w:rPr>
              <w:t xml:space="preserve"> v %)</w:t>
            </w:r>
            <w:r w:rsidRPr="005E6936">
              <w:rPr>
                <w:b/>
                <w:spacing w:val="-6"/>
              </w:rPr>
              <w:t>, využití výrobních kapacit v průmyslu, vybrané bariéry růstu</w:t>
            </w:r>
            <w:r w:rsidRPr="005E6936">
              <w:rPr>
                <w:spacing w:val="-6"/>
              </w:rPr>
              <w:t xml:space="preserve">* (v %, pravá osa) </w:t>
            </w:r>
            <w:r w:rsidRPr="005E6936">
              <w:rPr>
                <w:b/>
                <w:spacing w:val="-6"/>
              </w:rPr>
              <w:t xml:space="preserve">a saldo důvěry podnikatelů v průmyslu* </w:t>
            </w:r>
            <w:r w:rsidRPr="005E6936">
              <w:rPr>
                <w:spacing w:val="-6"/>
              </w:rPr>
              <w:t>(v p. b., pravá osa)</w:t>
            </w:r>
          </w:p>
        </w:tc>
      </w:tr>
      <w:tr w:rsidR="007D7F4F" w:rsidRPr="00705C3E" w14:paraId="45D1BF92" w14:textId="77777777" w:rsidTr="00067363">
        <w:tblPrEx>
          <w:tblCellMar>
            <w:left w:w="70" w:type="dxa"/>
            <w:right w:w="70" w:type="dxa"/>
          </w:tblCellMar>
        </w:tblPrEx>
        <w:trPr>
          <w:trHeight w:val="133"/>
        </w:trPr>
        <w:tc>
          <w:tcPr>
            <w:tcW w:w="1814" w:type="dxa"/>
            <w:vMerge/>
            <w:shd w:val="clear" w:color="auto" w:fill="auto"/>
          </w:tcPr>
          <w:p w14:paraId="0FF610D0" w14:textId="77777777" w:rsidR="007D7F4F" w:rsidRDefault="007D7F4F" w:rsidP="007D7F4F">
            <w:pPr>
              <w:pStyle w:val="Marginlie"/>
            </w:pPr>
          </w:p>
        </w:tc>
        <w:tc>
          <w:tcPr>
            <w:tcW w:w="229" w:type="dxa"/>
            <w:vMerge/>
            <w:shd w:val="clear" w:color="auto" w:fill="auto"/>
          </w:tcPr>
          <w:p w14:paraId="6DEFBE52" w14:textId="77777777" w:rsidR="007D7F4F" w:rsidRDefault="007D7F4F" w:rsidP="007D7F4F">
            <w:pPr>
              <w:pStyle w:val="Textpoznpodarou"/>
              <w:jc w:val="both"/>
              <w:rPr>
                <w:spacing w:val="-4"/>
              </w:rPr>
            </w:pPr>
          </w:p>
        </w:tc>
        <w:tc>
          <w:tcPr>
            <w:tcW w:w="7596" w:type="dxa"/>
            <w:shd w:val="clear" w:color="auto" w:fill="auto"/>
          </w:tcPr>
          <w:p w14:paraId="216549ED" w14:textId="77777777" w:rsidR="007D7F4F" w:rsidRPr="005E6936" w:rsidRDefault="007D7F4F" w:rsidP="007D7F4F">
            <w:pPr>
              <w:spacing w:after="0"/>
              <w:rPr>
                <w:color w:val="0D0D0D" w:themeColor="text1" w:themeTint="F2"/>
                <w:spacing w:val="-6"/>
              </w:rPr>
            </w:pPr>
            <w:r w:rsidRPr="005E6936">
              <w:rPr>
                <w:noProof/>
                <w:spacing w:val="-6"/>
              </w:rPr>
              <w:drawing>
                <wp:inline distT="0" distB="0" distL="0" distR="0" wp14:anchorId="081A2AC2" wp14:editId="6EE70F71">
                  <wp:extent cx="4734560" cy="3453130"/>
                  <wp:effectExtent l="0" t="0" r="889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7D7F4F" w:rsidRPr="00705C3E" w14:paraId="30700E78" w14:textId="77777777" w:rsidTr="00067363">
        <w:trPr>
          <w:trHeight w:val="133"/>
        </w:trPr>
        <w:tc>
          <w:tcPr>
            <w:tcW w:w="1814" w:type="dxa"/>
            <w:vMerge/>
            <w:shd w:val="clear" w:color="auto" w:fill="auto"/>
            <w:tcMar>
              <w:left w:w="0" w:type="dxa"/>
            </w:tcMar>
          </w:tcPr>
          <w:p w14:paraId="1AAF1FE7" w14:textId="77777777" w:rsidR="007D7F4F" w:rsidRDefault="007D7F4F" w:rsidP="007D7F4F">
            <w:pPr>
              <w:pStyle w:val="Marginlie"/>
            </w:pPr>
          </w:p>
        </w:tc>
        <w:tc>
          <w:tcPr>
            <w:tcW w:w="229" w:type="dxa"/>
            <w:vMerge/>
            <w:shd w:val="clear" w:color="auto" w:fill="auto"/>
            <w:tcMar>
              <w:left w:w="0" w:type="dxa"/>
            </w:tcMar>
          </w:tcPr>
          <w:p w14:paraId="4B67AEEB" w14:textId="77777777" w:rsidR="007D7F4F" w:rsidRDefault="007D7F4F" w:rsidP="007D7F4F">
            <w:pPr>
              <w:pStyle w:val="Textpoznpodarou"/>
              <w:jc w:val="both"/>
              <w:rPr>
                <w:spacing w:val="-4"/>
              </w:rPr>
            </w:pPr>
          </w:p>
        </w:tc>
        <w:tc>
          <w:tcPr>
            <w:tcW w:w="7596" w:type="dxa"/>
            <w:shd w:val="clear" w:color="auto" w:fill="auto"/>
            <w:tcMar>
              <w:left w:w="0" w:type="dxa"/>
            </w:tcMar>
          </w:tcPr>
          <w:p w14:paraId="63AE4A94" w14:textId="77777777" w:rsidR="007D7F4F" w:rsidRPr="005E6936" w:rsidRDefault="007D7F4F" w:rsidP="007D7F4F">
            <w:pPr>
              <w:spacing w:after="200" w:line="240" w:lineRule="auto"/>
              <w:rPr>
                <w:color w:val="0D0D0D" w:themeColor="text1" w:themeTint="F2"/>
                <w:spacing w:val="-6"/>
              </w:rPr>
            </w:pPr>
            <w:r w:rsidRPr="005E6936">
              <w:rPr>
                <w:color w:val="0D0D0D" w:themeColor="text1" w:themeTint="F2"/>
                <w:spacing w:val="-6"/>
              </w:rPr>
              <w:t>*</w:t>
            </w:r>
            <w:r w:rsidRPr="005E6936">
              <w:rPr>
                <w:rFonts w:cs="Arial"/>
                <w:spacing w:val="-6"/>
                <w:sz w:val="14"/>
                <w:szCs w:val="14"/>
              </w:rPr>
              <w:t xml:space="preserve">Využití průmyslových kapacit i bariéry růstu vyjadřují stav v prvním měsíci daného čtvrtletí, saldo důvěry podnikatelů je vztaženo ke druhému měsíci čtvrtletí. Zakázky jsou očištěny o kalendářní vlivy, ostatní ukazatele jsou sezónně očištěny. Podniky mohly uvést více hlavních růstových bariér současně.                                                                   Zdroj: ČSÚ, </w:t>
            </w:r>
            <w:proofErr w:type="spellStart"/>
            <w:r w:rsidRPr="005E6936">
              <w:rPr>
                <w:rFonts w:cs="Arial"/>
                <w:spacing w:val="-6"/>
                <w:sz w:val="14"/>
                <w:szCs w:val="14"/>
              </w:rPr>
              <w:t>Eurostat</w:t>
            </w:r>
            <w:proofErr w:type="spellEnd"/>
          </w:p>
        </w:tc>
      </w:tr>
      <w:tr w:rsidR="007D7F4F" w:rsidRPr="005A37A7" w14:paraId="3EDB4207" w14:textId="77777777" w:rsidTr="00067363">
        <w:trPr>
          <w:trHeight w:val="170"/>
        </w:trPr>
        <w:tc>
          <w:tcPr>
            <w:tcW w:w="1814" w:type="dxa"/>
            <w:shd w:val="clear" w:color="auto" w:fill="auto"/>
            <w:tcMar>
              <w:left w:w="0" w:type="dxa"/>
            </w:tcMar>
          </w:tcPr>
          <w:p w14:paraId="55E7F15A" w14:textId="77777777" w:rsidR="007D7F4F" w:rsidRDefault="007D7F4F" w:rsidP="007D7F4F">
            <w:pPr>
              <w:pStyle w:val="Marginlie"/>
              <w:rPr>
                <w:color w:val="0D0D0D" w:themeColor="text1" w:themeTint="F2"/>
              </w:rPr>
            </w:pPr>
            <w:r>
              <w:rPr>
                <w:color w:val="0D0D0D" w:themeColor="text1" w:themeTint="F2"/>
              </w:rPr>
              <w:t xml:space="preserve">Hodnota nových průmyslových zakázek se snížila ve 2. i 3. čtvrtletí. </w:t>
            </w:r>
          </w:p>
          <w:p w14:paraId="3E22E8C8" w14:textId="77777777" w:rsidR="007D7F4F" w:rsidRPr="0014753A" w:rsidRDefault="007D7F4F" w:rsidP="007D7F4F">
            <w:pPr>
              <w:pStyle w:val="Marginlie"/>
              <w:rPr>
                <w:color w:val="0D0D0D" w:themeColor="text1" w:themeTint="F2"/>
                <w:sz w:val="20"/>
                <w:szCs w:val="20"/>
              </w:rPr>
            </w:pPr>
          </w:p>
          <w:p w14:paraId="5C490763" w14:textId="77777777" w:rsidR="007D7F4F" w:rsidRPr="0014753A" w:rsidRDefault="007D7F4F" w:rsidP="007D7F4F">
            <w:pPr>
              <w:pStyle w:val="Marginlie"/>
              <w:rPr>
                <w:color w:val="0D0D0D" w:themeColor="text1" w:themeTint="F2"/>
                <w:sz w:val="20"/>
                <w:szCs w:val="20"/>
              </w:rPr>
            </w:pPr>
          </w:p>
          <w:p w14:paraId="78AD4CC9" w14:textId="1E4D837D" w:rsidR="007D7F4F" w:rsidRDefault="007D7F4F" w:rsidP="007D7F4F">
            <w:pPr>
              <w:pStyle w:val="Marginlie"/>
              <w:rPr>
                <w:color w:val="0D0D0D" w:themeColor="text1" w:themeTint="F2"/>
              </w:rPr>
            </w:pPr>
            <w:r>
              <w:rPr>
                <w:color w:val="0D0D0D" w:themeColor="text1" w:themeTint="F2"/>
              </w:rPr>
              <w:lastRenderedPageBreak/>
              <w:t>Mírný růst poptávky přetrvával v</w:t>
            </w:r>
            <w:r w:rsidR="001E6441">
              <w:rPr>
                <w:color w:val="0D0D0D" w:themeColor="text1" w:themeTint="F2"/>
              </w:rPr>
              <w:t>e výrobě motorových vozidel</w:t>
            </w:r>
            <w:r>
              <w:rPr>
                <w:color w:val="0D0D0D" w:themeColor="text1" w:themeTint="F2"/>
              </w:rPr>
              <w:br/>
              <w:t>a v elektrotechnice. Příznivé signály stále hlásí farmacie.</w:t>
            </w:r>
          </w:p>
        </w:tc>
        <w:tc>
          <w:tcPr>
            <w:tcW w:w="229" w:type="dxa"/>
            <w:shd w:val="clear" w:color="auto" w:fill="auto"/>
            <w:tcMar>
              <w:left w:w="0" w:type="dxa"/>
            </w:tcMar>
          </w:tcPr>
          <w:p w14:paraId="2B67A379" w14:textId="77777777" w:rsidR="007D7F4F" w:rsidRPr="00B51DC6"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41F71486" w14:textId="77777777" w:rsidR="007D7F4F" w:rsidRPr="005E6936" w:rsidRDefault="007D7F4F" w:rsidP="007D7F4F">
            <w:pPr>
              <w:spacing w:after="200"/>
              <w:rPr>
                <w:rFonts w:cs="Arial"/>
                <w:bCs/>
                <w:color w:val="0D0D0D" w:themeColor="text1" w:themeTint="F2"/>
                <w:spacing w:val="-6"/>
                <w:szCs w:val="20"/>
              </w:rPr>
            </w:pPr>
            <w:r w:rsidRPr="005E6936">
              <w:rPr>
                <w:color w:val="0D0D0D" w:themeColor="text1" w:themeTint="F2"/>
                <w:spacing w:val="-6"/>
              </w:rPr>
              <w:t>Dynamika nových průmyslových zakázek potvrzovala přetrvávající slabou poptávku. Nominální hodnota zakázek ve sledovaných průmyslových odvětvích</w:t>
            </w:r>
            <w:r w:rsidRPr="005E6936">
              <w:rPr>
                <w:rStyle w:val="Znakapoznpodarou"/>
                <w:color w:val="0D0D0D" w:themeColor="text1" w:themeTint="F2"/>
                <w:spacing w:val="-6"/>
              </w:rPr>
              <w:footnoteReference w:id="28"/>
            </w:r>
            <w:r w:rsidRPr="005E6936">
              <w:rPr>
                <w:color w:val="0D0D0D" w:themeColor="text1" w:themeTint="F2"/>
                <w:spacing w:val="-6"/>
              </w:rPr>
              <w:t xml:space="preserve"> se letos ve 2.</w:t>
            </w:r>
            <w:r w:rsidRPr="005E6936">
              <w:rPr>
                <w:rFonts w:cs="Arial"/>
                <w:bCs/>
                <w:color w:val="0D0D0D" w:themeColor="text1" w:themeTint="F2"/>
                <w:spacing w:val="-6"/>
                <w:szCs w:val="20"/>
              </w:rPr>
              <w:t> </w:t>
            </w:r>
            <w:r w:rsidRPr="005E6936">
              <w:rPr>
                <w:color w:val="0D0D0D" w:themeColor="text1" w:themeTint="F2"/>
                <w:spacing w:val="-6"/>
              </w:rPr>
              <w:t>čtvrtletí meziročně snížila o 2,8 %, v následujícím období již o 4,7 %. Rychleji klesla domácí poptávka</w:t>
            </w:r>
            <w:r w:rsidRPr="005E6936">
              <w:rPr>
                <w:rStyle w:val="Znakapoznpodarou"/>
                <w:color w:val="0D0D0D" w:themeColor="text1" w:themeTint="F2"/>
                <w:spacing w:val="-6"/>
              </w:rPr>
              <w:footnoteReference w:id="29"/>
            </w:r>
            <w:r w:rsidRPr="005E6936">
              <w:rPr>
                <w:color w:val="0D0D0D" w:themeColor="text1" w:themeTint="F2"/>
                <w:spacing w:val="-6"/>
              </w:rPr>
              <w:t xml:space="preserve">, která ještě loni významně pomáhala tlumit negativní dopady nastupující energetické krize. Nepříznivé vyhlídky se stále týkaly energeticky náročných oborů. </w:t>
            </w:r>
            <w:r w:rsidRPr="005E6936">
              <w:rPr>
                <w:color w:val="0D0D0D" w:themeColor="text1" w:themeTint="F2"/>
                <w:spacing w:val="-6"/>
              </w:rPr>
              <w:lastRenderedPageBreak/>
              <w:t>V hutnictví či chemickém průmyslu byla ve 3. čtvrtletí hodnota zakázek ve srovnání se 3.</w:t>
            </w:r>
            <w:r w:rsidRPr="005E6936">
              <w:rPr>
                <w:rFonts w:cs="Arial"/>
                <w:bCs/>
                <w:color w:val="0D0D0D" w:themeColor="text1" w:themeTint="F2"/>
                <w:spacing w:val="-6"/>
                <w:szCs w:val="20"/>
              </w:rPr>
              <w:t> </w:t>
            </w:r>
            <w:r w:rsidRPr="005E6936">
              <w:rPr>
                <w:color w:val="0D0D0D" w:themeColor="text1" w:themeTint="F2"/>
                <w:spacing w:val="-6"/>
              </w:rPr>
              <w:t xml:space="preserve">čtvrtletím loňského roku o pětinu nižší. Ve strojírenství i výrobě počítačů a elektronických a optických přístrojů se během letošního léta zastavil růst poptávky. Ta se naopak stále mírně zvyšovala v elektrotechnice a výrobě motorových vozidel. Nejpříznivější vyhlídky držela stále farmacie, kde více než 10% růst zakázek přetrvával šestý kvartál v řadě. Signály zvýšené poptávky zde byly patrné z tuzemska i ze zahraničí. </w:t>
            </w:r>
          </w:p>
        </w:tc>
      </w:tr>
      <w:tr w:rsidR="007D7F4F" w:rsidRPr="005A37A7" w14:paraId="78BC9101" w14:textId="77777777" w:rsidTr="00067363">
        <w:trPr>
          <w:trHeight w:val="170"/>
        </w:trPr>
        <w:tc>
          <w:tcPr>
            <w:tcW w:w="1814" w:type="dxa"/>
            <w:shd w:val="clear" w:color="auto" w:fill="auto"/>
            <w:tcMar>
              <w:left w:w="0" w:type="dxa"/>
            </w:tcMar>
          </w:tcPr>
          <w:p w14:paraId="7C80EF37" w14:textId="77777777" w:rsidR="007D7F4F" w:rsidRDefault="007D7F4F" w:rsidP="007D7F4F">
            <w:pPr>
              <w:pStyle w:val="Marginlie"/>
              <w:rPr>
                <w:color w:val="0D0D0D" w:themeColor="text1" w:themeTint="F2"/>
                <w:spacing w:val="-4"/>
              </w:rPr>
            </w:pPr>
            <w:r>
              <w:rPr>
                <w:color w:val="0D0D0D" w:themeColor="text1" w:themeTint="F2"/>
                <w:spacing w:val="-4"/>
              </w:rPr>
              <w:lastRenderedPageBreak/>
              <w:t>Důvěra podnikatelů v průmyslu byla letos v září nejnižší za poslední tři roky. Následně se mírně zlepšila.</w:t>
            </w:r>
          </w:p>
          <w:p w14:paraId="796607AA" w14:textId="77777777" w:rsidR="007D7F4F" w:rsidRDefault="007D7F4F" w:rsidP="007D7F4F">
            <w:pPr>
              <w:pStyle w:val="Marginlie"/>
              <w:rPr>
                <w:color w:val="0D0D0D" w:themeColor="text1" w:themeTint="F2"/>
                <w:spacing w:val="-4"/>
              </w:rPr>
            </w:pPr>
          </w:p>
          <w:p w14:paraId="5A40FA2B" w14:textId="77777777" w:rsidR="007D7F4F" w:rsidRDefault="007D7F4F" w:rsidP="007D7F4F">
            <w:pPr>
              <w:pStyle w:val="Marginlie"/>
              <w:rPr>
                <w:color w:val="0D0D0D" w:themeColor="text1" w:themeTint="F2"/>
                <w:spacing w:val="-4"/>
              </w:rPr>
            </w:pPr>
          </w:p>
          <w:p w14:paraId="09CA35BE" w14:textId="77777777" w:rsidR="007D7F4F" w:rsidRDefault="007D7F4F" w:rsidP="007D7F4F">
            <w:pPr>
              <w:pStyle w:val="Marginlie"/>
              <w:rPr>
                <w:color w:val="0D0D0D" w:themeColor="text1" w:themeTint="F2"/>
                <w:spacing w:val="-4"/>
              </w:rPr>
            </w:pPr>
          </w:p>
          <w:p w14:paraId="2D7C5FA4" w14:textId="77777777" w:rsidR="007D7F4F" w:rsidRDefault="007D7F4F" w:rsidP="007D7F4F">
            <w:pPr>
              <w:pStyle w:val="Marginlie"/>
              <w:rPr>
                <w:color w:val="0D0D0D" w:themeColor="text1" w:themeTint="F2"/>
                <w:spacing w:val="-4"/>
              </w:rPr>
            </w:pPr>
          </w:p>
          <w:p w14:paraId="176DD11A" w14:textId="77777777" w:rsidR="007D7F4F" w:rsidRDefault="007D7F4F" w:rsidP="007D7F4F">
            <w:pPr>
              <w:pStyle w:val="Marginlie"/>
              <w:rPr>
                <w:color w:val="0D0D0D" w:themeColor="text1" w:themeTint="F2"/>
                <w:spacing w:val="-4"/>
              </w:rPr>
            </w:pPr>
            <w:r>
              <w:rPr>
                <w:color w:val="0D0D0D" w:themeColor="text1" w:themeTint="F2"/>
                <w:spacing w:val="-4"/>
              </w:rPr>
              <w:t xml:space="preserve">Negativní hodnocení současné poptávky přetrvávalo. </w:t>
            </w:r>
          </w:p>
        </w:tc>
        <w:tc>
          <w:tcPr>
            <w:tcW w:w="229" w:type="dxa"/>
            <w:shd w:val="clear" w:color="auto" w:fill="auto"/>
            <w:tcMar>
              <w:left w:w="0" w:type="dxa"/>
            </w:tcMar>
          </w:tcPr>
          <w:p w14:paraId="6AFB8099" w14:textId="77777777" w:rsidR="007D7F4F" w:rsidRPr="004B53F7"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4D816996" w14:textId="77777777" w:rsidR="007D7F4F" w:rsidRPr="005E6936" w:rsidRDefault="007D7F4F" w:rsidP="007D7F4F">
            <w:pPr>
              <w:spacing w:after="200"/>
              <w:rPr>
                <w:color w:val="0D0D0D" w:themeColor="text1" w:themeTint="F2"/>
                <w:spacing w:val="-6"/>
              </w:rPr>
            </w:pPr>
            <w:r w:rsidRPr="005E6936">
              <w:rPr>
                <w:color w:val="0D0D0D" w:themeColor="text1" w:themeTint="F2"/>
                <w:spacing w:val="-6"/>
              </w:rPr>
              <w:t>Důvěra podnikatelů v průmyslu se od letošního jara zhoršovala pod vlivem nepříznivých hospodářských výhledů v klíčových exportních destinacích. V září dosáhla tříletého minima a pohybovala se zřetelně v negativním pásmu. Narůstající pesimismus úzce souvisel se zhoršeným hodnocením u poptávky, krátkodobých očekávání vlastní výroby, hospodářské situace podniku i zaměstnanosti</w:t>
            </w:r>
            <w:r w:rsidRPr="005E6936">
              <w:rPr>
                <w:rStyle w:val="Znakapoznpodarou"/>
                <w:color w:val="0D0D0D" w:themeColor="text1" w:themeTint="F2"/>
                <w:spacing w:val="-6"/>
              </w:rPr>
              <w:footnoteReference w:id="30"/>
            </w:r>
            <w:r w:rsidRPr="005E6936">
              <w:rPr>
                <w:color w:val="0D0D0D" w:themeColor="text1" w:themeTint="F2"/>
                <w:spacing w:val="-6"/>
              </w:rPr>
              <w:t>. V říjnu a listopadu se celková důvěra zvýšila (a vrátila se na úroveň z přelomu let 2022 a 2023). Narostl počet podniků očekávajících zvýšení výroby a</w:t>
            </w:r>
            <w:r>
              <w:rPr>
                <w:color w:val="0D0D0D" w:themeColor="text1" w:themeTint="F2"/>
                <w:spacing w:val="-6"/>
              </w:rPr>
              <w:t> </w:t>
            </w:r>
            <w:r w:rsidRPr="005E6936">
              <w:rPr>
                <w:color w:val="0D0D0D" w:themeColor="text1" w:themeTint="F2"/>
                <w:spacing w:val="-6"/>
              </w:rPr>
              <w:t>současně klesly stavy zásob hotových výrobků, jež byly ještě během léta nezvykle vysoké. Podniky však ani na sklonku roku neopustil pesimismus ohledně současné poptávky (zejména té zahraniční). Za nedostatečnou ji považoval každý čtvrtý a 46 % podniků (nejvíce v letošním roce) uvedlo, že pro ně nedostatečná poptávka představuje významnou bariéru růstu</w:t>
            </w:r>
            <w:r w:rsidRPr="005E6936">
              <w:rPr>
                <w:rStyle w:val="Znakapoznpodarou"/>
                <w:color w:val="0D0D0D" w:themeColor="text1" w:themeTint="F2"/>
                <w:spacing w:val="-6"/>
              </w:rPr>
              <w:footnoteReference w:id="31"/>
            </w:r>
            <w:r w:rsidRPr="005E6936">
              <w:rPr>
                <w:color w:val="0D0D0D" w:themeColor="text1" w:themeTint="F2"/>
                <w:spacing w:val="-6"/>
              </w:rPr>
              <w:t>. Nedostupnost materiálu a zařízení limitoval již pouze šestinu podniků (nejméně za poslední tři roky), nedostatek pracovníků pak zhruba každý pátý podnik (v některých průmyslových oborech se však stále jednalo o klíčovou rozvojovou bariéru</w:t>
            </w:r>
            <w:r w:rsidRPr="005E6936">
              <w:rPr>
                <w:rStyle w:val="Znakapoznpodarou"/>
                <w:color w:val="0D0D0D" w:themeColor="text1" w:themeTint="F2"/>
                <w:spacing w:val="-6"/>
              </w:rPr>
              <w:footnoteReference w:id="32"/>
            </w:r>
            <w:r w:rsidRPr="005E6936">
              <w:rPr>
                <w:color w:val="0D0D0D" w:themeColor="text1" w:themeTint="F2"/>
                <w:spacing w:val="-6"/>
              </w:rPr>
              <w:t>).</w:t>
            </w:r>
          </w:p>
        </w:tc>
      </w:tr>
      <w:tr w:rsidR="007D7F4F" w:rsidRPr="00784EC8" w14:paraId="5F3E1C58" w14:textId="77777777" w:rsidTr="00067363">
        <w:trPr>
          <w:trHeight w:val="170"/>
        </w:trPr>
        <w:tc>
          <w:tcPr>
            <w:tcW w:w="1814" w:type="dxa"/>
            <w:shd w:val="clear" w:color="auto" w:fill="auto"/>
            <w:tcMar>
              <w:left w:w="0" w:type="dxa"/>
            </w:tcMar>
          </w:tcPr>
          <w:p w14:paraId="7513DAAE" w14:textId="77777777" w:rsidR="007D7F4F" w:rsidRDefault="007D7F4F" w:rsidP="007D7F4F">
            <w:pPr>
              <w:pStyle w:val="Marginlie"/>
              <w:rPr>
                <w:color w:val="0D0D0D" w:themeColor="text1" w:themeTint="F2"/>
                <w:spacing w:val="-4"/>
              </w:rPr>
            </w:pPr>
            <w:r>
              <w:rPr>
                <w:color w:val="0D0D0D" w:themeColor="text1" w:themeTint="F2"/>
                <w:spacing w:val="-4"/>
              </w:rPr>
              <w:t xml:space="preserve">Výkon stavebnictví ovlivňovaly dosud významné nákladové tlaky i slábnoucí soukromá investiční aktivita. </w:t>
            </w:r>
          </w:p>
        </w:tc>
        <w:tc>
          <w:tcPr>
            <w:tcW w:w="229" w:type="dxa"/>
            <w:shd w:val="clear" w:color="auto" w:fill="auto"/>
            <w:tcMar>
              <w:left w:w="0" w:type="dxa"/>
            </w:tcMar>
          </w:tcPr>
          <w:p w14:paraId="15B94737" w14:textId="77777777" w:rsidR="007D7F4F" w:rsidRPr="00784EC8"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7FEDC226" w14:textId="77777777" w:rsidR="007D7F4F" w:rsidRPr="005E6936" w:rsidRDefault="007D7F4F" w:rsidP="007D7F4F">
            <w:pPr>
              <w:spacing w:after="200"/>
              <w:rPr>
                <w:color w:val="0D0D0D" w:themeColor="text1" w:themeTint="F2"/>
                <w:spacing w:val="-6"/>
              </w:rPr>
            </w:pPr>
            <w:r w:rsidRPr="005E6936">
              <w:rPr>
                <w:color w:val="0D0D0D" w:themeColor="text1" w:themeTint="F2"/>
                <w:spacing w:val="-6"/>
              </w:rPr>
              <w:t>Stavebnictví letos v 1. až 3. čtvrtletí stále ovlivňov</w:t>
            </w:r>
            <w:r>
              <w:rPr>
                <w:color w:val="0D0D0D" w:themeColor="text1" w:themeTint="F2"/>
                <w:spacing w:val="-6"/>
              </w:rPr>
              <w:t>aly</w:t>
            </w:r>
            <w:r w:rsidRPr="005E6936">
              <w:rPr>
                <w:color w:val="0D0D0D" w:themeColor="text1" w:themeTint="F2"/>
                <w:spacing w:val="-6"/>
              </w:rPr>
              <w:t xml:space="preserve"> přetrvávajícími nákladov</w:t>
            </w:r>
            <w:r>
              <w:rPr>
                <w:color w:val="0D0D0D" w:themeColor="text1" w:themeTint="F2"/>
                <w:spacing w:val="-6"/>
              </w:rPr>
              <w:t>é</w:t>
            </w:r>
            <w:r w:rsidRPr="005E6936">
              <w:rPr>
                <w:color w:val="0D0D0D" w:themeColor="text1" w:themeTint="F2"/>
                <w:spacing w:val="-6"/>
              </w:rPr>
              <w:t xml:space="preserve"> tlaky i slábnoucí investiční aktivit</w:t>
            </w:r>
            <w:r>
              <w:rPr>
                <w:color w:val="0D0D0D" w:themeColor="text1" w:themeTint="F2"/>
                <w:spacing w:val="-6"/>
              </w:rPr>
              <w:t>a</w:t>
            </w:r>
            <w:r w:rsidRPr="005E6936">
              <w:rPr>
                <w:color w:val="0D0D0D" w:themeColor="text1" w:themeTint="F2"/>
                <w:spacing w:val="-6"/>
              </w:rPr>
              <w:t xml:space="preserve"> v soukromé sféře. Ačkoli meziroční růst cen stavebních materiálů zmírňoval (v září dokonce již ceny po více než třech letech nepatrně klesly), citelnějšímu poklesu realizovaných i očekávaných cen stavební výroby</w:t>
            </w:r>
            <w:r w:rsidRPr="005E6936">
              <w:rPr>
                <w:rStyle w:val="Znakapoznpodarou"/>
                <w:color w:val="0D0D0D" w:themeColor="text1" w:themeTint="F2"/>
                <w:spacing w:val="-6"/>
              </w:rPr>
              <w:footnoteReference w:id="33"/>
            </w:r>
            <w:r w:rsidRPr="005E6936">
              <w:rPr>
                <w:color w:val="0D0D0D" w:themeColor="text1" w:themeTint="F2"/>
                <w:spacing w:val="-6"/>
              </w:rPr>
              <w:t xml:space="preserve"> bránil svižný růst pracovních nákladů ovlivněný chronickým nedostatkem (zejména kvalifikované) pracovní síly. </w:t>
            </w:r>
            <w:r w:rsidRPr="005E6936">
              <w:rPr>
                <w:rStyle w:val="normaltextrun"/>
                <w:rFonts w:eastAsia="MS Gothic" w:cs="Arial"/>
                <w:spacing w:val="-6"/>
                <w:szCs w:val="20"/>
              </w:rPr>
              <w:t>Zhoršená finanční situace domácností spolu se sníženou dostupností hypoték</w:t>
            </w:r>
            <w:r w:rsidRPr="005E6936">
              <w:rPr>
                <w:rStyle w:val="Znakapoznpodarou"/>
                <w:rFonts w:eastAsia="MS Gothic"/>
                <w:spacing w:val="-6"/>
                <w:szCs w:val="20"/>
              </w:rPr>
              <w:footnoteReference w:id="34"/>
            </w:r>
            <w:r w:rsidRPr="005E6936">
              <w:rPr>
                <w:rStyle w:val="normaltextrun"/>
                <w:rFonts w:eastAsia="MS Gothic" w:cs="Arial"/>
                <w:spacing w:val="-6"/>
                <w:szCs w:val="20"/>
              </w:rPr>
              <w:t xml:space="preserve"> zásadně ochladily loňský boom realitního trhu. Proti hlubšímu útlumu výkonu stavebnictví naopak působily veřejné investice</w:t>
            </w:r>
            <w:r w:rsidRPr="005E6936">
              <w:rPr>
                <w:rStyle w:val="Znakapoznpodarou"/>
                <w:rFonts w:eastAsia="MS Gothic"/>
                <w:spacing w:val="-6"/>
                <w:szCs w:val="20"/>
              </w:rPr>
              <w:footnoteReference w:id="35"/>
            </w:r>
            <w:r w:rsidRPr="005E6936">
              <w:rPr>
                <w:rStyle w:val="normaltextrun"/>
                <w:rFonts w:eastAsia="MS Gothic" w:cs="Arial"/>
                <w:spacing w:val="-6"/>
                <w:szCs w:val="20"/>
              </w:rPr>
              <w:t>, resp. sílící příliv prostředků z rozpočtu EU určený na výstavbu i modernizaci dopravní infrastruktury či na snížení energetické náročnosti v oblasti bydlení.</w:t>
            </w:r>
          </w:p>
        </w:tc>
      </w:tr>
      <w:tr w:rsidR="007D7F4F" w:rsidRPr="00784EC8" w14:paraId="3459965C" w14:textId="77777777" w:rsidTr="00067363">
        <w:trPr>
          <w:trHeight w:val="170"/>
        </w:trPr>
        <w:tc>
          <w:tcPr>
            <w:tcW w:w="1814" w:type="dxa"/>
            <w:shd w:val="clear" w:color="auto" w:fill="auto"/>
            <w:tcMar>
              <w:left w:w="0" w:type="dxa"/>
            </w:tcMar>
          </w:tcPr>
          <w:p w14:paraId="6CD25593" w14:textId="77777777" w:rsidR="007D7F4F" w:rsidRPr="00784EC8" w:rsidRDefault="007D7F4F" w:rsidP="007D7F4F">
            <w:pPr>
              <w:pStyle w:val="Marginlie"/>
              <w:rPr>
                <w:color w:val="0D0D0D" w:themeColor="text1" w:themeTint="F2"/>
                <w:spacing w:val="-4"/>
              </w:rPr>
            </w:pPr>
            <w:r>
              <w:rPr>
                <w:color w:val="0D0D0D" w:themeColor="text1" w:themeTint="F2"/>
                <w:spacing w:val="-4"/>
              </w:rPr>
              <w:t xml:space="preserve">Stavební produkce se letos po příznivém zimním období </w:t>
            </w:r>
            <w:proofErr w:type="spellStart"/>
            <w:r>
              <w:rPr>
                <w:color w:val="0D0D0D" w:themeColor="text1" w:themeTint="F2"/>
                <w:spacing w:val="-4"/>
              </w:rPr>
              <w:t>mezikvartálně</w:t>
            </w:r>
            <w:proofErr w:type="spellEnd"/>
            <w:r>
              <w:rPr>
                <w:color w:val="0D0D0D" w:themeColor="text1" w:themeTint="F2"/>
                <w:spacing w:val="-4"/>
              </w:rPr>
              <w:t xml:space="preserve"> snížila ve 2. i 3. čtvrtletí. </w:t>
            </w:r>
          </w:p>
        </w:tc>
        <w:tc>
          <w:tcPr>
            <w:tcW w:w="229" w:type="dxa"/>
            <w:shd w:val="clear" w:color="auto" w:fill="auto"/>
            <w:tcMar>
              <w:left w:w="0" w:type="dxa"/>
            </w:tcMar>
          </w:tcPr>
          <w:p w14:paraId="5C29E109" w14:textId="77777777" w:rsidR="007D7F4F" w:rsidRPr="00784EC8"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4DAB0131" w14:textId="77777777" w:rsidR="007D7F4F" w:rsidRPr="005E6936" w:rsidRDefault="007D7F4F" w:rsidP="007D7F4F">
            <w:pPr>
              <w:rPr>
                <w:color w:val="0D0D0D" w:themeColor="text1" w:themeTint="F2"/>
                <w:spacing w:val="-6"/>
              </w:rPr>
            </w:pPr>
            <w:r w:rsidRPr="005E6936">
              <w:rPr>
                <w:color w:val="0D0D0D" w:themeColor="text1" w:themeTint="F2"/>
                <w:spacing w:val="-6"/>
              </w:rPr>
              <w:t>Trend vývoje stavební produkce</w:t>
            </w:r>
            <w:r w:rsidRPr="005E6936">
              <w:rPr>
                <w:rStyle w:val="Znakapoznpodarou"/>
                <w:color w:val="0D0D0D" w:themeColor="text1" w:themeTint="F2"/>
                <w:spacing w:val="-6"/>
              </w:rPr>
              <w:footnoteReference w:id="36"/>
            </w:r>
            <w:r w:rsidRPr="005E6936">
              <w:rPr>
                <w:color w:val="0D0D0D" w:themeColor="text1" w:themeTint="F2"/>
                <w:spacing w:val="-6"/>
              </w:rPr>
              <w:t xml:space="preserve"> byl zatím letos mírně sestupný. Ta sice v 1. čtvrtletí </w:t>
            </w:r>
            <w:proofErr w:type="spellStart"/>
            <w:r w:rsidRPr="005E6936">
              <w:rPr>
                <w:color w:val="0D0D0D" w:themeColor="text1" w:themeTint="F2"/>
                <w:spacing w:val="-6"/>
              </w:rPr>
              <w:t>mezikvartálně</w:t>
            </w:r>
            <w:proofErr w:type="spellEnd"/>
            <w:r w:rsidRPr="005E6936">
              <w:rPr>
                <w:color w:val="0D0D0D" w:themeColor="text1" w:themeTint="F2"/>
                <w:spacing w:val="-6"/>
              </w:rPr>
              <w:t xml:space="preserve"> rostla o 2,4 % (zčásti díky velmi mírné zimě), v následujícím kvartálu se však o rovná 3 % snížila, když srovnatelně slabšího výkonu docílily jak pozemní, tak inženýrské stavitelství. Ve 3. čtvrtletí pokles celého odvětví zmírnil na 1,5 % a v samotném inženýrském stavitelství došlo dokonce k lehkému oživení. Stavební produkce za 1. až 3. čtvrtletí meziročně klesla o rovná 2 %, z drtivé části vlivem inženýrského stavitelství, kde se výkon propadl o</w:t>
            </w:r>
            <w:r w:rsidRPr="005E6936">
              <w:rPr>
                <w:rStyle w:val="normaltextrun"/>
                <w:rFonts w:eastAsia="MS Gothic" w:cs="Arial"/>
                <w:spacing w:val="-6"/>
                <w:szCs w:val="20"/>
              </w:rPr>
              <w:t> </w:t>
            </w:r>
            <w:r w:rsidRPr="005E6936">
              <w:rPr>
                <w:color w:val="0D0D0D" w:themeColor="text1" w:themeTint="F2"/>
                <w:spacing w:val="-6"/>
              </w:rPr>
              <w:t>4,6 % (zčásti vlivem vyšší loňské základny, zejména z počátku roku). V pozemním stavitelství produkce klesla mírněji (−1,1 %), tento obor byl však výrazněji utlumen v období pandemie. Ve 3. čtvrtletí tak letos produkce v obou hlavních oborech stavebnictví za shodným obdobím předkrizového roku 2019 zaostávala o více než 7 %.</w:t>
            </w:r>
          </w:p>
        </w:tc>
      </w:tr>
      <w:tr w:rsidR="007D7F4F" w:rsidRPr="00B63E5E" w14:paraId="170C6599" w14:textId="77777777" w:rsidTr="00067363">
        <w:trPr>
          <w:trHeight w:val="170"/>
        </w:trPr>
        <w:tc>
          <w:tcPr>
            <w:tcW w:w="1814" w:type="dxa"/>
            <w:shd w:val="clear" w:color="auto" w:fill="auto"/>
            <w:tcMar>
              <w:left w:w="0" w:type="dxa"/>
            </w:tcMar>
          </w:tcPr>
          <w:p w14:paraId="6BEA0DED" w14:textId="77777777" w:rsidR="007D7F4F" w:rsidRDefault="007D7F4F" w:rsidP="007D7F4F">
            <w:pPr>
              <w:pStyle w:val="Marginlie"/>
              <w:rPr>
                <w:color w:val="0D0D0D" w:themeColor="text1" w:themeTint="F2"/>
                <w:spacing w:val="-4"/>
              </w:rPr>
            </w:pPr>
            <w:r>
              <w:rPr>
                <w:color w:val="0D0D0D" w:themeColor="text1" w:themeTint="F2"/>
                <w:spacing w:val="-4"/>
              </w:rPr>
              <w:lastRenderedPageBreak/>
              <w:t>Pokles poptávky se zřetelně otiskl v zahajované bytové výstavbě, kde výrazně propadl počet bytů v rodinných domech.</w:t>
            </w:r>
          </w:p>
        </w:tc>
        <w:tc>
          <w:tcPr>
            <w:tcW w:w="229" w:type="dxa"/>
            <w:shd w:val="clear" w:color="auto" w:fill="auto"/>
            <w:tcMar>
              <w:left w:w="0" w:type="dxa"/>
            </w:tcMar>
          </w:tcPr>
          <w:p w14:paraId="0D253A62" w14:textId="77777777" w:rsidR="007D7F4F" w:rsidRPr="00FB2830"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683D69B0" w14:textId="1A9FF865" w:rsidR="007D7F4F" w:rsidRPr="005E6936" w:rsidRDefault="007D7F4F" w:rsidP="007D7F4F">
            <w:pPr>
              <w:spacing w:after="200"/>
              <w:rPr>
                <w:rStyle w:val="normaltextrun"/>
                <w:rFonts w:eastAsia="MS Gothic" w:cs="Arial"/>
                <w:spacing w:val="-6"/>
                <w:szCs w:val="20"/>
              </w:rPr>
            </w:pPr>
            <w:r w:rsidRPr="005E6936">
              <w:rPr>
                <w:color w:val="0D0D0D" w:themeColor="text1" w:themeTint="F2"/>
                <w:spacing w:val="-6"/>
              </w:rPr>
              <w:t>V pozemním stavitelství je současné ochlazení poptávky nejzřetelněji zachyceno v oblasti zahajované bytové výstavby. Počet bytů od ledna do září meziročně propadl o sedminu (na 27,3 tis., na tříleté minimum). Pokles měl plošný charakter (i v krajském pohledu), růstový trend se zachoval jen</w:t>
            </w:r>
            <w:r w:rsidRPr="005E6936">
              <w:rPr>
                <w:rStyle w:val="normaltextrun"/>
                <w:rFonts w:eastAsia="MS Gothic" w:cs="Arial"/>
                <w:spacing w:val="-6"/>
                <w:szCs w:val="20"/>
              </w:rPr>
              <w:t xml:space="preserve"> v okrajových segmentech výstavby (nástavby k bytovým domům, adaptace nebytových budov). Vlivem vysokých finančních nákladů i nedostatku pracovníků (hlavně v menších stavebních firmách) došlo k meziročnímu propadu (o 30 %) u</w:t>
            </w:r>
            <w:r w:rsidRPr="005E6936">
              <w:rPr>
                <w:color w:val="0D0D0D" w:themeColor="text1" w:themeTint="F2"/>
                <w:spacing w:val="-6"/>
              </w:rPr>
              <w:t> </w:t>
            </w:r>
            <w:r w:rsidRPr="005E6936">
              <w:rPr>
                <w:rStyle w:val="normaltextrun"/>
                <w:rFonts w:eastAsia="MS Gothic" w:cs="Arial"/>
                <w:spacing w:val="-6"/>
                <w:szCs w:val="20"/>
              </w:rPr>
              <w:t>rodinných domů – počet zahájených bytů zde byl nejnižší za posledních osm let (11,2</w:t>
            </w:r>
            <w:r w:rsidRPr="005E6936">
              <w:rPr>
                <w:color w:val="0D0D0D" w:themeColor="text1" w:themeTint="F2"/>
                <w:spacing w:val="-6"/>
              </w:rPr>
              <w:t> </w:t>
            </w:r>
            <w:r w:rsidRPr="005E6936">
              <w:rPr>
                <w:rStyle w:val="normaltextrun"/>
                <w:rFonts w:eastAsia="MS Gothic" w:cs="Arial"/>
                <w:spacing w:val="-6"/>
                <w:szCs w:val="20"/>
              </w:rPr>
              <w:t>tis.). Počet dokončených bytů vlivem vysoké rozestavěnosti z předchozích let dosud letos klesl jen mírně (−3,5 %), četnost bytů v rodinných (13,5 tis.) i bytových domech (9,0</w:t>
            </w:r>
            <w:r w:rsidRPr="005E6936">
              <w:rPr>
                <w:color w:val="0D0D0D" w:themeColor="text1" w:themeTint="F2"/>
                <w:spacing w:val="-6"/>
              </w:rPr>
              <w:t> </w:t>
            </w:r>
            <w:r w:rsidR="000F0E42">
              <w:rPr>
                <w:rStyle w:val="normaltextrun"/>
                <w:rFonts w:eastAsia="MS Gothic" w:cs="Arial"/>
                <w:spacing w:val="-6"/>
                <w:szCs w:val="20"/>
              </w:rPr>
              <w:t>tis.) se</w:t>
            </w:r>
            <w:r w:rsidRPr="005E6936">
              <w:rPr>
                <w:rStyle w:val="normaltextrun"/>
                <w:rFonts w:eastAsia="MS Gothic" w:cs="Arial"/>
                <w:spacing w:val="-6"/>
                <w:szCs w:val="20"/>
              </w:rPr>
              <w:t xml:space="preserve"> od výstavby </w:t>
            </w:r>
            <w:r w:rsidRPr="00273024">
              <w:rPr>
                <w:rStyle w:val="normaltextrun"/>
                <w:rFonts w:eastAsia="MS Gothic" w:cs="Arial"/>
                <w:spacing w:val="-2"/>
                <w:szCs w:val="20"/>
              </w:rPr>
              <w:t xml:space="preserve">z éry všeobecného stavebního „boomu“ (2008 až 2009) </w:t>
            </w:r>
            <w:r w:rsidR="000F0E42" w:rsidRPr="005E6936">
              <w:rPr>
                <w:rStyle w:val="normaltextrun"/>
                <w:rFonts w:eastAsia="MS Gothic" w:cs="Arial"/>
                <w:spacing w:val="-6"/>
                <w:szCs w:val="20"/>
              </w:rPr>
              <w:t>příliš</w:t>
            </w:r>
            <w:r w:rsidR="000F0E42" w:rsidRPr="00273024">
              <w:rPr>
                <w:rStyle w:val="normaltextrun"/>
                <w:rFonts w:eastAsia="MS Gothic" w:cs="Arial"/>
                <w:spacing w:val="-2"/>
                <w:szCs w:val="20"/>
              </w:rPr>
              <w:t xml:space="preserve"> </w:t>
            </w:r>
            <w:r w:rsidRPr="00273024">
              <w:rPr>
                <w:rStyle w:val="normaltextrun"/>
                <w:rFonts w:eastAsia="MS Gothic" w:cs="Arial"/>
                <w:spacing w:val="-2"/>
                <w:szCs w:val="20"/>
              </w:rPr>
              <w:t>nelišila</w:t>
            </w:r>
            <w:r>
              <w:rPr>
                <w:rStyle w:val="normaltextrun"/>
                <w:rFonts w:eastAsia="MS Gothic" w:cs="Arial"/>
                <w:spacing w:val="-6"/>
                <w:szCs w:val="20"/>
              </w:rPr>
              <w:t>.</w:t>
            </w:r>
          </w:p>
        </w:tc>
      </w:tr>
      <w:tr w:rsidR="007D7F4F" w:rsidRPr="00D232BB" w14:paraId="2B1C4EBE" w14:textId="77777777" w:rsidTr="00067363">
        <w:trPr>
          <w:trHeight w:val="170"/>
        </w:trPr>
        <w:tc>
          <w:tcPr>
            <w:tcW w:w="1814" w:type="dxa"/>
            <w:vMerge w:val="restart"/>
            <w:shd w:val="clear" w:color="auto" w:fill="auto"/>
            <w:tcMar>
              <w:left w:w="0" w:type="dxa"/>
            </w:tcMar>
          </w:tcPr>
          <w:p w14:paraId="51A25E32" w14:textId="77777777" w:rsidR="007D7F4F" w:rsidRDefault="007D7F4F" w:rsidP="007D7F4F">
            <w:pPr>
              <w:pStyle w:val="Marginlie"/>
            </w:pPr>
          </w:p>
        </w:tc>
        <w:tc>
          <w:tcPr>
            <w:tcW w:w="229" w:type="dxa"/>
            <w:vMerge w:val="restart"/>
            <w:shd w:val="clear" w:color="auto" w:fill="auto"/>
            <w:tcMar>
              <w:left w:w="0" w:type="dxa"/>
            </w:tcMar>
          </w:tcPr>
          <w:p w14:paraId="5D04862B" w14:textId="77777777" w:rsidR="007D7F4F" w:rsidRDefault="007D7F4F" w:rsidP="007D7F4F">
            <w:pPr>
              <w:pStyle w:val="Textpoznpodarou"/>
              <w:jc w:val="both"/>
              <w:rPr>
                <w:spacing w:val="-4"/>
              </w:rPr>
            </w:pPr>
          </w:p>
        </w:tc>
        <w:tc>
          <w:tcPr>
            <w:tcW w:w="7596" w:type="dxa"/>
            <w:shd w:val="clear" w:color="auto" w:fill="auto"/>
            <w:tcMar>
              <w:left w:w="0" w:type="dxa"/>
            </w:tcMar>
          </w:tcPr>
          <w:p w14:paraId="119C0FF1" w14:textId="77777777" w:rsidR="007D7F4F" w:rsidRPr="005E6936" w:rsidRDefault="007D7F4F" w:rsidP="007D7F4F">
            <w:pPr>
              <w:spacing w:after="20"/>
              <w:rPr>
                <w:rFonts w:cs="Arial"/>
                <w:bCs/>
                <w:spacing w:val="-6"/>
              </w:rPr>
            </w:pPr>
            <w:r w:rsidRPr="005E6936">
              <w:rPr>
                <w:b/>
                <w:spacing w:val="-6"/>
              </w:rPr>
              <w:t xml:space="preserve">Graf č. 6 Příspěvky odvětví k meziroční změně stavební produkce </w:t>
            </w:r>
            <w:r w:rsidRPr="005E6936">
              <w:rPr>
                <w:spacing w:val="-6"/>
              </w:rPr>
              <w:t>(reálně, v p. b.)</w:t>
            </w:r>
            <w:r w:rsidRPr="005E6936">
              <w:rPr>
                <w:b/>
                <w:bCs/>
                <w:spacing w:val="-6"/>
              </w:rPr>
              <w:t>,</w:t>
            </w:r>
            <w:r w:rsidRPr="005E6936">
              <w:rPr>
                <w:b/>
                <w:bCs/>
                <w:spacing w:val="-6"/>
              </w:rPr>
              <w:br/>
            </w:r>
            <w:r w:rsidRPr="005E6936">
              <w:rPr>
                <w:b/>
                <w:spacing w:val="-6"/>
              </w:rPr>
              <w:t xml:space="preserve">nové stavební zakázky </w:t>
            </w:r>
            <w:r w:rsidRPr="005E6936">
              <w:rPr>
                <w:spacing w:val="-6"/>
              </w:rPr>
              <w:t>(</w:t>
            </w:r>
            <w:r w:rsidRPr="005E6936">
              <w:rPr>
                <w:bCs/>
                <w:spacing w:val="-6"/>
              </w:rPr>
              <w:t xml:space="preserve">nominálně, </w:t>
            </w:r>
            <w:r w:rsidRPr="005E6936">
              <w:rPr>
                <w:spacing w:val="-6"/>
              </w:rPr>
              <w:t>meziročně,</w:t>
            </w:r>
            <w:r w:rsidRPr="005E6936">
              <w:rPr>
                <w:bCs/>
                <w:spacing w:val="-6"/>
              </w:rPr>
              <w:t xml:space="preserve"> v %)</w:t>
            </w:r>
            <w:r w:rsidRPr="005E6936">
              <w:rPr>
                <w:b/>
                <w:spacing w:val="-6"/>
              </w:rPr>
              <w:t>, saldo důvěry podnikatelů ve stavebnictví*</w:t>
            </w:r>
            <w:r w:rsidRPr="005E6936">
              <w:rPr>
                <w:spacing w:val="-6"/>
              </w:rPr>
              <w:t xml:space="preserve"> (v p. b., pravá osa) </w:t>
            </w:r>
            <w:r w:rsidRPr="005E6936">
              <w:rPr>
                <w:b/>
                <w:spacing w:val="-6"/>
              </w:rPr>
              <w:t>a vybrané bariéry růstu</w:t>
            </w:r>
            <w:r w:rsidRPr="005E6936">
              <w:rPr>
                <w:spacing w:val="-6"/>
              </w:rPr>
              <w:t>* (v %, pravá osa)</w:t>
            </w:r>
          </w:p>
        </w:tc>
      </w:tr>
      <w:tr w:rsidR="007D7F4F" w:rsidRPr="0067514E" w14:paraId="11FEF72F" w14:textId="77777777" w:rsidTr="00067363">
        <w:tblPrEx>
          <w:tblCellMar>
            <w:left w:w="70" w:type="dxa"/>
            <w:right w:w="70" w:type="dxa"/>
          </w:tblCellMar>
        </w:tblPrEx>
        <w:trPr>
          <w:trHeight w:val="170"/>
        </w:trPr>
        <w:tc>
          <w:tcPr>
            <w:tcW w:w="1814" w:type="dxa"/>
            <w:vMerge/>
            <w:shd w:val="clear" w:color="auto" w:fill="auto"/>
          </w:tcPr>
          <w:p w14:paraId="78059FB8" w14:textId="77777777" w:rsidR="007D7F4F" w:rsidRDefault="007D7F4F" w:rsidP="007D7F4F">
            <w:pPr>
              <w:pStyle w:val="Marginlie"/>
            </w:pPr>
          </w:p>
        </w:tc>
        <w:tc>
          <w:tcPr>
            <w:tcW w:w="229" w:type="dxa"/>
            <w:vMerge/>
            <w:shd w:val="clear" w:color="auto" w:fill="auto"/>
          </w:tcPr>
          <w:p w14:paraId="0ACD47BD" w14:textId="77777777" w:rsidR="007D7F4F" w:rsidRDefault="007D7F4F" w:rsidP="007D7F4F">
            <w:pPr>
              <w:pStyle w:val="Textpoznpodarou"/>
              <w:jc w:val="both"/>
              <w:rPr>
                <w:spacing w:val="-4"/>
              </w:rPr>
            </w:pPr>
          </w:p>
        </w:tc>
        <w:tc>
          <w:tcPr>
            <w:tcW w:w="7596" w:type="dxa"/>
            <w:shd w:val="clear" w:color="auto" w:fill="auto"/>
          </w:tcPr>
          <w:p w14:paraId="0045D4BD" w14:textId="77777777" w:rsidR="007D7F4F" w:rsidRPr="005E6936" w:rsidRDefault="007D7F4F" w:rsidP="007D7F4F">
            <w:pPr>
              <w:spacing w:after="0"/>
              <w:rPr>
                <w:spacing w:val="-6"/>
              </w:rPr>
            </w:pPr>
            <w:r w:rsidRPr="005E6936">
              <w:rPr>
                <w:noProof/>
                <w:spacing w:val="-6"/>
              </w:rPr>
              <w:drawing>
                <wp:inline distT="0" distB="0" distL="0" distR="0" wp14:anchorId="31486062" wp14:editId="40A64CAB">
                  <wp:extent cx="4734560" cy="3445727"/>
                  <wp:effectExtent l="0" t="0" r="8890" b="254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7D7F4F" w:rsidRPr="008F2BE2" w14:paraId="05BD43D9" w14:textId="77777777" w:rsidTr="00067363">
        <w:trPr>
          <w:trHeight w:val="170"/>
        </w:trPr>
        <w:tc>
          <w:tcPr>
            <w:tcW w:w="1814" w:type="dxa"/>
            <w:vMerge/>
            <w:shd w:val="clear" w:color="auto" w:fill="auto"/>
            <w:tcMar>
              <w:left w:w="0" w:type="dxa"/>
            </w:tcMar>
          </w:tcPr>
          <w:p w14:paraId="7D5D731B" w14:textId="77777777" w:rsidR="007D7F4F" w:rsidRDefault="007D7F4F" w:rsidP="007D7F4F">
            <w:pPr>
              <w:pStyle w:val="Marginlie"/>
            </w:pPr>
          </w:p>
        </w:tc>
        <w:tc>
          <w:tcPr>
            <w:tcW w:w="229" w:type="dxa"/>
            <w:vMerge/>
            <w:shd w:val="clear" w:color="auto" w:fill="auto"/>
            <w:tcMar>
              <w:left w:w="0" w:type="dxa"/>
            </w:tcMar>
          </w:tcPr>
          <w:p w14:paraId="0515C163" w14:textId="77777777" w:rsidR="007D7F4F" w:rsidRDefault="007D7F4F" w:rsidP="007D7F4F">
            <w:pPr>
              <w:pStyle w:val="Textpoznpodarou"/>
              <w:jc w:val="both"/>
              <w:rPr>
                <w:spacing w:val="-4"/>
              </w:rPr>
            </w:pPr>
          </w:p>
        </w:tc>
        <w:tc>
          <w:tcPr>
            <w:tcW w:w="7596" w:type="dxa"/>
            <w:shd w:val="clear" w:color="auto" w:fill="auto"/>
            <w:tcMar>
              <w:left w:w="0" w:type="dxa"/>
            </w:tcMar>
          </w:tcPr>
          <w:p w14:paraId="2EA8B248" w14:textId="77777777" w:rsidR="007D7F4F" w:rsidRPr="005E6936" w:rsidRDefault="007D7F4F" w:rsidP="007D7F4F">
            <w:pPr>
              <w:spacing w:after="0"/>
              <w:rPr>
                <w:rFonts w:cs="Arial"/>
                <w:spacing w:val="-6"/>
                <w:sz w:val="14"/>
                <w:szCs w:val="14"/>
              </w:rPr>
            </w:pPr>
            <w:r w:rsidRPr="005E6936">
              <w:rPr>
                <w:rFonts w:cs="Arial"/>
                <w:spacing w:val="-6"/>
                <w:sz w:val="14"/>
                <w:szCs w:val="14"/>
              </w:rPr>
              <w:t>Poznámka: Údaje o stavební produkci jsou očištěny o kalendářní vlivy.</w:t>
            </w:r>
          </w:p>
          <w:p w14:paraId="18CC3A4B" w14:textId="77777777" w:rsidR="007D7F4F" w:rsidRPr="005E6936" w:rsidRDefault="007D7F4F" w:rsidP="007D7F4F">
            <w:pPr>
              <w:pStyle w:val="Textpoznpodarou"/>
              <w:jc w:val="both"/>
              <w:rPr>
                <w:rFonts w:cs="Arial"/>
                <w:spacing w:val="-6"/>
                <w:sz w:val="14"/>
                <w:szCs w:val="14"/>
              </w:rPr>
            </w:pPr>
            <w:r w:rsidRPr="005E6936">
              <w:rPr>
                <w:rFonts w:cs="Arial"/>
                <w:spacing w:val="-6"/>
                <w:sz w:val="14"/>
                <w:szCs w:val="14"/>
              </w:rPr>
              <w:t xml:space="preserve">*Saldo důvěry podnikatelů i bariéry růstu jsou sezónně očištěny a vyjadřují stav ve druhém měsíci daného čtvrtletí. Podniky mohly uvést více hlavních bariér současně.                                                                                                 Zdroj: ČSÚ, </w:t>
            </w:r>
            <w:proofErr w:type="spellStart"/>
            <w:r w:rsidRPr="005E6936">
              <w:rPr>
                <w:rFonts w:cs="Arial"/>
                <w:spacing w:val="-6"/>
                <w:sz w:val="14"/>
                <w:szCs w:val="14"/>
              </w:rPr>
              <w:t>Eurostat</w:t>
            </w:r>
            <w:proofErr w:type="spellEnd"/>
          </w:p>
          <w:p w14:paraId="6DE50352" w14:textId="77777777" w:rsidR="007D7F4F" w:rsidRPr="005E6936" w:rsidRDefault="007D7F4F" w:rsidP="007D7F4F">
            <w:pPr>
              <w:pStyle w:val="Textpoznpodarou"/>
              <w:jc w:val="both"/>
              <w:rPr>
                <w:spacing w:val="-6"/>
                <w:sz w:val="14"/>
                <w:szCs w:val="14"/>
              </w:rPr>
            </w:pPr>
          </w:p>
        </w:tc>
      </w:tr>
      <w:tr w:rsidR="007D7F4F" w14:paraId="57BF4176" w14:textId="77777777" w:rsidTr="00067363">
        <w:trPr>
          <w:trHeight w:val="170"/>
        </w:trPr>
        <w:tc>
          <w:tcPr>
            <w:tcW w:w="1814" w:type="dxa"/>
            <w:shd w:val="clear" w:color="auto" w:fill="auto"/>
            <w:tcMar>
              <w:left w:w="0" w:type="dxa"/>
            </w:tcMar>
          </w:tcPr>
          <w:p w14:paraId="48E09467" w14:textId="77777777" w:rsidR="007D7F4F" w:rsidRDefault="007D7F4F" w:rsidP="007D7F4F">
            <w:pPr>
              <w:pStyle w:val="Marginlie"/>
              <w:rPr>
                <w:rFonts w:cs="Arial"/>
                <w:color w:val="0D0D0D" w:themeColor="text1" w:themeTint="F2"/>
                <w:spacing w:val="-4"/>
              </w:rPr>
            </w:pPr>
            <w:r w:rsidRPr="00E16B2A">
              <w:rPr>
                <w:rFonts w:cs="Arial"/>
                <w:color w:val="0D0D0D" w:themeColor="text1" w:themeTint="F2"/>
                <w:spacing w:val="-4"/>
              </w:rPr>
              <w:t>Orientační hodnota</w:t>
            </w:r>
            <w:r>
              <w:rPr>
                <w:rFonts w:cs="Arial"/>
                <w:color w:val="0D0D0D" w:themeColor="text1" w:themeTint="F2"/>
                <w:spacing w:val="-4"/>
              </w:rPr>
              <w:t xml:space="preserve"> povolených staveb rostla ve 3. čtvrtletí svižněji než ceny stavebních prací.</w:t>
            </w:r>
          </w:p>
          <w:p w14:paraId="6AAA1293" w14:textId="77777777" w:rsidR="007D7F4F" w:rsidRDefault="007D7F4F" w:rsidP="007D7F4F">
            <w:pPr>
              <w:pStyle w:val="Marginlie"/>
              <w:rPr>
                <w:rFonts w:cs="Arial"/>
                <w:color w:val="0D0D0D" w:themeColor="text1" w:themeTint="F2"/>
                <w:spacing w:val="-4"/>
              </w:rPr>
            </w:pPr>
          </w:p>
          <w:p w14:paraId="19978578" w14:textId="77777777" w:rsidR="007D7F4F" w:rsidRDefault="007D7F4F" w:rsidP="007D7F4F">
            <w:pPr>
              <w:pStyle w:val="Marginlie"/>
              <w:rPr>
                <w:rFonts w:cs="Arial"/>
                <w:color w:val="0D0D0D" w:themeColor="text1" w:themeTint="F2"/>
                <w:spacing w:val="-4"/>
              </w:rPr>
            </w:pPr>
          </w:p>
          <w:p w14:paraId="64E80DEE" w14:textId="77777777" w:rsidR="007D7F4F" w:rsidRPr="00E16B2A" w:rsidRDefault="007D7F4F" w:rsidP="007D7F4F">
            <w:pPr>
              <w:pStyle w:val="Marginlie"/>
              <w:rPr>
                <w:rFonts w:cs="Arial"/>
                <w:color w:val="0D0D0D" w:themeColor="text1" w:themeTint="F2"/>
                <w:spacing w:val="-4"/>
              </w:rPr>
            </w:pPr>
            <w:r>
              <w:rPr>
                <w:rFonts w:cs="Arial"/>
                <w:color w:val="0D0D0D" w:themeColor="text1" w:themeTint="F2"/>
                <w:spacing w:val="-4"/>
              </w:rPr>
              <w:t>U nových stavebních zakázek došlo po nepříznivém vývoji v 1. pololetí k oživení.</w:t>
            </w:r>
          </w:p>
        </w:tc>
        <w:tc>
          <w:tcPr>
            <w:tcW w:w="229" w:type="dxa"/>
            <w:shd w:val="clear" w:color="auto" w:fill="auto"/>
            <w:tcMar>
              <w:left w:w="0" w:type="dxa"/>
            </w:tcMar>
          </w:tcPr>
          <w:p w14:paraId="356B4C49" w14:textId="77777777" w:rsidR="007D7F4F" w:rsidRPr="00D87405" w:rsidRDefault="007D7F4F" w:rsidP="007D7F4F">
            <w:pPr>
              <w:pStyle w:val="Textpoznpodarou"/>
              <w:jc w:val="both"/>
              <w:rPr>
                <w:rFonts w:eastAsia="Times New Roman" w:cs="Arial"/>
                <w:color w:val="0D0D0D" w:themeColor="text1" w:themeTint="F2"/>
                <w:spacing w:val="-4"/>
              </w:rPr>
            </w:pPr>
          </w:p>
        </w:tc>
        <w:tc>
          <w:tcPr>
            <w:tcW w:w="7596" w:type="dxa"/>
            <w:shd w:val="clear" w:color="auto" w:fill="auto"/>
            <w:tcMar>
              <w:left w:w="0" w:type="dxa"/>
            </w:tcMar>
          </w:tcPr>
          <w:p w14:paraId="705A6AC7" w14:textId="77777777" w:rsidR="007D7F4F" w:rsidRPr="005E6936" w:rsidRDefault="007D7F4F" w:rsidP="007D7F4F">
            <w:pPr>
              <w:spacing w:after="200"/>
              <w:rPr>
                <w:color w:val="0D0D0D" w:themeColor="text1" w:themeTint="F2"/>
                <w:spacing w:val="-6"/>
              </w:rPr>
            </w:pPr>
            <w:r w:rsidRPr="005E6936">
              <w:rPr>
                <w:color w:val="0D0D0D" w:themeColor="text1" w:themeTint="F2"/>
                <w:spacing w:val="-6"/>
              </w:rPr>
              <w:t>Některé předstihové ukazatele však aktuálně vyznívají pro stavebnictví lépe. Orientační hodnota povolených staveb vzrostla v září meziročně o 11 % (po zohlednění vývoje cen a</w:t>
            </w:r>
            <w:r>
              <w:rPr>
                <w:color w:val="0D0D0D" w:themeColor="text1" w:themeTint="F2"/>
                <w:spacing w:val="-6"/>
              </w:rPr>
              <w:t> </w:t>
            </w:r>
            <w:r w:rsidRPr="005E6936">
              <w:rPr>
                <w:color w:val="0D0D0D" w:themeColor="text1" w:themeTint="F2"/>
                <w:spacing w:val="-6"/>
              </w:rPr>
              <w:t>odečtení staveb nad 1 mld. korun o 2,5 %) a o desetinu byla vyšší i v kumulaci od počátku roku 2023</w:t>
            </w:r>
            <w:r w:rsidRPr="005E6936">
              <w:rPr>
                <w:rStyle w:val="Znakapoznpodarou"/>
                <w:color w:val="0D0D0D" w:themeColor="text1" w:themeTint="F2"/>
                <w:spacing w:val="-6"/>
              </w:rPr>
              <w:footnoteReference w:id="37"/>
            </w:r>
            <w:r w:rsidRPr="005E6936">
              <w:rPr>
                <w:color w:val="0D0D0D" w:themeColor="text1" w:themeTint="F2"/>
                <w:spacing w:val="-6"/>
              </w:rPr>
              <w:t xml:space="preserve">. Hodnota nových tuzemských </w:t>
            </w:r>
            <w:r>
              <w:rPr>
                <w:color w:val="0D0D0D" w:themeColor="text1" w:themeTint="F2"/>
                <w:spacing w:val="-6"/>
              </w:rPr>
              <w:t xml:space="preserve">zakázek (u stavebních firem nad </w:t>
            </w:r>
            <w:r w:rsidRPr="005E6936">
              <w:rPr>
                <w:color w:val="0D0D0D" w:themeColor="text1" w:themeTint="F2"/>
                <w:spacing w:val="-6"/>
              </w:rPr>
              <w:t xml:space="preserve">50 zaměstnanců) ve 3. čtvrtletí meziročně vzrostla o 27,9 % (po výrazném téměř 16% poklesu v 1. pololetí 2023 – </w:t>
            </w:r>
            <w:r w:rsidRPr="005E6936">
              <w:rPr>
                <w:rStyle w:val="normaltextrun"/>
                <w:rFonts w:eastAsia="MS Gothic" w:cs="Arial"/>
                <w:spacing w:val="-6"/>
                <w:szCs w:val="20"/>
              </w:rPr>
              <w:t>nejvyšším od krizového roku 2012</w:t>
            </w:r>
            <w:r w:rsidRPr="005E6936">
              <w:rPr>
                <w:color w:val="0D0D0D" w:themeColor="text1" w:themeTint="F2"/>
                <w:spacing w:val="-6"/>
              </w:rPr>
              <w:t>). Celková zásoba dosud nerealizovaných zakázek byla letos na konci září rovněž vyšší (o 3,8 %), pouze však díky veřejným zadavatelům. Rezervoár soukromých zakázek totiž po celý letošní rok citelně klesal (meziročně okolo 10 %). </w:t>
            </w:r>
          </w:p>
        </w:tc>
      </w:tr>
      <w:tr w:rsidR="007D7F4F" w14:paraId="659E03DB" w14:textId="77777777" w:rsidTr="00067363">
        <w:trPr>
          <w:trHeight w:val="170"/>
        </w:trPr>
        <w:tc>
          <w:tcPr>
            <w:tcW w:w="1814" w:type="dxa"/>
            <w:shd w:val="clear" w:color="auto" w:fill="auto"/>
            <w:tcMar>
              <w:left w:w="0" w:type="dxa"/>
            </w:tcMar>
          </w:tcPr>
          <w:p w14:paraId="5F3F3EBB" w14:textId="77777777" w:rsidR="007D7F4F" w:rsidRPr="00FB2830" w:rsidRDefault="007D7F4F" w:rsidP="007D7F4F">
            <w:pPr>
              <w:pStyle w:val="Marginlie"/>
              <w:rPr>
                <w:color w:val="0D0D0D" w:themeColor="text1" w:themeTint="F2"/>
                <w:spacing w:val="-4"/>
              </w:rPr>
            </w:pPr>
            <w:r>
              <w:rPr>
                <w:spacing w:val="-4"/>
              </w:rPr>
              <w:t xml:space="preserve">Pesimismus podnikatelů ve stavebnictví se letos prohluboval, v listopadu ale došlo k mírnému zlepšení. Firmy však stále </w:t>
            </w:r>
            <w:r>
              <w:rPr>
                <w:spacing w:val="-4"/>
              </w:rPr>
              <w:lastRenderedPageBreak/>
              <w:t>očekávaly pokles výroby i</w:t>
            </w:r>
            <w:r>
              <w:rPr>
                <w:color w:val="0D0D0D" w:themeColor="text1" w:themeTint="F2"/>
                <w:spacing w:val="-4"/>
              </w:rPr>
              <w:t> </w:t>
            </w:r>
            <w:r>
              <w:rPr>
                <w:spacing w:val="-4"/>
              </w:rPr>
              <w:t>zaměstnanosti.</w:t>
            </w:r>
          </w:p>
        </w:tc>
        <w:tc>
          <w:tcPr>
            <w:tcW w:w="229" w:type="dxa"/>
            <w:shd w:val="clear" w:color="auto" w:fill="auto"/>
            <w:tcMar>
              <w:left w:w="0" w:type="dxa"/>
            </w:tcMar>
          </w:tcPr>
          <w:p w14:paraId="1856773C" w14:textId="77777777" w:rsidR="007D7F4F" w:rsidRPr="00FB2830"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4828F078" w14:textId="77777777" w:rsidR="007D7F4F" w:rsidRPr="005E6936" w:rsidRDefault="007D7F4F" w:rsidP="007D7F4F">
            <w:pPr>
              <w:spacing w:after="200"/>
              <w:rPr>
                <w:rFonts w:cs="Arial"/>
                <w:color w:val="0D0D0D" w:themeColor="text1" w:themeTint="F2"/>
                <w:spacing w:val="-6"/>
              </w:rPr>
            </w:pPr>
            <w:r w:rsidRPr="005E6936">
              <w:rPr>
                <w:rFonts w:cs="Arial"/>
                <w:color w:val="0D0D0D" w:themeColor="text1" w:themeTint="F2"/>
                <w:spacing w:val="-6"/>
              </w:rPr>
              <w:t xml:space="preserve">V červenci 2023 klesla celková důvěra podnikatelů ve stavebnictví pod dlouhodobý průměr (2003–2022) a pesimismus zároveň dosáhl takřka šestiletého maxima. Tento stav přetrvával také během podzimu. V listopadu došlo k dílčímu zlepšení ve většině sledovaných konjunkturálních ukazatelů, celková důvěra i tak zůstala meziročně slabší. I přes převažující </w:t>
            </w:r>
            <w:r w:rsidRPr="005E6936">
              <w:rPr>
                <w:rFonts w:cs="Arial"/>
                <w:color w:val="0D0D0D" w:themeColor="text1" w:themeTint="F2"/>
                <w:spacing w:val="-6"/>
              </w:rPr>
              <w:lastRenderedPageBreak/>
              <w:t>nepříznivý pohled na současnou poptávku hodnotily stavební firmy svou aktuální ekonomickou situaci stále pozitivně, v půlročním výhledu však dále převládal mírný pesimismus. Negativní výhledy ve stavební činnosti i zaměstnanosti se oproti předchozím letošním měsícům zmírnily (</w:t>
            </w:r>
            <w:r w:rsidRPr="005E6936">
              <w:rPr>
                <w:color w:val="0D0D0D" w:themeColor="text1" w:themeTint="F2"/>
                <w:spacing w:val="-6"/>
              </w:rPr>
              <w:t>evidenční počet zaměstnanců ve středních a větších stavebních podnicích ovšem meziročně stále mírně rostl).</w:t>
            </w:r>
            <w:r w:rsidRPr="005E6936">
              <w:rPr>
                <w:rFonts w:cs="Arial"/>
                <w:color w:val="0D0D0D" w:themeColor="text1" w:themeTint="F2"/>
                <w:spacing w:val="-6"/>
              </w:rPr>
              <w:t xml:space="preserve"> Hlavní růstové bariéry zůstaly neměnné</w:t>
            </w:r>
            <w:r w:rsidRPr="005E6936">
              <w:rPr>
                <w:rStyle w:val="Znakapoznpodarou"/>
                <w:color w:val="0D0D0D" w:themeColor="text1" w:themeTint="F2"/>
                <w:spacing w:val="-6"/>
              </w:rPr>
              <w:footnoteReference w:id="38"/>
            </w:r>
            <w:r w:rsidRPr="005E6936">
              <w:rPr>
                <w:rFonts w:cs="Arial"/>
                <w:color w:val="0D0D0D" w:themeColor="text1" w:themeTint="F2"/>
                <w:spacing w:val="-6"/>
              </w:rPr>
              <w:t xml:space="preserve"> – okolo 30 % firem limitovala nedostatečná poptávka (nejvíce v pozemním stavitelství), obdobný podíl byl sužován nedostatkem pracovních si (zejména v</w:t>
            </w:r>
            <w:r w:rsidRPr="005E6936">
              <w:rPr>
                <w:color w:val="0D0D0D" w:themeColor="text1" w:themeTint="F2"/>
                <w:spacing w:val="-6"/>
              </w:rPr>
              <w:t> </w:t>
            </w:r>
            <w:r w:rsidRPr="005E6936">
              <w:rPr>
                <w:rFonts w:cs="Arial"/>
                <w:color w:val="0D0D0D" w:themeColor="text1" w:themeTint="F2"/>
                <w:spacing w:val="-6"/>
              </w:rPr>
              <w:t>segmentu specializovaných stavebních činností, kde hrají důležitou roli malé a střední firmy).</w:t>
            </w:r>
          </w:p>
        </w:tc>
      </w:tr>
      <w:tr w:rsidR="007D7F4F" w14:paraId="6CB4BCA4" w14:textId="77777777" w:rsidTr="00067363">
        <w:trPr>
          <w:trHeight w:val="170"/>
        </w:trPr>
        <w:tc>
          <w:tcPr>
            <w:tcW w:w="1814" w:type="dxa"/>
            <w:shd w:val="clear" w:color="auto" w:fill="auto"/>
            <w:tcMar>
              <w:left w:w="0" w:type="dxa"/>
            </w:tcMar>
          </w:tcPr>
          <w:p w14:paraId="7A06E7B5" w14:textId="33D3B340" w:rsidR="007D7F4F" w:rsidRDefault="007D7F4F" w:rsidP="007D7F4F">
            <w:pPr>
              <w:pStyle w:val="Marginlie"/>
              <w:rPr>
                <w:color w:val="0D0D0D" w:themeColor="text1" w:themeTint="F2"/>
                <w:spacing w:val="-4"/>
              </w:rPr>
            </w:pPr>
            <w:proofErr w:type="spellStart"/>
            <w:r>
              <w:rPr>
                <w:color w:val="0D0D0D" w:themeColor="text1" w:themeTint="F2"/>
                <w:spacing w:val="-4"/>
              </w:rPr>
              <w:lastRenderedPageBreak/>
              <w:t>Mezikvartální</w:t>
            </w:r>
            <w:proofErr w:type="spellEnd"/>
            <w:r>
              <w:rPr>
                <w:color w:val="0D0D0D" w:themeColor="text1" w:themeTint="F2"/>
                <w:spacing w:val="-4"/>
              </w:rPr>
              <w:t xml:space="preserve"> pokles tržeb ve službách pokračoval nepřetržitě popáté v ř</w:t>
            </w:r>
            <w:r w:rsidR="001E6441">
              <w:rPr>
                <w:color w:val="0D0D0D" w:themeColor="text1" w:themeTint="F2"/>
                <w:spacing w:val="-4"/>
              </w:rPr>
              <w:t>adě. Výše tržeb</w:t>
            </w:r>
            <w:r>
              <w:rPr>
                <w:color w:val="0D0D0D" w:themeColor="text1" w:themeTint="F2"/>
                <w:spacing w:val="-4"/>
              </w:rPr>
              <w:t xml:space="preserve"> klesla pod předkrizovou úroveň.</w:t>
            </w:r>
          </w:p>
        </w:tc>
        <w:tc>
          <w:tcPr>
            <w:tcW w:w="229" w:type="dxa"/>
            <w:shd w:val="clear" w:color="auto" w:fill="auto"/>
            <w:tcMar>
              <w:left w:w="0" w:type="dxa"/>
            </w:tcMar>
          </w:tcPr>
          <w:p w14:paraId="75F41452" w14:textId="77777777" w:rsidR="007D7F4F" w:rsidRPr="00784EC8"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2FBC7A83" w14:textId="77777777" w:rsidR="007D7F4F" w:rsidRPr="005E6936" w:rsidRDefault="007D7F4F" w:rsidP="007D7F4F">
            <w:pPr>
              <w:spacing w:after="200"/>
              <w:rPr>
                <w:color w:val="0D0D0D" w:themeColor="text1" w:themeTint="F2"/>
                <w:spacing w:val="-6"/>
              </w:rPr>
            </w:pPr>
            <w:r w:rsidRPr="005E6936">
              <w:rPr>
                <w:color w:val="0D0D0D" w:themeColor="text1" w:themeTint="F2"/>
                <w:spacing w:val="-6"/>
              </w:rPr>
              <w:t>Poptávka po službách byla i během letošního roku nadále utlumená. Ačkoli potenciál</w:t>
            </w:r>
            <w:r w:rsidRPr="005E6936">
              <w:rPr>
                <w:rFonts w:cs="Arial"/>
                <w:color w:val="0D0D0D" w:themeColor="text1" w:themeTint="F2"/>
                <w:spacing w:val="-6"/>
              </w:rPr>
              <w:t xml:space="preserve"> jejího oživení se po odeznění pandemie v některých segmentech služeb (např. v cestovním ruchu) zatím zcela nevyčerpal, podstatnější roli hrálo to, že u řady jiných oblastí se projevila tendence tuzemských domácností k omezování „zbytných“ výdajů. Dopady vysokého růstu cen v ekonomice zasáhly rovněž podnikovou sféru, což vedlo i ke zvýšené potřebě optimalizace výrobních nákladů (např. u podpůrných a administrativních činností).</w:t>
            </w:r>
            <w:r w:rsidRPr="005E6936">
              <w:rPr>
                <w:color w:val="0D0D0D" w:themeColor="text1" w:themeTint="F2"/>
                <w:spacing w:val="-6"/>
              </w:rPr>
              <w:t xml:space="preserve"> </w:t>
            </w:r>
            <w:r w:rsidRPr="005E6936">
              <w:rPr>
                <w:rFonts w:cs="Arial"/>
                <w:color w:val="0D0D0D" w:themeColor="text1" w:themeTint="F2"/>
                <w:spacing w:val="-6"/>
              </w:rPr>
              <w:t xml:space="preserve">Tržby ve službách </w:t>
            </w:r>
            <w:r w:rsidRPr="005E6936">
              <w:rPr>
                <w:color w:val="0D0D0D" w:themeColor="text1" w:themeTint="F2"/>
                <w:spacing w:val="-6"/>
                <w:vertAlign w:val="superscript"/>
              </w:rPr>
              <w:footnoteReference w:id="39"/>
            </w:r>
            <w:r w:rsidRPr="005E6936">
              <w:rPr>
                <w:rFonts w:cs="Arial"/>
                <w:color w:val="0D0D0D" w:themeColor="text1" w:themeTint="F2"/>
                <w:spacing w:val="-6"/>
              </w:rPr>
              <w:t xml:space="preserve"> letos na samém počátku roku </w:t>
            </w:r>
            <w:proofErr w:type="spellStart"/>
            <w:r w:rsidRPr="005E6936">
              <w:rPr>
                <w:rFonts w:cs="Arial"/>
                <w:color w:val="0D0D0D" w:themeColor="text1" w:themeTint="F2"/>
                <w:spacing w:val="-6"/>
              </w:rPr>
              <w:t>mezikvartálně</w:t>
            </w:r>
            <w:proofErr w:type="spellEnd"/>
            <w:r w:rsidRPr="005E6936">
              <w:rPr>
                <w:rFonts w:cs="Arial"/>
                <w:color w:val="0D0D0D" w:themeColor="text1" w:themeTint="F2"/>
                <w:spacing w:val="-6"/>
              </w:rPr>
              <w:t xml:space="preserve"> klesly o 0,9 %, ve 2. i 3. čtvrtletí se následně snížily o dalších 1,5 %, resp. 1,3 %. Pokles tržeb tak přetrvával již pátý kvartál v řadě, na čemž mělo zásadní podíl odvětví dopravy a skladování. Zřetelné oslabování poptávky bylo letos patrné také v administrativních a podpůrných činnostech. Celkové tržby ve službách se v průběhu letošního roku opět vrátily pod úroveň roku 2019 (ve 3. čtvrtletí za ním zaostávaly o 2,3 %</w:t>
            </w:r>
            <w:r w:rsidRPr="005E6936">
              <w:rPr>
                <w:rStyle w:val="Znakapoznpodarou"/>
                <w:color w:val="0D0D0D" w:themeColor="text1" w:themeTint="F2"/>
                <w:spacing w:val="-6"/>
              </w:rPr>
              <w:footnoteReference w:id="40"/>
            </w:r>
            <w:r w:rsidRPr="005E6936">
              <w:rPr>
                <w:rFonts w:cs="Arial"/>
                <w:color w:val="0D0D0D" w:themeColor="text1" w:themeTint="F2"/>
                <w:spacing w:val="-6"/>
              </w:rPr>
              <w:t>).</w:t>
            </w:r>
          </w:p>
        </w:tc>
      </w:tr>
      <w:tr w:rsidR="007D7F4F" w14:paraId="632A887F" w14:textId="77777777" w:rsidTr="00067363">
        <w:trPr>
          <w:trHeight w:val="170"/>
        </w:trPr>
        <w:tc>
          <w:tcPr>
            <w:tcW w:w="1814" w:type="dxa"/>
            <w:shd w:val="clear" w:color="auto" w:fill="auto"/>
            <w:tcMar>
              <w:left w:w="0" w:type="dxa"/>
            </w:tcMar>
          </w:tcPr>
          <w:p w14:paraId="6CB5E399" w14:textId="77777777" w:rsidR="007D7F4F" w:rsidRDefault="007D7F4F" w:rsidP="007D7F4F">
            <w:pPr>
              <w:pStyle w:val="Marginlie"/>
            </w:pPr>
            <w:r>
              <w:t>Meziroční pokles tržeb ve službách se během 1.</w:t>
            </w:r>
            <w:r>
              <w:rPr>
                <w:spacing w:val="-4"/>
              </w:rPr>
              <w:t xml:space="preserve"> až 3. čtvrtletí</w:t>
            </w:r>
            <w:r>
              <w:t xml:space="preserve"> prohluboval, především vlivem slábnoucí poptávky v dopravě a skladování.</w:t>
            </w:r>
          </w:p>
        </w:tc>
        <w:tc>
          <w:tcPr>
            <w:tcW w:w="229" w:type="dxa"/>
            <w:shd w:val="clear" w:color="auto" w:fill="auto"/>
            <w:tcMar>
              <w:left w:w="0" w:type="dxa"/>
            </w:tcMar>
          </w:tcPr>
          <w:p w14:paraId="18E966E3" w14:textId="77777777" w:rsidR="007D7F4F" w:rsidRDefault="007D7F4F" w:rsidP="007D7F4F">
            <w:pPr>
              <w:pStyle w:val="Textpoznpodarou"/>
              <w:jc w:val="both"/>
              <w:rPr>
                <w:spacing w:val="-4"/>
              </w:rPr>
            </w:pPr>
          </w:p>
        </w:tc>
        <w:tc>
          <w:tcPr>
            <w:tcW w:w="7596" w:type="dxa"/>
            <w:shd w:val="clear" w:color="auto" w:fill="auto"/>
            <w:tcMar>
              <w:left w:w="0" w:type="dxa"/>
            </w:tcMar>
          </w:tcPr>
          <w:p w14:paraId="4D1CC125" w14:textId="72362BBF" w:rsidR="007D7F4F" w:rsidRPr="005E6936" w:rsidRDefault="007D7F4F" w:rsidP="007D7F4F">
            <w:pPr>
              <w:spacing w:after="200"/>
              <w:rPr>
                <w:rFonts w:cs="Arial"/>
                <w:color w:val="0D0D0D" w:themeColor="text1" w:themeTint="F2"/>
                <w:spacing w:val="-6"/>
              </w:rPr>
            </w:pPr>
            <w:r w:rsidRPr="005E6936">
              <w:rPr>
                <w:rFonts w:cs="Arial"/>
                <w:color w:val="0D0D0D" w:themeColor="text1" w:themeTint="F2"/>
                <w:spacing w:val="-6"/>
              </w:rPr>
              <w:t>V úhrnu za 1. až 3. čtvrtletí 2023 se tržby ve službách meziročně snížily o 2,9 % (k jejich poklesu došlo poprvé po dvou předchozích letech). Z drtivé části se na tom podílelo klíčové odvětví dopravy a skladování (příspěvek −3,0 p. b.), jehož tržby propadly o 9,6 % (sice méně než za vr</w:t>
            </w:r>
            <w:r w:rsidR="001E6441">
              <w:rPr>
                <w:rFonts w:cs="Arial"/>
                <w:color w:val="0D0D0D" w:themeColor="text1" w:themeTint="F2"/>
                <w:spacing w:val="-6"/>
              </w:rPr>
              <w:t xml:space="preserve">cholu pandemie, ale podobně </w:t>
            </w:r>
            <w:r w:rsidRPr="005E6936">
              <w:rPr>
                <w:rFonts w:cs="Arial"/>
                <w:color w:val="0D0D0D" w:themeColor="text1" w:themeTint="F2"/>
                <w:spacing w:val="-6"/>
              </w:rPr>
              <w:t>jako v roce 2009). Projevil se zde především pokles ve skladování (vč. vedlejší činností v dopravě), jenž dosáhl 13,6</w:t>
            </w:r>
            <w:r w:rsidR="001E6441">
              <w:rPr>
                <w:rFonts w:cs="Arial"/>
                <w:color w:val="0D0D0D" w:themeColor="text1" w:themeTint="F2"/>
                <w:spacing w:val="-6"/>
              </w:rPr>
              <w:t xml:space="preserve"> % (z toho ve 3. čtvrtletí 17,6</w:t>
            </w:r>
            <w:r w:rsidR="001E6441" w:rsidRPr="005E6936">
              <w:rPr>
                <w:rFonts w:cs="Arial"/>
                <w:color w:val="0D0D0D" w:themeColor="text1" w:themeTint="F2"/>
                <w:spacing w:val="-6"/>
              </w:rPr>
              <w:t> </w:t>
            </w:r>
            <w:r w:rsidRPr="005E6936">
              <w:rPr>
                <w:rFonts w:cs="Arial"/>
                <w:color w:val="0D0D0D" w:themeColor="text1" w:themeTint="F2"/>
                <w:spacing w:val="-6"/>
              </w:rPr>
              <w:t>%). Útlum výkonu průmyslu i stavebnictví doprovázený nižším obratem zbožového zahraničního obchodu</w:t>
            </w:r>
            <w:r w:rsidRPr="005E6936">
              <w:rPr>
                <w:rStyle w:val="Znakapoznpodarou"/>
                <w:color w:val="0D0D0D" w:themeColor="text1" w:themeTint="F2"/>
                <w:spacing w:val="-6"/>
              </w:rPr>
              <w:footnoteReference w:id="41"/>
            </w:r>
            <w:r w:rsidR="001E6441">
              <w:rPr>
                <w:rFonts w:cs="Arial"/>
                <w:color w:val="0D0D0D" w:themeColor="text1" w:themeTint="F2"/>
                <w:spacing w:val="-6"/>
              </w:rPr>
              <w:t xml:space="preserve"> se odrazil i v nižších </w:t>
            </w:r>
            <w:r w:rsidRPr="005E6936">
              <w:rPr>
                <w:rFonts w:cs="Arial"/>
                <w:color w:val="0D0D0D" w:themeColor="text1" w:themeTint="F2"/>
                <w:spacing w:val="-6"/>
              </w:rPr>
              <w:t>výkone</w:t>
            </w:r>
            <w:r w:rsidR="001E6441">
              <w:rPr>
                <w:rFonts w:cs="Arial"/>
                <w:color w:val="0D0D0D" w:themeColor="text1" w:themeTint="F2"/>
                <w:spacing w:val="-6"/>
              </w:rPr>
              <w:t>ch nákladní dopravy (silniční i</w:t>
            </w:r>
            <w:r w:rsidR="001E6441" w:rsidRPr="005E6936">
              <w:rPr>
                <w:rFonts w:cs="Arial"/>
                <w:color w:val="0D0D0D" w:themeColor="text1" w:themeTint="F2"/>
                <w:spacing w:val="-6"/>
              </w:rPr>
              <w:t> </w:t>
            </w:r>
            <w:r w:rsidRPr="005E6936">
              <w:rPr>
                <w:rFonts w:cs="Arial"/>
                <w:color w:val="0D0D0D" w:themeColor="text1" w:themeTint="F2"/>
                <w:spacing w:val="-6"/>
              </w:rPr>
              <w:t>železniční). Pozitivně se naopak v tržbách pozemní d</w:t>
            </w:r>
            <w:r w:rsidR="001E6441">
              <w:rPr>
                <w:rFonts w:cs="Arial"/>
                <w:color w:val="0D0D0D" w:themeColor="text1" w:themeTint="F2"/>
                <w:spacing w:val="-6"/>
              </w:rPr>
              <w:t>opravy projevily vyšší</w:t>
            </w:r>
            <w:r w:rsidRPr="005E6936">
              <w:rPr>
                <w:rFonts w:cs="Arial"/>
                <w:color w:val="0D0D0D" w:themeColor="text1" w:themeTint="F2"/>
                <w:spacing w:val="-6"/>
              </w:rPr>
              <w:t xml:space="preserve"> výkony osobní dopravy na železnici spojené s výraznějším posílením přeshraniční dopravy, ale i rozvojem regionální dopravy (modernizace tratí, zapojování nových oblastí do systémů integrované dopravy). Meziročně vzrostly i výkony vnitrostátní veřejné autobusové dopravy, ale podobně jako v ostatních druzích osobní dopravy zatím zaostaly z</w:t>
            </w:r>
            <w:r w:rsidR="00CD5EE0">
              <w:rPr>
                <w:rFonts w:cs="Arial"/>
                <w:color w:val="0D0D0D" w:themeColor="text1" w:themeTint="F2"/>
                <w:spacing w:val="-6"/>
              </w:rPr>
              <w:t>a „</w:t>
            </w:r>
            <w:proofErr w:type="spellStart"/>
            <w:r w:rsidR="00CD5EE0">
              <w:rPr>
                <w:rFonts w:cs="Arial"/>
                <w:color w:val="0D0D0D" w:themeColor="text1" w:themeTint="F2"/>
                <w:spacing w:val="-6"/>
              </w:rPr>
              <w:t>předcovidov</w:t>
            </w:r>
            <w:r w:rsidR="001E6441">
              <w:rPr>
                <w:rFonts w:cs="Arial"/>
                <w:color w:val="0D0D0D" w:themeColor="text1" w:themeTint="F2"/>
                <w:spacing w:val="-6"/>
              </w:rPr>
              <w:t>ou</w:t>
            </w:r>
            <w:proofErr w:type="spellEnd"/>
            <w:r w:rsidR="001E6441">
              <w:rPr>
                <w:rFonts w:cs="Arial"/>
                <w:color w:val="0D0D0D" w:themeColor="text1" w:themeTint="F2"/>
                <w:spacing w:val="-6"/>
              </w:rPr>
              <w:t>“ úrovní (mj. i</w:t>
            </w:r>
            <w:r w:rsidR="001E6441" w:rsidRPr="005E6936">
              <w:rPr>
                <w:rFonts w:cs="Arial"/>
                <w:color w:val="0D0D0D" w:themeColor="text1" w:themeTint="F2"/>
                <w:spacing w:val="-6"/>
              </w:rPr>
              <w:t> </w:t>
            </w:r>
            <w:r w:rsidRPr="005E6936">
              <w:rPr>
                <w:rFonts w:cs="Arial"/>
                <w:color w:val="0D0D0D" w:themeColor="text1" w:themeTint="F2"/>
                <w:spacing w:val="-6"/>
              </w:rPr>
              <w:t xml:space="preserve">vlivem většího rozšíření práce z domova). Pokračující zotavování příjezdového cestovního ruchu podpořilo tržby v letecké dopravě. Mírně se zvýšily rovněž tržby ve vodní dopravě. Naopak poštovní a kurýrní činnosti utržily meziročně o 3,9 % méně. Výkony zde klesají druhým rokem v řadě, což lze z velké části připsat dopadu poklesu poptávky v oblasti dříve se silně rozvíjejících internetových prodejů.  </w:t>
            </w:r>
          </w:p>
        </w:tc>
      </w:tr>
      <w:tr w:rsidR="007D7F4F" w14:paraId="0399772F" w14:textId="77777777" w:rsidTr="00067363">
        <w:trPr>
          <w:trHeight w:val="170"/>
        </w:trPr>
        <w:tc>
          <w:tcPr>
            <w:tcW w:w="1814" w:type="dxa"/>
            <w:shd w:val="clear" w:color="auto" w:fill="auto"/>
            <w:tcMar>
              <w:left w:w="0" w:type="dxa"/>
            </w:tcMar>
          </w:tcPr>
          <w:p w14:paraId="71C36B17" w14:textId="77777777" w:rsidR="007D7F4F" w:rsidRDefault="007D7F4F" w:rsidP="007D7F4F">
            <w:pPr>
              <w:pStyle w:val="Marginlie"/>
              <w:rPr>
                <w:color w:val="0D0D0D" w:themeColor="text1" w:themeTint="F2"/>
                <w:spacing w:val="-4"/>
              </w:rPr>
            </w:pPr>
            <w:r w:rsidRPr="000B4858">
              <w:t>Celková poptávka po cestovním ruchu v ČR poprvé překonala úroveň z roku 2019.</w:t>
            </w:r>
            <w:r>
              <w:t xml:space="preserve"> </w:t>
            </w:r>
            <w:r w:rsidRPr="000B4858">
              <w:t xml:space="preserve">Meziroční růst tržeb v ubytování </w:t>
            </w:r>
            <w:r>
              <w:t xml:space="preserve">však </w:t>
            </w:r>
            <w:r w:rsidRPr="000B4858">
              <w:t>slábl</w:t>
            </w:r>
            <w:r>
              <w:t>.</w:t>
            </w:r>
          </w:p>
        </w:tc>
        <w:tc>
          <w:tcPr>
            <w:tcW w:w="229" w:type="dxa"/>
            <w:shd w:val="clear" w:color="auto" w:fill="auto"/>
            <w:tcMar>
              <w:left w:w="0" w:type="dxa"/>
            </w:tcMar>
          </w:tcPr>
          <w:p w14:paraId="70F05454" w14:textId="77777777" w:rsidR="007D7F4F" w:rsidRPr="00784EC8"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4EE007D6" w14:textId="77777777" w:rsidR="007D7F4F" w:rsidRPr="005E6936" w:rsidRDefault="007D7F4F" w:rsidP="007D7F4F">
            <w:pPr>
              <w:spacing w:after="200"/>
              <w:rPr>
                <w:color w:val="0D0D0D" w:themeColor="text1" w:themeTint="F2"/>
                <w:spacing w:val="-6"/>
              </w:rPr>
            </w:pPr>
            <w:r w:rsidRPr="005E6936">
              <w:rPr>
                <w:color w:val="0D0D0D" w:themeColor="text1" w:themeTint="F2"/>
                <w:spacing w:val="-6"/>
              </w:rPr>
              <w:t xml:space="preserve">Tržby v ubytování, stravování a pohostinství vzrostly za tři letošní čtvrtletí meziročně </w:t>
            </w:r>
            <w:r w:rsidRPr="005E6936">
              <w:rPr>
                <w:color w:val="0D0D0D" w:themeColor="text1" w:themeTint="F2"/>
                <w:spacing w:val="-6"/>
              </w:rPr>
              <w:br/>
              <w:t xml:space="preserve">o 3,9 %. Svižnější tempo vykázal segment ubytování (+9,1 %), téměř výhradně však díky nižší srovnávací základně, neboť v </w:t>
            </w:r>
            <w:proofErr w:type="spellStart"/>
            <w:r w:rsidRPr="005E6936">
              <w:rPr>
                <w:color w:val="0D0D0D" w:themeColor="text1" w:themeTint="F2"/>
                <w:spacing w:val="-6"/>
              </w:rPr>
              <w:t>mezikvartálním</w:t>
            </w:r>
            <w:proofErr w:type="spellEnd"/>
            <w:r w:rsidRPr="005E6936">
              <w:rPr>
                <w:color w:val="0D0D0D" w:themeColor="text1" w:themeTint="F2"/>
                <w:spacing w:val="-6"/>
              </w:rPr>
              <w:t xml:space="preserve"> pohledu se zde totiž růst tržeb letos zastavil</w:t>
            </w:r>
            <w:r w:rsidRPr="005E6936">
              <w:rPr>
                <w:rStyle w:val="Znakapoznpodarou"/>
                <w:color w:val="0D0D0D" w:themeColor="text1" w:themeTint="F2"/>
                <w:spacing w:val="-6"/>
              </w:rPr>
              <w:footnoteReference w:id="42"/>
            </w:r>
            <w:r w:rsidRPr="005E6936">
              <w:rPr>
                <w:color w:val="0D0D0D" w:themeColor="text1" w:themeTint="F2"/>
                <w:spacing w:val="-6"/>
              </w:rPr>
              <w:t xml:space="preserve">. Meziroční růst počtu příjezdů i přenocování hostů v HUZ v Česku však pokračoval, byť tempo postupně sláblo – jak u domácí, tak zahraniční klientely. Ve 3. čtvrtletí přijelo do Česka 7,9 mil. hostů, meziročně o 7,9 % více. Celková poptávka po cestovním ruchu v ČR </w:t>
            </w:r>
            <w:r w:rsidRPr="005E6936">
              <w:rPr>
                <w:color w:val="0D0D0D" w:themeColor="text1" w:themeTint="F2"/>
                <w:spacing w:val="-6"/>
              </w:rPr>
              <w:lastRenderedPageBreak/>
              <w:t>poprvé překonala předkrizovou úroveň – oproti 3. kvartálu 2019 přijelo o 4,3 % hostů více</w:t>
            </w:r>
            <w:r w:rsidRPr="005E6936">
              <w:rPr>
                <w:color w:val="0D0D0D" w:themeColor="text1" w:themeTint="F2"/>
                <w:spacing w:val="-6"/>
                <w:vertAlign w:val="superscript"/>
              </w:rPr>
              <w:footnoteReference w:id="43"/>
            </w:r>
            <w:r w:rsidRPr="005E6936">
              <w:rPr>
                <w:color w:val="0D0D0D" w:themeColor="text1" w:themeTint="F2"/>
                <w:spacing w:val="-6"/>
              </w:rPr>
              <w:t>, počet jejich přenocování byl vyšší o 2,4 % (z toho u zahraničních hostů však poptávka stále o více než desetinu zaostávala). Segment stravování a pohostinství více ovlivňovala slábnoucí kupní síla tuzemských domácností a tržby zde letos za 1. až 3. čtvrtletí meziročně posílily jen o 2,2 %.</w:t>
            </w:r>
          </w:p>
        </w:tc>
      </w:tr>
      <w:tr w:rsidR="007D7F4F" w14:paraId="197ACC4C" w14:textId="77777777" w:rsidTr="00067363">
        <w:trPr>
          <w:trHeight w:val="170"/>
        </w:trPr>
        <w:tc>
          <w:tcPr>
            <w:tcW w:w="1814" w:type="dxa"/>
            <w:shd w:val="clear" w:color="auto" w:fill="auto"/>
            <w:tcMar>
              <w:left w:w="0" w:type="dxa"/>
            </w:tcMar>
          </w:tcPr>
          <w:p w14:paraId="317E02C4" w14:textId="77777777" w:rsidR="007D7F4F" w:rsidRDefault="007D7F4F" w:rsidP="007D7F4F">
            <w:pPr>
              <w:pStyle w:val="Marginlie"/>
            </w:pPr>
          </w:p>
        </w:tc>
        <w:tc>
          <w:tcPr>
            <w:tcW w:w="229" w:type="dxa"/>
            <w:shd w:val="clear" w:color="auto" w:fill="auto"/>
            <w:tcMar>
              <w:left w:w="0" w:type="dxa"/>
            </w:tcMar>
          </w:tcPr>
          <w:p w14:paraId="4A3CF7FD" w14:textId="77777777" w:rsidR="007D7F4F" w:rsidRDefault="007D7F4F" w:rsidP="007D7F4F">
            <w:pPr>
              <w:pStyle w:val="Textpoznpodarou"/>
              <w:jc w:val="both"/>
              <w:rPr>
                <w:spacing w:val="-4"/>
              </w:rPr>
            </w:pPr>
          </w:p>
        </w:tc>
        <w:tc>
          <w:tcPr>
            <w:tcW w:w="7596" w:type="dxa"/>
            <w:shd w:val="clear" w:color="auto" w:fill="auto"/>
            <w:tcMar>
              <w:left w:w="0" w:type="dxa"/>
            </w:tcMar>
          </w:tcPr>
          <w:p w14:paraId="20027622" w14:textId="77777777" w:rsidR="007D7F4F" w:rsidRPr="005E6936" w:rsidRDefault="007D7F4F" w:rsidP="007D7F4F">
            <w:pPr>
              <w:spacing w:after="40"/>
              <w:rPr>
                <w:b/>
                <w:spacing w:val="-6"/>
              </w:rPr>
            </w:pPr>
            <w:r w:rsidRPr="005E6936">
              <w:rPr>
                <w:b/>
                <w:spacing w:val="-6"/>
              </w:rPr>
              <w:t xml:space="preserve">Graf č. 7 </w:t>
            </w:r>
            <w:r w:rsidRPr="005E6936">
              <w:rPr>
                <w:b/>
                <w:bCs/>
                <w:spacing w:val="-6"/>
              </w:rPr>
              <w:t>Příspěvky dílčích odvětví k meziroční změně tržeb ve službách*</w:t>
            </w:r>
            <w:r w:rsidRPr="005E6936">
              <w:rPr>
                <w:b/>
                <w:spacing w:val="-6"/>
              </w:rPr>
              <w:br/>
            </w:r>
            <w:r w:rsidRPr="005E6936">
              <w:rPr>
                <w:spacing w:val="-6"/>
              </w:rPr>
              <w:t>(reálně, v p. b),</w:t>
            </w:r>
            <w:r w:rsidRPr="005E6936">
              <w:rPr>
                <w:b/>
                <w:spacing w:val="-6"/>
              </w:rPr>
              <w:t xml:space="preserve"> </w:t>
            </w:r>
            <w:r w:rsidRPr="005E6936">
              <w:rPr>
                <w:b/>
                <w:bCs/>
                <w:spacing w:val="-6"/>
              </w:rPr>
              <w:t xml:space="preserve">celkové tržby ve službách* </w:t>
            </w:r>
            <w:r w:rsidRPr="005E6936">
              <w:rPr>
                <w:spacing w:val="-6"/>
              </w:rPr>
              <w:t>(báze 2015=100, pravá osa),</w:t>
            </w:r>
            <w:r w:rsidRPr="005E6936">
              <w:rPr>
                <w:b/>
                <w:spacing w:val="-6"/>
              </w:rPr>
              <w:t xml:space="preserve"> </w:t>
            </w:r>
            <w:r w:rsidRPr="005E6936">
              <w:rPr>
                <w:b/>
                <w:bCs/>
                <w:spacing w:val="-6"/>
              </w:rPr>
              <w:t>saldo důvěry podnikatelů ve službách**</w:t>
            </w:r>
            <w:r w:rsidRPr="005E6936">
              <w:rPr>
                <w:b/>
                <w:spacing w:val="-6"/>
              </w:rPr>
              <w:t xml:space="preserve"> </w:t>
            </w:r>
            <w:r w:rsidRPr="005E6936">
              <w:rPr>
                <w:spacing w:val="-6"/>
              </w:rPr>
              <w:t>(v p. b., pravá osa)</w:t>
            </w:r>
            <w:r w:rsidRPr="005E6936">
              <w:rPr>
                <w:b/>
                <w:bCs/>
                <w:spacing w:val="-6"/>
              </w:rPr>
              <w:t xml:space="preserve"> a bariéry růstu**</w:t>
            </w:r>
            <w:r w:rsidRPr="005E6936">
              <w:rPr>
                <w:b/>
                <w:spacing w:val="-6"/>
              </w:rPr>
              <w:t xml:space="preserve"> </w:t>
            </w:r>
            <w:r w:rsidRPr="005E6936">
              <w:rPr>
                <w:spacing w:val="-6"/>
              </w:rPr>
              <w:t xml:space="preserve">(v %, pravá osa) </w:t>
            </w:r>
          </w:p>
        </w:tc>
      </w:tr>
      <w:tr w:rsidR="007D7F4F" w14:paraId="35503E84" w14:textId="77777777" w:rsidTr="00067363">
        <w:tblPrEx>
          <w:tblCellMar>
            <w:left w:w="70" w:type="dxa"/>
            <w:right w:w="70" w:type="dxa"/>
          </w:tblCellMar>
        </w:tblPrEx>
        <w:trPr>
          <w:trHeight w:val="170"/>
        </w:trPr>
        <w:tc>
          <w:tcPr>
            <w:tcW w:w="1814" w:type="dxa"/>
            <w:shd w:val="clear" w:color="auto" w:fill="auto"/>
          </w:tcPr>
          <w:p w14:paraId="16FC4033" w14:textId="77777777" w:rsidR="007D7F4F" w:rsidRDefault="007D7F4F" w:rsidP="007D7F4F">
            <w:pPr>
              <w:pStyle w:val="Marginlie"/>
            </w:pPr>
          </w:p>
        </w:tc>
        <w:tc>
          <w:tcPr>
            <w:tcW w:w="229" w:type="dxa"/>
            <w:shd w:val="clear" w:color="auto" w:fill="auto"/>
          </w:tcPr>
          <w:p w14:paraId="6637AE08" w14:textId="77777777" w:rsidR="007D7F4F" w:rsidRDefault="007D7F4F" w:rsidP="007D7F4F">
            <w:pPr>
              <w:pStyle w:val="Textpoznpodarou"/>
              <w:jc w:val="both"/>
              <w:rPr>
                <w:spacing w:val="-4"/>
              </w:rPr>
            </w:pPr>
          </w:p>
        </w:tc>
        <w:tc>
          <w:tcPr>
            <w:tcW w:w="7596" w:type="dxa"/>
            <w:shd w:val="clear" w:color="auto" w:fill="auto"/>
          </w:tcPr>
          <w:p w14:paraId="011C4A04" w14:textId="77777777" w:rsidR="007D7F4F" w:rsidRPr="005E6936" w:rsidRDefault="007D7F4F" w:rsidP="007D7F4F">
            <w:pPr>
              <w:spacing w:after="0"/>
              <w:rPr>
                <w:rFonts w:cs="Arial"/>
                <w:spacing w:val="-6"/>
                <w:sz w:val="14"/>
                <w:szCs w:val="14"/>
              </w:rPr>
            </w:pPr>
            <w:r w:rsidRPr="005E6936">
              <w:rPr>
                <w:noProof/>
                <w:spacing w:val="-6"/>
              </w:rPr>
              <w:drawing>
                <wp:inline distT="0" distB="0" distL="0" distR="0" wp14:anchorId="46D81762" wp14:editId="6B05ED94">
                  <wp:extent cx="4734560" cy="3434576"/>
                  <wp:effectExtent l="0" t="0" r="889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7D7F4F" w14:paraId="4C6268DB" w14:textId="77777777" w:rsidTr="00067363">
        <w:trPr>
          <w:trHeight w:val="170"/>
        </w:trPr>
        <w:tc>
          <w:tcPr>
            <w:tcW w:w="1814" w:type="dxa"/>
            <w:shd w:val="clear" w:color="auto" w:fill="auto"/>
            <w:tcMar>
              <w:left w:w="0" w:type="dxa"/>
            </w:tcMar>
          </w:tcPr>
          <w:p w14:paraId="627B173B" w14:textId="77777777" w:rsidR="007D7F4F" w:rsidRDefault="007D7F4F" w:rsidP="007D7F4F">
            <w:pPr>
              <w:pStyle w:val="Marginlie"/>
            </w:pPr>
          </w:p>
        </w:tc>
        <w:tc>
          <w:tcPr>
            <w:tcW w:w="229" w:type="dxa"/>
            <w:shd w:val="clear" w:color="auto" w:fill="auto"/>
            <w:tcMar>
              <w:left w:w="0" w:type="dxa"/>
            </w:tcMar>
          </w:tcPr>
          <w:p w14:paraId="27373081" w14:textId="77777777" w:rsidR="007D7F4F" w:rsidRDefault="007D7F4F" w:rsidP="007D7F4F">
            <w:pPr>
              <w:pStyle w:val="Textpoznpodarou"/>
              <w:jc w:val="both"/>
              <w:rPr>
                <w:spacing w:val="-4"/>
              </w:rPr>
            </w:pPr>
          </w:p>
        </w:tc>
        <w:tc>
          <w:tcPr>
            <w:tcW w:w="7596" w:type="dxa"/>
            <w:shd w:val="clear" w:color="auto" w:fill="auto"/>
            <w:tcMar>
              <w:left w:w="0" w:type="dxa"/>
            </w:tcMar>
          </w:tcPr>
          <w:p w14:paraId="0B4C7C9D" w14:textId="77777777" w:rsidR="007D7F4F" w:rsidRPr="005E6936" w:rsidRDefault="007D7F4F" w:rsidP="007D7F4F">
            <w:pPr>
              <w:spacing w:after="0" w:line="240" w:lineRule="auto"/>
              <w:rPr>
                <w:rFonts w:cs="Arial"/>
                <w:spacing w:val="-6"/>
                <w:sz w:val="14"/>
                <w:szCs w:val="14"/>
              </w:rPr>
            </w:pPr>
            <w:r w:rsidRPr="005E6936">
              <w:rPr>
                <w:rFonts w:cs="Arial"/>
                <w:spacing w:val="-6"/>
                <w:sz w:val="14"/>
                <w:szCs w:val="14"/>
              </w:rPr>
              <w:t>Poznámka: všechny údaje jsou sezónně očištěny, pouze příspěvky dílčích odvětví k růstu tržeb jsou očištěny jen o kalendářní vlivy.</w:t>
            </w:r>
          </w:p>
          <w:p w14:paraId="10554BE9" w14:textId="77777777" w:rsidR="007D7F4F" w:rsidRPr="005E6936" w:rsidRDefault="007D7F4F" w:rsidP="007D7F4F">
            <w:pPr>
              <w:spacing w:after="0" w:line="240" w:lineRule="auto"/>
              <w:rPr>
                <w:rFonts w:cs="Arial"/>
                <w:spacing w:val="-6"/>
                <w:sz w:val="14"/>
                <w:szCs w:val="14"/>
              </w:rPr>
            </w:pPr>
            <w:r w:rsidRPr="005E6936">
              <w:rPr>
                <w:rFonts w:cs="Arial"/>
                <w:spacing w:val="-6"/>
                <w:sz w:val="14"/>
                <w:szCs w:val="14"/>
              </w:rPr>
              <w:t>*Bez odvětví obchodu, peněžnictví, pojišťovnictví, vědy, výzkumu a veřejných služeb.</w:t>
            </w:r>
          </w:p>
          <w:p w14:paraId="334DD7F4" w14:textId="77777777" w:rsidR="007D7F4F" w:rsidRPr="005E6936" w:rsidRDefault="007D7F4F" w:rsidP="007D7F4F">
            <w:pPr>
              <w:spacing w:after="200" w:line="240" w:lineRule="auto"/>
              <w:rPr>
                <w:rFonts w:cs="Arial"/>
                <w:spacing w:val="-6"/>
                <w:sz w:val="14"/>
                <w:szCs w:val="14"/>
              </w:rPr>
            </w:pPr>
            <w:r w:rsidRPr="005E6936">
              <w:rPr>
                <w:rFonts w:cs="Arial"/>
                <w:spacing w:val="-6"/>
                <w:sz w:val="14"/>
                <w:szCs w:val="14"/>
              </w:rPr>
              <w:t xml:space="preserve">.**Zahrnuje i finanční sektor. Saldo důvěry podnikatelů i bariéry růstu vyjadřují stav v prvním (bariéry růstu), resp. ve druhém měsíci daného čtvrtletí (saldo důvěry). Podniky mohly uvést více hlavních bariér současně.                        Zdroj: ČSÚ, </w:t>
            </w:r>
            <w:proofErr w:type="spellStart"/>
            <w:r w:rsidRPr="005E6936">
              <w:rPr>
                <w:rFonts w:cs="Arial"/>
                <w:spacing w:val="-6"/>
                <w:sz w:val="14"/>
                <w:szCs w:val="14"/>
              </w:rPr>
              <w:t>Eurostat</w:t>
            </w:r>
            <w:proofErr w:type="spellEnd"/>
          </w:p>
        </w:tc>
      </w:tr>
      <w:tr w:rsidR="007D7F4F" w14:paraId="7E3F3470" w14:textId="77777777" w:rsidTr="00067363">
        <w:trPr>
          <w:trHeight w:val="170"/>
        </w:trPr>
        <w:tc>
          <w:tcPr>
            <w:tcW w:w="1814" w:type="dxa"/>
            <w:shd w:val="clear" w:color="auto" w:fill="auto"/>
            <w:tcMar>
              <w:left w:w="0" w:type="dxa"/>
            </w:tcMar>
          </w:tcPr>
          <w:p w14:paraId="765D82C1" w14:textId="77777777" w:rsidR="007D7F4F" w:rsidRDefault="007D7F4F" w:rsidP="007D7F4F">
            <w:pPr>
              <w:pStyle w:val="Marginlie"/>
              <w:rPr>
                <w:color w:val="0D0D0D" w:themeColor="text1" w:themeTint="F2"/>
              </w:rPr>
            </w:pPr>
            <w:r w:rsidRPr="00112739">
              <w:rPr>
                <w:color w:val="0D0D0D" w:themeColor="text1" w:themeTint="F2"/>
                <w:spacing w:val="-6"/>
              </w:rPr>
              <w:t>Růst tržeb v dlouhodobě prosperujících informačních a komunikačních činnostech se zastavil,</w:t>
            </w:r>
            <w:r>
              <w:rPr>
                <w:color w:val="0D0D0D" w:themeColor="text1" w:themeTint="F2"/>
              </w:rPr>
              <w:t xml:space="preserve"> </w:t>
            </w:r>
            <w:r w:rsidRPr="00112739">
              <w:rPr>
                <w:color w:val="0D0D0D" w:themeColor="text1" w:themeTint="F2"/>
                <w:spacing w:val="-4"/>
              </w:rPr>
              <w:t xml:space="preserve">naopak poptávka po profesních, technických </w:t>
            </w:r>
            <w:r>
              <w:rPr>
                <w:color w:val="0D0D0D" w:themeColor="text1" w:themeTint="F2"/>
                <w:spacing w:val="-4"/>
              </w:rPr>
              <w:br/>
            </w:r>
            <w:r w:rsidRPr="00112739">
              <w:rPr>
                <w:color w:val="0D0D0D" w:themeColor="text1" w:themeTint="F2"/>
                <w:spacing w:val="-4"/>
              </w:rPr>
              <w:t>a vědeckých činnostech se dále zvyšovala.</w:t>
            </w:r>
            <w:r>
              <w:rPr>
                <w:color w:val="0D0D0D" w:themeColor="text1" w:themeTint="F2"/>
              </w:rPr>
              <w:t xml:space="preserve"> </w:t>
            </w:r>
          </w:p>
          <w:p w14:paraId="7C6E2736" w14:textId="77777777" w:rsidR="007D7F4F" w:rsidRDefault="007D7F4F" w:rsidP="007D7F4F">
            <w:pPr>
              <w:pStyle w:val="Marginlie"/>
              <w:rPr>
                <w:color w:val="0D0D0D" w:themeColor="text1" w:themeTint="F2"/>
              </w:rPr>
            </w:pPr>
          </w:p>
          <w:p w14:paraId="28E3419F" w14:textId="77777777" w:rsidR="007D7F4F" w:rsidRDefault="007D7F4F" w:rsidP="007D7F4F">
            <w:pPr>
              <w:pStyle w:val="Marginlie"/>
              <w:rPr>
                <w:color w:val="0D0D0D" w:themeColor="text1" w:themeTint="F2"/>
              </w:rPr>
            </w:pPr>
          </w:p>
          <w:p w14:paraId="3159461B" w14:textId="77777777" w:rsidR="007D7F4F" w:rsidRPr="00951B5E" w:rsidRDefault="007D7F4F" w:rsidP="007D7F4F">
            <w:pPr>
              <w:pStyle w:val="Marginlie"/>
              <w:rPr>
                <w:color w:val="0D0D0D" w:themeColor="text1" w:themeTint="F2"/>
              </w:rPr>
            </w:pPr>
          </w:p>
        </w:tc>
        <w:tc>
          <w:tcPr>
            <w:tcW w:w="229" w:type="dxa"/>
            <w:shd w:val="clear" w:color="auto" w:fill="auto"/>
            <w:tcMar>
              <w:left w:w="0" w:type="dxa"/>
            </w:tcMar>
          </w:tcPr>
          <w:p w14:paraId="48E34F60" w14:textId="77777777" w:rsidR="007D7F4F" w:rsidRPr="00784EC8"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53690059" w14:textId="4834BB11" w:rsidR="007D7F4F" w:rsidRPr="005E6936" w:rsidRDefault="007D7F4F" w:rsidP="007D7F4F">
            <w:pPr>
              <w:spacing w:after="200"/>
              <w:rPr>
                <w:color w:val="0D0D0D" w:themeColor="text1" w:themeTint="F2"/>
                <w:spacing w:val="-6"/>
              </w:rPr>
            </w:pPr>
            <w:r w:rsidRPr="005E6936">
              <w:rPr>
                <w:rFonts w:cs="Arial"/>
                <w:color w:val="0D0D0D" w:themeColor="text1" w:themeTint="F2"/>
                <w:spacing w:val="-6"/>
              </w:rPr>
              <w:t xml:space="preserve">V odvětví informační a komunikační činnosti tržby se v </w:t>
            </w:r>
            <w:r w:rsidRPr="005E6936">
              <w:rPr>
                <w:color w:val="0D0D0D" w:themeColor="text1" w:themeTint="F2"/>
                <w:spacing w:val="-6"/>
              </w:rPr>
              <w:t>1. až 3. čtvrtletí 2023 meziročně snížily (o</w:t>
            </w:r>
            <w:r w:rsidRPr="005E6936">
              <w:rPr>
                <w:rFonts w:cs="Arial"/>
                <w:color w:val="0D0D0D" w:themeColor="text1" w:themeTint="F2"/>
                <w:spacing w:val="-6"/>
              </w:rPr>
              <w:t> </w:t>
            </w:r>
            <w:r w:rsidRPr="005E6936">
              <w:rPr>
                <w:color w:val="0D0D0D" w:themeColor="text1" w:themeTint="F2"/>
                <w:spacing w:val="-6"/>
              </w:rPr>
              <w:t>0,7 %), poprvé v tomto období od roku 2013</w:t>
            </w:r>
            <w:r w:rsidRPr="005E6936">
              <w:rPr>
                <w:rStyle w:val="Znakapoznpodarou"/>
                <w:color w:val="0D0D0D" w:themeColor="text1" w:themeTint="F2"/>
                <w:spacing w:val="-6"/>
              </w:rPr>
              <w:footnoteReference w:id="44"/>
            </w:r>
            <w:r w:rsidRPr="005E6936">
              <w:rPr>
                <w:color w:val="0D0D0D" w:themeColor="text1" w:themeTint="F2"/>
                <w:spacing w:val="-6"/>
              </w:rPr>
              <w:t>. K letošnímu poklesu přispěla zejména slabší poptávka v informačních činnostech</w:t>
            </w:r>
            <w:r w:rsidRPr="005E6936">
              <w:rPr>
                <w:rStyle w:val="Znakapoznpodarou"/>
                <w:color w:val="0D0D0D" w:themeColor="text1" w:themeTint="F2"/>
                <w:spacing w:val="-6"/>
              </w:rPr>
              <w:footnoteReference w:id="45"/>
            </w:r>
            <w:r w:rsidRPr="005E6936">
              <w:rPr>
                <w:color w:val="0D0D0D" w:themeColor="text1" w:themeTint="F2"/>
                <w:spacing w:val="-6"/>
              </w:rPr>
              <w:t>, klesly rovněž tržby vydavatelům či v tzv. filmovém a hudebním průmyslu</w:t>
            </w:r>
            <w:r w:rsidRPr="005E6936">
              <w:rPr>
                <w:rStyle w:val="Znakapoznpodarou"/>
                <w:color w:val="0D0D0D" w:themeColor="text1" w:themeTint="F2"/>
                <w:spacing w:val="-6"/>
              </w:rPr>
              <w:footnoteReference w:id="46"/>
            </w:r>
            <w:r w:rsidRPr="005E6936">
              <w:rPr>
                <w:color w:val="0D0D0D" w:themeColor="text1" w:themeTint="F2"/>
                <w:spacing w:val="-6"/>
              </w:rPr>
              <w:t xml:space="preserve">. V dlouhodobě rostoucích činnostech v oblasti IT (zahrnujících např. programování či správu počítačového vybavení) nebo v </w:t>
            </w:r>
            <w:r w:rsidR="001E6441">
              <w:rPr>
                <w:color w:val="0D0D0D" w:themeColor="text1" w:themeTint="F2"/>
                <w:spacing w:val="-6"/>
              </w:rPr>
              <w:t>telekomunikacích tržby letos</w:t>
            </w:r>
            <w:r w:rsidRPr="005E6936">
              <w:rPr>
                <w:color w:val="0D0D0D" w:themeColor="text1" w:themeTint="F2"/>
                <w:spacing w:val="-6"/>
              </w:rPr>
              <w:t xml:space="preserve"> stagnovaly (v samotném 3. čtvrtletí se mírně snižovaly). Mírný, ale stabilní růst poptávky přetrvá</w:t>
            </w:r>
            <w:r w:rsidR="00CD5EE0">
              <w:rPr>
                <w:color w:val="0D0D0D" w:themeColor="text1" w:themeTint="F2"/>
                <w:spacing w:val="-6"/>
              </w:rPr>
              <w:t>val</w:t>
            </w:r>
            <w:r w:rsidRPr="005E6936">
              <w:rPr>
                <w:color w:val="0D0D0D" w:themeColor="text1" w:themeTint="F2"/>
                <w:spacing w:val="-6"/>
              </w:rPr>
              <w:t xml:space="preserve"> letos v odvětví profesní, vědecké a technické činnosti. Za tři čtvrtletí zde tržby vzrostly o 2,2 %, když se dařilo takřka všem oborům. Nejvíce tak rostly tržby právním </w:t>
            </w:r>
            <w:r w:rsidRPr="005E6936">
              <w:rPr>
                <w:color w:val="0D0D0D" w:themeColor="text1" w:themeTint="F2"/>
                <w:spacing w:val="-6"/>
              </w:rPr>
              <w:lastRenderedPageBreak/>
              <w:t>a</w:t>
            </w:r>
            <w:r>
              <w:rPr>
                <w:color w:val="0D0D0D" w:themeColor="text1" w:themeTint="F2"/>
                <w:spacing w:val="-6"/>
              </w:rPr>
              <w:t> </w:t>
            </w:r>
            <w:r w:rsidRPr="005E6936">
              <w:rPr>
                <w:color w:val="0D0D0D" w:themeColor="text1" w:themeTint="F2"/>
                <w:spacing w:val="-6"/>
              </w:rPr>
              <w:t xml:space="preserve">účetnickým činnostem (+3,6 %), k růstu celého odvětví ale nejvíce přispěly architektonické a inženýrské činnosti (+2,9 %), kde se poptávka zvyšovala navzdory potížím ve stavebnictví. Po slabším loňském roku letos mírně ožila poptávka v oblasti reklamy, v kontrastu s tím pokračoval pokles v oblasti průzkumu trhu a veřejného mínění. </w:t>
            </w:r>
          </w:p>
        </w:tc>
      </w:tr>
      <w:tr w:rsidR="007D7F4F" w14:paraId="313AD35A" w14:textId="77777777" w:rsidTr="00067363">
        <w:trPr>
          <w:trHeight w:val="170"/>
        </w:trPr>
        <w:tc>
          <w:tcPr>
            <w:tcW w:w="1814" w:type="dxa"/>
            <w:shd w:val="clear" w:color="auto" w:fill="auto"/>
            <w:tcMar>
              <w:left w:w="0" w:type="dxa"/>
            </w:tcMar>
          </w:tcPr>
          <w:p w14:paraId="59CBB249" w14:textId="77777777" w:rsidR="007D7F4F" w:rsidRDefault="007D7F4F" w:rsidP="007D7F4F">
            <w:pPr>
              <w:pStyle w:val="Marginlie"/>
              <w:rPr>
                <w:color w:val="0D0D0D" w:themeColor="text1" w:themeTint="F2"/>
              </w:rPr>
            </w:pPr>
            <w:r>
              <w:rPr>
                <w:color w:val="0D0D0D" w:themeColor="text1" w:themeTint="F2"/>
              </w:rPr>
              <w:lastRenderedPageBreak/>
              <w:t>Propad tržeb pracovních agentur pokračoval, cyklický útlum poptávky nastal i v řadě dalších podnikových služeb.</w:t>
            </w:r>
          </w:p>
          <w:p w14:paraId="76836F43" w14:textId="77777777" w:rsidR="007D7F4F" w:rsidRDefault="007D7F4F" w:rsidP="007D7F4F">
            <w:pPr>
              <w:pStyle w:val="Marginlie"/>
            </w:pPr>
          </w:p>
        </w:tc>
        <w:tc>
          <w:tcPr>
            <w:tcW w:w="229" w:type="dxa"/>
            <w:shd w:val="clear" w:color="auto" w:fill="auto"/>
            <w:tcMar>
              <w:left w:w="0" w:type="dxa"/>
            </w:tcMar>
          </w:tcPr>
          <w:p w14:paraId="2B5047E4" w14:textId="77777777" w:rsidR="007D7F4F" w:rsidRDefault="007D7F4F" w:rsidP="007D7F4F">
            <w:pPr>
              <w:pStyle w:val="Textpoznpodarou"/>
              <w:jc w:val="both"/>
              <w:rPr>
                <w:spacing w:val="-4"/>
              </w:rPr>
            </w:pPr>
          </w:p>
        </w:tc>
        <w:tc>
          <w:tcPr>
            <w:tcW w:w="7596" w:type="dxa"/>
            <w:shd w:val="clear" w:color="auto" w:fill="auto"/>
            <w:tcMar>
              <w:left w:w="0" w:type="dxa"/>
            </w:tcMar>
          </w:tcPr>
          <w:p w14:paraId="41E2B4B1" w14:textId="77777777" w:rsidR="007D7F4F" w:rsidRPr="005E6936" w:rsidRDefault="007D7F4F" w:rsidP="007D7F4F">
            <w:pPr>
              <w:spacing w:after="200"/>
              <w:rPr>
                <w:rFonts w:cs="Arial"/>
                <w:color w:val="0D0D0D" w:themeColor="text1" w:themeTint="F2"/>
                <w:spacing w:val="-6"/>
                <w:szCs w:val="20"/>
              </w:rPr>
            </w:pPr>
            <w:r w:rsidRPr="005E6936">
              <w:rPr>
                <w:color w:val="0D0D0D" w:themeColor="text1" w:themeTint="F2"/>
                <w:spacing w:val="-6"/>
              </w:rPr>
              <w:t>Odvětví administrativní a podpůrné činnosti, poskytující často méně sofistikované služby převážně pro podniky, registrovalo v 1. až 3. čtvrtletí 2,3% pokles tržeb. Cyklický útlum poptávky zde nastal ve většině oborů. Ten byl patrný především v oblasti pronájmu a operativního leasingu, kde nejvíce klesaly tržby za stroje, zařízení a nákladní automobily, ale rovněž za výrobky pro osobní potřebu a převážně pro domácnost. Poptávka klesla také v oblasti bezpečnostních a pátracích činností nebo u úklidových činností. Pracovním agenturám se propadly tržby dvojciferným tempem druhý rok v řadě</w:t>
            </w:r>
            <w:r w:rsidRPr="005E6936">
              <w:rPr>
                <w:rStyle w:val="Znakapoznpodarou"/>
                <w:color w:val="0D0D0D" w:themeColor="text1" w:themeTint="F2"/>
                <w:spacing w:val="-6"/>
              </w:rPr>
              <w:footnoteReference w:id="47"/>
            </w:r>
            <w:r w:rsidRPr="005E6936">
              <w:rPr>
                <w:color w:val="0D0D0D" w:themeColor="text1" w:themeTint="F2"/>
                <w:spacing w:val="-6"/>
              </w:rPr>
              <w:t xml:space="preserve"> (proti roku 2019 byly letos v 1. až 3. čtvrtletí nižší o více než třetinu). Dařilo se naopak </w:t>
            </w:r>
            <w:r w:rsidRPr="005E6936">
              <w:rPr>
                <w:rFonts w:cs="Arial"/>
                <w:color w:val="0D0D0D" w:themeColor="text1" w:themeTint="F2"/>
                <w:spacing w:val="-6"/>
              </w:rPr>
              <w:t>cestovním agenturám a</w:t>
            </w:r>
            <w:r w:rsidRPr="005E6936">
              <w:rPr>
                <w:color w:val="0D0D0D" w:themeColor="text1" w:themeTint="F2"/>
                <w:spacing w:val="-6"/>
              </w:rPr>
              <w:t> </w:t>
            </w:r>
            <w:r w:rsidRPr="005E6936">
              <w:rPr>
                <w:rFonts w:cs="Arial"/>
                <w:color w:val="0D0D0D" w:themeColor="text1" w:themeTint="F2"/>
                <w:spacing w:val="-6"/>
              </w:rPr>
              <w:t>kancelářím, kde letos tržby díky příznivému vývoji v jarních i letních měsících za tři čtvrtletí meziročně vzrostly o</w:t>
            </w:r>
            <w:r w:rsidRPr="005E6936">
              <w:rPr>
                <w:color w:val="0D0D0D" w:themeColor="text1" w:themeTint="F2"/>
                <w:spacing w:val="-6"/>
              </w:rPr>
              <w:t> </w:t>
            </w:r>
            <w:r w:rsidRPr="005E6936">
              <w:rPr>
                <w:rFonts w:cs="Arial"/>
                <w:color w:val="0D0D0D" w:themeColor="text1" w:themeTint="F2"/>
                <w:spacing w:val="-6"/>
              </w:rPr>
              <w:t>6,4 % a v létě téměř dorovnaly úroveň z roku 2019.</w:t>
            </w:r>
          </w:p>
        </w:tc>
      </w:tr>
      <w:tr w:rsidR="007D7F4F" w14:paraId="29FFD3F6" w14:textId="77777777" w:rsidTr="00067363">
        <w:trPr>
          <w:trHeight w:val="170"/>
        </w:trPr>
        <w:tc>
          <w:tcPr>
            <w:tcW w:w="1814" w:type="dxa"/>
            <w:shd w:val="clear" w:color="auto" w:fill="auto"/>
            <w:tcMar>
              <w:left w:w="0" w:type="dxa"/>
            </w:tcMar>
          </w:tcPr>
          <w:p w14:paraId="38CAF07F" w14:textId="77777777" w:rsidR="007D7F4F" w:rsidRDefault="007D7F4F" w:rsidP="007D7F4F">
            <w:pPr>
              <w:pStyle w:val="Marginlie"/>
            </w:pPr>
            <w:proofErr w:type="spellStart"/>
            <w:r>
              <w:t>Mezikvartální</w:t>
            </w:r>
            <w:proofErr w:type="spellEnd"/>
            <w:r>
              <w:t xml:space="preserve"> pokles tržeb nastal poosmé v řadě.</w:t>
            </w:r>
          </w:p>
          <w:p w14:paraId="5C7918F1" w14:textId="77777777" w:rsidR="007D7F4F" w:rsidRDefault="007D7F4F" w:rsidP="007D7F4F">
            <w:pPr>
              <w:pStyle w:val="Marginlie"/>
            </w:pPr>
          </w:p>
          <w:p w14:paraId="2CBEC977" w14:textId="77777777" w:rsidR="007D7F4F" w:rsidRDefault="007D7F4F" w:rsidP="007D7F4F">
            <w:pPr>
              <w:pStyle w:val="Marginlie"/>
            </w:pPr>
          </w:p>
          <w:p w14:paraId="2E43B3FF" w14:textId="77777777" w:rsidR="007D7F4F" w:rsidRDefault="007D7F4F" w:rsidP="007D7F4F">
            <w:pPr>
              <w:pStyle w:val="Marginlie"/>
            </w:pPr>
          </w:p>
          <w:p w14:paraId="765D0856" w14:textId="77777777" w:rsidR="007D7F4F" w:rsidRDefault="007D7F4F" w:rsidP="007D7F4F">
            <w:pPr>
              <w:pStyle w:val="Marginlie"/>
            </w:pPr>
          </w:p>
          <w:p w14:paraId="6A15CF1D" w14:textId="77777777" w:rsidR="007D7F4F" w:rsidRDefault="007D7F4F" w:rsidP="007D7F4F">
            <w:pPr>
              <w:pStyle w:val="Marginlie"/>
            </w:pPr>
          </w:p>
          <w:p w14:paraId="61B77FBF" w14:textId="77777777" w:rsidR="007D7F4F" w:rsidRDefault="007D7F4F" w:rsidP="007D7F4F">
            <w:pPr>
              <w:pStyle w:val="Marginlie"/>
            </w:pPr>
          </w:p>
          <w:p w14:paraId="57ACB806" w14:textId="77777777" w:rsidR="007D7F4F" w:rsidRDefault="007D7F4F" w:rsidP="007D7F4F">
            <w:pPr>
              <w:pStyle w:val="Marginlie"/>
            </w:pPr>
            <w:r>
              <w:t xml:space="preserve">Pesimismus spotřebitelů se zmírnil, optimismus obchodníků se částečně rozplynul. </w:t>
            </w:r>
          </w:p>
        </w:tc>
        <w:tc>
          <w:tcPr>
            <w:tcW w:w="229" w:type="dxa"/>
            <w:shd w:val="clear" w:color="auto" w:fill="auto"/>
            <w:tcMar>
              <w:left w:w="0" w:type="dxa"/>
            </w:tcMar>
          </w:tcPr>
          <w:p w14:paraId="181C9EC4" w14:textId="77777777" w:rsidR="007D7F4F" w:rsidRDefault="007D7F4F" w:rsidP="007D7F4F">
            <w:pPr>
              <w:pStyle w:val="Textpoznpodarou"/>
              <w:jc w:val="both"/>
              <w:rPr>
                <w:spacing w:val="-4"/>
              </w:rPr>
            </w:pPr>
          </w:p>
        </w:tc>
        <w:tc>
          <w:tcPr>
            <w:tcW w:w="7596" w:type="dxa"/>
            <w:shd w:val="clear" w:color="auto" w:fill="auto"/>
            <w:tcMar>
              <w:left w:w="0" w:type="dxa"/>
            </w:tcMar>
          </w:tcPr>
          <w:p w14:paraId="1D037DDA" w14:textId="5C9B4F45" w:rsidR="007D7F4F" w:rsidRPr="005E6936" w:rsidRDefault="007D7F4F" w:rsidP="007D7F4F">
            <w:pPr>
              <w:spacing w:after="200"/>
              <w:rPr>
                <w:rFonts w:cs="Arial"/>
                <w:color w:val="0D0D0D" w:themeColor="text1" w:themeTint="F2"/>
                <w:spacing w:val="-6"/>
                <w:szCs w:val="20"/>
              </w:rPr>
            </w:pPr>
            <w:r w:rsidRPr="005E6936">
              <w:rPr>
                <w:rFonts w:cs="Arial"/>
                <w:color w:val="0D0D0D" w:themeColor="text1" w:themeTint="F2"/>
                <w:spacing w:val="-6"/>
                <w:szCs w:val="20"/>
              </w:rPr>
              <w:t>Maloobchod se stále potýkal s utlumenou poptávkou, která vyvěrala z pokračujícího poklesu reálných příjmů domácností i slabé spotřebitelské důvěry v ekonomiku</w:t>
            </w:r>
            <w:r w:rsidRPr="005E6936">
              <w:rPr>
                <w:rStyle w:val="Znakapoznpodarou"/>
                <w:color w:val="0D0D0D" w:themeColor="text1" w:themeTint="F2"/>
                <w:spacing w:val="-6"/>
                <w:szCs w:val="20"/>
              </w:rPr>
              <w:footnoteReference w:id="48"/>
            </w:r>
            <w:r w:rsidRPr="005E6936">
              <w:rPr>
                <w:rFonts w:cs="Arial"/>
                <w:color w:val="0D0D0D" w:themeColor="text1" w:themeTint="F2"/>
                <w:spacing w:val="-6"/>
                <w:szCs w:val="20"/>
              </w:rPr>
              <w:t>. Dílčí pozitivní vliv měl rostoucí počet spotřebitelů (díky příchodu uprchlíků z Ukrajiny i postupnému zotavování turismu), naopak negativně působily stále častější výjezdy tuzemských domácností na přeshraniční nákupy</w:t>
            </w:r>
            <w:r w:rsidRPr="005E6936">
              <w:rPr>
                <w:rStyle w:val="Znakapoznpodarou"/>
                <w:color w:val="0D0D0D" w:themeColor="text1" w:themeTint="F2"/>
                <w:spacing w:val="-6"/>
                <w:szCs w:val="20"/>
              </w:rPr>
              <w:footnoteReference w:id="49"/>
            </w:r>
            <w:r w:rsidRPr="005E6936">
              <w:rPr>
                <w:rFonts w:cs="Arial"/>
                <w:color w:val="0D0D0D" w:themeColor="text1" w:themeTint="F2"/>
                <w:spacing w:val="-6"/>
                <w:szCs w:val="20"/>
              </w:rPr>
              <w:t>. Ve 3. čtvrtletí 2023 se tržby v maloobchodu</w:t>
            </w:r>
            <w:r w:rsidRPr="005E6936">
              <w:rPr>
                <w:rStyle w:val="Znakapoznpodarou"/>
                <w:color w:val="0D0D0D" w:themeColor="text1" w:themeTint="F2"/>
                <w:spacing w:val="-6"/>
              </w:rPr>
              <w:footnoteReference w:id="50"/>
            </w:r>
            <w:r w:rsidRPr="005E6936">
              <w:rPr>
                <w:rFonts w:cs="Arial"/>
                <w:color w:val="0D0D0D" w:themeColor="text1" w:themeTint="F2"/>
                <w:spacing w:val="-6"/>
                <w:szCs w:val="20"/>
              </w:rPr>
              <w:t xml:space="preserve"> </w:t>
            </w:r>
            <w:proofErr w:type="spellStart"/>
            <w:r w:rsidRPr="005E6936">
              <w:rPr>
                <w:rFonts w:cs="Arial"/>
                <w:color w:val="0D0D0D" w:themeColor="text1" w:themeTint="F2"/>
                <w:spacing w:val="-6"/>
                <w:szCs w:val="20"/>
              </w:rPr>
              <w:t>mezikvartálně</w:t>
            </w:r>
            <w:proofErr w:type="spellEnd"/>
            <w:r w:rsidRPr="005E6936">
              <w:rPr>
                <w:rFonts w:cs="Arial"/>
                <w:color w:val="0D0D0D" w:themeColor="text1" w:themeTint="F2"/>
                <w:spacing w:val="-6"/>
                <w:szCs w:val="20"/>
              </w:rPr>
              <w:t xml:space="preserve"> snížily o 0,2 % a pokračovaly tak v poklesu poosmé v řadě (z velké části kopírovaly trend celkových výdajů domácností na konečnou spotřebu). Délka i hloubka poklesu tržeb</w:t>
            </w:r>
            <w:r w:rsidRPr="005E6936">
              <w:rPr>
                <w:rStyle w:val="Znakapoznpodarou"/>
                <w:color w:val="0D0D0D" w:themeColor="text1" w:themeTint="F2"/>
                <w:spacing w:val="-6"/>
                <w:szCs w:val="20"/>
              </w:rPr>
              <w:footnoteReference w:id="51"/>
            </w:r>
            <w:r w:rsidRPr="005E6936">
              <w:rPr>
                <w:rFonts w:cs="Arial"/>
                <w:color w:val="0D0D0D" w:themeColor="text1" w:themeTint="F2"/>
                <w:spacing w:val="-6"/>
                <w:szCs w:val="20"/>
              </w:rPr>
              <w:t xml:space="preserve"> neměla ve srovnatelné časové řadě (po roce 2000) obdoby. Přestože se tržby v nominálním vyjádření letos meziročně zvyšovaly takřka ve všech segmentech maloobchodu a jejich výše se zpravidla nacházela na historických maximech</w:t>
            </w:r>
            <w:r w:rsidR="001E6441">
              <w:rPr>
                <w:rFonts w:cs="Arial"/>
                <w:color w:val="0D0D0D" w:themeColor="text1" w:themeTint="F2"/>
                <w:spacing w:val="-6"/>
                <w:szCs w:val="20"/>
              </w:rPr>
              <w:t xml:space="preserve"> pro tato čtvrtletí</w:t>
            </w:r>
            <w:r w:rsidRPr="005E6936">
              <w:rPr>
                <w:rFonts w:cs="Arial"/>
                <w:color w:val="0D0D0D" w:themeColor="text1" w:themeTint="F2"/>
                <w:spacing w:val="-6"/>
                <w:szCs w:val="20"/>
              </w:rPr>
              <w:t>, reálné tržby za celý maloobchod odpovídaly ve 3. čtvrtletí úrovni z počátku roku 2018 (z toho u potravin pouze z konce roku 2014). Na nepříznivý vývoj poptávky reagovali s odstupem i podnikatelé v obchodu a důvěra v tomto odvětví tak klesla letos v říjnu na nejnižší úroveň od jara 2021</w:t>
            </w:r>
            <w:r w:rsidRPr="005E6936">
              <w:rPr>
                <w:rStyle w:val="Znakapoznpodarou"/>
                <w:color w:val="0D0D0D" w:themeColor="text1" w:themeTint="F2"/>
                <w:spacing w:val="-6"/>
                <w:szCs w:val="20"/>
              </w:rPr>
              <w:footnoteReference w:id="52"/>
            </w:r>
            <w:r w:rsidRPr="005E6936">
              <w:rPr>
                <w:rFonts w:cs="Arial"/>
                <w:color w:val="0D0D0D" w:themeColor="text1" w:themeTint="F2"/>
                <w:spacing w:val="-6"/>
                <w:szCs w:val="20"/>
              </w:rPr>
              <w:t>.</w:t>
            </w:r>
          </w:p>
        </w:tc>
      </w:tr>
      <w:tr w:rsidR="007D7F4F" w14:paraId="734F9472" w14:textId="77777777" w:rsidTr="00067363">
        <w:trPr>
          <w:trHeight w:val="170"/>
        </w:trPr>
        <w:tc>
          <w:tcPr>
            <w:tcW w:w="1814" w:type="dxa"/>
            <w:shd w:val="clear" w:color="auto" w:fill="auto"/>
            <w:tcMar>
              <w:left w:w="0" w:type="dxa"/>
            </w:tcMar>
          </w:tcPr>
          <w:p w14:paraId="56734DF2" w14:textId="77777777" w:rsidR="007D7F4F" w:rsidRDefault="007D7F4F" w:rsidP="007D7F4F">
            <w:pPr>
              <w:pStyle w:val="Marginlie"/>
            </w:pPr>
            <w:r>
              <w:t>Za meziročním poklesem tržeb maloobchodu stála slabá poptávka po nepotravinářském zboží, zejména po výrobcích pro domácnost.</w:t>
            </w:r>
          </w:p>
          <w:p w14:paraId="208224FE" w14:textId="77777777" w:rsidR="007D7F4F" w:rsidRDefault="007D7F4F" w:rsidP="007D7F4F">
            <w:pPr>
              <w:pStyle w:val="Marginlie"/>
            </w:pPr>
            <w:r>
              <w:lastRenderedPageBreak/>
              <w:t>Tržby v internetovém prodeji klesly druhý rok v řadě.</w:t>
            </w:r>
          </w:p>
          <w:p w14:paraId="3BD1E337" w14:textId="77777777" w:rsidR="007D7F4F" w:rsidRDefault="007D7F4F" w:rsidP="007D7F4F">
            <w:pPr>
              <w:pStyle w:val="Marginlie"/>
            </w:pPr>
          </w:p>
          <w:p w14:paraId="7E067EA2" w14:textId="77777777" w:rsidR="007D7F4F" w:rsidRDefault="007D7F4F" w:rsidP="007D7F4F">
            <w:pPr>
              <w:pStyle w:val="Marginlie"/>
            </w:pPr>
          </w:p>
          <w:p w14:paraId="5A34FBE5" w14:textId="77777777" w:rsidR="007D7F4F" w:rsidRDefault="007D7F4F" w:rsidP="007D7F4F">
            <w:pPr>
              <w:pStyle w:val="Marginlie"/>
            </w:pPr>
          </w:p>
          <w:p w14:paraId="3DB06186" w14:textId="77777777" w:rsidR="007D7F4F" w:rsidRDefault="007D7F4F" w:rsidP="007D7F4F">
            <w:pPr>
              <w:pStyle w:val="Marginlie"/>
            </w:pPr>
          </w:p>
          <w:p w14:paraId="329A29A6" w14:textId="77777777" w:rsidR="007D7F4F" w:rsidRDefault="007D7F4F" w:rsidP="007D7F4F">
            <w:pPr>
              <w:pStyle w:val="Marginlie"/>
            </w:pPr>
          </w:p>
          <w:p w14:paraId="5F3C8238" w14:textId="77777777" w:rsidR="007D7F4F" w:rsidRDefault="007D7F4F" w:rsidP="007D7F4F">
            <w:pPr>
              <w:pStyle w:val="Marginlie"/>
            </w:pPr>
          </w:p>
          <w:p w14:paraId="2F5C9209" w14:textId="77777777" w:rsidR="007D7F4F" w:rsidRDefault="007D7F4F" w:rsidP="007D7F4F">
            <w:pPr>
              <w:pStyle w:val="Marginlie"/>
            </w:pPr>
          </w:p>
          <w:p w14:paraId="0D5B2822" w14:textId="77777777" w:rsidR="007D7F4F" w:rsidRDefault="007D7F4F" w:rsidP="007D7F4F">
            <w:pPr>
              <w:pStyle w:val="Marginlie"/>
            </w:pPr>
            <w:r>
              <w:t>Na rekordním poklesu tržeb za potraviny se podílely velké řetězce i menší specializované prodejny.</w:t>
            </w:r>
          </w:p>
        </w:tc>
        <w:tc>
          <w:tcPr>
            <w:tcW w:w="229" w:type="dxa"/>
            <w:shd w:val="clear" w:color="auto" w:fill="auto"/>
            <w:tcMar>
              <w:left w:w="0" w:type="dxa"/>
            </w:tcMar>
          </w:tcPr>
          <w:p w14:paraId="7D1F510D" w14:textId="77777777" w:rsidR="007D7F4F" w:rsidRDefault="007D7F4F" w:rsidP="007D7F4F">
            <w:pPr>
              <w:pStyle w:val="Textpoznpodarou"/>
              <w:jc w:val="both"/>
              <w:rPr>
                <w:spacing w:val="-4"/>
              </w:rPr>
            </w:pPr>
          </w:p>
        </w:tc>
        <w:tc>
          <w:tcPr>
            <w:tcW w:w="7596" w:type="dxa"/>
            <w:shd w:val="clear" w:color="auto" w:fill="auto"/>
            <w:tcMar>
              <w:left w:w="0" w:type="dxa"/>
            </w:tcMar>
          </w:tcPr>
          <w:p w14:paraId="35756279" w14:textId="6AFA6753" w:rsidR="007D7F4F" w:rsidRPr="005E6936" w:rsidRDefault="007D7F4F" w:rsidP="007D7F4F">
            <w:pPr>
              <w:spacing w:after="200"/>
              <w:rPr>
                <w:rFonts w:cs="Arial"/>
                <w:color w:val="0D0D0D" w:themeColor="text1" w:themeTint="F2"/>
                <w:spacing w:val="-6"/>
                <w:szCs w:val="20"/>
              </w:rPr>
            </w:pPr>
            <w:r w:rsidRPr="005E6936">
              <w:rPr>
                <w:rFonts w:cs="Arial"/>
                <w:color w:val="0D0D0D" w:themeColor="text1" w:themeTint="F2"/>
                <w:spacing w:val="-6"/>
                <w:szCs w:val="20"/>
              </w:rPr>
              <w:t>Za 1. až 3. čtvrtletí se maloobchodní tržby meziročně snížily o 5,7 %</w:t>
            </w:r>
            <w:r w:rsidRPr="005E6936">
              <w:rPr>
                <w:rStyle w:val="Znakapoznpodarou"/>
                <w:color w:val="0D0D0D" w:themeColor="text1" w:themeTint="F2"/>
                <w:spacing w:val="-6"/>
                <w:szCs w:val="20"/>
              </w:rPr>
              <w:footnoteReference w:id="53"/>
            </w:r>
            <w:r w:rsidRPr="005E6936">
              <w:rPr>
                <w:rFonts w:cs="Arial"/>
                <w:color w:val="0D0D0D" w:themeColor="text1" w:themeTint="F2"/>
                <w:spacing w:val="-6"/>
                <w:szCs w:val="20"/>
              </w:rPr>
              <w:t>. K tomu nejvíce přispěla nižší poptávka v segm</w:t>
            </w:r>
            <w:r w:rsidR="001E6441">
              <w:rPr>
                <w:rFonts w:cs="Arial"/>
                <w:color w:val="0D0D0D" w:themeColor="text1" w:themeTint="F2"/>
                <w:spacing w:val="-6"/>
                <w:szCs w:val="20"/>
              </w:rPr>
              <w:t>entu nepotravinářského zboží (−4,0</w:t>
            </w:r>
            <w:r w:rsidRPr="005E6936">
              <w:rPr>
                <w:rFonts w:cs="Arial"/>
                <w:color w:val="0D0D0D" w:themeColor="text1" w:themeTint="F2"/>
                <w:spacing w:val="-6"/>
                <w:szCs w:val="20"/>
              </w:rPr>
              <w:t xml:space="preserve"> p. b., při poklesu tržeb o</w:t>
            </w:r>
            <w:r>
              <w:rPr>
                <w:rFonts w:cs="Arial"/>
                <w:color w:val="0D0D0D" w:themeColor="text1" w:themeTint="F2"/>
                <w:spacing w:val="-6"/>
                <w:szCs w:val="20"/>
              </w:rPr>
              <w:t> </w:t>
            </w:r>
            <w:r w:rsidRPr="005E6936">
              <w:rPr>
                <w:rFonts w:cs="Arial"/>
                <w:color w:val="0D0D0D" w:themeColor="text1" w:themeTint="F2"/>
                <w:spacing w:val="-6"/>
                <w:szCs w:val="20"/>
              </w:rPr>
              <w:t xml:space="preserve">7,5 %). Opačně působily v první řadě vyšší tržby prodejců pohonných hmot (+6,2 %), které však tlumily pokles celého maloobchodu jen silou 0,7 p. b. Ve slabší poptávce po </w:t>
            </w:r>
            <w:r w:rsidRPr="005E6936">
              <w:rPr>
                <w:rFonts w:cs="Arial"/>
                <w:color w:val="0D0D0D" w:themeColor="text1" w:themeTint="F2"/>
                <w:spacing w:val="-6"/>
                <w:szCs w:val="20"/>
              </w:rPr>
              <w:lastRenderedPageBreak/>
              <w:t>nepotravinářském zboží se nejzřetelněji projevil více než 14%</w:t>
            </w:r>
            <w:r w:rsidRPr="005E6936">
              <w:rPr>
                <w:rStyle w:val="normaltextrun"/>
                <w:rFonts w:eastAsia="MS Gothic" w:cs="Arial"/>
                <w:spacing w:val="-6"/>
                <w:szCs w:val="20"/>
              </w:rPr>
              <w:t xml:space="preserve"> propad tržeb za výrobky převážně pro domácnost (zahrnující hlavně železářské zboží, barvy, sklo, potřeby pro kutily, elektro, nábytek a svítidla). Významný byl také </w:t>
            </w:r>
            <w:r w:rsidR="00032C3C">
              <w:rPr>
                <w:rStyle w:val="normaltextrun"/>
                <w:rFonts w:eastAsia="MS Gothic" w:cs="Arial"/>
                <w:spacing w:val="-6"/>
                <w:szCs w:val="20"/>
              </w:rPr>
              <w:t xml:space="preserve">meziroční </w:t>
            </w:r>
            <w:r w:rsidRPr="005E6936">
              <w:rPr>
                <w:rStyle w:val="normaltextrun"/>
                <w:rFonts w:eastAsia="MS Gothic" w:cs="Arial"/>
                <w:spacing w:val="-6"/>
                <w:szCs w:val="20"/>
              </w:rPr>
              <w:t>pokles tržeb internetových prodejců (−5,1</w:t>
            </w:r>
            <w:r w:rsidRPr="005E6936">
              <w:rPr>
                <w:rFonts w:cs="Arial"/>
                <w:color w:val="0D0D0D" w:themeColor="text1" w:themeTint="F2"/>
                <w:spacing w:val="-6"/>
                <w:szCs w:val="20"/>
              </w:rPr>
              <w:t> </w:t>
            </w:r>
            <w:r w:rsidR="00032C3C">
              <w:rPr>
                <w:rStyle w:val="normaltextrun"/>
                <w:rFonts w:eastAsia="MS Gothic" w:cs="Arial"/>
                <w:spacing w:val="-6"/>
                <w:szCs w:val="20"/>
              </w:rPr>
              <w:t xml:space="preserve">%), k němuž </w:t>
            </w:r>
            <w:r w:rsidRPr="005E6936">
              <w:rPr>
                <w:rStyle w:val="normaltextrun"/>
                <w:rFonts w:eastAsia="MS Gothic" w:cs="Arial"/>
                <w:spacing w:val="-6"/>
                <w:szCs w:val="20"/>
              </w:rPr>
              <w:t>došlo druhý</w:t>
            </w:r>
            <w:r w:rsidR="00032C3C">
              <w:rPr>
                <w:rStyle w:val="normaltextrun"/>
                <w:rFonts w:eastAsia="MS Gothic" w:cs="Arial"/>
                <w:spacing w:val="-6"/>
                <w:szCs w:val="20"/>
              </w:rPr>
              <w:t>m</w:t>
            </w:r>
            <w:r w:rsidRPr="005E6936">
              <w:rPr>
                <w:rStyle w:val="normaltextrun"/>
                <w:rFonts w:eastAsia="MS Gothic" w:cs="Arial"/>
                <w:spacing w:val="-6"/>
                <w:szCs w:val="20"/>
              </w:rPr>
              <w:t xml:space="preserve"> rok</w:t>
            </w:r>
            <w:r w:rsidR="00032C3C">
              <w:rPr>
                <w:rStyle w:val="normaltextrun"/>
                <w:rFonts w:eastAsia="MS Gothic" w:cs="Arial"/>
                <w:spacing w:val="-6"/>
                <w:szCs w:val="20"/>
              </w:rPr>
              <w:t>em</w:t>
            </w:r>
            <w:r w:rsidRPr="005E6936">
              <w:rPr>
                <w:rStyle w:val="normaltextrun"/>
                <w:rFonts w:eastAsia="MS Gothic" w:cs="Arial"/>
                <w:spacing w:val="-6"/>
                <w:szCs w:val="20"/>
              </w:rPr>
              <w:t xml:space="preserve"> v řadě</w:t>
            </w:r>
            <w:r w:rsidRPr="005E6936">
              <w:rPr>
                <w:rStyle w:val="Znakapoznpodarou"/>
                <w:rFonts w:eastAsia="MS Gothic"/>
                <w:spacing w:val="-6"/>
                <w:szCs w:val="20"/>
              </w:rPr>
              <w:footnoteReference w:id="54"/>
            </w:r>
            <w:r w:rsidRPr="005E6936">
              <w:rPr>
                <w:rStyle w:val="normaltextrun"/>
                <w:rFonts w:eastAsia="MS Gothic" w:cs="Arial"/>
                <w:spacing w:val="-6"/>
                <w:szCs w:val="20"/>
              </w:rPr>
              <w:t>. Méně letos utržili i prodejci oděvů, obuvi a</w:t>
            </w:r>
            <w:r w:rsidRPr="005E6936">
              <w:rPr>
                <w:rFonts w:cs="Arial"/>
                <w:color w:val="0D0D0D" w:themeColor="text1" w:themeTint="F2"/>
                <w:spacing w:val="-6"/>
                <w:szCs w:val="20"/>
              </w:rPr>
              <w:t> </w:t>
            </w:r>
            <w:r w:rsidRPr="005E6936">
              <w:rPr>
                <w:rStyle w:val="normaltextrun"/>
                <w:rFonts w:eastAsia="MS Gothic" w:cs="Arial"/>
                <w:spacing w:val="-6"/>
                <w:szCs w:val="20"/>
              </w:rPr>
              <w:t>koženého zboží (−6,5 %</w:t>
            </w:r>
            <w:r w:rsidRPr="005E6936">
              <w:rPr>
                <w:rStyle w:val="Znakapoznpodarou"/>
                <w:rFonts w:eastAsia="MS Gothic"/>
                <w:spacing w:val="-6"/>
                <w:szCs w:val="20"/>
              </w:rPr>
              <w:footnoteReference w:id="55"/>
            </w:r>
            <w:r w:rsidRPr="005E6936">
              <w:rPr>
                <w:rStyle w:val="normaltextrun"/>
                <w:rFonts w:eastAsia="MS Gothic" w:cs="Arial"/>
                <w:spacing w:val="-6"/>
                <w:szCs w:val="20"/>
              </w:rPr>
              <w:t>, proti roku 2019 poptávka zaostala skoro o čtvrtinu). Mírněji klesly meziročně tržby</w:t>
            </w:r>
            <w:r w:rsidRPr="005E6936">
              <w:rPr>
                <w:rFonts w:cs="Arial"/>
                <w:color w:val="0D0D0D" w:themeColor="text1" w:themeTint="F2"/>
                <w:spacing w:val="-6"/>
                <w:szCs w:val="20"/>
              </w:rPr>
              <w:t xml:space="preserve"> specializovaným </w:t>
            </w:r>
            <w:r w:rsidRPr="005E6936">
              <w:rPr>
                <w:rStyle w:val="normaltextrun"/>
                <w:rFonts w:eastAsia="MS Gothic" w:cs="Arial"/>
                <w:spacing w:val="-6"/>
                <w:szCs w:val="20"/>
              </w:rPr>
              <w:t>prodejnám s počítačovým a komunikačním zařízením či s</w:t>
            </w:r>
            <w:r w:rsidRPr="005E6936">
              <w:rPr>
                <w:rFonts w:cs="Arial"/>
                <w:color w:val="0D0D0D" w:themeColor="text1" w:themeTint="F2"/>
                <w:spacing w:val="-6"/>
                <w:szCs w:val="20"/>
              </w:rPr>
              <w:t> </w:t>
            </w:r>
            <w:r w:rsidRPr="005E6936">
              <w:rPr>
                <w:rStyle w:val="normaltextrun"/>
                <w:rFonts w:eastAsia="MS Gothic" w:cs="Arial"/>
                <w:spacing w:val="-6"/>
                <w:szCs w:val="20"/>
              </w:rPr>
              <w:t>farmaceutickým a</w:t>
            </w:r>
            <w:r w:rsidRPr="005E6936">
              <w:rPr>
                <w:rFonts w:cs="Arial"/>
                <w:color w:val="0D0D0D" w:themeColor="text1" w:themeTint="F2"/>
                <w:spacing w:val="-6"/>
                <w:szCs w:val="20"/>
              </w:rPr>
              <w:t> </w:t>
            </w:r>
            <w:r w:rsidRPr="005E6936">
              <w:rPr>
                <w:rStyle w:val="normaltextrun"/>
                <w:rFonts w:eastAsia="MS Gothic" w:cs="Arial"/>
                <w:spacing w:val="-6"/>
                <w:szCs w:val="20"/>
              </w:rPr>
              <w:t>zdravotnickým zbožím (proti roku 2019 však v nich byly vyšší o více než desetinu). Dařilo se prodejcům kosmetických a toaletních výrobků, kde tržby meziročně vzrostly o</w:t>
            </w:r>
            <w:r w:rsidRPr="005E6936">
              <w:rPr>
                <w:rFonts w:cs="Arial"/>
                <w:color w:val="0D0D0D" w:themeColor="text1" w:themeTint="F2"/>
                <w:spacing w:val="-6"/>
                <w:szCs w:val="20"/>
              </w:rPr>
              <w:t> </w:t>
            </w:r>
            <w:r w:rsidRPr="005E6936">
              <w:rPr>
                <w:rStyle w:val="normaltextrun"/>
                <w:rFonts w:eastAsia="MS Gothic" w:cs="Arial"/>
                <w:spacing w:val="-6"/>
                <w:szCs w:val="20"/>
              </w:rPr>
              <w:t>1,5 %</w:t>
            </w:r>
            <w:r w:rsidRPr="005E6936">
              <w:rPr>
                <w:rStyle w:val="Znakapoznpodarou"/>
                <w:rFonts w:eastAsia="MS Gothic"/>
                <w:spacing w:val="-6"/>
                <w:szCs w:val="20"/>
              </w:rPr>
              <w:footnoteReference w:id="56"/>
            </w:r>
            <w:r w:rsidRPr="005E6936">
              <w:rPr>
                <w:rStyle w:val="normaltextrun"/>
                <w:rFonts w:eastAsia="MS Gothic" w:cs="Arial"/>
                <w:spacing w:val="-6"/>
                <w:szCs w:val="20"/>
              </w:rPr>
              <w:t xml:space="preserve">. Třetí rok v řadě se zvýšila poptávka v </w:t>
            </w:r>
            <w:r w:rsidRPr="005E6936">
              <w:rPr>
                <w:rFonts w:cs="Arial"/>
                <w:color w:val="0D0D0D" w:themeColor="text1" w:themeTint="F2"/>
                <w:spacing w:val="-6"/>
                <w:szCs w:val="20"/>
              </w:rPr>
              <w:t>malém</w:t>
            </w:r>
            <w:r>
              <w:rPr>
                <w:rFonts w:cs="Arial"/>
                <w:color w:val="0D0D0D" w:themeColor="text1" w:themeTint="F2"/>
                <w:spacing w:val="-6"/>
                <w:szCs w:val="20"/>
              </w:rPr>
              <w:t xml:space="preserve"> segmentu ostatního maloobchodu </w:t>
            </w:r>
            <w:r w:rsidRPr="005E6936">
              <w:rPr>
                <w:rFonts w:cs="Arial"/>
                <w:color w:val="0D0D0D" w:themeColor="text1" w:themeTint="F2"/>
                <w:spacing w:val="-6"/>
                <w:szCs w:val="20"/>
              </w:rPr>
              <w:t>v nespecializovaných prodejnách (zahrnujícího typicky menší provozovny orientované na prodej různorodého drobného zboží, zpravidla ve slevových akcích). Prodejci potravin utržili meziročně o 6,6 % méně (v</w:t>
            </w:r>
            <w:r w:rsidRPr="005E6936">
              <w:rPr>
                <w:rStyle w:val="normaltextrun"/>
                <w:rFonts w:eastAsia="MS Gothic" w:cs="Arial"/>
                <w:spacing w:val="-6"/>
                <w:szCs w:val="20"/>
              </w:rPr>
              <w:t> </w:t>
            </w:r>
            <w:r w:rsidRPr="005E6936">
              <w:rPr>
                <w:rFonts w:cs="Arial"/>
                <w:color w:val="0D0D0D" w:themeColor="text1" w:themeTint="F2"/>
                <w:spacing w:val="-6"/>
                <w:szCs w:val="20"/>
              </w:rPr>
              <w:t xml:space="preserve">rámci 1. až 3. čtvrtletí šlo o nejhlubší pokles ve srovnatelné řadě od roku 2000). Slabší poptávku zde pocítily jak velké řetězce, tak malé specializované prodejny </w:t>
            </w:r>
            <w:r w:rsidRPr="005E6936">
              <w:rPr>
                <w:rFonts w:cs="Arial"/>
                <w:color w:val="0D0D0D" w:themeColor="text1" w:themeTint="F2"/>
                <w:spacing w:val="-6"/>
              </w:rPr>
              <w:t xml:space="preserve">(v nichž mají nejvyšší váhu prodejci tabákových výrobků a také masa a masných výrobků). </w:t>
            </w:r>
          </w:p>
        </w:tc>
      </w:tr>
      <w:tr w:rsidR="007D7F4F" w14:paraId="11C3899B" w14:textId="77777777" w:rsidTr="00067363">
        <w:trPr>
          <w:trHeight w:val="170"/>
        </w:trPr>
        <w:tc>
          <w:tcPr>
            <w:tcW w:w="1814" w:type="dxa"/>
            <w:shd w:val="clear" w:color="auto" w:fill="auto"/>
            <w:tcMar>
              <w:left w:w="0" w:type="dxa"/>
            </w:tcMar>
          </w:tcPr>
          <w:p w14:paraId="4EFEC71C" w14:textId="77777777" w:rsidR="007D7F4F" w:rsidRDefault="007D7F4F" w:rsidP="007D7F4F">
            <w:pPr>
              <w:pStyle w:val="Marginlie"/>
            </w:pPr>
            <w:r>
              <w:lastRenderedPageBreak/>
              <w:t>Mírný růst tržeb v motoristickém segmentu obchodu byl tažen hlavně vyšší poptávkou po automobilech.</w:t>
            </w:r>
          </w:p>
        </w:tc>
        <w:tc>
          <w:tcPr>
            <w:tcW w:w="229" w:type="dxa"/>
            <w:shd w:val="clear" w:color="auto" w:fill="auto"/>
            <w:tcMar>
              <w:left w:w="0" w:type="dxa"/>
            </w:tcMar>
          </w:tcPr>
          <w:p w14:paraId="1F295404" w14:textId="77777777" w:rsidR="007D7F4F" w:rsidRDefault="007D7F4F" w:rsidP="007D7F4F">
            <w:pPr>
              <w:pStyle w:val="Textpoznpodarou"/>
              <w:jc w:val="both"/>
              <w:rPr>
                <w:spacing w:val="-4"/>
              </w:rPr>
            </w:pPr>
          </w:p>
        </w:tc>
        <w:tc>
          <w:tcPr>
            <w:tcW w:w="7596" w:type="dxa"/>
            <w:shd w:val="clear" w:color="auto" w:fill="auto"/>
            <w:tcMar>
              <w:left w:w="0" w:type="dxa"/>
            </w:tcMar>
          </w:tcPr>
          <w:p w14:paraId="0F88E4F0" w14:textId="77777777" w:rsidR="007D7F4F" w:rsidRPr="005E6936" w:rsidRDefault="007D7F4F" w:rsidP="007D7F4F">
            <w:pPr>
              <w:spacing w:after="200"/>
              <w:rPr>
                <w:rFonts w:cs="Arial"/>
                <w:color w:val="0D0D0D" w:themeColor="text1" w:themeTint="F2"/>
                <w:spacing w:val="-6"/>
                <w:szCs w:val="20"/>
              </w:rPr>
            </w:pPr>
            <w:r w:rsidRPr="005E6936">
              <w:rPr>
                <w:rFonts w:cs="Arial"/>
                <w:color w:val="0D0D0D" w:themeColor="text1" w:themeTint="F2"/>
                <w:spacing w:val="-6"/>
                <w:szCs w:val="20"/>
              </w:rPr>
              <w:t>Na růstu tržeb v motoristickém segmentu obchodu v 1. až 3. čtvrtletí (+3,9 % meziročně) se podílela zejména vyšší poptávka po motorových vozidlech, což souviselo s relativně příznivou situací celého automobilového průmyslu v Česku i EU. Snížily se naopak tržby za obchod s díly a příslušenstvím či za obchod, opravy a údržbu motocyklů. Oproti roku 2019 byly letos tržby v celém motoristickém segmentu obchodu stále mírně nižší (o 7,0 %) a zaostaly ve všech oborech (nejvíce v obchodu s díly a příslušenstvím).</w:t>
            </w:r>
          </w:p>
        </w:tc>
      </w:tr>
      <w:tr w:rsidR="007D7F4F" w14:paraId="2ADFF15D" w14:textId="77777777" w:rsidTr="00067363">
        <w:trPr>
          <w:trHeight w:val="170"/>
        </w:trPr>
        <w:tc>
          <w:tcPr>
            <w:tcW w:w="1814" w:type="dxa"/>
            <w:shd w:val="clear" w:color="auto" w:fill="auto"/>
            <w:tcMar>
              <w:left w:w="0" w:type="dxa"/>
            </w:tcMar>
          </w:tcPr>
          <w:p w14:paraId="1582BE8D" w14:textId="77777777" w:rsidR="007D7F4F" w:rsidRPr="00BD3BE9" w:rsidRDefault="007D7F4F" w:rsidP="007D7F4F">
            <w:pPr>
              <w:pStyle w:val="Marginlie"/>
              <w:rPr>
                <w:color w:val="0D0D0D" w:themeColor="text1" w:themeTint="F2"/>
              </w:rPr>
            </w:pPr>
          </w:p>
        </w:tc>
        <w:tc>
          <w:tcPr>
            <w:tcW w:w="229" w:type="dxa"/>
            <w:shd w:val="clear" w:color="auto" w:fill="auto"/>
            <w:tcMar>
              <w:left w:w="0" w:type="dxa"/>
            </w:tcMar>
          </w:tcPr>
          <w:p w14:paraId="53D4E663" w14:textId="77777777" w:rsidR="007D7F4F" w:rsidRPr="00BD3BE9" w:rsidRDefault="007D7F4F" w:rsidP="007D7F4F">
            <w:pPr>
              <w:pStyle w:val="Textpoznpodarou"/>
              <w:jc w:val="both"/>
              <w:rPr>
                <w:color w:val="0D0D0D" w:themeColor="text1" w:themeTint="F2"/>
                <w:spacing w:val="-4"/>
              </w:rPr>
            </w:pPr>
          </w:p>
        </w:tc>
        <w:tc>
          <w:tcPr>
            <w:tcW w:w="7596" w:type="dxa"/>
            <w:shd w:val="clear" w:color="auto" w:fill="auto"/>
            <w:tcMar>
              <w:left w:w="0" w:type="dxa"/>
            </w:tcMar>
          </w:tcPr>
          <w:p w14:paraId="29974287" w14:textId="77777777" w:rsidR="007D7F4F" w:rsidRPr="00C73A63" w:rsidRDefault="007D7F4F" w:rsidP="007D7F4F">
            <w:pPr>
              <w:spacing w:after="40"/>
              <w:rPr>
                <w:rFonts w:cs="Arial"/>
                <w:color w:val="0D0D0D" w:themeColor="text1" w:themeTint="F2"/>
                <w:spacing w:val="-4"/>
                <w:szCs w:val="20"/>
              </w:rPr>
            </w:pPr>
            <w:r>
              <w:rPr>
                <w:b/>
              </w:rPr>
              <w:t>Graf č. 8</w:t>
            </w:r>
            <w:r w:rsidRPr="00F0005D">
              <w:rPr>
                <w:b/>
              </w:rPr>
              <w:t xml:space="preserve"> </w:t>
            </w:r>
            <w:r w:rsidRPr="004405E2">
              <w:rPr>
                <w:rFonts w:cs="Arial"/>
                <w:b/>
                <w:bCs/>
                <w:color w:val="0D0D0D" w:themeColor="text1" w:themeTint="F2"/>
                <w:spacing w:val="-6"/>
              </w:rPr>
              <w:t xml:space="preserve">Příspěvky dílčích odvětví k meziroční změně tržeb v maloobchodu* </w:t>
            </w:r>
            <w:r w:rsidRPr="004405E2">
              <w:rPr>
                <w:rFonts w:cs="Arial"/>
                <w:color w:val="0D0D0D" w:themeColor="text1" w:themeTint="F2"/>
                <w:spacing w:val="-6"/>
              </w:rPr>
              <w:t xml:space="preserve">(reálně, v p. b.), </w:t>
            </w:r>
            <w:r w:rsidRPr="004405E2">
              <w:rPr>
                <w:rFonts w:cs="Arial"/>
                <w:b/>
                <w:bCs/>
                <w:color w:val="0D0D0D" w:themeColor="text1" w:themeTint="F2"/>
                <w:spacing w:val="-6"/>
              </w:rPr>
              <w:t xml:space="preserve">tržby v maloobchodu a v motoristickém segmentu obchodu** </w:t>
            </w:r>
            <w:r w:rsidRPr="004405E2">
              <w:rPr>
                <w:rFonts w:cs="Arial"/>
                <w:color w:val="0D0D0D" w:themeColor="text1" w:themeTint="F2"/>
                <w:spacing w:val="-6"/>
              </w:rPr>
              <w:t>(reálně, ú</w:t>
            </w:r>
            <w:r>
              <w:rPr>
                <w:rFonts w:cs="Arial"/>
                <w:color w:val="0D0D0D" w:themeColor="text1" w:themeTint="F2"/>
                <w:spacing w:val="-6"/>
              </w:rPr>
              <w:t xml:space="preserve">roveň roku 2015=100, pravá osa), </w:t>
            </w:r>
            <w:r w:rsidRPr="004405E2">
              <w:rPr>
                <w:rFonts w:cs="Arial"/>
                <w:b/>
                <w:bCs/>
                <w:color w:val="0D0D0D" w:themeColor="text1" w:themeTint="F2"/>
                <w:spacing w:val="-6"/>
              </w:rPr>
              <w:t>s</w:t>
            </w:r>
            <w:r>
              <w:rPr>
                <w:rFonts w:cs="Arial"/>
                <w:b/>
                <w:bCs/>
                <w:color w:val="0D0D0D" w:themeColor="text1" w:themeTint="F2"/>
                <w:spacing w:val="-6"/>
              </w:rPr>
              <w:t xml:space="preserve">aldo důvěry </w:t>
            </w:r>
            <w:r w:rsidRPr="00BC34D2">
              <w:rPr>
                <w:rFonts w:cs="Arial"/>
                <w:b/>
                <w:bCs/>
                <w:color w:val="0D0D0D" w:themeColor="text1" w:themeTint="F2"/>
                <w:spacing w:val="-6"/>
              </w:rPr>
              <w:t>spotřebitelů i obchodníků</w:t>
            </w:r>
            <w:r w:rsidRPr="004405E2">
              <w:rPr>
                <w:rFonts w:cs="Arial"/>
                <w:b/>
                <w:bCs/>
                <w:color w:val="0D0D0D" w:themeColor="text1" w:themeTint="F2"/>
                <w:spacing w:val="-6"/>
              </w:rPr>
              <w:t xml:space="preserve">*** </w:t>
            </w:r>
            <w:r w:rsidRPr="004405E2">
              <w:rPr>
                <w:rFonts w:cs="Arial"/>
                <w:color w:val="0D0D0D" w:themeColor="text1" w:themeTint="F2"/>
                <w:spacing w:val="-6"/>
              </w:rPr>
              <w:t>(v p. b., pravá osa)</w:t>
            </w:r>
          </w:p>
        </w:tc>
      </w:tr>
      <w:tr w:rsidR="007D7F4F" w14:paraId="10F4CBB2" w14:textId="77777777" w:rsidTr="00067363">
        <w:tblPrEx>
          <w:tblCellMar>
            <w:left w:w="70" w:type="dxa"/>
            <w:right w:w="70" w:type="dxa"/>
          </w:tblCellMar>
        </w:tblPrEx>
        <w:trPr>
          <w:trHeight w:val="170"/>
        </w:trPr>
        <w:tc>
          <w:tcPr>
            <w:tcW w:w="1814" w:type="dxa"/>
            <w:shd w:val="clear" w:color="auto" w:fill="auto"/>
          </w:tcPr>
          <w:p w14:paraId="6C3B38BA" w14:textId="77777777" w:rsidR="007D7F4F" w:rsidRDefault="007D7F4F" w:rsidP="007D7F4F">
            <w:pPr>
              <w:pStyle w:val="Marginlie"/>
            </w:pPr>
          </w:p>
        </w:tc>
        <w:tc>
          <w:tcPr>
            <w:tcW w:w="229" w:type="dxa"/>
            <w:shd w:val="clear" w:color="auto" w:fill="auto"/>
          </w:tcPr>
          <w:p w14:paraId="36FC1D66" w14:textId="77777777" w:rsidR="007D7F4F" w:rsidRDefault="007D7F4F" w:rsidP="007D7F4F">
            <w:pPr>
              <w:pStyle w:val="Textpoznpodarou"/>
              <w:jc w:val="both"/>
              <w:rPr>
                <w:spacing w:val="-4"/>
              </w:rPr>
            </w:pPr>
          </w:p>
        </w:tc>
        <w:tc>
          <w:tcPr>
            <w:tcW w:w="7596" w:type="dxa"/>
            <w:shd w:val="clear" w:color="auto" w:fill="auto"/>
          </w:tcPr>
          <w:p w14:paraId="0100A634" w14:textId="77777777" w:rsidR="007D7F4F" w:rsidRPr="004C1143" w:rsidRDefault="007D7F4F" w:rsidP="007D7F4F">
            <w:pPr>
              <w:spacing w:after="0"/>
              <w:rPr>
                <w:rFonts w:cs="Arial"/>
                <w:sz w:val="14"/>
                <w:szCs w:val="14"/>
              </w:rPr>
            </w:pPr>
            <w:r>
              <w:rPr>
                <w:noProof/>
              </w:rPr>
              <w:drawing>
                <wp:inline distT="0" distB="0" distL="0" distR="0" wp14:anchorId="5D7844F2" wp14:editId="69F9CD41">
                  <wp:extent cx="4734560" cy="3456000"/>
                  <wp:effectExtent l="0" t="0" r="889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7D7F4F" w14:paraId="4AA15CEE" w14:textId="77777777" w:rsidTr="00067363">
        <w:trPr>
          <w:trHeight w:val="170"/>
        </w:trPr>
        <w:tc>
          <w:tcPr>
            <w:tcW w:w="1814" w:type="dxa"/>
            <w:shd w:val="clear" w:color="auto" w:fill="auto"/>
            <w:tcMar>
              <w:left w:w="0" w:type="dxa"/>
            </w:tcMar>
          </w:tcPr>
          <w:p w14:paraId="1A3724FD" w14:textId="77777777" w:rsidR="007D7F4F" w:rsidRDefault="007D7F4F" w:rsidP="007D7F4F">
            <w:pPr>
              <w:pStyle w:val="Marginlie"/>
            </w:pPr>
          </w:p>
        </w:tc>
        <w:tc>
          <w:tcPr>
            <w:tcW w:w="229" w:type="dxa"/>
            <w:shd w:val="clear" w:color="auto" w:fill="auto"/>
            <w:tcMar>
              <w:left w:w="0" w:type="dxa"/>
            </w:tcMar>
          </w:tcPr>
          <w:p w14:paraId="5092BB2A" w14:textId="77777777" w:rsidR="007D7F4F" w:rsidRDefault="007D7F4F" w:rsidP="007D7F4F">
            <w:pPr>
              <w:pStyle w:val="Textpoznpodarou"/>
              <w:jc w:val="both"/>
              <w:rPr>
                <w:spacing w:val="-4"/>
              </w:rPr>
            </w:pPr>
          </w:p>
        </w:tc>
        <w:tc>
          <w:tcPr>
            <w:tcW w:w="7596" w:type="dxa"/>
            <w:shd w:val="clear" w:color="auto" w:fill="auto"/>
            <w:tcMar>
              <w:left w:w="0" w:type="dxa"/>
            </w:tcMar>
          </w:tcPr>
          <w:p w14:paraId="282313C3" w14:textId="77777777" w:rsidR="007D7F4F" w:rsidRPr="00052ADA" w:rsidRDefault="007D7F4F" w:rsidP="007D7F4F">
            <w:pPr>
              <w:spacing w:after="0" w:line="240" w:lineRule="auto"/>
              <w:rPr>
                <w:rFonts w:cs="Arial"/>
                <w:sz w:val="14"/>
                <w:szCs w:val="14"/>
              </w:rPr>
            </w:pPr>
            <w:r>
              <w:rPr>
                <w:rFonts w:cs="Arial"/>
                <w:color w:val="0D0D0D" w:themeColor="text1" w:themeTint="F2"/>
                <w:spacing w:val="-6"/>
              </w:rPr>
              <w:t>*</w:t>
            </w:r>
            <w:r w:rsidRPr="00052ADA">
              <w:rPr>
                <w:rFonts w:cs="Arial"/>
                <w:sz w:val="14"/>
                <w:szCs w:val="14"/>
              </w:rPr>
              <w:t xml:space="preserve"> Tržby jsou očištěny o kalendářní vlivy.       ** Tržby jsou sezónně i kalendářně očištěny.</w:t>
            </w:r>
          </w:p>
          <w:p w14:paraId="64B9E55F" w14:textId="77777777" w:rsidR="007D7F4F" w:rsidRPr="004C1143" w:rsidRDefault="007D7F4F" w:rsidP="007D7F4F">
            <w:pPr>
              <w:spacing w:after="0"/>
              <w:rPr>
                <w:rFonts w:cs="Arial"/>
                <w:sz w:val="14"/>
                <w:szCs w:val="14"/>
              </w:rPr>
            </w:pPr>
            <w:r>
              <w:rPr>
                <w:rFonts w:cs="Arial"/>
                <w:color w:val="0D0D0D" w:themeColor="text1" w:themeTint="F2"/>
                <w:spacing w:val="-4"/>
                <w:sz w:val="14"/>
                <w:szCs w:val="14"/>
              </w:rPr>
              <w:t>*** Salda důvěry jsou sezónně očištěna a vyjadřují</w:t>
            </w:r>
            <w:r w:rsidRPr="00052ADA">
              <w:rPr>
                <w:rFonts w:cs="Arial"/>
                <w:color w:val="0D0D0D" w:themeColor="text1" w:themeTint="F2"/>
                <w:spacing w:val="-4"/>
                <w:sz w:val="14"/>
                <w:szCs w:val="14"/>
              </w:rPr>
              <w:t xml:space="preserve"> stav ve druhém měs</w:t>
            </w:r>
            <w:r>
              <w:rPr>
                <w:rFonts w:cs="Arial"/>
                <w:color w:val="0D0D0D" w:themeColor="text1" w:themeTint="F2"/>
                <w:spacing w:val="-4"/>
                <w:sz w:val="14"/>
                <w:szCs w:val="14"/>
              </w:rPr>
              <w:t>íci daného čtvrtletí.</w:t>
            </w:r>
            <w:r>
              <w:rPr>
                <w:rFonts w:cs="Arial"/>
                <w:color w:val="0D0D0D" w:themeColor="text1" w:themeTint="F2"/>
                <w:spacing w:val="-4"/>
                <w:sz w:val="14"/>
                <w:szCs w:val="14"/>
              </w:rPr>
              <w:tab/>
              <w:t xml:space="preserve">      </w:t>
            </w:r>
            <w:r w:rsidRPr="00052ADA">
              <w:rPr>
                <w:rFonts w:cs="Arial"/>
                <w:color w:val="0D0D0D" w:themeColor="text1" w:themeTint="F2"/>
                <w:spacing w:val="-4"/>
                <w:sz w:val="14"/>
                <w:szCs w:val="14"/>
              </w:rPr>
              <w:t xml:space="preserve">       </w:t>
            </w:r>
            <w:r>
              <w:rPr>
                <w:rFonts w:cs="Arial"/>
                <w:color w:val="0D0D0D" w:themeColor="text1" w:themeTint="F2"/>
                <w:spacing w:val="-4"/>
                <w:sz w:val="14"/>
                <w:szCs w:val="14"/>
              </w:rPr>
              <w:t xml:space="preserve">                   </w:t>
            </w:r>
            <w:r w:rsidRPr="00052ADA">
              <w:rPr>
                <w:rFonts w:cs="Arial"/>
                <w:color w:val="0D0D0D" w:themeColor="text1" w:themeTint="F2"/>
                <w:spacing w:val="-4"/>
                <w:sz w:val="14"/>
                <w:szCs w:val="14"/>
              </w:rPr>
              <w:t xml:space="preserve">  Zdroj: ČSÚ</w:t>
            </w:r>
          </w:p>
        </w:tc>
      </w:tr>
    </w:tbl>
    <w:p w14:paraId="47B88B4F" w14:textId="77777777" w:rsidR="00B97F3A" w:rsidRPr="00E42054" w:rsidRDefault="00B97F3A" w:rsidP="00B97F3A">
      <w:pPr>
        <w:pStyle w:val="Nadpis11"/>
        <w:rPr>
          <w:b w:val="0"/>
          <w:sz w:val="2"/>
          <w:szCs w:val="2"/>
        </w:rPr>
      </w:pPr>
    </w:p>
    <w:p w14:paraId="0DC528DF" w14:textId="77777777" w:rsidR="00B97F3A" w:rsidRPr="001C3855" w:rsidRDefault="00B97F3A" w:rsidP="00B97F3A">
      <w:pPr>
        <w:pStyle w:val="Nadpis11"/>
        <w:rPr>
          <w:sz w:val="2"/>
          <w:szCs w:val="2"/>
        </w:rPr>
      </w:pPr>
    </w:p>
    <w:p w14:paraId="0FDDDF55" w14:textId="320057DC" w:rsidR="000D7C6F" w:rsidRPr="00134FFF" w:rsidRDefault="000D7C6F" w:rsidP="000D7C6F">
      <w:pPr>
        <w:pStyle w:val="Nadpis11"/>
        <w:rPr>
          <w:sz w:val="2"/>
          <w:szCs w:val="2"/>
        </w:rPr>
      </w:pPr>
      <w:bookmarkStart w:id="32" w:name="_Toc153531909"/>
      <w:r>
        <w:t>4</w:t>
      </w:r>
      <w:bookmarkStart w:id="33" w:name="_Toc511215218"/>
      <w:bookmarkStart w:id="34" w:name="_Toc19090679"/>
      <w:bookmarkStart w:id="35" w:name="_Toc74643856"/>
      <w:bookmarkStart w:id="36" w:name="_Toc42852411"/>
      <w:bookmarkStart w:id="37" w:name="_Toc74643857"/>
      <w:bookmarkEnd w:id="33"/>
      <w:bookmarkEnd w:id="34"/>
      <w:r w:rsidRPr="009110F7">
        <w:t>.</w:t>
      </w:r>
      <w:r>
        <w:t> </w:t>
      </w:r>
      <w:r w:rsidRPr="009110F7">
        <w:t>Vnější vztahy</w:t>
      </w:r>
      <w:bookmarkEnd w:id="32"/>
    </w:p>
    <w:tbl>
      <w:tblPr>
        <w:tblW w:w="9639" w:type="dxa"/>
        <w:tblInd w:w="-15" w:type="dxa"/>
        <w:tblCellMar>
          <w:left w:w="0" w:type="dxa"/>
          <w:right w:w="0" w:type="dxa"/>
        </w:tblCellMar>
        <w:tblLook w:val="00A0" w:firstRow="1" w:lastRow="0" w:firstColumn="1" w:lastColumn="0" w:noHBand="0" w:noVBand="0"/>
      </w:tblPr>
      <w:tblGrid>
        <w:gridCol w:w="1748"/>
        <w:gridCol w:w="221"/>
        <w:gridCol w:w="7670"/>
      </w:tblGrid>
      <w:tr w:rsidR="000D7C6F" w:rsidRPr="009110F7" w14:paraId="15C11AD5" w14:textId="77777777" w:rsidTr="000D7C6F">
        <w:trPr>
          <w:trHeight w:val="145"/>
        </w:trPr>
        <w:tc>
          <w:tcPr>
            <w:tcW w:w="1748" w:type="dxa"/>
            <w:shd w:val="clear" w:color="auto" w:fill="auto"/>
            <w:tcMar>
              <w:left w:w="0" w:type="dxa"/>
            </w:tcMar>
          </w:tcPr>
          <w:p w14:paraId="4DCD69EA" w14:textId="77777777" w:rsidR="000D7C6F" w:rsidRDefault="000D7C6F" w:rsidP="000D7C6F">
            <w:pPr>
              <w:pStyle w:val="Marginlie"/>
            </w:pPr>
            <w:r>
              <w:t xml:space="preserve">Hodnota vývozu zboží se ve 3. čtvrtletí meziročně </w:t>
            </w:r>
            <w:r>
              <w:br/>
              <w:t>i mezičtvrtletně snižovala.</w:t>
            </w:r>
          </w:p>
        </w:tc>
        <w:tc>
          <w:tcPr>
            <w:tcW w:w="221" w:type="dxa"/>
            <w:shd w:val="clear" w:color="auto" w:fill="auto"/>
            <w:tcMar>
              <w:left w:w="0" w:type="dxa"/>
            </w:tcMar>
          </w:tcPr>
          <w:p w14:paraId="5C650C06" w14:textId="77777777" w:rsidR="000D7C6F" w:rsidRDefault="000D7C6F" w:rsidP="000D7C6F">
            <w:pPr>
              <w:pStyle w:val="Textpoznpodarou"/>
              <w:jc w:val="both"/>
              <w:rPr>
                <w:spacing w:val="-4"/>
              </w:rPr>
            </w:pPr>
          </w:p>
        </w:tc>
        <w:tc>
          <w:tcPr>
            <w:tcW w:w="7670" w:type="dxa"/>
            <w:shd w:val="clear" w:color="auto" w:fill="auto"/>
            <w:tcMar>
              <w:left w:w="0" w:type="dxa"/>
            </w:tcMar>
          </w:tcPr>
          <w:p w14:paraId="2B8B301A" w14:textId="77777777" w:rsidR="000D7C6F" w:rsidRPr="00AF6F98" w:rsidRDefault="000D7C6F" w:rsidP="000D7C6F">
            <w:pPr>
              <w:spacing w:after="180"/>
              <w:rPr>
                <w:spacing w:val="-4"/>
              </w:rPr>
            </w:pPr>
            <w:r>
              <w:rPr>
                <w:spacing w:val="-4"/>
              </w:rPr>
              <w:t>V kumulaci za 1. až 3. čtvrtletí 2023 hodnota vývozu zboží</w:t>
            </w:r>
            <w:r>
              <w:rPr>
                <w:rStyle w:val="Znakapoznpodarou"/>
                <w:spacing w:val="-4"/>
              </w:rPr>
              <w:footnoteReference w:id="57"/>
            </w:r>
            <w:r>
              <w:rPr>
                <w:spacing w:val="-4"/>
              </w:rPr>
              <w:t xml:space="preserve"> dosáhla 3 296,0 mld. korun. To představuje meziroční nárůst o 34,7 mld. korun (1,1 %). Mírný přírůstek za celé období od začátku roku je výsledkem složitějšího vývoje v rámci jednotlivých čtvrtletí. Zatímco v 1. kvartálu vývoz výrazně meziročně narostl, ve 2. čtvrtletí jeho dynamika prudce oslabila. Ve 3. čtvrtletí již hodnota exportu zboží meziročně klesla o 78,3 mld. korun (−7,2 %) na 1 015,2 mld. Významnou roli na meziročním poklesu hodnoty vývozu měl i cenový vývoj, především propad cen minerálních paliv a dalších surovin</w:t>
            </w:r>
            <w:r>
              <w:rPr>
                <w:rStyle w:val="Znakapoznpodarou"/>
                <w:spacing w:val="-4"/>
              </w:rPr>
              <w:footnoteReference w:id="58"/>
            </w:r>
            <w:r>
              <w:rPr>
                <w:spacing w:val="-4"/>
              </w:rPr>
              <w:t xml:space="preserve">. Sezónně očištěné údaje ukazují, že mezičtvrtletně došlo k výraznému poklesu hodnoty exportu zboží o 3,3 %. </w:t>
            </w:r>
          </w:p>
        </w:tc>
      </w:tr>
      <w:tr w:rsidR="000D7C6F" w:rsidRPr="009110F7" w14:paraId="712C9C8F" w14:textId="77777777" w:rsidTr="000D7C6F">
        <w:trPr>
          <w:trHeight w:val="145"/>
        </w:trPr>
        <w:tc>
          <w:tcPr>
            <w:tcW w:w="1748" w:type="dxa"/>
            <w:shd w:val="clear" w:color="auto" w:fill="auto"/>
            <w:tcMar>
              <w:left w:w="0" w:type="dxa"/>
            </w:tcMar>
          </w:tcPr>
          <w:p w14:paraId="2C2F1880" w14:textId="77777777" w:rsidR="000D7C6F" w:rsidRDefault="000D7C6F" w:rsidP="000D7C6F">
            <w:pPr>
              <w:pStyle w:val="Marginlie"/>
            </w:pPr>
            <w:r>
              <w:t xml:space="preserve">Pokles vývozu do zemí EU byl ve 3. čtvrtletí výraznější než v případě </w:t>
            </w:r>
            <w:proofErr w:type="spellStart"/>
            <w:r>
              <w:t>mimounijních</w:t>
            </w:r>
            <w:proofErr w:type="spellEnd"/>
            <w:r>
              <w:t xml:space="preserve"> států. </w:t>
            </w:r>
          </w:p>
        </w:tc>
        <w:tc>
          <w:tcPr>
            <w:tcW w:w="221" w:type="dxa"/>
            <w:shd w:val="clear" w:color="auto" w:fill="auto"/>
            <w:tcMar>
              <w:left w:w="0" w:type="dxa"/>
            </w:tcMar>
          </w:tcPr>
          <w:p w14:paraId="25CBA60B" w14:textId="77777777" w:rsidR="000D7C6F" w:rsidRDefault="000D7C6F" w:rsidP="000D7C6F">
            <w:pPr>
              <w:pStyle w:val="Textpoznpodarou"/>
              <w:jc w:val="both"/>
              <w:rPr>
                <w:spacing w:val="-4"/>
              </w:rPr>
            </w:pPr>
          </w:p>
        </w:tc>
        <w:tc>
          <w:tcPr>
            <w:tcW w:w="7670" w:type="dxa"/>
            <w:shd w:val="clear" w:color="auto" w:fill="auto"/>
            <w:tcMar>
              <w:left w:w="0" w:type="dxa"/>
            </w:tcMar>
          </w:tcPr>
          <w:p w14:paraId="10ADA8AD" w14:textId="77777777" w:rsidR="000D7C6F" w:rsidRPr="00CA4428" w:rsidRDefault="000D7C6F" w:rsidP="000D7C6F">
            <w:pPr>
              <w:spacing w:after="180"/>
              <w:rPr>
                <w:spacing w:val="-4"/>
              </w:rPr>
            </w:pPr>
            <w:r>
              <w:rPr>
                <w:spacing w:val="-4"/>
              </w:rPr>
              <w:t xml:space="preserve">Vývoz zboží do Evropské unie v kumulaci od začátku roku mírně meziročně vzrostl (+20,1 mld. korun, 0,8 %), podobně jako export mimo EU (+14,4 mld., 2,3 %). V samotném 3. čtvrtletí se silně meziročně propadl export do EU (−71,7 mld. korun, −8,2 %), zatímco pokles u </w:t>
            </w:r>
            <w:proofErr w:type="spellStart"/>
            <w:r>
              <w:rPr>
                <w:spacing w:val="-4"/>
              </w:rPr>
              <w:t>mimounijních</w:t>
            </w:r>
            <w:proofErr w:type="spellEnd"/>
            <w:r>
              <w:rPr>
                <w:spacing w:val="-4"/>
              </w:rPr>
              <w:t xml:space="preserve"> zemí byl méně výrazný (−6,7 mld., −3,1 %). Ve 3. čtvrtletí se meziročně propadl vývoz do většiny sledovaných zemí, nejvíce do Německa (−29,7 mld. korun, −8,8 %), na Slovensko (−13,2 mld., −12,2 %) a do Rakouska (−10,8 mld., −20,7 %)</w:t>
            </w:r>
            <w:r>
              <w:rPr>
                <w:rStyle w:val="Znakapoznpodarou"/>
                <w:spacing w:val="-4"/>
              </w:rPr>
              <w:footnoteReference w:id="59"/>
            </w:r>
            <w:r>
              <w:rPr>
                <w:spacing w:val="-4"/>
              </w:rPr>
              <w:t xml:space="preserve">. Výrazně meziročně klesal také export do Francie (−4,3 mld. korun, −8,1 %), do Nizozemska (−3,2 mld., −8,7 %), do Spojených států (−3,2 mld., −10,8 %), do Itálie (−3,0 mld., −6,9 %), do Švédska (−2,4 mld., −14,0 %), do Ruska (−2,3 mld., −41,1 %) nebo do Číny (−2,3 mld., −19,4 %). Výraznější meziroční přírůstky byly ve 3. čtvrtletí zaznamenány jen v případě vývozu na Ukrajinu (+2,7 mld. korun, 41,4 %) a do Turecka (+2,5 mld., 18,0 %). </w:t>
            </w:r>
          </w:p>
        </w:tc>
      </w:tr>
      <w:tr w:rsidR="000D7C6F" w:rsidRPr="009110F7" w14:paraId="5705746B" w14:textId="77777777" w:rsidTr="000D7C6F">
        <w:trPr>
          <w:trHeight w:val="170"/>
        </w:trPr>
        <w:tc>
          <w:tcPr>
            <w:tcW w:w="1748" w:type="dxa"/>
            <w:shd w:val="clear" w:color="auto" w:fill="auto"/>
            <w:tcMar>
              <w:left w:w="0" w:type="dxa"/>
            </w:tcMar>
          </w:tcPr>
          <w:p w14:paraId="577EFE21" w14:textId="77777777" w:rsidR="000D7C6F" w:rsidRDefault="000D7C6F" w:rsidP="000D7C6F">
            <w:pPr>
              <w:pStyle w:val="Marginlie"/>
            </w:pPr>
            <w:r>
              <w:t>Ve 3. čtvrtletí klesal vývoz většiny zboží. Jednou z mála výjimek byl export motorových vozidel.</w:t>
            </w:r>
          </w:p>
        </w:tc>
        <w:tc>
          <w:tcPr>
            <w:tcW w:w="221" w:type="dxa"/>
            <w:shd w:val="clear" w:color="auto" w:fill="auto"/>
            <w:tcMar>
              <w:left w:w="0" w:type="dxa"/>
            </w:tcMar>
          </w:tcPr>
          <w:p w14:paraId="3DE80C48" w14:textId="77777777" w:rsidR="000D7C6F" w:rsidRDefault="000D7C6F" w:rsidP="000D7C6F">
            <w:pPr>
              <w:pStyle w:val="Textpoznpodarou"/>
              <w:jc w:val="both"/>
              <w:rPr>
                <w:spacing w:val="-4"/>
              </w:rPr>
            </w:pPr>
          </w:p>
        </w:tc>
        <w:tc>
          <w:tcPr>
            <w:tcW w:w="7670" w:type="dxa"/>
            <w:shd w:val="clear" w:color="auto" w:fill="auto"/>
            <w:tcMar>
              <w:left w:w="0" w:type="dxa"/>
            </w:tcMar>
          </w:tcPr>
          <w:p w14:paraId="0A2C0D43" w14:textId="2DF2E3F4" w:rsidR="000D7C6F" w:rsidRPr="00AF6F98" w:rsidRDefault="000D7C6F" w:rsidP="000D7C6F">
            <w:pPr>
              <w:spacing w:after="180"/>
              <w:rPr>
                <w:spacing w:val="-4"/>
              </w:rPr>
            </w:pPr>
            <w:r>
              <w:rPr>
                <w:spacing w:val="-4"/>
              </w:rPr>
              <w:t xml:space="preserve">Celkově od začátku roku nejvíce rostl vývoz motorových vozidel (+134,3 mld. korun, 17,5 %), elektrických zařízení (+43,8 mld., 14,6 %), strojů a zařízení (+27,2 mld., 7,5 %) a potravinářských výrobků (+14,4 mld., 13,6 %). Naopak propad byl zaznamenán zejména u vývozu elektřiny, plynu, páry a klimatizovaného vzduchu (−52,1 mld. korun, −58,1 %), základních kovů (−29,9 mld., −19,5 %), chemických látek a přípravků (−27,6 mld., </w:t>
            </w:r>
            <w:r>
              <w:rPr>
                <w:spacing w:val="-4"/>
              </w:rPr>
              <w:br/>
              <w:t xml:space="preserve">−15,4 %), počítačů, elektronických a optických přístrojů (−16,7 mld., −5,6 %) a dřeva </w:t>
            </w:r>
            <w:r>
              <w:rPr>
                <w:spacing w:val="-4"/>
              </w:rPr>
              <w:br/>
              <w:t>a výrobků z něj (−13,3 mld., −27,9 %). V samotném 3. čtvrtletí meziročně klesl vývoz většiny produktů. Nejvíce se propadl export elektřiny, plynu, páry a klimatizovaného vzduchu (−31,5 mld. korun, −74,9 %), počítačů, elektronických a optických přístrojů (−15,3 mld., −14,5 %), základních kovů (−9,9 mld., −21,8 %) a chemických látek a přípravků (−10,0 mld., −17,7 %). Klesal také export kovodělných výrobků (−3,8 mld. korun, −5,8 %), dřeva a výrobků z něj (−3,8 mld., −27,6 %), ropy a zemního plynu (−3,6 mld., −98,9 %), koksu a rafinovaných ropných výrobků (−3,0 mld., −18,3 %), pryžových a plastových výrobků (−2,7 mld., −5,2 %), papíru a výrobků z něj (−2,6 mld., −11,8 %), textilií (−2,1 mld., −13,5 %) nebo produktů zemědělství a myslivosti (−2,0 mld., −13,7 %). Nejvíce se meziročně zvýšil vývoz motorových vozidel (+12,4 mld. korun, 4,9 %). Přírůstek ale výrazně oslabil, a to zejména kvůli silné srovnávací základně loňského roku a mírně rostl také vývoz elektrických zařízení (+3,2 mld., 3,1 %) a potravinářských výrobků (+2,4 mld., 6,3 %).</w:t>
            </w:r>
          </w:p>
        </w:tc>
      </w:tr>
      <w:tr w:rsidR="000D7C6F" w:rsidRPr="009110F7" w14:paraId="651D7A84" w14:textId="77777777" w:rsidTr="000D7C6F">
        <w:trPr>
          <w:trHeight w:val="145"/>
        </w:trPr>
        <w:tc>
          <w:tcPr>
            <w:tcW w:w="1748" w:type="dxa"/>
            <w:shd w:val="clear" w:color="auto" w:fill="auto"/>
            <w:tcMar>
              <w:left w:w="0" w:type="dxa"/>
            </w:tcMar>
          </w:tcPr>
          <w:p w14:paraId="075005BD" w14:textId="77777777" w:rsidR="000D7C6F" w:rsidRDefault="000D7C6F" w:rsidP="000D7C6F">
            <w:pPr>
              <w:pStyle w:val="Marginlie"/>
            </w:pPr>
            <w:r>
              <w:t>Dovoz zboží se propadal.</w:t>
            </w:r>
          </w:p>
        </w:tc>
        <w:tc>
          <w:tcPr>
            <w:tcW w:w="221" w:type="dxa"/>
            <w:shd w:val="clear" w:color="auto" w:fill="auto"/>
            <w:tcMar>
              <w:left w:w="0" w:type="dxa"/>
            </w:tcMar>
          </w:tcPr>
          <w:p w14:paraId="23F8E779" w14:textId="77777777" w:rsidR="000D7C6F" w:rsidRDefault="000D7C6F" w:rsidP="000D7C6F">
            <w:pPr>
              <w:pStyle w:val="Textpoznpodarou"/>
              <w:jc w:val="both"/>
              <w:rPr>
                <w:spacing w:val="-4"/>
              </w:rPr>
            </w:pPr>
          </w:p>
        </w:tc>
        <w:tc>
          <w:tcPr>
            <w:tcW w:w="7670" w:type="dxa"/>
            <w:shd w:val="clear" w:color="auto" w:fill="auto"/>
            <w:tcMar>
              <w:left w:w="0" w:type="dxa"/>
            </w:tcMar>
          </w:tcPr>
          <w:p w14:paraId="1ED4CF32" w14:textId="77777777" w:rsidR="000D7C6F" w:rsidRDefault="000D7C6F" w:rsidP="000D7C6F">
            <w:pPr>
              <w:spacing w:after="180"/>
              <w:rPr>
                <w:spacing w:val="-4"/>
              </w:rPr>
            </w:pPr>
            <w:r>
              <w:rPr>
                <w:spacing w:val="-4"/>
              </w:rPr>
              <w:t xml:space="preserve">Hodnota dovozu zboží od počátku roku do září dosáhla 3 219,8 mld. korun a meziročně tak klesla o 191,6 mld. (−5,6 %). Také v případě importu se vývoj ve 2. a 3. čtvrtletí výrazně lišil od pozitivnějšího počátku roku. V samotném 3. čtvrtletí hodnota dovozu meziročně klesla </w:t>
            </w:r>
            <w:r>
              <w:rPr>
                <w:spacing w:val="-4"/>
              </w:rPr>
              <w:lastRenderedPageBreak/>
              <w:t>o 142,5 mld. korun (−12,3 %) na 1 015,4 mld. a cenový vývoj hrál výraznou roli</w:t>
            </w:r>
            <w:r>
              <w:rPr>
                <w:rStyle w:val="Znakapoznpodarou"/>
                <w:spacing w:val="-4"/>
              </w:rPr>
              <w:footnoteReference w:id="60"/>
            </w:r>
            <w:r>
              <w:rPr>
                <w:spacing w:val="-4"/>
              </w:rPr>
              <w:t>. Podle sezónně očištěných údajů se dovoz ve 3. kvartálu mezičtvrtletně snížil o 2,5 %. Propad cen surovin byl patrný i na teritoriálním rozkladu vývoje dovozu. V kumulaci od počátku roku se dovoz z EU meziročně snížil o 66,2 mld. korun (−3,2 %), zatímco import ze zemí mimo EU, kde suroviny převažují, klesl o 128,3 mld. (−9,7 %). V samotném 3. čtvrtletí se hodnota dovozu zboží z EU meziročně propadla o 49,4 mld. korun (−7,3 %) a mimo EU o 92,9 mld. (−19,5 %). Nejvíce meziročně klesl dovoz z Ruska (−69,1 mld. korun, −77,0 %) a Číny (−25,4 mld., −16,8 %). U Číny šlo o první pokles importu od 1. čtvrtletí 2020 a nejhlubší zaznamenaný propad v celé časové řadě. Výrazně nižší byl také dovoz z Polska (−15,3 mld. korun, −15,0 %) a  Německa (−14,6 mld., −5,8 %). Meziročně klesla také hodnota dovozu z Rakouska (−4,0 mld. korun, −12,7 %), Francie (−3,8 mld., −10,8 %), Belgie (−3,0 mld., −16,1 %), Nizozemska (−2,5 mld., −9,2 %), Spojených států (−2,5 mld., −7,1 %) nebo ze Slovenska (−2,1 mld., −3,9 %). Podobně jako v předchozích několika čtvrtletích silně rostl dovoz z Norska (+13,1 mld. korun, 397,1 %)</w:t>
            </w:r>
            <w:r w:rsidRPr="00FA2C07">
              <w:rPr>
                <w:rStyle w:val="Znakapoznpodarou"/>
                <w:spacing w:val="-5"/>
              </w:rPr>
              <w:footnoteReference w:id="61"/>
            </w:r>
            <w:r>
              <w:rPr>
                <w:spacing w:val="-4"/>
              </w:rPr>
              <w:t xml:space="preserve"> a vyšší byl také v případě Kazachstánu (+2,5 mld., 274,9 %).</w:t>
            </w:r>
            <w:r w:rsidRPr="00FA2C07">
              <w:rPr>
                <w:spacing w:val="-5"/>
              </w:rPr>
              <w:t xml:space="preserve"> </w:t>
            </w:r>
          </w:p>
        </w:tc>
      </w:tr>
      <w:tr w:rsidR="000D7C6F" w:rsidRPr="009110F7" w14:paraId="56C71C56" w14:textId="77777777" w:rsidTr="000D7C6F">
        <w:trPr>
          <w:trHeight w:val="145"/>
        </w:trPr>
        <w:tc>
          <w:tcPr>
            <w:tcW w:w="1748" w:type="dxa"/>
            <w:shd w:val="clear" w:color="auto" w:fill="auto"/>
            <w:tcMar>
              <w:left w:w="0" w:type="dxa"/>
            </w:tcMar>
          </w:tcPr>
          <w:p w14:paraId="36F2137D" w14:textId="77777777" w:rsidR="000D7C6F" w:rsidRDefault="000D7C6F" w:rsidP="000D7C6F">
            <w:pPr>
              <w:pStyle w:val="Marginlie"/>
            </w:pPr>
            <w:r>
              <w:lastRenderedPageBreak/>
              <w:t>Ve 3. čtvrtletí klesal dovoz většiny druhů zboží.</w:t>
            </w:r>
          </w:p>
        </w:tc>
        <w:tc>
          <w:tcPr>
            <w:tcW w:w="221" w:type="dxa"/>
            <w:shd w:val="clear" w:color="auto" w:fill="auto"/>
            <w:tcMar>
              <w:left w:w="0" w:type="dxa"/>
            </w:tcMar>
          </w:tcPr>
          <w:p w14:paraId="7FE26DB6" w14:textId="77777777" w:rsidR="000D7C6F" w:rsidRDefault="000D7C6F" w:rsidP="000D7C6F">
            <w:pPr>
              <w:pStyle w:val="Textpoznpodarou"/>
              <w:jc w:val="both"/>
              <w:rPr>
                <w:spacing w:val="-4"/>
              </w:rPr>
            </w:pPr>
          </w:p>
        </w:tc>
        <w:tc>
          <w:tcPr>
            <w:tcW w:w="7670" w:type="dxa"/>
            <w:shd w:val="clear" w:color="auto" w:fill="auto"/>
            <w:tcMar>
              <w:left w:w="0" w:type="dxa"/>
            </w:tcMar>
          </w:tcPr>
          <w:p w14:paraId="2C97CE03" w14:textId="77777777" w:rsidR="000D7C6F" w:rsidRDefault="000D7C6F" w:rsidP="000D7C6F">
            <w:pPr>
              <w:spacing w:after="180"/>
              <w:rPr>
                <w:spacing w:val="-4"/>
              </w:rPr>
            </w:pPr>
            <w:r>
              <w:rPr>
                <w:spacing w:val="-4"/>
              </w:rPr>
              <w:t xml:space="preserve">V kumulaci od začátku roku se nejvíce propadla hodnota dovozu ropy a zemního plynu (−130,7 mld. korun, −50,1 %), základních kovů (−57,7 mld., −19,4 %) a chemických látek a přípravků (−40,1 mld., −13,4 %), ale import klesl u většiny druhů zboží. Zmíněný propad vyvažovala motorová vozidla (+55,3 mld. korun, 13,0 %), elektrická zařízení (+44,8 mld., 14,8 %) a stroje a zařízení (+11,2 mld., 3,8 %). V samotném 3. čtvrtletí meziročně klesal dovoz téměř všech druhů zboží a výjimečné nárůsty dosahovaly jen řádu stovek milionů korun, jako byl případ motorových vozidel (+1,5 mld. korun, 1,0 %) a ostatních dopravních prostředků a zařízení (+1,1 mld., 9,1 %). Nejvíce se ve 3. čtvrtletí meziročně propadl dovoz ropy a zemního plynu (−59,6 mld. korun, −58,7 %), základních kovů (−19,0 mld., −21,3 %) a chemických látek a přípravků (−16,1 mld., −16,4 %). Významný byl také pokles u počítačů, elektronických a optických přístrojů a zařízení (−8,8 mld. korun, −7,2 %), elektřiny, plynu, páry a klimatizovaného vzduchu (−5,1 mld., −54,4 %), ostatních výrobků zpracovatelského průmyslu (−4,7 mld., −17,7 %), černého a hnědého uhlí a lignitu (−4,3 mld., −49,4 %), papíru a výrobků z něj (−4,2 mld., −22,2 %), elektrických zařízení (−3,8 mld., −3,4 %), pryžových a plastových výrobků (−3,5 mld., −6,9 %) nebo strojů a zařízení (−2,3 mld., −2,4 %).   </w:t>
            </w:r>
          </w:p>
        </w:tc>
      </w:tr>
      <w:tr w:rsidR="000D7C6F" w:rsidRPr="009110F7" w14:paraId="756B8C87" w14:textId="77777777" w:rsidTr="000D7C6F">
        <w:trPr>
          <w:trHeight w:val="145"/>
        </w:trPr>
        <w:tc>
          <w:tcPr>
            <w:tcW w:w="1748" w:type="dxa"/>
            <w:shd w:val="clear" w:color="auto" w:fill="auto"/>
            <w:tcMar>
              <w:left w:w="0" w:type="dxa"/>
            </w:tcMar>
          </w:tcPr>
          <w:p w14:paraId="2F96E184" w14:textId="77777777" w:rsidR="000D7C6F" w:rsidRDefault="000D7C6F" w:rsidP="000D7C6F">
            <w:pPr>
              <w:pStyle w:val="Marginlie"/>
            </w:pPr>
            <w:r>
              <w:t>Bilance obchodu se zbožím se meziročně výrazně zlepšovala.</w:t>
            </w:r>
          </w:p>
        </w:tc>
        <w:tc>
          <w:tcPr>
            <w:tcW w:w="221" w:type="dxa"/>
            <w:shd w:val="clear" w:color="auto" w:fill="auto"/>
            <w:tcMar>
              <w:left w:w="0" w:type="dxa"/>
            </w:tcMar>
          </w:tcPr>
          <w:p w14:paraId="4A56495D" w14:textId="77777777" w:rsidR="000D7C6F" w:rsidRDefault="000D7C6F" w:rsidP="000D7C6F">
            <w:pPr>
              <w:pStyle w:val="Textpoznpodarou"/>
              <w:jc w:val="both"/>
              <w:rPr>
                <w:spacing w:val="-4"/>
              </w:rPr>
            </w:pPr>
          </w:p>
        </w:tc>
        <w:tc>
          <w:tcPr>
            <w:tcW w:w="7670" w:type="dxa"/>
            <w:shd w:val="clear" w:color="auto" w:fill="auto"/>
            <w:tcMar>
              <w:left w:w="0" w:type="dxa"/>
            </w:tcMar>
          </w:tcPr>
          <w:p w14:paraId="6B494867" w14:textId="0019080F" w:rsidR="000D7C6F" w:rsidRDefault="000D7C6F" w:rsidP="000D7C6F">
            <w:pPr>
              <w:spacing w:after="180"/>
              <w:rPr>
                <w:spacing w:val="-4"/>
              </w:rPr>
            </w:pPr>
            <w:r>
              <w:t xml:space="preserve">Bilance zahraničního obchodu se zbožím dosáhla v kumulaci od začátku roku </w:t>
            </w:r>
            <w:r>
              <w:br/>
              <w:t>76,2 mld. korun a oproti rekordně hlubokému schodku ze stejného období loňského roku se zlepšila o 226,3 mld. Celkový přebytek je výsledkem zejména prvních dvou čtvrtletí. Ve 3. čtvrtletí byla bilance téměř vyrovnaná, když dosáhla jen drobného deficitu ve výši −0,2 mld. korun. I tak šlo meziročně o 64,1 mld. korun lepší výsledek. Mezičtvrtletně se sezónně očištěná bilance zahraničního obchodu se zbožím zhoršila. V kumulaci od začátku roku se přebytek bilance zahraničního obchodu se zeměmi EU meziročně zlepšil o 86,4 mld. korun a deficit se zeměmi mimo EU se zmírnil o 142,7 mld. V samotném 3. čtvrtletí došlo k meziročnímu zhoršení bilance obchodu s EU o 22,3 mld. korun, ale deficit s </w:t>
            </w:r>
            <w:proofErr w:type="spellStart"/>
            <w:r>
              <w:t>mimounijními</w:t>
            </w:r>
            <w:proofErr w:type="spellEnd"/>
            <w:r>
              <w:t xml:space="preserve"> zeměmi se zmírnil o 86,2 mld. Meziročně se nejvíce zlepšila bilance obchodu s Ruskem (+66,7 mld. korun), Čínou (+23,0 mld.) a s Polskem (+13,7 mld.). Zlepšila se také bilance zahraničního obchodu s Ukrajinou (+3,8 mld. korun), Tureckem (+3,3 mld.), Velkou Británií (+2,3 mld.) nebo Ázerbájdžánem (+2,0 mld.). Výrazné meziroční zhoršení bilance bylo zaznamenáno u obchodu s Německem (−15,0 mld. korun), s Norskem (−14,4 mld.) a se Slovenskem (−11,1 mld.). Horší byl také výsledek v případě Rakouska (−6,8 mld.), Kazachstánu (−3,4 mld.), Švédska (−2,3 mld.) nebo Izraele (−2,1 mld.).</w:t>
            </w:r>
          </w:p>
        </w:tc>
      </w:tr>
      <w:tr w:rsidR="000D7C6F" w:rsidRPr="009110F7" w14:paraId="0F224824" w14:textId="77777777" w:rsidTr="000D7C6F">
        <w:trPr>
          <w:trHeight w:val="150"/>
        </w:trPr>
        <w:tc>
          <w:tcPr>
            <w:tcW w:w="1748" w:type="dxa"/>
            <w:vMerge w:val="restart"/>
            <w:shd w:val="clear" w:color="auto" w:fill="auto"/>
            <w:tcMar>
              <w:left w:w="0" w:type="dxa"/>
            </w:tcMar>
          </w:tcPr>
          <w:p w14:paraId="39FB13A6" w14:textId="77777777" w:rsidR="000D7C6F" w:rsidRDefault="000D7C6F" w:rsidP="000D7C6F">
            <w:pPr>
              <w:pStyle w:val="Marginlie"/>
            </w:pPr>
          </w:p>
        </w:tc>
        <w:tc>
          <w:tcPr>
            <w:tcW w:w="221" w:type="dxa"/>
            <w:vMerge w:val="restart"/>
            <w:shd w:val="clear" w:color="auto" w:fill="auto"/>
            <w:tcMar>
              <w:left w:w="0" w:type="dxa"/>
            </w:tcMar>
          </w:tcPr>
          <w:p w14:paraId="702DA3D7" w14:textId="77777777" w:rsidR="000D7C6F" w:rsidRDefault="000D7C6F" w:rsidP="000D7C6F">
            <w:pPr>
              <w:pStyle w:val="Textpoznpodarou"/>
              <w:jc w:val="both"/>
              <w:rPr>
                <w:spacing w:val="-4"/>
              </w:rPr>
            </w:pPr>
          </w:p>
        </w:tc>
        <w:tc>
          <w:tcPr>
            <w:tcW w:w="7670" w:type="dxa"/>
            <w:shd w:val="clear" w:color="auto" w:fill="auto"/>
            <w:tcMar>
              <w:left w:w="0" w:type="dxa"/>
            </w:tcMar>
          </w:tcPr>
          <w:p w14:paraId="21F35576" w14:textId="77777777" w:rsidR="000D7C6F" w:rsidRDefault="000D7C6F" w:rsidP="000D7C6F">
            <w:pPr>
              <w:spacing w:after="0"/>
              <w:rPr>
                <w:spacing w:val="-4"/>
              </w:rPr>
            </w:pPr>
            <w:r w:rsidRPr="00D75AC1">
              <w:rPr>
                <w:rFonts w:cs="Arial"/>
                <w:b/>
                <w:bCs/>
                <w:color w:val="000000"/>
                <w:szCs w:val="20"/>
              </w:rPr>
              <w:t>Graf č.</w:t>
            </w:r>
            <w:r>
              <w:rPr>
                <w:rFonts w:cs="Arial"/>
                <w:b/>
                <w:bCs/>
                <w:color w:val="000000"/>
                <w:szCs w:val="20"/>
              </w:rPr>
              <w:t xml:space="preserve"> 9 </w:t>
            </w:r>
            <w:r w:rsidRPr="00D75AC1">
              <w:rPr>
                <w:b/>
                <w:spacing w:val="-4"/>
                <w:szCs w:val="20"/>
              </w:rPr>
              <w:t xml:space="preserve">Bilance zahraničního obchodu </w:t>
            </w:r>
            <w:r>
              <w:rPr>
                <w:b/>
                <w:spacing w:val="-4"/>
                <w:szCs w:val="20"/>
              </w:rPr>
              <w:t xml:space="preserve">se zbožím </w:t>
            </w:r>
            <w:r w:rsidRPr="00D75AC1">
              <w:rPr>
                <w:b/>
                <w:spacing w:val="-4"/>
                <w:szCs w:val="20"/>
              </w:rPr>
              <w:t xml:space="preserve">ve statistice zahraničního obchodu </w:t>
            </w:r>
            <w:r w:rsidRPr="00D75AC1">
              <w:rPr>
                <w:spacing w:val="-4"/>
                <w:szCs w:val="20"/>
              </w:rPr>
              <w:t xml:space="preserve">(kumulace </w:t>
            </w:r>
            <w:r>
              <w:rPr>
                <w:spacing w:val="-4"/>
                <w:szCs w:val="20"/>
              </w:rPr>
              <w:t>1. až 3. čtvrtletí</w:t>
            </w:r>
            <w:r w:rsidRPr="00D75AC1">
              <w:rPr>
                <w:spacing w:val="-4"/>
                <w:szCs w:val="20"/>
              </w:rPr>
              <w:t>, v mld.</w:t>
            </w:r>
            <w:r>
              <w:rPr>
                <w:spacing w:val="-4"/>
                <w:szCs w:val="20"/>
              </w:rPr>
              <w:t xml:space="preserve"> </w:t>
            </w:r>
            <w:r w:rsidRPr="00D75AC1">
              <w:rPr>
                <w:spacing w:val="-4"/>
                <w:szCs w:val="20"/>
              </w:rPr>
              <w:t>korun, vybrané oddíly klasifikace CPA)</w:t>
            </w:r>
          </w:p>
        </w:tc>
      </w:tr>
      <w:tr w:rsidR="000D7C6F" w:rsidRPr="009110F7" w14:paraId="439B8928" w14:textId="77777777" w:rsidTr="000D7C6F">
        <w:tblPrEx>
          <w:tblCellMar>
            <w:left w:w="70" w:type="dxa"/>
            <w:right w:w="70" w:type="dxa"/>
          </w:tblCellMar>
        </w:tblPrEx>
        <w:trPr>
          <w:trHeight w:val="150"/>
        </w:trPr>
        <w:tc>
          <w:tcPr>
            <w:tcW w:w="1748" w:type="dxa"/>
            <w:vMerge/>
          </w:tcPr>
          <w:p w14:paraId="3136505D" w14:textId="77777777" w:rsidR="000D7C6F" w:rsidRDefault="000D7C6F" w:rsidP="000D7C6F">
            <w:pPr>
              <w:pStyle w:val="Marginlie"/>
            </w:pPr>
          </w:p>
        </w:tc>
        <w:tc>
          <w:tcPr>
            <w:tcW w:w="221" w:type="dxa"/>
            <w:vMerge/>
          </w:tcPr>
          <w:p w14:paraId="0BB5DDF9" w14:textId="77777777" w:rsidR="000D7C6F" w:rsidRDefault="000D7C6F" w:rsidP="000D7C6F">
            <w:pPr>
              <w:pStyle w:val="Textpoznpodarou"/>
              <w:jc w:val="both"/>
              <w:rPr>
                <w:spacing w:val="-4"/>
              </w:rPr>
            </w:pPr>
          </w:p>
        </w:tc>
        <w:tc>
          <w:tcPr>
            <w:tcW w:w="7670" w:type="dxa"/>
            <w:shd w:val="clear" w:color="auto" w:fill="auto"/>
          </w:tcPr>
          <w:p w14:paraId="5B11594B" w14:textId="77777777" w:rsidR="000D7C6F" w:rsidRDefault="000D7C6F" w:rsidP="000D7C6F">
            <w:pPr>
              <w:spacing w:after="0"/>
              <w:rPr>
                <w:spacing w:val="-4"/>
              </w:rPr>
            </w:pPr>
            <w:r>
              <w:rPr>
                <w:noProof/>
              </w:rPr>
              <w:drawing>
                <wp:inline distT="0" distB="0" distL="0" distR="0" wp14:anchorId="4502340D" wp14:editId="00939F2F">
                  <wp:extent cx="4771467" cy="3492000"/>
                  <wp:effectExtent l="0" t="0" r="0" b="0"/>
                  <wp:docPr id="16" name="Graf 16">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0D7C6F" w:rsidRPr="009110F7" w14:paraId="043AD1D5" w14:textId="77777777" w:rsidTr="000D7C6F">
        <w:trPr>
          <w:trHeight w:val="150"/>
        </w:trPr>
        <w:tc>
          <w:tcPr>
            <w:tcW w:w="1748" w:type="dxa"/>
            <w:vMerge/>
            <w:tcMar>
              <w:left w:w="0" w:type="dxa"/>
            </w:tcMar>
          </w:tcPr>
          <w:p w14:paraId="40E9A77C" w14:textId="77777777" w:rsidR="000D7C6F" w:rsidRDefault="000D7C6F" w:rsidP="000D7C6F">
            <w:pPr>
              <w:pStyle w:val="Marginlie"/>
            </w:pPr>
          </w:p>
        </w:tc>
        <w:tc>
          <w:tcPr>
            <w:tcW w:w="221" w:type="dxa"/>
            <w:vMerge/>
            <w:tcMar>
              <w:left w:w="0" w:type="dxa"/>
            </w:tcMar>
          </w:tcPr>
          <w:p w14:paraId="5ECB25B9" w14:textId="77777777" w:rsidR="000D7C6F" w:rsidRDefault="000D7C6F" w:rsidP="000D7C6F">
            <w:pPr>
              <w:pStyle w:val="Textpoznpodarou"/>
              <w:jc w:val="both"/>
              <w:rPr>
                <w:spacing w:val="-4"/>
              </w:rPr>
            </w:pPr>
          </w:p>
        </w:tc>
        <w:tc>
          <w:tcPr>
            <w:tcW w:w="7670" w:type="dxa"/>
            <w:shd w:val="clear" w:color="auto" w:fill="auto"/>
            <w:tcMar>
              <w:left w:w="0" w:type="dxa"/>
            </w:tcMar>
          </w:tcPr>
          <w:p w14:paraId="327316B4" w14:textId="77777777" w:rsidR="000D7C6F" w:rsidRDefault="000D7C6F" w:rsidP="000D7C6F">
            <w:pPr>
              <w:rPr>
                <w:spacing w:val="-4"/>
              </w:rPr>
            </w:pPr>
            <w:r>
              <w:rPr>
                <w:sz w:val="14"/>
                <w:szCs w:val="14"/>
              </w:rPr>
              <w:t>Zdroj: ČSÚ</w:t>
            </w:r>
          </w:p>
        </w:tc>
      </w:tr>
      <w:tr w:rsidR="000D7C6F" w:rsidRPr="009110F7" w14:paraId="406E97D1" w14:textId="77777777" w:rsidTr="000D7C6F">
        <w:trPr>
          <w:trHeight w:val="477"/>
        </w:trPr>
        <w:tc>
          <w:tcPr>
            <w:tcW w:w="1748" w:type="dxa"/>
            <w:shd w:val="clear" w:color="auto" w:fill="auto"/>
            <w:tcMar>
              <w:left w:w="0" w:type="dxa"/>
            </w:tcMar>
          </w:tcPr>
          <w:p w14:paraId="5F909512" w14:textId="77777777" w:rsidR="000D7C6F" w:rsidRDefault="000D7C6F" w:rsidP="000D7C6F">
            <w:pPr>
              <w:pStyle w:val="Marginlie"/>
            </w:pPr>
            <w:r>
              <w:t xml:space="preserve">Za zlepšením salda </w:t>
            </w:r>
            <w:r>
              <w:br/>
              <w:t xml:space="preserve">stál většinou </w:t>
            </w:r>
            <w:r>
              <w:br/>
              <w:t xml:space="preserve">obchod s ropou </w:t>
            </w:r>
            <w:r>
              <w:br/>
              <w:t>a zemním plynem.</w:t>
            </w:r>
          </w:p>
        </w:tc>
        <w:tc>
          <w:tcPr>
            <w:tcW w:w="221" w:type="dxa"/>
            <w:shd w:val="clear" w:color="auto" w:fill="auto"/>
            <w:tcMar>
              <w:left w:w="0" w:type="dxa"/>
            </w:tcMar>
          </w:tcPr>
          <w:p w14:paraId="48B3B253" w14:textId="77777777" w:rsidR="000D7C6F" w:rsidRDefault="000D7C6F" w:rsidP="000D7C6F">
            <w:pPr>
              <w:pStyle w:val="Textpoznpodarou"/>
              <w:jc w:val="both"/>
              <w:rPr>
                <w:spacing w:val="-4"/>
              </w:rPr>
            </w:pPr>
          </w:p>
        </w:tc>
        <w:tc>
          <w:tcPr>
            <w:tcW w:w="7670" w:type="dxa"/>
            <w:shd w:val="clear" w:color="auto" w:fill="auto"/>
            <w:tcMar>
              <w:left w:w="0" w:type="dxa"/>
            </w:tcMar>
          </w:tcPr>
          <w:p w14:paraId="30CCEB60" w14:textId="77777777" w:rsidR="000D7C6F" w:rsidRDefault="000D7C6F" w:rsidP="000D7C6F">
            <w:pPr>
              <w:spacing w:after="180"/>
              <w:rPr>
                <w:spacing w:val="-4"/>
              </w:rPr>
            </w:pPr>
            <w:r>
              <w:rPr>
                <w:spacing w:val="-4"/>
              </w:rPr>
              <w:t>Na meziročním zlepšení bilance zahraničního obchodu se zbožím v kumulaci za 1. až 3. čtvrtletí se nejvíce podílel obchod s ropou a zemním plynem (+121,7 mld. korun), motorovými vozidly (+79,1 mld.) a základními kovy (+27,8 mld.). V kumulaci od začátku roku se výrazně zhoršila zejména bilance obchodu s elektřinou, plynem, párou a klimatizovaným vzduchem (−39,7 mld. korun). V samotném 3. čtvrtletí ve směru zlepšení bilance působil zejména obchod s ropou a zemním plynem (+56,0 mld. korun). Zlepšení salda u ostatních druhů zboží bylo méně výrazné. Bilance obchodu s motorovými vozidly se zlepšila o 11,0 mld. korun, se základními kovy o 9,1 mld., s elektrickými zařízeními o 7,0 mld., s chemickými látkami a přípravky o 6,1 mld., s černým uhlím a lignitem o 3,9 mld., s ostatními výrobky zpracovatelského průmyslu o 3,9 mld., se stroji a zařízeními o 2,4 mld. a s oděvy o 2,3 mld. Na druhé straně největší meziroční zhoršení bilance měl ve 3. kvartálu obchod s elektřinou, plynem, párou a klimatizovaným vzduchem (−26,4 mld. korun). S odstupem následovaly počítače, elektronické a optické přístroje (−6,5 mld. korun), produkty lesnictví a těžby dřeva (−3,1 mld.), produkty zemědělství a myslivosti (−2,9 mld.), dřevo a dřevěné výrobky (−2,2 mld.) nebo kovodělné výrobky (−2,1 mld.).</w:t>
            </w:r>
          </w:p>
        </w:tc>
      </w:tr>
      <w:bookmarkEnd w:id="35"/>
      <w:bookmarkEnd w:id="36"/>
      <w:bookmarkEnd w:id="37"/>
    </w:tbl>
    <w:p w14:paraId="4443EB77" w14:textId="77777777" w:rsidR="008B02E7" w:rsidRDefault="008B02E7" w:rsidP="001E1AF1">
      <w:pPr>
        <w:pStyle w:val="Nadpis11"/>
        <w:rPr>
          <w:b w:val="0"/>
          <w:sz w:val="2"/>
          <w:szCs w:val="2"/>
        </w:rPr>
      </w:pPr>
    </w:p>
    <w:p w14:paraId="15973F00" w14:textId="77777777" w:rsidR="008B02E7" w:rsidRDefault="008B02E7">
      <w:pPr>
        <w:spacing w:after="0" w:line="240" w:lineRule="auto"/>
        <w:jc w:val="left"/>
        <w:rPr>
          <w:rFonts w:eastAsia="MS Gothic"/>
          <w:bCs/>
          <w:color w:val="71818C"/>
          <w:sz w:val="2"/>
          <w:szCs w:val="2"/>
        </w:rPr>
      </w:pPr>
      <w:r>
        <w:rPr>
          <w:b/>
          <w:sz w:val="2"/>
          <w:szCs w:val="2"/>
        </w:rPr>
        <w:br w:type="page"/>
      </w:r>
    </w:p>
    <w:p w14:paraId="34FA57CF" w14:textId="7CAD0B4B" w:rsidR="001E1AF1" w:rsidRPr="009110F7" w:rsidRDefault="001E1AF1" w:rsidP="001E1AF1">
      <w:pPr>
        <w:pStyle w:val="Nadpis11"/>
      </w:pPr>
      <w:bookmarkStart w:id="38" w:name="_Toc153531910"/>
      <w:r>
        <w:lastRenderedPageBreak/>
        <w:t>5. Ceny</w:t>
      </w:r>
      <w:bookmarkEnd w:id="30"/>
      <w:bookmarkEnd w:id="38"/>
    </w:p>
    <w:tbl>
      <w:tblPr>
        <w:tblW w:w="9639" w:type="dxa"/>
        <w:tblInd w:w="-15" w:type="dxa"/>
        <w:tblCellMar>
          <w:left w:w="0" w:type="dxa"/>
          <w:right w:w="0" w:type="dxa"/>
        </w:tblCellMar>
        <w:tblLook w:val="00A0" w:firstRow="1" w:lastRow="0" w:firstColumn="1" w:lastColumn="0" w:noHBand="0" w:noVBand="0"/>
      </w:tblPr>
      <w:tblGrid>
        <w:gridCol w:w="1804"/>
        <w:gridCol w:w="224"/>
        <w:gridCol w:w="7611"/>
      </w:tblGrid>
      <w:tr w:rsidR="001E1AF1" w:rsidRPr="009110F7" w14:paraId="41A3CC19" w14:textId="77777777" w:rsidTr="08AB0269">
        <w:trPr>
          <w:trHeight w:val="145"/>
        </w:trPr>
        <w:tc>
          <w:tcPr>
            <w:tcW w:w="1804" w:type="dxa"/>
            <w:shd w:val="clear" w:color="auto" w:fill="auto"/>
            <w:tcMar>
              <w:left w:w="0" w:type="dxa"/>
            </w:tcMar>
          </w:tcPr>
          <w:p w14:paraId="03077CBD" w14:textId="77777777" w:rsidR="001E1AF1" w:rsidRPr="00793D78" w:rsidRDefault="001E1AF1" w:rsidP="00D26E6B">
            <w:pPr>
              <w:pStyle w:val="Marginlie"/>
              <w:rPr>
                <w:spacing w:val="0"/>
              </w:rPr>
            </w:pPr>
            <w:r>
              <w:rPr>
                <w:spacing w:val="0"/>
              </w:rPr>
              <w:t>Meziroční růst celkové cenové hladiny ve 3. čtvrtletí zpomalil.</w:t>
            </w:r>
          </w:p>
        </w:tc>
        <w:tc>
          <w:tcPr>
            <w:tcW w:w="224" w:type="dxa"/>
            <w:shd w:val="clear" w:color="auto" w:fill="auto"/>
            <w:tcMar>
              <w:left w:w="0" w:type="dxa"/>
            </w:tcMar>
          </w:tcPr>
          <w:p w14:paraId="51491EA6" w14:textId="77777777" w:rsidR="001E1AF1" w:rsidRPr="00793D78" w:rsidRDefault="001E1AF1" w:rsidP="00D26E6B">
            <w:pPr>
              <w:pStyle w:val="Textpoznpodarou1"/>
              <w:jc w:val="both"/>
            </w:pPr>
          </w:p>
        </w:tc>
        <w:tc>
          <w:tcPr>
            <w:tcW w:w="7611" w:type="dxa"/>
            <w:shd w:val="clear" w:color="auto" w:fill="auto"/>
            <w:tcMar>
              <w:left w:w="0" w:type="dxa"/>
            </w:tcMar>
          </w:tcPr>
          <w:p w14:paraId="7D29A4CA" w14:textId="77777777" w:rsidR="001E1AF1" w:rsidRPr="00793D78" w:rsidRDefault="001E1AF1" w:rsidP="00D26E6B">
            <w:pPr>
              <w:rPr>
                <w:szCs w:val="20"/>
              </w:rPr>
            </w:pPr>
            <w:r>
              <w:rPr>
                <w:szCs w:val="20"/>
              </w:rPr>
              <w:t>Celková cenová hladina měřená deflátorem HDP se ve 3. čtvrtletí meziročně zvýšila o 7,4 %. Jde o znatelný propad tempa ve srovnání s předchozími dvěma kvartály, kdy cenová hladina vzrostla o více než desetinu. Deflátor výdajů na spotřebu ukázal na meziroční nárůst o 6,9 %, přičemž statky, které spotřebovávaly domácnosti, byly dražší o 7,4 % a vládní spotřeba o 6,0 %. Cenová hladina u kapitálových výdajů meziročně vzrostla o 0,7 %, z toho samotné investiční statky zdražily o 4,2 %. Meziroční směnné relace dosáhly 103,7 %. Výrazně pozitivní byly směnné relace zahraničního obchodu se zbožím (3,8 %) i službami (2,8 %). Mezičtvrtletně se celková cenová hladina zvýšila o 0,8 %, z toho přírůstek u spotřebních statků dosáhl 0,8 %, u výdajů na tvorbu hrubého kapitálu 0,6 % a mezičtvrtletní směnné relace dosáhly 100,2 %.</w:t>
            </w:r>
          </w:p>
        </w:tc>
      </w:tr>
      <w:tr w:rsidR="001E1AF1" w:rsidRPr="009110F7" w14:paraId="0B992DF2" w14:textId="77777777" w:rsidTr="08AB0269">
        <w:trPr>
          <w:trHeight w:val="145"/>
        </w:trPr>
        <w:tc>
          <w:tcPr>
            <w:tcW w:w="1804" w:type="dxa"/>
            <w:shd w:val="clear" w:color="auto" w:fill="auto"/>
            <w:tcMar>
              <w:left w:w="0" w:type="dxa"/>
            </w:tcMar>
          </w:tcPr>
          <w:p w14:paraId="43D9B885" w14:textId="77777777" w:rsidR="001E1AF1" w:rsidRPr="00793D78" w:rsidRDefault="001E1AF1" w:rsidP="00D26E6B">
            <w:pPr>
              <w:pStyle w:val="Marginlie"/>
              <w:rPr>
                <w:spacing w:val="0"/>
              </w:rPr>
            </w:pPr>
            <w:r>
              <w:rPr>
                <w:spacing w:val="0"/>
              </w:rPr>
              <w:t>Meziroční růst spotřebitelských cen dál zpomaloval.</w:t>
            </w:r>
          </w:p>
        </w:tc>
        <w:tc>
          <w:tcPr>
            <w:tcW w:w="224" w:type="dxa"/>
            <w:shd w:val="clear" w:color="auto" w:fill="auto"/>
            <w:tcMar>
              <w:left w:w="0" w:type="dxa"/>
            </w:tcMar>
          </w:tcPr>
          <w:p w14:paraId="12888D34" w14:textId="77777777" w:rsidR="001E1AF1" w:rsidRPr="00793D78" w:rsidRDefault="001E1AF1" w:rsidP="00D26E6B">
            <w:pPr>
              <w:pStyle w:val="Textpoznpodarou1"/>
              <w:jc w:val="both"/>
              <w:rPr>
                <w:highlight w:val="yellow"/>
              </w:rPr>
            </w:pPr>
          </w:p>
        </w:tc>
        <w:tc>
          <w:tcPr>
            <w:tcW w:w="7611" w:type="dxa"/>
            <w:shd w:val="clear" w:color="auto" w:fill="auto"/>
            <w:tcMar>
              <w:left w:w="0" w:type="dxa"/>
            </w:tcMar>
          </w:tcPr>
          <w:p w14:paraId="1B9DB0ED" w14:textId="77777777" w:rsidR="001E1AF1" w:rsidRPr="000316FC" w:rsidRDefault="001E1AF1" w:rsidP="00D26E6B">
            <w:r>
              <w:t>Index spotřebitelských cen ve 3. čtvrtletí 2023 meziročně vzrostl o 8,0 %. Šlo o další zpomalení tempa a nejmírnější přírůstek od 4. čtvrtletí 2021. Zmírnění meziroční dynamiky opět nejvíce ovlivňoval vývoj cen potravin a nealkoholických nápojů a bydlení, vody, energie a paliv. Ve srovnání s 2. čtvrtletím se ale zmírnilo také proinflační působení cen bytového vybavení a zařízení domácnosti a oprav, rekreací a kultury, stravování a ubytování nebo ostatního zboží a služeb</w:t>
            </w:r>
            <w:r>
              <w:rPr>
                <w:rStyle w:val="Znakapoznpodarou"/>
              </w:rPr>
              <w:footnoteReference w:id="62"/>
            </w:r>
            <w:r>
              <w:t>. K celkovému meziročnímu růstu spotřebitelských cen nadále nejvíce přispívalo bydlení a energie, potraviny a nealkoholické nápoje, rekreace a kultura a stravování a ubytování. Ve směru meziročního poklesu působily jen ceny dopravy. Ceny zboží meziročně vzrostly úhrnem o 8,6 % a služeb o 7,1 %. Mezičtvrtletně se spotřebitelské ceny ve 3. kvartálu zvýšily o 0,7 %, což představuje mírné posílení tempa.</w:t>
            </w:r>
          </w:p>
        </w:tc>
      </w:tr>
      <w:tr w:rsidR="001E1AF1" w:rsidRPr="009110F7" w14:paraId="6E914512" w14:textId="77777777" w:rsidTr="08AB0269">
        <w:trPr>
          <w:trHeight w:val="170"/>
        </w:trPr>
        <w:tc>
          <w:tcPr>
            <w:tcW w:w="1804" w:type="dxa"/>
            <w:vMerge w:val="restart"/>
            <w:shd w:val="clear" w:color="auto" w:fill="auto"/>
            <w:tcMar>
              <w:left w:w="0" w:type="dxa"/>
            </w:tcMar>
          </w:tcPr>
          <w:p w14:paraId="0E845916" w14:textId="77777777" w:rsidR="001E1AF1" w:rsidRDefault="001E1AF1" w:rsidP="00D26E6B">
            <w:pPr>
              <w:pStyle w:val="Marginlie"/>
              <w:rPr>
                <w:spacing w:val="0"/>
              </w:rPr>
            </w:pPr>
          </w:p>
        </w:tc>
        <w:tc>
          <w:tcPr>
            <w:tcW w:w="224" w:type="dxa"/>
            <w:vMerge w:val="restart"/>
            <w:shd w:val="clear" w:color="auto" w:fill="auto"/>
            <w:tcMar>
              <w:left w:w="0" w:type="dxa"/>
            </w:tcMar>
          </w:tcPr>
          <w:p w14:paraId="065A4F01" w14:textId="77777777" w:rsidR="001E1AF1" w:rsidRPr="00793D78" w:rsidRDefault="001E1AF1" w:rsidP="00D26E6B">
            <w:pPr>
              <w:pStyle w:val="Textpoznpodarou1"/>
              <w:jc w:val="both"/>
            </w:pPr>
          </w:p>
        </w:tc>
        <w:tc>
          <w:tcPr>
            <w:tcW w:w="7611" w:type="dxa"/>
            <w:shd w:val="clear" w:color="auto" w:fill="auto"/>
            <w:tcMar>
              <w:left w:w="0" w:type="dxa"/>
            </w:tcMar>
          </w:tcPr>
          <w:p w14:paraId="51957AB5" w14:textId="77777777" w:rsidR="001E1AF1" w:rsidRDefault="001E1AF1" w:rsidP="00D26E6B">
            <w:pPr>
              <w:spacing w:after="0"/>
            </w:pPr>
            <w:r w:rsidRPr="00793D78">
              <w:rPr>
                <w:rFonts w:cs="Arial"/>
                <w:b/>
                <w:bCs/>
                <w:color w:val="000000"/>
                <w:sz w:val="18"/>
                <w:szCs w:val="18"/>
              </w:rPr>
              <w:t xml:space="preserve">Graf </w:t>
            </w:r>
            <w:r>
              <w:rPr>
                <w:rFonts w:cs="Arial"/>
                <w:b/>
                <w:bCs/>
                <w:color w:val="000000"/>
                <w:sz w:val="18"/>
                <w:szCs w:val="18"/>
              </w:rPr>
              <w:t xml:space="preserve">č. 10 </w:t>
            </w:r>
            <w:r w:rsidRPr="00793D78">
              <w:rPr>
                <w:rFonts w:cs="Arial"/>
                <w:b/>
                <w:bCs/>
                <w:color w:val="000000"/>
                <w:sz w:val="18"/>
                <w:szCs w:val="18"/>
              </w:rPr>
              <w:t>Ceny ve vybraných oddílech indexu spotřebitelských cen</w:t>
            </w:r>
            <w:r w:rsidRPr="00793D78">
              <w:rPr>
                <w:rFonts w:cs="Arial"/>
                <w:b/>
                <w:color w:val="000000"/>
                <w:sz w:val="18"/>
                <w:szCs w:val="18"/>
              </w:rPr>
              <w:t xml:space="preserve"> </w:t>
            </w:r>
            <w:r w:rsidRPr="009067EA">
              <w:rPr>
                <w:rFonts w:cs="Arial"/>
                <w:color w:val="000000"/>
                <w:sz w:val="18"/>
                <w:szCs w:val="18"/>
              </w:rPr>
              <w:t>(meziročně v %)</w:t>
            </w:r>
          </w:p>
        </w:tc>
      </w:tr>
      <w:tr w:rsidR="001E1AF1" w:rsidRPr="009110F7" w14:paraId="06FA6695" w14:textId="77777777" w:rsidTr="08AB0269">
        <w:tblPrEx>
          <w:tblCellMar>
            <w:left w:w="70" w:type="dxa"/>
            <w:right w:w="70" w:type="dxa"/>
          </w:tblCellMar>
        </w:tblPrEx>
        <w:trPr>
          <w:trHeight w:val="170"/>
        </w:trPr>
        <w:tc>
          <w:tcPr>
            <w:tcW w:w="1804" w:type="dxa"/>
            <w:vMerge/>
          </w:tcPr>
          <w:p w14:paraId="5613C324" w14:textId="77777777" w:rsidR="001E1AF1" w:rsidRDefault="001E1AF1" w:rsidP="00D26E6B">
            <w:pPr>
              <w:pStyle w:val="Marginlie"/>
              <w:rPr>
                <w:spacing w:val="0"/>
              </w:rPr>
            </w:pPr>
          </w:p>
        </w:tc>
        <w:tc>
          <w:tcPr>
            <w:tcW w:w="224" w:type="dxa"/>
            <w:vMerge/>
          </w:tcPr>
          <w:p w14:paraId="4F3222CE" w14:textId="77777777" w:rsidR="001E1AF1" w:rsidRPr="00793D78" w:rsidRDefault="001E1AF1" w:rsidP="00D26E6B">
            <w:pPr>
              <w:pStyle w:val="Textpoznpodarou1"/>
              <w:jc w:val="both"/>
            </w:pPr>
          </w:p>
        </w:tc>
        <w:tc>
          <w:tcPr>
            <w:tcW w:w="7611" w:type="dxa"/>
            <w:shd w:val="clear" w:color="auto" w:fill="auto"/>
          </w:tcPr>
          <w:p w14:paraId="516E13CC" w14:textId="77777777" w:rsidR="001E1AF1" w:rsidRDefault="001E1AF1" w:rsidP="00D26E6B">
            <w:pPr>
              <w:spacing w:after="0"/>
            </w:pPr>
            <w:r>
              <w:rPr>
                <w:noProof/>
              </w:rPr>
              <w:drawing>
                <wp:inline distT="0" distB="0" distL="0" distR="0" wp14:anchorId="29005251" wp14:editId="0C62C804">
                  <wp:extent cx="4737600" cy="3553200"/>
                  <wp:effectExtent l="0" t="0" r="6350" b="0"/>
                  <wp:docPr id="8" name="Graf 8">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1E1AF1" w:rsidRPr="009110F7" w14:paraId="728E36C2" w14:textId="77777777" w:rsidTr="08AB0269">
        <w:trPr>
          <w:trHeight w:val="170"/>
        </w:trPr>
        <w:tc>
          <w:tcPr>
            <w:tcW w:w="1804" w:type="dxa"/>
            <w:vMerge/>
            <w:tcMar>
              <w:left w:w="0" w:type="dxa"/>
            </w:tcMar>
          </w:tcPr>
          <w:p w14:paraId="4F3E2411" w14:textId="77777777" w:rsidR="001E1AF1" w:rsidRDefault="001E1AF1" w:rsidP="00D26E6B">
            <w:pPr>
              <w:pStyle w:val="Marginlie"/>
              <w:rPr>
                <w:spacing w:val="0"/>
              </w:rPr>
            </w:pPr>
          </w:p>
        </w:tc>
        <w:tc>
          <w:tcPr>
            <w:tcW w:w="224" w:type="dxa"/>
            <w:vMerge/>
            <w:tcMar>
              <w:left w:w="0" w:type="dxa"/>
            </w:tcMar>
          </w:tcPr>
          <w:p w14:paraId="1DFA7406" w14:textId="77777777" w:rsidR="001E1AF1" w:rsidRPr="00793D78" w:rsidRDefault="001E1AF1" w:rsidP="00D26E6B">
            <w:pPr>
              <w:pStyle w:val="Textpoznpodarou1"/>
              <w:jc w:val="both"/>
            </w:pPr>
          </w:p>
        </w:tc>
        <w:tc>
          <w:tcPr>
            <w:tcW w:w="7611" w:type="dxa"/>
            <w:shd w:val="clear" w:color="auto" w:fill="auto"/>
            <w:tcMar>
              <w:left w:w="0" w:type="dxa"/>
            </w:tcMar>
          </w:tcPr>
          <w:p w14:paraId="2C41C779" w14:textId="77777777" w:rsidR="001E1AF1" w:rsidRDefault="001E1AF1" w:rsidP="00D26E6B">
            <w:r w:rsidRPr="00793D78">
              <w:rPr>
                <w:sz w:val="14"/>
                <w:szCs w:val="14"/>
              </w:rPr>
              <w:t>Zdroj: ČSÚ</w:t>
            </w:r>
          </w:p>
        </w:tc>
      </w:tr>
      <w:tr w:rsidR="001E1AF1" w:rsidRPr="009110F7" w14:paraId="3A04266E" w14:textId="77777777" w:rsidTr="08AB0269">
        <w:trPr>
          <w:trHeight w:val="145"/>
        </w:trPr>
        <w:tc>
          <w:tcPr>
            <w:tcW w:w="1804" w:type="dxa"/>
            <w:shd w:val="clear" w:color="auto" w:fill="auto"/>
            <w:tcMar>
              <w:left w:w="0" w:type="dxa"/>
            </w:tcMar>
          </w:tcPr>
          <w:p w14:paraId="54D7AD75" w14:textId="77777777" w:rsidR="001E1AF1" w:rsidRDefault="001E1AF1" w:rsidP="00D26E6B">
            <w:pPr>
              <w:pStyle w:val="Marginlie"/>
              <w:rPr>
                <w:spacing w:val="0"/>
              </w:rPr>
            </w:pPr>
            <w:r>
              <w:rPr>
                <w:spacing w:val="0"/>
              </w:rPr>
              <w:t xml:space="preserve">Růst cen bydlení </w:t>
            </w:r>
            <w:r>
              <w:rPr>
                <w:spacing w:val="0"/>
              </w:rPr>
              <w:br/>
              <w:t>a energií zpomalil pod vlivem mírnějšího navýšení cen energií.</w:t>
            </w:r>
          </w:p>
        </w:tc>
        <w:tc>
          <w:tcPr>
            <w:tcW w:w="224" w:type="dxa"/>
            <w:shd w:val="clear" w:color="auto" w:fill="auto"/>
            <w:tcMar>
              <w:left w:w="0" w:type="dxa"/>
            </w:tcMar>
          </w:tcPr>
          <w:p w14:paraId="71263A71" w14:textId="77777777" w:rsidR="001E1AF1" w:rsidRPr="00793D78" w:rsidRDefault="001E1AF1" w:rsidP="00D26E6B">
            <w:pPr>
              <w:pStyle w:val="Textpoznpodarou1"/>
              <w:jc w:val="both"/>
            </w:pPr>
          </w:p>
        </w:tc>
        <w:tc>
          <w:tcPr>
            <w:tcW w:w="7611" w:type="dxa"/>
            <w:shd w:val="clear" w:color="auto" w:fill="auto"/>
            <w:tcMar>
              <w:left w:w="0" w:type="dxa"/>
            </w:tcMar>
          </w:tcPr>
          <w:p w14:paraId="629CF231" w14:textId="77777777" w:rsidR="001E1AF1" w:rsidRDefault="001E1AF1" w:rsidP="00D26E6B">
            <w:r>
              <w:t xml:space="preserve">Meziroční růst cen bydlení a energií ve 3. čtvrtletí zpomalil na 11,6 %. Hlavním důvodem byla vysoká srovnávací základna loňského roku. Nejvíce ke zpomalení přispělo zmírnění meziročního navýšení cen elektrické a tepelné energie, plynu a paliv </w:t>
            </w:r>
            <w:r>
              <w:lastRenderedPageBreak/>
              <w:t>na 24,7 %. Mírnější byl i růst nákladů na běžnou údržbu a drobné opravy bytu (8,2 %) i imputovaného nájemného</w:t>
            </w:r>
            <w:r>
              <w:rPr>
                <w:rStyle w:val="Znakapoznpodarou"/>
              </w:rPr>
              <w:footnoteReference w:id="63"/>
            </w:r>
            <w:r>
              <w:t xml:space="preserve"> (0,4 %). Ceny ostatních služeb souvisejících s bydlením si udržovaly stabilně silné tempo růstu (15,3 %). Posílil meziroční růst cen nájemného z bytu (7,7 %). Ceny bydlení a energií ve 3. kvartálu mezičtvrtletně vzrostly o 0,4 %.</w:t>
            </w:r>
          </w:p>
        </w:tc>
      </w:tr>
      <w:tr w:rsidR="001E1AF1" w:rsidRPr="009110F7" w14:paraId="05C700BA" w14:textId="77777777" w:rsidTr="08AB0269">
        <w:trPr>
          <w:trHeight w:val="145"/>
        </w:trPr>
        <w:tc>
          <w:tcPr>
            <w:tcW w:w="1804" w:type="dxa"/>
            <w:shd w:val="clear" w:color="auto" w:fill="auto"/>
            <w:tcMar>
              <w:left w:w="0" w:type="dxa"/>
            </w:tcMar>
          </w:tcPr>
          <w:p w14:paraId="4C4321A0" w14:textId="77777777" w:rsidR="001E1AF1" w:rsidRDefault="001E1AF1" w:rsidP="00D26E6B">
            <w:pPr>
              <w:pStyle w:val="Marginlie"/>
              <w:rPr>
                <w:spacing w:val="0"/>
              </w:rPr>
            </w:pPr>
            <w:r>
              <w:rPr>
                <w:spacing w:val="0"/>
              </w:rPr>
              <w:lastRenderedPageBreak/>
              <w:t xml:space="preserve">Růst cen potravin </w:t>
            </w:r>
            <w:r>
              <w:rPr>
                <w:spacing w:val="0"/>
              </w:rPr>
              <w:br/>
              <w:t>a nealkoholických nápojů výrazně zbrzdil.</w:t>
            </w:r>
          </w:p>
        </w:tc>
        <w:tc>
          <w:tcPr>
            <w:tcW w:w="224" w:type="dxa"/>
            <w:shd w:val="clear" w:color="auto" w:fill="auto"/>
            <w:tcMar>
              <w:left w:w="0" w:type="dxa"/>
            </w:tcMar>
          </w:tcPr>
          <w:p w14:paraId="466DE4E5" w14:textId="77777777" w:rsidR="001E1AF1" w:rsidRPr="00793D78" w:rsidRDefault="001E1AF1" w:rsidP="00D26E6B">
            <w:pPr>
              <w:pStyle w:val="Textpoznpodarou1"/>
              <w:jc w:val="both"/>
            </w:pPr>
          </w:p>
        </w:tc>
        <w:tc>
          <w:tcPr>
            <w:tcW w:w="7611" w:type="dxa"/>
            <w:shd w:val="clear" w:color="auto" w:fill="auto"/>
            <w:tcMar>
              <w:left w:w="0" w:type="dxa"/>
            </w:tcMar>
          </w:tcPr>
          <w:p w14:paraId="00F30301" w14:textId="483E8FE5" w:rsidR="001E1AF1" w:rsidRDefault="001E1AF1" w:rsidP="008B02E7">
            <w:r>
              <w:t>Ceny potravin a nealkoholických nápojů ve 3. čtvrtletí meziročně vzrostly o 7,8 %. Tempo tak opět výrazně zpomalilo. Znatelně též zpomalil meziroční přírůstek cen mléka, sýrů a vajec (ze 17,4 % na 4,0 %) a masa (z 8,6 % na 2,5 %). Mírnější, ale stále vysoký byl růst cen cukru, marmelády, medu, čokolády, cukrovinek a cukrářských výrobků (15,8 %), ostatních potravinářských výrobků (12,2 %), pekárenských výrobků a obilovin (10,4 %) a ovoce (9,0 %). Do výrazného meziročního poklesu se dostaly ceny olejů a tuků (−10,8 %). Dál mírně posílil předtím vysoký meziroční růst cen zeleniny (24,6 %). Ceny potravin a nealkoholických nápojů mezičtvrtletně klesly o</w:t>
            </w:r>
            <w:r w:rsidR="008B02E7">
              <w:t> </w:t>
            </w:r>
            <w:r>
              <w:t>1,6 %. Stabilně silný příspěvek k meziročnímu růstu cen mají ceny alkoholických nápojů a tabáku, jejichž dynamika ve 3. čtvrtletí posílila na 7,2 %. Mezičtvrtletně se ceny alkoholických nápojů a tabáku zvýšily o 1,8 %.</w:t>
            </w:r>
          </w:p>
        </w:tc>
      </w:tr>
      <w:tr w:rsidR="001E1AF1" w:rsidRPr="009110F7" w14:paraId="268CC72A" w14:textId="77777777" w:rsidTr="08AB0269">
        <w:trPr>
          <w:trHeight w:val="145"/>
        </w:trPr>
        <w:tc>
          <w:tcPr>
            <w:tcW w:w="1804" w:type="dxa"/>
            <w:shd w:val="clear" w:color="auto" w:fill="auto"/>
            <w:tcMar>
              <w:left w:w="0" w:type="dxa"/>
            </w:tcMar>
          </w:tcPr>
          <w:p w14:paraId="3E739E5D" w14:textId="77777777" w:rsidR="001E1AF1" w:rsidRDefault="001E1AF1" w:rsidP="00D26E6B">
            <w:pPr>
              <w:pStyle w:val="Marginlie"/>
              <w:rPr>
                <w:spacing w:val="0"/>
              </w:rPr>
            </w:pPr>
            <w:r>
              <w:rPr>
                <w:spacing w:val="0"/>
              </w:rPr>
              <w:t>Postupně zpomaluje meziroční růst cen služeb.</w:t>
            </w:r>
          </w:p>
        </w:tc>
        <w:tc>
          <w:tcPr>
            <w:tcW w:w="224" w:type="dxa"/>
            <w:shd w:val="clear" w:color="auto" w:fill="auto"/>
            <w:tcMar>
              <w:left w:w="0" w:type="dxa"/>
            </w:tcMar>
          </w:tcPr>
          <w:p w14:paraId="748F1CFF" w14:textId="77777777" w:rsidR="001E1AF1" w:rsidRPr="00793D78" w:rsidRDefault="001E1AF1" w:rsidP="00D26E6B">
            <w:pPr>
              <w:pStyle w:val="Textpoznpodarou1"/>
              <w:jc w:val="both"/>
            </w:pPr>
          </w:p>
        </w:tc>
        <w:tc>
          <w:tcPr>
            <w:tcW w:w="7611" w:type="dxa"/>
            <w:shd w:val="clear" w:color="auto" w:fill="auto"/>
            <w:tcMar>
              <w:left w:w="0" w:type="dxa"/>
            </w:tcMar>
          </w:tcPr>
          <w:p w14:paraId="315860F8" w14:textId="77777777" w:rsidR="001E1AF1" w:rsidRDefault="001E1AF1" w:rsidP="00D26E6B">
            <w:r>
              <w:t xml:space="preserve">Ve 3. čtvrtletí zmírnil meziroční růst cen stravování a ubytování na 11,6 %, a to pod vlivem vývoje u stravovacích (11,5 %) i ubytovacích služeb (13,0 %). Mezičtvrtletně se ceny stravování a ubytování zvýšily o 1,8 %. Podobně zmírnila meziroční dynamika u cen rekreací a kultury (9,7 %). Méně zdražovaly dovolené s komplexními službami (13,5 %) i ostatní rekreační vybavení; květiny, zahrady a domácí zvířata (9,4 %). Mezičtvrtletně rekreace a kultura zdražily o výrazných 5,2 %. Ceny ostatního zboží a služeb se meziročně zvýšily o 8,0 % a mezičtvrtletně stagnovaly (−0,1 %). Ceny vzdělávání meziročně vzrostly o 7,0 % a mezičtvrtletně o 2,0 %. Ceny zdraví byly meziročně vyšší o 8,9 % a mezičtvrtletně o 1,0 %. Ceny pošt a telekomunikací byly meziročně vyšší o 4,7 % (posílil zejména růst cen poštovních služeb na 21,3 %) a mezičtvrtletně vzrostly o 1,2 %. </w:t>
            </w:r>
          </w:p>
        </w:tc>
      </w:tr>
      <w:tr w:rsidR="001E1AF1" w:rsidRPr="009110F7" w14:paraId="352C9734" w14:textId="77777777" w:rsidTr="08AB0269">
        <w:trPr>
          <w:trHeight w:val="145"/>
        </w:trPr>
        <w:tc>
          <w:tcPr>
            <w:tcW w:w="1804" w:type="dxa"/>
            <w:shd w:val="clear" w:color="auto" w:fill="auto"/>
            <w:tcMar>
              <w:left w:w="0" w:type="dxa"/>
            </w:tcMar>
          </w:tcPr>
          <w:p w14:paraId="01C14B29" w14:textId="77777777" w:rsidR="001E1AF1" w:rsidRDefault="001E1AF1" w:rsidP="00D26E6B">
            <w:pPr>
              <w:pStyle w:val="Marginlie"/>
              <w:rPr>
                <w:spacing w:val="0"/>
              </w:rPr>
            </w:pPr>
            <w:r>
              <w:rPr>
                <w:spacing w:val="0"/>
              </w:rPr>
              <w:t>Ceny odívání a obuvi nadále silně rostly.</w:t>
            </w:r>
          </w:p>
        </w:tc>
        <w:tc>
          <w:tcPr>
            <w:tcW w:w="224" w:type="dxa"/>
            <w:shd w:val="clear" w:color="auto" w:fill="auto"/>
            <w:tcMar>
              <w:left w:w="0" w:type="dxa"/>
            </w:tcMar>
          </w:tcPr>
          <w:p w14:paraId="6F6D2082" w14:textId="77777777" w:rsidR="001E1AF1" w:rsidRPr="00793D78" w:rsidRDefault="001E1AF1" w:rsidP="00D26E6B">
            <w:pPr>
              <w:pStyle w:val="Textpoznpodarou1"/>
              <w:jc w:val="both"/>
            </w:pPr>
          </w:p>
        </w:tc>
        <w:tc>
          <w:tcPr>
            <w:tcW w:w="7611" w:type="dxa"/>
            <w:shd w:val="clear" w:color="auto" w:fill="auto"/>
            <w:tcMar>
              <w:left w:w="0" w:type="dxa"/>
            </w:tcMar>
          </w:tcPr>
          <w:p w14:paraId="48851968" w14:textId="77777777" w:rsidR="001E1AF1" w:rsidRDefault="001E1AF1" w:rsidP="00D26E6B">
            <w:r>
              <w:t xml:space="preserve">Ve 3. čtvrtletí se od sebe odchýlil vývoj cen odívání a obuvi a bytového vybavení a zařízení domácnosti a oprav. V minulých letech pod vlivem zdražení dopravy i materiálů a také pod tlakem rostoucí </w:t>
            </w:r>
            <w:proofErr w:type="spellStart"/>
            <w:r>
              <w:t>postpandemické</w:t>
            </w:r>
            <w:proofErr w:type="spellEnd"/>
            <w:r>
              <w:t xml:space="preserve"> poptávky značně posilovaly ceny v obou oddílech. Zatímco ceny oděvů a obuvi ve 3. čtvrtletí dál silně meziročně rostly (10,4 %) a mezičtvrtletně se zvýšily o 0,3 %, přírůstek cen bytového vybavení </w:t>
            </w:r>
            <w:r>
              <w:br/>
              <w:t>a zařízení a oprav oslabil na 5,2 % a mezičtvrtletně zde došlo k poklesu o 1,0 %.</w:t>
            </w:r>
          </w:p>
        </w:tc>
      </w:tr>
      <w:tr w:rsidR="001E1AF1" w:rsidRPr="009110F7" w14:paraId="2A393105" w14:textId="77777777" w:rsidTr="08AB0269">
        <w:trPr>
          <w:trHeight w:val="145"/>
        </w:trPr>
        <w:tc>
          <w:tcPr>
            <w:tcW w:w="1804" w:type="dxa"/>
            <w:shd w:val="clear" w:color="auto" w:fill="auto"/>
            <w:tcMar>
              <w:left w:w="0" w:type="dxa"/>
            </w:tcMar>
          </w:tcPr>
          <w:p w14:paraId="0AB1795D" w14:textId="77777777" w:rsidR="001E1AF1" w:rsidRDefault="001E1AF1" w:rsidP="00D26E6B">
            <w:pPr>
              <w:pStyle w:val="Marginlie"/>
              <w:rPr>
                <w:spacing w:val="0"/>
              </w:rPr>
            </w:pPr>
            <w:r>
              <w:rPr>
                <w:spacing w:val="0"/>
              </w:rPr>
              <w:t>Jediným oddílem spotřebitelského koše, kde ceny klesaly, byla doprava.</w:t>
            </w:r>
          </w:p>
        </w:tc>
        <w:tc>
          <w:tcPr>
            <w:tcW w:w="224" w:type="dxa"/>
            <w:shd w:val="clear" w:color="auto" w:fill="auto"/>
            <w:tcMar>
              <w:left w:w="0" w:type="dxa"/>
            </w:tcMar>
          </w:tcPr>
          <w:p w14:paraId="5589A599" w14:textId="77777777" w:rsidR="001E1AF1" w:rsidRPr="00793D78" w:rsidRDefault="001E1AF1" w:rsidP="00D26E6B">
            <w:pPr>
              <w:pStyle w:val="Textpoznpodarou1"/>
              <w:jc w:val="both"/>
            </w:pPr>
          </w:p>
        </w:tc>
        <w:tc>
          <w:tcPr>
            <w:tcW w:w="7611" w:type="dxa"/>
            <w:shd w:val="clear" w:color="auto" w:fill="auto"/>
            <w:tcMar>
              <w:left w:w="0" w:type="dxa"/>
            </w:tcMar>
          </w:tcPr>
          <w:p w14:paraId="1CA2BCFF" w14:textId="77777777" w:rsidR="001E1AF1" w:rsidRDefault="001E1AF1" w:rsidP="00D26E6B">
            <w:r>
              <w:t xml:space="preserve">Ceny dopravy byly ve 3. čtvrtletí meziročně nižší o 2,4 % a pokles se tak zmírnil. Důvodem byl zejména méně výrazný propad nákladů na provoz osobních dopravních prostředků (4,7 %). Mírnější byl meziroční růst cen dopravních služeb (9,7 %). Do meziročního poklesu se dostaly ceny nákupů automobilů, motocyklů a jízdních kol (−2,3 %). Ceny dopravy mezičtvrtletně vzrostly o 2,0 % </w:t>
            </w:r>
          </w:p>
        </w:tc>
      </w:tr>
      <w:tr w:rsidR="001E1AF1" w:rsidRPr="009110F7" w14:paraId="6538D227" w14:textId="77777777" w:rsidTr="08AB0269">
        <w:trPr>
          <w:trHeight w:val="145"/>
        </w:trPr>
        <w:tc>
          <w:tcPr>
            <w:tcW w:w="1804" w:type="dxa"/>
            <w:shd w:val="clear" w:color="auto" w:fill="auto"/>
            <w:tcMar>
              <w:left w:w="0" w:type="dxa"/>
            </w:tcMar>
          </w:tcPr>
          <w:p w14:paraId="6F1A5100" w14:textId="77777777" w:rsidR="001E1AF1" w:rsidRDefault="001E1AF1" w:rsidP="00D26E6B">
            <w:pPr>
              <w:pStyle w:val="Marginlie"/>
              <w:rPr>
                <w:spacing w:val="0"/>
              </w:rPr>
            </w:pPr>
            <w:r>
              <w:rPr>
                <w:spacing w:val="0"/>
              </w:rPr>
              <w:t>Růst spotřebitelských cen v EU zpomalil.</w:t>
            </w:r>
          </w:p>
        </w:tc>
        <w:tc>
          <w:tcPr>
            <w:tcW w:w="224" w:type="dxa"/>
            <w:shd w:val="clear" w:color="auto" w:fill="auto"/>
            <w:tcMar>
              <w:left w:w="0" w:type="dxa"/>
            </w:tcMar>
          </w:tcPr>
          <w:p w14:paraId="5FA25214" w14:textId="77777777" w:rsidR="001E1AF1" w:rsidRPr="00793D78" w:rsidRDefault="001E1AF1" w:rsidP="00D26E6B">
            <w:pPr>
              <w:pStyle w:val="Textpoznpodarou1"/>
              <w:jc w:val="both"/>
            </w:pPr>
          </w:p>
        </w:tc>
        <w:tc>
          <w:tcPr>
            <w:tcW w:w="7611" w:type="dxa"/>
            <w:shd w:val="clear" w:color="auto" w:fill="auto"/>
            <w:tcMar>
              <w:left w:w="0" w:type="dxa"/>
            </w:tcMar>
          </w:tcPr>
          <w:p w14:paraId="7133A473" w14:textId="77777777" w:rsidR="001E1AF1" w:rsidRDefault="001E1AF1" w:rsidP="00D26E6B">
            <w:r>
              <w:t>Meziroční přírůstek harmonizovaného indexu spotřebitelských cen (HICP)</w:t>
            </w:r>
            <w:r>
              <w:rPr>
                <w:rStyle w:val="Znakapoznpodarou"/>
              </w:rPr>
              <w:footnoteReference w:id="64"/>
            </w:r>
            <w:r>
              <w:t xml:space="preserve"> v EU ve 3. čtvrtletí zpomalil na 5,7 %. Ke zpomalení přispěl zejména vývoj u cen potravin a nealkoholických nápojů (zpomalení na 10,8 %) a dále bydlení a energií (0,7 %). Mezičtvrtletně se spotřebitelské ceny v EU ve 3. čtvrtletí zvýšily o 0,6 %. Nejvíce přitom rostly ceny rekreací a kultury (2,8 %), stravování a ubytování (2,6 %) a dopravy (1,9 %). Mezičtvrtletně nižší byly v EU ceny oděvů a obuvi (−7,0 %), pošt a telekomunikací (−0,5 %) a shodně o 0,1 % klesly ceny potravin a nealkoholických nápojů a bydlení a energií. Nejsilnější meziroční přírůstek HICP ve 3. čtvrtletí vykázaly Maďarsko </w:t>
            </w:r>
            <w:r>
              <w:lastRenderedPageBreak/>
              <w:t xml:space="preserve">(14,6 %), Slovensko (9,6 %) a Česko (9,5 %). Nejmírněji rostly ceny v Belgii (1,6 %), Dánsku (2,0 %) a Španělsku (2,6 %). V případě mezičtvrtletního růstu HICP vedly žebříček Chorvatsko (2,5 %), Kypr (2,5 %) a Malta (2,0 %). Ceny se mezičtvrtletně snížily v Itálii (−0,7 %), Finsku (−0,3 %) a v Lotyšsku, Litvě a Polsku (shodně o 0,2 %).       </w:t>
            </w:r>
          </w:p>
        </w:tc>
      </w:tr>
      <w:tr w:rsidR="001E1AF1" w:rsidRPr="009110F7" w14:paraId="647C7D51" w14:textId="77777777" w:rsidTr="08AB0269">
        <w:trPr>
          <w:trHeight w:val="170"/>
        </w:trPr>
        <w:tc>
          <w:tcPr>
            <w:tcW w:w="1804" w:type="dxa"/>
            <w:vMerge w:val="restart"/>
            <w:shd w:val="clear" w:color="auto" w:fill="auto"/>
            <w:tcMar>
              <w:left w:w="0" w:type="dxa"/>
            </w:tcMar>
          </w:tcPr>
          <w:p w14:paraId="4FE2FE1B" w14:textId="77777777" w:rsidR="001E1AF1" w:rsidRDefault="001E1AF1" w:rsidP="00D26E6B">
            <w:pPr>
              <w:pStyle w:val="Marginlie"/>
              <w:rPr>
                <w:spacing w:val="0"/>
              </w:rPr>
            </w:pPr>
          </w:p>
        </w:tc>
        <w:tc>
          <w:tcPr>
            <w:tcW w:w="224" w:type="dxa"/>
            <w:vMerge w:val="restart"/>
            <w:shd w:val="clear" w:color="auto" w:fill="auto"/>
            <w:tcMar>
              <w:left w:w="0" w:type="dxa"/>
            </w:tcMar>
          </w:tcPr>
          <w:p w14:paraId="523B26C7" w14:textId="77777777" w:rsidR="001E1AF1" w:rsidRPr="00793D78" w:rsidRDefault="001E1AF1" w:rsidP="00D26E6B">
            <w:pPr>
              <w:pStyle w:val="Textpoznpodarou1"/>
              <w:jc w:val="both"/>
            </w:pPr>
          </w:p>
        </w:tc>
        <w:tc>
          <w:tcPr>
            <w:tcW w:w="7611" w:type="dxa"/>
            <w:shd w:val="clear" w:color="auto" w:fill="auto"/>
            <w:tcMar>
              <w:left w:w="0" w:type="dxa"/>
            </w:tcMar>
          </w:tcPr>
          <w:p w14:paraId="424B7962" w14:textId="77777777" w:rsidR="001E1AF1" w:rsidRDefault="001E1AF1" w:rsidP="00D26E6B">
            <w:pPr>
              <w:spacing w:after="0"/>
            </w:pPr>
            <w:r>
              <w:rPr>
                <w:b/>
                <w:sz w:val="18"/>
                <w:szCs w:val="18"/>
                <w:lang w:eastAsia="en-US"/>
              </w:rPr>
              <w:t>Graf č. 11</w:t>
            </w:r>
            <w:r w:rsidRPr="00793D78">
              <w:rPr>
                <w:b/>
                <w:sz w:val="18"/>
                <w:szCs w:val="18"/>
                <w:lang w:eastAsia="en-US"/>
              </w:rPr>
              <w:t xml:space="preserve"> Ceny nemovitostí </w:t>
            </w:r>
            <w:r w:rsidRPr="009067EA">
              <w:rPr>
                <w:sz w:val="18"/>
                <w:szCs w:val="18"/>
                <w:lang w:eastAsia="en-US"/>
              </w:rPr>
              <w:t>(meziroční změna, v %)</w:t>
            </w:r>
          </w:p>
        </w:tc>
      </w:tr>
      <w:tr w:rsidR="001E1AF1" w:rsidRPr="009110F7" w14:paraId="7C0A616A" w14:textId="77777777" w:rsidTr="08AB0269">
        <w:tblPrEx>
          <w:tblCellMar>
            <w:left w:w="70" w:type="dxa"/>
            <w:right w:w="70" w:type="dxa"/>
          </w:tblCellMar>
        </w:tblPrEx>
        <w:trPr>
          <w:trHeight w:val="170"/>
        </w:trPr>
        <w:tc>
          <w:tcPr>
            <w:tcW w:w="1804" w:type="dxa"/>
            <w:vMerge/>
          </w:tcPr>
          <w:p w14:paraId="16E068AA" w14:textId="77777777" w:rsidR="001E1AF1" w:rsidRDefault="001E1AF1" w:rsidP="00D26E6B">
            <w:pPr>
              <w:pStyle w:val="Marginlie"/>
              <w:rPr>
                <w:spacing w:val="0"/>
              </w:rPr>
            </w:pPr>
          </w:p>
        </w:tc>
        <w:tc>
          <w:tcPr>
            <w:tcW w:w="224" w:type="dxa"/>
            <w:vMerge/>
          </w:tcPr>
          <w:p w14:paraId="3A1C0C3D" w14:textId="77777777" w:rsidR="001E1AF1" w:rsidRPr="00793D78" w:rsidRDefault="001E1AF1" w:rsidP="00D26E6B">
            <w:pPr>
              <w:pStyle w:val="Textpoznpodarou1"/>
              <w:jc w:val="both"/>
            </w:pPr>
          </w:p>
        </w:tc>
        <w:tc>
          <w:tcPr>
            <w:tcW w:w="7611" w:type="dxa"/>
            <w:shd w:val="clear" w:color="auto" w:fill="auto"/>
          </w:tcPr>
          <w:p w14:paraId="610E48C4" w14:textId="77777777" w:rsidR="001E1AF1" w:rsidRDefault="001E1AF1" w:rsidP="00D26E6B">
            <w:pPr>
              <w:spacing w:after="0"/>
            </w:pPr>
            <w:r>
              <w:rPr>
                <w:noProof/>
              </w:rPr>
              <w:drawing>
                <wp:inline distT="0" distB="0" distL="0" distR="0" wp14:anchorId="44A00C15" wp14:editId="4AFC582C">
                  <wp:extent cx="4737600" cy="3553200"/>
                  <wp:effectExtent l="0" t="0" r="6350" b="0"/>
                  <wp:docPr id="12" name="Graf 1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1E1AF1" w:rsidRPr="009110F7" w14:paraId="5023946A" w14:textId="77777777" w:rsidTr="08AB0269">
        <w:trPr>
          <w:trHeight w:val="170"/>
        </w:trPr>
        <w:tc>
          <w:tcPr>
            <w:tcW w:w="1804" w:type="dxa"/>
            <w:vMerge/>
            <w:tcMar>
              <w:left w:w="0" w:type="dxa"/>
            </w:tcMar>
          </w:tcPr>
          <w:p w14:paraId="35481406" w14:textId="77777777" w:rsidR="001E1AF1" w:rsidRDefault="001E1AF1" w:rsidP="00D26E6B">
            <w:pPr>
              <w:pStyle w:val="Marginlie"/>
              <w:rPr>
                <w:spacing w:val="0"/>
              </w:rPr>
            </w:pPr>
          </w:p>
        </w:tc>
        <w:tc>
          <w:tcPr>
            <w:tcW w:w="224" w:type="dxa"/>
            <w:vMerge/>
            <w:tcMar>
              <w:left w:w="0" w:type="dxa"/>
            </w:tcMar>
          </w:tcPr>
          <w:p w14:paraId="2934EF0A" w14:textId="77777777" w:rsidR="001E1AF1" w:rsidRPr="00793D78" w:rsidRDefault="001E1AF1" w:rsidP="00D26E6B">
            <w:pPr>
              <w:pStyle w:val="Textpoznpodarou1"/>
              <w:jc w:val="both"/>
            </w:pPr>
          </w:p>
        </w:tc>
        <w:tc>
          <w:tcPr>
            <w:tcW w:w="7611" w:type="dxa"/>
            <w:shd w:val="clear" w:color="auto" w:fill="auto"/>
            <w:tcMar>
              <w:left w:w="0" w:type="dxa"/>
            </w:tcMar>
          </w:tcPr>
          <w:p w14:paraId="6EC329B2" w14:textId="77777777" w:rsidR="001E1AF1" w:rsidRDefault="001E1AF1" w:rsidP="00D26E6B">
            <w:r w:rsidRPr="00793D78">
              <w:rPr>
                <w:sz w:val="14"/>
                <w:szCs w:val="14"/>
              </w:rPr>
              <w:t>Zdroj: ČSÚ</w:t>
            </w:r>
          </w:p>
        </w:tc>
      </w:tr>
      <w:tr w:rsidR="001E1AF1" w:rsidRPr="009110F7" w14:paraId="3C77AF8D" w14:textId="77777777" w:rsidTr="08AB0269">
        <w:trPr>
          <w:trHeight w:val="145"/>
        </w:trPr>
        <w:tc>
          <w:tcPr>
            <w:tcW w:w="1804" w:type="dxa"/>
            <w:shd w:val="clear" w:color="auto" w:fill="auto"/>
            <w:tcMar>
              <w:left w:w="0" w:type="dxa"/>
            </w:tcMar>
          </w:tcPr>
          <w:p w14:paraId="00017F01" w14:textId="77777777" w:rsidR="001E1AF1" w:rsidRDefault="001E1AF1" w:rsidP="00D26E6B">
            <w:pPr>
              <w:pStyle w:val="Marginlie"/>
              <w:rPr>
                <w:spacing w:val="0"/>
              </w:rPr>
            </w:pPr>
            <w:r>
              <w:rPr>
                <w:spacing w:val="0"/>
              </w:rPr>
              <w:t>Ceny bytů ve 3. čtvrtletí meziročně klesaly.</w:t>
            </w:r>
          </w:p>
        </w:tc>
        <w:tc>
          <w:tcPr>
            <w:tcW w:w="224" w:type="dxa"/>
            <w:shd w:val="clear" w:color="auto" w:fill="auto"/>
            <w:tcMar>
              <w:left w:w="0" w:type="dxa"/>
            </w:tcMar>
          </w:tcPr>
          <w:p w14:paraId="5471EA55" w14:textId="77777777" w:rsidR="001E1AF1" w:rsidRPr="00793D78" w:rsidRDefault="001E1AF1" w:rsidP="00D26E6B">
            <w:pPr>
              <w:pStyle w:val="Textpoznpodarou1"/>
              <w:jc w:val="both"/>
            </w:pPr>
          </w:p>
        </w:tc>
        <w:tc>
          <w:tcPr>
            <w:tcW w:w="7611" w:type="dxa"/>
            <w:shd w:val="clear" w:color="auto" w:fill="auto"/>
            <w:tcMar>
              <w:left w:w="0" w:type="dxa"/>
            </w:tcMar>
          </w:tcPr>
          <w:p w14:paraId="313795B9" w14:textId="32CD3A34" w:rsidR="001E1AF1" w:rsidRDefault="001E1AF1" w:rsidP="00D26E6B">
            <w:r>
              <w:t>Ve 3. čtvrtletí 2023 pokračoval pokles nabídkových cen bytů. Celkově v ČR klesly nabídkové ceny mezičtvrtletně o 0,3 % a meziročně o 3,3 %. Meziroční pokles nabídkových cen byl hlubší v případě bytů mimo Prahu (−5,2 %), kde také pokračovalo mezičtvrtletní snižování (−0,6 %). V Praze se nabídkové ceny bytů meziročně snížily o 1,6 % a šlo o jejich první meziroční pokles od 1. čtvrtletí 2012. Mezičtvrtletně ale nabídkové ceny bytů v Praze stagnovaly. Realizované ceny starších bytů v posledních čtvrtletích klesají výrazněji než ty nabídkové a ani ve 3. čtvrtletí 2023 se to nezměnilo. Meziroční pokles realizovaných cen starších bytů v ČR se prohloubil na 7,0 % a mezičtvrtletně ceny klesly o 0,3 %. Ceny starších bytů mimo Prahu se meziročně propadly o 7,4 % a mezičtvrtletně o 0,6 %. V Praze trval meziroční pokles realizovaných cen starších bytů (−5,3 %), mezičtvrtletně ale došlo k nárůstu o 0,8 %. Po čtyřech kvartálech mezičtvrtletních poklesů ve 3. čtvrtletí mírně vzrostly realizované ceny nových bytů v Praze (0,3 %), m</w:t>
            </w:r>
            <w:r w:rsidR="00E47C5D">
              <w:t>eziročně ale stále zaostávaly (−</w:t>
            </w:r>
            <w:r>
              <w:t xml:space="preserve">5,7 %).     </w:t>
            </w:r>
          </w:p>
        </w:tc>
      </w:tr>
      <w:tr w:rsidR="001E1AF1" w:rsidRPr="009110F7" w14:paraId="414CA65B" w14:textId="77777777" w:rsidTr="08AB0269">
        <w:trPr>
          <w:trHeight w:val="145"/>
        </w:trPr>
        <w:tc>
          <w:tcPr>
            <w:tcW w:w="1804" w:type="dxa"/>
            <w:shd w:val="clear" w:color="auto" w:fill="auto"/>
            <w:tcMar>
              <w:left w:w="0" w:type="dxa"/>
            </w:tcMar>
          </w:tcPr>
          <w:p w14:paraId="569689CA" w14:textId="77777777" w:rsidR="001E1AF1" w:rsidRDefault="001E1AF1" w:rsidP="00D26E6B">
            <w:pPr>
              <w:pStyle w:val="Marginlie"/>
              <w:rPr>
                <w:spacing w:val="0"/>
              </w:rPr>
            </w:pPr>
            <w:r>
              <w:rPr>
                <w:spacing w:val="0"/>
              </w:rPr>
              <w:t>Růst cen průmyslových výrobců opět zpomalil.</w:t>
            </w:r>
          </w:p>
        </w:tc>
        <w:tc>
          <w:tcPr>
            <w:tcW w:w="224" w:type="dxa"/>
            <w:shd w:val="clear" w:color="auto" w:fill="auto"/>
            <w:tcMar>
              <w:left w:w="0" w:type="dxa"/>
            </w:tcMar>
          </w:tcPr>
          <w:p w14:paraId="6830F4DB" w14:textId="77777777" w:rsidR="001E1AF1" w:rsidRPr="00793D78" w:rsidRDefault="001E1AF1" w:rsidP="00D26E6B">
            <w:pPr>
              <w:pStyle w:val="Textpoznpodarou1"/>
              <w:jc w:val="both"/>
            </w:pPr>
          </w:p>
        </w:tc>
        <w:tc>
          <w:tcPr>
            <w:tcW w:w="7611" w:type="dxa"/>
            <w:shd w:val="clear" w:color="auto" w:fill="auto"/>
            <w:tcMar>
              <w:left w:w="0" w:type="dxa"/>
            </w:tcMar>
          </w:tcPr>
          <w:p w14:paraId="392E53AB" w14:textId="77777777" w:rsidR="001E1AF1" w:rsidRDefault="001E1AF1" w:rsidP="00D26E6B">
            <w:r>
              <w:t>Meziroční růst cen průmyslových výrobců se ve 3. čtvrtletí dál zmírnil na 1,3 %. Mezičtvrtletně se ceny průmyslových výrobců snížily o 0,4 %. Hlavní podíl na meziročním zpomalení měly ceny výrobků a služeb zpracovatelského průmyslu, jejichž pokles se prohloubil na 2,4 %. Výrazný vliv silné srovnávací základny byl patrný na surovinách a výrobcích silně na nich závislých, jako jsou koks a rafinované ropné výrobky</w:t>
            </w:r>
            <w:r>
              <w:rPr>
                <w:rStyle w:val="Znakapoznpodarou"/>
              </w:rPr>
              <w:footnoteReference w:id="65"/>
            </w:r>
            <w:r>
              <w:t xml:space="preserve">, dřevo a dřevěné výrobky (−19,5 %), chemické látky a přípravky (−18,2 %), základní kovy (−15,2 %) nebo papír a výrobky z něj (−10,4 %). Meziročně nižší byly také ceny textilií (−1,9 %), pryžových a plastových výrobků (−3,0 %), kovodělných výrobků (−1,8 %). Výrazně zpomalil meziroční růst cen ostatních nekovových </w:t>
            </w:r>
            <w:r>
              <w:lastRenderedPageBreak/>
              <w:t xml:space="preserve">minerálních výrobků (10,0 %), tiskařských a nahrávacích služeb (7,4 %), nábytku (3,5 %) a potravinářských výrobků (3,0 %). Jen mírně zpomalil přírůstek cen strojů a zařízení (7,3 %), ostatních dopravních prostředků a zařízení (6,5 %), počítačů, elektronických a optických přístrojů a zařízení (2,4 %). Stabilní byl růst cen nápojů (12,8 %), oprav, údržby a instalace strojů a zařízení (9,6 %), motorových vozidel (3,3 %) a usní a souvisejících výrobků (2,6 %). Mírně posílil meziroční růst cen oděvů (9,4 %), základních farmaceutických výrobků a přípravků (4,9 %) a elektrických zařízení (2,4 %). </w:t>
            </w:r>
          </w:p>
        </w:tc>
      </w:tr>
      <w:tr w:rsidR="001E1AF1" w:rsidRPr="009110F7" w14:paraId="4BA3441A" w14:textId="77777777" w:rsidTr="08AB0269">
        <w:trPr>
          <w:trHeight w:val="170"/>
        </w:trPr>
        <w:tc>
          <w:tcPr>
            <w:tcW w:w="1804" w:type="dxa"/>
            <w:vMerge w:val="restart"/>
            <w:shd w:val="clear" w:color="auto" w:fill="auto"/>
            <w:tcMar>
              <w:left w:w="0" w:type="dxa"/>
            </w:tcMar>
          </w:tcPr>
          <w:p w14:paraId="3496C5BB" w14:textId="77777777" w:rsidR="001E1AF1" w:rsidRDefault="001E1AF1" w:rsidP="00D26E6B">
            <w:pPr>
              <w:pStyle w:val="Marginlie"/>
              <w:rPr>
                <w:spacing w:val="0"/>
              </w:rPr>
            </w:pPr>
          </w:p>
        </w:tc>
        <w:tc>
          <w:tcPr>
            <w:tcW w:w="224" w:type="dxa"/>
            <w:vMerge w:val="restart"/>
            <w:shd w:val="clear" w:color="auto" w:fill="auto"/>
            <w:tcMar>
              <w:left w:w="0" w:type="dxa"/>
            </w:tcMar>
          </w:tcPr>
          <w:p w14:paraId="172C5427" w14:textId="77777777" w:rsidR="001E1AF1" w:rsidRPr="00793D78" w:rsidRDefault="001E1AF1" w:rsidP="00D26E6B">
            <w:pPr>
              <w:pStyle w:val="Textpoznpodarou1"/>
              <w:jc w:val="both"/>
              <w:rPr>
                <w:highlight w:val="yellow"/>
              </w:rPr>
            </w:pPr>
          </w:p>
        </w:tc>
        <w:tc>
          <w:tcPr>
            <w:tcW w:w="7611" w:type="dxa"/>
            <w:shd w:val="clear" w:color="auto" w:fill="auto"/>
            <w:tcMar>
              <w:left w:w="0" w:type="dxa"/>
            </w:tcMar>
          </w:tcPr>
          <w:p w14:paraId="1AA51F02" w14:textId="77777777" w:rsidR="001E1AF1" w:rsidRPr="00D75AC1" w:rsidRDefault="001E1AF1" w:rsidP="00D26E6B">
            <w:pPr>
              <w:spacing w:after="0"/>
              <w:rPr>
                <w:b/>
                <w:szCs w:val="20"/>
              </w:rPr>
            </w:pPr>
            <w:r>
              <w:rPr>
                <w:b/>
                <w:sz w:val="18"/>
                <w:szCs w:val="18"/>
              </w:rPr>
              <w:t>Graf č. 12</w:t>
            </w:r>
            <w:r w:rsidRPr="00793D78">
              <w:rPr>
                <w:b/>
                <w:sz w:val="18"/>
                <w:szCs w:val="18"/>
              </w:rPr>
              <w:t xml:space="preserve"> </w:t>
            </w:r>
            <w:r w:rsidRPr="00793D78">
              <w:rPr>
                <w:b/>
                <w:sz w:val="18"/>
                <w:szCs w:val="18"/>
                <w:lang w:eastAsia="en-US"/>
              </w:rPr>
              <w:t xml:space="preserve">Ceny hlavních skupin průmyslových výrobců </w:t>
            </w:r>
            <w:r w:rsidRPr="009067EA">
              <w:rPr>
                <w:sz w:val="18"/>
                <w:szCs w:val="18"/>
                <w:lang w:eastAsia="en-US"/>
              </w:rPr>
              <w:t>(meziroční změna, v %, podle klasifikace CPA)</w:t>
            </w:r>
          </w:p>
        </w:tc>
      </w:tr>
      <w:tr w:rsidR="001E1AF1" w:rsidRPr="009110F7" w14:paraId="40B23094" w14:textId="77777777" w:rsidTr="08AB0269">
        <w:tblPrEx>
          <w:tblCellMar>
            <w:left w:w="70" w:type="dxa"/>
            <w:right w:w="70" w:type="dxa"/>
          </w:tblCellMar>
        </w:tblPrEx>
        <w:trPr>
          <w:trHeight w:val="170"/>
        </w:trPr>
        <w:tc>
          <w:tcPr>
            <w:tcW w:w="1804" w:type="dxa"/>
            <w:vMerge/>
          </w:tcPr>
          <w:p w14:paraId="51787203" w14:textId="77777777" w:rsidR="001E1AF1" w:rsidRPr="00793D78" w:rsidRDefault="001E1AF1" w:rsidP="00D26E6B">
            <w:pPr>
              <w:pStyle w:val="Marginlie"/>
              <w:rPr>
                <w:spacing w:val="0"/>
              </w:rPr>
            </w:pPr>
          </w:p>
        </w:tc>
        <w:tc>
          <w:tcPr>
            <w:tcW w:w="224" w:type="dxa"/>
            <w:vMerge/>
          </w:tcPr>
          <w:p w14:paraId="14BAAB65" w14:textId="77777777" w:rsidR="001E1AF1" w:rsidRPr="00793D78" w:rsidRDefault="001E1AF1" w:rsidP="00D26E6B">
            <w:pPr>
              <w:pStyle w:val="Textpoznpodarou1"/>
              <w:jc w:val="both"/>
            </w:pPr>
          </w:p>
        </w:tc>
        <w:tc>
          <w:tcPr>
            <w:tcW w:w="7611" w:type="dxa"/>
            <w:shd w:val="clear" w:color="auto" w:fill="auto"/>
          </w:tcPr>
          <w:p w14:paraId="584DEE0C" w14:textId="77777777" w:rsidR="001E1AF1" w:rsidRPr="00793D78" w:rsidRDefault="001E1AF1" w:rsidP="00D26E6B">
            <w:pPr>
              <w:spacing w:after="0"/>
            </w:pPr>
            <w:r>
              <w:rPr>
                <w:noProof/>
              </w:rPr>
              <w:drawing>
                <wp:inline distT="0" distB="0" distL="0" distR="0" wp14:anchorId="4DCF61F5" wp14:editId="27EDC2E8">
                  <wp:extent cx="4737600" cy="3553200"/>
                  <wp:effectExtent l="0" t="0" r="6350" b="0"/>
                  <wp:docPr id="20" name="Graf 20">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1E1AF1" w:rsidRPr="009110F7" w14:paraId="0DDAADB4" w14:textId="77777777" w:rsidTr="08AB0269">
        <w:trPr>
          <w:trHeight w:val="170"/>
        </w:trPr>
        <w:tc>
          <w:tcPr>
            <w:tcW w:w="1804" w:type="dxa"/>
            <w:vMerge/>
            <w:tcMar>
              <w:left w:w="0" w:type="dxa"/>
            </w:tcMar>
          </w:tcPr>
          <w:p w14:paraId="0EFE7F07" w14:textId="77777777" w:rsidR="001E1AF1" w:rsidRPr="00793D78" w:rsidRDefault="001E1AF1" w:rsidP="00D26E6B">
            <w:pPr>
              <w:pStyle w:val="Marginlie"/>
              <w:rPr>
                <w:spacing w:val="0"/>
              </w:rPr>
            </w:pPr>
          </w:p>
        </w:tc>
        <w:tc>
          <w:tcPr>
            <w:tcW w:w="224" w:type="dxa"/>
            <w:vMerge/>
            <w:tcMar>
              <w:left w:w="0" w:type="dxa"/>
            </w:tcMar>
          </w:tcPr>
          <w:p w14:paraId="545BDA2D" w14:textId="77777777" w:rsidR="001E1AF1" w:rsidRPr="00793D78" w:rsidRDefault="001E1AF1" w:rsidP="00D26E6B">
            <w:pPr>
              <w:pStyle w:val="Textpoznpodarou1"/>
              <w:jc w:val="both"/>
            </w:pPr>
          </w:p>
        </w:tc>
        <w:tc>
          <w:tcPr>
            <w:tcW w:w="7611" w:type="dxa"/>
            <w:shd w:val="clear" w:color="auto" w:fill="auto"/>
            <w:tcMar>
              <w:left w:w="0" w:type="dxa"/>
            </w:tcMar>
          </w:tcPr>
          <w:p w14:paraId="62CDD7BF" w14:textId="77777777" w:rsidR="001E1AF1" w:rsidRPr="00793D78" w:rsidRDefault="001E1AF1" w:rsidP="00D26E6B">
            <w:r w:rsidRPr="00793D78">
              <w:rPr>
                <w:sz w:val="14"/>
                <w:szCs w:val="14"/>
              </w:rPr>
              <w:t>Zdroj: ČSÚ</w:t>
            </w:r>
          </w:p>
        </w:tc>
      </w:tr>
      <w:tr w:rsidR="001E1AF1" w:rsidRPr="009110F7" w14:paraId="4348B182" w14:textId="77777777" w:rsidTr="08AB0269">
        <w:trPr>
          <w:trHeight w:val="145"/>
        </w:trPr>
        <w:tc>
          <w:tcPr>
            <w:tcW w:w="1804" w:type="dxa"/>
            <w:shd w:val="clear" w:color="auto" w:fill="auto"/>
            <w:tcMar>
              <w:left w:w="0" w:type="dxa"/>
            </w:tcMar>
          </w:tcPr>
          <w:p w14:paraId="19469AC6" w14:textId="77777777" w:rsidR="001E1AF1" w:rsidRDefault="001E1AF1" w:rsidP="00D26E6B">
            <w:pPr>
              <w:pStyle w:val="Marginlie"/>
              <w:rPr>
                <w:spacing w:val="0"/>
              </w:rPr>
            </w:pPr>
            <w:r>
              <w:rPr>
                <w:spacing w:val="0"/>
              </w:rPr>
              <w:t>Ceny těžby a dobývání nadále silně rostly.</w:t>
            </w:r>
          </w:p>
        </w:tc>
        <w:tc>
          <w:tcPr>
            <w:tcW w:w="224" w:type="dxa"/>
            <w:shd w:val="clear" w:color="auto" w:fill="auto"/>
            <w:tcMar>
              <w:left w:w="0" w:type="dxa"/>
            </w:tcMar>
          </w:tcPr>
          <w:p w14:paraId="44AC633D" w14:textId="77777777" w:rsidR="001E1AF1" w:rsidRPr="00793D78" w:rsidRDefault="001E1AF1" w:rsidP="00D26E6B">
            <w:pPr>
              <w:pStyle w:val="Textpoznpodarou1"/>
              <w:jc w:val="both"/>
            </w:pPr>
          </w:p>
        </w:tc>
        <w:tc>
          <w:tcPr>
            <w:tcW w:w="7611" w:type="dxa"/>
            <w:shd w:val="clear" w:color="auto" w:fill="auto"/>
            <w:tcMar>
              <w:left w:w="0" w:type="dxa"/>
            </w:tcMar>
          </w:tcPr>
          <w:p w14:paraId="2467F5AD" w14:textId="77777777" w:rsidR="001E1AF1" w:rsidRDefault="001E1AF1" w:rsidP="00D26E6B">
            <w:r>
              <w:t>Ceny těžby a dobývání ve 3. čtvrtletí meziročně vzrostly o 44,5 %, zejména pod vlivem cen černého a hnědého uhlí a lignitu (71,1 %) a ropy a zemního plynu (22,2 %). Meziročně vyšší byly i ceny ostatní těžby a dobývání nerostných surovin (21,0 %), zahrnující zejména stavební materiály. Meziroční růst cen elektřiny, plynu, páry a klimatizovaného vzduchu se zmírnil na 10,5 % a ceny zásobování vodou a služeb souvisejících s odpadními vodami byly vyšší o 16,3 %.</w:t>
            </w:r>
          </w:p>
        </w:tc>
      </w:tr>
      <w:tr w:rsidR="001E1AF1" w:rsidRPr="009110F7" w14:paraId="7B1E2029" w14:textId="77777777" w:rsidTr="08AB0269">
        <w:trPr>
          <w:trHeight w:val="145"/>
        </w:trPr>
        <w:tc>
          <w:tcPr>
            <w:tcW w:w="1804" w:type="dxa"/>
            <w:shd w:val="clear" w:color="auto" w:fill="auto"/>
            <w:tcMar>
              <w:left w:w="0" w:type="dxa"/>
            </w:tcMar>
          </w:tcPr>
          <w:p w14:paraId="56CEA2E4" w14:textId="77777777" w:rsidR="001E1AF1" w:rsidRDefault="001E1AF1" w:rsidP="00D26E6B">
            <w:pPr>
              <w:pStyle w:val="Marginlie"/>
              <w:rPr>
                <w:spacing w:val="0"/>
              </w:rPr>
            </w:pPr>
            <w:r>
              <w:rPr>
                <w:spacing w:val="0"/>
              </w:rPr>
              <w:t>Ceny průmyslových výrobců v EU se meziročně propadly.</w:t>
            </w:r>
          </w:p>
        </w:tc>
        <w:tc>
          <w:tcPr>
            <w:tcW w:w="224" w:type="dxa"/>
            <w:shd w:val="clear" w:color="auto" w:fill="auto"/>
            <w:tcMar>
              <w:left w:w="0" w:type="dxa"/>
            </w:tcMar>
          </w:tcPr>
          <w:p w14:paraId="504BD66D" w14:textId="77777777" w:rsidR="001E1AF1" w:rsidRPr="00793D78" w:rsidRDefault="001E1AF1" w:rsidP="00D26E6B">
            <w:pPr>
              <w:pStyle w:val="Textpoznpodarou1"/>
              <w:jc w:val="both"/>
            </w:pPr>
          </w:p>
        </w:tc>
        <w:tc>
          <w:tcPr>
            <w:tcW w:w="7611" w:type="dxa"/>
            <w:shd w:val="clear" w:color="auto" w:fill="auto"/>
            <w:tcMar>
              <w:left w:w="0" w:type="dxa"/>
            </w:tcMar>
          </w:tcPr>
          <w:p w14:paraId="086DE606" w14:textId="77777777" w:rsidR="001E1AF1" w:rsidRDefault="001E1AF1" w:rsidP="00D26E6B">
            <w:r>
              <w:t>Ceny průmyslových výrobců v EU</w:t>
            </w:r>
            <w:r>
              <w:rPr>
                <w:rStyle w:val="Znakapoznpodarou"/>
              </w:rPr>
              <w:footnoteReference w:id="66"/>
            </w:r>
            <w:r>
              <w:t xml:space="preserve"> se ve 3. čtvrtletí meziročně propadly o 9,5 %. Do hlubokého poklesu se dostaly ceny těžby a dobývání (−31,6 %) a elektřiny, plynu, páry a klimatizovaného vzduchu (−31,1 %), meziročně nižší byly i ceny ve zpracovatelském průmyslu (−0,6 %). Ceny průmyslových výrobců ve 3. čtvrtletí meziročně klesly ve většině zemí EU, nejvíce v Irsku (−43,8 %), Bulharsku (−26,2 %) a Itálii (−16,1 %). Česko s přírůstkem 1,3 % patřilo mezi sedmičku výjimek. Nejvíce meziročně rostly ceny průmyslových výrobců v Lucembursku (24,2 %), v Maďarsku (10,9 %) a na Slovensku (9,2 %). Mezičtvrtletně klesly ceny průmyslových výrobců v EU počtvrté v řadě, a to o 1,1 %. Výrazně mezičtvrtletně klesly ceny těžby a dobývání (−5,3 %) i elektřiny, plynu, páry a klimatizovaného vzduchu (−3,2 %) a mírně nižší byly také ve zpracovatelském průmyslu (−0,2 %). Nejvýraznější mezičtvrtletní pokles cen průmyslových výrobců </w:t>
            </w:r>
            <w:r>
              <w:lastRenderedPageBreak/>
              <w:t>zaznamenaly Irsko (−5,3 %), Belgie (−2,8 %) a Polsko (−2,5 %) a naopak nejsilněji rostly ceny v Lucembursku (25,2 %), Řecku (2,2 %) a Chorvatsku (2,2 %).</w:t>
            </w:r>
          </w:p>
        </w:tc>
      </w:tr>
      <w:tr w:rsidR="001E1AF1" w:rsidRPr="009110F7" w14:paraId="149FF9BD" w14:textId="77777777" w:rsidTr="08AB0269">
        <w:trPr>
          <w:trHeight w:val="145"/>
        </w:trPr>
        <w:tc>
          <w:tcPr>
            <w:tcW w:w="1804" w:type="dxa"/>
            <w:shd w:val="clear" w:color="auto" w:fill="auto"/>
            <w:tcMar>
              <w:left w:w="0" w:type="dxa"/>
            </w:tcMar>
          </w:tcPr>
          <w:p w14:paraId="4DC4B6A3" w14:textId="77777777" w:rsidR="001E1AF1" w:rsidRDefault="001E1AF1" w:rsidP="00D26E6B">
            <w:pPr>
              <w:pStyle w:val="Marginlie"/>
              <w:rPr>
                <w:spacing w:val="0"/>
              </w:rPr>
            </w:pPr>
            <w:r>
              <w:rPr>
                <w:spacing w:val="0"/>
              </w:rPr>
              <w:lastRenderedPageBreak/>
              <w:t>Růst cen stavebních prací zpomalil.</w:t>
            </w:r>
          </w:p>
        </w:tc>
        <w:tc>
          <w:tcPr>
            <w:tcW w:w="224" w:type="dxa"/>
            <w:shd w:val="clear" w:color="auto" w:fill="auto"/>
            <w:tcMar>
              <w:left w:w="0" w:type="dxa"/>
            </w:tcMar>
          </w:tcPr>
          <w:p w14:paraId="0E9F5ADE" w14:textId="77777777" w:rsidR="001E1AF1" w:rsidRPr="00793D78" w:rsidRDefault="001E1AF1" w:rsidP="00D26E6B">
            <w:pPr>
              <w:pStyle w:val="Textpoznpodarou1"/>
              <w:jc w:val="both"/>
            </w:pPr>
          </w:p>
        </w:tc>
        <w:tc>
          <w:tcPr>
            <w:tcW w:w="7611" w:type="dxa"/>
            <w:shd w:val="clear" w:color="auto" w:fill="auto"/>
            <w:tcMar>
              <w:left w:w="0" w:type="dxa"/>
            </w:tcMar>
          </w:tcPr>
          <w:p w14:paraId="126DAD59" w14:textId="77777777" w:rsidR="001E1AF1" w:rsidRPr="00793D78" w:rsidRDefault="001E1AF1" w:rsidP="00D26E6B">
            <w:r>
              <w:t>Ve 3. čtvrtletí se počtvrté v řadě zmírnil meziroční růst cen stavebních prací. Ty byly podle odhadů meziročně vyšší o 4,1 %. Oproti 2. kvartálu vzrostly ceny stavebních prací o 0,3 %. Ceny materiálů a výrobků spotřebovaných ve stavebnictví meziročně prakticky stagnovaly (0,3 %) a mezičtvrtletně klesly o 1,4 %.</w:t>
            </w:r>
          </w:p>
        </w:tc>
      </w:tr>
      <w:tr w:rsidR="001E1AF1" w:rsidRPr="009110F7" w14:paraId="60BF319B" w14:textId="77777777" w:rsidTr="08AB0269">
        <w:trPr>
          <w:trHeight w:val="145"/>
        </w:trPr>
        <w:tc>
          <w:tcPr>
            <w:tcW w:w="1804" w:type="dxa"/>
            <w:shd w:val="clear" w:color="auto" w:fill="auto"/>
            <w:tcMar>
              <w:left w:w="0" w:type="dxa"/>
            </w:tcMar>
          </w:tcPr>
          <w:p w14:paraId="583C894C" w14:textId="77777777" w:rsidR="001E1AF1" w:rsidRPr="00793D78" w:rsidRDefault="001E1AF1" w:rsidP="00D26E6B">
            <w:pPr>
              <w:pStyle w:val="Marginlie"/>
              <w:rPr>
                <w:spacing w:val="0"/>
              </w:rPr>
            </w:pPr>
            <w:r>
              <w:rPr>
                <w:spacing w:val="0"/>
              </w:rPr>
              <w:t>Zmírnění růstu cen tržních služeb bylo ovlivněno zejména cenami reklamních služeb a průzkumu trhu.</w:t>
            </w:r>
          </w:p>
        </w:tc>
        <w:tc>
          <w:tcPr>
            <w:tcW w:w="224" w:type="dxa"/>
            <w:shd w:val="clear" w:color="auto" w:fill="auto"/>
            <w:tcMar>
              <w:left w:w="0" w:type="dxa"/>
            </w:tcMar>
          </w:tcPr>
          <w:p w14:paraId="256C06F2" w14:textId="77777777" w:rsidR="001E1AF1" w:rsidRPr="00793D78" w:rsidRDefault="001E1AF1" w:rsidP="00D26E6B">
            <w:pPr>
              <w:pStyle w:val="Textpoznpodarou1"/>
              <w:jc w:val="both"/>
            </w:pPr>
          </w:p>
        </w:tc>
        <w:tc>
          <w:tcPr>
            <w:tcW w:w="7611" w:type="dxa"/>
            <w:shd w:val="clear" w:color="auto" w:fill="auto"/>
            <w:tcMar>
              <w:left w:w="0" w:type="dxa"/>
            </w:tcMar>
          </w:tcPr>
          <w:p w14:paraId="3C533FB1" w14:textId="77777777" w:rsidR="001E1AF1" w:rsidRPr="00793D78" w:rsidRDefault="001E1AF1" w:rsidP="00D26E6B">
            <w:r>
              <w:t>Meziroční růst cen tržních služeb ve 3. čtvrtletí oslabil na 5,3 %. Zpomalení bylo ovlivněno zejména vývojem cen reklamních služeb a průzkumu trhu (pokles o 0,8 %) a dále zmírněním růstu cen pozemní a potrubní dopravy na 3,5 %. K meziročnímu růstu cen tržních služeb nejvíce přispívaly ceny služeb v oblasti programování a souvisejícího poradenství (meziroční růst o 8,2 %), ceny služeb v oblasti nemovitostí (6,8 %), ceny služeb v oblasti zaměstnání (22,3 %) a výše zmíněné ceny pozemní a potrubní dopravy. Významnější vliv na celkový růst měly i ceny skladování a podpůrných služeb v dopravě (3,9 %), poštovních a kurýrních služeb (12,9 %), informačních služeb (12,4 %) nebo architektonických a inženýrských služeb a technických zkoušek a analýz (3,9 %). Mezičtvrtletně se ceny tržních služeb snížily o 0,6 %.</w:t>
            </w:r>
          </w:p>
        </w:tc>
      </w:tr>
      <w:tr w:rsidR="001E1AF1" w:rsidRPr="009110F7" w14:paraId="57F8BEBE" w14:textId="77777777" w:rsidTr="08AB0269">
        <w:trPr>
          <w:trHeight w:val="145"/>
        </w:trPr>
        <w:tc>
          <w:tcPr>
            <w:tcW w:w="1804" w:type="dxa"/>
            <w:shd w:val="clear" w:color="auto" w:fill="auto"/>
            <w:tcMar>
              <w:left w:w="0" w:type="dxa"/>
            </w:tcMar>
          </w:tcPr>
          <w:p w14:paraId="21DEEC04" w14:textId="77777777" w:rsidR="001E1AF1" w:rsidRPr="00793D78" w:rsidRDefault="001E1AF1" w:rsidP="00D26E6B">
            <w:pPr>
              <w:pStyle w:val="Marginlie"/>
              <w:rPr>
                <w:spacing w:val="0"/>
              </w:rPr>
            </w:pPr>
            <w:r>
              <w:rPr>
                <w:spacing w:val="0"/>
              </w:rPr>
              <w:t>Ceny rostlinné výroby se vlivem silné základny loňského roku meziročně propadaly.</w:t>
            </w:r>
          </w:p>
        </w:tc>
        <w:tc>
          <w:tcPr>
            <w:tcW w:w="224" w:type="dxa"/>
            <w:shd w:val="clear" w:color="auto" w:fill="auto"/>
            <w:tcMar>
              <w:left w:w="0" w:type="dxa"/>
            </w:tcMar>
          </w:tcPr>
          <w:p w14:paraId="00110DBA" w14:textId="77777777" w:rsidR="001E1AF1" w:rsidRPr="00793D78" w:rsidRDefault="001E1AF1" w:rsidP="00D26E6B">
            <w:pPr>
              <w:pStyle w:val="Textpoznpodarou1"/>
              <w:jc w:val="both"/>
            </w:pPr>
          </w:p>
        </w:tc>
        <w:tc>
          <w:tcPr>
            <w:tcW w:w="7611" w:type="dxa"/>
            <w:shd w:val="clear" w:color="auto" w:fill="auto"/>
            <w:tcMar>
              <w:left w:w="0" w:type="dxa"/>
            </w:tcMar>
          </w:tcPr>
          <w:p w14:paraId="29485BDC" w14:textId="77777777" w:rsidR="001E1AF1" w:rsidRDefault="001E1AF1" w:rsidP="00D26E6B">
            <w:r>
              <w:t xml:space="preserve">Ceny zemědělské výroby (včetně ryb) se ve 3. čtvrtletí meziročně snížily o 14,7 % a jejich propad se prohloubil. Vliv měla zejména vysoká srovnávací základna loňského roku, zejména v rostlinné výrobě. Mezičtvrtletně se ceny zemědělské výroby snížily o 8,7 %. Ceny rostlinné výroby se propadly meziročně o 22,5 %. Pokles se dále prohluboval u obilovin (−32,4 %, z toho ceny pšenice klesly o 35,8 %, žita o 29,0 %, ječmene o 26,6 %, kukuřice o 26,2 % a ovsa o 10,8 %). Hluboké snížení se týkalo rovněž průmyslových plodin (−30,7 %), zejména olejnin (−35,4 %). Naopak meziročně rostly ceny krmných plodin (8,9 %), zeleniny a zahradnických produktů (16,7 %), výrazně posílil meziroční růst cen brambor (53,9 %) a vyšší byly i ceny ovoce (10,0 %). Ceny živočišné výroby se ve 3. kvartálu meziročně snížily o 2,2 %, poprvé od 2. čtvrtletí 2021. Ceny hospodářských zvířat byly meziročně vyšší o 8,5 %, jejich růst ale zmírnil. Přitom ceny skotu klesly meziročně o 1,5 %, ceny prasat a selat byly vyšší o 24,2 % (téměř neměnné tempo oproti předchozímu čtvrtletí) a drůbeže o 1,0 %. Ceny mléka se meziročně propadly o 12,3 % a růst cen vajec zmírnil na 19,0 %.  </w:t>
            </w:r>
          </w:p>
        </w:tc>
      </w:tr>
      <w:tr w:rsidR="001E1AF1" w:rsidRPr="009110F7" w14:paraId="6DD83625" w14:textId="77777777" w:rsidTr="08AB0269">
        <w:trPr>
          <w:trHeight w:val="145"/>
        </w:trPr>
        <w:tc>
          <w:tcPr>
            <w:tcW w:w="1804" w:type="dxa"/>
            <w:shd w:val="clear" w:color="auto" w:fill="auto"/>
            <w:tcMar>
              <w:left w:w="0" w:type="dxa"/>
            </w:tcMar>
          </w:tcPr>
          <w:p w14:paraId="7CBA72DC" w14:textId="77777777" w:rsidR="001E1AF1" w:rsidRPr="00793D78" w:rsidRDefault="001E1AF1" w:rsidP="00D26E6B">
            <w:pPr>
              <w:pStyle w:val="Marginlie"/>
              <w:rPr>
                <w:spacing w:val="0"/>
              </w:rPr>
            </w:pPr>
            <w:r>
              <w:rPr>
                <w:spacing w:val="0"/>
              </w:rPr>
              <w:t>Ceny vývozu meziročně klesly.</w:t>
            </w:r>
          </w:p>
        </w:tc>
        <w:tc>
          <w:tcPr>
            <w:tcW w:w="224" w:type="dxa"/>
            <w:shd w:val="clear" w:color="auto" w:fill="auto"/>
            <w:tcMar>
              <w:left w:w="0" w:type="dxa"/>
            </w:tcMar>
          </w:tcPr>
          <w:p w14:paraId="17D55B15" w14:textId="77777777" w:rsidR="001E1AF1" w:rsidRPr="00793D78" w:rsidRDefault="001E1AF1" w:rsidP="00D26E6B">
            <w:pPr>
              <w:pStyle w:val="Textpoznpodarou1"/>
              <w:jc w:val="both"/>
            </w:pPr>
          </w:p>
        </w:tc>
        <w:tc>
          <w:tcPr>
            <w:tcW w:w="7611" w:type="dxa"/>
            <w:shd w:val="clear" w:color="auto" w:fill="auto"/>
            <w:tcMar>
              <w:left w:w="0" w:type="dxa"/>
            </w:tcMar>
          </w:tcPr>
          <w:p w14:paraId="6F140387" w14:textId="77777777" w:rsidR="001E1AF1" w:rsidRPr="00793D78" w:rsidRDefault="001E1AF1" w:rsidP="00D26E6B">
            <w:r>
              <w:t>Ve 3. čtvrtletí byl meziroční pohyb cen zahraničního obchodu poměrně silně ovlivněn vývojem směnného kurzu. Koruna byla meziročně silnější vůči euru i dolaru a prohlubovala tak meziroční pokles cen</w:t>
            </w:r>
            <w:r>
              <w:rPr>
                <w:rStyle w:val="Znakapoznpodarou"/>
              </w:rPr>
              <w:footnoteReference w:id="67"/>
            </w:r>
            <w:r>
              <w:t>. Ceny vývozu zboží ve 3. čtvrtletí meziročně klesly o 4,4 % a propad se prohloubil. Ceny vývozu zboží mezičtvrtletně mírně vzrostly (0,7 %). Nejvíce meziročně klesaly ceny vývozu ostatních surovin</w:t>
            </w:r>
            <w:r>
              <w:rPr>
                <w:rStyle w:val="Znakapoznpodarou"/>
              </w:rPr>
              <w:footnoteReference w:id="68"/>
            </w:r>
            <w:r>
              <w:t xml:space="preserve"> (−23,0 %), minerálních paliv a maziv (−18,8 %) a chemikálií (−13,4 %). Nižší byly i ceny polotovarů</w:t>
            </w:r>
            <w:r>
              <w:rPr>
                <w:rStyle w:val="Znakapoznpodarou"/>
              </w:rPr>
              <w:footnoteReference w:id="69"/>
            </w:r>
            <w:r>
              <w:t xml:space="preserve"> (−7,4 %) a potravin a živých zvířat (−5,3 %). Naopak silně meziročně rostly ceny exportu nápojů a tabáku (14,7 %) a meziročně vyšší byly ceny strojů a dopravních prostředků (1,5 %) i průmyslového spotřebního zboží (0,9 %). </w:t>
            </w:r>
          </w:p>
        </w:tc>
      </w:tr>
      <w:tr w:rsidR="001E1AF1" w:rsidRPr="009110F7" w14:paraId="5F11BBA6" w14:textId="77777777" w:rsidTr="08AB0269">
        <w:trPr>
          <w:trHeight w:val="145"/>
        </w:trPr>
        <w:tc>
          <w:tcPr>
            <w:tcW w:w="1804" w:type="dxa"/>
            <w:shd w:val="clear" w:color="auto" w:fill="auto"/>
            <w:tcMar>
              <w:left w:w="0" w:type="dxa"/>
            </w:tcMar>
          </w:tcPr>
          <w:p w14:paraId="1AA21D0F" w14:textId="77777777" w:rsidR="001E1AF1" w:rsidRPr="00793D78" w:rsidRDefault="001E1AF1" w:rsidP="00D26E6B">
            <w:pPr>
              <w:pStyle w:val="Marginlie"/>
              <w:rPr>
                <w:spacing w:val="0"/>
              </w:rPr>
            </w:pPr>
            <w:r>
              <w:rPr>
                <w:spacing w:val="0"/>
              </w:rPr>
              <w:t>Ceny dovozu byly meziročně výrazně nižší.</w:t>
            </w:r>
          </w:p>
        </w:tc>
        <w:tc>
          <w:tcPr>
            <w:tcW w:w="224" w:type="dxa"/>
            <w:shd w:val="clear" w:color="auto" w:fill="auto"/>
            <w:tcMar>
              <w:left w:w="0" w:type="dxa"/>
            </w:tcMar>
          </w:tcPr>
          <w:p w14:paraId="5841866A" w14:textId="77777777" w:rsidR="001E1AF1" w:rsidRPr="00793D78" w:rsidRDefault="001E1AF1" w:rsidP="00D26E6B">
            <w:pPr>
              <w:pStyle w:val="Textpoznpodarou1"/>
              <w:jc w:val="both"/>
            </w:pPr>
          </w:p>
        </w:tc>
        <w:tc>
          <w:tcPr>
            <w:tcW w:w="7611" w:type="dxa"/>
            <w:shd w:val="clear" w:color="auto" w:fill="auto"/>
            <w:tcMar>
              <w:left w:w="0" w:type="dxa"/>
            </w:tcMar>
          </w:tcPr>
          <w:p w14:paraId="64CE72A9" w14:textId="19FD02B8" w:rsidR="001E1AF1" w:rsidRDefault="001E1AF1" w:rsidP="00D26E6B">
            <w:r>
              <w:t xml:space="preserve">Ceny dovozu zboží se ve 3. čtvrtletí meziročně propadly o 11,2 % a mezičtvrtletně byly vyšší o 1,3 %. Podobně jako na straně exportu, také v případě dovozu se nejvíce meziročně propadaly ceny minerálních paliv (−44,7 %), ostatních surovin (−17,2 %) a chemikálií (−12,0 %). Meziročně zaostávaly také ceny polotovarů (−7,1 %) a strojů a dopravních prostředků (−1,9 %). Výrazně meziročně narostly ceny nápojů a tabáku </w:t>
            </w:r>
            <w:r>
              <w:lastRenderedPageBreak/>
              <w:t xml:space="preserve">(20,9 %) a rostly i v případě průmyslového spotřebního zboží (3,8 %) a potravin a živých zvířat (3,1 %). Meziroční směnné relace zahraničního obchodu se zbožím ve 3. čtvrtletí dosáhly 107,7 %. K výrazně kladné hodnotě celkových směnných relací přispěl obchod s minerálními palivy (směnné relace zde dosáhly </w:t>
            </w:r>
            <w:r w:rsidR="3A31F626">
              <w:t>1</w:t>
            </w:r>
            <w:r>
              <w:t>46,8 %) a se stroji a dopravními prostředky (103,5 %). Naopak záporné byly meziroční směnné relace obchodu s potravinami a živými zvířaty (91,</w:t>
            </w:r>
            <w:r w:rsidR="0241D284">
              <w:t>8</w:t>
            </w:r>
            <w:r>
              <w:t xml:space="preserve"> %), ostatními surovinami (93,0 %), nápoji a tabákem (94,9 %), průmyslovým spotřebním zbožím</w:t>
            </w:r>
            <w:r w:rsidR="3AA0BED0">
              <w:t xml:space="preserve"> (97,2 %)</w:t>
            </w:r>
            <w:r>
              <w:t>, chemikáliemi (98,4 %) a polotovary (99,</w:t>
            </w:r>
            <w:r w:rsidR="173F358F">
              <w:t>6</w:t>
            </w:r>
            <w:r>
              <w:t xml:space="preserve"> %). Mezičtvrtletní směnné relace zahraničního obchodu se zbožím byly záporné a činily 99,4 %.     </w:t>
            </w:r>
          </w:p>
        </w:tc>
      </w:tr>
    </w:tbl>
    <w:p w14:paraId="4658AB9E" w14:textId="77777777" w:rsidR="001E1AF1" w:rsidRDefault="001E1AF1" w:rsidP="001E1AF1">
      <w:pPr>
        <w:pStyle w:val="Nadpis11"/>
        <w:spacing w:after="120"/>
      </w:pPr>
    </w:p>
    <w:p w14:paraId="52BC9DD8" w14:textId="77777777" w:rsidR="001E1AF1" w:rsidRDefault="001E1AF1" w:rsidP="001E1AF1">
      <w:pPr>
        <w:spacing w:after="0" w:line="240" w:lineRule="auto"/>
        <w:jc w:val="left"/>
        <w:rPr>
          <w:rFonts w:eastAsia="MS Gothic"/>
          <w:b/>
          <w:bCs/>
          <w:color w:val="71818C"/>
          <w:sz w:val="32"/>
          <w:szCs w:val="28"/>
        </w:rPr>
      </w:pPr>
    </w:p>
    <w:p w14:paraId="0B044C66" w14:textId="77777777" w:rsidR="00C6020C" w:rsidRDefault="00C6020C">
      <w:pPr>
        <w:spacing w:after="0" w:line="240" w:lineRule="auto"/>
        <w:jc w:val="left"/>
        <w:rPr>
          <w:rFonts w:eastAsia="MS Gothic"/>
          <w:b/>
          <w:bCs/>
          <w:color w:val="71818C"/>
          <w:sz w:val="32"/>
          <w:szCs w:val="28"/>
        </w:rPr>
      </w:pPr>
      <w:r>
        <w:br w:type="page"/>
      </w:r>
    </w:p>
    <w:p w14:paraId="31C503F9" w14:textId="03484EB7" w:rsidR="00CE12FB" w:rsidRDefault="00CE12FB" w:rsidP="00CE12FB">
      <w:pPr>
        <w:pStyle w:val="Nadpis11"/>
        <w:spacing w:after="120"/>
      </w:pPr>
      <w:bookmarkStart w:id="39" w:name="_Toc145318536"/>
      <w:bookmarkStart w:id="40" w:name="_Toc137233031"/>
      <w:bookmarkStart w:id="41" w:name="_Toc153531911"/>
      <w:bookmarkEnd w:id="27"/>
      <w:r>
        <w:lastRenderedPageBreak/>
        <w:t>6. Trh práce</w:t>
      </w:r>
      <w:bookmarkEnd w:id="41"/>
    </w:p>
    <w:tbl>
      <w:tblPr>
        <w:tblW w:w="9674" w:type="dxa"/>
        <w:tblInd w:w="-35" w:type="dxa"/>
        <w:tblCellMar>
          <w:left w:w="0" w:type="dxa"/>
          <w:right w:w="0" w:type="dxa"/>
        </w:tblCellMar>
        <w:tblLook w:val="00A0" w:firstRow="1" w:lastRow="0" w:firstColumn="1" w:lastColumn="0" w:noHBand="0" w:noVBand="0"/>
      </w:tblPr>
      <w:tblGrid>
        <w:gridCol w:w="1754"/>
        <w:gridCol w:w="220"/>
        <w:gridCol w:w="7700"/>
      </w:tblGrid>
      <w:tr w:rsidR="00763B23" w:rsidRPr="00FE39EE" w14:paraId="08CEB46F" w14:textId="77777777" w:rsidTr="000D7C6F">
        <w:trPr>
          <w:trHeight w:val="155"/>
        </w:trPr>
        <w:tc>
          <w:tcPr>
            <w:tcW w:w="1754" w:type="dxa"/>
            <w:shd w:val="clear" w:color="auto" w:fill="auto"/>
            <w:tcMar>
              <w:left w:w="0" w:type="dxa"/>
            </w:tcMar>
          </w:tcPr>
          <w:p w14:paraId="151330F5" w14:textId="77777777" w:rsidR="00763B23" w:rsidRDefault="00763B23" w:rsidP="000D7C6F">
            <w:pPr>
              <w:pStyle w:val="Marginlie"/>
              <w:spacing w:after="120"/>
              <w:rPr>
                <w:color w:val="0D0D0D" w:themeColor="text1" w:themeTint="F2"/>
                <w:spacing w:val="-4"/>
              </w:rPr>
            </w:pPr>
            <w:r>
              <w:rPr>
                <w:color w:val="0D0D0D" w:themeColor="text1" w:themeTint="F2"/>
                <w:spacing w:val="-4"/>
              </w:rPr>
              <w:t>Na trhu práce docházelo k částečnému ochlazení, nerovnováha mezi nabídkou a poptávkou se zmírnila. Situace v jednotlivých odvětvích se ale lišila.</w:t>
            </w:r>
          </w:p>
        </w:tc>
        <w:tc>
          <w:tcPr>
            <w:tcW w:w="220" w:type="dxa"/>
            <w:shd w:val="clear" w:color="auto" w:fill="auto"/>
            <w:tcMar>
              <w:left w:w="0" w:type="dxa"/>
            </w:tcMar>
          </w:tcPr>
          <w:p w14:paraId="1C49D503" w14:textId="77777777" w:rsidR="00763B23" w:rsidRPr="009F0D7F" w:rsidRDefault="00763B23" w:rsidP="000D7C6F">
            <w:pPr>
              <w:pStyle w:val="Textpoznpodarou"/>
              <w:spacing w:after="120"/>
              <w:jc w:val="both"/>
              <w:rPr>
                <w:color w:val="0D0D0D" w:themeColor="text1" w:themeTint="F2"/>
                <w:spacing w:val="-4"/>
              </w:rPr>
            </w:pPr>
          </w:p>
        </w:tc>
        <w:tc>
          <w:tcPr>
            <w:tcW w:w="7700" w:type="dxa"/>
            <w:shd w:val="clear" w:color="auto" w:fill="auto"/>
            <w:tcMar>
              <w:left w:w="0" w:type="dxa"/>
            </w:tcMar>
          </w:tcPr>
          <w:p w14:paraId="577D9BCC" w14:textId="77777777" w:rsidR="00763B23" w:rsidRPr="00FE39EE" w:rsidRDefault="00763B23" w:rsidP="000D7C6F">
            <w:pPr>
              <w:spacing w:after="200"/>
              <w:rPr>
                <w:color w:val="0D0D0D" w:themeColor="text1" w:themeTint="F2"/>
                <w:spacing w:val="-4"/>
              </w:rPr>
            </w:pPr>
            <w:r>
              <w:rPr>
                <w:color w:val="0D0D0D" w:themeColor="text1" w:themeTint="F2"/>
                <w:spacing w:val="-4"/>
              </w:rPr>
              <w:t xml:space="preserve">Již více než rok trvající stagnace výkonu tuzemské ekonomiky se s odstupem začíná projevovat i na pracovním trhu. Jeho částečné zchlazení se ve 3. čtvrtletí demonstrovalo </w:t>
            </w:r>
            <w:proofErr w:type="spellStart"/>
            <w:r>
              <w:rPr>
                <w:color w:val="0D0D0D" w:themeColor="text1" w:themeTint="F2"/>
                <w:spacing w:val="-4"/>
              </w:rPr>
              <w:t>mezikvartálním</w:t>
            </w:r>
            <w:proofErr w:type="spellEnd"/>
            <w:r>
              <w:rPr>
                <w:color w:val="0D0D0D" w:themeColor="text1" w:themeTint="F2"/>
                <w:spacing w:val="-4"/>
              </w:rPr>
              <w:t xml:space="preserve"> poklesem zaměstnanosti a mírným růstem nezaměstnanosti či lehkým úbytkem volných pracovních míst. Napříč hlavními odvětvími se snižoval i počet firem uvádějících nedostatek zaměstnanců jako bariéru svého růstu. Vzrostla velikost potenciální pracovní rezervy (z řad neaktivních osob), ta ovšem stále zůstávala omezená. Pozitivní impuls pro pracovní trh představovala postupná integrace ukrajinských uprchlíků. Podniky ve snaze optimalizovat výrobní náklady stále intenzivně poptávaly zahraniční pracovníky i z dalších mimoevropských zemí. Řada odvětví (zejména ve službách) se stále rozvíjela </w:t>
            </w:r>
            <w:r>
              <w:rPr>
                <w:color w:val="0D0D0D" w:themeColor="text1" w:themeTint="F2"/>
                <w:spacing w:val="-4"/>
              </w:rPr>
              <w:br/>
              <w:t>a vytvářela nová pracovní místa také pro pracovníky s vyšší kvalifikací. Relativně p</w:t>
            </w:r>
            <w:r w:rsidRPr="00825316">
              <w:rPr>
                <w:color w:val="0D0D0D" w:themeColor="text1" w:themeTint="F2"/>
                <w:spacing w:val="-4"/>
              </w:rPr>
              <w:t>říznivé po</w:t>
            </w:r>
            <w:r>
              <w:rPr>
                <w:color w:val="0D0D0D" w:themeColor="text1" w:themeTint="F2"/>
                <w:spacing w:val="-4"/>
              </w:rPr>
              <w:t>stavení zaměstnanců na trhu práce doprovázené přetrvávajícím</w:t>
            </w:r>
            <w:r w:rsidRPr="00825316">
              <w:rPr>
                <w:color w:val="0D0D0D" w:themeColor="text1" w:themeTint="F2"/>
                <w:spacing w:val="-4"/>
              </w:rPr>
              <w:t xml:space="preserve"> silným růstem </w:t>
            </w:r>
            <w:r>
              <w:rPr>
                <w:color w:val="0D0D0D" w:themeColor="text1" w:themeTint="F2"/>
                <w:spacing w:val="-4"/>
              </w:rPr>
              <w:t xml:space="preserve">nákladů </w:t>
            </w:r>
            <w:r w:rsidRPr="00825316">
              <w:rPr>
                <w:color w:val="0D0D0D" w:themeColor="text1" w:themeTint="F2"/>
                <w:spacing w:val="-4"/>
              </w:rPr>
              <w:t xml:space="preserve">domácností </w:t>
            </w:r>
            <w:r>
              <w:rPr>
                <w:color w:val="0D0D0D" w:themeColor="text1" w:themeTint="F2"/>
                <w:spacing w:val="-4"/>
              </w:rPr>
              <w:t>(např. v oblasti bydlení)</w:t>
            </w:r>
            <w:r w:rsidRPr="00825316">
              <w:rPr>
                <w:color w:val="0D0D0D" w:themeColor="text1" w:themeTint="F2"/>
                <w:spacing w:val="-4"/>
              </w:rPr>
              <w:t xml:space="preserve"> zvyšovalo tlak na </w:t>
            </w:r>
            <w:r>
              <w:rPr>
                <w:color w:val="0D0D0D" w:themeColor="text1" w:themeTint="F2"/>
                <w:spacing w:val="-4"/>
              </w:rPr>
              <w:t xml:space="preserve">mzdový </w:t>
            </w:r>
            <w:r w:rsidRPr="00825316">
              <w:rPr>
                <w:color w:val="0D0D0D" w:themeColor="text1" w:themeTint="F2"/>
                <w:spacing w:val="-4"/>
              </w:rPr>
              <w:t>růst.</w:t>
            </w:r>
            <w:r>
              <w:rPr>
                <w:color w:val="0D0D0D" w:themeColor="text1" w:themeTint="F2"/>
                <w:spacing w:val="-4"/>
              </w:rPr>
              <w:t xml:space="preserve"> Nominální tempo průměrných mezd ale během </w:t>
            </w:r>
            <w:r w:rsidRPr="006E26E5">
              <w:rPr>
                <w:color w:val="0D0D0D" w:themeColor="text1" w:themeTint="F2"/>
                <w:spacing w:val="-4"/>
              </w:rPr>
              <w:t xml:space="preserve">roku spíše lehce sláblo. Díky znatelné dezinflační tendenci v ekonomice se ovšem meziroční pokles kupní síly mezd výrazně zmírnil a </w:t>
            </w:r>
            <w:r>
              <w:rPr>
                <w:color w:val="0D0D0D" w:themeColor="text1" w:themeTint="F2"/>
                <w:spacing w:val="-4"/>
              </w:rPr>
              <w:t xml:space="preserve">v </w:t>
            </w:r>
            <w:r w:rsidRPr="006E26E5">
              <w:rPr>
                <w:color w:val="0D0D0D" w:themeColor="text1" w:themeTint="F2"/>
                <w:spacing w:val="-4"/>
              </w:rPr>
              <w:t>několika významných odvětví</w:t>
            </w:r>
            <w:r>
              <w:rPr>
                <w:color w:val="0D0D0D" w:themeColor="text1" w:themeTint="F2"/>
                <w:spacing w:val="-4"/>
              </w:rPr>
              <w:t>ch</w:t>
            </w:r>
            <w:r w:rsidRPr="006E26E5">
              <w:rPr>
                <w:color w:val="0D0D0D" w:themeColor="text1" w:themeTint="F2"/>
                <w:spacing w:val="-4"/>
              </w:rPr>
              <w:t xml:space="preserve"> byl již registrován růst reálných výdělků.</w:t>
            </w:r>
          </w:p>
        </w:tc>
      </w:tr>
      <w:tr w:rsidR="00763B23" w14:paraId="1A80CCBA" w14:textId="77777777" w:rsidTr="000D7C6F">
        <w:trPr>
          <w:trHeight w:val="155"/>
        </w:trPr>
        <w:tc>
          <w:tcPr>
            <w:tcW w:w="1754" w:type="dxa"/>
            <w:shd w:val="clear" w:color="auto" w:fill="auto"/>
            <w:tcMar>
              <w:left w:w="0" w:type="dxa"/>
            </w:tcMar>
          </w:tcPr>
          <w:p w14:paraId="7CECB932" w14:textId="77777777" w:rsidR="00763B23" w:rsidRDefault="00763B23" w:rsidP="000D7C6F">
            <w:pPr>
              <w:pStyle w:val="Marginlie"/>
              <w:spacing w:after="120"/>
              <w:rPr>
                <w:color w:val="0D0D0D" w:themeColor="text1" w:themeTint="F2"/>
                <w:spacing w:val="-4"/>
              </w:rPr>
            </w:pPr>
            <w:proofErr w:type="spellStart"/>
            <w:r>
              <w:rPr>
                <w:color w:val="0D0D0D" w:themeColor="text1" w:themeTint="F2"/>
                <w:spacing w:val="-4"/>
              </w:rPr>
              <w:t>Mezikvartální</w:t>
            </w:r>
            <w:proofErr w:type="spellEnd"/>
            <w:r>
              <w:rPr>
                <w:color w:val="0D0D0D" w:themeColor="text1" w:themeTint="F2"/>
                <w:spacing w:val="-4"/>
              </w:rPr>
              <w:t xml:space="preserve"> růst zaměstnanosti se ve 3. čtvrtletí zastavil. </w:t>
            </w:r>
          </w:p>
          <w:p w14:paraId="2089C02E" w14:textId="77777777" w:rsidR="00763B23" w:rsidRDefault="00763B23" w:rsidP="000D7C6F">
            <w:pPr>
              <w:pStyle w:val="Marginlie"/>
              <w:spacing w:after="120"/>
              <w:rPr>
                <w:color w:val="0D0D0D" w:themeColor="text1" w:themeTint="F2"/>
                <w:spacing w:val="-4"/>
              </w:rPr>
            </w:pPr>
          </w:p>
          <w:p w14:paraId="5F9E78DB" w14:textId="77777777" w:rsidR="00763B23" w:rsidRDefault="00763B23" w:rsidP="000D7C6F">
            <w:pPr>
              <w:pStyle w:val="Marginlie"/>
              <w:spacing w:after="120"/>
              <w:rPr>
                <w:color w:val="0D0D0D" w:themeColor="text1" w:themeTint="F2"/>
                <w:spacing w:val="-4"/>
              </w:rPr>
            </w:pPr>
          </w:p>
          <w:p w14:paraId="5D8F42B9" w14:textId="77777777" w:rsidR="00763B23" w:rsidRDefault="00763B23" w:rsidP="000D7C6F">
            <w:pPr>
              <w:pStyle w:val="Marginlie"/>
              <w:spacing w:after="120"/>
              <w:rPr>
                <w:color w:val="0D0D0D" w:themeColor="text1" w:themeTint="F2"/>
                <w:spacing w:val="-4"/>
              </w:rPr>
            </w:pPr>
          </w:p>
          <w:p w14:paraId="5BFF92E4" w14:textId="77777777" w:rsidR="00763B23" w:rsidRDefault="00763B23" w:rsidP="000D7C6F">
            <w:pPr>
              <w:pStyle w:val="Marginlie"/>
              <w:spacing w:after="120"/>
              <w:rPr>
                <w:color w:val="0D0D0D" w:themeColor="text1" w:themeTint="F2"/>
                <w:spacing w:val="-4"/>
              </w:rPr>
            </w:pPr>
            <w:r>
              <w:rPr>
                <w:color w:val="0D0D0D" w:themeColor="text1" w:themeTint="F2"/>
                <w:spacing w:val="-4"/>
              </w:rPr>
              <w:t>Meziročně zatím stále přibývali pracovníci i díky významnému oživení drobného podnikání, jež nastalo napříč hlavními odvětvími.</w:t>
            </w:r>
          </w:p>
        </w:tc>
        <w:tc>
          <w:tcPr>
            <w:tcW w:w="220" w:type="dxa"/>
            <w:shd w:val="clear" w:color="auto" w:fill="auto"/>
            <w:tcMar>
              <w:left w:w="0" w:type="dxa"/>
            </w:tcMar>
          </w:tcPr>
          <w:p w14:paraId="76B30CF1" w14:textId="77777777" w:rsidR="00763B23" w:rsidRPr="009F0D7F" w:rsidRDefault="00763B23" w:rsidP="000D7C6F">
            <w:pPr>
              <w:pStyle w:val="Textpoznpodarou"/>
              <w:spacing w:after="120"/>
              <w:jc w:val="both"/>
              <w:rPr>
                <w:color w:val="0D0D0D" w:themeColor="text1" w:themeTint="F2"/>
                <w:spacing w:val="-4"/>
              </w:rPr>
            </w:pPr>
          </w:p>
        </w:tc>
        <w:tc>
          <w:tcPr>
            <w:tcW w:w="7700" w:type="dxa"/>
            <w:shd w:val="clear" w:color="auto" w:fill="auto"/>
            <w:tcMar>
              <w:left w:w="0" w:type="dxa"/>
            </w:tcMar>
          </w:tcPr>
          <w:p w14:paraId="4E046AC4" w14:textId="77777777" w:rsidR="00763B23" w:rsidRDefault="00763B23" w:rsidP="000D7C6F">
            <w:r>
              <w:t>Zatímco letos v 1. čtvrtletí celková zaměstnanost</w:t>
            </w:r>
            <w:r w:rsidRPr="00FE39EE">
              <w:rPr>
                <w:color w:val="0D0D0D" w:themeColor="text1" w:themeTint="F2"/>
                <w:spacing w:val="-4"/>
                <w:vertAlign w:val="superscript"/>
              </w:rPr>
              <w:footnoteReference w:id="70"/>
            </w:r>
            <w:r>
              <w:t xml:space="preserve"> v tuzemské ekonomice </w:t>
            </w:r>
            <w:proofErr w:type="spellStart"/>
            <w:r>
              <w:t>mezikvartálně</w:t>
            </w:r>
            <w:proofErr w:type="spellEnd"/>
            <w:r>
              <w:t xml:space="preserve"> stagnovala, v následujícím období vzrostla o celé 1 % (především zásluhou oživení ve zpracovatelském průmyslu i v uskupení o</w:t>
            </w:r>
            <w:r w:rsidRPr="006C6438">
              <w:t>bchod, doprava, ubytování a pohostinství</w:t>
            </w:r>
            <w:r>
              <w:t>) a fyzický počet pracovníků současně vystoupal na rekordní úroveň (5,51 mil.). Během 3. čtvrtletí ale nastala určitá korekce, neboť zaměstnanost klesla o 0,7 %</w:t>
            </w:r>
            <w:r>
              <w:rPr>
                <w:rStyle w:val="Znakapoznpodarou"/>
              </w:rPr>
              <w:footnoteReference w:id="71"/>
            </w:r>
            <w:r>
              <w:t xml:space="preserve"> (v absolutním vyjádření se snížila i pod úroveň roku 2019) a ochlazení pracovního trhu signalizovala prakticky všechna hlavní odvětví. V meziročním srovnání ovšem růst zaměstnanosti zatím přetrvával, byť jeho tempo během dosavadní části roku postupně sláblo. V úhrnu za tři čtvrtletí přibylo proti loňsku 0,9 % (47 tis.) pracovníků</w:t>
            </w:r>
            <w:r>
              <w:rPr>
                <w:rStyle w:val="Znakapoznpodarou"/>
              </w:rPr>
              <w:footnoteReference w:id="72"/>
            </w:r>
            <w:r>
              <w:t xml:space="preserve">. Na vyšší zaměstnanosti se celou třetinou podílelo oživení podnikatelské činnosti. Stavy </w:t>
            </w:r>
            <w:proofErr w:type="spellStart"/>
            <w:r>
              <w:t>s</w:t>
            </w:r>
            <w:r>
              <w:rPr>
                <w:color w:val="0D0D0D" w:themeColor="text1" w:themeTint="F2"/>
                <w:spacing w:val="-4"/>
              </w:rPr>
              <w:t>ebezaměstnaných</w:t>
            </w:r>
            <w:proofErr w:type="spellEnd"/>
            <w:r>
              <w:rPr>
                <w:rStyle w:val="Znakapoznpodarou"/>
                <w:spacing w:val="-5"/>
              </w:rPr>
              <w:footnoteReference w:id="73"/>
            </w:r>
            <w:r>
              <w:rPr>
                <w:color w:val="0D0D0D" w:themeColor="text1" w:themeTint="F2"/>
                <w:spacing w:val="-4"/>
              </w:rPr>
              <w:t xml:space="preserve"> se rozšířily o</w:t>
            </w:r>
            <w:r>
              <w:t> </w:t>
            </w:r>
            <w:r>
              <w:rPr>
                <w:color w:val="0D0D0D" w:themeColor="text1" w:themeTint="F2"/>
                <w:spacing w:val="-4"/>
              </w:rPr>
              <w:t>2,2 % (nejvíce po roce 2010), a to zejména díky stavebnictví (+7 tis.), relativně nejvíce jich pak přibylo i vlivem nižší loňské základny v informačních a komunikačních činnostech (+9</w:t>
            </w:r>
            <w:r>
              <w:t> </w:t>
            </w:r>
            <w:r>
              <w:rPr>
                <w:color w:val="0D0D0D" w:themeColor="text1" w:themeTint="F2"/>
                <w:spacing w:val="-4"/>
              </w:rPr>
              <w:t>%) a finančnictví (+6 %). Alespoň mírný růst počtu drobných podnikatelů nastal takřka ve všech hlavních odvětvích. Navzdory tomu setrvával jejich počet v letošním 3. čtvrtletí stále významně pod úrovní z roku 2019 (−5 %, 38 tis. osob)</w:t>
            </w:r>
            <w:r>
              <w:rPr>
                <w:rStyle w:val="Znakapoznpodarou"/>
                <w:color w:val="0D0D0D" w:themeColor="text1" w:themeTint="F2"/>
                <w:spacing w:val="-4"/>
              </w:rPr>
              <w:footnoteReference w:id="74"/>
            </w:r>
            <w:r>
              <w:rPr>
                <w:color w:val="0D0D0D" w:themeColor="text1" w:themeTint="F2"/>
                <w:spacing w:val="-4"/>
              </w:rPr>
              <w:t>.</w:t>
            </w:r>
          </w:p>
        </w:tc>
      </w:tr>
      <w:tr w:rsidR="00763B23" w:rsidRPr="00045F54" w14:paraId="19D4FAC4" w14:textId="77777777" w:rsidTr="000D7C6F">
        <w:trPr>
          <w:trHeight w:val="155"/>
        </w:trPr>
        <w:tc>
          <w:tcPr>
            <w:tcW w:w="1754" w:type="dxa"/>
            <w:shd w:val="clear" w:color="auto" w:fill="auto"/>
            <w:tcMar>
              <w:left w:w="0" w:type="dxa"/>
            </w:tcMar>
          </w:tcPr>
          <w:p w14:paraId="5A3AC825" w14:textId="77777777" w:rsidR="00763B23" w:rsidRDefault="00763B23" w:rsidP="000D7C6F">
            <w:pPr>
              <w:pStyle w:val="Marginlie"/>
              <w:spacing w:after="120"/>
              <w:rPr>
                <w:color w:val="0D0D0D" w:themeColor="text1" w:themeTint="F2"/>
                <w:spacing w:val="-4"/>
              </w:rPr>
            </w:pPr>
            <w:r>
              <w:rPr>
                <w:color w:val="0D0D0D" w:themeColor="text1" w:themeTint="F2"/>
                <w:spacing w:val="-4"/>
              </w:rPr>
              <w:t>Počet zaměstnanců se zvýšil téměř výhradně jen v terciárním sektoru. V rámci něj pokračoval dlouhodobě svižný růst zaměstnanosti ve veřejných službách a také v oblasti IT.</w:t>
            </w:r>
          </w:p>
        </w:tc>
        <w:tc>
          <w:tcPr>
            <w:tcW w:w="220" w:type="dxa"/>
            <w:shd w:val="clear" w:color="auto" w:fill="auto"/>
            <w:tcMar>
              <w:left w:w="0" w:type="dxa"/>
            </w:tcMar>
          </w:tcPr>
          <w:p w14:paraId="1C1D25B6" w14:textId="77777777" w:rsidR="00763B23" w:rsidRPr="009F0D7F" w:rsidRDefault="00763B23" w:rsidP="000D7C6F">
            <w:pPr>
              <w:pStyle w:val="Textpoznpodarou"/>
              <w:spacing w:after="120"/>
              <w:jc w:val="both"/>
              <w:rPr>
                <w:color w:val="0D0D0D" w:themeColor="text1" w:themeTint="F2"/>
                <w:spacing w:val="-4"/>
              </w:rPr>
            </w:pPr>
          </w:p>
        </w:tc>
        <w:tc>
          <w:tcPr>
            <w:tcW w:w="7700" w:type="dxa"/>
            <w:shd w:val="clear" w:color="auto" w:fill="auto"/>
            <w:tcMar>
              <w:left w:w="0" w:type="dxa"/>
            </w:tcMar>
          </w:tcPr>
          <w:p w14:paraId="253C6AAB" w14:textId="77777777" w:rsidR="00763B23" w:rsidRPr="00045F54" w:rsidRDefault="00763B23" w:rsidP="000D7C6F">
            <w:pPr>
              <w:rPr>
                <w:color w:val="0D0D0D" w:themeColor="text1" w:themeTint="F2"/>
                <w:spacing w:val="-4"/>
              </w:rPr>
            </w:pPr>
            <w:r w:rsidRPr="00045F54">
              <w:rPr>
                <w:color w:val="0D0D0D" w:themeColor="text1" w:themeTint="F2"/>
                <w:spacing w:val="-4"/>
              </w:rPr>
              <w:t>Samotných zaměstnanců přibylo v 1. až 3. čtvrtletí meziročně 0,7 % (z toho ve 3. čtvrtletí se jejich přírůstek z</w:t>
            </w:r>
            <w:r>
              <w:rPr>
                <w:color w:val="0D0D0D" w:themeColor="text1" w:themeTint="F2"/>
                <w:spacing w:val="-4"/>
              </w:rPr>
              <w:t>tenčil pod 10 tis., tedy na nejnižší hodnotu</w:t>
            </w:r>
            <w:r w:rsidRPr="00045F54">
              <w:rPr>
                <w:color w:val="0D0D0D" w:themeColor="text1" w:themeTint="F2"/>
                <w:spacing w:val="-4"/>
              </w:rPr>
              <w:t xml:space="preserve"> od vrcholu pandemie na počátku roku 2021). Ve zpracovatelském průmyslu se vlivem si</w:t>
            </w:r>
            <w:r>
              <w:rPr>
                <w:color w:val="0D0D0D" w:themeColor="text1" w:themeTint="F2"/>
                <w:spacing w:val="-4"/>
              </w:rPr>
              <w:t>lného růstu výrobních nákladů i</w:t>
            </w:r>
            <w:r w:rsidRPr="00045F54">
              <w:rPr>
                <w:color w:val="0D0D0D" w:themeColor="text1" w:themeTint="F2"/>
                <w:spacing w:val="-4"/>
              </w:rPr>
              <w:t> váznoucí zahraniční poptávky projevilo postupné zhoršování situace zaměstnanců a zejména energeticky náročné obory stále častěji přistupovaly k rušení pracovních míst</w:t>
            </w:r>
            <w:r w:rsidRPr="00045F54">
              <w:rPr>
                <w:rStyle w:val="Znakapoznpodarou"/>
                <w:color w:val="0D0D0D" w:themeColor="text1" w:themeTint="F2"/>
                <w:spacing w:val="-4"/>
              </w:rPr>
              <w:footnoteReference w:id="75"/>
            </w:r>
            <w:r>
              <w:rPr>
                <w:color w:val="0D0D0D" w:themeColor="text1" w:themeTint="F2"/>
                <w:spacing w:val="-4"/>
              </w:rPr>
              <w:t xml:space="preserve"> (v</w:t>
            </w:r>
            <w:r w:rsidRPr="00045F54">
              <w:rPr>
                <w:color w:val="0D0D0D" w:themeColor="text1" w:themeTint="F2"/>
                <w:spacing w:val="-4"/>
              </w:rPr>
              <w:t xml:space="preserve"> celém odvětví jich tak ubylo o 0,9 %). Rozvíjely se naopak služby, kde se počet zaměstnanců zvýšil o 1,3 % (37 tis.), byť i zde růstové tempo v průběhu roku sláblo. Ačkoli </w:t>
            </w:r>
            <w:r w:rsidRPr="00045F54">
              <w:rPr>
                <w:color w:val="0D0D0D" w:themeColor="text1" w:themeTint="F2"/>
                <w:spacing w:val="-4"/>
              </w:rPr>
              <w:lastRenderedPageBreak/>
              <w:t xml:space="preserve">navyšování počtu pracovních míst mělo v terciárním sektoru z drtivé části plošný charakter, </w:t>
            </w:r>
            <w:r w:rsidRPr="00E2089B">
              <w:rPr>
                <w:color w:val="0D0D0D" w:themeColor="text1" w:themeTint="F2"/>
                <w:spacing w:val="-4"/>
              </w:rPr>
              <w:t>výrazně se v něm projevilo více než 2% posílení zaměstnanosti ve váhově významném segmentu veřejných služeb, kde vznikaly nové pozice v oblastech tradičně spojených s vysokým zastoupením žen (vzdělávání, zdravotní a sociální péče). Zaměstnanecká místa rostla svižným tempem i v dynamickém odvětví informačních a komunikačních činností obdobně jako v profesních, vědeckých, technických a administrativních činnostech, jež poskytují zejména náročnější služby pro podniky. Třetím rokem v řadě rostly počty zaměstnanců ve stavebnictví, letos bylo ale pro vývoj celkové zaměstnanosti v tomto odvětví významnější navýšení počtu podnikatelů. Výše uvedené odvětvové posuny se promítly do změny profesní skladby pracujících</w:t>
            </w:r>
            <w:r w:rsidRPr="00E2089B">
              <w:rPr>
                <w:rStyle w:val="Znakapoznpodarou"/>
                <w:color w:val="0D0D0D" w:themeColor="text1" w:themeTint="F2"/>
                <w:spacing w:val="-4"/>
              </w:rPr>
              <w:footnoteReference w:id="76"/>
            </w:r>
            <w:r w:rsidRPr="00E2089B">
              <w:rPr>
                <w:color w:val="0D0D0D" w:themeColor="text1" w:themeTint="F2"/>
                <w:spacing w:val="-4"/>
              </w:rPr>
              <w:t>.</w:t>
            </w:r>
          </w:p>
        </w:tc>
      </w:tr>
      <w:tr w:rsidR="00763B23" w:rsidRPr="00045F54" w14:paraId="084886A2" w14:textId="77777777" w:rsidTr="000D7C6F">
        <w:trPr>
          <w:trHeight w:val="155"/>
        </w:trPr>
        <w:tc>
          <w:tcPr>
            <w:tcW w:w="1754" w:type="dxa"/>
            <w:shd w:val="clear" w:color="auto" w:fill="auto"/>
            <w:tcMar>
              <w:left w:w="0" w:type="dxa"/>
            </w:tcMar>
          </w:tcPr>
          <w:p w14:paraId="1AA4E01C" w14:textId="77777777" w:rsidR="00763B23" w:rsidRDefault="00763B23" w:rsidP="000D7C6F">
            <w:pPr>
              <w:pStyle w:val="Marginlie"/>
              <w:spacing w:after="120"/>
              <w:rPr>
                <w:color w:val="0D0D0D" w:themeColor="text1" w:themeTint="F2"/>
                <w:spacing w:val="-4"/>
              </w:rPr>
            </w:pPr>
            <w:r>
              <w:rPr>
                <w:color w:val="0D0D0D" w:themeColor="text1" w:themeTint="F2"/>
                <w:spacing w:val="-4"/>
              </w:rPr>
              <w:lastRenderedPageBreak/>
              <w:t>Proti rychlejšímu růstu odpracovaných hodin působilo častější využívání zkrácených pracovních úvazků, zejména ve službách.</w:t>
            </w:r>
          </w:p>
        </w:tc>
        <w:tc>
          <w:tcPr>
            <w:tcW w:w="220" w:type="dxa"/>
            <w:shd w:val="clear" w:color="auto" w:fill="auto"/>
            <w:tcMar>
              <w:left w:w="0" w:type="dxa"/>
            </w:tcMar>
          </w:tcPr>
          <w:p w14:paraId="423660C6" w14:textId="77777777" w:rsidR="00763B23" w:rsidRPr="009F0D7F" w:rsidRDefault="00763B23" w:rsidP="000D7C6F">
            <w:pPr>
              <w:pStyle w:val="Textpoznpodarou"/>
              <w:spacing w:after="120"/>
              <w:jc w:val="both"/>
              <w:rPr>
                <w:color w:val="0D0D0D" w:themeColor="text1" w:themeTint="F2"/>
                <w:spacing w:val="-4"/>
              </w:rPr>
            </w:pPr>
          </w:p>
        </w:tc>
        <w:tc>
          <w:tcPr>
            <w:tcW w:w="7700" w:type="dxa"/>
            <w:shd w:val="clear" w:color="auto" w:fill="auto"/>
            <w:tcMar>
              <w:left w:w="0" w:type="dxa"/>
            </w:tcMar>
          </w:tcPr>
          <w:p w14:paraId="3B2B5429" w14:textId="77777777" w:rsidR="00763B23" w:rsidRPr="00045F54" w:rsidRDefault="00763B23" w:rsidP="000D7C6F">
            <w:pPr>
              <w:rPr>
                <w:color w:val="0D0D0D" w:themeColor="text1" w:themeTint="F2"/>
                <w:spacing w:val="-4"/>
              </w:rPr>
            </w:pPr>
            <w:r w:rsidRPr="00045F54">
              <w:rPr>
                <w:color w:val="0D0D0D" w:themeColor="text1" w:themeTint="F2"/>
                <w:spacing w:val="-4"/>
              </w:rPr>
              <w:t xml:space="preserve">Celkový počet odpracovaných hodin v ekonomice se letos v 1. až 3. čtvrtletí téměř vrátil na úroveň z roku 2019. Meziročně </w:t>
            </w:r>
            <w:r>
              <w:rPr>
                <w:color w:val="0D0D0D" w:themeColor="text1" w:themeTint="F2"/>
                <w:spacing w:val="-4"/>
              </w:rPr>
              <w:t xml:space="preserve">se </w:t>
            </w:r>
            <w:r w:rsidRPr="00045F54">
              <w:rPr>
                <w:color w:val="0D0D0D" w:themeColor="text1" w:themeTint="F2"/>
                <w:spacing w:val="-4"/>
              </w:rPr>
              <w:t>zvýšil o 0,6 %, když rostl srovnatelně jako celková zaměstnanost (po celý loňský rok přitom odpracovaná doba výrazně předbíhala tempo růstu zaměstnanosti). Proti svižnějšímu růstu odpracované doby letos působilo rozšiřování zkrácených pracovních úvazků (související s rostoucí zaměstnaností žen podpořenou uprchlickou vlnou i nově zavedeným daňovým zvýhodněním zkrácených úvazků)</w:t>
            </w:r>
            <w:r w:rsidRPr="00045F54">
              <w:rPr>
                <w:rStyle w:val="Znakapoznpodarou"/>
                <w:color w:val="0D0D0D" w:themeColor="text1" w:themeTint="F2"/>
                <w:spacing w:val="-4"/>
              </w:rPr>
              <w:footnoteReference w:id="77"/>
            </w:r>
            <w:r w:rsidRPr="00045F54">
              <w:rPr>
                <w:color w:val="0D0D0D" w:themeColor="text1" w:themeTint="F2"/>
                <w:spacing w:val="-4"/>
              </w:rPr>
              <w:t>. Růst odpracované doby významněji předbí</w:t>
            </w:r>
            <w:r>
              <w:rPr>
                <w:color w:val="0D0D0D" w:themeColor="text1" w:themeTint="F2"/>
                <w:spacing w:val="-4"/>
              </w:rPr>
              <w:t>hal dynamiku zaměstnanosti jen</w:t>
            </w:r>
            <w:r w:rsidRPr="00045F54">
              <w:rPr>
                <w:color w:val="0D0D0D" w:themeColor="text1" w:themeTint="F2"/>
                <w:spacing w:val="-4"/>
              </w:rPr>
              <w:t xml:space="preserve"> v průmyslu. V řadě </w:t>
            </w:r>
            <w:r w:rsidRPr="00045F54">
              <w:rPr>
                <w:color w:val="0D0D0D" w:themeColor="text1" w:themeTint="F2"/>
                <w:spacing w:val="-7"/>
              </w:rPr>
              <w:t>odvětví služeb, hlavně těch s vyššími nároky na kvalifikovanou pracovní sílu, tomu bylo naopak.</w:t>
            </w:r>
          </w:p>
        </w:tc>
      </w:tr>
      <w:tr w:rsidR="00763B23" w:rsidRPr="00FE39EE" w14:paraId="3E4C6D5F" w14:textId="77777777" w:rsidTr="000D7C6F">
        <w:trPr>
          <w:trHeight w:val="155"/>
        </w:trPr>
        <w:tc>
          <w:tcPr>
            <w:tcW w:w="1754" w:type="dxa"/>
            <w:shd w:val="clear" w:color="auto" w:fill="auto"/>
            <w:tcMar>
              <w:left w:w="0" w:type="dxa"/>
            </w:tcMar>
          </w:tcPr>
          <w:p w14:paraId="6161B13E" w14:textId="77777777" w:rsidR="00763B23" w:rsidRDefault="00763B23" w:rsidP="000D7C6F">
            <w:pPr>
              <w:pStyle w:val="Marginlie"/>
              <w:spacing w:after="120"/>
              <w:rPr>
                <w:color w:val="0D0D0D" w:themeColor="text1" w:themeTint="F2"/>
                <w:spacing w:val="-4"/>
              </w:rPr>
            </w:pPr>
            <w:r>
              <w:rPr>
                <w:color w:val="0D0D0D" w:themeColor="text1" w:themeTint="F2"/>
                <w:spacing w:val="-4"/>
              </w:rPr>
              <w:t>Počet cizinců v zaměstnaneckém postavení činil v říjnu 826 tis. O jeho meziroční přírůstek se skoro ze dvou třetin zasloužili Ukrajinci.</w:t>
            </w:r>
          </w:p>
        </w:tc>
        <w:tc>
          <w:tcPr>
            <w:tcW w:w="220" w:type="dxa"/>
            <w:shd w:val="clear" w:color="auto" w:fill="auto"/>
            <w:tcMar>
              <w:left w:w="0" w:type="dxa"/>
            </w:tcMar>
          </w:tcPr>
          <w:p w14:paraId="7BD980CB" w14:textId="77777777" w:rsidR="00763B23" w:rsidRPr="009F0D7F" w:rsidRDefault="00763B23" w:rsidP="000D7C6F">
            <w:pPr>
              <w:pStyle w:val="Textpoznpodarou"/>
              <w:spacing w:after="120"/>
              <w:jc w:val="both"/>
              <w:rPr>
                <w:color w:val="0D0D0D" w:themeColor="text1" w:themeTint="F2"/>
                <w:spacing w:val="-4"/>
              </w:rPr>
            </w:pPr>
          </w:p>
        </w:tc>
        <w:tc>
          <w:tcPr>
            <w:tcW w:w="7700" w:type="dxa"/>
            <w:shd w:val="clear" w:color="auto" w:fill="auto"/>
            <w:tcMar>
              <w:left w:w="0" w:type="dxa"/>
            </w:tcMar>
          </w:tcPr>
          <w:p w14:paraId="622EF3D0" w14:textId="77777777" w:rsidR="00763B23" w:rsidRPr="00FE39EE" w:rsidRDefault="00763B23" w:rsidP="000D7C6F">
            <w:pPr>
              <w:rPr>
                <w:color w:val="0D0D0D" w:themeColor="text1" w:themeTint="F2"/>
                <w:spacing w:val="-4"/>
              </w:rPr>
            </w:pPr>
            <w:r>
              <w:rPr>
                <w:color w:val="0D0D0D" w:themeColor="text1" w:themeTint="F2"/>
                <w:spacing w:val="-6"/>
              </w:rPr>
              <w:t>S ohledem na dlouhodobě značně omezený rezervoár</w:t>
            </w:r>
            <w:r w:rsidRPr="00031007">
              <w:rPr>
                <w:color w:val="0D0D0D" w:themeColor="text1" w:themeTint="F2"/>
                <w:spacing w:val="-6"/>
              </w:rPr>
              <w:t xml:space="preserve"> volných </w:t>
            </w:r>
            <w:r>
              <w:rPr>
                <w:color w:val="0D0D0D" w:themeColor="text1" w:themeTint="F2"/>
                <w:spacing w:val="-6"/>
              </w:rPr>
              <w:t>pracovních sil v Česku i sílící tlak firem</w:t>
            </w:r>
            <w:r w:rsidRPr="00031007">
              <w:rPr>
                <w:color w:val="0D0D0D" w:themeColor="text1" w:themeTint="F2"/>
                <w:spacing w:val="-6"/>
              </w:rPr>
              <w:t xml:space="preserve"> na </w:t>
            </w:r>
            <w:r w:rsidRPr="00EC70E1">
              <w:rPr>
                <w:color w:val="0D0D0D" w:themeColor="text1" w:themeTint="F2"/>
                <w:spacing w:val="-6"/>
              </w:rPr>
              <w:t xml:space="preserve">optimalizaci výrobních nákladů </w:t>
            </w:r>
            <w:r>
              <w:rPr>
                <w:color w:val="0D0D0D" w:themeColor="text1" w:themeTint="F2"/>
                <w:spacing w:val="-6"/>
              </w:rPr>
              <w:t xml:space="preserve">poptávali </w:t>
            </w:r>
            <w:r w:rsidRPr="00EC70E1">
              <w:rPr>
                <w:color w:val="0D0D0D" w:themeColor="text1" w:themeTint="F2"/>
                <w:spacing w:val="-6"/>
              </w:rPr>
              <w:t xml:space="preserve">tuzemští zaměstnavatelé </w:t>
            </w:r>
            <w:r>
              <w:rPr>
                <w:color w:val="0D0D0D" w:themeColor="text1" w:themeTint="F2"/>
                <w:spacing w:val="-6"/>
              </w:rPr>
              <w:t>nadále</w:t>
            </w:r>
            <w:r w:rsidRPr="00EC70E1">
              <w:rPr>
                <w:color w:val="0D0D0D" w:themeColor="text1" w:themeTint="F2"/>
                <w:spacing w:val="-6"/>
              </w:rPr>
              <w:t xml:space="preserve"> </w:t>
            </w:r>
            <w:r>
              <w:rPr>
                <w:color w:val="0D0D0D" w:themeColor="text1" w:themeTint="F2"/>
                <w:spacing w:val="-6"/>
              </w:rPr>
              <w:t xml:space="preserve">intenzivně </w:t>
            </w:r>
            <w:r w:rsidRPr="00EC70E1">
              <w:rPr>
                <w:color w:val="0D0D0D" w:themeColor="text1" w:themeTint="F2"/>
                <w:spacing w:val="-6"/>
              </w:rPr>
              <w:t>nové pracovníky ze zahraničí.</w:t>
            </w:r>
            <w:r>
              <w:rPr>
                <w:color w:val="0D0D0D" w:themeColor="text1" w:themeTint="F2"/>
                <w:spacing w:val="-6"/>
              </w:rPr>
              <w:t xml:space="preserve"> Snadnějšímu zaměstnávání cizinců pomáhají legislativní změny snižující administrativní náročnost v této oblasti. Po dočasném zpomalení přílivu zahraničních pracovníků do ČR na počátku letošního roku došlo ve 2. i 3. čtvrtletí opět k výraznějšímu nárůstu registrací. </w:t>
            </w:r>
            <w:r>
              <w:t>Letos na konci října pracovalo (</w:t>
            </w:r>
            <w:r w:rsidRPr="00031007">
              <w:rPr>
                <w:color w:val="0D0D0D" w:themeColor="text1" w:themeTint="F2"/>
                <w:spacing w:val="-6"/>
              </w:rPr>
              <w:t xml:space="preserve">dle evidence úřadů práce) </w:t>
            </w:r>
            <w:r>
              <w:t xml:space="preserve">v zaměstnaneckém postavení v ČR rekordních </w:t>
            </w:r>
            <w:r>
              <w:rPr>
                <w:rStyle w:val="normaltextrun"/>
                <w:rFonts w:eastAsia="MS Gothic" w:cs="Arial"/>
                <w:szCs w:val="20"/>
              </w:rPr>
              <w:t>826 tis. cizinců v zaměstnaneckém postavení</w:t>
            </w:r>
            <w:r>
              <w:rPr>
                <w:rStyle w:val="Znakapoznpodarou"/>
                <w:rFonts w:eastAsia="MS Gothic"/>
                <w:szCs w:val="20"/>
              </w:rPr>
              <w:footnoteReference w:id="78"/>
            </w:r>
            <w:r>
              <w:rPr>
                <w:rStyle w:val="normaltextrun"/>
                <w:rFonts w:eastAsia="MS Gothic" w:cs="Arial"/>
                <w:szCs w:val="20"/>
              </w:rPr>
              <w:t xml:space="preserve"> (z toho 287 tis. z Ukrajiny, z nich 151 tis. žen), meziročně stoupl počet všech cizinců o 32 tis. (za dva roky bezmála o 100 tis.), z toho z Ukrajiny o 19 tis., z nich žen o 11 tis</w:t>
            </w:r>
            <w:r>
              <w:rPr>
                <w:rStyle w:val="Znakapoznpodarou"/>
              </w:rPr>
              <w:footnoteReference w:id="79"/>
            </w:r>
            <w:r>
              <w:rPr>
                <w:rStyle w:val="normaltextrun"/>
                <w:rFonts w:eastAsia="MS Gothic" w:cs="Arial"/>
                <w:szCs w:val="20"/>
              </w:rPr>
              <w:t xml:space="preserve">. </w:t>
            </w:r>
            <w:r>
              <w:t>Přírůstek ostatních skupin cizinců byl za stejné období řádově nižší</w:t>
            </w:r>
            <w:r>
              <w:rPr>
                <w:rStyle w:val="Znakapoznpodarou"/>
              </w:rPr>
              <w:footnoteReference w:id="80"/>
            </w:r>
            <w:r>
              <w:t>. Plynule a konstantním tempem v posledních letech roste počet cizinců, kteří jsou držiteli živnostenského oprávnění</w:t>
            </w:r>
            <w:r>
              <w:rPr>
                <w:rStyle w:val="Znakapoznpodarou"/>
              </w:rPr>
              <w:footnoteReference w:id="81"/>
            </w:r>
            <w:r>
              <w:t>. Mezi nimi se (ve srovnání s cizinci v zaměstnaneckém postavení) častěji vyskytují lidé dlouhodobě usazeni v České republice.</w:t>
            </w:r>
          </w:p>
        </w:tc>
      </w:tr>
      <w:tr w:rsidR="00763B23" w:rsidRPr="00031007" w14:paraId="16DF5332" w14:textId="77777777" w:rsidTr="000D7C6F">
        <w:trPr>
          <w:trHeight w:val="155"/>
        </w:trPr>
        <w:tc>
          <w:tcPr>
            <w:tcW w:w="1754" w:type="dxa"/>
            <w:shd w:val="clear" w:color="auto" w:fill="auto"/>
            <w:tcMar>
              <w:left w:w="0" w:type="dxa"/>
            </w:tcMar>
          </w:tcPr>
          <w:p w14:paraId="150CA430" w14:textId="77777777" w:rsidR="00763B23" w:rsidRDefault="00763B23" w:rsidP="000D7C6F">
            <w:pPr>
              <w:pStyle w:val="Marginlie"/>
              <w:rPr>
                <w:color w:val="0D0D0D" w:themeColor="text1" w:themeTint="F2"/>
                <w:spacing w:val="-4"/>
              </w:rPr>
            </w:pPr>
            <w:r>
              <w:rPr>
                <w:color w:val="0D0D0D" w:themeColor="text1" w:themeTint="F2"/>
                <w:spacing w:val="-4"/>
              </w:rPr>
              <w:t>Očekávání podniků v oblasti zaměstnanosti se stabilizovala. Mírný optimismus si udržovali obchodníci, opačně na tom byl průmysl i služby.</w:t>
            </w:r>
          </w:p>
          <w:p w14:paraId="210394A4" w14:textId="77777777" w:rsidR="00763B23" w:rsidRDefault="00763B23" w:rsidP="000D7C6F">
            <w:pPr>
              <w:pStyle w:val="Marginlie"/>
              <w:spacing w:after="120"/>
              <w:rPr>
                <w:color w:val="0D0D0D" w:themeColor="text1" w:themeTint="F2"/>
                <w:spacing w:val="-4"/>
              </w:rPr>
            </w:pPr>
          </w:p>
        </w:tc>
        <w:tc>
          <w:tcPr>
            <w:tcW w:w="220" w:type="dxa"/>
            <w:shd w:val="clear" w:color="auto" w:fill="auto"/>
            <w:tcMar>
              <w:left w:w="0" w:type="dxa"/>
            </w:tcMar>
          </w:tcPr>
          <w:p w14:paraId="216A0AD5" w14:textId="77777777" w:rsidR="00763B23" w:rsidRPr="009F0D7F" w:rsidRDefault="00763B23" w:rsidP="000D7C6F">
            <w:pPr>
              <w:pStyle w:val="Textpoznpodarou"/>
              <w:spacing w:after="120"/>
              <w:jc w:val="both"/>
              <w:rPr>
                <w:color w:val="0D0D0D" w:themeColor="text1" w:themeTint="F2"/>
                <w:spacing w:val="-4"/>
              </w:rPr>
            </w:pPr>
          </w:p>
        </w:tc>
        <w:tc>
          <w:tcPr>
            <w:tcW w:w="7700" w:type="dxa"/>
            <w:shd w:val="clear" w:color="auto" w:fill="auto"/>
            <w:tcMar>
              <w:left w:w="0" w:type="dxa"/>
            </w:tcMar>
          </w:tcPr>
          <w:p w14:paraId="7C2E4A24" w14:textId="2AFFFB2F" w:rsidR="00763B23" w:rsidRPr="00031007" w:rsidRDefault="00763B23" w:rsidP="000D7C6F">
            <w:pPr>
              <w:rPr>
                <w:color w:val="0D0D0D" w:themeColor="text1" w:themeTint="F2"/>
                <w:spacing w:val="-6"/>
              </w:rPr>
            </w:pPr>
            <w:r w:rsidRPr="00637595">
              <w:rPr>
                <w:color w:val="0D0D0D" w:themeColor="text1" w:themeTint="F2"/>
                <w:spacing w:val="-4"/>
              </w:rPr>
              <w:t>Krátkodobá očekávání podniků v </w:t>
            </w:r>
            <w:r w:rsidRPr="00A60C4D">
              <w:rPr>
                <w:color w:val="0D0D0D" w:themeColor="text1" w:themeTint="F2"/>
                <w:spacing w:val="-4"/>
              </w:rPr>
              <w:t>celé ekonomice v oblasti zaměstnanosti</w:t>
            </w:r>
            <w:r>
              <w:rPr>
                <w:color w:val="0D0D0D" w:themeColor="text1" w:themeTint="F2"/>
                <w:spacing w:val="-4"/>
              </w:rPr>
              <w:t xml:space="preserve"> se od letošního února (kdy klesla na dvouleté minimum) stabilizovala. Pesimismus podnikatelů se v žádném z hlavních odvětví již významně neprohluboval. Dle údajů z listopadu 2023 </w:t>
            </w:r>
            <w:r>
              <w:rPr>
                <w:rStyle w:val="eop"/>
                <w:rFonts w:eastAsia="MS Gothic" w:cs="Arial"/>
                <w:szCs w:val="20"/>
              </w:rPr>
              <w:t>uvažovala o</w:t>
            </w:r>
            <w:r>
              <w:t> </w:t>
            </w:r>
            <w:r>
              <w:rPr>
                <w:rStyle w:val="eop"/>
                <w:rFonts w:eastAsia="MS Gothic" w:cs="Arial"/>
                <w:szCs w:val="20"/>
              </w:rPr>
              <w:t>propuštění pracovníků šestina podniků v průmyslu, ale i ve stavebnictví a</w:t>
            </w:r>
            <w:r w:rsidRPr="00637595">
              <w:rPr>
                <w:color w:val="0D0D0D" w:themeColor="text1" w:themeTint="F2"/>
                <w:spacing w:val="-4"/>
              </w:rPr>
              <w:t> </w:t>
            </w:r>
            <w:r>
              <w:rPr>
                <w:rStyle w:val="eop"/>
                <w:rFonts w:eastAsia="MS Gothic" w:cs="Arial"/>
                <w:szCs w:val="20"/>
              </w:rPr>
              <w:t>čtvrtina firem ve službách. V obchodě šlo ovšem jen o 10 % firem, naopak nabírání zaměstnanců zde plánovalo 23 %</w:t>
            </w:r>
            <w:r>
              <w:rPr>
                <w:color w:val="0D0D0D" w:themeColor="text1" w:themeTint="F2"/>
                <w:spacing w:val="-4"/>
              </w:rPr>
              <w:t xml:space="preserve"> (obchodní podniky si udržovaly pozitivní výhled i přes přetrvávající slabou spotřebu domácností). Situace na úrovni dílčích odvětví v rámci průmyslu i služeb se </w:t>
            </w:r>
            <w:r w:rsidRPr="007B5F31">
              <w:rPr>
                <w:color w:val="0D0D0D" w:themeColor="text1" w:themeTint="F2"/>
                <w:spacing w:val="-4"/>
              </w:rPr>
              <w:lastRenderedPageBreak/>
              <w:t>odlišovala</w:t>
            </w:r>
            <w:r w:rsidRPr="007B5F31">
              <w:rPr>
                <w:rStyle w:val="Znakapoznpodarou"/>
                <w:color w:val="0D0D0D" w:themeColor="text1" w:themeTint="F2"/>
                <w:spacing w:val="-4"/>
              </w:rPr>
              <w:footnoteReference w:id="82"/>
            </w:r>
            <w:r w:rsidRPr="007B5F31">
              <w:rPr>
                <w:color w:val="0D0D0D" w:themeColor="text1" w:themeTint="F2"/>
                <w:spacing w:val="-4"/>
              </w:rPr>
              <w:t xml:space="preserve">. Vlivem </w:t>
            </w:r>
            <w:r>
              <w:rPr>
                <w:color w:val="0D0D0D" w:themeColor="text1" w:themeTint="F2"/>
                <w:spacing w:val="-4"/>
              </w:rPr>
              <w:t>zhoršování</w:t>
            </w:r>
            <w:r w:rsidRPr="00A60C4D">
              <w:rPr>
                <w:color w:val="0D0D0D" w:themeColor="text1" w:themeTint="F2"/>
                <w:spacing w:val="-4"/>
              </w:rPr>
              <w:t xml:space="preserve"> celkových ekonomických výhledů</w:t>
            </w:r>
            <w:r>
              <w:rPr>
                <w:color w:val="0D0D0D" w:themeColor="text1" w:themeTint="F2"/>
                <w:spacing w:val="-4"/>
              </w:rPr>
              <w:t xml:space="preserve"> i silného přílivu osob z Ukrajiny na tuzemský pracovní trh klesal ve většině</w:t>
            </w:r>
            <w:r w:rsidRPr="00A60C4D">
              <w:rPr>
                <w:color w:val="0D0D0D" w:themeColor="text1" w:themeTint="F2"/>
                <w:spacing w:val="-4"/>
              </w:rPr>
              <w:t xml:space="preserve"> </w:t>
            </w:r>
            <w:r>
              <w:rPr>
                <w:color w:val="0D0D0D" w:themeColor="text1" w:themeTint="F2"/>
                <w:spacing w:val="-4"/>
              </w:rPr>
              <w:t>hlavních odvětví</w:t>
            </w:r>
            <w:r w:rsidRPr="00A60C4D">
              <w:rPr>
                <w:color w:val="0D0D0D" w:themeColor="text1" w:themeTint="F2"/>
                <w:spacing w:val="-4"/>
              </w:rPr>
              <w:t xml:space="preserve"> </w:t>
            </w:r>
            <w:r>
              <w:rPr>
                <w:color w:val="0D0D0D" w:themeColor="text1" w:themeTint="F2"/>
                <w:spacing w:val="-4"/>
              </w:rPr>
              <w:t>podíl</w:t>
            </w:r>
            <w:r w:rsidRPr="00A60C4D">
              <w:rPr>
                <w:color w:val="0D0D0D" w:themeColor="text1" w:themeTint="F2"/>
                <w:spacing w:val="-4"/>
              </w:rPr>
              <w:t xml:space="preserve"> podniků, pro něž představuje nedostatek pracovní síly jednu z </w:t>
            </w:r>
            <w:r>
              <w:rPr>
                <w:color w:val="0D0D0D" w:themeColor="text1" w:themeTint="F2"/>
                <w:spacing w:val="-4"/>
              </w:rPr>
              <w:t>významných růstových bariér – nejvíce ve stavebnictví.</w:t>
            </w:r>
          </w:p>
        </w:tc>
      </w:tr>
      <w:tr w:rsidR="00763B23" w:rsidRPr="00CA5850" w14:paraId="13C9DC8F" w14:textId="77777777" w:rsidTr="000D7C6F">
        <w:trPr>
          <w:trHeight w:val="155"/>
        </w:trPr>
        <w:tc>
          <w:tcPr>
            <w:tcW w:w="1754" w:type="dxa"/>
            <w:vMerge w:val="restart"/>
            <w:shd w:val="clear" w:color="auto" w:fill="auto"/>
            <w:tcMar>
              <w:left w:w="0" w:type="dxa"/>
            </w:tcMar>
          </w:tcPr>
          <w:p w14:paraId="1087726B" w14:textId="77777777" w:rsidR="00763B23" w:rsidRPr="00B43216" w:rsidRDefault="00763B23" w:rsidP="000D7C6F">
            <w:pPr>
              <w:pStyle w:val="Marginlie"/>
              <w:spacing w:after="120"/>
              <w:rPr>
                <w:spacing w:val="-4"/>
              </w:rPr>
            </w:pPr>
          </w:p>
        </w:tc>
        <w:tc>
          <w:tcPr>
            <w:tcW w:w="220" w:type="dxa"/>
            <w:vMerge w:val="restart"/>
            <w:shd w:val="clear" w:color="auto" w:fill="auto"/>
            <w:tcMar>
              <w:left w:w="0" w:type="dxa"/>
            </w:tcMar>
          </w:tcPr>
          <w:p w14:paraId="373D30C3" w14:textId="77777777" w:rsidR="00763B23" w:rsidRPr="00B43216" w:rsidRDefault="00763B23" w:rsidP="000D7C6F">
            <w:pPr>
              <w:pStyle w:val="Textpoznpodarou"/>
              <w:spacing w:after="120"/>
              <w:jc w:val="both"/>
              <w:rPr>
                <w:spacing w:val="-4"/>
              </w:rPr>
            </w:pPr>
          </w:p>
        </w:tc>
        <w:tc>
          <w:tcPr>
            <w:tcW w:w="7700" w:type="dxa"/>
            <w:shd w:val="clear" w:color="auto" w:fill="auto"/>
            <w:tcMar>
              <w:left w:w="0" w:type="dxa"/>
            </w:tcMar>
          </w:tcPr>
          <w:p w14:paraId="41848407" w14:textId="77777777" w:rsidR="00763B23" w:rsidRPr="00CA5850" w:rsidRDefault="00763B23" w:rsidP="000D7C6F">
            <w:pPr>
              <w:spacing w:after="0"/>
              <w:rPr>
                <w:spacing w:val="-2"/>
              </w:rPr>
            </w:pPr>
            <w:r>
              <w:rPr>
                <w:rFonts w:cs="Arial"/>
                <w:b/>
                <w:bCs/>
                <w:color w:val="000000"/>
                <w:szCs w:val="20"/>
              </w:rPr>
              <w:t>Graf č. 13</w:t>
            </w:r>
            <w:r w:rsidRPr="0068569E">
              <w:rPr>
                <w:rFonts w:cs="Arial"/>
                <w:b/>
                <w:bCs/>
                <w:color w:val="000000"/>
                <w:sz w:val="18"/>
                <w:szCs w:val="18"/>
              </w:rPr>
              <w:t xml:space="preserve"> </w:t>
            </w:r>
            <w:r w:rsidRPr="0068569E">
              <w:rPr>
                <w:b/>
                <w:bCs/>
                <w:lang w:eastAsia="en-US"/>
              </w:rPr>
              <w:t xml:space="preserve">Celková zaměstnanost </w:t>
            </w:r>
            <w:r w:rsidRPr="0068569E">
              <w:rPr>
                <w:lang w:eastAsia="en-US"/>
              </w:rPr>
              <w:t>(</w:t>
            </w:r>
            <w:r w:rsidRPr="0068569E">
              <w:rPr>
                <w:spacing w:val="-2"/>
              </w:rPr>
              <w:t>meziročně v</w:t>
            </w:r>
            <w:r>
              <w:rPr>
                <w:spacing w:val="-2"/>
              </w:rPr>
              <w:t> %</w:t>
            </w:r>
            <w:r w:rsidRPr="0068569E">
              <w:rPr>
                <w:spacing w:val="-2"/>
              </w:rPr>
              <w:t>)</w:t>
            </w:r>
            <w:r w:rsidRPr="0068569E">
              <w:rPr>
                <w:b/>
                <w:bCs/>
                <w:spacing w:val="-2"/>
              </w:rPr>
              <w:t xml:space="preserve">, </w:t>
            </w:r>
            <w:r>
              <w:rPr>
                <w:b/>
                <w:bCs/>
                <w:spacing w:val="-2"/>
              </w:rPr>
              <w:t xml:space="preserve">příspěvky </w:t>
            </w:r>
            <w:r w:rsidRPr="0068569E">
              <w:rPr>
                <w:b/>
                <w:bCs/>
                <w:spacing w:val="-2"/>
              </w:rPr>
              <w:t xml:space="preserve">odvětví k meziroční změně zaměstnanosti </w:t>
            </w:r>
            <w:r w:rsidRPr="0068569E">
              <w:rPr>
                <w:spacing w:val="-2"/>
              </w:rPr>
              <w:t>(v</w:t>
            </w:r>
            <w:r>
              <w:rPr>
                <w:spacing w:val="-2"/>
              </w:rPr>
              <w:t> p. b.</w:t>
            </w:r>
            <w:r w:rsidRPr="0068569E">
              <w:rPr>
                <w:spacing w:val="-2"/>
              </w:rPr>
              <w:t>)</w:t>
            </w:r>
            <w:r w:rsidRPr="0068569E">
              <w:rPr>
                <w:b/>
                <w:bCs/>
                <w:spacing w:val="-2"/>
              </w:rPr>
              <w:t xml:space="preserve"> a očekávání vývoje zaměst</w:t>
            </w:r>
            <w:r>
              <w:rPr>
                <w:b/>
                <w:bCs/>
                <w:spacing w:val="-2"/>
              </w:rPr>
              <w:t>nanosti</w:t>
            </w:r>
            <w:r w:rsidRPr="0068569E">
              <w:rPr>
                <w:b/>
                <w:bCs/>
                <w:spacing w:val="-2"/>
              </w:rPr>
              <w:t xml:space="preserve"> </w:t>
            </w:r>
            <w:r w:rsidRPr="0068569E">
              <w:rPr>
                <w:spacing w:val="-2"/>
              </w:rPr>
              <w:t>(saldo v</w:t>
            </w:r>
            <w:r>
              <w:rPr>
                <w:spacing w:val="-2"/>
              </w:rPr>
              <w:t> p. b.)</w:t>
            </w:r>
          </w:p>
        </w:tc>
      </w:tr>
      <w:tr w:rsidR="00763B23" w:rsidRPr="00B43216" w14:paraId="6C756C67" w14:textId="77777777" w:rsidTr="000D7C6F">
        <w:tblPrEx>
          <w:tblCellMar>
            <w:left w:w="70" w:type="dxa"/>
            <w:right w:w="70" w:type="dxa"/>
          </w:tblCellMar>
        </w:tblPrEx>
        <w:trPr>
          <w:trHeight w:val="155"/>
        </w:trPr>
        <w:tc>
          <w:tcPr>
            <w:tcW w:w="1754" w:type="dxa"/>
            <w:vMerge/>
            <w:shd w:val="clear" w:color="auto" w:fill="auto"/>
          </w:tcPr>
          <w:p w14:paraId="421F0F86" w14:textId="77777777" w:rsidR="00763B23" w:rsidRPr="00B43216" w:rsidRDefault="00763B23" w:rsidP="000D7C6F">
            <w:pPr>
              <w:pStyle w:val="Marginlie"/>
              <w:spacing w:after="120"/>
              <w:rPr>
                <w:spacing w:val="-4"/>
              </w:rPr>
            </w:pPr>
          </w:p>
        </w:tc>
        <w:tc>
          <w:tcPr>
            <w:tcW w:w="220" w:type="dxa"/>
            <w:vMerge/>
            <w:shd w:val="clear" w:color="auto" w:fill="auto"/>
          </w:tcPr>
          <w:p w14:paraId="3CA35CA6" w14:textId="77777777" w:rsidR="00763B23" w:rsidRPr="00B43216" w:rsidRDefault="00763B23" w:rsidP="000D7C6F">
            <w:pPr>
              <w:pStyle w:val="Textpoznpodarou"/>
              <w:spacing w:after="120"/>
              <w:jc w:val="both"/>
              <w:rPr>
                <w:spacing w:val="-4"/>
              </w:rPr>
            </w:pPr>
          </w:p>
        </w:tc>
        <w:tc>
          <w:tcPr>
            <w:tcW w:w="7700" w:type="dxa"/>
            <w:shd w:val="clear" w:color="auto" w:fill="auto"/>
          </w:tcPr>
          <w:p w14:paraId="62262565" w14:textId="77777777" w:rsidR="00763B23" w:rsidRPr="00B43216" w:rsidRDefault="00763B23" w:rsidP="000D7C6F">
            <w:pPr>
              <w:spacing w:after="0"/>
              <w:rPr>
                <w:spacing w:val="-4"/>
              </w:rPr>
            </w:pPr>
            <w:r>
              <w:rPr>
                <w:noProof/>
              </w:rPr>
              <w:drawing>
                <wp:inline distT="0" distB="0" distL="0" distR="0" wp14:anchorId="66FDC298" wp14:editId="301F3369">
                  <wp:extent cx="4678844" cy="3812048"/>
                  <wp:effectExtent l="0" t="0" r="762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763B23" w:rsidRPr="00485ED5" w14:paraId="47A71FC8" w14:textId="77777777" w:rsidTr="000D7C6F">
        <w:trPr>
          <w:trHeight w:val="671"/>
        </w:trPr>
        <w:tc>
          <w:tcPr>
            <w:tcW w:w="1754" w:type="dxa"/>
            <w:vMerge/>
            <w:shd w:val="clear" w:color="auto" w:fill="auto"/>
            <w:tcMar>
              <w:left w:w="0" w:type="dxa"/>
            </w:tcMar>
          </w:tcPr>
          <w:p w14:paraId="6FCCAE04" w14:textId="77777777" w:rsidR="00763B23" w:rsidRPr="00B43216" w:rsidRDefault="00763B23" w:rsidP="000D7C6F">
            <w:pPr>
              <w:pStyle w:val="Marginlie"/>
              <w:spacing w:after="120"/>
              <w:rPr>
                <w:spacing w:val="-4"/>
              </w:rPr>
            </w:pPr>
          </w:p>
        </w:tc>
        <w:tc>
          <w:tcPr>
            <w:tcW w:w="220" w:type="dxa"/>
            <w:vMerge/>
            <w:shd w:val="clear" w:color="auto" w:fill="auto"/>
            <w:tcMar>
              <w:left w:w="0" w:type="dxa"/>
            </w:tcMar>
          </w:tcPr>
          <w:p w14:paraId="1A3CC05F" w14:textId="77777777" w:rsidR="00763B23" w:rsidRPr="00B43216" w:rsidRDefault="00763B23" w:rsidP="000D7C6F">
            <w:pPr>
              <w:pStyle w:val="Textpoznpodarou"/>
              <w:spacing w:after="120"/>
              <w:jc w:val="both"/>
              <w:rPr>
                <w:spacing w:val="-4"/>
              </w:rPr>
            </w:pPr>
          </w:p>
        </w:tc>
        <w:tc>
          <w:tcPr>
            <w:tcW w:w="7700" w:type="dxa"/>
            <w:shd w:val="clear" w:color="auto" w:fill="auto"/>
            <w:tcMar>
              <w:left w:w="0" w:type="dxa"/>
            </w:tcMar>
          </w:tcPr>
          <w:p w14:paraId="27ACCC2A" w14:textId="77777777" w:rsidR="00763B23" w:rsidRDefault="00763B23" w:rsidP="000D7C6F">
            <w:pPr>
              <w:spacing w:after="0" w:line="240" w:lineRule="auto"/>
              <w:rPr>
                <w:rFonts w:cs="Arial"/>
                <w:sz w:val="14"/>
                <w:szCs w:val="14"/>
              </w:rPr>
            </w:pPr>
            <w:r>
              <w:rPr>
                <w:rFonts w:cs="Arial"/>
                <w:color w:val="0D0D0D" w:themeColor="text1" w:themeTint="F2"/>
                <w:spacing w:val="-2"/>
                <w:sz w:val="14"/>
                <w:szCs w:val="14"/>
              </w:rPr>
              <w:t>*</w:t>
            </w:r>
            <w:r w:rsidRPr="00862F17">
              <w:rPr>
                <w:rFonts w:cs="Arial"/>
                <w:sz w:val="14"/>
                <w:szCs w:val="14"/>
              </w:rPr>
              <w:t xml:space="preserve"> Těžba a</w:t>
            </w:r>
            <w:r>
              <w:rPr>
                <w:rFonts w:cs="Arial"/>
                <w:sz w:val="14"/>
                <w:szCs w:val="14"/>
              </w:rPr>
              <w:t> </w:t>
            </w:r>
            <w:r w:rsidRPr="00862F17">
              <w:rPr>
                <w:rFonts w:cs="Arial"/>
                <w:sz w:val="14"/>
                <w:szCs w:val="14"/>
              </w:rPr>
              <w:t>energetika</w:t>
            </w:r>
            <w:r>
              <w:rPr>
                <w:rFonts w:cs="Arial"/>
                <w:sz w:val="14"/>
                <w:szCs w:val="14"/>
              </w:rPr>
              <w:t>;</w:t>
            </w:r>
            <w:r w:rsidRPr="00862F17">
              <w:rPr>
                <w:rFonts w:cs="Arial"/>
                <w:sz w:val="14"/>
                <w:szCs w:val="14"/>
              </w:rPr>
              <w:t xml:space="preserve"> Peněžnictví a</w:t>
            </w:r>
            <w:r>
              <w:rPr>
                <w:rFonts w:cs="Arial"/>
                <w:sz w:val="14"/>
                <w:szCs w:val="14"/>
              </w:rPr>
              <w:t> </w:t>
            </w:r>
            <w:r w:rsidRPr="00862F17">
              <w:rPr>
                <w:rFonts w:cs="Arial"/>
                <w:sz w:val="14"/>
                <w:szCs w:val="14"/>
              </w:rPr>
              <w:t>pojišťovnictví</w:t>
            </w:r>
            <w:r>
              <w:rPr>
                <w:rFonts w:cs="Arial"/>
                <w:sz w:val="14"/>
                <w:szCs w:val="14"/>
              </w:rPr>
              <w:t>;</w:t>
            </w:r>
            <w:r w:rsidRPr="00862F17">
              <w:rPr>
                <w:rFonts w:cs="Arial"/>
                <w:sz w:val="14"/>
                <w:szCs w:val="14"/>
              </w:rPr>
              <w:t xml:space="preserve"> Činnosti v</w:t>
            </w:r>
            <w:r>
              <w:rPr>
                <w:rFonts w:cs="Arial"/>
                <w:sz w:val="14"/>
                <w:szCs w:val="14"/>
              </w:rPr>
              <w:t> </w:t>
            </w:r>
            <w:r w:rsidRPr="00862F17">
              <w:rPr>
                <w:rFonts w:cs="Arial"/>
                <w:sz w:val="14"/>
                <w:szCs w:val="14"/>
              </w:rPr>
              <w:t>oblasti nemovitostí</w:t>
            </w:r>
            <w:r>
              <w:rPr>
                <w:rFonts w:cs="Arial"/>
                <w:sz w:val="14"/>
                <w:szCs w:val="14"/>
              </w:rPr>
              <w:t>;</w:t>
            </w:r>
            <w:r w:rsidRPr="00862F17">
              <w:rPr>
                <w:rFonts w:cs="Arial"/>
                <w:sz w:val="14"/>
                <w:szCs w:val="14"/>
              </w:rPr>
              <w:t xml:space="preserve"> Kulturní, zábavní a</w:t>
            </w:r>
            <w:r w:rsidRPr="00D47653">
              <w:rPr>
                <w:sz w:val="14"/>
                <w:szCs w:val="14"/>
              </w:rPr>
              <w:t> </w:t>
            </w:r>
            <w:r w:rsidRPr="00862F17">
              <w:rPr>
                <w:rFonts w:cs="Arial"/>
                <w:sz w:val="14"/>
                <w:szCs w:val="14"/>
              </w:rPr>
              <w:t>rekreační činnosti</w:t>
            </w:r>
            <w:r>
              <w:rPr>
                <w:rFonts w:cs="Arial"/>
                <w:sz w:val="14"/>
                <w:szCs w:val="14"/>
              </w:rPr>
              <w:t>.</w:t>
            </w:r>
          </w:p>
          <w:p w14:paraId="2B211DF5" w14:textId="77777777" w:rsidR="00763B23" w:rsidRDefault="00763B23" w:rsidP="000D7C6F">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očekávání vyjadřuje rozdíl v p. b. mezi kategoriemi růst versus pokles zaměstnanosti v nejbližších třech měsících. Údaje jsou sezónně očištěny a vztahují se k druhému měsíci daného čtvrtletí.</w:t>
            </w:r>
          </w:p>
          <w:p w14:paraId="30870A69" w14:textId="77777777" w:rsidR="00763B23" w:rsidRPr="00485ED5" w:rsidRDefault="00763B23" w:rsidP="000D7C6F">
            <w:pPr>
              <w:spacing w:after="200" w:line="240" w:lineRule="auto"/>
              <w:rPr>
                <w:rFonts w:cs="Arial"/>
                <w:color w:val="0D0D0D" w:themeColor="text1" w:themeTint="F2"/>
                <w:spacing w:val="-2"/>
                <w:sz w:val="14"/>
                <w:szCs w:val="14"/>
              </w:rPr>
            </w:pPr>
            <w:r>
              <w:rPr>
                <w:rFonts w:cs="Arial"/>
                <w:sz w:val="14"/>
                <w:szCs w:val="14"/>
              </w:rPr>
              <w:t xml:space="preserve">Zdroj: ČSÚ (národní účty), </w:t>
            </w:r>
            <w:proofErr w:type="spellStart"/>
            <w:r>
              <w:rPr>
                <w:rFonts w:cs="Arial"/>
                <w:sz w:val="14"/>
                <w:szCs w:val="14"/>
              </w:rPr>
              <w:t>Eurostat</w:t>
            </w:r>
            <w:proofErr w:type="spellEnd"/>
            <w:r>
              <w:rPr>
                <w:rFonts w:cs="Arial"/>
                <w:sz w:val="14"/>
                <w:szCs w:val="14"/>
              </w:rPr>
              <w:t xml:space="preserve"> (konjunkturální průzkumy).</w:t>
            </w:r>
          </w:p>
        </w:tc>
      </w:tr>
      <w:tr w:rsidR="00763B23" w:rsidRPr="00514822" w14:paraId="01133841" w14:textId="77777777" w:rsidTr="000D7C6F">
        <w:trPr>
          <w:trHeight w:val="145"/>
        </w:trPr>
        <w:tc>
          <w:tcPr>
            <w:tcW w:w="1754" w:type="dxa"/>
            <w:shd w:val="clear" w:color="auto" w:fill="auto"/>
            <w:tcMar>
              <w:left w:w="0" w:type="dxa"/>
            </w:tcMar>
          </w:tcPr>
          <w:p w14:paraId="717B19FD" w14:textId="77777777" w:rsidR="00763B23" w:rsidRDefault="00763B23" w:rsidP="000D7C6F">
            <w:pPr>
              <w:pStyle w:val="Marginlie"/>
              <w:rPr>
                <w:color w:val="0D0D0D" w:themeColor="text1" w:themeTint="F2"/>
                <w:spacing w:val="-5"/>
              </w:rPr>
            </w:pPr>
            <w:r>
              <w:rPr>
                <w:color w:val="0D0D0D" w:themeColor="text1" w:themeTint="F2"/>
                <w:spacing w:val="-5"/>
              </w:rPr>
              <w:t>Obecná míra nezaměstnanosti se letos zvyšovala jen mírně. I tak dosáhla v říjnu nejvýše za posledních dva a půl roku.</w:t>
            </w:r>
          </w:p>
          <w:p w14:paraId="1AA0F30D" w14:textId="77777777" w:rsidR="00763B23" w:rsidRDefault="00763B23" w:rsidP="000D7C6F">
            <w:pPr>
              <w:pStyle w:val="Marginlie"/>
              <w:rPr>
                <w:color w:val="0D0D0D" w:themeColor="text1" w:themeTint="F2"/>
                <w:spacing w:val="-5"/>
              </w:rPr>
            </w:pPr>
            <w:r>
              <w:rPr>
                <w:color w:val="0D0D0D" w:themeColor="text1" w:themeTint="F2"/>
                <w:spacing w:val="-5"/>
              </w:rPr>
              <w:lastRenderedPageBreak/>
              <w:t xml:space="preserve">Počet volných pracovních míst v ekonomice se začal meziročně snižovat. Rostla velikost potenciální pracovní mezery. </w:t>
            </w:r>
          </w:p>
          <w:p w14:paraId="2B99022E" w14:textId="77777777" w:rsidR="00763B23" w:rsidRDefault="00763B23" w:rsidP="000D7C6F">
            <w:pPr>
              <w:pStyle w:val="Marginlie"/>
              <w:rPr>
                <w:color w:val="0D0D0D" w:themeColor="text1" w:themeTint="F2"/>
                <w:spacing w:val="-5"/>
              </w:rPr>
            </w:pPr>
          </w:p>
          <w:p w14:paraId="27F56AFD" w14:textId="77777777" w:rsidR="00763B23" w:rsidRDefault="00763B23" w:rsidP="000D7C6F">
            <w:pPr>
              <w:pStyle w:val="Marginlie"/>
              <w:rPr>
                <w:color w:val="0D0D0D" w:themeColor="text1" w:themeTint="F2"/>
                <w:spacing w:val="-5"/>
              </w:rPr>
            </w:pPr>
          </w:p>
          <w:p w14:paraId="0D16424E" w14:textId="77777777" w:rsidR="00763B23" w:rsidRDefault="00763B23" w:rsidP="000D7C6F">
            <w:pPr>
              <w:pStyle w:val="Marginlie"/>
              <w:rPr>
                <w:color w:val="0D0D0D" w:themeColor="text1" w:themeTint="F2"/>
                <w:spacing w:val="-5"/>
              </w:rPr>
            </w:pPr>
          </w:p>
          <w:p w14:paraId="29FA6E5F" w14:textId="77777777" w:rsidR="00763B23" w:rsidRDefault="00763B23" w:rsidP="000D7C6F">
            <w:pPr>
              <w:pStyle w:val="Marginlie"/>
              <w:rPr>
                <w:color w:val="0D0D0D" w:themeColor="text1" w:themeTint="F2"/>
                <w:spacing w:val="-5"/>
              </w:rPr>
            </w:pPr>
          </w:p>
          <w:p w14:paraId="076909A8" w14:textId="77777777" w:rsidR="00763B23" w:rsidRDefault="00763B23" w:rsidP="000D7C6F">
            <w:pPr>
              <w:pStyle w:val="Marginlie"/>
              <w:rPr>
                <w:color w:val="0D0D0D" w:themeColor="text1" w:themeTint="F2"/>
                <w:spacing w:val="-5"/>
              </w:rPr>
            </w:pPr>
          </w:p>
          <w:p w14:paraId="63A42F05" w14:textId="77777777" w:rsidR="00763B23" w:rsidRDefault="00763B23" w:rsidP="000D7C6F">
            <w:pPr>
              <w:pStyle w:val="Marginlie"/>
              <w:rPr>
                <w:color w:val="0D0D0D" w:themeColor="text1" w:themeTint="F2"/>
                <w:spacing w:val="-5"/>
              </w:rPr>
            </w:pPr>
          </w:p>
          <w:p w14:paraId="2CACCD7A" w14:textId="77777777" w:rsidR="00763B23" w:rsidRDefault="00763B23" w:rsidP="000D7C6F">
            <w:pPr>
              <w:pStyle w:val="Marginlie"/>
              <w:rPr>
                <w:color w:val="0D0D0D" w:themeColor="text1" w:themeTint="F2"/>
                <w:spacing w:val="-5"/>
              </w:rPr>
            </w:pPr>
          </w:p>
          <w:p w14:paraId="7C53820E" w14:textId="77777777" w:rsidR="00763B23" w:rsidRDefault="00763B23" w:rsidP="000D7C6F">
            <w:pPr>
              <w:pStyle w:val="Marginlie"/>
              <w:rPr>
                <w:color w:val="0D0D0D" w:themeColor="text1" w:themeTint="F2"/>
                <w:spacing w:val="-5"/>
              </w:rPr>
            </w:pPr>
          </w:p>
          <w:p w14:paraId="2AB150E4" w14:textId="77777777" w:rsidR="00763B23" w:rsidRDefault="00763B23" w:rsidP="000D7C6F">
            <w:pPr>
              <w:pStyle w:val="Marginlie"/>
              <w:rPr>
                <w:color w:val="0D0D0D" w:themeColor="text1" w:themeTint="F2"/>
                <w:spacing w:val="-5"/>
              </w:rPr>
            </w:pPr>
          </w:p>
          <w:p w14:paraId="6F7913C4" w14:textId="77777777" w:rsidR="00763B23" w:rsidRDefault="00763B23" w:rsidP="000D7C6F">
            <w:pPr>
              <w:pStyle w:val="Marginlie"/>
              <w:rPr>
                <w:color w:val="0D0D0D" w:themeColor="text1" w:themeTint="F2"/>
                <w:spacing w:val="-5"/>
              </w:rPr>
            </w:pPr>
            <w:r>
              <w:rPr>
                <w:color w:val="0D0D0D" w:themeColor="text1" w:themeTint="F2"/>
                <w:spacing w:val="-5"/>
              </w:rPr>
              <w:t>Obavy lidí z vývoje nezaměstnanosti slábly.</w:t>
            </w:r>
          </w:p>
        </w:tc>
        <w:tc>
          <w:tcPr>
            <w:tcW w:w="220" w:type="dxa"/>
            <w:shd w:val="clear" w:color="auto" w:fill="auto"/>
            <w:tcMar>
              <w:left w:w="0" w:type="dxa"/>
            </w:tcMar>
          </w:tcPr>
          <w:p w14:paraId="12F83759" w14:textId="77777777" w:rsidR="00763B23" w:rsidRPr="00EC1398" w:rsidRDefault="00763B23" w:rsidP="000D7C6F">
            <w:pPr>
              <w:pStyle w:val="Textpoznpodarou"/>
              <w:spacing w:after="120"/>
              <w:jc w:val="both"/>
              <w:rPr>
                <w:color w:val="0D0D0D" w:themeColor="text1" w:themeTint="F2"/>
                <w:spacing w:val="-4"/>
              </w:rPr>
            </w:pPr>
          </w:p>
        </w:tc>
        <w:tc>
          <w:tcPr>
            <w:tcW w:w="7700" w:type="dxa"/>
            <w:shd w:val="clear" w:color="auto" w:fill="auto"/>
            <w:tcMar>
              <w:left w:w="0" w:type="dxa"/>
            </w:tcMar>
          </w:tcPr>
          <w:p w14:paraId="57700F99" w14:textId="77777777" w:rsidR="00763B23" w:rsidRPr="00514822" w:rsidRDefault="00763B23" w:rsidP="000D7C6F">
            <w:pPr>
              <w:spacing w:after="200"/>
              <w:rPr>
                <w:color w:val="0D0D0D" w:themeColor="text1" w:themeTint="F2"/>
                <w:spacing w:val="-4"/>
              </w:rPr>
            </w:pPr>
            <w:r w:rsidRPr="00CA570D">
              <w:rPr>
                <w:color w:val="0D0D0D" w:themeColor="text1" w:themeTint="F2"/>
                <w:spacing w:val="-6"/>
              </w:rPr>
              <w:t>Obecná míra nezaměstnanosti</w:t>
            </w:r>
            <w:r w:rsidRPr="00CA570D">
              <w:rPr>
                <w:rStyle w:val="Znakapoznpodarou"/>
                <w:color w:val="0D0D0D" w:themeColor="text1" w:themeTint="F2"/>
                <w:spacing w:val="-6"/>
              </w:rPr>
              <w:footnoteReference w:id="83"/>
            </w:r>
            <w:r w:rsidRPr="00CA570D">
              <w:rPr>
                <w:color w:val="0D0D0D" w:themeColor="text1" w:themeTint="F2"/>
                <w:spacing w:val="-6"/>
              </w:rPr>
              <w:t>, jež po většinu loňského roku stagnovala blízko historického minima, se letos začala lehce zvyšovat. V říjnu</w:t>
            </w:r>
            <w:r w:rsidRPr="00CA570D">
              <w:rPr>
                <w:rStyle w:val="normaltextrun"/>
                <w:rFonts w:eastAsia="MS Gothic" w:cs="Arial"/>
                <w:spacing w:val="-6"/>
                <w:szCs w:val="20"/>
              </w:rPr>
              <w:t xml:space="preserve"> činila rovná 3 %</w:t>
            </w:r>
            <w:r w:rsidRPr="00CA570D">
              <w:rPr>
                <w:rStyle w:val="Znakapoznpodarou"/>
                <w:color w:val="0D0D0D" w:themeColor="text1" w:themeTint="F2"/>
                <w:spacing w:val="-6"/>
              </w:rPr>
              <w:footnoteReference w:id="84"/>
            </w:r>
            <w:r>
              <w:rPr>
                <w:rStyle w:val="normaltextrun"/>
                <w:rFonts w:eastAsia="MS Gothic" w:cs="Arial"/>
                <w:spacing w:val="-6"/>
                <w:szCs w:val="20"/>
              </w:rPr>
              <w:t xml:space="preserve">, vzrostla meziměsíčně </w:t>
            </w:r>
            <w:r w:rsidRPr="00CA570D">
              <w:rPr>
                <w:rStyle w:val="normaltextrun"/>
                <w:rFonts w:eastAsia="MS Gothic" w:cs="Arial"/>
                <w:spacing w:val="-6"/>
                <w:szCs w:val="20"/>
              </w:rPr>
              <w:t>o</w:t>
            </w:r>
            <w:r w:rsidRPr="00CA570D">
              <w:rPr>
                <w:color w:val="0D0D0D" w:themeColor="text1" w:themeTint="F2"/>
                <w:spacing w:val="-6"/>
              </w:rPr>
              <w:t> </w:t>
            </w:r>
            <w:r w:rsidRPr="00CA570D">
              <w:rPr>
                <w:rStyle w:val="normaltextrun"/>
                <w:rFonts w:eastAsia="MS Gothic" w:cs="Arial"/>
                <w:spacing w:val="-6"/>
                <w:szCs w:val="20"/>
              </w:rPr>
              <w:t>0,3</w:t>
            </w:r>
            <w:r w:rsidRPr="00CA570D">
              <w:rPr>
                <w:color w:val="0D0D0D" w:themeColor="text1" w:themeTint="F2"/>
                <w:spacing w:val="-6"/>
              </w:rPr>
              <w:t> </w:t>
            </w:r>
            <w:r w:rsidRPr="00CA570D">
              <w:rPr>
                <w:rStyle w:val="normaltextrun"/>
                <w:rFonts w:eastAsia="MS Gothic" w:cs="Arial"/>
                <w:spacing w:val="-6"/>
                <w:szCs w:val="20"/>
              </w:rPr>
              <w:t>p. b. a meziročně o 0,7 p. b. Nezaměstnanost mužů (2,5</w:t>
            </w:r>
            <w:r w:rsidRPr="00CA570D">
              <w:rPr>
                <w:color w:val="0D0D0D" w:themeColor="text1" w:themeTint="F2"/>
                <w:spacing w:val="-6"/>
              </w:rPr>
              <w:t> </w:t>
            </w:r>
            <w:r w:rsidRPr="00CA570D">
              <w:rPr>
                <w:rStyle w:val="normaltextrun"/>
                <w:rFonts w:eastAsia="MS Gothic" w:cs="Arial"/>
                <w:spacing w:val="-6"/>
                <w:szCs w:val="20"/>
              </w:rPr>
              <w:t xml:space="preserve">%) i žen (3,6 %) byla nejvyšší od května 2021, kdy se ekonomika poprvé naplno začala zbavovat </w:t>
            </w:r>
            <w:proofErr w:type="spellStart"/>
            <w:r w:rsidRPr="00CA570D">
              <w:rPr>
                <w:rStyle w:val="normaltextrun"/>
                <w:rFonts w:eastAsia="MS Gothic" w:cs="Arial"/>
                <w:spacing w:val="-6"/>
                <w:szCs w:val="20"/>
              </w:rPr>
              <w:t>protipandemických</w:t>
            </w:r>
            <w:proofErr w:type="spellEnd"/>
            <w:r w:rsidRPr="00CA570D">
              <w:rPr>
                <w:rStyle w:val="normaltextrun"/>
                <w:rFonts w:eastAsia="MS Gothic" w:cs="Arial"/>
                <w:spacing w:val="-6"/>
                <w:szCs w:val="20"/>
              </w:rPr>
              <w:t xml:space="preserve"> otěží.</w:t>
            </w:r>
            <w:r>
              <w:rPr>
                <w:rStyle w:val="normaltextrun"/>
                <w:rFonts w:eastAsia="MS Gothic" w:cs="Arial"/>
                <w:szCs w:val="20"/>
              </w:rPr>
              <w:t xml:space="preserve"> </w:t>
            </w:r>
            <w:r>
              <w:rPr>
                <w:rStyle w:val="normaltextrun"/>
                <w:rFonts w:eastAsia="MS Gothic" w:cs="Arial"/>
                <w:szCs w:val="20"/>
              </w:rPr>
              <w:lastRenderedPageBreak/>
              <w:t xml:space="preserve">Tempo meziročního růstu nezaměstnanosti žen bylo oproti mužům dvojnásobné. Mírně přibylo i osob, které byly bez práce již déle </w:t>
            </w:r>
            <w:r w:rsidRPr="0080765E">
              <w:rPr>
                <w:rStyle w:val="normaltextrun"/>
                <w:rFonts w:eastAsia="MS Gothic" w:cs="Arial"/>
                <w:spacing w:val="-4"/>
                <w:szCs w:val="20"/>
              </w:rPr>
              <w:t xml:space="preserve">než rok, ti i tak stále tvořili méně než 30 % všech nezaměstnaných. Také údaje o </w:t>
            </w:r>
            <w:r w:rsidRPr="0080765E">
              <w:rPr>
                <w:color w:val="0D0D0D" w:themeColor="text1" w:themeTint="F2"/>
                <w:spacing w:val="-4"/>
              </w:rPr>
              <w:t>uchazečích</w:t>
            </w:r>
            <w:r>
              <w:rPr>
                <w:color w:val="0D0D0D" w:themeColor="text1" w:themeTint="F2"/>
                <w:spacing w:val="-4"/>
              </w:rPr>
              <w:t xml:space="preserve"> o zaměstnání registrovaných na úřadech práce (ÚP) naznačují mírné ochlazení na pracovním trhu</w:t>
            </w:r>
            <w:r>
              <w:rPr>
                <w:rStyle w:val="Znakapoznpodarou"/>
                <w:color w:val="0D0D0D" w:themeColor="text1" w:themeTint="F2"/>
                <w:spacing w:val="-4"/>
              </w:rPr>
              <w:footnoteReference w:id="85"/>
            </w:r>
            <w:r>
              <w:rPr>
                <w:color w:val="0D0D0D" w:themeColor="text1" w:themeTint="F2"/>
                <w:spacing w:val="-4"/>
              </w:rPr>
              <w:t>. Zároveň se od počátku letošního roku ve srovnání s loňskou úrovní navyšuje velikost potenciální pracovní</w:t>
            </w:r>
            <w:r w:rsidRPr="004B20D0">
              <w:rPr>
                <w:color w:val="0D0D0D" w:themeColor="text1" w:themeTint="F2"/>
                <w:spacing w:val="-4"/>
              </w:rPr>
              <w:t xml:space="preserve"> rezerv</w:t>
            </w:r>
            <w:r>
              <w:rPr>
                <w:color w:val="0D0D0D" w:themeColor="text1" w:themeTint="F2"/>
                <w:spacing w:val="-4"/>
              </w:rPr>
              <w:t>y</w:t>
            </w:r>
            <w:r w:rsidRPr="004B20D0">
              <w:rPr>
                <w:color w:val="0D0D0D" w:themeColor="text1" w:themeTint="F2"/>
                <w:spacing w:val="-4"/>
              </w:rPr>
              <w:t xml:space="preserve"> – počet ekonomicky neaktivních</w:t>
            </w:r>
            <w:r>
              <w:rPr>
                <w:color w:val="0D0D0D" w:themeColor="text1" w:themeTint="F2"/>
                <w:spacing w:val="-4"/>
              </w:rPr>
              <w:t>,</w:t>
            </w:r>
            <w:r w:rsidRPr="004B20D0">
              <w:rPr>
                <w:color w:val="0D0D0D" w:themeColor="text1" w:themeTint="F2"/>
                <w:spacing w:val="-4"/>
              </w:rPr>
              <w:t xml:space="preserve"> práci nehledaj</w:t>
            </w:r>
            <w:r>
              <w:rPr>
                <w:color w:val="0D0D0D" w:themeColor="text1" w:themeTint="F2"/>
                <w:spacing w:val="-4"/>
              </w:rPr>
              <w:t>ících, ale chtějících pracovat dosáhl ve 3. čtvrtletí skoro 80 tis</w:t>
            </w:r>
            <w:r>
              <w:rPr>
                <w:rStyle w:val="Znakapoznpodarou"/>
                <w:color w:val="0D0D0D" w:themeColor="text1" w:themeTint="F2"/>
                <w:spacing w:val="-4"/>
              </w:rPr>
              <w:footnoteReference w:id="86"/>
            </w:r>
            <w:r>
              <w:rPr>
                <w:color w:val="0D0D0D" w:themeColor="text1" w:themeTint="F2"/>
                <w:spacing w:val="-4"/>
              </w:rPr>
              <w:t xml:space="preserve">. </w:t>
            </w:r>
            <w:r w:rsidRPr="004B20D0">
              <w:rPr>
                <w:color w:val="0D0D0D" w:themeColor="text1" w:themeTint="F2"/>
                <w:spacing w:val="-4"/>
              </w:rPr>
              <w:t xml:space="preserve">Počet volných pracovních míst v nabídce ÚP byl sice </w:t>
            </w:r>
            <w:r>
              <w:rPr>
                <w:color w:val="0D0D0D" w:themeColor="text1" w:themeTint="F2"/>
                <w:spacing w:val="-4"/>
              </w:rPr>
              <w:t xml:space="preserve">dosud </w:t>
            </w:r>
            <w:r w:rsidRPr="004B20D0">
              <w:rPr>
                <w:color w:val="0D0D0D" w:themeColor="text1" w:themeTint="F2"/>
                <w:spacing w:val="-4"/>
              </w:rPr>
              <w:t xml:space="preserve">letos ve všech </w:t>
            </w:r>
            <w:r>
              <w:rPr>
                <w:color w:val="0D0D0D" w:themeColor="text1" w:themeTint="F2"/>
                <w:spacing w:val="-4"/>
              </w:rPr>
              <w:t xml:space="preserve">11 </w:t>
            </w:r>
            <w:r w:rsidRPr="004B20D0">
              <w:rPr>
                <w:color w:val="0D0D0D" w:themeColor="text1" w:themeTint="F2"/>
                <w:spacing w:val="-4"/>
              </w:rPr>
              <w:t>měsících m</w:t>
            </w:r>
            <w:r>
              <w:rPr>
                <w:color w:val="0D0D0D" w:themeColor="text1" w:themeTint="F2"/>
                <w:spacing w:val="-4"/>
              </w:rPr>
              <w:t>eziročně mírně nižší, v listopadu</w:t>
            </w:r>
            <w:r w:rsidRPr="004B20D0">
              <w:rPr>
                <w:color w:val="0D0D0D" w:themeColor="text1" w:themeTint="F2"/>
                <w:spacing w:val="-4"/>
              </w:rPr>
              <w:t xml:space="preserve"> ale již jen o </w:t>
            </w:r>
            <w:r>
              <w:rPr>
                <w:color w:val="0D0D0D" w:themeColor="text1" w:themeTint="F2"/>
                <w:spacing w:val="-4"/>
              </w:rPr>
              <w:t>5 % (13 tis. míst</w:t>
            </w:r>
            <w:r w:rsidRPr="004B20D0">
              <w:rPr>
                <w:color w:val="0D0D0D" w:themeColor="text1" w:themeTint="F2"/>
                <w:spacing w:val="-4"/>
              </w:rPr>
              <w:t xml:space="preserve">). </w:t>
            </w:r>
            <w:r>
              <w:rPr>
                <w:color w:val="0D0D0D" w:themeColor="text1" w:themeTint="F2"/>
                <w:spacing w:val="-4"/>
              </w:rPr>
              <w:t xml:space="preserve">Za poklesem stály hlavně </w:t>
            </w:r>
            <w:proofErr w:type="spellStart"/>
            <w:r>
              <w:rPr>
                <w:color w:val="0D0D0D" w:themeColor="text1" w:themeTint="F2"/>
                <w:spacing w:val="-4"/>
              </w:rPr>
              <w:t>nízkokvalifikované</w:t>
            </w:r>
            <w:proofErr w:type="spellEnd"/>
            <w:r>
              <w:rPr>
                <w:color w:val="0D0D0D" w:themeColor="text1" w:themeTint="F2"/>
                <w:spacing w:val="-4"/>
              </w:rPr>
              <w:t xml:space="preserve"> pozice, relativně nejvíce ovšem na konci 3. čtvrtletí ubylo míst pro středoškoláky bez maturity (15 %). Evidovaných</w:t>
            </w:r>
            <w:r w:rsidRPr="004B20D0">
              <w:rPr>
                <w:color w:val="0D0D0D" w:themeColor="text1" w:themeTint="F2"/>
                <w:spacing w:val="-4"/>
              </w:rPr>
              <w:t xml:space="preserve"> míst</w:t>
            </w:r>
            <w:r>
              <w:rPr>
                <w:rStyle w:val="Znakapoznpodarou"/>
                <w:color w:val="0D0D0D" w:themeColor="text1" w:themeTint="F2"/>
                <w:spacing w:val="-4"/>
              </w:rPr>
              <w:footnoteReference w:id="87"/>
            </w:r>
            <w:r w:rsidRPr="004B20D0">
              <w:rPr>
                <w:color w:val="0D0D0D" w:themeColor="text1" w:themeTint="F2"/>
                <w:spacing w:val="-4"/>
              </w:rPr>
              <w:t xml:space="preserve"> </w:t>
            </w:r>
            <w:r>
              <w:rPr>
                <w:color w:val="0D0D0D" w:themeColor="text1" w:themeTint="F2"/>
                <w:spacing w:val="-4"/>
              </w:rPr>
              <w:t>na ÚP je v Česku</w:t>
            </w:r>
            <w:r w:rsidRPr="004B20D0">
              <w:rPr>
                <w:color w:val="0D0D0D" w:themeColor="text1" w:themeTint="F2"/>
                <w:spacing w:val="-4"/>
              </w:rPr>
              <w:t xml:space="preserve"> stále </w:t>
            </w:r>
            <w:r>
              <w:rPr>
                <w:color w:val="0D0D0D" w:themeColor="text1" w:themeTint="F2"/>
                <w:spacing w:val="-4"/>
              </w:rPr>
              <w:t xml:space="preserve">nepatrně </w:t>
            </w:r>
            <w:r w:rsidRPr="004B20D0">
              <w:rPr>
                <w:color w:val="0D0D0D" w:themeColor="text1" w:themeTint="F2"/>
                <w:spacing w:val="-4"/>
              </w:rPr>
              <w:t>více než registrovaných uchazečů (zř</w:t>
            </w:r>
            <w:r>
              <w:rPr>
                <w:color w:val="0D0D0D" w:themeColor="text1" w:themeTint="F2"/>
                <w:spacing w:val="-4"/>
              </w:rPr>
              <w:t>etelnější převis uchazečů nad místy</w:t>
            </w:r>
            <w:r w:rsidRPr="004B20D0">
              <w:rPr>
                <w:color w:val="0D0D0D" w:themeColor="text1" w:themeTint="F2"/>
                <w:spacing w:val="-4"/>
              </w:rPr>
              <w:t xml:space="preserve"> přetrvává jen ve struk</w:t>
            </w:r>
            <w:r>
              <w:rPr>
                <w:color w:val="0D0D0D" w:themeColor="text1" w:themeTint="F2"/>
                <w:spacing w:val="-4"/>
              </w:rPr>
              <w:t>turálně postižených regionech –</w:t>
            </w:r>
            <w:r w:rsidRPr="004B20D0">
              <w:rPr>
                <w:color w:val="0D0D0D" w:themeColor="text1" w:themeTint="F2"/>
                <w:spacing w:val="-4"/>
              </w:rPr>
              <w:t xml:space="preserve"> Ústeckém a Moravskoslezském kraji).</w:t>
            </w:r>
            <w:r>
              <w:rPr>
                <w:color w:val="0D0D0D" w:themeColor="text1" w:themeTint="F2"/>
                <w:spacing w:val="-4"/>
              </w:rPr>
              <w:t xml:space="preserve"> </w:t>
            </w:r>
            <w:r w:rsidRPr="00C0432E">
              <w:rPr>
                <w:color w:val="1D1B11" w:themeColor="background2" w:themeShade="1A"/>
                <w:spacing w:val="-4"/>
              </w:rPr>
              <w:t>Obavy lidí z růstu nezaměstnanosti</w:t>
            </w:r>
            <w:r>
              <w:rPr>
                <w:color w:val="1D1B11" w:themeColor="background2" w:themeShade="1A"/>
                <w:spacing w:val="-4"/>
              </w:rPr>
              <w:t xml:space="preserve"> (vyjádřené v rámci konjunkturálních šetření) se od počátku letošního roku postupně snižovaly. V listopadu dosáhly nejnižší úrovně za poslední rok a půl. Navzdory tomu byl počet lidí očekávajících v nejbližších dvanácti měsících růst nezaměstnanosti stále vyšší než v celém konjunkturním období na konci minulé dekády.</w:t>
            </w:r>
          </w:p>
        </w:tc>
      </w:tr>
      <w:tr w:rsidR="00763B23" w:rsidRPr="00926D74" w14:paraId="2287DB62" w14:textId="77777777" w:rsidTr="000D7C6F">
        <w:trPr>
          <w:trHeight w:val="155"/>
        </w:trPr>
        <w:tc>
          <w:tcPr>
            <w:tcW w:w="1754" w:type="dxa"/>
            <w:vMerge w:val="restart"/>
            <w:shd w:val="clear" w:color="auto" w:fill="auto"/>
            <w:tcMar>
              <w:left w:w="0" w:type="dxa"/>
            </w:tcMar>
          </w:tcPr>
          <w:p w14:paraId="5961B6A8" w14:textId="77777777" w:rsidR="00763B23" w:rsidRPr="00B43216" w:rsidRDefault="00763B23" w:rsidP="000D7C6F">
            <w:pPr>
              <w:pStyle w:val="Marginlie"/>
              <w:spacing w:after="120"/>
              <w:rPr>
                <w:spacing w:val="-4"/>
              </w:rPr>
            </w:pPr>
          </w:p>
        </w:tc>
        <w:tc>
          <w:tcPr>
            <w:tcW w:w="220" w:type="dxa"/>
            <w:vMerge w:val="restart"/>
            <w:shd w:val="clear" w:color="auto" w:fill="auto"/>
            <w:tcMar>
              <w:left w:w="0" w:type="dxa"/>
            </w:tcMar>
          </w:tcPr>
          <w:p w14:paraId="14A928D8" w14:textId="77777777" w:rsidR="00763B23" w:rsidRPr="00B43216" w:rsidRDefault="00763B23" w:rsidP="000D7C6F">
            <w:pPr>
              <w:pStyle w:val="Textpoznpodarou"/>
              <w:spacing w:after="120"/>
              <w:jc w:val="both"/>
              <w:rPr>
                <w:spacing w:val="-4"/>
              </w:rPr>
            </w:pPr>
          </w:p>
        </w:tc>
        <w:tc>
          <w:tcPr>
            <w:tcW w:w="7700" w:type="dxa"/>
            <w:shd w:val="clear" w:color="auto" w:fill="auto"/>
            <w:tcMar>
              <w:left w:w="0" w:type="dxa"/>
            </w:tcMar>
          </w:tcPr>
          <w:p w14:paraId="3890B54B" w14:textId="77777777" w:rsidR="00763B23" w:rsidRPr="00926D74" w:rsidRDefault="00763B23" w:rsidP="000D7C6F">
            <w:pPr>
              <w:spacing w:after="0"/>
              <w:rPr>
                <w:b/>
                <w:spacing w:val="-2"/>
              </w:rPr>
            </w:pPr>
            <w:r w:rsidRPr="00926D74">
              <w:rPr>
                <w:b/>
                <w:spacing w:val="-2"/>
              </w:rPr>
              <w:t xml:space="preserve">Graf č. 14 </w:t>
            </w:r>
            <w:r w:rsidRPr="00926D74">
              <w:rPr>
                <w:rFonts w:cs="Arial"/>
                <w:b/>
                <w:spacing w:val="-2"/>
              </w:rPr>
              <w:t xml:space="preserve">Obecná míra nezaměstnanosti </w:t>
            </w:r>
            <w:r w:rsidRPr="00926D74">
              <w:rPr>
                <w:rFonts w:cs="Arial"/>
                <w:bCs/>
                <w:spacing w:val="-2"/>
              </w:rPr>
              <w:t>(v %, věk 15 až 64 let)</w:t>
            </w:r>
            <w:r w:rsidRPr="00926D74">
              <w:rPr>
                <w:rFonts w:cs="Arial"/>
                <w:b/>
                <w:spacing w:val="-2"/>
              </w:rPr>
              <w:t xml:space="preserve">, ekonomicky neaktivní </w:t>
            </w:r>
            <w:r>
              <w:rPr>
                <w:rFonts w:cs="Arial"/>
                <w:b/>
                <w:spacing w:val="-2"/>
              </w:rPr>
              <w:t xml:space="preserve">osoby </w:t>
            </w:r>
            <w:r w:rsidRPr="00926D74">
              <w:rPr>
                <w:rFonts w:cs="Arial"/>
                <w:b/>
                <w:spacing w:val="-2"/>
              </w:rPr>
              <w:t>chtějící pracovat</w:t>
            </w:r>
            <w:r>
              <w:rPr>
                <w:rFonts w:cs="Arial"/>
                <w:b/>
                <w:spacing w:val="-2"/>
              </w:rPr>
              <w:t>*</w:t>
            </w:r>
            <w:r w:rsidRPr="00926D74">
              <w:rPr>
                <w:rFonts w:cs="Arial"/>
                <w:b/>
                <w:spacing w:val="-2"/>
              </w:rPr>
              <w:t xml:space="preserve"> </w:t>
            </w:r>
            <w:r>
              <w:rPr>
                <w:rFonts w:cs="Arial"/>
                <w:bCs/>
                <w:spacing w:val="-2"/>
              </w:rPr>
              <w:t>(v tis.)</w:t>
            </w:r>
            <w:r w:rsidRPr="00926D74">
              <w:rPr>
                <w:rFonts w:cs="Arial"/>
                <w:b/>
                <w:bCs/>
                <w:spacing w:val="-2"/>
              </w:rPr>
              <w:t xml:space="preserve">, volná pracovní místa </w:t>
            </w:r>
            <w:r>
              <w:rPr>
                <w:rFonts w:cs="Arial"/>
                <w:bCs/>
                <w:spacing w:val="-2"/>
              </w:rPr>
              <w:t>(v</w:t>
            </w:r>
            <w:r w:rsidRPr="00926D74">
              <w:rPr>
                <w:rFonts w:cs="Arial"/>
                <w:bCs/>
                <w:spacing w:val="-2"/>
              </w:rPr>
              <w:t xml:space="preserve"> tis.) </w:t>
            </w:r>
            <w:r w:rsidRPr="00926D74">
              <w:rPr>
                <w:rFonts w:cs="Arial"/>
                <w:b/>
                <w:bCs/>
                <w:spacing w:val="-2"/>
              </w:rPr>
              <w:t>a</w:t>
            </w:r>
            <w:r w:rsidRPr="00926D74">
              <w:rPr>
                <w:rFonts w:cs="Arial"/>
                <w:bCs/>
                <w:spacing w:val="-2"/>
              </w:rPr>
              <w:t xml:space="preserve"> </w:t>
            </w:r>
            <w:r w:rsidRPr="00926D74">
              <w:rPr>
                <w:rFonts w:cs="Arial"/>
                <w:b/>
                <w:bCs/>
                <w:spacing w:val="-2"/>
              </w:rPr>
              <w:t xml:space="preserve">očekávání </w:t>
            </w:r>
            <w:r>
              <w:rPr>
                <w:rFonts w:cs="Arial"/>
                <w:b/>
                <w:bCs/>
                <w:spacing w:val="-2"/>
              </w:rPr>
              <w:t xml:space="preserve">vývoje </w:t>
            </w:r>
            <w:r w:rsidRPr="00926D74">
              <w:rPr>
                <w:rFonts w:cs="Arial"/>
                <w:b/>
                <w:bCs/>
                <w:spacing w:val="-2"/>
              </w:rPr>
              <w:t>nezaměstnanosti od domácností</w:t>
            </w:r>
            <w:r w:rsidRPr="00926D74">
              <w:rPr>
                <w:rFonts w:cs="Arial"/>
                <w:bCs/>
                <w:spacing w:val="-2"/>
              </w:rPr>
              <w:t xml:space="preserve"> (v p. b.)**</w:t>
            </w:r>
          </w:p>
        </w:tc>
      </w:tr>
      <w:tr w:rsidR="00763B23" w:rsidRPr="00B43216" w14:paraId="3A9196E5" w14:textId="77777777" w:rsidTr="000D7C6F">
        <w:tblPrEx>
          <w:tblCellMar>
            <w:left w:w="70" w:type="dxa"/>
            <w:right w:w="70" w:type="dxa"/>
          </w:tblCellMar>
        </w:tblPrEx>
        <w:trPr>
          <w:trHeight w:val="155"/>
        </w:trPr>
        <w:tc>
          <w:tcPr>
            <w:tcW w:w="1754" w:type="dxa"/>
            <w:vMerge/>
            <w:shd w:val="clear" w:color="auto" w:fill="auto"/>
          </w:tcPr>
          <w:p w14:paraId="50F80FF9" w14:textId="77777777" w:rsidR="00763B23" w:rsidRPr="00B43216" w:rsidRDefault="00763B23" w:rsidP="000D7C6F">
            <w:pPr>
              <w:pStyle w:val="Marginlie"/>
              <w:spacing w:after="120"/>
              <w:rPr>
                <w:spacing w:val="-4"/>
              </w:rPr>
            </w:pPr>
          </w:p>
        </w:tc>
        <w:tc>
          <w:tcPr>
            <w:tcW w:w="220" w:type="dxa"/>
            <w:vMerge/>
            <w:shd w:val="clear" w:color="auto" w:fill="auto"/>
          </w:tcPr>
          <w:p w14:paraId="5789A756" w14:textId="77777777" w:rsidR="00763B23" w:rsidRPr="00B43216" w:rsidRDefault="00763B23" w:rsidP="000D7C6F">
            <w:pPr>
              <w:pStyle w:val="Textpoznpodarou"/>
              <w:spacing w:after="120"/>
              <w:jc w:val="both"/>
              <w:rPr>
                <w:spacing w:val="-4"/>
              </w:rPr>
            </w:pPr>
          </w:p>
        </w:tc>
        <w:tc>
          <w:tcPr>
            <w:tcW w:w="7700" w:type="dxa"/>
            <w:shd w:val="clear" w:color="auto" w:fill="auto"/>
          </w:tcPr>
          <w:p w14:paraId="56E56CF3" w14:textId="77777777" w:rsidR="00763B23" w:rsidRPr="00B43216" w:rsidRDefault="00763B23" w:rsidP="000D7C6F">
            <w:pPr>
              <w:spacing w:after="0"/>
              <w:rPr>
                <w:spacing w:val="-4"/>
              </w:rPr>
            </w:pPr>
            <w:r>
              <w:rPr>
                <w:noProof/>
              </w:rPr>
              <w:drawing>
                <wp:inline distT="0" distB="0" distL="0" distR="0" wp14:anchorId="38041617" wp14:editId="0FD04D1F">
                  <wp:extent cx="4691636" cy="3343833"/>
                  <wp:effectExtent l="0" t="0" r="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763B23" w:rsidRPr="00485ED5" w14:paraId="14A721DD" w14:textId="77777777" w:rsidTr="000D7C6F">
        <w:trPr>
          <w:trHeight w:val="132"/>
        </w:trPr>
        <w:tc>
          <w:tcPr>
            <w:tcW w:w="1754" w:type="dxa"/>
            <w:vMerge/>
            <w:shd w:val="clear" w:color="auto" w:fill="auto"/>
            <w:tcMar>
              <w:left w:w="0" w:type="dxa"/>
            </w:tcMar>
          </w:tcPr>
          <w:p w14:paraId="7E56A940" w14:textId="77777777" w:rsidR="00763B23" w:rsidRPr="00B43216" w:rsidRDefault="00763B23" w:rsidP="000D7C6F">
            <w:pPr>
              <w:pStyle w:val="Marginlie"/>
              <w:rPr>
                <w:spacing w:val="-4"/>
              </w:rPr>
            </w:pPr>
          </w:p>
        </w:tc>
        <w:tc>
          <w:tcPr>
            <w:tcW w:w="220" w:type="dxa"/>
            <w:vMerge/>
            <w:shd w:val="clear" w:color="auto" w:fill="auto"/>
            <w:tcMar>
              <w:left w:w="0" w:type="dxa"/>
            </w:tcMar>
          </w:tcPr>
          <w:p w14:paraId="5DA80930" w14:textId="77777777" w:rsidR="00763B23" w:rsidRPr="00B43216" w:rsidRDefault="00763B23" w:rsidP="000D7C6F">
            <w:pPr>
              <w:pStyle w:val="Textpoznpodarou"/>
              <w:jc w:val="both"/>
              <w:rPr>
                <w:spacing w:val="-4"/>
              </w:rPr>
            </w:pPr>
          </w:p>
        </w:tc>
        <w:tc>
          <w:tcPr>
            <w:tcW w:w="7700" w:type="dxa"/>
            <w:shd w:val="clear" w:color="auto" w:fill="auto"/>
            <w:tcMar>
              <w:left w:w="0" w:type="dxa"/>
            </w:tcMar>
          </w:tcPr>
          <w:p w14:paraId="127569E8" w14:textId="77777777" w:rsidR="00763B23" w:rsidRPr="00D94F3D" w:rsidRDefault="00763B23" w:rsidP="000D7C6F">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Pozn.: Míry nezaměstnanosti jsou sezónně očištěny</w:t>
            </w:r>
            <w:r w:rsidRPr="00D94F3D">
              <w:rPr>
                <w:rFonts w:cs="Arial"/>
                <w:color w:val="0D0D0D" w:themeColor="text1" w:themeTint="F2"/>
                <w:spacing w:val="-4"/>
                <w:sz w:val="14"/>
                <w:szCs w:val="14"/>
              </w:rPr>
              <w:t>. VPM = volná pracovní místa (stav na konci čtvrtletí)</w:t>
            </w:r>
          </w:p>
          <w:p w14:paraId="3D6C993C" w14:textId="77777777" w:rsidR="00763B23" w:rsidRDefault="00763B23" w:rsidP="000D7C6F">
            <w:pPr>
              <w:spacing w:after="0" w:line="240" w:lineRule="auto"/>
              <w:rPr>
                <w:rFonts w:cs="Arial"/>
                <w:color w:val="0D0D0D" w:themeColor="text1" w:themeTint="F2"/>
                <w:spacing w:val="-2"/>
                <w:sz w:val="14"/>
                <w:szCs w:val="14"/>
              </w:rPr>
            </w:pPr>
            <w:r>
              <w:rPr>
                <w:rFonts w:cs="Arial"/>
                <w:bCs/>
                <w:color w:val="0D0D0D" w:themeColor="text1" w:themeTint="F2"/>
                <w:spacing w:val="-2"/>
                <w:sz w:val="14"/>
                <w:szCs w:val="14"/>
              </w:rPr>
              <w:t>*</w:t>
            </w: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0A3F763B" w14:textId="77777777" w:rsidR="00763B23" w:rsidRDefault="00763B23" w:rsidP="000D7C6F">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**Sezónně očištěné saldo očekávání nezaměstnanosti v nejbližších 12 měsících (rozdíl mezi procentuální četností odpovědí domácností, růst a pokles vyjádřený v procentních bodech). Vztahuje se k prostřednímu měsíci daného čtvrtletí.</w:t>
            </w:r>
          </w:p>
          <w:p w14:paraId="3FA76A55" w14:textId="77777777" w:rsidR="00763B23" w:rsidRPr="00485ED5" w:rsidRDefault="00763B23" w:rsidP="000D7C6F">
            <w:pPr>
              <w:spacing w:after="200" w:line="240" w:lineRule="auto"/>
              <w:rPr>
                <w:rFonts w:cs="Arial"/>
                <w:color w:val="0D0D0D" w:themeColor="text1" w:themeTint="F2"/>
                <w:spacing w:val="-2"/>
                <w:sz w:val="14"/>
                <w:szCs w:val="14"/>
              </w:rPr>
            </w:pPr>
            <w:r>
              <w:rPr>
                <w:rFonts w:cs="Arial"/>
                <w:color w:val="0D0D0D" w:themeColor="text1" w:themeTint="F2"/>
                <w:spacing w:val="-2"/>
                <w:sz w:val="14"/>
                <w:szCs w:val="14"/>
              </w:rPr>
              <w:t>Zdroj: ČSÚ (VŠPS, konjunkturální průzkum), MPSV (volná pracovní místa registrovaná na úřadech práce v ČR)</w:t>
            </w:r>
          </w:p>
        </w:tc>
      </w:tr>
      <w:tr w:rsidR="00763B23" w14:paraId="135B07CF" w14:textId="77777777" w:rsidTr="000D7C6F">
        <w:trPr>
          <w:trHeight w:val="132"/>
        </w:trPr>
        <w:tc>
          <w:tcPr>
            <w:tcW w:w="1754" w:type="dxa"/>
            <w:shd w:val="clear" w:color="auto" w:fill="auto"/>
            <w:tcMar>
              <w:left w:w="0" w:type="dxa"/>
            </w:tcMar>
          </w:tcPr>
          <w:p w14:paraId="6ACACCBC" w14:textId="77777777" w:rsidR="00763B23" w:rsidRDefault="00763B23" w:rsidP="000D7C6F">
            <w:pPr>
              <w:pStyle w:val="Marginlie"/>
              <w:rPr>
                <w:color w:val="0D0D0D" w:themeColor="text1" w:themeTint="F2"/>
                <w:spacing w:val="-4"/>
              </w:rPr>
            </w:pPr>
            <w:r>
              <w:rPr>
                <w:color w:val="0D0D0D" w:themeColor="text1" w:themeTint="F2"/>
                <w:spacing w:val="-4"/>
              </w:rPr>
              <w:t xml:space="preserve">Růst průměrných mezd během roku zvolnil. </w:t>
            </w:r>
          </w:p>
        </w:tc>
        <w:tc>
          <w:tcPr>
            <w:tcW w:w="220" w:type="dxa"/>
            <w:shd w:val="clear" w:color="auto" w:fill="auto"/>
            <w:tcMar>
              <w:left w:w="0" w:type="dxa"/>
            </w:tcMar>
          </w:tcPr>
          <w:p w14:paraId="011D4402" w14:textId="77777777" w:rsidR="00763B23" w:rsidRPr="001E4B77" w:rsidRDefault="00763B23" w:rsidP="000D7C6F">
            <w:pPr>
              <w:pStyle w:val="Textpoznpodarou"/>
              <w:jc w:val="both"/>
              <w:rPr>
                <w:color w:val="0D0D0D" w:themeColor="text1" w:themeTint="F2"/>
                <w:spacing w:val="-4"/>
              </w:rPr>
            </w:pPr>
          </w:p>
        </w:tc>
        <w:tc>
          <w:tcPr>
            <w:tcW w:w="7700" w:type="dxa"/>
            <w:shd w:val="clear" w:color="auto" w:fill="auto"/>
            <w:tcMar>
              <w:left w:w="0" w:type="dxa"/>
            </w:tcMar>
          </w:tcPr>
          <w:p w14:paraId="5AC6B001" w14:textId="43820FC0" w:rsidR="00763B23" w:rsidRDefault="00763B23" w:rsidP="000D7C6F">
            <w:pPr>
              <w:spacing w:after="200"/>
            </w:pPr>
            <w:r w:rsidRPr="00653C1D">
              <w:rPr>
                <w:color w:val="0D0D0D" w:themeColor="text1" w:themeTint="F2"/>
                <w:spacing w:val="-4"/>
              </w:rPr>
              <w:t xml:space="preserve">Průměrná hrubá mzda (na zaměstnance, při zohlednění délky úvazku) </w:t>
            </w:r>
            <w:r>
              <w:rPr>
                <w:color w:val="0D0D0D" w:themeColor="text1" w:themeTint="F2"/>
                <w:spacing w:val="-4"/>
              </w:rPr>
              <w:t>posílila letos ve 3. </w:t>
            </w:r>
            <w:r w:rsidRPr="00653C1D">
              <w:rPr>
                <w:color w:val="0D0D0D" w:themeColor="text1" w:themeTint="F2"/>
                <w:spacing w:val="-4"/>
              </w:rPr>
              <w:t>čtvrt</w:t>
            </w:r>
            <w:r>
              <w:rPr>
                <w:color w:val="0D0D0D" w:themeColor="text1" w:themeTint="F2"/>
                <w:spacing w:val="-4"/>
              </w:rPr>
              <w:t>letí meziročně o nominálních 7,1 % (v 1. pololetí 8,4 %). Ani z </w:t>
            </w:r>
            <w:proofErr w:type="spellStart"/>
            <w:r>
              <w:rPr>
                <w:color w:val="0D0D0D" w:themeColor="text1" w:themeTint="F2"/>
                <w:spacing w:val="-4"/>
              </w:rPr>
              <w:t>mezikvartálních</w:t>
            </w:r>
            <w:proofErr w:type="spellEnd"/>
            <w:r>
              <w:rPr>
                <w:color w:val="0D0D0D" w:themeColor="text1" w:themeTint="F2"/>
                <w:spacing w:val="-4"/>
              </w:rPr>
              <w:t xml:space="preserve"> temp není patrné, že by mzdový růst letos zrychloval – sezónně očištěná průměrná mzda se </w:t>
            </w:r>
            <w:r>
              <w:rPr>
                <w:color w:val="0D0D0D" w:themeColor="text1" w:themeTint="F2"/>
                <w:spacing w:val="-4"/>
              </w:rPr>
              <w:lastRenderedPageBreak/>
              <w:t>během 1. čtvrtletí zvýšila o 2,2 %, ve dvou následujících obdobích pak shodně o 1,5 %</w:t>
            </w:r>
            <w:r w:rsidRPr="00653C1D">
              <w:rPr>
                <w:color w:val="0D0D0D" w:themeColor="text1" w:themeTint="F2"/>
                <w:spacing w:val="-4"/>
              </w:rPr>
              <w:t xml:space="preserve">. </w:t>
            </w:r>
            <w:r>
              <w:rPr>
                <w:color w:val="0D0D0D" w:themeColor="text1" w:themeTint="F2"/>
                <w:spacing w:val="-4"/>
              </w:rPr>
              <w:t>S ohledem na</w:t>
            </w:r>
            <w:r w:rsidRPr="00825316">
              <w:rPr>
                <w:color w:val="0D0D0D" w:themeColor="text1" w:themeTint="F2"/>
                <w:spacing w:val="-4"/>
              </w:rPr>
              <w:t xml:space="preserve"> dezinflační tendence </w:t>
            </w:r>
            <w:r>
              <w:rPr>
                <w:color w:val="0D0D0D" w:themeColor="text1" w:themeTint="F2"/>
                <w:spacing w:val="-4"/>
              </w:rPr>
              <w:t>v ekonomice se meziroční pokles</w:t>
            </w:r>
            <w:r w:rsidRPr="00825316">
              <w:rPr>
                <w:color w:val="0D0D0D" w:themeColor="text1" w:themeTint="F2"/>
                <w:spacing w:val="-4"/>
              </w:rPr>
              <w:t xml:space="preserve"> kupní síly </w:t>
            </w:r>
            <w:r>
              <w:rPr>
                <w:color w:val="0D0D0D" w:themeColor="text1" w:themeTint="F2"/>
                <w:spacing w:val="-4"/>
              </w:rPr>
              <w:t>průměrné mzdy dále mírnil, když ve 3. čtvrtletí činil pouze 0,8 %</w:t>
            </w:r>
            <w:r>
              <w:rPr>
                <w:rStyle w:val="Znakapoznpodarou"/>
                <w:color w:val="0D0D0D" w:themeColor="text1" w:themeTint="F2"/>
                <w:spacing w:val="-4"/>
              </w:rPr>
              <w:footnoteReference w:id="88"/>
            </w:r>
            <w:r>
              <w:rPr>
                <w:color w:val="0D0D0D" w:themeColor="text1" w:themeTint="F2"/>
                <w:spacing w:val="-4"/>
              </w:rPr>
              <w:t>.</w:t>
            </w:r>
          </w:p>
        </w:tc>
      </w:tr>
      <w:tr w:rsidR="00763B23" w14:paraId="253C4569" w14:textId="77777777" w:rsidTr="000D7C6F">
        <w:trPr>
          <w:trHeight w:val="132"/>
        </w:trPr>
        <w:tc>
          <w:tcPr>
            <w:tcW w:w="1754" w:type="dxa"/>
            <w:shd w:val="clear" w:color="auto" w:fill="auto"/>
            <w:tcMar>
              <w:left w:w="0" w:type="dxa"/>
            </w:tcMar>
          </w:tcPr>
          <w:p w14:paraId="26474F4A" w14:textId="77777777" w:rsidR="00763B23" w:rsidRDefault="00763B23" w:rsidP="000D7C6F">
            <w:pPr>
              <w:pStyle w:val="Marginlie"/>
              <w:rPr>
                <w:color w:val="0D0D0D" w:themeColor="text1" w:themeTint="F2"/>
                <w:spacing w:val="-4"/>
              </w:rPr>
            </w:pPr>
            <w:r>
              <w:rPr>
                <w:color w:val="0D0D0D" w:themeColor="text1" w:themeTint="F2"/>
                <w:spacing w:val="-4"/>
              </w:rPr>
              <w:lastRenderedPageBreak/>
              <w:t>Pokles reálné mzdy byl svou hloubkou i délkou unikátní. Aktuální výše mzdy odpovídala reálně úrovni z 3. čtvrtletí 2017.</w:t>
            </w:r>
          </w:p>
        </w:tc>
        <w:tc>
          <w:tcPr>
            <w:tcW w:w="220" w:type="dxa"/>
            <w:shd w:val="clear" w:color="auto" w:fill="auto"/>
            <w:tcMar>
              <w:left w:w="0" w:type="dxa"/>
            </w:tcMar>
          </w:tcPr>
          <w:p w14:paraId="18B9A17A" w14:textId="77777777" w:rsidR="00763B23" w:rsidRPr="001E4B77" w:rsidRDefault="00763B23" w:rsidP="000D7C6F">
            <w:pPr>
              <w:pStyle w:val="Textpoznpodarou"/>
              <w:jc w:val="both"/>
              <w:rPr>
                <w:color w:val="0D0D0D" w:themeColor="text1" w:themeTint="F2"/>
                <w:spacing w:val="-4"/>
              </w:rPr>
            </w:pPr>
          </w:p>
        </w:tc>
        <w:tc>
          <w:tcPr>
            <w:tcW w:w="7700" w:type="dxa"/>
            <w:shd w:val="clear" w:color="auto" w:fill="auto"/>
            <w:tcMar>
              <w:left w:w="0" w:type="dxa"/>
            </w:tcMar>
          </w:tcPr>
          <w:p w14:paraId="247485C3" w14:textId="77777777" w:rsidR="00763B23" w:rsidRDefault="00763B23" w:rsidP="000D7C6F">
            <w:pPr>
              <w:spacing w:after="200"/>
            </w:pPr>
            <w:r>
              <w:rPr>
                <w:color w:val="0D0D0D" w:themeColor="text1" w:themeTint="F2"/>
                <w:spacing w:val="-4"/>
              </w:rPr>
              <w:t>S</w:t>
            </w:r>
            <w:r w:rsidRPr="00653C1D">
              <w:rPr>
                <w:color w:val="0D0D0D" w:themeColor="text1" w:themeTint="F2"/>
                <w:spacing w:val="-4"/>
              </w:rPr>
              <w:t>nižování kupní síly zaměstnaneckýc</w:t>
            </w:r>
            <w:r>
              <w:rPr>
                <w:color w:val="0D0D0D" w:themeColor="text1" w:themeTint="F2"/>
                <w:spacing w:val="-4"/>
              </w:rPr>
              <w:t xml:space="preserve">h výdělků současně probíhalo již osmý kvartál v řadě, což bylo nejdéle v historii samostatné ČR, a rovněž souhrnná hloubka poklesu za celé toto období byla bezprecedentní (11 %). </w:t>
            </w:r>
            <w:r w:rsidRPr="006E315B">
              <w:rPr>
                <w:color w:val="0D0D0D" w:themeColor="text1" w:themeTint="F2"/>
                <w:spacing w:val="-4"/>
              </w:rPr>
              <w:t>Výše reálné mzdy (po</w:t>
            </w:r>
            <w:r>
              <w:rPr>
                <w:color w:val="0D0D0D" w:themeColor="text1" w:themeTint="F2"/>
                <w:spacing w:val="-4"/>
              </w:rPr>
              <w:t xml:space="preserve"> sezónním očištění) v letošním 3. </w:t>
            </w:r>
            <w:r w:rsidRPr="006E315B">
              <w:rPr>
                <w:color w:val="0D0D0D" w:themeColor="text1" w:themeTint="F2"/>
                <w:spacing w:val="-4"/>
              </w:rPr>
              <w:t xml:space="preserve">čtvrtletí tak odpovídala </w:t>
            </w:r>
            <w:r>
              <w:rPr>
                <w:color w:val="0D0D0D" w:themeColor="text1" w:themeTint="F2"/>
                <w:spacing w:val="-4"/>
              </w:rPr>
              <w:t xml:space="preserve">pouze </w:t>
            </w:r>
            <w:r w:rsidRPr="006E315B">
              <w:rPr>
                <w:color w:val="0D0D0D" w:themeColor="text1" w:themeTint="F2"/>
                <w:spacing w:val="-4"/>
              </w:rPr>
              <w:t xml:space="preserve">úrovni z roku 2017, podobné </w:t>
            </w:r>
            <w:r>
              <w:rPr>
                <w:color w:val="0D0D0D" w:themeColor="text1" w:themeTint="F2"/>
                <w:spacing w:val="-4"/>
              </w:rPr>
              <w:t xml:space="preserve">lze ovšem říct také u analogického srovnání reálné produktivity práce (při vyjádření na zaměstnanou osobu). </w:t>
            </w:r>
            <w:r w:rsidRPr="006E315B">
              <w:rPr>
                <w:color w:val="0D0D0D" w:themeColor="text1" w:themeTint="F2"/>
                <w:spacing w:val="-4"/>
              </w:rPr>
              <w:t>Jestliže meziroční pokles reálné mzdy postihl letos v úhrnu za 1. až 3. čtvrtletí téměř všechny odvětvové sekce (vyjma energetiky) i hlavní průmyslové obory (výrobu motorových vozidel nevyjímaje), v s</w:t>
            </w:r>
            <w:r>
              <w:rPr>
                <w:color w:val="0D0D0D" w:themeColor="text1" w:themeTint="F2"/>
                <w:spacing w:val="-4"/>
              </w:rPr>
              <w:t>amotném 3. čtvrtletí se</w:t>
            </w:r>
            <w:r w:rsidRPr="006E315B">
              <w:rPr>
                <w:color w:val="0D0D0D" w:themeColor="text1" w:themeTint="F2"/>
                <w:spacing w:val="-4"/>
              </w:rPr>
              <w:t xml:space="preserve"> růst reálných mezd rozšířil do většího počtu hl</w:t>
            </w:r>
            <w:r>
              <w:rPr>
                <w:color w:val="0D0D0D" w:themeColor="text1" w:themeTint="F2"/>
                <w:spacing w:val="-4"/>
              </w:rPr>
              <w:t>avních odvětvových sekcí (5/19). P</w:t>
            </w:r>
            <w:r w:rsidRPr="006E315B">
              <w:rPr>
                <w:color w:val="0D0D0D" w:themeColor="text1" w:themeTint="F2"/>
                <w:spacing w:val="-4"/>
              </w:rPr>
              <w:t xml:space="preserve">racovníci v těchto odvětvích tvořili zhruba třetinu z celkového evidenčního počtu zaměstnanců. Stejně jako loni ani letos dosud </w:t>
            </w:r>
            <w:r>
              <w:rPr>
                <w:color w:val="0D0D0D" w:themeColor="text1" w:themeTint="F2"/>
                <w:spacing w:val="-4"/>
              </w:rPr>
              <w:t xml:space="preserve">nepatřilo </w:t>
            </w:r>
            <w:r w:rsidRPr="006E315B">
              <w:rPr>
                <w:color w:val="0D0D0D" w:themeColor="text1" w:themeTint="F2"/>
                <w:spacing w:val="-4"/>
              </w:rPr>
              <w:t>mezi kategorie</w:t>
            </w:r>
            <w:r>
              <w:rPr>
                <w:color w:val="0D0D0D" w:themeColor="text1" w:themeTint="F2"/>
                <w:spacing w:val="-4"/>
              </w:rPr>
              <w:t xml:space="preserve"> </w:t>
            </w:r>
            <w:r w:rsidRPr="006E315B">
              <w:rPr>
                <w:color w:val="0D0D0D" w:themeColor="text1" w:themeTint="F2"/>
                <w:spacing w:val="-4"/>
              </w:rPr>
              <w:t xml:space="preserve">s růstem reálné mzdy žádné odvětví veřejných služeb. </w:t>
            </w:r>
            <w:r>
              <w:rPr>
                <w:color w:val="0D0D0D" w:themeColor="text1" w:themeTint="F2"/>
                <w:spacing w:val="-4"/>
              </w:rPr>
              <w:t xml:space="preserve">K poklesu kupní síly mezd stále docházelo </w:t>
            </w:r>
            <w:r>
              <w:rPr>
                <w:spacing w:val="-4"/>
              </w:rPr>
              <w:t>také</w:t>
            </w:r>
            <w:r w:rsidRPr="00FA68D2">
              <w:rPr>
                <w:spacing w:val="-4"/>
              </w:rPr>
              <w:t xml:space="preserve"> napříč </w:t>
            </w:r>
            <w:r>
              <w:rPr>
                <w:spacing w:val="-4"/>
              </w:rPr>
              <w:t xml:space="preserve">všemi </w:t>
            </w:r>
            <w:r w:rsidRPr="00FA68D2">
              <w:rPr>
                <w:spacing w:val="-4"/>
              </w:rPr>
              <w:t>kraji ČR</w:t>
            </w:r>
            <w:r>
              <w:rPr>
                <w:spacing w:val="-4"/>
              </w:rPr>
              <w:t xml:space="preserve">. </w:t>
            </w:r>
            <w:r w:rsidRPr="00FA68D2">
              <w:rPr>
                <w:spacing w:val="-4"/>
              </w:rPr>
              <w:t xml:space="preserve">Mzdový vývoj </w:t>
            </w:r>
            <w:r>
              <w:rPr>
                <w:spacing w:val="-4"/>
              </w:rPr>
              <w:t>v 1. polol</w:t>
            </w:r>
            <w:r w:rsidRPr="00FA68D2">
              <w:rPr>
                <w:spacing w:val="-4"/>
              </w:rPr>
              <w:t xml:space="preserve">etí </w:t>
            </w:r>
            <w:r>
              <w:rPr>
                <w:spacing w:val="-4"/>
              </w:rPr>
              <w:t>2023 nadále představoval rozhodující faktor</w:t>
            </w:r>
            <w:r w:rsidRPr="00FA68D2">
              <w:rPr>
                <w:spacing w:val="-4"/>
              </w:rPr>
              <w:t xml:space="preserve"> snížení celkové kupní síly tuzemských domácností</w:t>
            </w:r>
            <w:r w:rsidRPr="00FA68D2">
              <w:rPr>
                <w:rStyle w:val="Znakapoznpodarou"/>
                <w:spacing w:val="-4"/>
              </w:rPr>
              <w:footnoteReference w:id="89"/>
            </w:r>
            <w:r w:rsidRPr="00FA68D2">
              <w:rPr>
                <w:spacing w:val="-4"/>
              </w:rPr>
              <w:t>.</w:t>
            </w:r>
          </w:p>
        </w:tc>
      </w:tr>
      <w:tr w:rsidR="00763B23" w:rsidRPr="0060296E" w14:paraId="79A8D0AD" w14:textId="77777777" w:rsidTr="000D7C6F">
        <w:trPr>
          <w:trHeight w:val="132"/>
        </w:trPr>
        <w:tc>
          <w:tcPr>
            <w:tcW w:w="1754" w:type="dxa"/>
            <w:shd w:val="clear" w:color="auto" w:fill="auto"/>
            <w:tcMar>
              <w:left w:w="0" w:type="dxa"/>
            </w:tcMar>
          </w:tcPr>
          <w:p w14:paraId="143F9022" w14:textId="77777777" w:rsidR="00763B23" w:rsidRPr="001E4B77" w:rsidRDefault="00763B23" w:rsidP="000D7C6F">
            <w:pPr>
              <w:pStyle w:val="Marginlie"/>
              <w:rPr>
                <w:color w:val="0D0D0D" w:themeColor="text1" w:themeTint="F2"/>
                <w:spacing w:val="-4"/>
              </w:rPr>
            </w:pPr>
            <w:r>
              <w:rPr>
                <w:color w:val="0D0D0D" w:themeColor="text1" w:themeTint="F2"/>
                <w:spacing w:val="-4"/>
              </w:rPr>
              <w:t>Tlaky na mzdový růst v tržní sféře zůstávaly relativně silné.</w:t>
            </w:r>
          </w:p>
        </w:tc>
        <w:tc>
          <w:tcPr>
            <w:tcW w:w="220" w:type="dxa"/>
            <w:shd w:val="clear" w:color="auto" w:fill="auto"/>
            <w:tcMar>
              <w:left w:w="0" w:type="dxa"/>
            </w:tcMar>
          </w:tcPr>
          <w:p w14:paraId="65892AA9" w14:textId="77777777" w:rsidR="00763B23" w:rsidRPr="001E4B77" w:rsidRDefault="00763B23" w:rsidP="000D7C6F">
            <w:pPr>
              <w:pStyle w:val="Textpoznpodarou"/>
              <w:jc w:val="both"/>
              <w:rPr>
                <w:color w:val="0D0D0D" w:themeColor="text1" w:themeTint="F2"/>
                <w:spacing w:val="-4"/>
              </w:rPr>
            </w:pPr>
          </w:p>
        </w:tc>
        <w:tc>
          <w:tcPr>
            <w:tcW w:w="7700" w:type="dxa"/>
            <w:shd w:val="clear" w:color="auto" w:fill="auto"/>
            <w:tcMar>
              <w:left w:w="0" w:type="dxa"/>
            </w:tcMar>
          </w:tcPr>
          <w:p w14:paraId="5A368C14" w14:textId="77777777" w:rsidR="00763B23" w:rsidRPr="0060296E" w:rsidRDefault="00763B23" w:rsidP="000D7C6F">
            <w:pPr>
              <w:spacing w:after="200"/>
            </w:pPr>
            <w:r>
              <w:t>Ve směru růstu nominální mzdy působí dosud relativně vysoká poptávka podniků po pracovní síle i zvýšený tlak zaměstnanců (pramenící často z napjatých rodinných rozpočtů vlivem stále vysokého růstu cen některých základních položek spotřebního koše – např. bydlení). Prostor pro další svižné zvyšování mezd v tržní sféře existuje i</w:t>
            </w:r>
            <w:r w:rsidRPr="006E315B">
              <w:rPr>
                <w:color w:val="0D0D0D" w:themeColor="text1" w:themeTint="F2"/>
                <w:spacing w:val="-4"/>
              </w:rPr>
              <w:t> </w:t>
            </w:r>
            <w:r>
              <w:t>díky vysoké a stále rostoucí míře zisku nefinančních podniků. Mzdový růst v ekonomice naproti tomu tlumila sílící potřeba úspor v rozpočtové sféře</w:t>
            </w:r>
            <w:r>
              <w:rPr>
                <w:rStyle w:val="Znakapoznpodarou"/>
                <w:spacing w:val="-5"/>
              </w:rPr>
              <w:footnoteReference w:id="90"/>
            </w:r>
            <w:r>
              <w:t>, střídmější navyšování minimálních mezd</w:t>
            </w:r>
            <w:r>
              <w:rPr>
                <w:rStyle w:val="Znakapoznpodarou"/>
                <w:spacing w:val="-5"/>
              </w:rPr>
              <w:footnoteReference w:id="91"/>
            </w:r>
            <w:r>
              <w:t xml:space="preserve"> i rostoucí počet zahraničních pracovníků ze „třetích zemí</w:t>
            </w:r>
            <w:r>
              <w:rPr>
                <w:rStyle w:val="Znakapoznpodarou"/>
              </w:rPr>
              <w:footnoteReference w:id="92"/>
            </w:r>
            <w:r>
              <w:t>“.</w:t>
            </w:r>
          </w:p>
        </w:tc>
      </w:tr>
      <w:tr w:rsidR="00763B23" w:rsidRPr="0078064B" w14:paraId="368F8F76" w14:textId="77777777" w:rsidTr="000D7C6F">
        <w:trPr>
          <w:trHeight w:val="132"/>
        </w:trPr>
        <w:tc>
          <w:tcPr>
            <w:tcW w:w="1754" w:type="dxa"/>
            <w:shd w:val="clear" w:color="auto" w:fill="auto"/>
            <w:tcMar>
              <w:left w:w="0" w:type="dxa"/>
            </w:tcMar>
          </w:tcPr>
          <w:p w14:paraId="5C5A6EE3" w14:textId="77777777" w:rsidR="00763B23" w:rsidRDefault="00763B23" w:rsidP="000D7C6F">
            <w:pPr>
              <w:pStyle w:val="Marginlie"/>
              <w:rPr>
                <w:rFonts w:cs="Arial"/>
                <w:color w:val="0D0D0D" w:themeColor="text1" w:themeTint="F2"/>
                <w:spacing w:val="-4"/>
                <w:szCs w:val="20"/>
              </w:rPr>
            </w:pPr>
            <w:r>
              <w:rPr>
                <w:rFonts w:cs="Arial"/>
                <w:color w:val="0D0D0D" w:themeColor="text1" w:themeTint="F2"/>
                <w:spacing w:val="-4"/>
                <w:szCs w:val="20"/>
              </w:rPr>
              <w:t>Nejvyšší mzdový růst přetrvával od počátku roku v energetice. Výdělky rostly svižně také v oblasti IT.</w:t>
            </w:r>
          </w:p>
          <w:p w14:paraId="145CE5FD" w14:textId="77777777" w:rsidR="00763B23" w:rsidRDefault="00763B23" w:rsidP="000D7C6F">
            <w:pPr>
              <w:pStyle w:val="Marginlie"/>
              <w:rPr>
                <w:color w:val="0D0D0D" w:themeColor="text1" w:themeTint="F2"/>
                <w:spacing w:val="-4"/>
              </w:rPr>
            </w:pPr>
            <w:r>
              <w:rPr>
                <w:rFonts w:cs="Arial"/>
                <w:color w:val="0D0D0D" w:themeColor="text1" w:themeTint="F2"/>
                <w:spacing w:val="-4"/>
                <w:szCs w:val="20"/>
              </w:rPr>
              <w:t xml:space="preserve"> </w:t>
            </w:r>
          </w:p>
        </w:tc>
        <w:tc>
          <w:tcPr>
            <w:tcW w:w="220" w:type="dxa"/>
            <w:shd w:val="clear" w:color="auto" w:fill="auto"/>
            <w:tcMar>
              <w:left w:w="0" w:type="dxa"/>
            </w:tcMar>
          </w:tcPr>
          <w:p w14:paraId="4AEFE77D" w14:textId="77777777" w:rsidR="00763B23" w:rsidRPr="00B43216" w:rsidRDefault="00763B23" w:rsidP="000D7C6F">
            <w:pPr>
              <w:pStyle w:val="Textpoznpodarou"/>
              <w:jc w:val="both"/>
              <w:rPr>
                <w:spacing w:val="-4"/>
              </w:rPr>
            </w:pPr>
          </w:p>
        </w:tc>
        <w:tc>
          <w:tcPr>
            <w:tcW w:w="7700" w:type="dxa"/>
            <w:shd w:val="clear" w:color="auto" w:fill="auto"/>
            <w:tcMar>
              <w:left w:w="0" w:type="dxa"/>
            </w:tcMar>
          </w:tcPr>
          <w:p w14:paraId="7090724F" w14:textId="2250506C" w:rsidR="00763B23" w:rsidRDefault="00763B23" w:rsidP="000D7C6F">
            <w:pPr>
              <w:spacing w:after="0"/>
              <w:rPr>
                <w:spacing w:val="-5"/>
              </w:rPr>
            </w:pPr>
            <w:r>
              <w:rPr>
                <w:spacing w:val="-5"/>
              </w:rPr>
              <w:t>Obdobně jako v 1. pololetí</w:t>
            </w:r>
            <w:r>
              <w:rPr>
                <w:rStyle w:val="Znakapoznpodarou"/>
                <w:spacing w:val="-5"/>
              </w:rPr>
              <w:footnoteReference w:id="93"/>
            </w:r>
            <w:r>
              <w:rPr>
                <w:spacing w:val="-5"/>
              </w:rPr>
              <w:t xml:space="preserve"> i v samotném </w:t>
            </w:r>
            <w:r w:rsidRPr="002C7666">
              <w:rPr>
                <w:spacing w:val="-5"/>
              </w:rPr>
              <w:t>3. čtvrtletí 2023 rostla</w:t>
            </w:r>
            <w:r>
              <w:rPr>
                <w:spacing w:val="-5"/>
              </w:rPr>
              <w:t xml:space="preserve"> průměrná mzda nejvíce v</w:t>
            </w:r>
            <w:r w:rsidR="00CA2D95">
              <w:t xml:space="preserve"> relativně </w:t>
            </w:r>
            <w:r>
              <w:rPr>
                <w:rFonts w:cs="Arial"/>
                <w:color w:val="0D0D0D" w:themeColor="text1" w:themeTint="F2"/>
                <w:spacing w:val="-4"/>
                <w:szCs w:val="20"/>
              </w:rPr>
              <w:t>malém a na kvalifikační požadavky náročném odvětví energetiky</w:t>
            </w:r>
            <w:r>
              <w:rPr>
                <w:rStyle w:val="Znakapoznpodarou"/>
                <w:color w:val="0D0D0D" w:themeColor="text1" w:themeTint="F2"/>
                <w:spacing w:val="-4"/>
                <w:szCs w:val="20"/>
              </w:rPr>
              <w:footnoteReference w:id="94"/>
            </w:r>
            <w:r>
              <w:rPr>
                <w:rFonts w:cs="Arial"/>
                <w:color w:val="0D0D0D" w:themeColor="text1" w:themeTint="F2"/>
                <w:spacing w:val="-4"/>
                <w:szCs w:val="20"/>
              </w:rPr>
              <w:t xml:space="preserve"> </w:t>
            </w:r>
            <w:r w:rsidRPr="002C7666">
              <w:rPr>
                <w:spacing w:val="-5"/>
              </w:rPr>
              <w:t>(+13,7 % meziročně).</w:t>
            </w:r>
            <w:r>
              <w:rPr>
                <w:rFonts w:cs="Arial"/>
                <w:color w:val="0D0D0D" w:themeColor="text1" w:themeTint="F2"/>
                <w:spacing w:val="-4"/>
                <w:szCs w:val="20"/>
              </w:rPr>
              <w:t xml:space="preserve"> </w:t>
            </w:r>
            <w:r w:rsidRPr="002C7666">
              <w:rPr>
                <w:spacing w:val="-5"/>
              </w:rPr>
              <w:t>S odstupem následovaly informačn</w:t>
            </w:r>
            <w:r>
              <w:rPr>
                <w:spacing w:val="-5"/>
              </w:rPr>
              <w:t>í a komunikační činnosti (IT) s růstem o</w:t>
            </w:r>
            <w:r>
              <w:t> </w:t>
            </w:r>
            <w:r>
              <w:rPr>
                <w:spacing w:val="-5"/>
              </w:rPr>
              <w:t>rovných 9 %</w:t>
            </w:r>
            <w:r w:rsidRPr="002C7666">
              <w:rPr>
                <w:spacing w:val="-5"/>
              </w:rPr>
              <w:t xml:space="preserve">, které si současně upevnily svou pozici odvětví </w:t>
            </w:r>
            <w:r>
              <w:rPr>
                <w:spacing w:val="-5"/>
              </w:rPr>
              <w:t>s nejvyšší úrovní výdělků (77,3</w:t>
            </w:r>
            <w:r>
              <w:t> </w:t>
            </w:r>
            <w:r w:rsidRPr="002C7666">
              <w:rPr>
                <w:spacing w:val="-5"/>
              </w:rPr>
              <w:t>t</w:t>
            </w:r>
            <w:r>
              <w:rPr>
                <w:spacing w:val="-5"/>
              </w:rPr>
              <w:t xml:space="preserve">is. korun měsíčně). Díky zotavování cestovního ruchu </w:t>
            </w:r>
            <w:r w:rsidRPr="002C7666">
              <w:rPr>
                <w:spacing w:val="-5"/>
              </w:rPr>
              <w:t xml:space="preserve">vzrostly svižně mzdy v ubytování, </w:t>
            </w:r>
            <w:r>
              <w:rPr>
                <w:spacing w:val="-5"/>
              </w:rPr>
              <w:t xml:space="preserve">stravování a pohostinství (+8,8 %) – </w:t>
            </w:r>
            <w:r w:rsidRPr="002C7666">
              <w:rPr>
                <w:spacing w:val="-5"/>
              </w:rPr>
              <w:t xml:space="preserve">jejich úroveň </w:t>
            </w:r>
            <w:r>
              <w:rPr>
                <w:spacing w:val="-5"/>
              </w:rPr>
              <w:t>i</w:t>
            </w:r>
            <w:r>
              <w:t> </w:t>
            </w:r>
            <w:r w:rsidRPr="002C7666">
              <w:rPr>
                <w:spacing w:val="-5"/>
              </w:rPr>
              <w:t xml:space="preserve">tak dosáhla jen třetiny výše odvětví IT. Růst výdělků převyšoval </w:t>
            </w:r>
            <w:r>
              <w:rPr>
                <w:spacing w:val="-5"/>
              </w:rPr>
              <w:t>inflaci i v činnost</w:t>
            </w:r>
            <w:r w:rsidRPr="002C7666">
              <w:rPr>
                <w:spacing w:val="-5"/>
              </w:rPr>
              <w:t>ech v oblasti nemovitostí, kde navíc došlo i ke s</w:t>
            </w:r>
            <w:r>
              <w:rPr>
                <w:spacing w:val="-5"/>
              </w:rPr>
              <w:t>vižnému navýšení počtu zaměstnanců</w:t>
            </w:r>
            <w:r>
              <w:rPr>
                <w:rStyle w:val="Znakapoznpodarou"/>
                <w:color w:val="0D0D0D" w:themeColor="text1" w:themeTint="F2"/>
                <w:spacing w:val="-4"/>
                <w:szCs w:val="20"/>
              </w:rPr>
              <w:footnoteReference w:id="95"/>
            </w:r>
            <w:r>
              <w:rPr>
                <w:spacing w:val="-5"/>
              </w:rPr>
              <w:t>.</w:t>
            </w:r>
          </w:p>
          <w:p w14:paraId="707E40F9" w14:textId="77777777" w:rsidR="00763B23" w:rsidRPr="0078064B" w:rsidRDefault="00763B23" w:rsidP="000D7C6F">
            <w:pPr>
              <w:spacing w:after="0"/>
              <w:rPr>
                <w:spacing w:val="-5"/>
                <w:sz w:val="18"/>
                <w:szCs w:val="18"/>
              </w:rPr>
            </w:pPr>
          </w:p>
        </w:tc>
      </w:tr>
      <w:tr w:rsidR="00763B23" w:rsidRPr="00F7747C" w14:paraId="2750D6D1" w14:textId="77777777" w:rsidTr="000D7C6F">
        <w:trPr>
          <w:trHeight w:val="132"/>
        </w:trPr>
        <w:tc>
          <w:tcPr>
            <w:tcW w:w="1754" w:type="dxa"/>
            <w:shd w:val="clear" w:color="auto" w:fill="auto"/>
            <w:tcMar>
              <w:left w:w="0" w:type="dxa"/>
            </w:tcMar>
          </w:tcPr>
          <w:p w14:paraId="3C7F7736" w14:textId="77777777" w:rsidR="00763B23" w:rsidRDefault="00763B23" w:rsidP="000D7C6F">
            <w:pPr>
              <w:pStyle w:val="Marginlie"/>
              <w:rPr>
                <w:color w:val="0D0D0D" w:themeColor="text1" w:themeTint="F2"/>
                <w:spacing w:val="-4"/>
              </w:rPr>
            </w:pPr>
            <w:r>
              <w:rPr>
                <w:color w:val="0D0D0D" w:themeColor="text1" w:themeTint="F2"/>
                <w:spacing w:val="-4"/>
              </w:rPr>
              <w:t>V průmyslu se mzdy zvyšovaly nadprůměrně. V rámci zpracovatelského průmyslu se ale projevily rozdílné hospodářské výsledky dílčích oborů.</w:t>
            </w:r>
          </w:p>
          <w:p w14:paraId="010D2831" w14:textId="77777777" w:rsidR="00763B23" w:rsidRDefault="00763B23" w:rsidP="000D7C6F">
            <w:pPr>
              <w:pStyle w:val="Marginlie"/>
              <w:rPr>
                <w:color w:val="0D0D0D" w:themeColor="text1" w:themeTint="F2"/>
                <w:spacing w:val="-4"/>
              </w:rPr>
            </w:pPr>
          </w:p>
          <w:p w14:paraId="70CB7D8B" w14:textId="77777777" w:rsidR="00763B23" w:rsidRPr="00B02B6A" w:rsidRDefault="00763B23" w:rsidP="000D7C6F">
            <w:pPr>
              <w:pStyle w:val="Marginlie"/>
              <w:rPr>
                <w:color w:val="0D0D0D" w:themeColor="text1" w:themeTint="F2"/>
                <w:spacing w:val="-4"/>
              </w:rPr>
            </w:pPr>
            <w:r>
              <w:rPr>
                <w:color w:val="0D0D0D" w:themeColor="text1" w:themeTint="F2"/>
                <w:spacing w:val="-4"/>
              </w:rPr>
              <w:lastRenderedPageBreak/>
              <w:t>V obchodu, dopravě a skladování doprovázela slabší růst průměrných mezd i mírně klesající zaměstnanost.</w:t>
            </w:r>
          </w:p>
          <w:p w14:paraId="499C41F8" w14:textId="77777777" w:rsidR="00763B23" w:rsidRDefault="00763B23" w:rsidP="000D7C6F">
            <w:pPr>
              <w:pStyle w:val="Marginlie"/>
              <w:rPr>
                <w:color w:val="0D0D0D" w:themeColor="text1" w:themeTint="F2"/>
                <w:spacing w:val="-4"/>
              </w:rPr>
            </w:pPr>
          </w:p>
        </w:tc>
        <w:tc>
          <w:tcPr>
            <w:tcW w:w="220" w:type="dxa"/>
            <w:shd w:val="clear" w:color="auto" w:fill="auto"/>
            <w:tcMar>
              <w:left w:w="0" w:type="dxa"/>
            </w:tcMar>
          </w:tcPr>
          <w:p w14:paraId="0A9BB1DF" w14:textId="77777777" w:rsidR="00763B23" w:rsidRPr="00B43216" w:rsidRDefault="00763B23" w:rsidP="000D7C6F">
            <w:pPr>
              <w:pStyle w:val="Textpoznpodarou"/>
              <w:jc w:val="both"/>
              <w:rPr>
                <w:spacing w:val="-4"/>
              </w:rPr>
            </w:pPr>
          </w:p>
        </w:tc>
        <w:tc>
          <w:tcPr>
            <w:tcW w:w="7700" w:type="dxa"/>
            <w:shd w:val="clear" w:color="auto" w:fill="auto"/>
            <w:tcMar>
              <w:left w:w="0" w:type="dxa"/>
            </w:tcMar>
          </w:tcPr>
          <w:p w14:paraId="12036546" w14:textId="692A52BD" w:rsidR="00763B23" w:rsidRPr="00F7747C" w:rsidRDefault="00763B23" w:rsidP="000D7C6F">
            <w:pPr>
              <w:spacing w:after="200"/>
              <w:rPr>
                <w:spacing w:val="-5"/>
              </w:rPr>
            </w:pPr>
            <w:r w:rsidRPr="002C7666">
              <w:rPr>
                <w:spacing w:val="-5"/>
              </w:rPr>
              <w:t xml:space="preserve">V největším odvětví </w:t>
            </w:r>
            <w:r>
              <w:rPr>
                <w:spacing w:val="-5"/>
              </w:rPr>
              <w:t>–</w:t>
            </w:r>
            <w:r w:rsidRPr="002C7666">
              <w:rPr>
                <w:spacing w:val="-5"/>
              </w:rPr>
              <w:t xml:space="preserve"> zpracovatelském průmyslu </w:t>
            </w:r>
            <w:r>
              <w:rPr>
                <w:spacing w:val="-5"/>
              </w:rPr>
              <w:t>–</w:t>
            </w:r>
            <w:r w:rsidRPr="002C7666">
              <w:rPr>
                <w:spacing w:val="-5"/>
              </w:rPr>
              <w:t xml:space="preserve"> mzdy ve 3. čtvrtletí me</w:t>
            </w:r>
            <w:r>
              <w:rPr>
                <w:spacing w:val="-5"/>
              </w:rPr>
              <w:t>ziročně vzrostly o</w:t>
            </w:r>
            <w:r>
              <w:rPr>
                <w:rFonts w:cs="Arial"/>
                <w:color w:val="0D0D0D" w:themeColor="text1" w:themeTint="F2"/>
                <w:spacing w:val="-4"/>
                <w:szCs w:val="20"/>
              </w:rPr>
              <w:t> </w:t>
            </w:r>
            <w:r w:rsidRPr="002C7666">
              <w:rPr>
                <w:spacing w:val="-5"/>
              </w:rPr>
              <w:t xml:space="preserve">8,2 %. </w:t>
            </w:r>
            <w:r>
              <w:rPr>
                <w:rFonts w:cs="Arial"/>
                <w:color w:val="0D0D0D" w:themeColor="text1" w:themeTint="F2"/>
                <w:spacing w:val="-4"/>
                <w:szCs w:val="20"/>
              </w:rPr>
              <w:t>Situace však zde byla</w:t>
            </w:r>
            <w:r>
              <w:rPr>
                <w:rStyle w:val="normaltextrun"/>
                <w:rFonts w:eastAsia="MS Gothic" w:cs="Arial"/>
                <w:szCs w:val="20"/>
              </w:rPr>
              <w:t xml:space="preserve"> v dílčích oborech v závislosti na hospodářské kondici firem dosti diferencovaná</w:t>
            </w:r>
            <w:r>
              <w:rPr>
                <w:spacing w:val="-5"/>
              </w:rPr>
              <w:t xml:space="preserve">. </w:t>
            </w:r>
            <w:r w:rsidRPr="002C7666">
              <w:rPr>
                <w:spacing w:val="-5"/>
              </w:rPr>
              <w:t>Z</w:t>
            </w:r>
            <w:r>
              <w:rPr>
                <w:spacing w:val="-5"/>
              </w:rPr>
              <w:t xml:space="preserve"> velkých průmyslových oborů</w:t>
            </w:r>
            <w:r w:rsidRPr="002C7666">
              <w:rPr>
                <w:spacing w:val="-5"/>
              </w:rPr>
              <w:t xml:space="preserve"> mzdový růst překonal inflaci jen ve výrobě motorových vozidel a v elektrotechnice. Naopak ve výrobě stavebních hmot průměrné mzdy posílily jen o 6,3 % (i tak se ale jejich výše </w:t>
            </w:r>
            <w:r>
              <w:rPr>
                <w:spacing w:val="-5"/>
              </w:rPr>
              <w:t xml:space="preserve">těsně </w:t>
            </w:r>
            <w:r w:rsidRPr="002C7666">
              <w:rPr>
                <w:spacing w:val="-5"/>
              </w:rPr>
              <w:t>udržela nad úrovní celé ekonomiky) a</w:t>
            </w:r>
            <w:r>
              <w:rPr>
                <w:spacing w:val="-5"/>
              </w:rPr>
              <w:t> </w:t>
            </w:r>
            <w:r w:rsidRPr="002C7666">
              <w:rPr>
                <w:spacing w:val="-5"/>
              </w:rPr>
              <w:t xml:space="preserve">při citelném poklesu zaměstnanosti zde tak objem vyplacených mezd fakticky jen stagnoval. </w:t>
            </w:r>
            <w:r w:rsidRPr="002C7666">
              <w:rPr>
                <w:spacing w:val="-5"/>
              </w:rPr>
              <w:lastRenderedPageBreak/>
              <w:t>Ve stavebnictví průměrné mzdy vzrostly jen o 5,8 % (proti tempům z počátku roku došlo ke zn</w:t>
            </w:r>
            <w:r>
              <w:rPr>
                <w:spacing w:val="-5"/>
              </w:rPr>
              <w:t>atelnému zpomalení). Slabší</w:t>
            </w:r>
            <w:r w:rsidRPr="002C7666">
              <w:rPr>
                <w:spacing w:val="-5"/>
              </w:rPr>
              <w:t xml:space="preserve"> mzdový růst nastal i v řadě výz</w:t>
            </w:r>
            <w:r>
              <w:rPr>
                <w:spacing w:val="-5"/>
              </w:rPr>
              <w:t xml:space="preserve">namných tržních odvětví služeb – </w:t>
            </w:r>
            <w:r w:rsidRPr="002C7666">
              <w:rPr>
                <w:spacing w:val="-5"/>
              </w:rPr>
              <w:t xml:space="preserve">např. v obchodě (6,7 %), dopravě a skladování (7,1 %). </w:t>
            </w:r>
            <w:r>
              <w:rPr>
                <w:rFonts w:cs="Arial"/>
                <w:color w:val="0D0D0D" w:themeColor="text1" w:themeTint="F2"/>
                <w:spacing w:val="-4"/>
                <w:szCs w:val="20"/>
              </w:rPr>
              <w:t xml:space="preserve">Zároveň šlo o jedny z mála oblastí </w:t>
            </w:r>
            <w:r w:rsidRPr="001A4C2E">
              <w:rPr>
                <w:rFonts w:cs="Arial"/>
                <w:color w:val="0D0D0D" w:themeColor="text1" w:themeTint="F2"/>
                <w:spacing w:val="-6"/>
                <w:szCs w:val="20"/>
              </w:rPr>
              <w:t>služeb,</w:t>
            </w:r>
            <w:r>
              <w:rPr>
                <w:rFonts w:cs="Arial"/>
                <w:color w:val="0D0D0D" w:themeColor="text1" w:themeTint="F2"/>
                <w:spacing w:val="-6"/>
                <w:szCs w:val="20"/>
              </w:rPr>
              <w:t xml:space="preserve"> kde počet zaměstnanců nerostl, neboť se zde </w:t>
            </w:r>
            <w:r w:rsidRPr="001A4C2E">
              <w:rPr>
                <w:rFonts w:cs="Arial"/>
                <w:color w:val="0D0D0D" w:themeColor="text1" w:themeTint="F2"/>
                <w:spacing w:val="-6"/>
                <w:szCs w:val="20"/>
              </w:rPr>
              <w:t>projevila provázanost na slábnoucí zpracovatelský průmysl</w:t>
            </w:r>
            <w:r>
              <w:rPr>
                <w:rFonts w:cs="Arial"/>
                <w:color w:val="0D0D0D" w:themeColor="text1" w:themeTint="F2"/>
                <w:spacing w:val="-4"/>
                <w:szCs w:val="20"/>
              </w:rPr>
              <w:t>. Naopak nové zaměstnance (převážně agenturní pracovníky na pozice s nižší kvalifikací) nabíralo odvětví administrativní a podpůrné činnosti, což zde vyústilo ve slabší růst průměrných výdělků (6,6 %), jejichž měsíční výše se rovnala jen 30,4 tis. korun. Nejnižšího mzdového tempa docílilo odvětví ostatní činnosti</w:t>
            </w:r>
            <w:r>
              <w:rPr>
                <w:rStyle w:val="Znakapoznpodarou"/>
                <w:color w:val="0D0D0D" w:themeColor="text1" w:themeTint="F2"/>
                <w:spacing w:val="-4"/>
                <w:szCs w:val="20"/>
              </w:rPr>
              <w:footnoteReference w:id="96"/>
            </w:r>
            <w:r>
              <w:rPr>
                <w:rFonts w:cs="Arial"/>
                <w:color w:val="0D0D0D" w:themeColor="text1" w:themeTint="F2"/>
                <w:spacing w:val="-4"/>
                <w:szCs w:val="20"/>
              </w:rPr>
              <w:t xml:space="preserve"> (+0,9 %), absolutně šlo o navýšení pouze o necelých 300 korun. Nízké tempo lze vysvětlit výrazným oživením zaměstnanosti (+9,3 %), k němuž zde letos došlo poprvé od vzplanutí pandemie. </w:t>
            </w:r>
            <w:r>
              <w:rPr>
                <w:spacing w:val="-5"/>
              </w:rPr>
              <w:t>V</w:t>
            </w:r>
            <w:r>
              <w:rPr>
                <w:rFonts w:cs="Arial"/>
                <w:color w:val="0D0D0D" w:themeColor="text1" w:themeTint="F2"/>
                <w:spacing w:val="-4"/>
                <w:szCs w:val="20"/>
              </w:rPr>
              <w:t> </w:t>
            </w:r>
            <w:r w:rsidRPr="006A0EFB">
              <w:rPr>
                <w:rFonts w:cs="Arial"/>
                <w:color w:val="0D0D0D" w:themeColor="text1" w:themeTint="F2"/>
                <w:spacing w:val="-4"/>
                <w:szCs w:val="20"/>
              </w:rPr>
              <w:t>odvětvích s významnou rolí státu</w:t>
            </w:r>
            <w:r w:rsidRPr="006A0EFB">
              <w:rPr>
                <w:rStyle w:val="Znakapoznpodarou"/>
                <w:color w:val="0D0D0D" w:themeColor="text1" w:themeTint="F2"/>
                <w:spacing w:val="-4"/>
                <w:szCs w:val="20"/>
              </w:rPr>
              <w:footnoteReference w:id="97"/>
            </w:r>
            <w:r w:rsidRPr="002C7666">
              <w:rPr>
                <w:spacing w:val="-5"/>
              </w:rPr>
              <w:t xml:space="preserve"> se mzdy zvýšily nejvíce ve zdravotní a sociální péči (+7,3 %), nejméně</w:t>
            </w:r>
            <w:r>
              <w:rPr>
                <w:spacing w:val="-5"/>
              </w:rPr>
              <w:t xml:space="preserve"> </w:t>
            </w:r>
            <w:r w:rsidRPr="002C7666">
              <w:rPr>
                <w:spacing w:val="-5"/>
              </w:rPr>
              <w:t>ve vzdělávání (+3,3 %</w:t>
            </w:r>
            <w:r>
              <w:rPr>
                <w:rStyle w:val="Znakapoznpodarou"/>
                <w:color w:val="0D0D0D" w:themeColor="text1" w:themeTint="F2"/>
                <w:spacing w:val="-4"/>
                <w:szCs w:val="20"/>
              </w:rPr>
              <w:footnoteReference w:id="98"/>
            </w:r>
            <w:r>
              <w:rPr>
                <w:spacing w:val="-5"/>
              </w:rPr>
              <w:t>), kde jejich úroveň ve 3. čtvrtletí (41,8 tis.</w:t>
            </w:r>
            <w:r w:rsidRPr="002C7666">
              <w:rPr>
                <w:spacing w:val="-5"/>
              </w:rPr>
              <w:t xml:space="preserve"> k</w:t>
            </w:r>
            <w:r>
              <w:rPr>
                <w:spacing w:val="-5"/>
              </w:rPr>
              <w:t>orun) lehce zaostala za celou ekonomikou (obdobné platilo pro mzdy i v úhrnu od počátku roku).</w:t>
            </w:r>
          </w:p>
        </w:tc>
      </w:tr>
      <w:tr w:rsidR="00763B23" w:rsidRPr="00D94F3D" w14:paraId="6044927E" w14:textId="77777777" w:rsidTr="000D7C6F">
        <w:trPr>
          <w:trHeight w:val="132"/>
        </w:trPr>
        <w:tc>
          <w:tcPr>
            <w:tcW w:w="1754" w:type="dxa"/>
            <w:shd w:val="clear" w:color="auto" w:fill="auto"/>
            <w:tcMar>
              <w:left w:w="0" w:type="dxa"/>
            </w:tcMar>
          </w:tcPr>
          <w:p w14:paraId="634DE617" w14:textId="77777777" w:rsidR="00763B23" w:rsidRPr="00B02B6A" w:rsidRDefault="00763B23" w:rsidP="000D7C6F">
            <w:pPr>
              <w:pStyle w:val="Marginlie"/>
              <w:rPr>
                <w:color w:val="0D0D0D" w:themeColor="text1" w:themeTint="F2"/>
                <w:spacing w:val="-4"/>
              </w:rPr>
            </w:pPr>
            <w:r>
              <w:lastRenderedPageBreak/>
              <w:t>Celková mzdová diferenciace se letos nepatrně prohloubila.</w:t>
            </w:r>
          </w:p>
        </w:tc>
        <w:tc>
          <w:tcPr>
            <w:tcW w:w="220" w:type="dxa"/>
            <w:shd w:val="clear" w:color="auto" w:fill="auto"/>
            <w:tcMar>
              <w:left w:w="0" w:type="dxa"/>
            </w:tcMar>
          </w:tcPr>
          <w:p w14:paraId="3E80FC36" w14:textId="77777777" w:rsidR="00763B23" w:rsidRPr="00B43216" w:rsidRDefault="00763B23" w:rsidP="000D7C6F">
            <w:pPr>
              <w:pStyle w:val="Textpoznpodarou"/>
              <w:jc w:val="both"/>
              <w:rPr>
                <w:spacing w:val="-4"/>
              </w:rPr>
            </w:pPr>
          </w:p>
        </w:tc>
        <w:tc>
          <w:tcPr>
            <w:tcW w:w="7700" w:type="dxa"/>
            <w:shd w:val="clear" w:color="auto" w:fill="auto"/>
            <w:tcMar>
              <w:left w:w="0" w:type="dxa"/>
            </w:tcMar>
          </w:tcPr>
          <w:p w14:paraId="7558871E" w14:textId="0DF6ED12" w:rsidR="00763B23" w:rsidRPr="00D94F3D" w:rsidRDefault="00763B23" w:rsidP="000D7C6F">
            <w:pPr>
              <w:spacing w:after="200"/>
              <w:rPr>
                <w:rFonts w:cs="Arial"/>
                <w:color w:val="0D0D0D" w:themeColor="text1" w:themeTint="F2"/>
                <w:spacing w:val="-4"/>
                <w:sz w:val="14"/>
                <w:szCs w:val="14"/>
              </w:rPr>
            </w:pPr>
            <w:r>
              <w:rPr>
                <w:rFonts w:cs="Arial"/>
                <w:color w:val="0D0D0D" w:themeColor="text1" w:themeTint="F2"/>
                <w:spacing w:val="-4"/>
                <w:szCs w:val="20"/>
              </w:rPr>
              <w:t>Medián m</w:t>
            </w:r>
            <w:r w:rsidRPr="00984CCD">
              <w:rPr>
                <w:rFonts w:cs="Arial"/>
                <w:color w:val="0D0D0D" w:themeColor="text1" w:themeTint="F2"/>
                <w:spacing w:val="-4"/>
                <w:szCs w:val="20"/>
              </w:rPr>
              <w:t>zd</w:t>
            </w:r>
            <w:r>
              <w:rPr>
                <w:rFonts w:cs="Arial"/>
                <w:color w:val="0D0D0D" w:themeColor="text1" w:themeTint="F2"/>
                <w:spacing w:val="-4"/>
                <w:szCs w:val="20"/>
              </w:rPr>
              <w:t>y v celé ekonomice se ve 3</w:t>
            </w:r>
            <w:r w:rsidRPr="00984CCD">
              <w:rPr>
                <w:rFonts w:cs="Arial"/>
                <w:color w:val="0D0D0D" w:themeColor="text1" w:themeTint="F2"/>
                <w:spacing w:val="-4"/>
                <w:szCs w:val="20"/>
              </w:rPr>
              <w:t>. čtvrt</w:t>
            </w:r>
            <w:r>
              <w:rPr>
                <w:rFonts w:cs="Arial"/>
                <w:color w:val="0D0D0D" w:themeColor="text1" w:themeTint="F2"/>
                <w:spacing w:val="-4"/>
                <w:szCs w:val="20"/>
              </w:rPr>
              <w:t>letí 2023 meziročně zvýšil o 7,1</w:t>
            </w:r>
            <w:r w:rsidRPr="00984CCD">
              <w:rPr>
                <w:rFonts w:cs="Arial"/>
                <w:color w:val="0D0D0D" w:themeColor="text1" w:themeTint="F2"/>
                <w:spacing w:val="-4"/>
                <w:szCs w:val="20"/>
              </w:rPr>
              <w:t xml:space="preserve"> %</w:t>
            </w:r>
            <w:r>
              <w:rPr>
                <w:rStyle w:val="normaltextrun"/>
                <w:rFonts w:eastAsia="MS Gothic" w:cs="Arial"/>
                <w:szCs w:val="20"/>
              </w:rPr>
              <w:t xml:space="preserve"> (i zde se růstové tempo zatím letos zvolňovalo)</w:t>
            </w:r>
            <w:r>
              <w:rPr>
                <w:rFonts w:cs="Arial"/>
                <w:color w:val="0D0D0D" w:themeColor="text1" w:themeTint="F2"/>
                <w:spacing w:val="-4"/>
                <w:szCs w:val="20"/>
              </w:rPr>
              <w:t xml:space="preserve">. </w:t>
            </w:r>
            <w:r w:rsidRPr="00984CCD">
              <w:rPr>
                <w:rFonts w:cs="Arial"/>
                <w:color w:val="0D0D0D" w:themeColor="text1" w:themeTint="F2"/>
                <w:spacing w:val="-4"/>
                <w:szCs w:val="20"/>
              </w:rPr>
              <w:t xml:space="preserve">Medián </w:t>
            </w:r>
            <w:r>
              <w:rPr>
                <w:rFonts w:cs="Arial"/>
                <w:color w:val="0D0D0D" w:themeColor="text1" w:themeTint="F2"/>
                <w:spacing w:val="-4"/>
                <w:szCs w:val="20"/>
              </w:rPr>
              <w:t>mzdy mužů činil měsíčně 40,2 tis. korun, ženy pobíraly 34,7</w:t>
            </w:r>
            <w:r w:rsidRPr="00984CCD">
              <w:rPr>
                <w:rFonts w:cs="Arial"/>
                <w:color w:val="0D0D0D" w:themeColor="text1" w:themeTint="F2"/>
                <w:spacing w:val="-4"/>
                <w:szCs w:val="20"/>
              </w:rPr>
              <w:t xml:space="preserve"> tis. korun. </w:t>
            </w:r>
            <w:r>
              <w:rPr>
                <w:rStyle w:val="normaltextrun"/>
                <w:rFonts w:eastAsia="MS Gothic" w:cs="Arial"/>
                <w:szCs w:val="20"/>
              </w:rPr>
              <w:t>Mediánové výdělky žen byly proti mužům o</w:t>
            </w:r>
            <w:r>
              <w:rPr>
                <w:rFonts w:cs="Arial"/>
                <w:color w:val="0D0D0D" w:themeColor="text1" w:themeTint="F2"/>
                <w:spacing w:val="-4"/>
                <w:szCs w:val="20"/>
              </w:rPr>
              <w:t> </w:t>
            </w:r>
            <w:r>
              <w:rPr>
                <w:rStyle w:val="normaltextrun"/>
                <w:rFonts w:eastAsia="MS Gothic" w:cs="Arial"/>
                <w:szCs w:val="20"/>
              </w:rPr>
              <w:t xml:space="preserve">necelých 14 % nižší (stejně jako loni). </w:t>
            </w:r>
            <w:r>
              <w:rPr>
                <w:rFonts w:cs="Arial"/>
                <w:color w:val="0D0D0D" w:themeColor="text1" w:themeTint="F2"/>
                <w:spacing w:val="-2"/>
                <w:szCs w:val="20"/>
              </w:rPr>
              <w:t xml:space="preserve">Celkové mzdové diference se meziročně nepatrně zvýšily. Ve všech třech dosavadních letošních kvartálech totiž rostla hodnota nejvyššího mzdového decilu rychleji než dolního decilu (z toho ve 3. kvartálu </w:t>
            </w:r>
            <w:r>
              <w:rPr>
                <w:rStyle w:val="normaltextrun"/>
                <w:rFonts w:eastAsia="MS Gothic" w:cs="Arial"/>
                <w:szCs w:val="20"/>
              </w:rPr>
              <w:t>horní decil výdělků narostl o 7,4 %, dolní pak o rovných 6 %).</w:t>
            </w:r>
          </w:p>
        </w:tc>
      </w:tr>
      <w:tr w:rsidR="00763B23" w:rsidRPr="00282974" w14:paraId="75C40D74" w14:textId="77777777" w:rsidTr="000D7C6F">
        <w:trPr>
          <w:trHeight w:val="132"/>
        </w:trPr>
        <w:tc>
          <w:tcPr>
            <w:tcW w:w="1754" w:type="dxa"/>
            <w:shd w:val="clear" w:color="auto" w:fill="auto"/>
            <w:tcMar>
              <w:left w:w="0" w:type="dxa"/>
            </w:tcMar>
          </w:tcPr>
          <w:p w14:paraId="41B4CAB5" w14:textId="77777777" w:rsidR="00763B23" w:rsidRPr="00A90A79" w:rsidRDefault="00763B23" w:rsidP="000D7C6F">
            <w:pPr>
              <w:pStyle w:val="Marginlie"/>
              <w:rPr>
                <w:spacing w:val="-4"/>
              </w:rPr>
            </w:pPr>
          </w:p>
        </w:tc>
        <w:tc>
          <w:tcPr>
            <w:tcW w:w="220" w:type="dxa"/>
            <w:shd w:val="clear" w:color="auto" w:fill="auto"/>
            <w:tcMar>
              <w:left w:w="0" w:type="dxa"/>
            </w:tcMar>
          </w:tcPr>
          <w:p w14:paraId="4FD160EA" w14:textId="77777777" w:rsidR="00763B23" w:rsidRPr="00B43216" w:rsidRDefault="00763B23" w:rsidP="000D7C6F">
            <w:pPr>
              <w:pStyle w:val="Textpoznpodarou"/>
              <w:jc w:val="both"/>
              <w:rPr>
                <w:spacing w:val="-4"/>
              </w:rPr>
            </w:pPr>
          </w:p>
        </w:tc>
        <w:tc>
          <w:tcPr>
            <w:tcW w:w="7700" w:type="dxa"/>
            <w:shd w:val="clear" w:color="auto" w:fill="auto"/>
            <w:tcMar>
              <w:left w:w="0" w:type="dxa"/>
            </w:tcMar>
          </w:tcPr>
          <w:p w14:paraId="2E7FBEB6" w14:textId="77777777" w:rsidR="00763B23" w:rsidRPr="00282974" w:rsidRDefault="00763B23" w:rsidP="000D7C6F">
            <w:pPr>
              <w:spacing w:after="0"/>
              <w:rPr>
                <w:b/>
                <w:spacing w:val="-2"/>
              </w:rPr>
            </w:pPr>
            <w:r w:rsidRPr="00282974">
              <w:rPr>
                <w:rFonts w:cs="Arial"/>
                <w:b/>
                <w:color w:val="0D0D0D" w:themeColor="text1" w:themeTint="F2"/>
                <w:spacing w:val="-2"/>
                <w:szCs w:val="20"/>
              </w:rPr>
              <w:t xml:space="preserve">Graf č. 15 </w:t>
            </w:r>
            <w:r w:rsidRPr="003E01D3">
              <w:rPr>
                <w:b/>
                <w:spacing w:val="-4"/>
              </w:rPr>
              <w:t>Průměrná nominální</w:t>
            </w:r>
            <w:r>
              <w:rPr>
                <w:b/>
                <w:spacing w:val="-4"/>
              </w:rPr>
              <w:t xml:space="preserve"> a </w:t>
            </w:r>
            <w:r w:rsidRPr="003E01D3">
              <w:rPr>
                <w:b/>
                <w:spacing w:val="-4"/>
              </w:rPr>
              <w:t>reálná mzda a</w:t>
            </w:r>
            <w:r>
              <w:rPr>
                <w:b/>
                <w:spacing w:val="-4"/>
              </w:rPr>
              <w:t> </w:t>
            </w:r>
            <w:r w:rsidRPr="003E01D3">
              <w:rPr>
                <w:b/>
                <w:spacing w:val="-4"/>
              </w:rPr>
              <w:t>mzdový medián</w:t>
            </w:r>
            <w:r>
              <w:rPr>
                <w:spacing w:val="-4"/>
              </w:rPr>
              <w:t xml:space="preserve"> </w:t>
            </w:r>
            <w:r w:rsidRPr="003E01D3">
              <w:rPr>
                <w:spacing w:val="-4"/>
              </w:rPr>
              <w:t>(meziročně, v %)</w:t>
            </w:r>
          </w:p>
        </w:tc>
      </w:tr>
      <w:tr w:rsidR="00763B23" w:rsidRPr="00A90A79" w14:paraId="58B30ED1" w14:textId="77777777" w:rsidTr="000D7C6F">
        <w:tblPrEx>
          <w:tblCellMar>
            <w:left w:w="70" w:type="dxa"/>
            <w:right w:w="70" w:type="dxa"/>
          </w:tblCellMar>
        </w:tblPrEx>
        <w:trPr>
          <w:trHeight w:val="132"/>
        </w:trPr>
        <w:tc>
          <w:tcPr>
            <w:tcW w:w="1754" w:type="dxa"/>
            <w:shd w:val="clear" w:color="auto" w:fill="auto"/>
          </w:tcPr>
          <w:p w14:paraId="7D4503F6" w14:textId="77777777" w:rsidR="00763B23" w:rsidRPr="00A90A79" w:rsidRDefault="00763B23" w:rsidP="000D7C6F">
            <w:pPr>
              <w:pStyle w:val="Marginlie"/>
              <w:rPr>
                <w:spacing w:val="-4"/>
              </w:rPr>
            </w:pPr>
          </w:p>
        </w:tc>
        <w:tc>
          <w:tcPr>
            <w:tcW w:w="220" w:type="dxa"/>
            <w:shd w:val="clear" w:color="auto" w:fill="auto"/>
          </w:tcPr>
          <w:p w14:paraId="5BB5F910" w14:textId="77777777" w:rsidR="00763B23" w:rsidRPr="00B43216" w:rsidRDefault="00763B23" w:rsidP="000D7C6F">
            <w:pPr>
              <w:pStyle w:val="Textpoznpodarou"/>
              <w:jc w:val="both"/>
              <w:rPr>
                <w:spacing w:val="-4"/>
              </w:rPr>
            </w:pPr>
          </w:p>
        </w:tc>
        <w:tc>
          <w:tcPr>
            <w:tcW w:w="7700" w:type="dxa"/>
            <w:shd w:val="clear" w:color="auto" w:fill="auto"/>
          </w:tcPr>
          <w:p w14:paraId="6F20CF06" w14:textId="77777777" w:rsidR="00763B23" w:rsidRPr="00A90A79" w:rsidRDefault="00763B23" w:rsidP="000D7C6F">
            <w:pPr>
              <w:spacing w:after="0" w:line="240" w:lineRule="auto"/>
              <w:rPr>
                <w:rFonts w:cs="Arial"/>
                <w:color w:val="0D0D0D" w:themeColor="text1" w:themeTint="F2"/>
                <w:spacing w:val="-4"/>
                <w:sz w:val="14"/>
                <w:szCs w:val="14"/>
              </w:rPr>
            </w:pPr>
            <w:r>
              <w:rPr>
                <w:noProof/>
              </w:rPr>
              <w:drawing>
                <wp:inline distT="0" distB="0" distL="0" distR="0" wp14:anchorId="452B4CCB" wp14:editId="292DD9DF">
                  <wp:extent cx="4794389" cy="3752929"/>
                  <wp:effectExtent l="0" t="0" r="6350"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763B23" w:rsidRPr="00A90A79" w14:paraId="6838D2D9" w14:textId="77777777" w:rsidTr="000D7C6F">
        <w:trPr>
          <w:trHeight w:val="132"/>
        </w:trPr>
        <w:tc>
          <w:tcPr>
            <w:tcW w:w="1754" w:type="dxa"/>
            <w:shd w:val="clear" w:color="auto" w:fill="auto"/>
            <w:tcMar>
              <w:left w:w="0" w:type="dxa"/>
            </w:tcMar>
          </w:tcPr>
          <w:p w14:paraId="684C48A8" w14:textId="77777777" w:rsidR="00763B23" w:rsidRPr="00A90A79" w:rsidRDefault="00763B23" w:rsidP="000D7C6F">
            <w:pPr>
              <w:pStyle w:val="Marginlie"/>
              <w:rPr>
                <w:spacing w:val="-4"/>
              </w:rPr>
            </w:pPr>
          </w:p>
        </w:tc>
        <w:tc>
          <w:tcPr>
            <w:tcW w:w="220" w:type="dxa"/>
            <w:shd w:val="clear" w:color="auto" w:fill="auto"/>
            <w:tcMar>
              <w:left w:w="0" w:type="dxa"/>
            </w:tcMar>
          </w:tcPr>
          <w:p w14:paraId="518C41FA" w14:textId="77777777" w:rsidR="00763B23" w:rsidRPr="00B43216" w:rsidRDefault="00763B23" w:rsidP="000D7C6F">
            <w:pPr>
              <w:pStyle w:val="Textpoznpodarou"/>
              <w:jc w:val="both"/>
              <w:rPr>
                <w:spacing w:val="-4"/>
              </w:rPr>
            </w:pPr>
          </w:p>
        </w:tc>
        <w:tc>
          <w:tcPr>
            <w:tcW w:w="7700" w:type="dxa"/>
            <w:shd w:val="clear" w:color="auto" w:fill="auto"/>
            <w:tcMar>
              <w:left w:w="0" w:type="dxa"/>
            </w:tcMar>
          </w:tcPr>
          <w:p w14:paraId="0CCBF1B5" w14:textId="77777777" w:rsidR="00763B23" w:rsidRDefault="00763B23" w:rsidP="000D7C6F">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w:t>
            </w:r>
            <w:r w:rsidRPr="00A90A79">
              <w:rPr>
                <w:rFonts w:cs="Arial"/>
                <w:color w:val="0D0D0D" w:themeColor="text1" w:themeTint="F2"/>
                <w:spacing w:val="-4"/>
                <w:sz w:val="14"/>
                <w:szCs w:val="14"/>
              </w:rPr>
              <w:t>Zahrnuj</w:t>
            </w:r>
            <w:r>
              <w:rPr>
                <w:rFonts w:cs="Arial"/>
                <w:color w:val="0D0D0D" w:themeColor="text1" w:themeTint="F2"/>
                <w:spacing w:val="-4"/>
                <w:sz w:val="14"/>
                <w:szCs w:val="14"/>
              </w:rPr>
              <w:t>e odvětví s významnou rolí vládního sektoru</w:t>
            </w:r>
            <w:r w:rsidRPr="00A90A79">
              <w:rPr>
                <w:rFonts w:cs="Arial"/>
                <w:color w:val="0D0D0D" w:themeColor="text1" w:themeTint="F2"/>
                <w:spacing w:val="-4"/>
                <w:sz w:val="14"/>
                <w:szCs w:val="14"/>
              </w:rPr>
              <w:t>: Veřejná správa a obrana, povinné sociální zabezpečení; Vzdělávání; Zdravotní a sociální péče; Kulturn</w:t>
            </w:r>
            <w:r>
              <w:rPr>
                <w:rFonts w:cs="Arial"/>
                <w:color w:val="0D0D0D" w:themeColor="text1" w:themeTint="F2"/>
                <w:spacing w:val="-4"/>
                <w:sz w:val="14"/>
                <w:szCs w:val="14"/>
              </w:rPr>
              <w:t>í, zábavní a rekreační činnosti.</w:t>
            </w:r>
          </w:p>
          <w:p w14:paraId="07047716" w14:textId="77777777" w:rsidR="00763B23" w:rsidRDefault="00763B23" w:rsidP="000D7C6F">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 xml:space="preserve">**Vyjadřuje reálný HDP vztažený na 1 pracovníka (ve fyzických osobách) </w:t>
            </w:r>
          </w:p>
          <w:p w14:paraId="515941A9" w14:textId="77777777" w:rsidR="00763B23" w:rsidRPr="00A90A79" w:rsidRDefault="00763B23" w:rsidP="000D7C6F">
            <w:pPr>
              <w:spacing w:after="200" w:line="240" w:lineRule="auto"/>
              <w:rPr>
                <w:rFonts w:cs="Arial"/>
                <w:color w:val="0D0D0D" w:themeColor="text1" w:themeTint="F2"/>
                <w:spacing w:val="-4"/>
                <w:sz w:val="14"/>
                <w:szCs w:val="14"/>
              </w:rPr>
            </w:pPr>
            <w:r>
              <w:rPr>
                <w:rFonts w:cs="Arial"/>
                <w:color w:val="0D0D0D" w:themeColor="text1" w:themeTint="F2"/>
                <w:spacing w:val="-4"/>
                <w:sz w:val="14"/>
                <w:szCs w:val="14"/>
              </w:rPr>
              <w:t xml:space="preserve"> </w:t>
            </w:r>
            <w:r w:rsidRPr="00A90A79">
              <w:rPr>
                <w:rFonts w:cs="Arial"/>
                <w:color w:val="0D0D0D" w:themeColor="text1" w:themeTint="F2"/>
                <w:spacing w:val="-4"/>
                <w:sz w:val="14"/>
                <w:szCs w:val="14"/>
              </w:rPr>
              <w:t>Zdroj: ČSÚ</w:t>
            </w:r>
          </w:p>
        </w:tc>
      </w:tr>
    </w:tbl>
    <w:p w14:paraId="48CAD905" w14:textId="77777777" w:rsidR="001E1AF1" w:rsidRDefault="001E1AF1" w:rsidP="001E1AF1">
      <w:pPr>
        <w:pStyle w:val="Nadpis11"/>
        <w:spacing w:after="120"/>
      </w:pPr>
      <w:bookmarkStart w:id="42" w:name="_Toc153531912"/>
      <w:r>
        <w:lastRenderedPageBreak/>
        <w:t>7. Měnové podmínky</w:t>
      </w:r>
      <w:bookmarkEnd w:id="39"/>
      <w:bookmarkEnd w:id="42"/>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1E1AF1" w:rsidRPr="0037004A" w14:paraId="144793D5" w14:textId="77777777" w:rsidTr="08AB0269">
        <w:trPr>
          <w:trHeight w:val="145"/>
        </w:trPr>
        <w:tc>
          <w:tcPr>
            <w:tcW w:w="1802" w:type="dxa"/>
          </w:tcPr>
          <w:p w14:paraId="28F46272" w14:textId="77777777" w:rsidR="001E1AF1" w:rsidRDefault="001E1AF1" w:rsidP="00D26E6B">
            <w:pPr>
              <w:pStyle w:val="Marginlie"/>
              <w:rPr>
                <w:lang w:eastAsia="en-US"/>
              </w:rPr>
            </w:pPr>
            <w:r>
              <w:rPr>
                <w:lang w:eastAsia="en-US"/>
              </w:rPr>
              <w:t>Koruna byla meziročně silnější vůči euru i dolaru, mezičtvrtletně ale oslabovala.</w:t>
            </w:r>
          </w:p>
        </w:tc>
        <w:tc>
          <w:tcPr>
            <w:tcW w:w="229" w:type="dxa"/>
          </w:tcPr>
          <w:p w14:paraId="427169C9" w14:textId="77777777" w:rsidR="001E1AF1" w:rsidRDefault="001E1AF1" w:rsidP="00D26E6B">
            <w:pPr>
              <w:pStyle w:val="Textpoznpodarou"/>
              <w:jc w:val="both"/>
              <w:rPr>
                <w:spacing w:val="-4"/>
                <w:lang w:eastAsia="en-US"/>
              </w:rPr>
            </w:pPr>
          </w:p>
        </w:tc>
        <w:tc>
          <w:tcPr>
            <w:tcW w:w="7610" w:type="dxa"/>
          </w:tcPr>
          <w:p w14:paraId="13F40A9B" w14:textId="5DCF7AC7" w:rsidR="001E1AF1" w:rsidRPr="0037004A" w:rsidRDefault="001E1AF1" w:rsidP="008B02E7">
            <w:pPr>
              <w:rPr>
                <w:spacing w:val="-2"/>
                <w:lang w:eastAsia="en-US"/>
              </w:rPr>
            </w:pPr>
            <w:r>
              <w:rPr>
                <w:spacing w:val="-2"/>
                <w:lang w:eastAsia="en-US"/>
              </w:rPr>
              <w:t xml:space="preserve">Nastavení </w:t>
            </w:r>
            <w:proofErr w:type="spellStart"/>
            <w:r>
              <w:rPr>
                <w:spacing w:val="-2"/>
                <w:lang w:eastAsia="en-US"/>
              </w:rPr>
              <w:t>měnověpolitických</w:t>
            </w:r>
            <w:proofErr w:type="spellEnd"/>
            <w:r>
              <w:rPr>
                <w:spacing w:val="-2"/>
                <w:lang w:eastAsia="en-US"/>
              </w:rPr>
              <w:t xml:space="preserve"> sazeb se ani v průběhu 3. čtvrtletí 2023 nezměnilo, a tak dvoutýdenní </w:t>
            </w:r>
            <w:proofErr w:type="spellStart"/>
            <w:r>
              <w:rPr>
                <w:spacing w:val="-2"/>
                <w:lang w:eastAsia="en-US"/>
              </w:rPr>
              <w:t>repo</w:t>
            </w:r>
            <w:proofErr w:type="spellEnd"/>
            <w:r>
              <w:rPr>
                <w:spacing w:val="-2"/>
                <w:lang w:eastAsia="en-US"/>
              </w:rPr>
              <w:t xml:space="preserve"> sazba zůstala na úrovni 7,00 %, diskontní sazba na 6,00 % a lombardní na 8,00 %.</w:t>
            </w:r>
            <w:r w:rsidRPr="0037004A">
              <w:rPr>
                <w:rStyle w:val="Znakapoznpodarou"/>
                <w:spacing w:val="-2"/>
                <w:lang w:eastAsia="en-US"/>
              </w:rPr>
              <w:footnoteReference w:id="99"/>
            </w:r>
            <w:r>
              <w:rPr>
                <w:spacing w:val="-2"/>
                <w:lang w:eastAsia="en-US"/>
              </w:rPr>
              <w:t xml:space="preserve"> V průběhu 3. čtvrtletí docházelo k postupnému oslabování koruny vůči euru i dolaru. Kurz koruny vůči euru dosahoval na konci června 23,73 CZK/EUR a do konce září oslabil na 24,34 CZK/EUR. Průměrný kurz koruny vůči euru ve 3. čtvrtletí činil 24,14 CZK/EUR a mezičtvrtletně tak byl slabší o 55 haléřů. Meziročně byl silnější o 44 haléřů. Kurz koruny vůči dolaru oslabil z 21,83 CZK/USD na konci června na 22,97</w:t>
            </w:r>
            <w:r w:rsidR="008B02E7">
              <w:rPr>
                <w:spacing w:val="-2"/>
                <w:lang w:eastAsia="en-US"/>
              </w:rPr>
              <w:t> </w:t>
            </w:r>
            <w:r>
              <w:rPr>
                <w:spacing w:val="-2"/>
                <w:lang w:eastAsia="en-US"/>
              </w:rPr>
              <w:t xml:space="preserve">CZK/USD ke konci září. Průměr za celé 3. čtvrtletí dosáhl 22,17 CZK/USD a kurz vůči dolaru tak mezičtvrtletně oslabil o 50 haléřů, ale meziročně byl silnější o 2,23 koruny. </w:t>
            </w:r>
          </w:p>
        </w:tc>
      </w:tr>
      <w:tr w:rsidR="001E1AF1" w14:paraId="1527FEB9" w14:textId="77777777" w:rsidTr="08AB0269">
        <w:trPr>
          <w:trHeight w:val="145"/>
        </w:trPr>
        <w:tc>
          <w:tcPr>
            <w:tcW w:w="1802" w:type="dxa"/>
          </w:tcPr>
          <w:p w14:paraId="18FF1CB6" w14:textId="77777777" w:rsidR="001E1AF1" w:rsidRDefault="001E1AF1" w:rsidP="00D26E6B">
            <w:pPr>
              <w:pStyle w:val="Marginlie"/>
              <w:rPr>
                <w:lang w:eastAsia="en-US"/>
              </w:rPr>
            </w:pPr>
            <w:r>
              <w:rPr>
                <w:lang w:eastAsia="en-US"/>
              </w:rPr>
              <w:t>Klesaly výnosy vládních dluhopisů s krátkodobou splatností.</w:t>
            </w:r>
          </w:p>
        </w:tc>
        <w:tc>
          <w:tcPr>
            <w:tcW w:w="229" w:type="dxa"/>
          </w:tcPr>
          <w:p w14:paraId="0DFD2CCA" w14:textId="77777777" w:rsidR="001E1AF1" w:rsidRDefault="001E1AF1" w:rsidP="00D26E6B">
            <w:pPr>
              <w:pStyle w:val="Textpoznpodarou"/>
              <w:jc w:val="both"/>
              <w:rPr>
                <w:spacing w:val="-4"/>
                <w:lang w:eastAsia="en-US"/>
              </w:rPr>
            </w:pPr>
          </w:p>
        </w:tc>
        <w:tc>
          <w:tcPr>
            <w:tcW w:w="7610" w:type="dxa"/>
          </w:tcPr>
          <w:p w14:paraId="44ABFD7A" w14:textId="77777777" w:rsidR="001E1AF1" w:rsidRDefault="001E1AF1" w:rsidP="00D26E6B">
            <w:pPr>
              <w:rPr>
                <w:spacing w:val="-1"/>
                <w:lang w:eastAsia="en-US"/>
              </w:rPr>
            </w:pPr>
            <w:r>
              <w:rPr>
                <w:spacing w:val="-1"/>
                <w:lang w:eastAsia="en-US"/>
              </w:rPr>
              <w:t xml:space="preserve">Krátkodobé úrokové sazby mezibankovního trhu se v souladu s </w:t>
            </w:r>
            <w:proofErr w:type="spellStart"/>
            <w:r>
              <w:rPr>
                <w:spacing w:val="-1"/>
                <w:lang w:eastAsia="en-US"/>
              </w:rPr>
              <w:t>měnověpolitickými</w:t>
            </w:r>
            <w:proofErr w:type="spellEnd"/>
            <w:r>
              <w:rPr>
                <w:spacing w:val="-1"/>
                <w:lang w:eastAsia="en-US"/>
              </w:rPr>
              <w:t xml:space="preserve"> sazbami téměř neměnily. Měsíční PRIBOR sazba prakticky stagnovala a tříměsíční PRIBOR sazba klesla o 0,06 p. b.</w:t>
            </w:r>
            <w:r>
              <w:rPr>
                <w:rStyle w:val="Znakapoznpodarou"/>
                <w:spacing w:val="-1"/>
                <w:lang w:eastAsia="en-US"/>
              </w:rPr>
              <w:footnoteReference w:id="100"/>
            </w:r>
            <w:r>
              <w:rPr>
                <w:spacing w:val="-1"/>
                <w:lang w:eastAsia="en-US"/>
              </w:rPr>
              <w:t xml:space="preserve"> na 7,09 % ke konci září. Výraznější pohyb byl ve 3. čtvrtletí patrný u mezibankovních sazeb s delší splatností – šestiměsíční PRIBOR sazba klesla o 0,11 p. b. na 7,06 % a roční dokonce o 0,29 p. b. na 6,85 %. Průměrné výnosy vládních dluhopisů s krátkodobou splatností během 3. čtvrtletí klesly o 0,32 p. b. na 5,04 %. U střednědobé splatnosti (mezi 2 a 5 lety) výnos klesl o 0,07 p. b. na 4,57 %. Naopak u dlouhodobých dluhopisů došlo k nárůstu sazby o 0,15 p. b. na 4,49 %.      </w:t>
            </w:r>
          </w:p>
        </w:tc>
      </w:tr>
      <w:tr w:rsidR="001E1AF1" w14:paraId="07D742EC" w14:textId="77777777" w:rsidTr="08AB0269">
        <w:trPr>
          <w:trHeight w:val="145"/>
        </w:trPr>
        <w:tc>
          <w:tcPr>
            <w:tcW w:w="1802" w:type="dxa"/>
          </w:tcPr>
          <w:p w14:paraId="3A63CB09" w14:textId="77777777" w:rsidR="001E1AF1" w:rsidRDefault="001E1AF1" w:rsidP="00D26E6B">
            <w:pPr>
              <w:pStyle w:val="Marginlie"/>
              <w:rPr>
                <w:lang w:eastAsia="en-US"/>
              </w:rPr>
            </w:pPr>
            <w:r>
              <w:rPr>
                <w:lang w:eastAsia="en-US"/>
              </w:rPr>
              <w:t>Po šesti čtvrtletích poklesů mírně meziročně vzrostl objem netermínovaných vkladů</w:t>
            </w:r>
          </w:p>
        </w:tc>
        <w:tc>
          <w:tcPr>
            <w:tcW w:w="229" w:type="dxa"/>
          </w:tcPr>
          <w:p w14:paraId="2170EB38" w14:textId="77777777" w:rsidR="001E1AF1" w:rsidRDefault="001E1AF1" w:rsidP="00D26E6B">
            <w:pPr>
              <w:pStyle w:val="Textpoznpodarou"/>
              <w:jc w:val="both"/>
              <w:rPr>
                <w:spacing w:val="-4"/>
                <w:lang w:eastAsia="en-US"/>
              </w:rPr>
            </w:pPr>
          </w:p>
        </w:tc>
        <w:tc>
          <w:tcPr>
            <w:tcW w:w="7610" w:type="dxa"/>
          </w:tcPr>
          <w:p w14:paraId="03FC79BF" w14:textId="03A80970" w:rsidR="001E1AF1" w:rsidRDefault="001E1AF1" w:rsidP="008B02E7">
            <w:pPr>
              <w:rPr>
                <w:spacing w:val="-3"/>
                <w:lang w:eastAsia="en-US"/>
              </w:rPr>
            </w:pPr>
            <w:r>
              <w:rPr>
                <w:spacing w:val="-3"/>
                <w:lang w:eastAsia="en-US"/>
              </w:rPr>
              <w:t xml:space="preserve">Změny úrokových sazeb vkladů domácností byly ve 3. čtvrtletí minimální. Průměrná úroková sazba jednodenních vkladů ke konci září činila 1,56 % a podobně jako úročení běžných účtů (0,26 %) se téměř nezměnila. Drobný pokles sazby byl zaznamenán </w:t>
            </w:r>
            <w:r>
              <w:rPr>
                <w:spacing w:val="-3"/>
                <w:lang w:eastAsia="en-US"/>
              </w:rPr>
              <w:br/>
              <w:t>u vkladů domácností s dohodnutou splatností (</w:t>
            </w:r>
            <w:r w:rsidR="00EF1967">
              <w:rPr>
                <w:spacing w:val="-3"/>
                <w:lang w:eastAsia="en-US"/>
              </w:rPr>
              <w:t>−</w:t>
            </w:r>
            <w:r>
              <w:rPr>
                <w:spacing w:val="-3"/>
                <w:lang w:eastAsia="en-US"/>
              </w:rPr>
              <w:t>0,09 p. b. na 6,02 % na konci září). Úročení jednodenních vkladů pro nefinanční podniky naopak dál rostlo (0,16 p. b. na 2,06</w:t>
            </w:r>
            <w:r w:rsidR="008B02E7">
              <w:rPr>
                <w:spacing w:val="-3"/>
                <w:lang w:eastAsia="en-US"/>
              </w:rPr>
              <w:t> </w:t>
            </w:r>
            <w:r>
              <w:rPr>
                <w:spacing w:val="-3"/>
                <w:lang w:eastAsia="en-US"/>
              </w:rPr>
              <w:t>% ke konci září) a podobně na tom byly také jejich běžné účty (+0,13 p. b. na 1,23</w:t>
            </w:r>
            <w:r w:rsidR="008B02E7">
              <w:rPr>
                <w:spacing w:val="-3"/>
                <w:lang w:eastAsia="en-US"/>
              </w:rPr>
              <w:t> </w:t>
            </w:r>
            <w:r>
              <w:rPr>
                <w:spacing w:val="-3"/>
                <w:lang w:eastAsia="en-US"/>
              </w:rPr>
              <w:t>%). Naopak v případě vkladů s dohodnutou splatností úrokové sazby v podstatě stagnovaly a</w:t>
            </w:r>
            <w:r w:rsidR="008B02E7">
              <w:rPr>
                <w:spacing w:val="-3"/>
                <w:lang w:eastAsia="en-US"/>
              </w:rPr>
              <w:t> </w:t>
            </w:r>
            <w:r>
              <w:rPr>
                <w:spacing w:val="-3"/>
                <w:lang w:eastAsia="en-US"/>
              </w:rPr>
              <w:t>ke konci 3. čtvrtletí dosahovaly v průměru 6,50 %. Celkový objem vkladů meziročně stoupl o 8,0 % a tempo tak mírně zrychlilo. Rychleji narůstaly vklady vládních institucí (16,2</w:t>
            </w:r>
            <w:r w:rsidR="008B02E7">
              <w:rPr>
                <w:spacing w:val="-3"/>
                <w:lang w:eastAsia="en-US"/>
              </w:rPr>
              <w:t> </w:t>
            </w:r>
            <w:r>
              <w:rPr>
                <w:spacing w:val="-3"/>
                <w:lang w:eastAsia="en-US"/>
              </w:rPr>
              <w:t>%) a domácností</w:t>
            </w:r>
            <w:r>
              <w:rPr>
                <w:rStyle w:val="Znakapoznpodarou"/>
                <w:spacing w:val="-3"/>
                <w:lang w:eastAsia="en-US"/>
              </w:rPr>
              <w:footnoteReference w:id="101"/>
            </w:r>
            <w:r>
              <w:rPr>
                <w:spacing w:val="-3"/>
                <w:lang w:eastAsia="en-US"/>
              </w:rPr>
              <w:t xml:space="preserve"> (6,9 %). Naopak u nefinančních podniků došlo k výraznému oslabení meziročního růstu na 1,2 %, za čímž kromě silné srovnávací základny loňského roku stojí i poněkud netypicky hluboký mezičtvrtletní propad vkladů. Po šesti čtvrtletích propadů mírně meziročně vzrostl objem netermínovaných vkladů (0,4 %), termínované vklady byly meziročně vyšší o 22,7 %, což je nejmenší přírůstek od konce roku 2021. </w:t>
            </w:r>
          </w:p>
        </w:tc>
      </w:tr>
      <w:tr w:rsidR="001E1AF1" w14:paraId="11A85EEC" w14:textId="77777777" w:rsidTr="08AB0269">
        <w:trPr>
          <w:trHeight w:val="145"/>
        </w:trPr>
        <w:tc>
          <w:tcPr>
            <w:tcW w:w="1802" w:type="dxa"/>
          </w:tcPr>
          <w:p w14:paraId="682F037E" w14:textId="77777777" w:rsidR="001E1AF1" w:rsidRDefault="001E1AF1" w:rsidP="00D26E6B">
            <w:pPr>
              <w:pStyle w:val="Marginlie"/>
              <w:rPr>
                <w:lang w:eastAsia="en-US"/>
              </w:rPr>
            </w:pPr>
            <w:r>
              <w:rPr>
                <w:lang w:eastAsia="en-US"/>
              </w:rPr>
              <w:t>Úrokové sazby úvěrů pro domácnosti se výrazněji neměnily.</w:t>
            </w:r>
          </w:p>
        </w:tc>
        <w:tc>
          <w:tcPr>
            <w:tcW w:w="229" w:type="dxa"/>
          </w:tcPr>
          <w:p w14:paraId="6EA5D59B" w14:textId="77777777" w:rsidR="001E1AF1" w:rsidRDefault="001E1AF1" w:rsidP="00D26E6B">
            <w:pPr>
              <w:pStyle w:val="Textpoznpodarou"/>
              <w:jc w:val="both"/>
              <w:rPr>
                <w:spacing w:val="-4"/>
                <w:lang w:eastAsia="en-US"/>
              </w:rPr>
            </w:pPr>
          </w:p>
        </w:tc>
        <w:tc>
          <w:tcPr>
            <w:tcW w:w="7610" w:type="dxa"/>
          </w:tcPr>
          <w:p w14:paraId="6B009D88" w14:textId="77777777" w:rsidR="001E1AF1" w:rsidRDefault="001E1AF1" w:rsidP="00D26E6B">
            <w:pPr>
              <w:rPr>
                <w:lang w:eastAsia="en-US"/>
              </w:rPr>
            </w:pPr>
            <w:r>
              <w:rPr>
                <w:lang w:eastAsia="en-US"/>
              </w:rPr>
              <w:t>Pohyb úrokových sazeb úvěrů pro domácnosti se ve 3. čtvrtletí také téměř zastavil. Prakticky se nezměnilo průměrné úročení úvěrů na spotřebu (9,52 % ke konci září). V případě úvěrů na bydlení se průměrná úroková sazba zvýšila o 0,10 p. b. na 5,50 %, přičemž za tím téměř výhradně stály úvěry s fixací mezi pěti a deseti lety, kratší fixace zůstaly téměř nezměněny. Co se týká objemu úvěrů poskytnutých domácnostem, meziroční přírůstek objemu úvěrů na spotřebu dosáhl 10,5 % a podruhé v řadě tak byl dvouciferný. Meziroční růst objemu úvěrů na bydlení zpomalil na 4,3 %. Pokračovalo zrychlování meziročního růstu objemu úvěrů ze stavebního spoření (28,1 %), který roste dvojciferným tempem již čtyři čtvrtletí. Naopak u hypoték tvořících naprostou většinu úvěrů na bydlení tempo zpomalilo na 4,1 %. Údaje o nových hypotečních úvěrech</w:t>
            </w:r>
            <w:r>
              <w:rPr>
                <w:rStyle w:val="Znakapoznpodarou"/>
                <w:lang w:eastAsia="en-US"/>
              </w:rPr>
              <w:footnoteReference w:id="102"/>
            </w:r>
            <w:r>
              <w:rPr>
                <w:lang w:eastAsia="en-US"/>
              </w:rPr>
              <w:t xml:space="preserve"> neukazovaly na výraznější změnu situace ve srovnání s předchozím půlrokem. Většinu z nových úvěrů ke konci září tvořila ostatní nová ujednání (11,3 mld. korun) následovaná čistými novými úvěry včetně navýšení (10,1 mld.). Refinancované </w:t>
            </w:r>
            <w:r>
              <w:rPr>
                <w:lang w:eastAsia="en-US"/>
              </w:rPr>
              <w:lastRenderedPageBreak/>
              <w:t>úvěry dosáhly 1,7 mld. korun. Většinu nových smluv tak tvořily dříve uzavřené úvěry, u kterých došlo k ukončení období fixace a bylo nutné sjednat nové podmínky. Celkové zadlužení domácností se meziročně zvýšilo o 4,7 % na 2 294,8 mld. korun.</w:t>
            </w:r>
          </w:p>
        </w:tc>
      </w:tr>
      <w:tr w:rsidR="001E1AF1" w14:paraId="088145B4" w14:textId="77777777" w:rsidTr="08AB0269">
        <w:trPr>
          <w:trHeight w:val="145"/>
        </w:trPr>
        <w:tc>
          <w:tcPr>
            <w:tcW w:w="1802" w:type="dxa"/>
          </w:tcPr>
          <w:p w14:paraId="034E4899" w14:textId="77777777" w:rsidR="001E1AF1" w:rsidRDefault="001E1AF1" w:rsidP="00D26E6B">
            <w:pPr>
              <w:pStyle w:val="Marginlie"/>
              <w:rPr>
                <w:lang w:eastAsia="en-US"/>
              </w:rPr>
            </w:pPr>
            <w:r>
              <w:rPr>
                <w:lang w:eastAsia="en-US"/>
              </w:rPr>
              <w:lastRenderedPageBreak/>
              <w:t>Dál rostl podíl úvěrů v cizí měně na celkovém objemu úvěrů pro nefinanční podniky.</w:t>
            </w:r>
          </w:p>
        </w:tc>
        <w:tc>
          <w:tcPr>
            <w:tcW w:w="229" w:type="dxa"/>
          </w:tcPr>
          <w:p w14:paraId="6D43C648" w14:textId="77777777" w:rsidR="001E1AF1" w:rsidRDefault="001E1AF1" w:rsidP="00D26E6B">
            <w:pPr>
              <w:pStyle w:val="Textpoznpodarou"/>
              <w:jc w:val="both"/>
              <w:rPr>
                <w:spacing w:val="-4"/>
                <w:lang w:eastAsia="en-US"/>
              </w:rPr>
            </w:pPr>
          </w:p>
        </w:tc>
        <w:tc>
          <w:tcPr>
            <w:tcW w:w="7610" w:type="dxa"/>
          </w:tcPr>
          <w:p w14:paraId="5C1ABAE8" w14:textId="4FF0642B" w:rsidR="001E1AF1" w:rsidRDefault="001E1AF1" w:rsidP="00D26E6B">
            <w:pPr>
              <w:rPr>
                <w:lang w:eastAsia="en-US"/>
              </w:rPr>
            </w:pPr>
            <w:r>
              <w:rPr>
                <w:lang w:eastAsia="en-US"/>
              </w:rPr>
              <w:t>Vývoj úrokových sazeb úvěrů pro nefinanční podniky byl během 3. čtvrtletí různorodý. Zatímco průměrná sazba v případě úvěrů do 7,5 mil. korun stoupla o 0,27 p. b. na 8,30 %, úrokové sazby u střední kategorie úvěrů mezi 7,5 a 30 miliony stagnovaly těsně pod 9 % (8,96 % ke konci září) a úvěry nad 30 milionů byly úročeny v průměru 8,82 %, což představuje pokles o 0,30 p. b. Celkový objem úvěrů a pohledávek nefinančních podniků byl ke konci 3. čtvrtletí meziročně vyšší o 4,3 %, přičemž za růstem zcela stály úvěry v cizí měně</w:t>
            </w:r>
            <w:r>
              <w:rPr>
                <w:rStyle w:val="Znakapoznpodarou"/>
                <w:lang w:eastAsia="en-US"/>
              </w:rPr>
              <w:footnoteReference w:id="103"/>
            </w:r>
            <w:r>
              <w:rPr>
                <w:lang w:eastAsia="en-US"/>
              </w:rPr>
              <w:t xml:space="preserve"> (14,9 %), zatímco korunové úvěry meziročně klesly o 4,3 %. Úvěry v cizí měně představovaly 49,4 % z celkového objemu úvěrů poskytnutých nefinančním podnikům. Výrazně meziročně narůstal objem úvěrů poskytnutých v uskupení profesních, vědeckých, technických a administrativních činností (17,7 %), v peněžnictví a pojišťovnictví (15,0 %), v odvětví výroba a rozvod elektřiny, plynu, tepla, vzduchu, vody a odpadů (12,7 %) a v zemědělství (11,5 %). Zvýšil se také objem úvěrů v činnostech v oblasti nemovitostí (7,7 %) a ve stavebnictví (5,8 %). Objem poskytnutých úvěrů byl meziročně výrazně nižší v dopravě a skladování (</w:t>
            </w:r>
            <w:r w:rsidR="00EF1967">
              <w:rPr>
                <w:lang w:eastAsia="en-US"/>
              </w:rPr>
              <w:t>−</w:t>
            </w:r>
            <w:r>
              <w:rPr>
                <w:lang w:eastAsia="en-US"/>
              </w:rPr>
              <w:t>10,2 %) a klesl také u informačních a komunikačních činností (</w:t>
            </w:r>
            <w:r w:rsidR="00EF1967">
              <w:rPr>
                <w:lang w:eastAsia="en-US"/>
              </w:rPr>
              <w:t>−</w:t>
            </w:r>
            <w:r>
              <w:rPr>
                <w:lang w:eastAsia="en-US"/>
              </w:rPr>
              <w:t>6,1 %), v ubytování a stravování (</w:t>
            </w:r>
            <w:r w:rsidR="00EF1967">
              <w:rPr>
                <w:lang w:eastAsia="en-US"/>
              </w:rPr>
              <w:t>−</w:t>
            </w:r>
            <w:r>
              <w:rPr>
                <w:lang w:eastAsia="en-US"/>
              </w:rPr>
              <w:t>4,4 %). Drobné meziroční poklesy se po delším období růstu objevily také ve zpracovatelském průmyslu (</w:t>
            </w:r>
            <w:r w:rsidR="00EF1967">
              <w:rPr>
                <w:lang w:eastAsia="en-US"/>
              </w:rPr>
              <w:t>−</w:t>
            </w:r>
            <w:r>
              <w:rPr>
                <w:lang w:eastAsia="en-US"/>
              </w:rPr>
              <w:t>1,5 %), ve velkoobchodě a maloobchodě a opravách a údržbě motorových vozidel (</w:t>
            </w:r>
            <w:r w:rsidR="00EF1967">
              <w:rPr>
                <w:lang w:eastAsia="en-US"/>
              </w:rPr>
              <w:t>−</w:t>
            </w:r>
            <w:r>
              <w:rPr>
                <w:lang w:eastAsia="en-US"/>
              </w:rPr>
              <w:t>1,3 %) a ve veřejné správě a obraně, povinném sociálním zabezpečení, vzdělání a zdravotní péči (</w:t>
            </w:r>
            <w:r w:rsidR="00EF1967">
              <w:rPr>
                <w:lang w:eastAsia="en-US"/>
              </w:rPr>
              <w:t>−</w:t>
            </w:r>
            <w:r>
              <w:rPr>
                <w:lang w:eastAsia="en-US"/>
              </w:rPr>
              <w:t xml:space="preserve">1,1 %). </w:t>
            </w:r>
          </w:p>
        </w:tc>
      </w:tr>
      <w:tr w:rsidR="001E1AF1" w14:paraId="7C7B5B46" w14:textId="77777777" w:rsidTr="08AB0269">
        <w:trPr>
          <w:trHeight w:val="304"/>
        </w:trPr>
        <w:tc>
          <w:tcPr>
            <w:tcW w:w="1802" w:type="dxa"/>
            <w:vMerge w:val="restart"/>
          </w:tcPr>
          <w:p w14:paraId="625BC1B0" w14:textId="77777777" w:rsidR="001E1AF1" w:rsidRDefault="001E1AF1" w:rsidP="00D26E6B">
            <w:pPr>
              <w:pStyle w:val="Marginlie"/>
              <w:rPr>
                <w:lang w:eastAsia="en-US"/>
              </w:rPr>
            </w:pPr>
          </w:p>
        </w:tc>
        <w:tc>
          <w:tcPr>
            <w:tcW w:w="229" w:type="dxa"/>
            <w:vMerge w:val="restart"/>
          </w:tcPr>
          <w:p w14:paraId="752258B9" w14:textId="77777777" w:rsidR="001E1AF1" w:rsidRDefault="001E1AF1" w:rsidP="00D26E6B">
            <w:pPr>
              <w:pStyle w:val="Textpoznpodarou"/>
              <w:jc w:val="both"/>
              <w:rPr>
                <w:spacing w:val="-4"/>
                <w:lang w:eastAsia="en-US"/>
              </w:rPr>
            </w:pPr>
          </w:p>
        </w:tc>
        <w:tc>
          <w:tcPr>
            <w:tcW w:w="7610" w:type="dxa"/>
            <w:hideMark/>
          </w:tcPr>
          <w:p w14:paraId="41B29E9A" w14:textId="77777777" w:rsidR="001E1AF1" w:rsidRPr="00D721B4" w:rsidRDefault="001E1AF1" w:rsidP="00D26E6B">
            <w:pPr>
              <w:spacing w:after="0"/>
              <w:rPr>
                <w:szCs w:val="20"/>
                <w:lang w:eastAsia="en-US"/>
              </w:rPr>
            </w:pPr>
            <w:r>
              <w:rPr>
                <w:rFonts w:cs="Arial"/>
                <w:b/>
                <w:bCs/>
                <w:color w:val="000000"/>
                <w:szCs w:val="20"/>
                <w:lang w:eastAsia="en-US"/>
              </w:rPr>
              <w:t>Graf č. 16</w:t>
            </w:r>
            <w:r w:rsidRPr="00D721B4">
              <w:rPr>
                <w:rFonts w:cs="Arial"/>
                <w:b/>
                <w:bCs/>
                <w:color w:val="000000"/>
                <w:szCs w:val="20"/>
                <w:lang w:eastAsia="en-US"/>
              </w:rPr>
              <w:t xml:space="preserve"> </w:t>
            </w:r>
            <w:r w:rsidRPr="00D721B4">
              <w:rPr>
                <w:b/>
                <w:spacing w:val="-4"/>
                <w:szCs w:val="20"/>
                <w:lang w:eastAsia="en-US"/>
              </w:rPr>
              <w:t xml:space="preserve">Tržní úrokové sazby </w:t>
            </w:r>
            <w:r w:rsidRPr="00D721B4">
              <w:rPr>
                <w:bCs/>
                <w:spacing w:val="-4"/>
                <w:szCs w:val="20"/>
                <w:lang w:eastAsia="en-US"/>
              </w:rPr>
              <w:t>(v</w:t>
            </w:r>
            <w:r>
              <w:rPr>
                <w:bCs/>
                <w:spacing w:val="-4"/>
                <w:szCs w:val="20"/>
                <w:lang w:eastAsia="en-US"/>
              </w:rPr>
              <w:t> %</w:t>
            </w:r>
            <w:r w:rsidRPr="00D721B4">
              <w:rPr>
                <w:bCs/>
                <w:spacing w:val="-4"/>
                <w:szCs w:val="20"/>
                <w:lang w:eastAsia="en-US"/>
              </w:rPr>
              <w:t>)</w:t>
            </w:r>
          </w:p>
        </w:tc>
      </w:tr>
      <w:tr w:rsidR="001E1AF1" w14:paraId="08BA897B" w14:textId="77777777" w:rsidTr="08AB0269">
        <w:tblPrEx>
          <w:tblCellMar>
            <w:left w:w="70" w:type="dxa"/>
            <w:right w:w="70" w:type="dxa"/>
          </w:tblCellMar>
        </w:tblPrEx>
        <w:trPr>
          <w:trHeight w:val="170"/>
        </w:trPr>
        <w:tc>
          <w:tcPr>
            <w:tcW w:w="1802" w:type="dxa"/>
            <w:vMerge/>
            <w:vAlign w:val="center"/>
            <w:hideMark/>
          </w:tcPr>
          <w:p w14:paraId="23698AC3" w14:textId="77777777" w:rsidR="001E1AF1" w:rsidRDefault="001E1AF1" w:rsidP="00D26E6B">
            <w:pPr>
              <w:spacing w:after="0" w:line="240" w:lineRule="auto"/>
              <w:jc w:val="left"/>
              <w:rPr>
                <w:spacing w:val="-2"/>
                <w:sz w:val="16"/>
                <w:szCs w:val="16"/>
                <w:lang w:eastAsia="en-US"/>
              </w:rPr>
            </w:pPr>
          </w:p>
        </w:tc>
        <w:tc>
          <w:tcPr>
            <w:tcW w:w="229" w:type="dxa"/>
            <w:vMerge/>
            <w:vAlign w:val="center"/>
            <w:hideMark/>
          </w:tcPr>
          <w:p w14:paraId="22FD17E9" w14:textId="77777777" w:rsidR="001E1AF1" w:rsidRDefault="001E1AF1" w:rsidP="00D26E6B">
            <w:pPr>
              <w:spacing w:after="0" w:line="240" w:lineRule="auto"/>
              <w:jc w:val="left"/>
              <w:rPr>
                <w:rFonts w:eastAsia="Calibri"/>
                <w:spacing w:val="-4"/>
                <w:szCs w:val="20"/>
                <w:lang w:eastAsia="en-US"/>
              </w:rPr>
            </w:pPr>
          </w:p>
        </w:tc>
        <w:tc>
          <w:tcPr>
            <w:tcW w:w="7610" w:type="dxa"/>
            <w:hideMark/>
          </w:tcPr>
          <w:p w14:paraId="628AFA8B" w14:textId="77777777" w:rsidR="001E1AF1" w:rsidRDefault="001E1AF1" w:rsidP="00D26E6B">
            <w:pPr>
              <w:spacing w:after="0"/>
              <w:rPr>
                <w:sz w:val="14"/>
                <w:szCs w:val="14"/>
                <w:lang w:eastAsia="en-US"/>
              </w:rPr>
            </w:pPr>
            <w:r>
              <w:rPr>
                <w:noProof/>
              </w:rPr>
              <w:drawing>
                <wp:inline distT="0" distB="0" distL="0" distR="0" wp14:anchorId="342FD0D4" wp14:editId="296B20B2">
                  <wp:extent cx="4737600" cy="3553200"/>
                  <wp:effectExtent l="0" t="0" r="6350" b="0"/>
                  <wp:docPr id="21" name="Graf 2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1E1AF1" w14:paraId="38A331CC" w14:textId="77777777" w:rsidTr="08AB0269">
        <w:trPr>
          <w:trHeight w:val="170"/>
        </w:trPr>
        <w:tc>
          <w:tcPr>
            <w:tcW w:w="0" w:type="auto"/>
            <w:vMerge/>
            <w:vAlign w:val="center"/>
            <w:hideMark/>
          </w:tcPr>
          <w:p w14:paraId="7738E522" w14:textId="77777777" w:rsidR="001E1AF1" w:rsidRDefault="001E1AF1" w:rsidP="00D26E6B">
            <w:pPr>
              <w:spacing w:after="0" w:line="240" w:lineRule="auto"/>
              <w:jc w:val="left"/>
              <w:rPr>
                <w:spacing w:val="-2"/>
                <w:sz w:val="16"/>
                <w:szCs w:val="16"/>
                <w:lang w:eastAsia="en-US"/>
              </w:rPr>
            </w:pPr>
          </w:p>
        </w:tc>
        <w:tc>
          <w:tcPr>
            <w:tcW w:w="0" w:type="auto"/>
            <w:vMerge/>
            <w:vAlign w:val="center"/>
            <w:hideMark/>
          </w:tcPr>
          <w:p w14:paraId="5CBB450F" w14:textId="77777777" w:rsidR="001E1AF1" w:rsidRDefault="001E1AF1" w:rsidP="00D26E6B">
            <w:pPr>
              <w:spacing w:after="0" w:line="240" w:lineRule="auto"/>
              <w:jc w:val="left"/>
              <w:rPr>
                <w:rFonts w:eastAsia="Calibri"/>
                <w:spacing w:val="-4"/>
                <w:szCs w:val="20"/>
                <w:lang w:eastAsia="en-US"/>
              </w:rPr>
            </w:pPr>
          </w:p>
        </w:tc>
        <w:tc>
          <w:tcPr>
            <w:tcW w:w="7610" w:type="dxa"/>
            <w:hideMark/>
          </w:tcPr>
          <w:p w14:paraId="17552618" w14:textId="77777777" w:rsidR="001E1AF1" w:rsidRDefault="001E1AF1" w:rsidP="00D26E6B">
            <w:pPr>
              <w:spacing w:after="0"/>
              <w:rPr>
                <w:sz w:val="14"/>
                <w:szCs w:val="14"/>
                <w:lang w:eastAsia="en-US"/>
              </w:rPr>
            </w:pPr>
            <w:r>
              <w:rPr>
                <w:sz w:val="14"/>
                <w:szCs w:val="14"/>
                <w:lang w:eastAsia="en-US"/>
              </w:rPr>
              <w:t>Zdroj: ARAD, ČNB</w:t>
            </w:r>
          </w:p>
        </w:tc>
      </w:tr>
    </w:tbl>
    <w:p w14:paraId="67BA3919" w14:textId="77777777" w:rsidR="001E1AF1" w:rsidRPr="001C3855" w:rsidRDefault="001E1AF1" w:rsidP="001E1AF1">
      <w:pPr>
        <w:pStyle w:val="Nadpis11"/>
        <w:rPr>
          <w:sz w:val="2"/>
          <w:szCs w:val="2"/>
        </w:rPr>
      </w:pPr>
    </w:p>
    <w:p w14:paraId="6E2D53B0" w14:textId="77777777" w:rsidR="001E1AF1" w:rsidRPr="001C3855" w:rsidRDefault="001E1AF1" w:rsidP="001E1AF1">
      <w:pPr>
        <w:pStyle w:val="Nadpis11"/>
        <w:rPr>
          <w:sz w:val="2"/>
          <w:szCs w:val="2"/>
        </w:rPr>
      </w:pPr>
    </w:p>
    <w:p w14:paraId="5BF07E72" w14:textId="77777777" w:rsidR="001E1AF1" w:rsidRDefault="001E1AF1" w:rsidP="001E1AF1">
      <w:pPr>
        <w:spacing w:after="0" w:line="240" w:lineRule="auto"/>
        <w:jc w:val="left"/>
        <w:rPr>
          <w:rFonts w:eastAsia="MS Gothic"/>
          <w:b/>
          <w:bCs/>
          <w:color w:val="71818C"/>
          <w:sz w:val="32"/>
          <w:szCs w:val="32"/>
        </w:rPr>
      </w:pPr>
    </w:p>
    <w:p w14:paraId="66DA758E" w14:textId="77777777" w:rsidR="001E1AF1" w:rsidRDefault="001E1AF1" w:rsidP="001E1AF1">
      <w:pPr>
        <w:pStyle w:val="Nadpis11"/>
      </w:pPr>
      <w:bookmarkStart w:id="43" w:name="_Toc153531913"/>
      <w:bookmarkEnd w:id="40"/>
      <w:r>
        <w:lastRenderedPageBreak/>
        <w:t>8. Státní rozpočet</w:t>
      </w:r>
      <w:bookmarkEnd w:id="43"/>
    </w:p>
    <w:tbl>
      <w:tblPr>
        <w:tblW w:w="9669" w:type="dxa"/>
        <w:tblInd w:w="-20" w:type="dxa"/>
        <w:tblLayout w:type="fixed"/>
        <w:tblCellMar>
          <w:left w:w="0" w:type="dxa"/>
          <w:right w:w="0" w:type="dxa"/>
        </w:tblCellMar>
        <w:tblLook w:val="00A0" w:firstRow="1" w:lastRow="0" w:firstColumn="1" w:lastColumn="0" w:noHBand="0" w:noVBand="0"/>
      </w:tblPr>
      <w:tblGrid>
        <w:gridCol w:w="1792"/>
        <w:gridCol w:w="203"/>
        <w:gridCol w:w="7674"/>
      </w:tblGrid>
      <w:tr w:rsidR="001E1AF1" w:rsidRPr="003C07E6" w14:paraId="18AC94B6" w14:textId="77777777" w:rsidTr="08AB0269">
        <w:trPr>
          <w:trHeight w:val="60"/>
        </w:trPr>
        <w:tc>
          <w:tcPr>
            <w:tcW w:w="1792" w:type="dxa"/>
            <w:shd w:val="clear" w:color="auto" w:fill="auto"/>
            <w:tcMar>
              <w:left w:w="0" w:type="dxa"/>
            </w:tcMar>
          </w:tcPr>
          <w:p w14:paraId="65DCC7BD" w14:textId="77777777" w:rsidR="001E1AF1" w:rsidRDefault="001E1AF1" w:rsidP="00D26E6B">
            <w:pPr>
              <w:pStyle w:val="Marginlie"/>
            </w:pPr>
            <w:r>
              <w:t xml:space="preserve">SR nadále hospodařil s hlubokým schodkem, který se však během 3. čtvrtletí zmírnil. </w:t>
            </w:r>
          </w:p>
        </w:tc>
        <w:tc>
          <w:tcPr>
            <w:tcW w:w="203" w:type="dxa"/>
            <w:shd w:val="clear" w:color="auto" w:fill="auto"/>
            <w:tcMar>
              <w:left w:w="0" w:type="dxa"/>
            </w:tcMar>
          </w:tcPr>
          <w:p w14:paraId="61E780DD" w14:textId="77777777" w:rsidR="001E1AF1" w:rsidRDefault="001E1AF1" w:rsidP="00D26E6B">
            <w:pPr>
              <w:pStyle w:val="Textpoznpodarou"/>
              <w:jc w:val="both"/>
              <w:rPr>
                <w:spacing w:val="-4"/>
              </w:rPr>
            </w:pPr>
          </w:p>
        </w:tc>
        <w:tc>
          <w:tcPr>
            <w:tcW w:w="7674" w:type="dxa"/>
            <w:shd w:val="clear" w:color="auto" w:fill="auto"/>
            <w:tcMar>
              <w:left w:w="0" w:type="dxa"/>
            </w:tcMar>
          </w:tcPr>
          <w:p w14:paraId="09478B03" w14:textId="77777777" w:rsidR="001E1AF1" w:rsidRDefault="001E1AF1" w:rsidP="00D26E6B">
            <w:pPr>
              <w:spacing w:after="200"/>
              <w:rPr>
                <w:spacing w:val="-2"/>
              </w:rPr>
            </w:pPr>
            <w:r>
              <w:rPr>
                <w:spacing w:val="-2"/>
              </w:rPr>
              <w:t>Státní rozpočet (SR)</w:t>
            </w:r>
            <w:r w:rsidRPr="00EC0AAD">
              <w:rPr>
                <w:rStyle w:val="Znakapoznpodarou"/>
                <w:spacing w:val="-2"/>
              </w:rPr>
              <w:footnoteReference w:id="104"/>
            </w:r>
            <w:r>
              <w:rPr>
                <w:spacing w:val="-2"/>
              </w:rPr>
              <w:t xml:space="preserve"> hospodařil v 1. až 3. čtvrtletí s deficitem 180,7 mld. korun. SR za toto období roku vykázal hluboký schodek počtvrté v řadě. Letošní deficit byl ale v tomto kontextu nejnižší a meziročně klesl o celou třetinu. Během 3. čtvrtletí 2023 se rozpočtový schodek snížil, neboť na konci letošního pololetí vystoupal až na 215,4 mld. korun (to představovalo již skoro tři čtvrtiny celoročního plánovaného deficitu</w:t>
            </w:r>
            <w:r w:rsidRPr="00EC0AAD">
              <w:rPr>
                <w:rStyle w:val="Znakapoznpodarou"/>
                <w:spacing w:val="-2"/>
              </w:rPr>
              <w:footnoteReference w:id="105"/>
            </w:r>
            <w:r>
              <w:rPr>
                <w:spacing w:val="-2"/>
              </w:rPr>
              <w:t>). Toto zlepšení během letních měsíců souviselo především s očekávaným podstatným posílením příjmů SR (dividendy, výnosy z mimořádných firemních daní, zejména v oblasti energetiky). Podstatnou roli sehrálo navíc i započtení prostředků z Národního plánu obnovy, které letos od června významně navýšily celkové příjmy z EU</w:t>
            </w:r>
            <w:r>
              <w:rPr>
                <w:rStyle w:val="Znakapoznpodarou"/>
                <w:spacing w:val="-2"/>
              </w:rPr>
              <w:footnoteReference w:id="106"/>
            </w:r>
            <w:r>
              <w:rPr>
                <w:spacing w:val="-2"/>
              </w:rPr>
              <w:t xml:space="preserve">. Schodek SR po očištění všech </w:t>
            </w:r>
            <w:r w:rsidRPr="00BF6E26">
              <w:rPr>
                <w:spacing w:val="-2"/>
              </w:rPr>
              <w:t>příjmů a výdajů souvisejících se společnými projekty ČR a EU</w:t>
            </w:r>
            <w:r>
              <w:rPr>
                <w:spacing w:val="-2"/>
              </w:rPr>
              <w:t xml:space="preserve"> činil letos za tři čtvrtletí 214,6 mld. korun a meziročně se zlepšil „jen“ o 40,8 mld. </w:t>
            </w:r>
          </w:p>
        </w:tc>
      </w:tr>
      <w:tr w:rsidR="001E1AF1" w:rsidRPr="003C07E6" w14:paraId="7B27870D" w14:textId="77777777" w:rsidTr="08AB0269">
        <w:trPr>
          <w:trHeight w:val="60"/>
        </w:trPr>
        <w:tc>
          <w:tcPr>
            <w:tcW w:w="1792" w:type="dxa"/>
            <w:shd w:val="clear" w:color="auto" w:fill="auto"/>
            <w:tcMar>
              <w:left w:w="0" w:type="dxa"/>
            </w:tcMar>
          </w:tcPr>
          <w:p w14:paraId="2FD1BA72" w14:textId="77777777" w:rsidR="001E1AF1" w:rsidRDefault="001E1AF1" w:rsidP="00D26E6B">
            <w:pPr>
              <w:pStyle w:val="Marginlie"/>
            </w:pPr>
            <w:r>
              <w:t xml:space="preserve">Růst celkových příjmů mírně převyšoval rozpočtové očekávání. Táhly ho vyšší daňové příjmy i příliv prostředků z rozpočtu EU. </w:t>
            </w:r>
          </w:p>
        </w:tc>
        <w:tc>
          <w:tcPr>
            <w:tcW w:w="203" w:type="dxa"/>
            <w:shd w:val="clear" w:color="auto" w:fill="auto"/>
            <w:tcMar>
              <w:left w:w="0" w:type="dxa"/>
            </w:tcMar>
          </w:tcPr>
          <w:p w14:paraId="1BEA8753" w14:textId="77777777" w:rsidR="001E1AF1" w:rsidRDefault="001E1AF1" w:rsidP="00D26E6B">
            <w:pPr>
              <w:pStyle w:val="Textpoznpodarou"/>
              <w:jc w:val="both"/>
              <w:rPr>
                <w:spacing w:val="-4"/>
              </w:rPr>
            </w:pPr>
          </w:p>
        </w:tc>
        <w:tc>
          <w:tcPr>
            <w:tcW w:w="7674" w:type="dxa"/>
            <w:shd w:val="clear" w:color="auto" w:fill="auto"/>
            <w:tcMar>
              <w:left w:w="0" w:type="dxa"/>
            </w:tcMar>
          </w:tcPr>
          <w:p w14:paraId="0F5641D0" w14:textId="77777777" w:rsidR="001E1AF1" w:rsidRDefault="001E1AF1" w:rsidP="00D26E6B">
            <w:pPr>
              <w:spacing w:after="200"/>
              <w:rPr>
                <w:spacing w:val="-2"/>
              </w:rPr>
            </w:pPr>
            <w:r w:rsidRPr="00716AD7">
              <w:rPr>
                <w:color w:val="0D0D0D" w:themeColor="text1" w:themeTint="F2"/>
                <w:spacing w:val="-3"/>
              </w:rPr>
              <w:t xml:space="preserve">Celkové příjmy SR </w:t>
            </w:r>
            <w:r>
              <w:rPr>
                <w:color w:val="0D0D0D" w:themeColor="text1" w:themeTint="F2"/>
                <w:spacing w:val="-3"/>
              </w:rPr>
              <w:t>letos za tři čtvrtletí</w:t>
            </w:r>
            <w:r>
              <w:rPr>
                <w:spacing w:val="-3"/>
              </w:rPr>
              <w:t xml:space="preserve"> vlivem vysokého cenového růstu v ekonomice </w:t>
            </w:r>
            <w:r>
              <w:rPr>
                <w:spacing w:val="-3"/>
              </w:rPr>
              <w:br/>
              <w:t>i výše uvedených mimořádných výnosů meziročně vzrostly o rovných 23 % a mírně předčily rozpočtové očekávání. K tomuto růstu vcelku rovnoměrně přispěly jak daňové příjmy bez pojistného (+109,7 mld. korun), tak nedaňové a kapitálové příjmy i</w:t>
            </w:r>
            <w:r w:rsidRPr="009B4B62">
              <w:rPr>
                <w:spacing w:val="-3"/>
              </w:rPr>
              <w:t xml:space="preserve"> přijaté transfery</w:t>
            </w:r>
            <w:r>
              <w:rPr>
                <w:spacing w:val="-3"/>
              </w:rPr>
              <w:t xml:space="preserve"> (+118,2 mld.). Nezanedbatelný vliv měl i výběr pojistného</w:t>
            </w:r>
            <w:r>
              <w:rPr>
                <w:rStyle w:val="Znakapoznpodarou"/>
                <w:spacing w:val="-3"/>
              </w:rPr>
              <w:footnoteReference w:id="107"/>
            </w:r>
            <w:r>
              <w:rPr>
                <w:spacing w:val="-3"/>
              </w:rPr>
              <w:t xml:space="preserve"> (+40,9 mld.), jeho meziroční tempo ovšem vlivem mírného ochlazování trhu práce během letošního roku postupně sláblo (v 1. čtvrtletí 10,1 %, 3. čtvrtletí 7,0 %)</w:t>
            </w:r>
            <w:r>
              <w:rPr>
                <w:rStyle w:val="Znakapoznpodarou"/>
                <w:spacing w:val="-3"/>
              </w:rPr>
              <w:footnoteReference w:id="108"/>
            </w:r>
            <w:r>
              <w:rPr>
                <w:spacing w:val="-3"/>
              </w:rPr>
              <w:t>. Naopak růst celostátního daňového inkasa po zvolnění ve 2. čtvrtletí v následujícím období zrychlil, a to i po odečtení mimořádných firemních daní (z nadměrných příjmů či z neočekávaných zisků)</w:t>
            </w:r>
            <w:r>
              <w:rPr>
                <w:rStyle w:val="Znakapoznpodarou"/>
                <w:spacing w:val="-3"/>
              </w:rPr>
              <w:footnoteReference w:id="109"/>
            </w:r>
            <w:r>
              <w:rPr>
                <w:spacing w:val="-3"/>
              </w:rPr>
              <w:t xml:space="preserve">. Pomohlo tomu také mírné zotavení soukromé spotřeby. </w:t>
            </w:r>
          </w:p>
        </w:tc>
      </w:tr>
      <w:tr w:rsidR="001E1AF1" w:rsidRPr="003C07E6" w14:paraId="415AADFF" w14:textId="77777777" w:rsidTr="08AB0269">
        <w:trPr>
          <w:trHeight w:val="60"/>
        </w:trPr>
        <w:tc>
          <w:tcPr>
            <w:tcW w:w="1792" w:type="dxa"/>
            <w:shd w:val="clear" w:color="auto" w:fill="auto"/>
            <w:tcMar>
              <w:left w:w="0" w:type="dxa"/>
            </w:tcMar>
          </w:tcPr>
          <w:p w14:paraId="3674EA4B" w14:textId="77777777" w:rsidR="001E1AF1" w:rsidRDefault="001E1AF1" w:rsidP="00D26E6B">
            <w:pPr>
              <w:pStyle w:val="Marginlie"/>
            </w:pPr>
            <w:r>
              <w:t xml:space="preserve">K růstu daňového inkasa přispěly nejvíce dočasně zavedené mimořádné firemní daně. </w:t>
            </w:r>
          </w:p>
        </w:tc>
        <w:tc>
          <w:tcPr>
            <w:tcW w:w="203" w:type="dxa"/>
            <w:shd w:val="clear" w:color="auto" w:fill="auto"/>
            <w:tcMar>
              <w:left w:w="0" w:type="dxa"/>
            </w:tcMar>
          </w:tcPr>
          <w:p w14:paraId="3E4D20BA" w14:textId="77777777" w:rsidR="001E1AF1" w:rsidRDefault="001E1AF1" w:rsidP="00D26E6B">
            <w:pPr>
              <w:pStyle w:val="Textpoznpodarou"/>
              <w:jc w:val="both"/>
              <w:rPr>
                <w:spacing w:val="-4"/>
              </w:rPr>
            </w:pPr>
          </w:p>
        </w:tc>
        <w:tc>
          <w:tcPr>
            <w:tcW w:w="7674" w:type="dxa"/>
            <w:shd w:val="clear" w:color="auto" w:fill="auto"/>
            <w:tcMar>
              <w:left w:w="0" w:type="dxa"/>
            </w:tcMar>
          </w:tcPr>
          <w:p w14:paraId="2FED6579" w14:textId="77777777" w:rsidR="001E1AF1" w:rsidRPr="00EC0AAD" w:rsidRDefault="001E1AF1" w:rsidP="00D26E6B">
            <w:pPr>
              <w:spacing w:after="200"/>
              <w:rPr>
                <w:spacing w:val="-2"/>
              </w:rPr>
            </w:pPr>
            <w:r>
              <w:rPr>
                <w:spacing w:val="-4"/>
              </w:rPr>
              <w:t>K růstu celkových daňových příjmů SR přispěly v 1. až 3. čtvrtletí 2023 nejvíce mimořádné příjmy ze zdanění firem (+42,4 mld. korun), a to i přesto, že jejich souhrnný dosavadní výběr zdaleka nenaplňuje původní rozpočtová očekávání</w:t>
            </w:r>
            <w:r>
              <w:rPr>
                <w:rStyle w:val="Znakapoznpodarou"/>
                <w:spacing w:val="-3"/>
              </w:rPr>
              <w:footnoteReference w:id="110"/>
            </w:r>
            <w:r>
              <w:rPr>
                <w:spacing w:val="-4"/>
              </w:rPr>
              <w:t>. To platí pro jeho klíčovou položku – daň z</w:t>
            </w:r>
            <w:r>
              <w:rPr>
                <w:spacing w:val="-2"/>
              </w:rPr>
              <w:t> </w:t>
            </w:r>
            <w:r>
              <w:rPr>
                <w:spacing w:val="-4"/>
              </w:rPr>
              <w:t>neočekávaných zisků</w:t>
            </w:r>
            <w:r>
              <w:rPr>
                <w:rStyle w:val="Znakapoznpodarou"/>
                <w:spacing w:val="-4"/>
              </w:rPr>
              <w:footnoteReference w:id="111"/>
            </w:r>
            <w:r>
              <w:rPr>
                <w:spacing w:val="-4"/>
              </w:rPr>
              <w:t xml:space="preserve"> – jejichž první letošní záloha (v září) přinesla SR 25,6 mld. korun. Naproti tomu na dani z nadměrných příjmů</w:t>
            </w:r>
            <w:r>
              <w:rPr>
                <w:rStyle w:val="Znakapoznpodarou"/>
                <w:spacing w:val="-4"/>
              </w:rPr>
              <w:footnoteReference w:id="112"/>
            </w:r>
            <w:r>
              <w:rPr>
                <w:spacing w:val="-4"/>
              </w:rPr>
              <w:t xml:space="preserve"> zaplatily energetické firmy státu již 16,7 mld. korun, čímž byl u této daně již na konci září odhad celoročního příjmu mírně překonán.  </w:t>
            </w:r>
          </w:p>
        </w:tc>
      </w:tr>
      <w:tr w:rsidR="001E1AF1" w:rsidRPr="003C07E6" w14:paraId="006EEB27" w14:textId="77777777" w:rsidTr="08AB0269">
        <w:trPr>
          <w:trHeight w:val="145"/>
        </w:trPr>
        <w:tc>
          <w:tcPr>
            <w:tcW w:w="1792" w:type="dxa"/>
            <w:shd w:val="clear" w:color="auto" w:fill="auto"/>
            <w:tcMar>
              <w:left w:w="0" w:type="dxa"/>
            </w:tcMar>
          </w:tcPr>
          <w:p w14:paraId="4ED1DDB6" w14:textId="77777777" w:rsidR="001E1AF1" w:rsidRPr="00CB5638" w:rsidRDefault="001E1AF1" w:rsidP="00D26E6B">
            <w:pPr>
              <w:pStyle w:val="Marginlie"/>
            </w:pPr>
            <w:r>
              <w:t>Vysoký výnos korporátní daně souvisí s růstem míry zisku podniků, patrným loni i letos.</w:t>
            </w:r>
          </w:p>
        </w:tc>
        <w:tc>
          <w:tcPr>
            <w:tcW w:w="203" w:type="dxa"/>
            <w:shd w:val="clear" w:color="auto" w:fill="auto"/>
            <w:tcMar>
              <w:left w:w="0" w:type="dxa"/>
            </w:tcMar>
          </w:tcPr>
          <w:p w14:paraId="6433734B" w14:textId="77777777" w:rsidR="001E1AF1" w:rsidRDefault="001E1AF1" w:rsidP="00D26E6B">
            <w:pPr>
              <w:pStyle w:val="Textpoznpodarou"/>
              <w:jc w:val="both"/>
              <w:rPr>
                <w:spacing w:val="-4"/>
              </w:rPr>
            </w:pPr>
          </w:p>
        </w:tc>
        <w:tc>
          <w:tcPr>
            <w:tcW w:w="7674" w:type="dxa"/>
            <w:shd w:val="clear" w:color="auto" w:fill="auto"/>
            <w:tcMar>
              <w:left w:w="0" w:type="dxa"/>
            </w:tcMar>
          </w:tcPr>
          <w:p w14:paraId="24DAFED5" w14:textId="77777777" w:rsidR="001E1AF1" w:rsidRPr="00491320" w:rsidRDefault="001E1AF1" w:rsidP="00D26E6B">
            <w:pPr>
              <w:spacing w:after="200"/>
              <w:rPr>
                <w:spacing w:val="-5"/>
              </w:rPr>
            </w:pPr>
            <w:r>
              <w:rPr>
                <w:spacing w:val="-5"/>
              </w:rPr>
              <w:t xml:space="preserve">Svižný růst inkasa daně z příjmů právnických osob (bez mimořádných daní) pokračoval. Za tři čtvrtletí získal SR letos na této dani meziročně skoro o třetinu více a výše inkasa (159,2 mld. korun) již na konci září překročila celoroční očekávaný objem. Výnos korporátní daně (ovlivněný zejména úhradou daně za rok 2022 a splátkou letošních záloh u větších plátců) souvisí s vysokou mírou zisku podniků, a to zejména v oblasti finančnictví a energetiky, ale i v chemickém i kovodělném průmyslu či v primárním sektoru. </w:t>
            </w:r>
          </w:p>
        </w:tc>
      </w:tr>
      <w:tr w:rsidR="001E1AF1" w:rsidRPr="003C07E6" w14:paraId="584FB9B3" w14:textId="77777777" w:rsidTr="08AB0269">
        <w:trPr>
          <w:trHeight w:val="145"/>
        </w:trPr>
        <w:tc>
          <w:tcPr>
            <w:tcW w:w="1792" w:type="dxa"/>
            <w:shd w:val="clear" w:color="auto" w:fill="auto"/>
            <w:tcMar>
              <w:left w:w="0" w:type="dxa"/>
            </w:tcMar>
          </w:tcPr>
          <w:p w14:paraId="3A3FEC5E" w14:textId="77777777" w:rsidR="001E1AF1" w:rsidRPr="00CB5638" w:rsidRDefault="001E1AF1" w:rsidP="00D26E6B">
            <w:pPr>
              <w:pStyle w:val="Marginlie"/>
            </w:pPr>
            <w:r>
              <w:t xml:space="preserve">Nad očekávání vysoký růst inkasa daně z příjmu fyzických osob pramenil z příznivé pozice zaměstnanců na </w:t>
            </w:r>
            <w:r>
              <w:lastRenderedPageBreak/>
              <w:t>pracovním trhu i z růstu úrokových sazeb na vkladech.</w:t>
            </w:r>
          </w:p>
        </w:tc>
        <w:tc>
          <w:tcPr>
            <w:tcW w:w="203" w:type="dxa"/>
            <w:shd w:val="clear" w:color="auto" w:fill="auto"/>
            <w:tcMar>
              <w:left w:w="0" w:type="dxa"/>
            </w:tcMar>
          </w:tcPr>
          <w:p w14:paraId="415BAAA4" w14:textId="77777777" w:rsidR="001E1AF1" w:rsidRDefault="001E1AF1" w:rsidP="00D26E6B">
            <w:pPr>
              <w:pStyle w:val="Textpoznpodarou"/>
              <w:jc w:val="both"/>
              <w:rPr>
                <w:spacing w:val="-4"/>
              </w:rPr>
            </w:pPr>
          </w:p>
        </w:tc>
        <w:tc>
          <w:tcPr>
            <w:tcW w:w="7674" w:type="dxa"/>
            <w:shd w:val="clear" w:color="auto" w:fill="auto"/>
            <w:tcMar>
              <w:left w:w="0" w:type="dxa"/>
            </w:tcMar>
          </w:tcPr>
          <w:p w14:paraId="74AE285F" w14:textId="77777777" w:rsidR="001E1AF1" w:rsidRPr="009F0CDD" w:rsidRDefault="001E1AF1" w:rsidP="00D26E6B">
            <w:pPr>
              <w:spacing w:after="200"/>
              <w:rPr>
                <w:color w:val="0D0D0D" w:themeColor="text1" w:themeTint="F2"/>
                <w:spacing w:val="-4"/>
              </w:rPr>
            </w:pPr>
            <w:r w:rsidRPr="009F0CDD">
              <w:rPr>
                <w:color w:val="0D0D0D" w:themeColor="text1" w:themeTint="F2"/>
                <w:spacing w:val="-4"/>
              </w:rPr>
              <w:t xml:space="preserve">Na dani z příjmů od fyzických osob (DPFO) plynulo v 1. až 3. čtvrtletí do SR meziročně skoro o čtvrtinu více (+20,1 mld. korun). Hlavní zásluhu na tom měla klíčová příjmová daň </w:t>
            </w:r>
            <w:r w:rsidRPr="009F0CDD">
              <w:rPr>
                <w:color w:val="0D0D0D" w:themeColor="text1" w:themeTint="F2"/>
                <w:spacing w:val="-4"/>
              </w:rPr>
              <w:lastRenderedPageBreak/>
              <w:t>placená plátci (ze závislé činnosti)</w:t>
            </w:r>
            <w:r w:rsidRPr="009F0CDD">
              <w:rPr>
                <w:rStyle w:val="Znakapoznpodarou"/>
                <w:color w:val="0D0D0D" w:themeColor="text1" w:themeTint="F2"/>
                <w:spacing w:val="-4"/>
              </w:rPr>
              <w:footnoteReference w:id="113"/>
            </w:r>
            <w:r>
              <w:rPr>
                <w:color w:val="0D0D0D" w:themeColor="text1" w:themeTint="F2"/>
                <w:spacing w:val="-4"/>
              </w:rPr>
              <w:t>. Do jejího výběru</w:t>
            </w:r>
            <w:r w:rsidRPr="009F0CDD">
              <w:rPr>
                <w:color w:val="0D0D0D" w:themeColor="text1" w:themeTint="F2"/>
                <w:spacing w:val="-4"/>
              </w:rPr>
              <w:t xml:space="preserve"> se </w:t>
            </w:r>
            <w:r>
              <w:rPr>
                <w:color w:val="0D0D0D" w:themeColor="text1" w:themeTint="F2"/>
                <w:spacing w:val="-4"/>
              </w:rPr>
              <w:t xml:space="preserve">příznivě </w:t>
            </w:r>
            <w:r w:rsidRPr="009F0CDD">
              <w:rPr>
                <w:color w:val="0D0D0D" w:themeColor="text1" w:themeTint="F2"/>
                <w:spacing w:val="-4"/>
              </w:rPr>
              <w:t xml:space="preserve">promítal přetrvávající růst zaměstnanosti i svižný nominální růst průměrné mzdy v podnikové sféře. </w:t>
            </w:r>
            <w:r>
              <w:rPr>
                <w:color w:val="0D0D0D" w:themeColor="text1" w:themeTint="F2"/>
                <w:spacing w:val="-4"/>
              </w:rPr>
              <w:t>Naopak v</w:t>
            </w:r>
            <w:r w:rsidRPr="009F0CDD">
              <w:rPr>
                <w:color w:val="0D0D0D" w:themeColor="text1" w:themeTint="F2"/>
                <w:spacing w:val="-4"/>
              </w:rPr>
              <w:t xml:space="preserve"> menší míře se na inkasu negativně projevil vliv daňových změn (pokračující navyšování daňové slevy na poplatníka, zvýšení daňového zvýhodnění na druhé a třetí dítě). </w:t>
            </w:r>
            <w:r>
              <w:rPr>
                <w:color w:val="0D0D0D" w:themeColor="text1" w:themeTint="F2"/>
                <w:spacing w:val="-4"/>
              </w:rPr>
              <w:t>V</w:t>
            </w:r>
            <w:r w:rsidRPr="009F0CDD">
              <w:rPr>
                <w:color w:val="0D0D0D" w:themeColor="text1" w:themeTint="F2"/>
                <w:spacing w:val="-4"/>
              </w:rPr>
              <w:t>ýběr váhově méně významné daně DPFO placené poplatníky, jež cílí hlavně na drobné podnik</w:t>
            </w:r>
            <w:r>
              <w:rPr>
                <w:color w:val="0D0D0D" w:themeColor="text1" w:themeTint="F2"/>
                <w:spacing w:val="-4"/>
              </w:rPr>
              <w:t xml:space="preserve">atele, </w:t>
            </w:r>
            <w:r w:rsidRPr="009F0CDD">
              <w:rPr>
                <w:color w:val="0D0D0D" w:themeColor="text1" w:themeTint="F2"/>
                <w:spacing w:val="-4"/>
              </w:rPr>
              <w:t xml:space="preserve">meziročně </w:t>
            </w:r>
            <w:r>
              <w:rPr>
                <w:color w:val="0D0D0D" w:themeColor="text1" w:themeTint="F2"/>
                <w:spacing w:val="-4"/>
              </w:rPr>
              <w:t xml:space="preserve">pouze stagnoval, z velké části vlivem negativně působících daňových změn (zvýšení slevy na poplatníka, navýšení limitu příjmů pro možnost vstupu do paušálního režimu daně). </w:t>
            </w:r>
            <w:r w:rsidRPr="009F0CDD">
              <w:rPr>
                <w:color w:val="0D0D0D" w:themeColor="text1" w:themeTint="F2"/>
                <w:spacing w:val="-4"/>
              </w:rPr>
              <w:t>Dařil</w:t>
            </w:r>
            <w:r>
              <w:rPr>
                <w:color w:val="0D0D0D" w:themeColor="text1" w:themeTint="F2"/>
                <w:spacing w:val="-4"/>
              </w:rPr>
              <w:t>o se naopak</w:t>
            </w:r>
            <w:r w:rsidRPr="009F0CDD">
              <w:rPr>
                <w:color w:val="0D0D0D" w:themeColor="text1" w:themeTint="F2"/>
                <w:spacing w:val="-4"/>
              </w:rPr>
              <w:t xml:space="preserve"> inkasu DPFO vybírané srážkou</w:t>
            </w:r>
            <w:r>
              <w:rPr>
                <w:color w:val="0D0D0D" w:themeColor="text1" w:themeTint="F2"/>
                <w:spacing w:val="-4"/>
              </w:rPr>
              <w:t xml:space="preserve">. Jeho meziroční růst dále sílil (za tři čtvrtletí na 43 %), a to hlavně díky vysokým úrokovým sazbám (v menší míře i vlivem </w:t>
            </w:r>
            <w:r w:rsidRPr="009F0CDD">
              <w:rPr>
                <w:color w:val="0D0D0D" w:themeColor="text1" w:themeTint="F2"/>
                <w:spacing w:val="-4"/>
              </w:rPr>
              <w:t>vyšší</w:t>
            </w:r>
            <w:r>
              <w:rPr>
                <w:color w:val="0D0D0D" w:themeColor="text1" w:themeTint="F2"/>
                <w:spacing w:val="-4"/>
              </w:rPr>
              <w:t>ho</w:t>
            </w:r>
            <w:r w:rsidRPr="009F0CDD">
              <w:rPr>
                <w:color w:val="0D0D0D" w:themeColor="text1" w:themeTint="F2"/>
                <w:spacing w:val="-4"/>
              </w:rPr>
              <w:t xml:space="preserve"> po</w:t>
            </w:r>
            <w:r>
              <w:rPr>
                <w:color w:val="0D0D0D" w:themeColor="text1" w:themeTint="F2"/>
                <w:spacing w:val="-4"/>
              </w:rPr>
              <w:t>čtu osob pracujících na dohody). Inkaso všech výše uvedených kategorií DPFO letos převyšovalo rozpočtové očekávání.</w:t>
            </w:r>
          </w:p>
        </w:tc>
      </w:tr>
      <w:tr w:rsidR="001E1AF1" w:rsidRPr="003C07E6" w14:paraId="1D9DDDDC" w14:textId="77777777" w:rsidTr="08AB0269">
        <w:trPr>
          <w:trHeight w:val="145"/>
        </w:trPr>
        <w:tc>
          <w:tcPr>
            <w:tcW w:w="1792" w:type="dxa"/>
            <w:shd w:val="clear" w:color="auto" w:fill="auto"/>
            <w:tcMar>
              <w:left w:w="0" w:type="dxa"/>
            </w:tcMar>
          </w:tcPr>
          <w:p w14:paraId="0593E52B" w14:textId="77777777" w:rsidR="001E1AF1" w:rsidRDefault="001E1AF1" w:rsidP="00D26E6B">
            <w:pPr>
              <w:pStyle w:val="Marginlie"/>
              <w:rPr>
                <w:spacing w:val="-5"/>
              </w:rPr>
            </w:pPr>
            <w:r>
              <w:rPr>
                <w:spacing w:val="-5"/>
              </w:rPr>
              <w:lastRenderedPageBreak/>
              <w:t>Rychlejšímu růstu inkasa DPH stále bránila utlumená spotřeba domácností.</w:t>
            </w:r>
          </w:p>
        </w:tc>
        <w:tc>
          <w:tcPr>
            <w:tcW w:w="203" w:type="dxa"/>
            <w:shd w:val="clear" w:color="auto" w:fill="auto"/>
            <w:tcMar>
              <w:left w:w="0" w:type="dxa"/>
            </w:tcMar>
          </w:tcPr>
          <w:p w14:paraId="15CB4DA2" w14:textId="77777777" w:rsidR="001E1AF1" w:rsidRDefault="001E1AF1" w:rsidP="00D26E6B">
            <w:pPr>
              <w:pStyle w:val="Textpoznpodarou"/>
              <w:jc w:val="both"/>
              <w:rPr>
                <w:spacing w:val="-4"/>
              </w:rPr>
            </w:pPr>
          </w:p>
        </w:tc>
        <w:tc>
          <w:tcPr>
            <w:tcW w:w="7674" w:type="dxa"/>
            <w:shd w:val="clear" w:color="auto" w:fill="auto"/>
            <w:tcMar>
              <w:left w:w="0" w:type="dxa"/>
            </w:tcMar>
          </w:tcPr>
          <w:p w14:paraId="336DFD5E" w14:textId="77777777" w:rsidR="001E1AF1" w:rsidRPr="008D6B23" w:rsidRDefault="001E1AF1" w:rsidP="00D26E6B">
            <w:pPr>
              <w:spacing w:after="200"/>
              <w:rPr>
                <w:color w:val="0D0D0D" w:themeColor="text1" w:themeTint="F2"/>
                <w:spacing w:val="-4"/>
              </w:rPr>
            </w:pPr>
            <w:r w:rsidRPr="008D6B23">
              <w:rPr>
                <w:color w:val="0D0D0D" w:themeColor="text1" w:themeTint="F2"/>
                <w:spacing w:val="-4"/>
              </w:rPr>
              <w:t>Ačkoli výběr DPH vzrostl za tři čtvrtletí meziročně jen o 5,5 % (zhruba polovičním tempem proti rozpočtovému očekávání), stále představoval váhově nejvýznamnější příjmovou položku SR. Efekt doznívajícího vysokého cenového růstu v ekonomice, jenž</w:t>
            </w:r>
            <w:r>
              <w:rPr>
                <w:color w:val="0D0D0D" w:themeColor="text1" w:themeTint="F2"/>
                <w:spacing w:val="-4"/>
              </w:rPr>
              <w:t xml:space="preserve"> se propisuje </w:t>
            </w:r>
            <w:r w:rsidRPr="008D6B23">
              <w:rPr>
                <w:color w:val="0D0D0D" w:themeColor="text1" w:themeTint="F2"/>
                <w:spacing w:val="-4"/>
              </w:rPr>
              <w:t xml:space="preserve">do výběru daně, je tlumen přetrvávající utlumenou spotřebou domácností. </w:t>
            </w:r>
            <w:r w:rsidRPr="008D6B23">
              <w:rPr>
                <w:spacing w:val="-4"/>
              </w:rPr>
              <w:t>Růst inkasa příjmů byl v řádově menší míře brzděn i zvýšením limitu tržeb pro registraci DPH</w:t>
            </w:r>
            <w:r w:rsidRPr="008D6B23">
              <w:rPr>
                <w:rStyle w:val="Znakapoznpodarou"/>
                <w:spacing w:val="-4"/>
              </w:rPr>
              <w:footnoteReference w:id="114"/>
            </w:r>
            <w:r w:rsidRPr="008D6B23">
              <w:rPr>
                <w:spacing w:val="-4"/>
              </w:rPr>
              <w:t>.</w:t>
            </w:r>
          </w:p>
        </w:tc>
      </w:tr>
      <w:tr w:rsidR="001E1AF1" w:rsidRPr="00F704D2" w14:paraId="5576EF4F" w14:textId="77777777" w:rsidTr="08AB0269">
        <w:trPr>
          <w:trHeight w:val="170"/>
        </w:trPr>
        <w:tc>
          <w:tcPr>
            <w:tcW w:w="1792" w:type="dxa"/>
            <w:vMerge w:val="restart"/>
            <w:shd w:val="clear" w:color="auto" w:fill="auto"/>
            <w:tcMar>
              <w:left w:w="0" w:type="dxa"/>
            </w:tcMar>
          </w:tcPr>
          <w:p w14:paraId="4C550B2D" w14:textId="77777777" w:rsidR="001E1AF1" w:rsidRDefault="001E1AF1" w:rsidP="00D26E6B">
            <w:pPr>
              <w:pStyle w:val="Marginlie"/>
            </w:pPr>
          </w:p>
        </w:tc>
        <w:tc>
          <w:tcPr>
            <w:tcW w:w="203" w:type="dxa"/>
            <w:vMerge w:val="restart"/>
            <w:shd w:val="clear" w:color="auto" w:fill="auto"/>
            <w:tcMar>
              <w:left w:w="0" w:type="dxa"/>
            </w:tcMar>
          </w:tcPr>
          <w:p w14:paraId="759A9769" w14:textId="77777777" w:rsidR="001E1AF1" w:rsidRDefault="001E1AF1" w:rsidP="00D26E6B">
            <w:pPr>
              <w:pStyle w:val="Textpoznpodarou"/>
              <w:jc w:val="both"/>
              <w:rPr>
                <w:spacing w:val="-4"/>
              </w:rPr>
            </w:pPr>
          </w:p>
        </w:tc>
        <w:tc>
          <w:tcPr>
            <w:tcW w:w="7674" w:type="dxa"/>
            <w:shd w:val="clear" w:color="auto" w:fill="auto"/>
            <w:tcMar>
              <w:left w:w="0" w:type="dxa"/>
            </w:tcMar>
          </w:tcPr>
          <w:p w14:paraId="46AF7DB9" w14:textId="77777777" w:rsidR="001E1AF1" w:rsidRPr="00E63A41" w:rsidRDefault="001E1AF1" w:rsidP="00D26E6B">
            <w:pPr>
              <w:spacing w:after="20"/>
              <w:rPr>
                <w:rFonts w:cs="Arial"/>
                <w:b/>
                <w:bCs/>
                <w:color w:val="000000"/>
                <w:szCs w:val="20"/>
              </w:rPr>
            </w:pPr>
            <w:r w:rsidRPr="00E63A41">
              <w:rPr>
                <w:rFonts w:cs="Arial"/>
                <w:b/>
                <w:bCs/>
                <w:color w:val="000000"/>
                <w:szCs w:val="20"/>
              </w:rPr>
              <w:t xml:space="preserve">Graf č. 18 Příspěvek dílčích příjmů k meziročnímu růstu celostátního inkasa daňových příjmů </w:t>
            </w:r>
            <w:r w:rsidRPr="00E63A41">
              <w:rPr>
                <w:rFonts w:cs="Arial"/>
                <w:bCs/>
                <w:color w:val="000000"/>
                <w:szCs w:val="20"/>
              </w:rPr>
              <w:t>(v p. b.)</w:t>
            </w:r>
            <w:r w:rsidRPr="00E63A41">
              <w:rPr>
                <w:rFonts w:cs="Arial"/>
                <w:b/>
                <w:bCs/>
                <w:color w:val="000000"/>
                <w:szCs w:val="20"/>
              </w:rPr>
              <w:t xml:space="preserve"> a saldo státního rozpočtu </w:t>
            </w:r>
            <w:r w:rsidRPr="00E63A41">
              <w:rPr>
                <w:rFonts w:cs="Arial"/>
                <w:bCs/>
                <w:color w:val="000000"/>
                <w:szCs w:val="20"/>
              </w:rPr>
              <w:t>(v mld. korun)</w:t>
            </w:r>
            <w:r w:rsidRPr="00E63A41">
              <w:rPr>
                <w:rFonts w:cs="Arial"/>
                <w:b/>
                <w:bCs/>
                <w:color w:val="000000"/>
                <w:szCs w:val="20"/>
              </w:rPr>
              <w:t xml:space="preserve"> v rámci 1. až </w:t>
            </w:r>
            <w:r>
              <w:rPr>
                <w:rFonts w:cs="Arial"/>
                <w:b/>
                <w:bCs/>
                <w:color w:val="000000"/>
                <w:szCs w:val="20"/>
              </w:rPr>
              <w:br/>
            </w:r>
            <w:r w:rsidRPr="00E63A41">
              <w:rPr>
                <w:rFonts w:cs="Arial"/>
                <w:b/>
                <w:bCs/>
                <w:color w:val="000000"/>
                <w:szCs w:val="20"/>
              </w:rPr>
              <w:t>3. čtvrtletí</w:t>
            </w:r>
          </w:p>
        </w:tc>
      </w:tr>
      <w:tr w:rsidR="001E1AF1" w14:paraId="0691E3C5" w14:textId="77777777" w:rsidTr="08AB0269">
        <w:tblPrEx>
          <w:tblCellMar>
            <w:left w:w="70" w:type="dxa"/>
            <w:right w:w="70" w:type="dxa"/>
          </w:tblCellMar>
        </w:tblPrEx>
        <w:trPr>
          <w:trHeight w:val="170"/>
        </w:trPr>
        <w:tc>
          <w:tcPr>
            <w:tcW w:w="1792" w:type="dxa"/>
            <w:vMerge/>
          </w:tcPr>
          <w:p w14:paraId="4EC78004" w14:textId="77777777" w:rsidR="001E1AF1" w:rsidRDefault="001E1AF1" w:rsidP="00D26E6B">
            <w:pPr>
              <w:pStyle w:val="Marginlie"/>
            </w:pPr>
          </w:p>
        </w:tc>
        <w:tc>
          <w:tcPr>
            <w:tcW w:w="203" w:type="dxa"/>
            <w:vMerge/>
          </w:tcPr>
          <w:p w14:paraId="5686FCE2" w14:textId="77777777" w:rsidR="001E1AF1" w:rsidRDefault="001E1AF1" w:rsidP="00D26E6B">
            <w:pPr>
              <w:pStyle w:val="Textpoznpodarou"/>
              <w:jc w:val="both"/>
              <w:rPr>
                <w:spacing w:val="-4"/>
              </w:rPr>
            </w:pPr>
          </w:p>
        </w:tc>
        <w:tc>
          <w:tcPr>
            <w:tcW w:w="7674" w:type="dxa"/>
            <w:shd w:val="clear" w:color="auto" w:fill="auto"/>
          </w:tcPr>
          <w:p w14:paraId="13A0455E" w14:textId="77777777" w:rsidR="001E1AF1" w:rsidRPr="0067514E" w:rsidRDefault="001E1AF1" w:rsidP="00D26E6B">
            <w:pPr>
              <w:spacing w:after="0"/>
              <w:rPr>
                <w:spacing w:val="-6"/>
              </w:rPr>
            </w:pPr>
            <w:r>
              <w:rPr>
                <w:noProof/>
              </w:rPr>
              <w:drawing>
                <wp:inline distT="0" distB="0" distL="0" distR="0" wp14:anchorId="6E95230E" wp14:editId="6A6EB05E">
                  <wp:extent cx="4741545" cy="3398292"/>
                  <wp:effectExtent l="0" t="0" r="1905"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1E1AF1" w:rsidRPr="007B3A78" w14:paraId="6B43C8A5" w14:textId="77777777" w:rsidTr="08AB0269">
        <w:trPr>
          <w:trHeight w:val="170"/>
        </w:trPr>
        <w:tc>
          <w:tcPr>
            <w:tcW w:w="1792" w:type="dxa"/>
            <w:vMerge/>
            <w:tcMar>
              <w:left w:w="0" w:type="dxa"/>
            </w:tcMar>
          </w:tcPr>
          <w:p w14:paraId="25DBAE05" w14:textId="77777777" w:rsidR="001E1AF1" w:rsidRDefault="001E1AF1" w:rsidP="00D26E6B">
            <w:pPr>
              <w:pStyle w:val="Marginlie"/>
            </w:pPr>
          </w:p>
        </w:tc>
        <w:tc>
          <w:tcPr>
            <w:tcW w:w="203" w:type="dxa"/>
            <w:vMerge/>
            <w:tcMar>
              <w:left w:w="0" w:type="dxa"/>
            </w:tcMar>
          </w:tcPr>
          <w:p w14:paraId="77AFCB28" w14:textId="77777777" w:rsidR="001E1AF1" w:rsidRDefault="001E1AF1" w:rsidP="00D26E6B">
            <w:pPr>
              <w:pStyle w:val="Textpoznpodarou"/>
              <w:jc w:val="both"/>
              <w:rPr>
                <w:spacing w:val="-4"/>
              </w:rPr>
            </w:pPr>
          </w:p>
        </w:tc>
        <w:tc>
          <w:tcPr>
            <w:tcW w:w="7674" w:type="dxa"/>
            <w:shd w:val="clear" w:color="auto" w:fill="auto"/>
            <w:tcMar>
              <w:left w:w="0" w:type="dxa"/>
            </w:tcMar>
          </w:tcPr>
          <w:p w14:paraId="2E11B977" w14:textId="77777777" w:rsidR="001E1AF1" w:rsidRDefault="001E1AF1" w:rsidP="00D26E6B">
            <w:pPr>
              <w:tabs>
                <w:tab w:val="right" w:pos="7683"/>
              </w:tabs>
              <w:spacing w:after="0" w:line="240" w:lineRule="auto"/>
              <w:jc w:val="left"/>
              <w:rPr>
                <w:spacing w:val="-2"/>
                <w:sz w:val="14"/>
                <w:szCs w:val="14"/>
              </w:rPr>
            </w:pPr>
            <w:r>
              <w:rPr>
                <w:spacing w:val="-2"/>
                <w:sz w:val="14"/>
                <w:szCs w:val="14"/>
              </w:rPr>
              <w:t>Poznámka: Údaje očištěné o vliv prostředků z EU a Finančních mechanismů jsou k dispozici od roku 2013.</w:t>
            </w:r>
          </w:p>
          <w:p w14:paraId="7904CE7D" w14:textId="77777777" w:rsidR="001E1AF1" w:rsidRDefault="001E1AF1" w:rsidP="00D26E6B">
            <w:pPr>
              <w:tabs>
                <w:tab w:val="right" w:pos="7683"/>
              </w:tabs>
              <w:spacing w:after="0" w:line="240" w:lineRule="auto"/>
              <w:jc w:val="left"/>
              <w:rPr>
                <w:sz w:val="16"/>
                <w:szCs w:val="16"/>
              </w:rPr>
            </w:pPr>
            <w:r>
              <w:rPr>
                <w:spacing w:val="-2"/>
                <w:sz w:val="14"/>
                <w:szCs w:val="14"/>
              </w:rPr>
              <w:t>FO = fyzické soby, PO = právnické osoby. Ostatní daně z příjmů FO zahrnují daně placené</w:t>
            </w:r>
            <w:r w:rsidRPr="005B05AD">
              <w:rPr>
                <w:spacing w:val="-2"/>
                <w:sz w:val="14"/>
                <w:szCs w:val="14"/>
              </w:rPr>
              <w:t xml:space="preserve"> poplatníky</w:t>
            </w:r>
            <w:r>
              <w:rPr>
                <w:spacing w:val="-2"/>
                <w:sz w:val="14"/>
                <w:szCs w:val="14"/>
              </w:rPr>
              <w:t xml:space="preserve"> (zejména z drobného podnikání) a dále daně vybírané</w:t>
            </w:r>
            <w:r w:rsidRPr="005B05AD">
              <w:rPr>
                <w:spacing w:val="-2"/>
                <w:sz w:val="14"/>
                <w:szCs w:val="14"/>
              </w:rPr>
              <w:t xml:space="preserve"> srážkou</w:t>
            </w:r>
            <w:r>
              <w:rPr>
                <w:spacing w:val="-2"/>
                <w:sz w:val="14"/>
                <w:szCs w:val="14"/>
              </w:rPr>
              <w:t>.</w:t>
            </w:r>
          </w:p>
          <w:p w14:paraId="48727D75" w14:textId="77777777" w:rsidR="001E1AF1" w:rsidRPr="00764654" w:rsidRDefault="001E1AF1" w:rsidP="00D26E6B">
            <w:pPr>
              <w:tabs>
                <w:tab w:val="right" w:pos="7683"/>
              </w:tabs>
              <w:spacing w:after="200" w:line="240" w:lineRule="auto"/>
              <w:jc w:val="left"/>
              <w:rPr>
                <w:sz w:val="14"/>
                <w:szCs w:val="14"/>
              </w:rPr>
            </w:pPr>
            <w:r>
              <w:rPr>
                <w:sz w:val="14"/>
                <w:szCs w:val="14"/>
              </w:rPr>
              <w:t>Ostatní daně a poplatky obsahují zejména daň z nemovitých věcí, d</w:t>
            </w:r>
            <w:r w:rsidRPr="001F4360">
              <w:rPr>
                <w:sz w:val="14"/>
                <w:szCs w:val="14"/>
              </w:rPr>
              <w:t>aň z hazardních her</w:t>
            </w:r>
            <w:r>
              <w:rPr>
                <w:sz w:val="14"/>
                <w:szCs w:val="14"/>
              </w:rPr>
              <w:t>, d</w:t>
            </w:r>
            <w:r w:rsidRPr="001F4360">
              <w:rPr>
                <w:sz w:val="14"/>
                <w:szCs w:val="14"/>
              </w:rPr>
              <w:t>álniční poplatek</w:t>
            </w:r>
            <w:r>
              <w:rPr>
                <w:sz w:val="14"/>
                <w:szCs w:val="14"/>
              </w:rPr>
              <w:t>, mýtné a v roce 2023 nově rovněž o</w:t>
            </w:r>
            <w:r w:rsidRPr="003C78E5">
              <w:rPr>
                <w:sz w:val="14"/>
                <w:szCs w:val="14"/>
              </w:rPr>
              <w:t>dvod z nadměrných příjmů</w:t>
            </w:r>
            <w:r>
              <w:rPr>
                <w:sz w:val="14"/>
                <w:szCs w:val="14"/>
              </w:rPr>
              <w:t xml:space="preserve"> a neočekávaných zisků.                                                                                                    </w:t>
            </w:r>
            <w:r w:rsidRPr="002777A9">
              <w:rPr>
                <w:sz w:val="14"/>
                <w:szCs w:val="14"/>
              </w:rPr>
              <w:t>Zdroj: MF ČR</w:t>
            </w:r>
          </w:p>
        </w:tc>
      </w:tr>
      <w:tr w:rsidR="001E1AF1" w:rsidRPr="007B3A78" w14:paraId="3E6C440A" w14:textId="77777777" w:rsidTr="08AB0269">
        <w:trPr>
          <w:trHeight w:val="170"/>
        </w:trPr>
        <w:tc>
          <w:tcPr>
            <w:tcW w:w="1792" w:type="dxa"/>
            <w:shd w:val="clear" w:color="auto" w:fill="auto"/>
            <w:tcMar>
              <w:left w:w="0" w:type="dxa"/>
            </w:tcMar>
          </w:tcPr>
          <w:p w14:paraId="2275454C" w14:textId="77777777" w:rsidR="001E1AF1" w:rsidRDefault="001E1AF1" w:rsidP="00D26E6B">
            <w:pPr>
              <w:pStyle w:val="Marginlie"/>
              <w:rPr>
                <w:spacing w:val="-5"/>
              </w:rPr>
            </w:pPr>
            <w:r>
              <w:rPr>
                <w:spacing w:val="-5"/>
              </w:rPr>
              <w:t>Meziroční pokles inkasa spotřebních daní nastal u</w:t>
            </w:r>
            <w:r>
              <w:t> </w:t>
            </w:r>
            <w:r>
              <w:rPr>
                <w:spacing w:val="-5"/>
              </w:rPr>
              <w:t xml:space="preserve">všech významných komodit. Nejvíce k němu </w:t>
            </w:r>
            <w:r>
              <w:rPr>
                <w:spacing w:val="-5"/>
              </w:rPr>
              <w:lastRenderedPageBreak/>
              <w:t>přispělo nízké inkaso z tabákových výrobků.</w:t>
            </w:r>
          </w:p>
        </w:tc>
        <w:tc>
          <w:tcPr>
            <w:tcW w:w="203" w:type="dxa"/>
            <w:shd w:val="clear" w:color="auto" w:fill="auto"/>
            <w:tcMar>
              <w:left w:w="0" w:type="dxa"/>
            </w:tcMar>
          </w:tcPr>
          <w:p w14:paraId="07F0490F" w14:textId="77777777" w:rsidR="001E1AF1" w:rsidRDefault="001E1AF1" w:rsidP="00D26E6B">
            <w:pPr>
              <w:pStyle w:val="Textpoznpodarou"/>
              <w:jc w:val="both"/>
              <w:rPr>
                <w:spacing w:val="-4"/>
              </w:rPr>
            </w:pPr>
          </w:p>
        </w:tc>
        <w:tc>
          <w:tcPr>
            <w:tcW w:w="7674" w:type="dxa"/>
            <w:shd w:val="clear" w:color="auto" w:fill="auto"/>
            <w:tcMar>
              <w:left w:w="0" w:type="dxa"/>
            </w:tcMar>
          </w:tcPr>
          <w:p w14:paraId="282F6CC3" w14:textId="77777777" w:rsidR="001E1AF1" w:rsidRDefault="001E1AF1" w:rsidP="00D26E6B">
            <w:pPr>
              <w:spacing w:after="220"/>
              <w:rPr>
                <w:spacing w:val="-4"/>
              </w:rPr>
            </w:pPr>
            <w:r>
              <w:rPr>
                <w:color w:val="0D0D0D" w:themeColor="text1" w:themeTint="F2"/>
                <w:spacing w:val="-4"/>
              </w:rPr>
              <w:t>Také inkaso</w:t>
            </w:r>
            <w:r w:rsidRPr="002623CB">
              <w:rPr>
                <w:color w:val="0D0D0D" w:themeColor="text1" w:themeTint="F2"/>
                <w:spacing w:val="-4"/>
              </w:rPr>
              <w:t xml:space="preserve"> </w:t>
            </w:r>
            <w:r w:rsidRPr="00760991">
              <w:rPr>
                <w:color w:val="0D0D0D" w:themeColor="text1" w:themeTint="F2"/>
                <w:spacing w:val="-4"/>
              </w:rPr>
              <w:t>spotřební</w:t>
            </w:r>
            <w:r>
              <w:rPr>
                <w:color w:val="0D0D0D" w:themeColor="text1" w:themeTint="F2"/>
                <w:spacing w:val="-4"/>
              </w:rPr>
              <w:t>ch</w:t>
            </w:r>
            <w:r w:rsidRPr="00760991">
              <w:rPr>
                <w:color w:val="0D0D0D" w:themeColor="text1" w:themeTint="F2"/>
                <w:spacing w:val="-4"/>
              </w:rPr>
              <w:t xml:space="preserve"> dani</w:t>
            </w:r>
            <w:r w:rsidRPr="00760991">
              <w:rPr>
                <w:rStyle w:val="Znakapoznpodarou"/>
                <w:color w:val="0D0D0D" w:themeColor="text1" w:themeTint="F2"/>
                <w:spacing w:val="-4"/>
              </w:rPr>
              <w:footnoteReference w:id="115"/>
            </w:r>
            <w:r>
              <w:rPr>
                <w:color w:val="0D0D0D" w:themeColor="text1" w:themeTint="F2"/>
                <w:spacing w:val="-4"/>
              </w:rPr>
              <w:t xml:space="preserve"> citelně zaostávalo za rozpočtovým očekáváním, neboť SR z těchto daní v</w:t>
            </w:r>
            <w:r>
              <w:rPr>
                <w:spacing w:val="-4"/>
              </w:rPr>
              <w:t> 1. až 3. čtvrtletí</w:t>
            </w:r>
            <w:r>
              <w:rPr>
                <w:color w:val="0D0D0D" w:themeColor="text1" w:themeTint="F2"/>
                <w:spacing w:val="-4"/>
              </w:rPr>
              <w:t xml:space="preserve"> získal meziročně o 4,7 % </w:t>
            </w:r>
            <w:r w:rsidRPr="002623CB">
              <w:rPr>
                <w:color w:val="0D0D0D" w:themeColor="text1" w:themeTint="F2"/>
                <w:spacing w:val="-4"/>
              </w:rPr>
              <w:t>mén</w:t>
            </w:r>
            <w:r>
              <w:rPr>
                <w:color w:val="0D0D0D" w:themeColor="text1" w:themeTint="F2"/>
                <w:spacing w:val="-4"/>
              </w:rPr>
              <w:t xml:space="preserve">ě. V samotném 3. čtvrtletí se ovšem pokles inkasa, trvající nepřetržitě od poloviny loňského roku, zastavil (0,3 %). </w:t>
            </w:r>
            <w:r>
              <w:rPr>
                <w:color w:val="0D0D0D" w:themeColor="text1" w:themeTint="F2"/>
                <w:spacing w:val="-4"/>
              </w:rPr>
              <w:lastRenderedPageBreak/>
              <w:t>Projevila se zde vyšší spotřeba pohonných hmot související mj. s avizovaným zvýšením daně z motorové nafty</w:t>
            </w:r>
            <w:r>
              <w:rPr>
                <w:rStyle w:val="Znakapoznpodarou"/>
                <w:color w:val="0D0D0D" w:themeColor="text1" w:themeTint="F2"/>
                <w:spacing w:val="-4"/>
              </w:rPr>
              <w:footnoteReference w:id="116"/>
            </w:r>
            <w:r>
              <w:rPr>
                <w:color w:val="0D0D0D" w:themeColor="text1" w:themeTint="F2"/>
                <w:spacing w:val="-4"/>
              </w:rPr>
              <w:t>. V úhrnu za tři letošní čtvrtletí se nicméně inkaso spotřební daně z </w:t>
            </w:r>
            <w:r w:rsidRPr="00C71CE3">
              <w:rPr>
                <w:color w:val="0D0D0D" w:themeColor="text1" w:themeTint="F2"/>
                <w:spacing w:val="-4"/>
              </w:rPr>
              <w:t>minerálních olejů</w:t>
            </w:r>
            <w:r>
              <w:rPr>
                <w:color w:val="0D0D0D" w:themeColor="text1" w:themeTint="F2"/>
                <w:spacing w:val="-4"/>
              </w:rPr>
              <w:t xml:space="preserve"> stále nacházelo mírně pod loňskou úrovní (</w:t>
            </w:r>
            <w:r>
              <w:rPr>
                <w:spacing w:val="-4"/>
              </w:rPr>
              <w:t>–</w:t>
            </w:r>
            <w:r>
              <w:rPr>
                <w:color w:val="0D0D0D" w:themeColor="text1" w:themeTint="F2"/>
                <w:spacing w:val="-4"/>
              </w:rPr>
              <w:t xml:space="preserve">0,9 %), neboť recese tuzemské ekonomiky se odrazila i v </w:t>
            </w:r>
            <w:r>
              <w:rPr>
                <w:spacing w:val="-4"/>
              </w:rPr>
              <w:t>poklesu objemu nákladní dopravy (vlivem nižšího obratu zbožového zahraničního obchodu). Pro pokles inkasa všech spotřebních daní byl ovšem určující nízký výběr daně z tabákových výrobků (−8,2 %). K tomu došlo i přes pokračující navyšování daňové sazby, neboť silnější vliv na inkaso měla změna nákupních preferencí obyvatel ČR (přesun spotřeby k alternativním, v tuzemsku méně zdaněným produktům</w:t>
            </w:r>
            <w:r>
              <w:rPr>
                <w:rStyle w:val="Znakapoznpodarou"/>
                <w:spacing w:val="-4"/>
              </w:rPr>
              <w:footnoteReference w:id="117"/>
            </w:r>
            <w:r>
              <w:rPr>
                <w:spacing w:val="-4"/>
              </w:rPr>
              <w:t>, posílení přeshraničních nákupů). SR získal meziročně méně i na dani ze specifických komodit (líh, pivo, šumivé víno a meziprodukty), patrně vlivem omezení zbytných výdajů tuzemských domácností. Úsporné chování domácností i firem vyústilo v razantní plošný pokles výběru všech energetických daní (nejvíce u pevných paliv).</w:t>
            </w:r>
          </w:p>
        </w:tc>
      </w:tr>
      <w:tr w:rsidR="001E1AF1" w:rsidRPr="007B3A78" w14:paraId="79F1165A" w14:textId="77777777" w:rsidTr="08AB0269">
        <w:trPr>
          <w:trHeight w:val="170"/>
        </w:trPr>
        <w:tc>
          <w:tcPr>
            <w:tcW w:w="1792" w:type="dxa"/>
            <w:shd w:val="clear" w:color="auto" w:fill="auto"/>
            <w:tcMar>
              <w:left w:w="0" w:type="dxa"/>
            </w:tcMar>
          </w:tcPr>
          <w:p w14:paraId="5A7B0D3F" w14:textId="77777777" w:rsidR="001E1AF1" w:rsidRDefault="001E1AF1" w:rsidP="00D26E6B">
            <w:pPr>
              <w:pStyle w:val="Marginlie"/>
            </w:pPr>
            <w:r>
              <w:lastRenderedPageBreak/>
              <w:t xml:space="preserve">Růst celkových výdajů SR navzdory potřebě mimořádných transferů za tři čtvrtletí nepřekročil rozpočtové očekávání. </w:t>
            </w:r>
          </w:p>
        </w:tc>
        <w:tc>
          <w:tcPr>
            <w:tcW w:w="203" w:type="dxa"/>
            <w:shd w:val="clear" w:color="auto" w:fill="auto"/>
            <w:tcMar>
              <w:left w:w="0" w:type="dxa"/>
            </w:tcMar>
          </w:tcPr>
          <w:p w14:paraId="3DB80D04" w14:textId="77777777" w:rsidR="001E1AF1" w:rsidRDefault="001E1AF1" w:rsidP="00D26E6B">
            <w:pPr>
              <w:pStyle w:val="Textpoznpodarou"/>
              <w:jc w:val="both"/>
              <w:rPr>
                <w:spacing w:val="-4"/>
              </w:rPr>
            </w:pPr>
          </w:p>
        </w:tc>
        <w:tc>
          <w:tcPr>
            <w:tcW w:w="7674" w:type="dxa"/>
            <w:shd w:val="clear" w:color="auto" w:fill="auto"/>
            <w:tcMar>
              <w:left w:w="0" w:type="dxa"/>
            </w:tcMar>
          </w:tcPr>
          <w:p w14:paraId="58D83834" w14:textId="77777777" w:rsidR="001E1AF1" w:rsidRPr="0070407F" w:rsidRDefault="001E1AF1" w:rsidP="00D26E6B">
            <w:pPr>
              <w:spacing w:after="220"/>
              <w:rPr>
                <w:color w:val="0D0D0D" w:themeColor="text1" w:themeTint="F2"/>
                <w:spacing w:val="-5"/>
              </w:rPr>
            </w:pPr>
            <w:r>
              <w:rPr>
                <w:color w:val="0D0D0D" w:themeColor="text1" w:themeTint="F2"/>
                <w:spacing w:val="-5"/>
              </w:rPr>
              <w:t>Tempo meziročního růstu celkových výdajů</w:t>
            </w:r>
            <w:r w:rsidRPr="00B71DEC">
              <w:rPr>
                <w:color w:val="0D0D0D" w:themeColor="text1" w:themeTint="F2"/>
                <w:spacing w:val="-5"/>
              </w:rPr>
              <w:t xml:space="preserve"> SR </w:t>
            </w:r>
            <w:r>
              <w:rPr>
                <w:color w:val="0D0D0D" w:themeColor="text1" w:themeTint="F2"/>
                <w:spacing w:val="-5"/>
              </w:rPr>
              <w:t>bylo letos tři čtvrtletí oproti příjmům skoro o</w:t>
            </w:r>
            <w:r>
              <w:rPr>
                <w:spacing w:val="-4"/>
              </w:rPr>
              <w:t> </w:t>
            </w:r>
            <w:r>
              <w:rPr>
                <w:color w:val="0D0D0D" w:themeColor="text1" w:themeTint="F2"/>
                <w:spacing w:val="-5"/>
              </w:rPr>
              <w:t>polovinu nižší (12,4</w:t>
            </w:r>
            <w:r w:rsidRPr="008F130B">
              <w:rPr>
                <w:color w:val="0D0D0D" w:themeColor="text1" w:themeTint="F2"/>
                <w:spacing w:val="-5"/>
              </w:rPr>
              <w:t xml:space="preserve"> %</w:t>
            </w:r>
            <w:r>
              <w:rPr>
                <w:color w:val="0D0D0D" w:themeColor="text1" w:themeTint="F2"/>
                <w:spacing w:val="-5"/>
              </w:rPr>
              <w:t>) a v září poprvé letos kleslo (v kumulaci od počátku roku) pod úroveň rozpočtového očekávání (12,9</w:t>
            </w:r>
            <w:r>
              <w:rPr>
                <w:spacing w:val="-4"/>
              </w:rPr>
              <w:t> </w:t>
            </w:r>
            <w:r>
              <w:rPr>
                <w:color w:val="0D0D0D" w:themeColor="text1" w:themeTint="F2"/>
                <w:spacing w:val="-5"/>
              </w:rPr>
              <w:t xml:space="preserve">%). </w:t>
            </w:r>
            <w:r>
              <w:rPr>
                <w:spacing w:val="-2"/>
              </w:rPr>
              <w:t xml:space="preserve">Do </w:t>
            </w:r>
            <w:r w:rsidRPr="003A4FAE">
              <w:rPr>
                <w:color w:val="0D0D0D" w:themeColor="text1" w:themeTint="F2"/>
                <w:spacing w:val="-2"/>
              </w:rPr>
              <w:t xml:space="preserve">růstu výdajů SR </w:t>
            </w:r>
            <w:r>
              <w:rPr>
                <w:spacing w:val="-2"/>
              </w:rPr>
              <w:t>se promítala jak pomoc státu související s vysokými cenami energií (dosud nedostatečně kompenzovaná mimořádnými příjmy ze zdanění vybraných sektorů ekonomiky), tak dopady pozvolna doznívající vysoké inflace (valorizace důchodů, vyšší objem vyplacených sociálních dávek, rostoucí splátky státního dluhu). Ačkoli k fiskální expanzi přispěly letos tradičně zejména běžné výdaje, stejně jako loni hrály nezanedbatelnou roli také vyšší investice.</w:t>
            </w:r>
          </w:p>
        </w:tc>
      </w:tr>
      <w:tr w:rsidR="001E1AF1" w:rsidRPr="007B3A78" w14:paraId="01CC70B1" w14:textId="77777777" w:rsidTr="08AB0269">
        <w:trPr>
          <w:trHeight w:val="170"/>
        </w:trPr>
        <w:tc>
          <w:tcPr>
            <w:tcW w:w="1792" w:type="dxa"/>
            <w:shd w:val="clear" w:color="auto" w:fill="auto"/>
            <w:tcMar>
              <w:left w:w="0" w:type="dxa"/>
            </w:tcMar>
          </w:tcPr>
          <w:p w14:paraId="30F37761" w14:textId="77777777" w:rsidR="001E1AF1" w:rsidRDefault="001E1AF1" w:rsidP="00D26E6B">
            <w:pPr>
              <w:pStyle w:val="Marginlie"/>
            </w:pPr>
            <w:r>
              <w:t xml:space="preserve">Za strmým růstem výdajů na sociální dávky stály výdaje na důchody. </w:t>
            </w:r>
          </w:p>
          <w:p w14:paraId="0737814F" w14:textId="77777777" w:rsidR="001E1AF1" w:rsidRDefault="001E1AF1" w:rsidP="00D26E6B">
            <w:pPr>
              <w:pStyle w:val="Marginlie"/>
            </w:pPr>
          </w:p>
          <w:p w14:paraId="77686898" w14:textId="77777777" w:rsidR="001E1AF1" w:rsidRDefault="001E1AF1" w:rsidP="00D26E6B">
            <w:pPr>
              <w:pStyle w:val="Marginlie"/>
            </w:pPr>
          </w:p>
          <w:p w14:paraId="7B81988F" w14:textId="77777777" w:rsidR="001E1AF1" w:rsidRDefault="001E1AF1" w:rsidP="00D26E6B">
            <w:pPr>
              <w:pStyle w:val="Marginlie"/>
            </w:pPr>
          </w:p>
          <w:p w14:paraId="35C6A434" w14:textId="77777777" w:rsidR="001E1AF1" w:rsidRDefault="001E1AF1" w:rsidP="00D26E6B">
            <w:pPr>
              <w:pStyle w:val="Marginlie"/>
            </w:pPr>
          </w:p>
          <w:p w14:paraId="20963B48" w14:textId="77777777" w:rsidR="001E1AF1" w:rsidRDefault="001E1AF1" w:rsidP="00D26E6B">
            <w:pPr>
              <w:pStyle w:val="Marginlie"/>
            </w:pPr>
          </w:p>
          <w:p w14:paraId="3E6CEB35" w14:textId="77777777" w:rsidR="001E1AF1" w:rsidRDefault="001E1AF1" w:rsidP="00D26E6B">
            <w:pPr>
              <w:pStyle w:val="Marginlie"/>
            </w:pPr>
          </w:p>
          <w:p w14:paraId="738836FA" w14:textId="77777777" w:rsidR="001E1AF1" w:rsidRDefault="001E1AF1" w:rsidP="00D26E6B">
            <w:pPr>
              <w:pStyle w:val="Marginlie"/>
            </w:pPr>
            <w:r>
              <w:t xml:space="preserve">Navzdory zmírnění tempa u mimořádné červnové valorizace se letos důchodový účet propadl do rekordního deficitu. </w:t>
            </w:r>
          </w:p>
        </w:tc>
        <w:tc>
          <w:tcPr>
            <w:tcW w:w="203" w:type="dxa"/>
            <w:shd w:val="clear" w:color="auto" w:fill="auto"/>
            <w:tcMar>
              <w:left w:w="0" w:type="dxa"/>
            </w:tcMar>
          </w:tcPr>
          <w:p w14:paraId="4BB21625" w14:textId="77777777" w:rsidR="001E1AF1" w:rsidRDefault="001E1AF1" w:rsidP="00D26E6B">
            <w:pPr>
              <w:pStyle w:val="Textpoznpodarou"/>
              <w:jc w:val="both"/>
              <w:rPr>
                <w:spacing w:val="-4"/>
              </w:rPr>
            </w:pPr>
          </w:p>
        </w:tc>
        <w:tc>
          <w:tcPr>
            <w:tcW w:w="7674" w:type="dxa"/>
            <w:shd w:val="clear" w:color="auto" w:fill="auto"/>
            <w:tcMar>
              <w:left w:w="0" w:type="dxa"/>
            </w:tcMar>
          </w:tcPr>
          <w:p w14:paraId="0A087711" w14:textId="77777777" w:rsidR="001E1AF1" w:rsidRPr="001843D5" w:rsidRDefault="001E1AF1" w:rsidP="00D26E6B">
            <w:pPr>
              <w:spacing w:after="220"/>
              <w:rPr>
                <w:color w:val="0D0D0D" w:themeColor="text1" w:themeTint="F2"/>
                <w:spacing w:val="-4"/>
              </w:rPr>
            </w:pPr>
            <w:r>
              <w:t>O celou polovinu z celkového letošního navýšení běžných výdajů (+157,3 mld. korun) se zasloužily sociální dávky, na které směřovalo meziročně o 13,9 % více. Jejich podíl na všech výdajích SR byl nejvyšší za posledních pět let (40,2 %). Téměř veškerý růst v oblasti sociálních dávek pokryly vyšší výdaje na důchody, jež dosáhly 512,6 mld. korun (při meziročním růstu o 17,6 %). Jejich čerpání bylo, podobně jako loni, zásadně ovlivněno jak řádnou lednovou valorizací, tak mimořádným navýšením během roku</w:t>
            </w:r>
            <w:r>
              <w:rPr>
                <w:rStyle w:val="Znakapoznpodarou"/>
              </w:rPr>
              <w:footnoteReference w:id="118"/>
            </w:r>
            <w:r>
              <w:t xml:space="preserve">. </w:t>
            </w:r>
            <w:r>
              <w:rPr>
                <w:color w:val="0D0D0D" w:themeColor="text1" w:themeTint="F2"/>
                <w:spacing w:val="-4"/>
              </w:rPr>
              <w:t>Počet příjemců důchodů navzdory vyššímu zájmu o předčasné penze</w:t>
            </w:r>
            <w:r>
              <w:rPr>
                <w:rStyle w:val="Znakapoznpodarou"/>
                <w:color w:val="0D0D0D" w:themeColor="text1" w:themeTint="F2"/>
                <w:spacing w:val="-4"/>
              </w:rPr>
              <w:footnoteReference w:id="119"/>
            </w:r>
            <w:r>
              <w:rPr>
                <w:color w:val="0D0D0D" w:themeColor="text1" w:themeTint="F2"/>
                <w:spacing w:val="-4"/>
              </w:rPr>
              <w:t xml:space="preserve"> klesal, byť mírnějším tempem (−0,2 % meziročně) než v předchozích dvou letech.</w:t>
            </w:r>
            <w:r>
              <w:rPr>
                <w:spacing w:val="-6"/>
              </w:rPr>
              <w:t xml:space="preserve"> Přestože stále d</w:t>
            </w:r>
            <w:r w:rsidRPr="00791977">
              <w:rPr>
                <w:spacing w:val="-6"/>
              </w:rPr>
              <w:t>obr</w:t>
            </w:r>
            <w:r>
              <w:rPr>
                <w:spacing w:val="-6"/>
              </w:rPr>
              <w:t>á kondice tuzemského trhu práce podporovala</w:t>
            </w:r>
            <w:r>
              <w:rPr>
                <w:spacing w:val="-4"/>
              </w:rPr>
              <w:t xml:space="preserve"> pokračující růst</w:t>
            </w:r>
            <w:r w:rsidRPr="00862F80">
              <w:rPr>
                <w:spacing w:val="-4"/>
              </w:rPr>
              <w:t xml:space="preserve"> příjmů </w:t>
            </w:r>
            <w:r>
              <w:rPr>
                <w:rFonts w:cs="Arial"/>
                <w:color w:val="0D0D0D" w:themeColor="text1" w:themeTint="F2"/>
                <w:spacing w:val="-4"/>
              </w:rPr>
              <w:t>důchodového pojištění, jeho meziroční tempo nebylo letos oproti výdajům na důchody ani poloviční (8,3</w:t>
            </w:r>
            <w:r>
              <w:rPr>
                <w:color w:val="0D0D0D" w:themeColor="text1" w:themeTint="F2"/>
                <w:spacing w:val="-5"/>
              </w:rPr>
              <w:t> </w:t>
            </w:r>
            <w:r>
              <w:rPr>
                <w:rFonts w:cs="Arial"/>
                <w:color w:val="0D0D0D" w:themeColor="text1" w:themeTint="F2"/>
                <w:spacing w:val="-4"/>
              </w:rPr>
              <w:t>%)</w:t>
            </w:r>
            <w:r>
              <w:rPr>
                <w:rStyle w:val="Znakapoznpodarou"/>
                <w:color w:val="0D0D0D" w:themeColor="text1" w:themeTint="F2"/>
                <w:spacing w:val="-4"/>
              </w:rPr>
              <w:footnoteReference w:id="120"/>
            </w:r>
            <w:r>
              <w:rPr>
                <w:rFonts w:cs="Arial"/>
                <w:color w:val="0D0D0D" w:themeColor="text1" w:themeTint="F2"/>
                <w:spacing w:val="-4"/>
              </w:rPr>
              <w:t>. Saldo</w:t>
            </w:r>
            <w:r w:rsidRPr="00862F80">
              <w:rPr>
                <w:rFonts w:cs="Arial"/>
                <w:color w:val="0D0D0D" w:themeColor="text1" w:themeTint="F2"/>
                <w:spacing w:val="-4"/>
              </w:rPr>
              <w:t xml:space="preserve"> </w:t>
            </w:r>
            <w:r>
              <w:rPr>
                <w:rFonts w:cs="Arial"/>
                <w:color w:val="0D0D0D" w:themeColor="text1" w:themeTint="F2"/>
                <w:spacing w:val="-4"/>
              </w:rPr>
              <w:t xml:space="preserve">systému </w:t>
            </w:r>
            <w:r>
              <w:rPr>
                <w:rFonts w:cs="Arial"/>
                <w:color w:val="0D0D0D" w:themeColor="text1" w:themeTint="F2"/>
                <w:spacing w:val="-2"/>
              </w:rPr>
              <w:t>důchodového pojištění</w:t>
            </w:r>
            <w:r w:rsidRPr="001C3185">
              <w:rPr>
                <w:rStyle w:val="Znakapoznpodarou"/>
                <w:color w:val="0D0D0D" w:themeColor="text1" w:themeTint="F2"/>
                <w:spacing w:val="-2"/>
              </w:rPr>
              <w:footnoteReference w:id="121"/>
            </w:r>
            <w:r>
              <w:rPr>
                <w:rFonts w:cs="Arial"/>
                <w:color w:val="0D0D0D" w:themeColor="text1" w:themeTint="F2"/>
                <w:spacing w:val="-2"/>
              </w:rPr>
              <w:t xml:space="preserve"> se proto za tři čtvrtletí propadlo do rekordního</w:t>
            </w:r>
            <w:r w:rsidRPr="001C3185">
              <w:rPr>
                <w:rFonts w:cs="Arial"/>
                <w:color w:val="0D0D0D" w:themeColor="text1" w:themeTint="F2"/>
                <w:spacing w:val="-2"/>
              </w:rPr>
              <w:t xml:space="preserve"> deficitu (</w:t>
            </w:r>
            <w:r>
              <w:rPr>
                <w:rFonts w:cs="Arial"/>
                <w:color w:val="0D0D0D" w:themeColor="text1" w:themeTint="F2"/>
                <w:spacing w:val="-2"/>
              </w:rPr>
              <w:t>58,1 mld. korun), meziročně více než trojnásobného.</w:t>
            </w:r>
          </w:p>
        </w:tc>
      </w:tr>
      <w:tr w:rsidR="001E1AF1" w:rsidRPr="007B3A78" w14:paraId="0163A9A0" w14:textId="77777777" w:rsidTr="08AB0269">
        <w:trPr>
          <w:trHeight w:val="170"/>
        </w:trPr>
        <w:tc>
          <w:tcPr>
            <w:tcW w:w="1792" w:type="dxa"/>
            <w:shd w:val="clear" w:color="auto" w:fill="auto"/>
            <w:tcMar>
              <w:left w:w="0" w:type="dxa"/>
            </w:tcMar>
          </w:tcPr>
          <w:p w14:paraId="1B0BDB8B" w14:textId="77777777" w:rsidR="001E1AF1" w:rsidRDefault="001E1AF1" w:rsidP="00D26E6B">
            <w:pPr>
              <w:pStyle w:val="Marginlie"/>
            </w:pPr>
            <w:r>
              <w:t>Růst výdajů na nedůchodové sociální dávky byl tažen výdaji na státní sociální podporu.</w:t>
            </w:r>
          </w:p>
          <w:p w14:paraId="30F2218A" w14:textId="77777777" w:rsidR="001E1AF1" w:rsidRDefault="001E1AF1" w:rsidP="00D26E6B">
            <w:pPr>
              <w:pStyle w:val="Marginlie"/>
            </w:pPr>
          </w:p>
          <w:p w14:paraId="53FD84E5" w14:textId="77777777" w:rsidR="001E1AF1" w:rsidRDefault="001E1AF1" w:rsidP="00D26E6B">
            <w:pPr>
              <w:pStyle w:val="Marginlie"/>
            </w:pPr>
          </w:p>
          <w:p w14:paraId="3FE03642" w14:textId="77777777" w:rsidR="001E1AF1" w:rsidRDefault="001E1AF1" w:rsidP="00D26E6B">
            <w:pPr>
              <w:pStyle w:val="Marginlie"/>
            </w:pPr>
          </w:p>
          <w:p w14:paraId="178E5F7D" w14:textId="77777777" w:rsidR="001E1AF1" w:rsidRDefault="001E1AF1" w:rsidP="00D26E6B">
            <w:pPr>
              <w:pStyle w:val="Marginlie"/>
            </w:pPr>
          </w:p>
          <w:p w14:paraId="4BF20C43" w14:textId="77777777" w:rsidR="001E1AF1" w:rsidRDefault="001E1AF1" w:rsidP="00D26E6B">
            <w:pPr>
              <w:pStyle w:val="Marginlie"/>
            </w:pPr>
          </w:p>
          <w:p w14:paraId="1FCD359E" w14:textId="77777777" w:rsidR="001E1AF1" w:rsidRDefault="001E1AF1" w:rsidP="00D26E6B">
            <w:pPr>
              <w:pStyle w:val="Marginlie"/>
            </w:pPr>
            <w:r>
              <w:t>Rostly i výdaje na sociální péči či na nezaměstnané. Klesly naopak výdaje za nemocenské a ošetřovné.</w:t>
            </w:r>
          </w:p>
          <w:p w14:paraId="1E8EA89F" w14:textId="77777777" w:rsidR="001E1AF1" w:rsidRDefault="001E1AF1" w:rsidP="00D26E6B">
            <w:pPr>
              <w:pStyle w:val="Marginlie"/>
            </w:pPr>
          </w:p>
          <w:p w14:paraId="61E79468" w14:textId="77777777" w:rsidR="001E1AF1" w:rsidRDefault="001E1AF1" w:rsidP="00D26E6B">
            <w:pPr>
              <w:pStyle w:val="Marginlie"/>
            </w:pPr>
          </w:p>
          <w:p w14:paraId="0C353FE9" w14:textId="77777777" w:rsidR="001E1AF1" w:rsidRDefault="001E1AF1" w:rsidP="00D26E6B">
            <w:pPr>
              <w:pStyle w:val="Marginlie"/>
            </w:pPr>
          </w:p>
          <w:p w14:paraId="71E19739" w14:textId="77777777" w:rsidR="001E1AF1" w:rsidRDefault="001E1AF1" w:rsidP="00D26E6B">
            <w:pPr>
              <w:pStyle w:val="Marginlie"/>
            </w:pPr>
          </w:p>
          <w:p w14:paraId="76734DC8" w14:textId="77777777" w:rsidR="001E1AF1" w:rsidRDefault="001E1AF1" w:rsidP="00D26E6B">
            <w:pPr>
              <w:pStyle w:val="Marginlie"/>
            </w:pPr>
            <w:r>
              <w:t>Výdaje na dávky z nemocenského pojištění nadále mírně převyšovaly příjmy z pojistného.</w:t>
            </w:r>
          </w:p>
        </w:tc>
        <w:tc>
          <w:tcPr>
            <w:tcW w:w="203" w:type="dxa"/>
            <w:shd w:val="clear" w:color="auto" w:fill="auto"/>
            <w:tcMar>
              <w:left w:w="0" w:type="dxa"/>
            </w:tcMar>
          </w:tcPr>
          <w:p w14:paraId="407BD709" w14:textId="77777777" w:rsidR="001E1AF1" w:rsidRDefault="001E1AF1" w:rsidP="00D26E6B">
            <w:pPr>
              <w:pStyle w:val="Textpoznpodarou"/>
              <w:jc w:val="both"/>
              <w:rPr>
                <w:spacing w:val="-4"/>
              </w:rPr>
            </w:pPr>
          </w:p>
        </w:tc>
        <w:tc>
          <w:tcPr>
            <w:tcW w:w="7674" w:type="dxa"/>
            <w:shd w:val="clear" w:color="auto" w:fill="auto"/>
            <w:tcMar>
              <w:left w:w="0" w:type="dxa"/>
            </w:tcMar>
          </w:tcPr>
          <w:p w14:paraId="69F544F7" w14:textId="77777777" w:rsidR="001E1AF1" w:rsidRPr="00C24A66" w:rsidRDefault="001E1AF1" w:rsidP="00D26E6B">
            <w:pPr>
              <w:spacing w:after="200"/>
              <w:rPr>
                <w:spacing w:val="-4"/>
              </w:rPr>
            </w:pPr>
            <w:r>
              <w:rPr>
                <w:color w:val="0D0D0D" w:themeColor="text1" w:themeTint="F2"/>
                <w:spacing w:val="-4"/>
              </w:rPr>
              <w:t>Jestliže tempo růstu výdajů na důchody se letos meziročně takřka zdvojnásobilo, tak u</w:t>
            </w:r>
            <w:r>
              <w:t> </w:t>
            </w:r>
            <w:r>
              <w:rPr>
                <w:color w:val="0D0D0D" w:themeColor="text1" w:themeTint="F2"/>
                <w:spacing w:val="-4"/>
              </w:rPr>
              <w:t>nedůchodových sociálních dávek jejich dynamika v souladu s rozpočtovým očekáváním výrazně opadla (na 1,8 % při celkovém čerpání ve výši 137,7</w:t>
            </w:r>
            <w:r w:rsidRPr="000C79A6">
              <w:rPr>
                <w:color w:val="0D0D0D" w:themeColor="text1" w:themeTint="F2"/>
                <w:spacing w:val="-4"/>
              </w:rPr>
              <w:t xml:space="preserve"> </w:t>
            </w:r>
            <w:r w:rsidRPr="008F130B">
              <w:rPr>
                <w:color w:val="0D0D0D" w:themeColor="text1" w:themeTint="F2"/>
                <w:spacing w:val="-4"/>
              </w:rPr>
              <w:t>mld. korun</w:t>
            </w:r>
            <w:r>
              <w:rPr>
                <w:color w:val="0D0D0D" w:themeColor="text1" w:themeTint="F2"/>
                <w:spacing w:val="-4"/>
              </w:rPr>
              <w:t>). I přes mírný celkový růst došlo oproti loňsku u většiny dílčích dávek k růstu čerpání. Výdaje na dávky státní sociální podpory (SSP)</w:t>
            </w:r>
            <w:r>
              <w:rPr>
                <w:rStyle w:val="Znakapoznpodarou"/>
                <w:color w:val="0D0D0D" w:themeColor="text1" w:themeTint="F2"/>
                <w:spacing w:val="-4"/>
              </w:rPr>
              <w:footnoteReference w:id="122"/>
            </w:r>
            <w:r>
              <w:rPr>
                <w:color w:val="0D0D0D" w:themeColor="text1" w:themeTint="F2"/>
                <w:spacing w:val="-4"/>
              </w:rPr>
              <w:t xml:space="preserve"> vzrostly o 6,4 %, primárně kvůli razantnímu</w:t>
            </w:r>
            <w:r w:rsidRPr="008F130B">
              <w:rPr>
                <w:color w:val="0D0D0D" w:themeColor="text1" w:themeTint="F2"/>
                <w:spacing w:val="-4"/>
              </w:rPr>
              <w:t xml:space="preserve"> zvýšení objemu </w:t>
            </w:r>
            <w:r w:rsidRPr="008F130B">
              <w:rPr>
                <w:color w:val="0D0D0D" w:themeColor="text1" w:themeTint="F2"/>
                <w:spacing w:val="-4"/>
              </w:rPr>
              <w:lastRenderedPageBreak/>
              <w:t>vyplacených příspěvků na bydlení</w:t>
            </w:r>
            <w:r>
              <w:rPr>
                <w:rStyle w:val="Znakapoznpodarou"/>
                <w:color w:val="0D0D0D" w:themeColor="text1" w:themeTint="F2"/>
                <w:spacing w:val="-4"/>
              </w:rPr>
              <w:footnoteReference w:id="123"/>
            </w:r>
            <w:r w:rsidRPr="008F130B">
              <w:rPr>
                <w:color w:val="0D0D0D" w:themeColor="text1" w:themeTint="F2"/>
                <w:spacing w:val="-4"/>
              </w:rPr>
              <w:t xml:space="preserve"> (</w:t>
            </w:r>
            <w:r>
              <w:rPr>
                <w:color w:val="0D0D0D" w:themeColor="text1" w:themeTint="F2"/>
                <w:spacing w:val="-4"/>
              </w:rPr>
              <w:t>123 %, vlivem</w:t>
            </w:r>
            <w:r w:rsidRPr="008F130B">
              <w:rPr>
                <w:color w:val="0D0D0D" w:themeColor="text1" w:themeTint="F2"/>
                <w:spacing w:val="-4"/>
              </w:rPr>
              <w:t xml:space="preserve"> vysokých cen energií a </w:t>
            </w:r>
            <w:r w:rsidRPr="008F130B">
              <w:rPr>
                <w:spacing w:val="-4"/>
              </w:rPr>
              <w:t>zvýšení</w:t>
            </w:r>
            <w:r>
              <w:rPr>
                <w:spacing w:val="-4"/>
              </w:rPr>
              <w:t>m</w:t>
            </w:r>
            <w:r w:rsidRPr="008F130B">
              <w:rPr>
                <w:spacing w:val="-4"/>
              </w:rPr>
              <w:t xml:space="preserve"> nákladů uznatelných pro výplatu</w:t>
            </w:r>
            <w:r>
              <w:rPr>
                <w:spacing w:val="-4"/>
              </w:rPr>
              <w:t>, ale i růstu povědomí o</w:t>
            </w:r>
            <w:r>
              <w:rPr>
                <w:color w:val="0D0D0D" w:themeColor="text1" w:themeTint="F2"/>
                <w:spacing w:val="-4"/>
              </w:rPr>
              <w:t> </w:t>
            </w:r>
            <w:r>
              <w:rPr>
                <w:spacing w:val="-4"/>
              </w:rPr>
              <w:t>možnosti čerpání této pomoci v populaci, či zjednodušení procedury podání žádosti o</w:t>
            </w:r>
            <w:r>
              <w:rPr>
                <w:color w:val="0D0D0D" w:themeColor="text1" w:themeTint="F2"/>
                <w:spacing w:val="-4"/>
              </w:rPr>
              <w:t> </w:t>
            </w:r>
            <w:r>
              <w:rPr>
                <w:spacing w:val="-4"/>
              </w:rPr>
              <w:t xml:space="preserve">dávku). Naopak výdaje na přídavky na děti klesly skoro o polovinu, a to </w:t>
            </w:r>
            <w:r w:rsidRPr="00324885">
              <w:rPr>
                <w:color w:val="0D0D0D" w:themeColor="text1" w:themeTint="F2"/>
                <w:spacing w:val="-4"/>
              </w:rPr>
              <w:t>výhradně vlivem vyšší loňské základny (poskytování jednorázového příspěvku 5 tis. korun</w:t>
            </w:r>
            <w:r>
              <w:rPr>
                <w:color w:val="0D0D0D" w:themeColor="text1" w:themeTint="F2"/>
                <w:spacing w:val="-4"/>
              </w:rPr>
              <w:t xml:space="preserve"> na dítě od srpna 2022). U přídavků vyplácených pravidelně je totiž patrný nárůst čerpání</w:t>
            </w:r>
            <w:r>
              <w:rPr>
                <w:rStyle w:val="Znakapoznpodarou"/>
                <w:spacing w:val="-4"/>
              </w:rPr>
              <w:footnoteReference w:id="124"/>
            </w:r>
            <w:r>
              <w:rPr>
                <w:spacing w:val="-4"/>
              </w:rPr>
              <w:t>. Klesly výdaje na váhově dominantní položku</w:t>
            </w:r>
            <w:r w:rsidRPr="008F130B">
              <w:rPr>
                <w:spacing w:val="-4"/>
              </w:rPr>
              <w:t xml:space="preserve"> SSP </w:t>
            </w:r>
            <w:r>
              <w:rPr>
                <w:rFonts w:cs="Arial"/>
                <w:color w:val="0D0D0D" w:themeColor="text1" w:themeTint="F2"/>
                <w:spacing w:val="-2"/>
              </w:rPr>
              <w:t>−</w:t>
            </w:r>
            <w:r>
              <w:rPr>
                <w:spacing w:val="-4"/>
              </w:rPr>
              <w:t xml:space="preserve"> rodičovské příspěvky</w:t>
            </w:r>
            <w:r w:rsidRPr="008F130B">
              <w:rPr>
                <w:spacing w:val="-4"/>
              </w:rPr>
              <w:t xml:space="preserve"> (</w:t>
            </w:r>
            <w:r>
              <w:rPr>
                <w:color w:val="0D0D0D" w:themeColor="text1" w:themeTint="F2"/>
                <w:spacing w:val="-4"/>
              </w:rPr>
              <w:t>−5,7</w:t>
            </w:r>
            <w:r w:rsidRPr="008F130B">
              <w:rPr>
                <w:color w:val="0D0D0D" w:themeColor="text1" w:themeTint="F2"/>
                <w:spacing w:val="-4"/>
              </w:rPr>
              <w:t xml:space="preserve"> %</w:t>
            </w:r>
            <w:r>
              <w:rPr>
                <w:spacing w:val="-4"/>
              </w:rPr>
              <w:t>). K tomu došlo (po skokovém navýšení výdajů v roce 2020) třetím</w:t>
            </w:r>
            <w:r w:rsidRPr="008F130B">
              <w:rPr>
                <w:spacing w:val="-4"/>
              </w:rPr>
              <w:t xml:space="preserve"> rokem v řadě.</w:t>
            </w:r>
            <w:r>
              <w:rPr>
                <w:spacing w:val="-4"/>
              </w:rPr>
              <w:t xml:space="preserve"> Z dalších podpor se zvýšily </w:t>
            </w:r>
            <w:r>
              <w:rPr>
                <w:color w:val="0D0D0D" w:themeColor="text1" w:themeTint="F2"/>
                <w:spacing w:val="-4"/>
              </w:rPr>
              <w:t>dávky sociální péče (</w:t>
            </w:r>
            <w:r w:rsidRPr="007B5490">
              <w:rPr>
                <w:color w:val="0D0D0D" w:themeColor="text1" w:themeTint="F2"/>
                <w:spacing w:val="-4"/>
              </w:rPr>
              <w:t xml:space="preserve">0,9 </w:t>
            </w:r>
            <w:r>
              <w:rPr>
                <w:spacing w:val="-4"/>
              </w:rPr>
              <w:t xml:space="preserve">%), neboť růst </w:t>
            </w:r>
            <w:r w:rsidRPr="007B5490">
              <w:rPr>
                <w:color w:val="0D0D0D" w:themeColor="text1" w:themeTint="F2"/>
                <w:spacing w:val="-4"/>
              </w:rPr>
              <w:t xml:space="preserve">objemu dávek </w:t>
            </w:r>
            <w:r>
              <w:rPr>
                <w:rFonts w:cs="Arial"/>
                <w:color w:val="0D0D0D" w:themeColor="text1" w:themeTint="F2"/>
                <w:spacing w:val="-4"/>
              </w:rPr>
              <w:t>pro zdravotně postižené (hlavně</w:t>
            </w:r>
            <w:r w:rsidRPr="007B5490">
              <w:rPr>
                <w:rFonts w:cs="Arial"/>
                <w:color w:val="0D0D0D" w:themeColor="text1" w:themeTint="F2"/>
                <w:spacing w:val="-4"/>
              </w:rPr>
              <w:t xml:space="preserve"> na mobilitu) i příspěvků na péči (pro dlouhodobě nemocné) </w:t>
            </w:r>
            <w:r>
              <w:rPr>
                <w:rFonts w:cs="Arial"/>
                <w:color w:val="0D0D0D" w:themeColor="text1" w:themeTint="F2"/>
                <w:spacing w:val="-4"/>
              </w:rPr>
              <w:t xml:space="preserve">převážil efekt poklesu u dávek pomoci v hmotné nouzi (o 10,4 %, </w:t>
            </w:r>
            <w:r>
              <w:rPr>
                <w:spacing w:val="-4"/>
              </w:rPr>
              <w:t>a</w:t>
            </w:r>
            <w:r w:rsidRPr="008F130B">
              <w:rPr>
                <w:spacing w:val="-4"/>
              </w:rPr>
              <w:t> </w:t>
            </w:r>
            <w:r>
              <w:rPr>
                <w:spacing w:val="-4"/>
              </w:rPr>
              <w:t>to</w:t>
            </w:r>
            <w:r>
              <w:rPr>
                <w:rFonts w:cs="Arial"/>
                <w:color w:val="0D0D0D" w:themeColor="text1" w:themeTint="F2"/>
                <w:spacing w:val="-4"/>
              </w:rPr>
              <w:t xml:space="preserve"> především vlivem redukce váhově významných </w:t>
            </w:r>
            <w:r>
              <w:rPr>
                <w:spacing w:val="-4"/>
              </w:rPr>
              <w:t xml:space="preserve">humanitárních dávek pro </w:t>
            </w:r>
            <w:r>
              <w:rPr>
                <w:rFonts w:cs="Arial"/>
                <w:color w:val="0D0D0D" w:themeColor="text1" w:themeTint="F2"/>
                <w:spacing w:val="-4"/>
              </w:rPr>
              <w:t xml:space="preserve">uprchlíky </w:t>
            </w:r>
            <w:r w:rsidRPr="008F130B">
              <w:rPr>
                <w:rFonts w:cs="Arial"/>
                <w:color w:val="0D0D0D" w:themeColor="text1" w:themeTint="F2"/>
                <w:spacing w:val="-4"/>
              </w:rPr>
              <w:t>z</w:t>
            </w:r>
            <w:r>
              <w:rPr>
                <w:rFonts w:cs="Arial"/>
                <w:color w:val="0D0D0D" w:themeColor="text1" w:themeTint="F2"/>
                <w:spacing w:val="-4"/>
              </w:rPr>
              <w:t> </w:t>
            </w:r>
            <w:r w:rsidRPr="008F130B">
              <w:rPr>
                <w:rFonts w:cs="Arial"/>
                <w:color w:val="0D0D0D" w:themeColor="text1" w:themeTint="F2"/>
                <w:spacing w:val="-4"/>
              </w:rPr>
              <w:t>Ukrajiny</w:t>
            </w:r>
            <w:r>
              <w:rPr>
                <w:rFonts w:cs="Arial"/>
                <w:color w:val="0D0D0D" w:themeColor="text1" w:themeTint="F2"/>
                <w:spacing w:val="-4"/>
              </w:rPr>
              <w:t>)</w:t>
            </w:r>
            <w:r>
              <w:rPr>
                <w:rStyle w:val="Znakapoznpodarou"/>
                <w:color w:val="0D0D0D" w:themeColor="text1" w:themeTint="F2"/>
                <w:spacing w:val="-4"/>
              </w:rPr>
              <w:footnoteReference w:id="125"/>
            </w:r>
            <w:r>
              <w:rPr>
                <w:rFonts w:cs="Arial"/>
                <w:color w:val="0D0D0D" w:themeColor="text1" w:themeTint="F2"/>
                <w:spacing w:val="-4"/>
              </w:rPr>
              <w:t xml:space="preserve">. Po dvou předešlých letech se letos obnovil růst výdajů na podpory </w:t>
            </w:r>
            <w:r w:rsidRPr="008671F8">
              <w:rPr>
                <w:rFonts w:cs="Arial"/>
                <w:color w:val="0D0D0D" w:themeColor="text1" w:themeTint="F2"/>
                <w:spacing w:val="-4"/>
              </w:rPr>
              <w:t>v nezaměstnanosti (6,1 %)</w:t>
            </w:r>
            <w:r w:rsidRPr="008671F8">
              <w:rPr>
                <w:rStyle w:val="Znakapoznpodarou"/>
                <w:color w:val="0D0D0D" w:themeColor="text1" w:themeTint="F2"/>
                <w:spacing w:val="-4"/>
              </w:rPr>
              <w:footnoteReference w:id="126"/>
            </w:r>
            <w:r w:rsidRPr="008671F8">
              <w:rPr>
                <w:rFonts w:cs="Arial"/>
                <w:color w:val="0D0D0D" w:themeColor="text1" w:themeTint="F2"/>
                <w:spacing w:val="-4"/>
              </w:rPr>
              <w:t>.</w:t>
            </w:r>
            <w:r w:rsidRPr="00655496">
              <w:rPr>
                <w:rFonts w:cs="Arial"/>
                <w:color w:val="0D0D0D" w:themeColor="text1" w:themeTint="F2"/>
                <w:spacing w:val="-4"/>
              </w:rPr>
              <w:t xml:space="preserve"> Výdaje na </w:t>
            </w:r>
            <w:r w:rsidRPr="00655496">
              <w:rPr>
                <w:color w:val="0D0D0D" w:themeColor="text1" w:themeTint="F2"/>
                <w:spacing w:val="-4"/>
              </w:rPr>
              <w:t>d</w:t>
            </w:r>
            <w:r>
              <w:rPr>
                <w:color w:val="0D0D0D" w:themeColor="text1" w:themeTint="F2"/>
                <w:spacing w:val="-4"/>
              </w:rPr>
              <w:t>ávky nemocenského pojištění se po období pandemie</w:t>
            </w:r>
            <w:r>
              <w:rPr>
                <w:spacing w:val="-4"/>
              </w:rPr>
              <w:t xml:space="preserve"> meziročně snížily (−4,9</w:t>
            </w:r>
            <w:r w:rsidRPr="008F130B">
              <w:rPr>
                <w:spacing w:val="-4"/>
              </w:rPr>
              <w:t> %),</w:t>
            </w:r>
            <w:r>
              <w:rPr>
                <w:spacing w:val="-4"/>
              </w:rPr>
              <w:t xml:space="preserve"> a to třetím rokem v řadě</w:t>
            </w:r>
            <w:r>
              <w:rPr>
                <w:rStyle w:val="Znakapoznpodarou"/>
                <w:spacing w:val="-4"/>
              </w:rPr>
              <w:footnoteReference w:id="127"/>
            </w:r>
            <w:r>
              <w:rPr>
                <w:spacing w:val="-4"/>
              </w:rPr>
              <w:t>. Navzdory svižnému</w:t>
            </w:r>
            <w:r w:rsidRPr="008F130B">
              <w:rPr>
                <w:spacing w:val="-4"/>
              </w:rPr>
              <w:t xml:space="preserve"> růst</w:t>
            </w:r>
            <w:r>
              <w:rPr>
                <w:spacing w:val="-4"/>
              </w:rPr>
              <w:t>u</w:t>
            </w:r>
            <w:r w:rsidRPr="008F130B">
              <w:rPr>
                <w:spacing w:val="-4"/>
              </w:rPr>
              <w:t xml:space="preserve"> vý</w:t>
            </w:r>
            <w:r>
              <w:rPr>
                <w:spacing w:val="-4"/>
              </w:rPr>
              <w:t>běru pojistného tyto dávky i</w:t>
            </w:r>
            <w:r w:rsidRPr="008F130B">
              <w:rPr>
                <w:spacing w:val="-4"/>
              </w:rPr>
              <w:t xml:space="preserve"> </w:t>
            </w:r>
            <w:r>
              <w:rPr>
                <w:spacing w:val="-4"/>
              </w:rPr>
              <w:t xml:space="preserve">letos </w:t>
            </w:r>
            <w:r w:rsidRPr="008F130B">
              <w:rPr>
                <w:spacing w:val="-4"/>
              </w:rPr>
              <w:t>přev</w:t>
            </w:r>
            <w:r>
              <w:rPr>
                <w:spacing w:val="-4"/>
              </w:rPr>
              <w:t>yšovaly příjmy z pojistného, tento schodek se nicméně meziročně zredukoval o více než polovinu (na 2,7 mld. korun).</w:t>
            </w:r>
          </w:p>
        </w:tc>
      </w:tr>
      <w:tr w:rsidR="001E1AF1" w:rsidRPr="007B3A78" w14:paraId="4ED5BE8E" w14:textId="77777777" w:rsidTr="08AB0269">
        <w:trPr>
          <w:trHeight w:val="170"/>
        </w:trPr>
        <w:tc>
          <w:tcPr>
            <w:tcW w:w="1792" w:type="dxa"/>
            <w:shd w:val="clear" w:color="auto" w:fill="auto"/>
            <w:tcMar>
              <w:left w:w="0" w:type="dxa"/>
            </w:tcMar>
          </w:tcPr>
          <w:p w14:paraId="676F1632" w14:textId="77777777" w:rsidR="001E1AF1" w:rsidRDefault="001E1AF1" w:rsidP="00D26E6B">
            <w:pPr>
              <w:pStyle w:val="Marginlie"/>
            </w:pPr>
            <w:r>
              <w:lastRenderedPageBreak/>
              <w:t xml:space="preserve">Prudký růst neinvestičních dotací podnikatelům úzce souvisel se </w:t>
            </w:r>
            <w:proofErr w:type="spellStart"/>
            <w:r>
              <w:t>zastropováním</w:t>
            </w:r>
            <w:proofErr w:type="spellEnd"/>
            <w:r>
              <w:t xml:space="preserve"> cen energií pro zákazníky.</w:t>
            </w:r>
          </w:p>
        </w:tc>
        <w:tc>
          <w:tcPr>
            <w:tcW w:w="203" w:type="dxa"/>
            <w:shd w:val="clear" w:color="auto" w:fill="auto"/>
            <w:tcMar>
              <w:left w:w="0" w:type="dxa"/>
            </w:tcMar>
          </w:tcPr>
          <w:p w14:paraId="2BB3696A" w14:textId="77777777" w:rsidR="001E1AF1" w:rsidRDefault="001E1AF1" w:rsidP="00D26E6B">
            <w:pPr>
              <w:pStyle w:val="Textpoznpodarou"/>
              <w:jc w:val="both"/>
              <w:rPr>
                <w:spacing w:val="-4"/>
              </w:rPr>
            </w:pPr>
          </w:p>
        </w:tc>
        <w:tc>
          <w:tcPr>
            <w:tcW w:w="7674" w:type="dxa"/>
            <w:shd w:val="clear" w:color="auto" w:fill="auto"/>
            <w:tcMar>
              <w:left w:w="0" w:type="dxa"/>
            </w:tcMar>
          </w:tcPr>
          <w:p w14:paraId="1CDFC002" w14:textId="77777777" w:rsidR="001E1AF1" w:rsidRDefault="001E1AF1" w:rsidP="00D26E6B">
            <w:pPr>
              <w:spacing w:after="200"/>
              <w:rPr>
                <w:color w:val="0D0D0D" w:themeColor="text1" w:themeTint="F2"/>
                <w:spacing w:val="-5"/>
              </w:rPr>
            </w:pPr>
            <w:r>
              <w:rPr>
                <w:color w:val="0D0D0D" w:themeColor="text1" w:themeTint="F2"/>
                <w:spacing w:val="-5"/>
              </w:rPr>
              <w:t xml:space="preserve">Neinvestiční dotace se meziročně zvýšily o 54,5 % a téměř dorovnaly rekordní výdaje z 1. až 3. čtvrtletí roku 2021 (106,2 mld. korun), které tehdy zásadně ovlivnila pandemie covidu-19. Letošní čerpání dotací již překonalo celoroční rozpočtovanou výši. </w:t>
            </w:r>
            <w:r>
              <w:rPr>
                <w:color w:val="0D0D0D" w:themeColor="text1" w:themeTint="F2"/>
                <w:spacing w:val="-4"/>
              </w:rPr>
              <w:t xml:space="preserve">Jsou zde zahrnuty zejména mimořádné výdaje – hlavně kompenzace za dodávky elektřiny a plynu zákazníkům a ztráty kvůli </w:t>
            </w:r>
            <w:proofErr w:type="spellStart"/>
            <w:r>
              <w:rPr>
                <w:color w:val="0D0D0D" w:themeColor="text1" w:themeTint="F2"/>
                <w:spacing w:val="-4"/>
              </w:rPr>
              <w:t>zastropování</w:t>
            </w:r>
            <w:proofErr w:type="spellEnd"/>
            <w:r>
              <w:rPr>
                <w:color w:val="0D0D0D" w:themeColor="text1" w:themeTint="F2"/>
                <w:spacing w:val="-4"/>
              </w:rPr>
              <w:t xml:space="preserve"> jejich cen (40,2 mld., korun, z toho +23,9 mld. korun připadalo na 1. čtvrtletí 2023), dále dotace provozovatelům přenosové soustavy (11,6 mld.) či pomoc firmám v energeticky náročných odvětvích (4,6 mld.). Po zmírnění objemu výše uvedené celkové pomoci s vysokými cenami energií, k níž došlo během 2. čtvrtletí, následně čerpání některých výdajů zrychlilo</w:t>
            </w:r>
            <w:r>
              <w:rPr>
                <w:rStyle w:val="Znakapoznpodarou"/>
                <w:color w:val="0D0D0D" w:themeColor="text1" w:themeTint="F2"/>
                <w:spacing w:val="-4"/>
              </w:rPr>
              <w:footnoteReference w:id="128"/>
            </w:r>
            <w:r>
              <w:rPr>
                <w:color w:val="0D0D0D" w:themeColor="text1" w:themeTint="F2"/>
                <w:spacing w:val="-4"/>
              </w:rPr>
              <w:t>. Růst transferů podnikatelů byl tlumen mírným poklesem zálohových dotací na obnovitelné zdroje energie, k úspoře došlo také u výdajů</w:t>
            </w:r>
            <w:r w:rsidRPr="00517B82">
              <w:rPr>
                <w:color w:val="0D0D0D" w:themeColor="text1" w:themeTint="F2"/>
                <w:spacing w:val="-4"/>
              </w:rPr>
              <w:t xml:space="preserve"> na řešení dopadů sou</w:t>
            </w:r>
            <w:r>
              <w:rPr>
                <w:color w:val="0D0D0D" w:themeColor="text1" w:themeTint="F2"/>
                <w:spacing w:val="-4"/>
              </w:rPr>
              <w:t>visejících s pandemií</w:t>
            </w:r>
            <w:r w:rsidRPr="00517B82">
              <w:rPr>
                <w:color w:val="0D0D0D" w:themeColor="text1" w:themeTint="F2"/>
                <w:spacing w:val="-4"/>
              </w:rPr>
              <w:t>.</w:t>
            </w:r>
          </w:p>
        </w:tc>
      </w:tr>
      <w:tr w:rsidR="001E1AF1" w:rsidRPr="007B3A78" w14:paraId="5F3C9F0A" w14:textId="77777777" w:rsidTr="08AB0269">
        <w:trPr>
          <w:trHeight w:val="170"/>
        </w:trPr>
        <w:tc>
          <w:tcPr>
            <w:tcW w:w="1792" w:type="dxa"/>
            <w:shd w:val="clear" w:color="auto" w:fill="auto"/>
            <w:tcMar>
              <w:left w:w="0" w:type="dxa"/>
            </w:tcMar>
          </w:tcPr>
          <w:p w14:paraId="78FC1F68" w14:textId="77777777" w:rsidR="001E1AF1" w:rsidRDefault="001E1AF1" w:rsidP="00D26E6B">
            <w:pPr>
              <w:pStyle w:val="Marginlie"/>
            </w:pPr>
            <w:r>
              <w:t>Na svižném růstu běžných transferů územním rozpočtům se podílely hlavně vyšší výdaje na regionální školství.</w:t>
            </w:r>
          </w:p>
          <w:p w14:paraId="7B4DC01B" w14:textId="77777777" w:rsidR="001E1AF1" w:rsidRDefault="001E1AF1" w:rsidP="00D26E6B">
            <w:pPr>
              <w:pStyle w:val="Marginlie"/>
            </w:pPr>
          </w:p>
        </w:tc>
        <w:tc>
          <w:tcPr>
            <w:tcW w:w="203" w:type="dxa"/>
            <w:shd w:val="clear" w:color="auto" w:fill="auto"/>
            <w:tcMar>
              <w:left w:w="0" w:type="dxa"/>
            </w:tcMar>
          </w:tcPr>
          <w:p w14:paraId="70CFB83A" w14:textId="77777777" w:rsidR="001E1AF1" w:rsidRDefault="001E1AF1" w:rsidP="00D26E6B">
            <w:pPr>
              <w:pStyle w:val="Textpoznpodarou"/>
              <w:jc w:val="both"/>
              <w:rPr>
                <w:spacing w:val="-4"/>
              </w:rPr>
            </w:pPr>
          </w:p>
        </w:tc>
        <w:tc>
          <w:tcPr>
            <w:tcW w:w="7674" w:type="dxa"/>
            <w:shd w:val="clear" w:color="auto" w:fill="auto"/>
            <w:tcMar>
              <w:left w:w="0" w:type="dxa"/>
            </w:tcMar>
          </w:tcPr>
          <w:p w14:paraId="6BDB82FA" w14:textId="77777777" w:rsidR="001E1AF1" w:rsidRDefault="001E1AF1" w:rsidP="00D26E6B">
            <w:pPr>
              <w:spacing w:after="200"/>
              <w:rPr>
                <w:color w:val="0D0D0D" w:themeColor="text1" w:themeTint="F2"/>
                <w:spacing w:val="-5"/>
              </w:rPr>
            </w:pPr>
            <w:r w:rsidRPr="00E865AB">
              <w:rPr>
                <w:color w:val="0D0D0D" w:themeColor="text1" w:themeTint="F2"/>
                <w:spacing w:val="-5"/>
              </w:rPr>
              <w:t xml:space="preserve">Výrazně posílily rovněž váhově významné běžné </w:t>
            </w:r>
            <w:r w:rsidRPr="00E865AB">
              <w:rPr>
                <w:color w:val="0D0D0D" w:themeColor="text1" w:themeTint="F2"/>
                <w:spacing w:val="-4"/>
              </w:rPr>
              <w:t>transfery územním rozpočtům</w:t>
            </w:r>
            <w:r>
              <w:rPr>
                <w:color w:val="0D0D0D" w:themeColor="text1" w:themeTint="F2"/>
                <w:spacing w:val="-4"/>
              </w:rPr>
              <w:t xml:space="preserve">, meziročně </w:t>
            </w:r>
            <w:r w:rsidRPr="00E865AB">
              <w:rPr>
                <w:color w:val="0D0D0D" w:themeColor="text1" w:themeTint="F2"/>
                <w:spacing w:val="-4"/>
              </w:rPr>
              <w:t xml:space="preserve">o 13,5 % (+26,6 mld. korun). </w:t>
            </w:r>
            <w:r>
              <w:rPr>
                <w:color w:val="0D0D0D" w:themeColor="text1" w:themeTint="F2"/>
                <w:spacing w:val="-4"/>
              </w:rPr>
              <w:t>Projevilo se zde posílení výdajů do oblasti regionálního školství (+10,8 mld. korun, primárně na navýšení platových tarifů pedagogů i ostatních pracovníků</w:t>
            </w:r>
            <w:r>
              <w:rPr>
                <w:rStyle w:val="Znakapoznpodarou"/>
                <w:color w:val="0D0D0D" w:themeColor="text1" w:themeTint="F2"/>
                <w:spacing w:val="-4"/>
              </w:rPr>
              <w:footnoteReference w:id="129"/>
            </w:r>
            <w:r>
              <w:rPr>
                <w:color w:val="0D0D0D" w:themeColor="text1" w:themeTint="F2"/>
                <w:spacing w:val="-4"/>
              </w:rPr>
              <w:t xml:space="preserve">), sociálních služeb či na kompenzační příspěvek na ubytování uprchlíků z Ukrajiny. Rostly i výdaje na spolufinancování programů v oblasti vzdělávání, podpořených z rozpočtu EU. SR výrazně zatížily také očekávané </w:t>
            </w:r>
            <w:r w:rsidRPr="00E865AB">
              <w:rPr>
                <w:color w:val="0D0D0D" w:themeColor="text1" w:themeTint="F2"/>
                <w:spacing w:val="-4"/>
              </w:rPr>
              <w:t>výdaje na obsluhu státního dluhu</w:t>
            </w:r>
            <w:r>
              <w:rPr>
                <w:color w:val="0D0D0D" w:themeColor="text1" w:themeTint="F2"/>
                <w:spacing w:val="-4"/>
              </w:rPr>
              <w:t>,</w:t>
            </w:r>
            <w:r w:rsidRPr="00E865AB">
              <w:rPr>
                <w:color w:val="0D0D0D" w:themeColor="text1" w:themeTint="F2"/>
                <w:spacing w:val="-4"/>
              </w:rPr>
              <w:t xml:space="preserve"> </w:t>
            </w:r>
            <w:r>
              <w:rPr>
                <w:color w:val="0D0D0D" w:themeColor="text1" w:themeTint="F2"/>
                <w:spacing w:val="-4"/>
              </w:rPr>
              <w:t>jež meziročně vzrostly o čtvrtinu (+8,2 mld. korun)</w:t>
            </w:r>
            <w:r>
              <w:rPr>
                <w:rStyle w:val="Znakapoznpodarou"/>
                <w:spacing w:val="-4"/>
              </w:rPr>
              <w:footnoteReference w:id="130"/>
            </w:r>
            <w:r>
              <w:rPr>
                <w:color w:val="0D0D0D" w:themeColor="text1" w:themeTint="F2"/>
                <w:spacing w:val="-4"/>
              </w:rPr>
              <w:t xml:space="preserve">. O necelou desetinu více (+9 mld. korun) vydal SR </w:t>
            </w:r>
            <w:r w:rsidRPr="00966A90">
              <w:rPr>
                <w:color w:val="0D0D0D" w:themeColor="text1" w:themeTint="F2"/>
                <w:spacing w:val="-4"/>
              </w:rPr>
              <w:t>na platy v organizačních složkách stát</w:t>
            </w:r>
            <w:r>
              <w:rPr>
                <w:color w:val="0D0D0D" w:themeColor="text1" w:themeTint="F2"/>
                <w:spacing w:val="-4"/>
              </w:rPr>
              <w:t>u</w:t>
            </w:r>
            <w:r w:rsidRPr="00966A90">
              <w:rPr>
                <w:color w:val="0D0D0D" w:themeColor="text1" w:themeTint="F2"/>
                <w:spacing w:val="-4"/>
              </w:rPr>
              <w:t xml:space="preserve">. </w:t>
            </w:r>
            <w:r>
              <w:rPr>
                <w:color w:val="0D0D0D" w:themeColor="text1" w:themeTint="F2"/>
                <w:spacing w:val="-4"/>
              </w:rPr>
              <w:t>To souviselo s lednovým navýšením platových tarifů příslušníků bezpečnostních sborů a vojáků a loňským zářijovým navýšením u zaměstnanců ve státní službě. Po zmrazení během pandemie se navíc rovněž citelně zvýšily výdaje na platy ústavních činitelů.</w:t>
            </w:r>
          </w:p>
        </w:tc>
      </w:tr>
      <w:tr w:rsidR="001E1AF1" w:rsidRPr="007B3A78" w14:paraId="4C5CA63D" w14:textId="77777777" w:rsidTr="08AB0269">
        <w:trPr>
          <w:trHeight w:val="170"/>
        </w:trPr>
        <w:tc>
          <w:tcPr>
            <w:tcW w:w="1792" w:type="dxa"/>
            <w:shd w:val="clear" w:color="auto" w:fill="auto"/>
            <w:tcMar>
              <w:left w:w="0" w:type="dxa"/>
            </w:tcMar>
          </w:tcPr>
          <w:p w14:paraId="33AE23F7" w14:textId="77777777" w:rsidR="001E1AF1" w:rsidRDefault="001E1AF1" w:rsidP="00D26E6B">
            <w:pPr>
              <w:pStyle w:val="Marginlie"/>
            </w:pPr>
            <w:r>
              <w:lastRenderedPageBreak/>
              <w:t>Pokles čerpání na neinvestiční nákupy předčil rozpočtové očekávání.</w:t>
            </w:r>
          </w:p>
        </w:tc>
        <w:tc>
          <w:tcPr>
            <w:tcW w:w="203" w:type="dxa"/>
            <w:shd w:val="clear" w:color="auto" w:fill="auto"/>
            <w:tcMar>
              <w:left w:w="0" w:type="dxa"/>
            </w:tcMar>
          </w:tcPr>
          <w:p w14:paraId="3AA692B2" w14:textId="77777777" w:rsidR="001E1AF1" w:rsidRDefault="001E1AF1" w:rsidP="00D26E6B">
            <w:pPr>
              <w:pStyle w:val="Textpoznpodarou"/>
              <w:jc w:val="both"/>
              <w:rPr>
                <w:spacing w:val="-4"/>
              </w:rPr>
            </w:pPr>
          </w:p>
        </w:tc>
        <w:tc>
          <w:tcPr>
            <w:tcW w:w="7674" w:type="dxa"/>
            <w:shd w:val="clear" w:color="auto" w:fill="auto"/>
            <w:tcMar>
              <w:left w:w="0" w:type="dxa"/>
            </w:tcMar>
          </w:tcPr>
          <w:p w14:paraId="235699F2" w14:textId="77777777" w:rsidR="001E1AF1" w:rsidRDefault="001E1AF1" w:rsidP="00D26E6B">
            <w:pPr>
              <w:spacing w:after="200"/>
              <w:rPr>
                <w:color w:val="0D0D0D" w:themeColor="text1" w:themeTint="F2"/>
                <w:spacing w:val="-5"/>
              </w:rPr>
            </w:pPr>
            <w:r w:rsidRPr="00966A90">
              <w:rPr>
                <w:color w:val="0D0D0D" w:themeColor="text1" w:themeTint="F2"/>
                <w:spacing w:val="-5"/>
              </w:rPr>
              <w:t>R</w:t>
            </w:r>
            <w:r w:rsidRPr="00966A90">
              <w:rPr>
                <w:color w:val="0D0D0D" w:themeColor="text1" w:themeTint="F2"/>
                <w:spacing w:val="-4"/>
              </w:rPr>
              <w:t xml:space="preserve">ůst běžných výdajů SR tlumily </w:t>
            </w:r>
            <w:r>
              <w:rPr>
                <w:color w:val="0D0D0D" w:themeColor="text1" w:themeTint="F2"/>
                <w:spacing w:val="-4"/>
              </w:rPr>
              <w:t>hlavně</w:t>
            </w:r>
            <w:r w:rsidRPr="00966A90">
              <w:rPr>
                <w:color w:val="0D0D0D" w:themeColor="text1" w:themeTint="F2"/>
                <w:spacing w:val="-4"/>
              </w:rPr>
              <w:t xml:space="preserve"> neinvestiční nákupy, </w:t>
            </w:r>
            <w:r>
              <w:rPr>
                <w:color w:val="0D0D0D" w:themeColor="text1" w:themeTint="F2"/>
                <w:spacing w:val="-4"/>
              </w:rPr>
              <w:t xml:space="preserve">jejichž meziroční pokles </w:t>
            </w:r>
            <w:r>
              <w:rPr>
                <w:color w:val="0D0D0D" w:themeColor="text1" w:themeTint="F2"/>
                <w:spacing w:val="-4"/>
              </w:rPr>
              <w:br/>
              <w:t>(o</w:t>
            </w:r>
            <w:r w:rsidRPr="00966A90">
              <w:rPr>
                <w:color w:val="0D0D0D" w:themeColor="text1" w:themeTint="F2"/>
                <w:spacing w:val="-4"/>
              </w:rPr>
              <w:t> </w:t>
            </w:r>
            <w:r>
              <w:rPr>
                <w:color w:val="0D0D0D" w:themeColor="text1" w:themeTint="F2"/>
                <w:spacing w:val="-4"/>
              </w:rPr>
              <w:t xml:space="preserve"> 18</w:t>
            </w:r>
            <w:r w:rsidRPr="00966A90">
              <w:rPr>
                <w:color w:val="0D0D0D" w:themeColor="text1" w:themeTint="F2"/>
                <w:spacing w:val="-4"/>
              </w:rPr>
              <w:t> </w:t>
            </w:r>
            <w:r>
              <w:rPr>
                <w:color w:val="0D0D0D" w:themeColor="text1" w:themeTint="F2"/>
                <w:spacing w:val="-4"/>
              </w:rPr>
              <w:t>%) zatím předčil rozpočtové očekávání. Úspory se týkaly hlavně výdajů</w:t>
            </w:r>
            <w:r w:rsidRPr="00966A90">
              <w:rPr>
                <w:color w:val="0D0D0D" w:themeColor="text1" w:themeTint="F2"/>
                <w:spacing w:val="-4"/>
              </w:rPr>
              <w:t xml:space="preserve"> na pořízení vakcín (</w:t>
            </w:r>
            <w:r>
              <w:rPr>
                <w:color w:val="0D0D0D" w:themeColor="text1" w:themeTint="F2"/>
                <w:spacing w:val="-4"/>
              </w:rPr>
              <w:t>−</w:t>
            </w:r>
            <w:r w:rsidRPr="00966A90">
              <w:rPr>
                <w:color w:val="0D0D0D" w:themeColor="text1" w:themeTint="F2"/>
                <w:spacing w:val="-4"/>
              </w:rPr>
              <w:t>5,1 mld. Kč) či oblast</w:t>
            </w:r>
            <w:r>
              <w:rPr>
                <w:color w:val="0D0D0D" w:themeColor="text1" w:themeTint="F2"/>
                <w:spacing w:val="-4"/>
              </w:rPr>
              <w:t>i</w:t>
            </w:r>
            <w:r w:rsidRPr="00966A90">
              <w:rPr>
                <w:color w:val="0D0D0D" w:themeColor="text1" w:themeTint="F2"/>
                <w:spacing w:val="-4"/>
              </w:rPr>
              <w:t xml:space="preserve"> státních hmotných rezerv (</w:t>
            </w:r>
            <w:r>
              <w:rPr>
                <w:color w:val="0D0D0D" w:themeColor="text1" w:themeTint="F2"/>
                <w:spacing w:val="-4"/>
              </w:rPr>
              <w:t>−</w:t>
            </w:r>
            <w:r w:rsidRPr="00966A90">
              <w:rPr>
                <w:color w:val="0D0D0D" w:themeColor="text1" w:themeTint="F2"/>
                <w:spacing w:val="-4"/>
              </w:rPr>
              <w:t>5,9 mld. Kč), u nichž došlo loni k vyšším nákupům plynu. N</w:t>
            </w:r>
            <w:r w:rsidRPr="00966A90">
              <w:rPr>
                <w:color w:val="0D0D0D" w:themeColor="text1" w:themeTint="F2"/>
              </w:rPr>
              <w:t>a druhou stranu silný cenový růst stále prodražoval některé běžné provozní výdaje (</w:t>
            </w:r>
            <w:r w:rsidRPr="00966A90">
              <w:rPr>
                <w:color w:val="0D0D0D" w:themeColor="text1" w:themeTint="F2"/>
                <w:spacing w:val="-4"/>
              </w:rPr>
              <w:t>např. u nákupů vody, paliv, energií či služeb).</w:t>
            </w:r>
          </w:p>
        </w:tc>
      </w:tr>
      <w:tr w:rsidR="001E1AF1" w:rsidRPr="00F704D2" w14:paraId="41A166B8" w14:textId="77777777" w:rsidTr="08AB0269">
        <w:trPr>
          <w:trHeight w:val="170"/>
        </w:trPr>
        <w:tc>
          <w:tcPr>
            <w:tcW w:w="1792" w:type="dxa"/>
            <w:vMerge w:val="restart"/>
            <w:shd w:val="clear" w:color="auto" w:fill="auto"/>
            <w:tcMar>
              <w:left w:w="0" w:type="dxa"/>
            </w:tcMar>
          </w:tcPr>
          <w:p w14:paraId="19625D63" w14:textId="77777777" w:rsidR="001E1AF1" w:rsidRDefault="001E1AF1" w:rsidP="00D26E6B">
            <w:pPr>
              <w:pStyle w:val="Marginlie"/>
            </w:pPr>
          </w:p>
        </w:tc>
        <w:tc>
          <w:tcPr>
            <w:tcW w:w="203" w:type="dxa"/>
            <w:vMerge w:val="restart"/>
            <w:shd w:val="clear" w:color="auto" w:fill="auto"/>
            <w:tcMar>
              <w:left w:w="0" w:type="dxa"/>
            </w:tcMar>
          </w:tcPr>
          <w:p w14:paraId="6DA54FAA" w14:textId="77777777" w:rsidR="001E1AF1" w:rsidRDefault="001E1AF1" w:rsidP="00D26E6B">
            <w:pPr>
              <w:pStyle w:val="Textpoznpodarou"/>
              <w:jc w:val="both"/>
              <w:rPr>
                <w:spacing w:val="-4"/>
              </w:rPr>
            </w:pPr>
          </w:p>
        </w:tc>
        <w:tc>
          <w:tcPr>
            <w:tcW w:w="7674" w:type="dxa"/>
            <w:shd w:val="clear" w:color="auto" w:fill="auto"/>
            <w:tcMar>
              <w:left w:w="0" w:type="dxa"/>
            </w:tcMar>
          </w:tcPr>
          <w:p w14:paraId="79EE2F81" w14:textId="77777777" w:rsidR="001E1AF1" w:rsidRPr="00E63A41" w:rsidRDefault="001E1AF1" w:rsidP="00D26E6B">
            <w:pPr>
              <w:spacing w:after="20" w:line="240" w:lineRule="auto"/>
              <w:jc w:val="left"/>
              <w:rPr>
                <w:rFonts w:cs="Arial"/>
                <w:bCs/>
              </w:rPr>
            </w:pPr>
            <w:r w:rsidRPr="00E63A41">
              <w:rPr>
                <w:b/>
              </w:rPr>
              <w:t xml:space="preserve">Graf č. 19 </w:t>
            </w:r>
            <w:r w:rsidRPr="00E63A41">
              <w:rPr>
                <w:rFonts w:cs="Arial"/>
                <w:b/>
                <w:bCs/>
              </w:rPr>
              <w:t>Vybrané výdaje státního rozpočtu</w:t>
            </w:r>
            <w:r>
              <w:rPr>
                <w:rFonts w:cs="Arial"/>
                <w:b/>
                <w:bCs/>
              </w:rPr>
              <w:t xml:space="preserve"> </w:t>
            </w:r>
            <w:r w:rsidRPr="00E63A41">
              <w:rPr>
                <w:rFonts w:cs="Arial"/>
                <w:bCs/>
              </w:rPr>
              <w:t>(kumulace za 1. až 3. čtvrtletí, v mld. korun)</w:t>
            </w:r>
          </w:p>
        </w:tc>
      </w:tr>
      <w:tr w:rsidR="001E1AF1" w14:paraId="54964723" w14:textId="77777777" w:rsidTr="08AB0269">
        <w:tblPrEx>
          <w:tblCellMar>
            <w:left w:w="70" w:type="dxa"/>
            <w:right w:w="70" w:type="dxa"/>
          </w:tblCellMar>
        </w:tblPrEx>
        <w:trPr>
          <w:trHeight w:val="170"/>
        </w:trPr>
        <w:tc>
          <w:tcPr>
            <w:tcW w:w="1792" w:type="dxa"/>
            <w:vMerge/>
          </w:tcPr>
          <w:p w14:paraId="67EE6840" w14:textId="77777777" w:rsidR="001E1AF1" w:rsidRDefault="001E1AF1" w:rsidP="00D26E6B">
            <w:pPr>
              <w:pStyle w:val="Marginlie"/>
            </w:pPr>
          </w:p>
        </w:tc>
        <w:tc>
          <w:tcPr>
            <w:tcW w:w="203" w:type="dxa"/>
            <w:vMerge/>
          </w:tcPr>
          <w:p w14:paraId="40223D0F" w14:textId="77777777" w:rsidR="001E1AF1" w:rsidRDefault="001E1AF1" w:rsidP="00D26E6B">
            <w:pPr>
              <w:pStyle w:val="Textpoznpodarou"/>
              <w:jc w:val="both"/>
              <w:rPr>
                <w:spacing w:val="-4"/>
              </w:rPr>
            </w:pPr>
          </w:p>
        </w:tc>
        <w:tc>
          <w:tcPr>
            <w:tcW w:w="7674" w:type="dxa"/>
            <w:shd w:val="clear" w:color="auto" w:fill="auto"/>
          </w:tcPr>
          <w:p w14:paraId="7C8D522B" w14:textId="77777777" w:rsidR="001E1AF1" w:rsidRPr="0067514E" w:rsidRDefault="001E1AF1" w:rsidP="00D26E6B">
            <w:pPr>
              <w:spacing w:after="0"/>
              <w:rPr>
                <w:spacing w:val="-6"/>
              </w:rPr>
            </w:pPr>
            <w:r>
              <w:rPr>
                <w:noProof/>
              </w:rPr>
              <w:drawing>
                <wp:inline distT="0" distB="0" distL="0" distR="0" wp14:anchorId="3370EFB9" wp14:editId="0EA9636D">
                  <wp:extent cx="4720355" cy="3401149"/>
                  <wp:effectExtent l="0" t="0" r="4445" b="889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1E1AF1" w:rsidRPr="00343AC1" w14:paraId="37EA08AF" w14:textId="77777777" w:rsidTr="08AB0269">
        <w:trPr>
          <w:trHeight w:val="170"/>
        </w:trPr>
        <w:tc>
          <w:tcPr>
            <w:tcW w:w="1792" w:type="dxa"/>
            <w:vMerge/>
            <w:tcMar>
              <w:left w:w="0" w:type="dxa"/>
            </w:tcMar>
          </w:tcPr>
          <w:p w14:paraId="2433EBF3" w14:textId="77777777" w:rsidR="001E1AF1" w:rsidRDefault="001E1AF1" w:rsidP="00D26E6B">
            <w:pPr>
              <w:pStyle w:val="Marginlie"/>
            </w:pPr>
          </w:p>
        </w:tc>
        <w:tc>
          <w:tcPr>
            <w:tcW w:w="203" w:type="dxa"/>
            <w:vMerge/>
            <w:tcMar>
              <w:left w:w="0" w:type="dxa"/>
            </w:tcMar>
          </w:tcPr>
          <w:p w14:paraId="76EF81C5" w14:textId="77777777" w:rsidR="001E1AF1" w:rsidRDefault="001E1AF1" w:rsidP="00D26E6B">
            <w:pPr>
              <w:pStyle w:val="Textpoznpodarou"/>
              <w:jc w:val="both"/>
              <w:rPr>
                <w:spacing w:val="-4"/>
              </w:rPr>
            </w:pPr>
          </w:p>
        </w:tc>
        <w:tc>
          <w:tcPr>
            <w:tcW w:w="7674" w:type="dxa"/>
            <w:shd w:val="clear" w:color="auto" w:fill="auto"/>
            <w:tcMar>
              <w:left w:w="0" w:type="dxa"/>
            </w:tcMar>
          </w:tcPr>
          <w:p w14:paraId="5D52611E" w14:textId="77777777" w:rsidR="001E1AF1" w:rsidRPr="008F2BE2" w:rsidRDefault="001E1AF1" w:rsidP="00D26E6B">
            <w:pPr>
              <w:pStyle w:val="Textpoznpodarou"/>
              <w:rPr>
                <w:spacing w:val="-4"/>
                <w:sz w:val="14"/>
                <w:szCs w:val="14"/>
              </w:rPr>
            </w:pPr>
            <w:r w:rsidRPr="008F2BE2">
              <w:rPr>
                <w:spacing w:val="-4"/>
                <w:sz w:val="14"/>
                <w:szCs w:val="14"/>
              </w:rPr>
              <w:t>*Pokrývají výdaje na platy v organizačních složkách státu. Nezahrnují například mzdové výdaje na regionální školství.</w:t>
            </w:r>
          </w:p>
          <w:p w14:paraId="3C64B429" w14:textId="77777777" w:rsidR="001E1AF1" w:rsidRPr="008F2BE2" w:rsidRDefault="001E1AF1" w:rsidP="00D26E6B">
            <w:pPr>
              <w:pStyle w:val="Textpoznpodarou"/>
              <w:rPr>
                <w:spacing w:val="-4"/>
                <w:sz w:val="14"/>
                <w:szCs w:val="14"/>
              </w:rPr>
            </w:pPr>
            <w:r w:rsidRPr="008F2BE2">
              <w:rPr>
                <w:spacing w:val="-4"/>
                <w:sz w:val="14"/>
                <w:szCs w:val="14"/>
              </w:rPr>
              <w:t>**Zahrnuje i dávky pěstounské péče.</w:t>
            </w:r>
            <w:r>
              <w:rPr>
                <w:spacing w:val="-4"/>
                <w:sz w:val="14"/>
                <w:szCs w:val="14"/>
              </w:rPr>
              <w:t xml:space="preserve">   *</w:t>
            </w:r>
            <w:r w:rsidRPr="008F2BE2">
              <w:rPr>
                <w:spacing w:val="-4"/>
                <w:sz w:val="14"/>
                <w:szCs w:val="14"/>
              </w:rPr>
              <w:t>**Zahrnují dávky pomoci v hmotné nouzi, dávky osobám se zdravotním postižením, příspěvek na péči dle zákona o soc. službách.</w:t>
            </w:r>
            <w:r>
              <w:rPr>
                <w:spacing w:val="-4"/>
                <w:sz w:val="14"/>
                <w:szCs w:val="14"/>
              </w:rPr>
              <w:t xml:space="preserve"> Jsou zde obsaženy i dávky </w:t>
            </w:r>
            <w:r w:rsidRPr="00FB6649">
              <w:rPr>
                <w:spacing w:val="-4"/>
                <w:sz w:val="14"/>
                <w:szCs w:val="14"/>
              </w:rPr>
              <w:t>humanitární pomoc</w:t>
            </w:r>
            <w:r>
              <w:rPr>
                <w:spacing w:val="-4"/>
                <w:sz w:val="14"/>
                <w:szCs w:val="14"/>
              </w:rPr>
              <w:t>i poskytnuté občanům Ukrajiny.</w:t>
            </w:r>
          </w:p>
          <w:p w14:paraId="7E6050D2" w14:textId="77777777" w:rsidR="001E1AF1" w:rsidRDefault="001E1AF1" w:rsidP="00D26E6B">
            <w:pPr>
              <w:pStyle w:val="Textpoznpodarou"/>
              <w:rPr>
                <w:spacing w:val="-4"/>
                <w:sz w:val="14"/>
                <w:szCs w:val="14"/>
              </w:rPr>
            </w:pPr>
            <w:r w:rsidRPr="008F2BE2">
              <w:rPr>
                <w:spacing w:val="-4"/>
                <w:sz w:val="14"/>
                <w:szCs w:val="14"/>
              </w:rPr>
              <w:t>****Obsahují zejména výdaje na nákup služeb, materiálu, energií či ostatních služeb (například výdaje na opravy a udržování).</w:t>
            </w:r>
          </w:p>
          <w:p w14:paraId="500996E0" w14:textId="77777777" w:rsidR="001E1AF1" w:rsidRDefault="001E1AF1" w:rsidP="00D26E6B">
            <w:pPr>
              <w:pStyle w:val="Textpoznpodarou"/>
              <w:rPr>
                <w:spacing w:val="-4"/>
                <w:sz w:val="14"/>
                <w:szCs w:val="14"/>
              </w:rPr>
            </w:pPr>
            <w:r>
              <w:rPr>
                <w:spacing w:val="-4"/>
                <w:sz w:val="14"/>
                <w:szCs w:val="14"/>
              </w:rPr>
              <w:t>***** Odpovídá saldu rozpočtové kapitoly Státní dluh.</w:t>
            </w:r>
          </w:p>
          <w:p w14:paraId="1AEE02B1" w14:textId="77777777" w:rsidR="001E1AF1" w:rsidRPr="00D94406" w:rsidRDefault="001E1AF1" w:rsidP="00D26E6B">
            <w:pPr>
              <w:pStyle w:val="Textpoznpodarou"/>
              <w:spacing w:after="160"/>
              <w:rPr>
                <w:sz w:val="16"/>
                <w:szCs w:val="16"/>
              </w:rPr>
            </w:pPr>
            <w:r w:rsidRPr="000F45E7">
              <w:rPr>
                <w:spacing w:val="-4"/>
                <w:sz w:val="14"/>
                <w:szCs w:val="14"/>
              </w:rPr>
              <w:t>Zdroj: MF ČR, MPSV</w:t>
            </w:r>
          </w:p>
        </w:tc>
      </w:tr>
    </w:tbl>
    <w:p w14:paraId="285BE6E2" w14:textId="77777777" w:rsidR="001E1AF1" w:rsidRDefault="001E1AF1" w:rsidP="001E1AF1">
      <w:pPr>
        <w:pStyle w:val="Nadpis11"/>
        <w:rPr>
          <w:b w:val="0"/>
          <w:sz w:val="2"/>
          <w:szCs w:val="2"/>
        </w:rPr>
      </w:pPr>
    </w:p>
    <w:tbl>
      <w:tblPr>
        <w:tblW w:w="9669" w:type="dxa"/>
        <w:tblInd w:w="-20" w:type="dxa"/>
        <w:tblCellMar>
          <w:left w:w="0" w:type="dxa"/>
          <w:right w:w="0" w:type="dxa"/>
        </w:tblCellMar>
        <w:tblLook w:val="00A0" w:firstRow="1" w:lastRow="0" w:firstColumn="1" w:lastColumn="0" w:noHBand="0" w:noVBand="0"/>
      </w:tblPr>
      <w:tblGrid>
        <w:gridCol w:w="1718"/>
        <w:gridCol w:w="210"/>
        <w:gridCol w:w="7741"/>
      </w:tblGrid>
      <w:tr w:rsidR="001E1AF1" w:rsidRPr="004B2C92" w14:paraId="0F46DEBE" w14:textId="77777777" w:rsidTr="08AB0269">
        <w:trPr>
          <w:trHeight w:val="145"/>
        </w:trPr>
        <w:tc>
          <w:tcPr>
            <w:tcW w:w="1718" w:type="dxa"/>
            <w:shd w:val="clear" w:color="auto" w:fill="auto"/>
            <w:tcMar>
              <w:left w:w="0" w:type="dxa"/>
            </w:tcMar>
          </w:tcPr>
          <w:p w14:paraId="68B5469D" w14:textId="77777777" w:rsidR="001E1AF1" w:rsidRDefault="001E1AF1" w:rsidP="00D26E6B">
            <w:pPr>
              <w:pStyle w:val="Marginlie"/>
            </w:pPr>
            <w:r>
              <w:t xml:space="preserve">Ke svižnému růstu investic přispěly výdaje na životní prostředí, obranu a bezpečnost. </w:t>
            </w:r>
          </w:p>
          <w:p w14:paraId="0D62DF10" w14:textId="77777777" w:rsidR="001E1AF1" w:rsidRDefault="001E1AF1" w:rsidP="00D26E6B">
            <w:pPr>
              <w:pStyle w:val="Marginlie"/>
            </w:pPr>
          </w:p>
          <w:p w14:paraId="25141D1D" w14:textId="77777777" w:rsidR="001E1AF1" w:rsidRDefault="001E1AF1" w:rsidP="00D26E6B">
            <w:pPr>
              <w:pStyle w:val="Marginlie"/>
            </w:pPr>
          </w:p>
          <w:p w14:paraId="0FADB323" w14:textId="77777777" w:rsidR="001E1AF1" w:rsidRDefault="001E1AF1" w:rsidP="00D26E6B">
            <w:pPr>
              <w:pStyle w:val="Marginlie"/>
            </w:pPr>
          </w:p>
          <w:p w14:paraId="15BDF1C7" w14:textId="77777777" w:rsidR="001E1AF1" w:rsidRDefault="001E1AF1" w:rsidP="00D26E6B">
            <w:pPr>
              <w:pStyle w:val="Marginlie"/>
            </w:pPr>
          </w:p>
          <w:p w14:paraId="32F10B47" w14:textId="77777777" w:rsidR="001E1AF1" w:rsidRDefault="001E1AF1" w:rsidP="00D26E6B">
            <w:pPr>
              <w:pStyle w:val="Marginlie"/>
            </w:pPr>
          </w:p>
          <w:p w14:paraId="644A6E2B" w14:textId="77777777" w:rsidR="001E1AF1" w:rsidRDefault="001E1AF1" w:rsidP="00D26E6B">
            <w:pPr>
              <w:pStyle w:val="Marginlie"/>
            </w:pPr>
          </w:p>
          <w:p w14:paraId="16715D7C" w14:textId="77777777" w:rsidR="001E1AF1" w:rsidRPr="005B591B" w:rsidRDefault="001E1AF1" w:rsidP="00D26E6B">
            <w:pPr>
              <w:pStyle w:val="Marginlie"/>
            </w:pPr>
            <w:r>
              <w:t>Podíl investic na celkových výdajích SR byl nejvyšší za posledních osm let.</w:t>
            </w:r>
          </w:p>
        </w:tc>
        <w:tc>
          <w:tcPr>
            <w:tcW w:w="210" w:type="dxa"/>
            <w:shd w:val="clear" w:color="auto" w:fill="auto"/>
            <w:tcMar>
              <w:left w:w="0" w:type="dxa"/>
            </w:tcMar>
          </w:tcPr>
          <w:p w14:paraId="161C2D2D" w14:textId="77777777" w:rsidR="001E1AF1" w:rsidRDefault="001E1AF1" w:rsidP="00D26E6B">
            <w:pPr>
              <w:pStyle w:val="Textpoznpodarou"/>
              <w:jc w:val="both"/>
              <w:rPr>
                <w:spacing w:val="-4"/>
              </w:rPr>
            </w:pPr>
          </w:p>
        </w:tc>
        <w:tc>
          <w:tcPr>
            <w:tcW w:w="7741" w:type="dxa"/>
            <w:shd w:val="clear" w:color="auto" w:fill="auto"/>
            <w:tcMar>
              <w:left w:w="0" w:type="dxa"/>
            </w:tcMar>
          </w:tcPr>
          <w:p w14:paraId="51FDC3A1" w14:textId="77777777" w:rsidR="001E1AF1" w:rsidRPr="00094150" w:rsidRDefault="001E1AF1" w:rsidP="00D26E6B">
            <w:pPr>
              <w:spacing w:after="200"/>
              <w:rPr>
                <w:color w:val="0D0D0D" w:themeColor="text1" w:themeTint="F2"/>
                <w:spacing w:val="-4"/>
              </w:rPr>
            </w:pPr>
            <w:r>
              <w:rPr>
                <w:color w:val="0D0D0D" w:themeColor="text1" w:themeTint="F2"/>
                <w:spacing w:val="-2"/>
              </w:rPr>
              <w:t>Tempo růstu výdajů na investice ze SR zrychlovalo. Za tři čtvrtletí bylo čerpáno meziročně o 18,9 % více (+21,3 mld. korun). Byly tak proinvestovány již bezmála dvě třetiny z celoroční plánované výše</w:t>
            </w:r>
            <w:r>
              <w:rPr>
                <w:rStyle w:val="Znakapoznpodarou"/>
                <w:color w:val="0D0D0D" w:themeColor="text1" w:themeTint="F2"/>
                <w:spacing w:val="-2"/>
              </w:rPr>
              <w:footnoteReference w:id="131"/>
            </w:r>
            <w:r>
              <w:rPr>
                <w:color w:val="0D0D0D" w:themeColor="text1" w:themeTint="F2"/>
                <w:spacing w:val="-2"/>
              </w:rPr>
              <w:t>. Polovina z dosud letos čerpaných investic byla alokována výhradně do oblastí financovaných z národních zdrojů, na projekty realizované prostřednictvím společných programů ČR z EU pak směřovalo 67,6 mld. korun. Největší objem investic putoval</w:t>
            </w:r>
            <w:r w:rsidRPr="00B72898">
              <w:rPr>
                <w:color w:val="0D0D0D" w:themeColor="text1" w:themeTint="F2"/>
                <w:spacing w:val="-2"/>
              </w:rPr>
              <w:t xml:space="preserve"> tradičně na ob</w:t>
            </w:r>
            <w:r>
              <w:rPr>
                <w:color w:val="0D0D0D" w:themeColor="text1" w:themeTint="F2"/>
                <w:spacing w:val="-2"/>
              </w:rPr>
              <w:t>last dopravní infrastruktury (44,5 mld. korun), meziročně zde však došlo k poklesu (když byl posílen princip vícezdrojového financování).</w:t>
            </w:r>
            <w:r w:rsidRPr="00B72898">
              <w:rPr>
                <w:color w:val="0D0D0D" w:themeColor="text1" w:themeTint="F2"/>
                <w:spacing w:val="-2"/>
              </w:rPr>
              <w:t xml:space="preserve"> V</w:t>
            </w:r>
            <w:r>
              <w:rPr>
                <w:color w:val="0D0D0D" w:themeColor="text1" w:themeTint="F2"/>
                <w:spacing w:val="-2"/>
              </w:rPr>
              <w:t>zrostly</w:t>
            </w:r>
            <w:r w:rsidRPr="00B72898">
              <w:rPr>
                <w:color w:val="0D0D0D" w:themeColor="text1" w:themeTint="F2"/>
                <w:spacing w:val="-2"/>
              </w:rPr>
              <w:t xml:space="preserve"> </w:t>
            </w:r>
            <w:r>
              <w:rPr>
                <w:color w:val="0D0D0D" w:themeColor="text1" w:themeTint="F2"/>
                <w:spacing w:val="-2"/>
              </w:rPr>
              <w:t xml:space="preserve">naopak </w:t>
            </w:r>
            <w:r w:rsidRPr="00B72898">
              <w:rPr>
                <w:color w:val="0D0D0D" w:themeColor="text1" w:themeTint="F2"/>
                <w:spacing w:val="-2"/>
              </w:rPr>
              <w:t>výdaje d</w:t>
            </w:r>
            <w:r>
              <w:rPr>
                <w:color w:val="0D0D0D" w:themeColor="text1" w:themeTint="F2"/>
                <w:spacing w:val="-2"/>
              </w:rPr>
              <w:t xml:space="preserve">o oblasti životního prostředí, </w:t>
            </w:r>
            <w:r w:rsidRPr="00B72898">
              <w:rPr>
                <w:color w:val="0D0D0D" w:themeColor="text1" w:themeTint="F2"/>
                <w:spacing w:val="-2"/>
              </w:rPr>
              <w:t>z velké části směřované na realizaci programu Nová zelená úsporám v rámci Národního plánu obnovy (+4,6 mld. korun)</w:t>
            </w:r>
            <w:r>
              <w:rPr>
                <w:color w:val="0D0D0D" w:themeColor="text1" w:themeTint="F2"/>
                <w:spacing w:val="-2"/>
              </w:rPr>
              <w:t>. Více bylo alokováno též na projekty</w:t>
            </w:r>
            <w:r w:rsidRPr="00B72898">
              <w:rPr>
                <w:color w:val="0D0D0D" w:themeColor="text1" w:themeTint="F2"/>
                <w:spacing w:val="-2"/>
              </w:rPr>
              <w:t xml:space="preserve"> v rámci Operačního programu Podnikání a inovace pro konkurenceschopnost 2014+ či Integrovaného regionálního</w:t>
            </w:r>
            <w:r>
              <w:rPr>
                <w:color w:val="0D0D0D" w:themeColor="text1" w:themeTint="F2"/>
                <w:spacing w:val="-4"/>
              </w:rPr>
              <w:t xml:space="preserve"> operačního programu 2014+</w:t>
            </w:r>
            <w:r w:rsidRPr="00F545A1">
              <w:rPr>
                <w:color w:val="0D0D0D" w:themeColor="text1" w:themeTint="F2"/>
                <w:spacing w:val="-4"/>
              </w:rPr>
              <w:t>.</w:t>
            </w:r>
            <w:r>
              <w:rPr>
                <w:color w:val="0D0D0D" w:themeColor="text1" w:themeTint="F2"/>
                <w:spacing w:val="-4"/>
              </w:rPr>
              <w:t xml:space="preserve"> Po delší době se na růstu investic významně podílely také armádní nákupy. Celkové investice se na veškerých výdajích SR dosud letos podílely 8,3 %, což bylo nejvíce za posledních osm let. Z dlouhodobého pohledu se ale stále jedná spíše o průměrnou hodnotu. </w:t>
            </w:r>
          </w:p>
        </w:tc>
      </w:tr>
      <w:tr w:rsidR="001E1AF1" w:rsidRPr="004B2C92" w14:paraId="6E549753" w14:textId="77777777" w:rsidTr="08AB0269">
        <w:trPr>
          <w:trHeight w:val="145"/>
        </w:trPr>
        <w:tc>
          <w:tcPr>
            <w:tcW w:w="1718" w:type="dxa"/>
            <w:shd w:val="clear" w:color="auto" w:fill="auto"/>
            <w:tcMar>
              <w:left w:w="0" w:type="dxa"/>
            </w:tcMar>
          </w:tcPr>
          <w:p w14:paraId="2CDBDE0A" w14:textId="77777777" w:rsidR="001E1AF1" w:rsidRPr="005B591B" w:rsidRDefault="001E1AF1" w:rsidP="00D26E6B">
            <w:pPr>
              <w:pStyle w:val="Marginlie"/>
            </w:pPr>
            <w:r w:rsidRPr="005B591B">
              <w:t>Státní dluh</w:t>
            </w:r>
            <w:r>
              <w:t xml:space="preserve"> se </w:t>
            </w:r>
            <w:proofErr w:type="spellStart"/>
            <w:r>
              <w:t>mezikvartálně</w:t>
            </w:r>
            <w:proofErr w:type="spellEnd"/>
            <w:r>
              <w:t xml:space="preserve"> zvýšil poosmé v řadě. Tempo </w:t>
            </w:r>
            <w:r>
              <w:lastRenderedPageBreak/>
              <w:t>růstu dluhu se ale snížilo.</w:t>
            </w:r>
          </w:p>
        </w:tc>
        <w:tc>
          <w:tcPr>
            <w:tcW w:w="210" w:type="dxa"/>
            <w:shd w:val="clear" w:color="auto" w:fill="auto"/>
            <w:tcMar>
              <w:left w:w="0" w:type="dxa"/>
            </w:tcMar>
          </w:tcPr>
          <w:p w14:paraId="09E1F642" w14:textId="77777777" w:rsidR="001E1AF1" w:rsidRDefault="001E1AF1" w:rsidP="00D26E6B">
            <w:pPr>
              <w:pStyle w:val="Textpoznpodarou"/>
              <w:jc w:val="both"/>
              <w:rPr>
                <w:spacing w:val="-4"/>
              </w:rPr>
            </w:pPr>
          </w:p>
        </w:tc>
        <w:tc>
          <w:tcPr>
            <w:tcW w:w="7741" w:type="dxa"/>
            <w:shd w:val="clear" w:color="auto" w:fill="auto"/>
            <w:tcMar>
              <w:left w:w="0" w:type="dxa"/>
            </w:tcMar>
          </w:tcPr>
          <w:p w14:paraId="3CB10689" w14:textId="77777777" w:rsidR="001E1AF1" w:rsidRDefault="001E1AF1" w:rsidP="00D26E6B">
            <w:pPr>
              <w:spacing w:after="200"/>
              <w:rPr>
                <w:color w:val="0D0D0D" w:themeColor="text1" w:themeTint="F2"/>
                <w:spacing w:val="-2"/>
              </w:rPr>
            </w:pPr>
            <w:r>
              <w:rPr>
                <w:color w:val="0D0D0D" w:themeColor="text1" w:themeTint="F2"/>
                <w:spacing w:val="-2"/>
              </w:rPr>
              <w:t>Přetrvávající hluboké rozpočtové schod</w:t>
            </w:r>
            <w:r w:rsidRPr="00BE22C9">
              <w:rPr>
                <w:color w:val="0D0D0D" w:themeColor="text1" w:themeTint="F2"/>
                <w:spacing w:val="-2"/>
              </w:rPr>
              <w:t>k</w:t>
            </w:r>
            <w:r>
              <w:rPr>
                <w:color w:val="0D0D0D" w:themeColor="text1" w:themeTint="F2"/>
                <w:spacing w:val="-2"/>
              </w:rPr>
              <w:t xml:space="preserve">y spolu s plánovanými splátkami dluhu vyústily ve vysokou </w:t>
            </w:r>
            <w:r w:rsidRPr="00C83496">
              <w:rPr>
                <w:color w:val="0D0D0D" w:themeColor="text1" w:themeTint="F2"/>
                <w:spacing w:val="-2"/>
              </w:rPr>
              <w:t>výpůjční potřeb</w:t>
            </w:r>
            <w:r>
              <w:rPr>
                <w:color w:val="0D0D0D" w:themeColor="text1" w:themeTint="F2"/>
                <w:spacing w:val="-2"/>
              </w:rPr>
              <w:t>u</w:t>
            </w:r>
            <w:r w:rsidRPr="00C83496">
              <w:rPr>
                <w:color w:val="0D0D0D" w:themeColor="text1" w:themeTint="F2"/>
                <w:spacing w:val="-2"/>
              </w:rPr>
              <w:t xml:space="preserve"> státu. Státní dluh tak letos na konci září vystoupal na rekordních 3 115 mld. korun </w:t>
            </w:r>
            <w:r>
              <w:rPr>
                <w:color w:val="0D0D0D" w:themeColor="text1" w:themeTint="F2"/>
                <w:spacing w:val="-2"/>
              </w:rPr>
              <w:t xml:space="preserve">a mezičtvrtletně se zvýšil poosmé v řadě. Od počátku letošního roku se </w:t>
            </w:r>
            <w:r>
              <w:rPr>
                <w:color w:val="0D0D0D" w:themeColor="text1" w:themeTint="F2"/>
                <w:spacing w:val="-2"/>
              </w:rPr>
              <w:lastRenderedPageBreak/>
              <w:t>dluh zvýšil o 220 mld. korun, nejméně za poslední čtyři roky. Zmírnění tempa zadlužování lze vysvětlit nižším objemem přijatých krátkodobých zahraničních zápůjček a současně vyšším objemem splacených zápůjček. Díky tomu došlo od počátku letošního roku ke snížení vnějšího dluhu o 39 % (na 177 mld. korun). Vnitřní dluh se naopak zvýšil o 13 %, především kvůli pokračující vysoké emisi středně- a dlouhodobých státních dluhopisů</w:t>
            </w:r>
            <w:r>
              <w:rPr>
                <w:rStyle w:val="Znakapoznpodarou"/>
                <w:spacing w:val="-2"/>
              </w:rPr>
              <w:footnoteReference w:id="132"/>
            </w:r>
            <w:r>
              <w:rPr>
                <w:color w:val="0D0D0D" w:themeColor="text1" w:themeTint="F2"/>
                <w:spacing w:val="-2"/>
              </w:rPr>
              <w:t xml:space="preserve">, dílčí vliv měl i vyšší objem státních pokladničních poukázek. </w:t>
            </w:r>
          </w:p>
        </w:tc>
      </w:tr>
      <w:tr w:rsidR="001E1AF1" w:rsidRPr="00D52ED2" w14:paraId="33A261F5" w14:textId="77777777" w:rsidTr="08AB0269">
        <w:trPr>
          <w:trHeight w:val="145"/>
        </w:trPr>
        <w:tc>
          <w:tcPr>
            <w:tcW w:w="1718" w:type="dxa"/>
            <w:shd w:val="clear" w:color="auto" w:fill="auto"/>
            <w:tcMar>
              <w:left w:w="0" w:type="dxa"/>
            </w:tcMar>
          </w:tcPr>
          <w:p w14:paraId="3E3E3806" w14:textId="77777777" w:rsidR="001E1AF1" w:rsidRDefault="001E1AF1" w:rsidP="00D26E6B">
            <w:pPr>
              <w:pStyle w:val="Marginlie"/>
            </w:pPr>
          </w:p>
        </w:tc>
        <w:tc>
          <w:tcPr>
            <w:tcW w:w="210" w:type="dxa"/>
            <w:shd w:val="clear" w:color="auto" w:fill="auto"/>
            <w:tcMar>
              <w:left w:w="0" w:type="dxa"/>
            </w:tcMar>
          </w:tcPr>
          <w:p w14:paraId="73F8152B" w14:textId="77777777" w:rsidR="001E1AF1" w:rsidRDefault="001E1AF1" w:rsidP="00D26E6B">
            <w:pPr>
              <w:pStyle w:val="Textpoznpodarou"/>
              <w:jc w:val="both"/>
              <w:rPr>
                <w:spacing w:val="-4"/>
              </w:rPr>
            </w:pPr>
          </w:p>
        </w:tc>
        <w:tc>
          <w:tcPr>
            <w:tcW w:w="7741" w:type="dxa"/>
            <w:shd w:val="clear" w:color="auto" w:fill="auto"/>
            <w:tcMar>
              <w:left w:w="0" w:type="dxa"/>
            </w:tcMar>
          </w:tcPr>
          <w:p w14:paraId="0F510E68" w14:textId="77777777" w:rsidR="001E1AF1" w:rsidRDefault="001E1AF1" w:rsidP="00D26E6B">
            <w:pPr>
              <w:spacing w:after="40"/>
              <w:rPr>
                <w:color w:val="0D0D0D" w:themeColor="text1" w:themeTint="F2"/>
                <w:spacing w:val="-4"/>
              </w:rPr>
            </w:pPr>
            <w:r w:rsidRPr="00C4556A">
              <w:rPr>
                <w:b/>
                <w:spacing w:val="-2"/>
              </w:rPr>
              <w:t xml:space="preserve">Graf č. 20 </w:t>
            </w:r>
            <w:r w:rsidRPr="00C4556A">
              <w:rPr>
                <w:rFonts w:cs="Arial"/>
                <w:b/>
                <w:bCs/>
                <w:spacing w:val="-2"/>
              </w:rPr>
              <w:t>Saldo hospodaření</w:t>
            </w:r>
            <w:r>
              <w:rPr>
                <w:rFonts w:cs="Arial"/>
                <w:b/>
                <w:bCs/>
                <w:spacing w:val="-2"/>
              </w:rPr>
              <w:t xml:space="preserve"> </w:t>
            </w:r>
            <w:r w:rsidRPr="00C4556A">
              <w:rPr>
                <w:rFonts w:cs="Arial"/>
                <w:bCs/>
                <w:spacing w:val="-2"/>
              </w:rPr>
              <w:t>(</w:t>
            </w:r>
            <w:r>
              <w:rPr>
                <w:rFonts w:cs="Arial"/>
                <w:bCs/>
                <w:spacing w:val="-2"/>
              </w:rPr>
              <w:t xml:space="preserve">jednotlivá čtvrtletí, sezónně očištěno, v % HDP), </w:t>
            </w:r>
            <w:r w:rsidRPr="00563385">
              <w:rPr>
                <w:rFonts w:cs="Arial"/>
                <w:b/>
                <w:bCs/>
                <w:spacing w:val="-2"/>
              </w:rPr>
              <w:t xml:space="preserve">míra zadlužení </w:t>
            </w:r>
            <w:r>
              <w:rPr>
                <w:rFonts w:cs="Arial"/>
                <w:bCs/>
                <w:spacing w:val="-2"/>
              </w:rPr>
              <w:t>(stav na konci čtvrtletí, v % HDP)</w:t>
            </w:r>
            <w:r>
              <w:rPr>
                <w:rFonts w:cs="Arial"/>
                <w:b/>
                <w:bCs/>
                <w:spacing w:val="-2"/>
              </w:rPr>
              <w:t xml:space="preserve"> vládních institucí v</w:t>
            </w:r>
            <w:r w:rsidRPr="00563385">
              <w:rPr>
                <w:rFonts w:cs="Arial"/>
                <w:b/>
                <w:bCs/>
                <w:spacing w:val="-2"/>
              </w:rPr>
              <w:t xml:space="preserve"> EU27</w:t>
            </w:r>
            <w:r>
              <w:rPr>
                <w:rFonts w:cs="Arial"/>
                <w:b/>
                <w:bCs/>
                <w:spacing w:val="-2"/>
              </w:rPr>
              <w:t xml:space="preserve"> a jejích vybraných členských státech</w:t>
            </w:r>
          </w:p>
        </w:tc>
      </w:tr>
      <w:tr w:rsidR="001E1AF1" w:rsidRPr="00D52ED2" w14:paraId="4418CABC" w14:textId="77777777" w:rsidTr="08AB0269">
        <w:tblPrEx>
          <w:tblCellMar>
            <w:left w:w="70" w:type="dxa"/>
            <w:right w:w="70" w:type="dxa"/>
          </w:tblCellMar>
        </w:tblPrEx>
        <w:trPr>
          <w:trHeight w:val="145"/>
        </w:trPr>
        <w:tc>
          <w:tcPr>
            <w:tcW w:w="1718" w:type="dxa"/>
            <w:shd w:val="clear" w:color="auto" w:fill="auto"/>
          </w:tcPr>
          <w:p w14:paraId="7794B3FD" w14:textId="77777777" w:rsidR="001E1AF1" w:rsidRDefault="001E1AF1" w:rsidP="00D26E6B">
            <w:pPr>
              <w:pStyle w:val="Marginlie"/>
            </w:pPr>
          </w:p>
        </w:tc>
        <w:tc>
          <w:tcPr>
            <w:tcW w:w="210" w:type="dxa"/>
            <w:shd w:val="clear" w:color="auto" w:fill="auto"/>
          </w:tcPr>
          <w:p w14:paraId="1EC9F5C3" w14:textId="77777777" w:rsidR="001E1AF1" w:rsidRDefault="001E1AF1" w:rsidP="00D26E6B">
            <w:pPr>
              <w:pStyle w:val="Textpoznpodarou"/>
              <w:jc w:val="both"/>
              <w:rPr>
                <w:spacing w:val="-4"/>
              </w:rPr>
            </w:pPr>
          </w:p>
        </w:tc>
        <w:tc>
          <w:tcPr>
            <w:tcW w:w="7741" w:type="dxa"/>
            <w:shd w:val="clear" w:color="auto" w:fill="auto"/>
          </w:tcPr>
          <w:p w14:paraId="44E5EF44" w14:textId="77777777" w:rsidR="001E1AF1" w:rsidRPr="00C4556A" w:rsidRDefault="001E1AF1" w:rsidP="00D26E6B">
            <w:pPr>
              <w:spacing w:after="0"/>
              <w:rPr>
                <w:b/>
                <w:spacing w:val="-2"/>
              </w:rPr>
            </w:pPr>
            <w:r>
              <w:rPr>
                <w:noProof/>
              </w:rPr>
              <w:drawing>
                <wp:inline distT="0" distB="0" distL="0" distR="0" wp14:anchorId="13581090" wp14:editId="34800E20">
                  <wp:extent cx="4737652" cy="3420718"/>
                  <wp:effectExtent l="0" t="0" r="6350" b="889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1E1AF1" w:rsidRPr="00D52ED2" w14:paraId="38F0F090" w14:textId="77777777" w:rsidTr="08AB0269">
        <w:trPr>
          <w:trHeight w:val="145"/>
        </w:trPr>
        <w:tc>
          <w:tcPr>
            <w:tcW w:w="1718" w:type="dxa"/>
            <w:shd w:val="clear" w:color="auto" w:fill="auto"/>
            <w:tcMar>
              <w:left w:w="0" w:type="dxa"/>
            </w:tcMar>
          </w:tcPr>
          <w:p w14:paraId="06266FA2" w14:textId="77777777" w:rsidR="001E1AF1" w:rsidRDefault="001E1AF1" w:rsidP="00D26E6B">
            <w:pPr>
              <w:pStyle w:val="Marginlie"/>
            </w:pPr>
          </w:p>
        </w:tc>
        <w:tc>
          <w:tcPr>
            <w:tcW w:w="210" w:type="dxa"/>
            <w:shd w:val="clear" w:color="auto" w:fill="auto"/>
            <w:tcMar>
              <w:left w:w="0" w:type="dxa"/>
            </w:tcMar>
          </w:tcPr>
          <w:p w14:paraId="0B954B75" w14:textId="77777777" w:rsidR="001E1AF1" w:rsidRDefault="001E1AF1" w:rsidP="00D26E6B">
            <w:pPr>
              <w:pStyle w:val="Textpoznpodarou"/>
              <w:jc w:val="both"/>
              <w:rPr>
                <w:spacing w:val="-4"/>
              </w:rPr>
            </w:pPr>
          </w:p>
        </w:tc>
        <w:tc>
          <w:tcPr>
            <w:tcW w:w="7741" w:type="dxa"/>
            <w:shd w:val="clear" w:color="auto" w:fill="auto"/>
            <w:tcMar>
              <w:left w:w="0" w:type="dxa"/>
            </w:tcMar>
          </w:tcPr>
          <w:p w14:paraId="797C846B" w14:textId="77777777" w:rsidR="001E1AF1" w:rsidRDefault="001E1AF1" w:rsidP="00D26E6B">
            <w:pPr>
              <w:spacing w:after="0"/>
              <w:rPr>
                <w:noProof/>
              </w:rPr>
            </w:pPr>
            <w:r>
              <w:rPr>
                <w:spacing w:val="-4"/>
                <w:sz w:val="14"/>
                <w:szCs w:val="14"/>
              </w:rPr>
              <w:t xml:space="preserve">Zdroj: </w:t>
            </w:r>
            <w:proofErr w:type="spellStart"/>
            <w:r>
              <w:rPr>
                <w:spacing w:val="-4"/>
                <w:sz w:val="14"/>
                <w:szCs w:val="14"/>
              </w:rPr>
              <w:t>Eurostat</w:t>
            </w:r>
            <w:proofErr w:type="spellEnd"/>
          </w:p>
        </w:tc>
      </w:tr>
    </w:tbl>
    <w:p w14:paraId="0E49892D" w14:textId="77777777" w:rsidR="001E1AF1" w:rsidRPr="001C3855" w:rsidRDefault="001E1AF1" w:rsidP="001E1AF1">
      <w:pPr>
        <w:pStyle w:val="Nadpis11"/>
        <w:rPr>
          <w:sz w:val="2"/>
          <w:szCs w:val="2"/>
        </w:rPr>
      </w:pPr>
    </w:p>
    <w:tbl>
      <w:tblPr>
        <w:tblW w:w="96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18"/>
        <w:gridCol w:w="210"/>
        <w:gridCol w:w="7741"/>
      </w:tblGrid>
      <w:tr w:rsidR="001E1AF1" w14:paraId="29848E38" w14:textId="77777777" w:rsidTr="08AB0269">
        <w:trPr>
          <w:trHeight w:val="145"/>
        </w:trPr>
        <w:tc>
          <w:tcPr>
            <w:tcW w:w="1718" w:type="dxa"/>
            <w:tcBorders>
              <w:top w:val="nil"/>
              <w:left w:val="nil"/>
              <w:bottom w:val="nil"/>
              <w:right w:val="nil"/>
            </w:tcBorders>
            <w:shd w:val="clear" w:color="auto" w:fill="auto"/>
            <w:tcMar>
              <w:left w:w="0" w:type="dxa"/>
            </w:tcMar>
          </w:tcPr>
          <w:p w14:paraId="3620340D" w14:textId="44588721" w:rsidR="001E1AF1" w:rsidRPr="005B591B" w:rsidRDefault="001E1AF1" w:rsidP="00D26E6B">
            <w:pPr>
              <w:pStyle w:val="Marginlie"/>
            </w:pPr>
            <w:r>
              <w:t>Schodek ús</w:t>
            </w:r>
            <w:r w:rsidR="00650FFC">
              <w:t>tředních vládních institucí</w:t>
            </w:r>
            <w:r>
              <w:t xml:space="preserve"> se meziročně prohloubil, přebytek místních vládních institucí naopak dále rostl.</w:t>
            </w:r>
          </w:p>
        </w:tc>
        <w:tc>
          <w:tcPr>
            <w:tcW w:w="210" w:type="dxa"/>
            <w:tcBorders>
              <w:top w:val="nil"/>
              <w:left w:val="nil"/>
              <w:bottom w:val="nil"/>
              <w:right w:val="nil"/>
            </w:tcBorders>
            <w:shd w:val="clear" w:color="auto" w:fill="auto"/>
            <w:tcMar>
              <w:left w:w="0" w:type="dxa"/>
            </w:tcMar>
          </w:tcPr>
          <w:p w14:paraId="0C79B31D" w14:textId="77777777" w:rsidR="001E1AF1" w:rsidRDefault="001E1AF1" w:rsidP="00D26E6B">
            <w:pPr>
              <w:pStyle w:val="Textpoznpodarou"/>
              <w:jc w:val="both"/>
              <w:rPr>
                <w:spacing w:val="-4"/>
              </w:rPr>
            </w:pPr>
          </w:p>
        </w:tc>
        <w:tc>
          <w:tcPr>
            <w:tcW w:w="7741" w:type="dxa"/>
            <w:tcBorders>
              <w:top w:val="nil"/>
              <w:left w:val="nil"/>
              <w:bottom w:val="nil"/>
              <w:right w:val="nil"/>
            </w:tcBorders>
            <w:shd w:val="clear" w:color="auto" w:fill="auto"/>
            <w:tcMar>
              <w:left w:w="0" w:type="dxa"/>
            </w:tcMar>
          </w:tcPr>
          <w:p w14:paraId="33D91197" w14:textId="5CCD143A" w:rsidR="001E1AF1" w:rsidRPr="006E5270" w:rsidRDefault="001E1AF1" w:rsidP="00D26E6B">
            <w:r>
              <w:t>Sektor vládních institucí (VI) v ČR hospodařil v 1. pololetí 2023</w:t>
            </w:r>
            <w:r w:rsidRPr="00006754">
              <w:rPr>
                <w:rStyle w:val="Znakapoznpodarou"/>
                <w:color w:val="0D0D0D" w:themeColor="text1" w:themeTint="F2"/>
                <w:spacing w:val="-3"/>
              </w:rPr>
              <w:footnoteReference w:id="133"/>
            </w:r>
            <w:r>
              <w:t xml:space="preserve"> s deficitem 78,4 mld. korun</w:t>
            </w:r>
            <w:r w:rsidRPr="00006754">
              <w:rPr>
                <w:rStyle w:val="Znakapoznpodarou"/>
                <w:color w:val="0D0D0D" w:themeColor="text1" w:themeTint="F2"/>
                <w:spacing w:val="-3"/>
              </w:rPr>
              <w:footnoteReference w:id="134"/>
            </w:r>
            <w:r>
              <w:t>. Tento výsledek byl ovlivněn hlubokým schodkem n</w:t>
            </w:r>
            <w:r w:rsidR="00650FFC">
              <w:t>a počátku roku (105,3 mld.</w:t>
            </w:r>
            <w:r>
              <w:t>), následující 2. kvartál přinesl stejně jako vloni mírný převis příjmů nad výdaji</w:t>
            </w:r>
            <w:r>
              <w:rPr>
                <w:rStyle w:val="Znakapoznpodarou"/>
              </w:rPr>
              <w:footnoteReference w:id="135"/>
            </w:r>
            <w:r>
              <w:t>. Schodek za celé pololetí byl letos meziročně o 16,8 mld. hlubší. Za tímto zhoršením stály především ústřední vládní instituce, na jejichž bedrech spočívaly klíčové mimořádné výdaje související s řešením dopadů vysoké inflace či s integrací uprchlíků z Ukrajiny. Meziročně se zhoršil i výsledek hospodaření zdravotních pojišťoven, ten i přesto dosáhl mírného přebytku (2 mld. korun) – v rámci 1. pololetí již třetím rokem v řadě. Naopak místní vládní instituce vykázaly, jako v posledních letech tradičně, významnější přebytek. Ten činil 82,2 mld. korun, meziročně vzrostl potřetí v řadě – letos o 8,2 mld.</w:t>
            </w:r>
          </w:p>
        </w:tc>
      </w:tr>
      <w:tr w:rsidR="001E1AF1" w14:paraId="628FDCA5" w14:textId="77777777" w:rsidTr="08AB0269">
        <w:trPr>
          <w:trHeight w:val="145"/>
        </w:trPr>
        <w:tc>
          <w:tcPr>
            <w:tcW w:w="1718" w:type="dxa"/>
            <w:tcBorders>
              <w:top w:val="nil"/>
              <w:left w:val="nil"/>
              <w:bottom w:val="nil"/>
              <w:right w:val="nil"/>
            </w:tcBorders>
            <w:shd w:val="clear" w:color="auto" w:fill="auto"/>
            <w:tcMar>
              <w:left w:w="0" w:type="dxa"/>
            </w:tcMar>
          </w:tcPr>
          <w:p w14:paraId="5D50D54E" w14:textId="558E85B7" w:rsidR="001E1AF1" w:rsidRDefault="001E1AF1" w:rsidP="00D26E6B">
            <w:pPr>
              <w:pStyle w:val="Marginlie"/>
            </w:pPr>
            <w:r>
              <w:lastRenderedPageBreak/>
              <w:t>K růst</w:t>
            </w:r>
            <w:r w:rsidR="00650FFC">
              <w:t>u příjmů vládních institucí</w:t>
            </w:r>
            <w:r>
              <w:t xml:space="preserve"> výrazně přispěly přijaté vlastnické důchody.</w:t>
            </w:r>
          </w:p>
          <w:p w14:paraId="57AC9D16" w14:textId="77777777" w:rsidR="00650FFC" w:rsidRDefault="00650FFC" w:rsidP="00D26E6B">
            <w:pPr>
              <w:pStyle w:val="Marginlie"/>
            </w:pPr>
          </w:p>
          <w:p w14:paraId="0113FECF" w14:textId="77777777" w:rsidR="001E1AF1" w:rsidRDefault="001E1AF1" w:rsidP="00D26E6B">
            <w:pPr>
              <w:pStyle w:val="Marginlie"/>
            </w:pPr>
            <w:r>
              <w:t>Růst výdajů vládních institucí v ČR probíhal hlavně pod taktovkou navýšených sociálních dávek a naturálních sociálních transferů.</w:t>
            </w:r>
          </w:p>
          <w:p w14:paraId="77230D22" w14:textId="77777777" w:rsidR="001E1AF1" w:rsidRDefault="001E1AF1" w:rsidP="00D26E6B">
            <w:pPr>
              <w:pStyle w:val="Marginlie"/>
            </w:pPr>
          </w:p>
          <w:p w14:paraId="16BBCB90" w14:textId="77777777" w:rsidR="001E1AF1" w:rsidRDefault="001E1AF1" w:rsidP="00D26E6B">
            <w:pPr>
              <w:pStyle w:val="Marginlie"/>
            </w:pPr>
          </w:p>
          <w:p w14:paraId="3D7D1C38" w14:textId="77777777" w:rsidR="001E1AF1" w:rsidRDefault="001E1AF1" w:rsidP="00D26E6B">
            <w:pPr>
              <w:pStyle w:val="Marginlie"/>
            </w:pPr>
          </w:p>
          <w:p w14:paraId="03B06012" w14:textId="77777777" w:rsidR="001E1AF1" w:rsidRDefault="001E1AF1" w:rsidP="00D26E6B">
            <w:pPr>
              <w:pStyle w:val="Marginlie"/>
            </w:pPr>
          </w:p>
          <w:p w14:paraId="20625035" w14:textId="77777777" w:rsidR="001E1AF1" w:rsidRDefault="001E1AF1" w:rsidP="00D26E6B">
            <w:pPr>
              <w:pStyle w:val="Marginlie"/>
            </w:pPr>
          </w:p>
          <w:p w14:paraId="76ABC789" w14:textId="77777777" w:rsidR="001E1AF1" w:rsidRDefault="001E1AF1" w:rsidP="00D26E6B">
            <w:pPr>
              <w:pStyle w:val="Marginlie"/>
            </w:pPr>
          </w:p>
          <w:p w14:paraId="3712BB25" w14:textId="77777777" w:rsidR="001E1AF1" w:rsidRDefault="001E1AF1" w:rsidP="00D26E6B">
            <w:pPr>
              <w:pStyle w:val="Marginlie"/>
            </w:pPr>
          </w:p>
          <w:p w14:paraId="64A25554" w14:textId="77777777" w:rsidR="001E1AF1" w:rsidRDefault="001E1AF1" w:rsidP="00D26E6B">
            <w:pPr>
              <w:pStyle w:val="Marginlie"/>
            </w:pPr>
            <w:r>
              <w:t xml:space="preserve">Na zrychlení investiční aktivity se podílely zejména obce a kraje. </w:t>
            </w:r>
          </w:p>
          <w:p w14:paraId="42B05E05" w14:textId="77777777" w:rsidR="001E1AF1" w:rsidRDefault="001E1AF1" w:rsidP="00D26E6B">
            <w:pPr>
              <w:pStyle w:val="Marginlie"/>
            </w:pPr>
          </w:p>
        </w:tc>
        <w:tc>
          <w:tcPr>
            <w:tcW w:w="210" w:type="dxa"/>
            <w:tcBorders>
              <w:top w:val="nil"/>
              <w:left w:val="nil"/>
              <w:bottom w:val="nil"/>
              <w:right w:val="nil"/>
            </w:tcBorders>
            <w:shd w:val="clear" w:color="auto" w:fill="auto"/>
            <w:tcMar>
              <w:left w:w="0" w:type="dxa"/>
            </w:tcMar>
          </w:tcPr>
          <w:p w14:paraId="0313ABE1" w14:textId="77777777" w:rsidR="001E1AF1" w:rsidRDefault="001E1AF1" w:rsidP="00D26E6B">
            <w:pPr>
              <w:pStyle w:val="Textpoznpodarou"/>
              <w:jc w:val="both"/>
              <w:rPr>
                <w:spacing w:val="-4"/>
              </w:rPr>
            </w:pPr>
          </w:p>
        </w:tc>
        <w:tc>
          <w:tcPr>
            <w:tcW w:w="7741" w:type="dxa"/>
            <w:tcBorders>
              <w:top w:val="nil"/>
              <w:left w:val="nil"/>
              <w:bottom w:val="nil"/>
              <w:right w:val="nil"/>
            </w:tcBorders>
            <w:shd w:val="clear" w:color="auto" w:fill="auto"/>
            <w:tcMar>
              <w:left w:w="0" w:type="dxa"/>
            </w:tcMar>
          </w:tcPr>
          <w:p w14:paraId="24B583D9" w14:textId="01970C05" w:rsidR="001E1AF1" w:rsidRPr="00650FFC" w:rsidRDefault="001E1AF1" w:rsidP="00D26E6B">
            <w:pPr>
              <w:spacing w:after="200"/>
              <w:rPr>
                <w:spacing w:val="-4"/>
              </w:rPr>
            </w:pPr>
            <w:r w:rsidRPr="00650FFC">
              <w:rPr>
                <w:spacing w:val="-4"/>
                <w:szCs w:val="20"/>
              </w:rPr>
              <w:t>V 1. pololetí 2023 přispěly k meziročnímu růstu příjmů celého sektoru VI (12,3 %, +168 mld. korun) nejvíce</w:t>
            </w:r>
            <w:r w:rsidRPr="00650FFC">
              <w:rPr>
                <w:spacing w:val="-4"/>
              </w:rPr>
              <w:t xml:space="preserve"> přijaté vlastnické důchody, jejichž výše se oproti loňsku zejména vlivem vyšších dividend od podniků s účastí státu více než zdvojnásobila (na 90 mld.). Díky dobré kondici trhu práce zrychlil růst běžných daní z důchodů (na 16 %), stát meziročně získal více i na čistých sociálních příspěvcích (7,5 %). V kontrastu s tím byl fiskální přinos daní navázaných</w:t>
            </w:r>
            <w:r w:rsidR="00650FFC" w:rsidRPr="00650FFC">
              <w:rPr>
                <w:spacing w:val="-4"/>
              </w:rPr>
              <w:t xml:space="preserve"> na spotřebu slabý, když příjmy z těchto daní nominálně stále</w:t>
            </w:r>
            <w:r w:rsidRPr="00650FFC">
              <w:rPr>
                <w:spacing w:val="-4"/>
              </w:rPr>
              <w:t xml:space="preserve"> zaostával</w:t>
            </w:r>
            <w:r w:rsidR="00650FFC" w:rsidRPr="00650FFC">
              <w:rPr>
                <w:spacing w:val="-4"/>
              </w:rPr>
              <w:t>y</w:t>
            </w:r>
            <w:r w:rsidRPr="00650FFC">
              <w:rPr>
                <w:spacing w:val="-4"/>
              </w:rPr>
              <w:t xml:space="preserve"> za inflací. Např. příjem z daně z produktů vzrostl o 2</w:t>
            </w:r>
            <w:r w:rsidR="00650FFC" w:rsidRPr="00650FFC">
              <w:rPr>
                <w:spacing w:val="-4"/>
              </w:rPr>
              <w:t>,2 % (z</w:t>
            </w:r>
            <w:r w:rsidR="00650FFC" w:rsidRPr="00650FFC">
              <w:rPr>
                <w:spacing w:val="-4"/>
                <w:szCs w:val="20"/>
              </w:rPr>
              <w:t> </w:t>
            </w:r>
            <w:r w:rsidRPr="00650FFC">
              <w:rPr>
                <w:spacing w:val="-4"/>
              </w:rPr>
              <w:t>toho v</w:t>
            </w:r>
            <w:r w:rsidR="00650FFC">
              <w:rPr>
                <w:spacing w:val="-4"/>
              </w:rPr>
              <w:t>e 2. čtvrtletí 2023 pouze o 0,7</w:t>
            </w:r>
            <w:r w:rsidR="00650FFC">
              <w:rPr>
                <w:szCs w:val="20"/>
              </w:rPr>
              <w:t> </w:t>
            </w:r>
            <w:r w:rsidRPr="00650FFC">
              <w:rPr>
                <w:spacing w:val="-4"/>
              </w:rPr>
              <w:t>%). Na meziročním růstu celkových výdajů sektoru VI (12,9 %) se nejvíce podílely sociální dávky a naturální sociální transfery (+68,5 mld. kor</w:t>
            </w:r>
            <w:r w:rsidR="00650FFC">
              <w:rPr>
                <w:spacing w:val="-4"/>
              </w:rPr>
              <w:t>un) a též placené dotace (+38,6</w:t>
            </w:r>
            <w:r w:rsidR="00650FFC">
              <w:rPr>
                <w:szCs w:val="20"/>
              </w:rPr>
              <w:t> </w:t>
            </w:r>
            <w:r w:rsidRPr="00650FFC">
              <w:rPr>
                <w:spacing w:val="-4"/>
              </w:rPr>
              <w:t xml:space="preserve">mld. korun), za jejichž svižným růstem (51 %) stály především kompenzace za dodávky elektřiny a plynu. Zrychlil také meziroční růst </w:t>
            </w:r>
            <w:proofErr w:type="spellStart"/>
            <w:r w:rsidRPr="00650FFC">
              <w:rPr>
                <w:spacing w:val="-4"/>
              </w:rPr>
              <w:t>mezispotřeby</w:t>
            </w:r>
            <w:proofErr w:type="spellEnd"/>
            <w:r w:rsidRPr="00650FFC">
              <w:rPr>
                <w:spacing w:val="-4"/>
              </w:rPr>
              <w:t xml:space="preserve"> (na 15,1 %) či vyplacených náhrad zaměstnancům (8,4 %). Čerpání výdajů na každou z těchto dvou položek se meziročně zvýšilo o více než 25 mld. korun. Vysoká úroveň úrokových sazeb dál ovlivňovala přírůstek placených důchodů z vlastnictví (+15,2 mld. korun). Druhým rokem v řadě zrychlil růst investic. K dosavadnímu posilování výdajů na tvorbu hrubého fixního kapitálu v letošním roce (+18,0 mld. korun), na rozdíl od přechozích let, přispěla hlavně vyšší investiční aktivita obcí a krajů. </w:t>
            </w:r>
          </w:p>
        </w:tc>
      </w:tr>
      <w:tr w:rsidR="001E1AF1" w14:paraId="796BB0C4" w14:textId="77777777" w:rsidTr="08AB0269">
        <w:trPr>
          <w:trHeight w:val="145"/>
        </w:trPr>
        <w:tc>
          <w:tcPr>
            <w:tcW w:w="1718" w:type="dxa"/>
            <w:tcBorders>
              <w:top w:val="nil"/>
              <w:left w:val="nil"/>
              <w:bottom w:val="nil"/>
              <w:right w:val="nil"/>
            </w:tcBorders>
            <w:shd w:val="clear" w:color="auto" w:fill="auto"/>
            <w:tcMar>
              <w:left w:w="0" w:type="dxa"/>
            </w:tcMar>
          </w:tcPr>
          <w:p w14:paraId="44109B5B" w14:textId="77777777" w:rsidR="001E1AF1" w:rsidRDefault="001E1AF1" w:rsidP="00D26E6B">
            <w:pPr>
              <w:pStyle w:val="Marginlie"/>
            </w:pPr>
            <w:r>
              <w:t xml:space="preserve">Deficit sektoru VI ve vztahu k HDP se ve většině států EU proti konci loňského roku mírně snížil, meziročně byl však hlubší. </w:t>
            </w:r>
          </w:p>
          <w:p w14:paraId="4C24BDBC" w14:textId="77777777" w:rsidR="001E1AF1" w:rsidRPr="005B591B" w:rsidRDefault="001E1AF1" w:rsidP="00D26E6B">
            <w:pPr>
              <w:pStyle w:val="Marginlie"/>
            </w:pPr>
          </w:p>
        </w:tc>
        <w:tc>
          <w:tcPr>
            <w:tcW w:w="210" w:type="dxa"/>
            <w:tcBorders>
              <w:top w:val="nil"/>
              <w:left w:val="nil"/>
              <w:bottom w:val="nil"/>
              <w:right w:val="nil"/>
            </w:tcBorders>
            <w:shd w:val="clear" w:color="auto" w:fill="auto"/>
            <w:tcMar>
              <w:left w:w="0" w:type="dxa"/>
            </w:tcMar>
          </w:tcPr>
          <w:p w14:paraId="388FC0AB" w14:textId="77777777" w:rsidR="001E1AF1" w:rsidRDefault="001E1AF1" w:rsidP="00D26E6B">
            <w:pPr>
              <w:pStyle w:val="Textpoznpodarou"/>
              <w:jc w:val="both"/>
              <w:rPr>
                <w:spacing w:val="-4"/>
              </w:rPr>
            </w:pPr>
          </w:p>
        </w:tc>
        <w:tc>
          <w:tcPr>
            <w:tcW w:w="7741" w:type="dxa"/>
            <w:tcBorders>
              <w:top w:val="nil"/>
              <w:left w:val="nil"/>
              <w:bottom w:val="nil"/>
              <w:right w:val="nil"/>
            </w:tcBorders>
            <w:shd w:val="clear" w:color="auto" w:fill="auto"/>
            <w:tcMar>
              <w:left w:w="0" w:type="dxa"/>
            </w:tcMar>
          </w:tcPr>
          <w:p w14:paraId="7DDF451F" w14:textId="77777777" w:rsidR="001E1AF1" w:rsidRPr="00B53BF7" w:rsidRDefault="001E1AF1" w:rsidP="00D26E6B">
            <w:pPr>
              <w:spacing w:after="200"/>
              <w:rPr>
                <w:szCs w:val="20"/>
              </w:rPr>
            </w:pPr>
            <w:r>
              <w:rPr>
                <w:szCs w:val="20"/>
              </w:rPr>
              <w:t xml:space="preserve">Během 1. pololetí 2023 se mírně zlepšila </w:t>
            </w:r>
            <w:r w:rsidRPr="00437F71">
              <w:rPr>
                <w:color w:val="0D0D0D" w:themeColor="text1" w:themeTint="F2"/>
                <w:spacing w:val="-4"/>
              </w:rPr>
              <w:t xml:space="preserve">kondice veřejných financí v EU i </w:t>
            </w:r>
            <w:r>
              <w:rPr>
                <w:color w:val="0D0D0D" w:themeColor="text1" w:themeTint="F2"/>
                <w:spacing w:val="-4"/>
              </w:rPr>
              <w:t xml:space="preserve">v samotných státech eurozóny. Po odeznění loňské cenové eskalace u energií došlo k částečnému zmírnění potřeby mimořádných veřejných výdajů. Na druhou stranu pokračující velmi slabý ekonomický růst se negativně podepsal i na příjmech sektoru VI. Jeho schodek (po sezónním očištění) dosáhl letos ve 2. čtvrtletí v celé EU 3,2 % (na konci loňského roku se přitom propadl na 4,8 %). Schodek v Česku, obdobně jako v celé eurozóně, činil 3,3 % HDP, což znamenalo stále lepší výsledek než např. v Polsku (−4,1 %) či na Slovensku </w:t>
            </w:r>
            <w:r>
              <w:rPr>
                <w:color w:val="0D0D0D" w:themeColor="text1" w:themeTint="F2"/>
                <w:spacing w:val="-4"/>
              </w:rPr>
              <w:br/>
              <w:t xml:space="preserve">(−4,8 %). Nejhlubším schodkům čelily Maďarsko (−6,6 %) a Rumunsko (−6,3 %), okolo 5 % dosahovaly deficity také ve velkých ekonomikách Itálie, Španělska či Francie. Přebytek hospodaření sektoru VI vykázalo jen šest členských států Unie (nejvyšší Dánsko 2,8 %). Oproti konci loňského roku se sice schodek ve většině států snížil, ve srovnání </w:t>
            </w:r>
            <w:r>
              <w:rPr>
                <w:color w:val="0D0D0D" w:themeColor="text1" w:themeTint="F2"/>
                <w:spacing w:val="-4"/>
              </w:rPr>
              <w:br/>
              <w:t xml:space="preserve">s 2. čtvrtletím 2022 ale zpravidla mírně narostl. K nejvýraznějšímu meziročnímu zhoršení došlo ve Švédsku, Finsku a na Slovensku (shodně o více než 3 p. b.). </w:t>
            </w:r>
          </w:p>
        </w:tc>
      </w:tr>
      <w:tr w:rsidR="001E1AF1" w14:paraId="1D7A0297" w14:textId="77777777" w:rsidTr="08AB0269">
        <w:trPr>
          <w:trHeight w:val="145"/>
        </w:trPr>
        <w:tc>
          <w:tcPr>
            <w:tcW w:w="1718" w:type="dxa"/>
            <w:tcBorders>
              <w:top w:val="nil"/>
              <w:left w:val="nil"/>
              <w:bottom w:val="nil"/>
              <w:right w:val="nil"/>
            </w:tcBorders>
            <w:shd w:val="clear" w:color="auto" w:fill="auto"/>
            <w:tcMar>
              <w:left w:w="0" w:type="dxa"/>
            </w:tcMar>
          </w:tcPr>
          <w:p w14:paraId="33694ECF" w14:textId="77777777" w:rsidR="001E1AF1" w:rsidRDefault="001E1AF1" w:rsidP="00D26E6B">
            <w:pPr>
              <w:pStyle w:val="Marginlie"/>
            </w:pPr>
            <w:r>
              <w:t>Pokračoval více než dva roky trvající pokles míry zadlužení sektoru VI v EU i zemích eurozóny.</w:t>
            </w:r>
          </w:p>
          <w:p w14:paraId="6A011B8F" w14:textId="77777777" w:rsidR="001E1AF1" w:rsidRDefault="001E1AF1" w:rsidP="00D26E6B">
            <w:pPr>
              <w:pStyle w:val="Marginlie"/>
            </w:pPr>
          </w:p>
          <w:p w14:paraId="478B3E46" w14:textId="77777777" w:rsidR="001E1AF1" w:rsidRDefault="001E1AF1" w:rsidP="00D26E6B">
            <w:pPr>
              <w:pStyle w:val="Marginlie"/>
            </w:pPr>
          </w:p>
          <w:p w14:paraId="43E0F0E6" w14:textId="77777777" w:rsidR="001E1AF1" w:rsidRDefault="001E1AF1" w:rsidP="00D26E6B">
            <w:pPr>
              <w:pStyle w:val="Marginlie"/>
            </w:pPr>
          </w:p>
          <w:p w14:paraId="27868FDB" w14:textId="77777777" w:rsidR="001E1AF1" w:rsidRDefault="001E1AF1" w:rsidP="00D26E6B">
            <w:pPr>
              <w:pStyle w:val="Marginlie"/>
            </w:pPr>
          </w:p>
          <w:p w14:paraId="70499867" w14:textId="77777777" w:rsidR="001E1AF1" w:rsidRDefault="001E1AF1" w:rsidP="00D26E6B">
            <w:pPr>
              <w:pStyle w:val="Marginlie"/>
            </w:pPr>
          </w:p>
          <w:p w14:paraId="52688B12" w14:textId="77777777" w:rsidR="001E1AF1" w:rsidRDefault="001E1AF1" w:rsidP="00D26E6B">
            <w:pPr>
              <w:pStyle w:val="Marginlie"/>
            </w:pPr>
          </w:p>
          <w:p w14:paraId="0FAC21DC" w14:textId="77777777" w:rsidR="001E1AF1" w:rsidRDefault="001E1AF1" w:rsidP="00D26E6B">
            <w:pPr>
              <w:pStyle w:val="Marginlie"/>
            </w:pPr>
          </w:p>
          <w:p w14:paraId="599BB31C" w14:textId="77777777" w:rsidR="001E1AF1" w:rsidRPr="005B591B" w:rsidRDefault="001E1AF1" w:rsidP="00D26E6B">
            <w:pPr>
              <w:pStyle w:val="Marginlie"/>
            </w:pPr>
            <w:r>
              <w:t>Byť v Česku nebyl od vrcholu pandemie patrný trend snižování míry zadlužení, její aktuální dosažená úroveň stále řadila tuzemskou ekonomiku do desítky nejméně zadlužených v EU.</w:t>
            </w:r>
          </w:p>
        </w:tc>
        <w:tc>
          <w:tcPr>
            <w:tcW w:w="210" w:type="dxa"/>
            <w:tcBorders>
              <w:top w:val="nil"/>
              <w:left w:val="nil"/>
              <w:bottom w:val="nil"/>
              <w:right w:val="nil"/>
            </w:tcBorders>
            <w:shd w:val="clear" w:color="auto" w:fill="auto"/>
            <w:tcMar>
              <w:left w:w="0" w:type="dxa"/>
            </w:tcMar>
          </w:tcPr>
          <w:p w14:paraId="4533303C" w14:textId="77777777" w:rsidR="001E1AF1" w:rsidRDefault="001E1AF1" w:rsidP="00D26E6B">
            <w:pPr>
              <w:pStyle w:val="Textpoznpodarou"/>
              <w:jc w:val="both"/>
              <w:rPr>
                <w:spacing w:val="-4"/>
              </w:rPr>
            </w:pPr>
          </w:p>
        </w:tc>
        <w:tc>
          <w:tcPr>
            <w:tcW w:w="7741" w:type="dxa"/>
            <w:tcBorders>
              <w:top w:val="nil"/>
              <w:left w:val="nil"/>
              <w:bottom w:val="nil"/>
              <w:right w:val="nil"/>
            </w:tcBorders>
            <w:shd w:val="clear" w:color="auto" w:fill="auto"/>
            <w:tcMar>
              <w:left w:w="0" w:type="dxa"/>
            </w:tcMar>
          </w:tcPr>
          <w:p w14:paraId="57CE3953" w14:textId="6567C66A" w:rsidR="001E1AF1" w:rsidRPr="00FF50C2" w:rsidRDefault="001E1AF1" w:rsidP="00D26E6B">
            <w:pPr>
              <w:spacing w:after="200"/>
            </w:pPr>
            <w:r>
              <w:t xml:space="preserve">Během dosavadní části letošního roku pokračoval </w:t>
            </w:r>
            <w:proofErr w:type="spellStart"/>
            <w:r>
              <w:t>mezikvartální</w:t>
            </w:r>
            <w:proofErr w:type="spellEnd"/>
            <w:r>
              <w:t xml:space="preserve"> pokles míry zadlužování sektoru VI v EU i v samotné eurozóně, byť značně pomalejším tempem než v předchozích dvou letech. Letos na konci 2. čtvrtletí tak zadlužení v Unii dosahovalo 83,1 % HDP (v eurozóně 90,3 % HDP). To bylo meziročně o 2,8 p. b. méně, oproti rekordní úrovni z vrcholného období pandemie </w:t>
            </w:r>
            <w:r w:rsidR="0042507B">
              <w:t xml:space="preserve">(1. čtvrtletí 2021) </w:t>
            </w:r>
            <w:r>
              <w:t>o 8,9 p .b. méně. Meziročně vzrostlo zadlužení pouze v šesti státech Unie, mimo jiné</w:t>
            </w:r>
            <w:r w:rsidR="0042507B">
              <w:t xml:space="preserve"> i v Česku (ze 43,5</w:t>
            </w:r>
            <w:r w:rsidRPr="000A00D4">
              <w:rPr>
                <w:spacing w:val="20"/>
              </w:rPr>
              <w:t>% na</w:t>
            </w:r>
            <w:r>
              <w:t xml:space="preserve"> 44,3 % HDP). Tento negativní vývoj postihl i některé další státy s tradičně podprůměrnou úrovní zadlužení (Bulharsko, Estonsko, Lucembursko). Naopak některé vysoce zadlužené země dokázaly za stejné období zredukovat svou míru zadlu</w:t>
            </w:r>
            <w:r w:rsidR="0042507B">
              <w:t>žení o </w:t>
            </w:r>
            <w:r>
              <w:t xml:space="preserve">více než desetinu (Řecko, Portugalsko). Česko </w:t>
            </w:r>
            <w:r w:rsidR="003D6982">
              <w:t xml:space="preserve">však </w:t>
            </w:r>
            <w:r>
              <w:t xml:space="preserve">stále patřilo do desítky relativně nejméně zadlužených ekonomik Unie, dynamika zadlužování sektoru VI byla však v posledních letech nepříznivá – jak proti ostatním státům s nízkou úrovní dluhu, tak ve srovnání s některými sousedními státy (Polsko). </w:t>
            </w:r>
            <w:r>
              <w:rPr>
                <w:color w:val="0D0D0D" w:themeColor="text1" w:themeTint="F2"/>
                <w:spacing w:val="-4"/>
              </w:rPr>
              <w:t>Proti minimální úrovni z posledního konjukturního období (2015 až 2019) byla aktuální míra zadlužení v EU vyšší o 5,4 p. b. (v zemích současné eurozóny o 6,2 p. b.). Horší tendenci v tomto srovnání než Česko (+14,3 p. b.) vykázaly již pouze Rumunsko (+14,6 p. b.) a Francie (+16,3 p. b.). Naopak pod „</w:t>
            </w:r>
            <w:proofErr w:type="spellStart"/>
            <w:r>
              <w:rPr>
                <w:color w:val="0D0D0D" w:themeColor="text1" w:themeTint="F2"/>
                <w:spacing w:val="-4"/>
              </w:rPr>
              <w:t>předpandemickou</w:t>
            </w:r>
            <w:proofErr w:type="spellEnd"/>
            <w:r>
              <w:rPr>
                <w:color w:val="0D0D0D" w:themeColor="text1" w:themeTint="F2"/>
                <w:spacing w:val="-4"/>
              </w:rPr>
              <w:t xml:space="preserve">“ úroveň zadlužení se již stačily vedle některých tradičně rozpočtově </w:t>
            </w:r>
            <w:r w:rsidRPr="004828DA">
              <w:rPr>
                <w:color w:val="0D0D0D" w:themeColor="text1" w:themeTint="F2"/>
                <w:spacing w:val="-5"/>
              </w:rPr>
              <w:t>disciplinovaných zemí (Švédsko, Dánsko</w:t>
            </w:r>
            <w:r>
              <w:rPr>
                <w:color w:val="0D0D0D" w:themeColor="text1" w:themeTint="F2"/>
                <w:spacing w:val="-5"/>
              </w:rPr>
              <w:t>, Nizozemsko</w:t>
            </w:r>
            <w:r w:rsidRPr="004828DA">
              <w:rPr>
                <w:color w:val="0D0D0D" w:themeColor="text1" w:themeTint="F2"/>
                <w:spacing w:val="-5"/>
              </w:rPr>
              <w:t>) dostat také Irsko, Chorvatsko, Kypr</w:t>
            </w:r>
            <w:r>
              <w:rPr>
                <w:color w:val="0D0D0D" w:themeColor="text1" w:themeTint="F2"/>
                <w:spacing w:val="-5"/>
              </w:rPr>
              <w:t>,</w:t>
            </w:r>
            <w:r w:rsidRPr="004828DA">
              <w:rPr>
                <w:color w:val="0D0D0D" w:themeColor="text1" w:themeTint="F2"/>
                <w:spacing w:val="-5"/>
              </w:rPr>
              <w:t xml:space="preserve"> Portugalsko</w:t>
            </w:r>
            <w:r>
              <w:rPr>
                <w:color w:val="0D0D0D" w:themeColor="text1" w:themeTint="F2"/>
                <w:spacing w:val="-5"/>
              </w:rPr>
              <w:t xml:space="preserve"> a Řecko.</w:t>
            </w:r>
          </w:p>
        </w:tc>
      </w:tr>
    </w:tbl>
    <w:p w14:paraId="6CC221BC" w14:textId="77777777" w:rsidR="001E1AF1" w:rsidRPr="001C3855" w:rsidRDefault="001E1AF1" w:rsidP="001E1AF1">
      <w:pPr>
        <w:pStyle w:val="Nadpis11"/>
        <w:rPr>
          <w:sz w:val="2"/>
          <w:szCs w:val="2"/>
        </w:rPr>
      </w:pPr>
    </w:p>
    <w:p w14:paraId="6FD91E5A" w14:textId="4E3C7394" w:rsidR="00106BCC" w:rsidRPr="001C3855" w:rsidRDefault="00106BCC" w:rsidP="001E1AF1">
      <w:pPr>
        <w:pStyle w:val="Nadpis11"/>
        <w:rPr>
          <w:sz w:val="2"/>
          <w:szCs w:val="2"/>
        </w:rPr>
      </w:pPr>
    </w:p>
    <w:sectPr w:rsidR="00106BCC" w:rsidRPr="001C3855" w:rsidSect="00A03B10">
      <w:headerReference w:type="even" r:id="rId36"/>
      <w:headerReference w:type="default" r:id="rId37"/>
      <w:footerReference w:type="even" r:id="rId38"/>
      <w:footerReference w:type="default" r:id="rId39"/>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98B53" w14:textId="77777777" w:rsidR="00926B2B" w:rsidRDefault="00926B2B" w:rsidP="00E71A58">
      <w:r>
        <w:separator/>
      </w:r>
    </w:p>
  </w:endnote>
  <w:endnote w:type="continuationSeparator" w:id="0">
    <w:p w14:paraId="70D09D9A" w14:textId="77777777" w:rsidR="00926B2B" w:rsidRDefault="00926B2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0D7C6F" w14:paraId="6989D3A2" w14:textId="77777777" w:rsidTr="7059F910">
      <w:trPr>
        <w:trHeight w:val="300"/>
      </w:trPr>
      <w:tc>
        <w:tcPr>
          <w:tcW w:w="3210" w:type="dxa"/>
        </w:tcPr>
        <w:p w14:paraId="6590D2C6" w14:textId="074A4A49" w:rsidR="000D7C6F" w:rsidRDefault="000D7C6F" w:rsidP="7059F910">
          <w:pPr>
            <w:pStyle w:val="Zhlav"/>
            <w:ind w:left="-115"/>
          </w:pPr>
        </w:p>
      </w:tc>
      <w:tc>
        <w:tcPr>
          <w:tcW w:w="3210" w:type="dxa"/>
        </w:tcPr>
        <w:p w14:paraId="5B278884" w14:textId="26249C98" w:rsidR="000D7C6F" w:rsidRDefault="000D7C6F" w:rsidP="7059F910">
          <w:pPr>
            <w:pStyle w:val="Zhlav"/>
            <w:jc w:val="center"/>
          </w:pPr>
        </w:p>
      </w:tc>
      <w:tc>
        <w:tcPr>
          <w:tcW w:w="3210" w:type="dxa"/>
        </w:tcPr>
        <w:p w14:paraId="350DA2AE" w14:textId="68DB72F9" w:rsidR="000D7C6F" w:rsidRDefault="000D7C6F" w:rsidP="7059F910">
          <w:pPr>
            <w:pStyle w:val="Zhlav"/>
            <w:ind w:right="-115"/>
            <w:jc w:val="right"/>
          </w:pPr>
        </w:p>
      </w:tc>
    </w:tr>
  </w:tbl>
  <w:p w14:paraId="2D671E04" w14:textId="65A29983" w:rsidR="000D7C6F" w:rsidRDefault="000D7C6F" w:rsidP="7059F9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0D7C6F" w14:paraId="5BC8A3D5" w14:textId="77777777" w:rsidTr="7059F910">
      <w:trPr>
        <w:trHeight w:val="300"/>
      </w:trPr>
      <w:tc>
        <w:tcPr>
          <w:tcW w:w="3210" w:type="dxa"/>
        </w:tcPr>
        <w:p w14:paraId="4C3FABBA" w14:textId="5B17EC4C" w:rsidR="000D7C6F" w:rsidRDefault="000D7C6F" w:rsidP="7059F910">
          <w:pPr>
            <w:pStyle w:val="Zhlav"/>
            <w:ind w:left="-115"/>
          </w:pPr>
        </w:p>
      </w:tc>
      <w:tc>
        <w:tcPr>
          <w:tcW w:w="3210" w:type="dxa"/>
        </w:tcPr>
        <w:p w14:paraId="2F6BA66C" w14:textId="3E0E9ADE" w:rsidR="000D7C6F" w:rsidRDefault="000D7C6F" w:rsidP="7059F910">
          <w:pPr>
            <w:pStyle w:val="Zhlav"/>
            <w:jc w:val="center"/>
          </w:pPr>
        </w:p>
      </w:tc>
      <w:tc>
        <w:tcPr>
          <w:tcW w:w="3210" w:type="dxa"/>
        </w:tcPr>
        <w:p w14:paraId="376513CE" w14:textId="29DADE64" w:rsidR="000D7C6F" w:rsidRDefault="000D7C6F" w:rsidP="7059F910">
          <w:pPr>
            <w:pStyle w:val="Zhlav"/>
            <w:ind w:right="-115"/>
            <w:jc w:val="right"/>
          </w:pPr>
        </w:p>
      </w:tc>
    </w:tr>
  </w:tbl>
  <w:p w14:paraId="02DCEB25" w14:textId="79ED3BB1" w:rsidR="000D7C6F" w:rsidRDefault="000D7C6F" w:rsidP="7059F9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34823FA8" w:rsidR="000D7C6F" w:rsidRPr="00932443" w:rsidRDefault="000D7C6F"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C3579B">
      <w:rPr>
        <w:szCs w:val="16"/>
      </w:rPr>
      <w:t>4</w:t>
    </w:r>
    <w:r w:rsidRPr="00932443">
      <w:rPr>
        <w:szCs w:val="16"/>
      </w:rPr>
      <w:fldChar w:fldCharType="end"/>
    </w:r>
    <w:r w:rsidRPr="00932443">
      <w:rPr>
        <w:szCs w:val="16"/>
      </w:rPr>
      <w:tab/>
    </w:r>
    <w:r>
      <w:rPr>
        <w:szCs w:val="16"/>
      </w:rPr>
      <w:t>1. až 3. čtvrtletí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0F803501" w:rsidR="000D7C6F" w:rsidRPr="00932443" w:rsidRDefault="000D7C6F" w:rsidP="00FA6CB6">
    <w:pPr>
      <w:pStyle w:val="Zpat"/>
      <w:rPr>
        <w:szCs w:val="16"/>
      </w:rPr>
    </w:pPr>
    <w:r w:rsidRPr="00FA6CB6">
      <w:rPr>
        <w:szCs w:val="16"/>
      </w:rPr>
      <w:tab/>
    </w:r>
    <w:r>
      <w:rPr>
        <w:szCs w:val="16"/>
      </w:rPr>
      <w:t>1. až 3. čtvrtletí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C3579B">
      <w:rPr>
        <w:rStyle w:val="ZpatChar"/>
        <w:szCs w:val="16"/>
      </w:rPr>
      <w:t>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FF15C" w14:textId="77777777" w:rsidR="00926B2B" w:rsidRDefault="00926B2B" w:rsidP="00A21B4D">
      <w:pPr>
        <w:spacing w:after="0"/>
      </w:pPr>
      <w:r>
        <w:separator/>
      </w:r>
    </w:p>
  </w:footnote>
  <w:footnote w:type="continuationSeparator" w:id="0">
    <w:p w14:paraId="22A6F0BE" w14:textId="77777777" w:rsidR="00926B2B" w:rsidRDefault="00926B2B" w:rsidP="00E71A58">
      <w:r>
        <w:continuationSeparator/>
      </w:r>
    </w:p>
  </w:footnote>
  <w:footnote w:id="1">
    <w:p w14:paraId="7224D5BB" w14:textId="77777777" w:rsidR="000D7C6F" w:rsidRDefault="000D7C6F" w:rsidP="00B97F3A">
      <w:pPr>
        <w:pStyle w:val="Textpoznpodarou"/>
        <w:rPr>
          <w:spacing w:val="-2"/>
          <w:sz w:val="16"/>
          <w:szCs w:val="16"/>
        </w:rPr>
      </w:pPr>
      <w:r>
        <w:rPr>
          <w:rStyle w:val="Znakapoznpodarou"/>
          <w:spacing w:val="-2"/>
          <w:sz w:val="16"/>
          <w:szCs w:val="16"/>
        </w:rPr>
        <w:footnoteRef/>
      </w:r>
      <w:r>
        <w:rPr>
          <w:spacing w:val="-2"/>
          <w:sz w:val="16"/>
          <w:szCs w:val="16"/>
        </w:rPr>
        <w:t xml:space="preserve"> Data o HDP, hrubé přidané hodnotě a jejich složkách jsou vyjádřena ve stálých cenách a v očištění o sezónní a kalendářní vlivy.</w:t>
      </w:r>
    </w:p>
  </w:footnote>
  <w:footnote w:id="2">
    <w:p w14:paraId="0A2854B5" w14:textId="77777777" w:rsidR="000D7C6F" w:rsidRDefault="000D7C6F" w:rsidP="00B97F3A">
      <w:pPr>
        <w:pStyle w:val="Textpoznpodarou"/>
        <w:rPr>
          <w:sz w:val="16"/>
          <w:szCs w:val="16"/>
        </w:rPr>
      </w:pPr>
      <w:r>
        <w:rPr>
          <w:rStyle w:val="Znakapoznpodarou"/>
          <w:sz w:val="16"/>
          <w:szCs w:val="16"/>
        </w:rPr>
        <w:footnoteRef/>
      </w:r>
      <w:r>
        <w:rPr>
          <w:sz w:val="16"/>
          <w:szCs w:val="16"/>
        </w:rPr>
        <w:t xml:space="preserve"> Podle metodiky čtvrtletních národních účtů (vývoz a dovoz v ocenění FOB/FOB).</w:t>
      </w:r>
    </w:p>
  </w:footnote>
  <w:footnote w:id="3">
    <w:p w14:paraId="48465B47" w14:textId="77777777" w:rsidR="000D7C6F" w:rsidRDefault="000D7C6F" w:rsidP="00B97F3A">
      <w:pPr>
        <w:pStyle w:val="Textpoznpodarou"/>
        <w:jc w:val="both"/>
        <w:rPr>
          <w:sz w:val="16"/>
          <w:szCs w:val="16"/>
        </w:rPr>
      </w:pPr>
      <w:r>
        <w:rPr>
          <w:rStyle w:val="Znakapoznpodarou"/>
          <w:spacing w:val="-2"/>
          <w:sz w:val="16"/>
          <w:szCs w:val="16"/>
        </w:rPr>
        <w:footnoteRef/>
      </w:r>
      <w:r>
        <w:rPr>
          <w:spacing w:val="-2"/>
          <w:sz w:val="16"/>
          <w:szCs w:val="16"/>
        </w:rPr>
        <w:t xml:space="preserve"> Údaje o zaměstnanosti jsou uvedeny v pojetí národních účtů a očištěny o sezónní vlivy.</w:t>
      </w:r>
    </w:p>
  </w:footnote>
  <w:footnote w:id="4">
    <w:p w14:paraId="75C6B20E" w14:textId="77777777" w:rsidR="000D7C6F" w:rsidRPr="000348AF" w:rsidRDefault="000D7C6F" w:rsidP="005E53DC">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w:t>
      </w:r>
      <w:r>
        <w:rPr>
          <w:sz w:val="16"/>
          <w:szCs w:val="16"/>
        </w:rPr>
        <w:t xml:space="preserve"> 1. 12. </w:t>
      </w:r>
      <w:r w:rsidRPr="000348AF">
        <w:rPr>
          <w:sz w:val="16"/>
          <w:szCs w:val="16"/>
        </w:rPr>
        <w:t>202</w:t>
      </w:r>
      <w:r>
        <w:rPr>
          <w:sz w:val="16"/>
          <w:szCs w:val="16"/>
        </w:rPr>
        <w:t>3</w:t>
      </w:r>
      <w:r w:rsidRPr="000348AF">
        <w:rPr>
          <w:sz w:val="16"/>
          <w:szCs w:val="16"/>
        </w:rPr>
        <w:t>.</w:t>
      </w:r>
    </w:p>
  </w:footnote>
  <w:footnote w:id="5">
    <w:p w14:paraId="26B5940C" w14:textId="77777777" w:rsidR="000D7C6F" w:rsidRDefault="000D7C6F" w:rsidP="005E53DC">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6">
    <w:p w14:paraId="1EFD543F" w14:textId="77777777" w:rsidR="000D7C6F" w:rsidRPr="005F75B1" w:rsidRDefault="000D7C6F" w:rsidP="005E53DC">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7">
    <w:p w14:paraId="7795BE17" w14:textId="77777777" w:rsidR="000D7C6F" w:rsidRPr="0053191D" w:rsidRDefault="000D7C6F" w:rsidP="005E53DC">
      <w:pPr>
        <w:pStyle w:val="Textpoznpodarou"/>
        <w:rPr>
          <w:sz w:val="16"/>
          <w:szCs w:val="16"/>
        </w:rPr>
      </w:pPr>
      <w:r w:rsidRPr="0053191D">
        <w:rPr>
          <w:rStyle w:val="Znakapoznpodarou"/>
          <w:sz w:val="16"/>
          <w:szCs w:val="16"/>
        </w:rPr>
        <w:footnoteRef/>
      </w:r>
      <w:r w:rsidRPr="0053191D">
        <w:rPr>
          <w:sz w:val="16"/>
          <w:szCs w:val="16"/>
        </w:rPr>
        <w:t xml:space="preserve"> Tato sekce zahrnuje činnosti organizací sdružujících osoby za účelem prosazování společných zájmů, opravy počítačů a výrobků pro osobní potřebu a převážně pro domácnost a řadu jiných osobních služeb</w:t>
      </w:r>
      <w:r>
        <w:rPr>
          <w:sz w:val="16"/>
          <w:szCs w:val="16"/>
        </w:rPr>
        <w:t xml:space="preserve"> (kosmetické, kadeřnické apod.).</w:t>
      </w:r>
    </w:p>
  </w:footnote>
  <w:footnote w:id="8">
    <w:p w14:paraId="46AA63F4" w14:textId="77777777" w:rsidR="000D7C6F" w:rsidRPr="00954992" w:rsidRDefault="000D7C6F" w:rsidP="005E53DC">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9">
    <w:p w14:paraId="11C95B30" w14:textId="77777777" w:rsidR="000D7C6F" w:rsidRPr="004831F6" w:rsidRDefault="000D7C6F" w:rsidP="005E53DC">
      <w:pPr>
        <w:pStyle w:val="Textpoznpodarou"/>
        <w:rPr>
          <w:sz w:val="16"/>
          <w:szCs w:val="16"/>
        </w:rPr>
      </w:pPr>
      <w:r w:rsidRPr="004831F6">
        <w:rPr>
          <w:rStyle w:val="Znakapoznpodarou"/>
          <w:sz w:val="16"/>
          <w:szCs w:val="16"/>
        </w:rPr>
        <w:footnoteRef/>
      </w:r>
      <w:r w:rsidRPr="004831F6">
        <w:rPr>
          <w:sz w:val="16"/>
          <w:szCs w:val="16"/>
        </w:rPr>
        <w:t xml:space="preserve"> Změna zásob</w:t>
      </w:r>
      <w:r>
        <w:rPr>
          <w:sz w:val="16"/>
          <w:szCs w:val="16"/>
        </w:rPr>
        <w:t xml:space="preserve"> (v běžných cenách a sezónně neočištěná)</w:t>
      </w:r>
      <w:r w:rsidRPr="004831F6">
        <w:rPr>
          <w:sz w:val="16"/>
          <w:szCs w:val="16"/>
        </w:rPr>
        <w:t xml:space="preserve"> </w:t>
      </w:r>
      <w:r>
        <w:rPr>
          <w:sz w:val="16"/>
          <w:szCs w:val="16"/>
        </w:rPr>
        <w:t>ve 3. čtvrtletí 2022 dosáhla 130,2 mld. korun. Od té doby jsou zásoby postupně rozpouštěny a ve 3. čtvrtletí změna zásob dosáhla 79,3 mld. korun.</w:t>
      </w:r>
    </w:p>
  </w:footnote>
  <w:footnote w:id="10">
    <w:p w14:paraId="74BC0837" w14:textId="77777777" w:rsidR="000D7C6F" w:rsidRPr="009C6EA8" w:rsidRDefault="000D7C6F" w:rsidP="005E53DC">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11">
    <w:p w14:paraId="6C9426A1" w14:textId="77777777" w:rsidR="000D7C6F" w:rsidRPr="00167B30" w:rsidRDefault="000D7C6F" w:rsidP="005E53DC">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 xml:space="preserve">. Bilance zahraničního obchodu v běžných cenách </w:t>
      </w:r>
      <w:r>
        <w:rPr>
          <w:sz w:val="16"/>
          <w:szCs w:val="16"/>
        </w:rPr>
        <w:br/>
        <w:t>a po sezónním očištění.</w:t>
      </w:r>
    </w:p>
  </w:footnote>
  <w:footnote w:id="12">
    <w:p w14:paraId="0A9AEA0C" w14:textId="77777777" w:rsidR="000D7C6F" w:rsidRPr="00AC5E0A" w:rsidRDefault="000D7C6F" w:rsidP="005E53DC">
      <w:pPr>
        <w:pStyle w:val="Textpoznpodarou"/>
        <w:rPr>
          <w:sz w:val="16"/>
          <w:szCs w:val="16"/>
        </w:rPr>
      </w:pPr>
      <w:r w:rsidRPr="00AC5E0A">
        <w:rPr>
          <w:rStyle w:val="Znakapoznpodarou"/>
          <w:sz w:val="16"/>
          <w:szCs w:val="16"/>
        </w:rPr>
        <w:footnoteRef/>
      </w:r>
      <w:r w:rsidRPr="00AC5E0A">
        <w:rPr>
          <w:sz w:val="16"/>
          <w:szCs w:val="16"/>
        </w:rPr>
        <w:t xml:space="preserve"> Výrazný rozdíl mezi dynamikou HDP a HPH byl způsoben vlivem různého ocenění HDP a HPH. Hrubá přidaná hodnota je oceněná </w:t>
      </w:r>
      <w:r>
        <w:rPr>
          <w:sz w:val="16"/>
          <w:szCs w:val="16"/>
        </w:rPr>
        <w:br/>
      </w:r>
      <w:r w:rsidRPr="00AC5E0A">
        <w:rPr>
          <w:sz w:val="16"/>
          <w:szCs w:val="16"/>
        </w:rPr>
        <w:t xml:space="preserve">v základních cenách, zatímco HDP je vyjádřen ve skutečných cenách. Aktuálně se v těchto rozdílech </w:t>
      </w:r>
      <w:r>
        <w:rPr>
          <w:sz w:val="16"/>
          <w:szCs w:val="16"/>
        </w:rPr>
        <w:t xml:space="preserve">projevují zejména klesající daňové výnosy </w:t>
      </w:r>
      <w:r w:rsidRPr="00AC5E0A">
        <w:rPr>
          <w:sz w:val="16"/>
          <w:szCs w:val="16"/>
        </w:rPr>
        <w:t>souvis</w:t>
      </w:r>
      <w:r>
        <w:rPr>
          <w:sz w:val="16"/>
          <w:szCs w:val="16"/>
        </w:rPr>
        <w:t>ející</w:t>
      </w:r>
      <w:r w:rsidRPr="00AC5E0A">
        <w:rPr>
          <w:sz w:val="16"/>
          <w:szCs w:val="16"/>
        </w:rPr>
        <w:t xml:space="preserve"> s propadající se spotřebou</w:t>
      </w:r>
      <w:r>
        <w:rPr>
          <w:sz w:val="16"/>
          <w:szCs w:val="16"/>
        </w:rPr>
        <w:t>. Dílčí vliv mohou mít také</w:t>
      </w:r>
      <w:r w:rsidRPr="00AC5E0A">
        <w:rPr>
          <w:sz w:val="16"/>
          <w:szCs w:val="16"/>
        </w:rPr>
        <w:t xml:space="preserve"> dotace zachycující stropy cen elektřiny</w:t>
      </w:r>
      <w:r>
        <w:rPr>
          <w:sz w:val="16"/>
          <w:szCs w:val="16"/>
        </w:rPr>
        <w:t xml:space="preserve">, které byly </w:t>
      </w:r>
      <w:r w:rsidRPr="00AC5E0A">
        <w:rPr>
          <w:sz w:val="16"/>
          <w:szCs w:val="16"/>
        </w:rPr>
        <w:t xml:space="preserve">ve </w:t>
      </w:r>
      <w:r>
        <w:rPr>
          <w:sz w:val="16"/>
          <w:szCs w:val="16"/>
        </w:rPr>
        <w:t>3</w:t>
      </w:r>
      <w:r w:rsidRPr="00AC5E0A">
        <w:rPr>
          <w:sz w:val="16"/>
          <w:szCs w:val="16"/>
        </w:rPr>
        <w:t>. kvartálu meziročně vyšší</w:t>
      </w:r>
      <w:r>
        <w:rPr>
          <w:sz w:val="16"/>
          <w:szCs w:val="16"/>
        </w:rPr>
        <w:t>.</w:t>
      </w:r>
    </w:p>
  </w:footnote>
  <w:footnote w:id="13">
    <w:p w14:paraId="2F44328C" w14:textId="77777777" w:rsidR="000D7C6F" w:rsidRPr="007163BD" w:rsidRDefault="000D7C6F" w:rsidP="007D7F4F">
      <w:pPr>
        <w:pStyle w:val="Textpoznpodarou"/>
        <w:jc w:val="both"/>
        <w:rPr>
          <w:rFonts w:cs="Arial"/>
          <w:color w:val="0D0D0D" w:themeColor="text1" w:themeTint="F2"/>
          <w:spacing w:val="-2"/>
          <w:sz w:val="16"/>
          <w:szCs w:val="16"/>
        </w:rPr>
      </w:pPr>
      <w:r w:rsidRPr="007163BD">
        <w:rPr>
          <w:rStyle w:val="Znakapoznpodarou"/>
          <w:rFonts w:cs="Arial"/>
          <w:color w:val="0D0D0D" w:themeColor="text1" w:themeTint="F2"/>
          <w:spacing w:val="-2"/>
          <w:sz w:val="16"/>
          <w:szCs w:val="16"/>
        </w:rPr>
        <w:footnoteRef/>
      </w:r>
      <w:r w:rsidRPr="007163BD">
        <w:rPr>
          <w:rFonts w:cs="Arial"/>
          <w:color w:val="0D0D0D" w:themeColor="text1" w:themeTint="F2"/>
          <w:spacing w:val="-2"/>
          <w:sz w:val="16"/>
          <w:szCs w:val="16"/>
        </w:rPr>
        <w:t xml:space="preserve"> Údaje o HPH jsou vyjádřeny ve stálých cenách a v očištění o sezónní a kalendářní vlivy.</w:t>
      </w:r>
    </w:p>
  </w:footnote>
  <w:footnote w:id="14">
    <w:p w14:paraId="6653E8F8" w14:textId="77777777" w:rsidR="000D7C6F" w:rsidRPr="002964C4" w:rsidRDefault="000D7C6F" w:rsidP="007D7F4F">
      <w:pPr>
        <w:pStyle w:val="Textpoznpodarou"/>
        <w:rPr>
          <w:sz w:val="16"/>
          <w:szCs w:val="16"/>
        </w:rPr>
      </w:pPr>
      <w:r w:rsidRPr="002964C4">
        <w:rPr>
          <w:rStyle w:val="Znakapoznpodarou"/>
          <w:sz w:val="16"/>
          <w:szCs w:val="16"/>
        </w:rPr>
        <w:footnoteRef/>
      </w:r>
      <w:r w:rsidRPr="002964C4">
        <w:rPr>
          <w:sz w:val="16"/>
          <w:szCs w:val="16"/>
        </w:rPr>
        <w:t xml:space="preserve"> Zahrnují skupinu veřejná správa a obrana, vzdělávání, zdravotní a sociální péče.</w:t>
      </w:r>
    </w:p>
  </w:footnote>
  <w:footnote w:id="15">
    <w:p w14:paraId="3C1D5034" w14:textId="77777777" w:rsidR="000D7C6F" w:rsidRPr="00133104" w:rsidRDefault="000D7C6F" w:rsidP="007D7F4F">
      <w:pPr>
        <w:pStyle w:val="Textpoznpodarou"/>
        <w:rPr>
          <w:sz w:val="16"/>
          <w:szCs w:val="16"/>
        </w:rPr>
      </w:pPr>
      <w:r w:rsidRPr="00133104">
        <w:rPr>
          <w:rStyle w:val="Znakapoznpodarou"/>
          <w:sz w:val="16"/>
          <w:szCs w:val="16"/>
        </w:rPr>
        <w:footnoteRef/>
      </w:r>
      <w:r w:rsidRPr="00133104">
        <w:rPr>
          <w:sz w:val="16"/>
          <w:szCs w:val="16"/>
        </w:rPr>
        <w:t xml:space="preserve"> Přímý nákup mléka od producentů vzrostl (v naturálním vyjádření) za 1. až 3. čtvrtletí </w:t>
      </w:r>
      <w:r>
        <w:rPr>
          <w:sz w:val="16"/>
          <w:szCs w:val="16"/>
        </w:rPr>
        <w:t xml:space="preserve">2023 </w:t>
      </w:r>
      <w:r w:rsidRPr="00133104">
        <w:rPr>
          <w:sz w:val="16"/>
          <w:szCs w:val="16"/>
        </w:rPr>
        <w:t>meziročně o rovn</w:t>
      </w:r>
      <w:r>
        <w:rPr>
          <w:sz w:val="16"/>
          <w:szCs w:val="16"/>
        </w:rPr>
        <w:t>é</w:t>
      </w:r>
      <w:r w:rsidRPr="00133104">
        <w:rPr>
          <w:sz w:val="16"/>
          <w:szCs w:val="16"/>
        </w:rPr>
        <w:t xml:space="preserve"> 1 %. </w:t>
      </w:r>
      <w:r>
        <w:rPr>
          <w:sz w:val="16"/>
          <w:szCs w:val="16"/>
        </w:rPr>
        <w:t>Na 3,5% p</w:t>
      </w:r>
      <w:r w:rsidRPr="002942D7">
        <w:rPr>
          <w:spacing w:val="-2"/>
          <w:sz w:val="16"/>
          <w:szCs w:val="16"/>
        </w:rPr>
        <w:t>oklesu výroby masa na jatkách ve stejném období se zásadně podílel</w:t>
      </w:r>
      <w:r>
        <w:rPr>
          <w:spacing w:val="-2"/>
          <w:sz w:val="16"/>
          <w:szCs w:val="16"/>
        </w:rPr>
        <w:t>a</w:t>
      </w:r>
      <w:r w:rsidRPr="002942D7">
        <w:rPr>
          <w:spacing w:val="-2"/>
          <w:sz w:val="16"/>
          <w:szCs w:val="16"/>
        </w:rPr>
        <w:t xml:space="preserve"> nižší výroba vepřového (</w:t>
      </w:r>
      <w:r>
        <w:rPr>
          <w:spacing w:val="-2"/>
          <w:sz w:val="16"/>
          <w:szCs w:val="16"/>
        </w:rPr>
        <w:t>−</w:t>
      </w:r>
      <w:r w:rsidRPr="002942D7">
        <w:rPr>
          <w:spacing w:val="-2"/>
          <w:sz w:val="16"/>
          <w:szCs w:val="16"/>
        </w:rPr>
        <w:t>6,7 %), v menší míře i drůbežího (</w:t>
      </w:r>
      <w:r>
        <w:rPr>
          <w:spacing w:val="-2"/>
          <w:sz w:val="16"/>
          <w:szCs w:val="16"/>
        </w:rPr>
        <w:t>−</w:t>
      </w:r>
      <w:r w:rsidRPr="002942D7">
        <w:rPr>
          <w:spacing w:val="-2"/>
          <w:sz w:val="16"/>
          <w:szCs w:val="16"/>
        </w:rPr>
        <w:t>1,7</w:t>
      </w:r>
      <w:r w:rsidRPr="002942D7">
        <w:rPr>
          <w:rFonts w:cs="Arial"/>
          <w:color w:val="0D0D0D" w:themeColor="text1" w:themeTint="F2"/>
          <w:spacing w:val="-2"/>
          <w:sz w:val="16"/>
          <w:szCs w:val="16"/>
        </w:rPr>
        <w:t> </w:t>
      </w:r>
      <w:r w:rsidRPr="002942D7">
        <w:rPr>
          <w:spacing w:val="-2"/>
          <w:sz w:val="16"/>
          <w:szCs w:val="16"/>
        </w:rPr>
        <w:t>%).</w:t>
      </w:r>
      <w:r>
        <w:rPr>
          <w:spacing w:val="-2"/>
          <w:sz w:val="16"/>
          <w:szCs w:val="16"/>
        </w:rPr>
        <w:t xml:space="preserve"> Naopak u hovězího masa d</w:t>
      </w:r>
      <w:r w:rsidRPr="002942D7">
        <w:rPr>
          <w:sz w:val="16"/>
          <w:szCs w:val="16"/>
        </w:rPr>
        <w:t xml:space="preserve">ošlo k mírnému růstu (loňská základna byla však nízká – výroba </w:t>
      </w:r>
      <w:r>
        <w:rPr>
          <w:sz w:val="16"/>
          <w:szCs w:val="16"/>
        </w:rPr>
        <w:t xml:space="preserve">tehdy </w:t>
      </w:r>
      <w:r w:rsidRPr="002942D7">
        <w:rPr>
          <w:sz w:val="16"/>
          <w:szCs w:val="16"/>
        </w:rPr>
        <w:t>klesla na pětileté minimum). Za poklesy výroby stály rostoucí náklady prvovýrobců (krmiva, energie), zčásti i nižší poptávka spotřebite</w:t>
      </w:r>
      <w:r>
        <w:rPr>
          <w:sz w:val="16"/>
          <w:szCs w:val="16"/>
        </w:rPr>
        <w:t>lů (vlivem prudkého růstu cen v</w:t>
      </w:r>
      <w:r w:rsidRPr="002942D7">
        <w:rPr>
          <w:sz w:val="16"/>
          <w:szCs w:val="16"/>
        </w:rPr>
        <w:t xml:space="preserve"> obchodech). Ceny prvovýrobců u hovězího a drůbežího masa se po prudkém loňském růstu </w:t>
      </w:r>
      <w:r>
        <w:rPr>
          <w:sz w:val="16"/>
          <w:szCs w:val="16"/>
        </w:rPr>
        <w:t xml:space="preserve">letos </w:t>
      </w:r>
      <w:r w:rsidRPr="002942D7">
        <w:rPr>
          <w:sz w:val="16"/>
          <w:szCs w:val="16"/>
        </w:rPr>
        <w:t xml:space="preserve">stabilizovaly, naopak u vepřového dál strmě rostly (zčásti šlo o ovšem o </w:t>
      </w:r>
      <w:r>
        <w:rPr>
          <w:sz w:val="16"/>
          <w:szCs w:val="16"/>
        </w:rPr>
        <w:t>„</w:t>
      </w:r>
      <w:r w:rsidRPr="002942D7">
        <w:rPr>
          <w:sz w:val="16"/>
          <w:szCs w:val="16"/>
        </w:rPr>
        <w:t>kompenzaci</w:t>
      </w:r>
      <w:r>
        <w:rPr>
          <w:sz w:val="16"/>
          <w:szCs w:val="16"/>
        </w:rPr>
        <w:t>“</w:t>
      </w:r>
      <w:r w:rsidRPr="002942D7">
        <w:rPr>
          <w:sz w:val="16"/>
          <w:szCs w:val="16"/>
        </w:rPr>
        <w:t xml:space="preserve"> velmi nízkých cen z roku 2021).</w:t>
      </w:r>
    </w:p>
  </w:footnote>
  <w:footnote w:id="16">
    <w:p w14:paraId="4B9ABA20" w14:textId="77777777" w:rsidR="000D7C6F" w:rsidRPr="00C24490" w:rsidRDefault="000D7C6F" w:rsidP="007D7F4F">
      <w:pPr>
        <w:pStyle w:val="Textpoznpodarou"/>
        <w:rPr>
          <w:rFonts w:cs="Arial"/>
          <w:sz w:val="16"/>
          <w:szCs w:val="16"/>
        </w:rPr>
      </w:pPr>
      <w:r w:rsidRPr="00C24490">
        <w:rPr>
          <w:rStyle w:val="Znakapoznpodarou"/>
          <w:sz w:val="16"/>
          <w:szCs w:val="16"/>
        </w:rPr>
        <w:footnoteRef/>
      </w:r>
      <w:r w:rsidRPr="00C24490">
        <w:rPr>
          <w:rStyle w:val="Znakapoznpodarou"/>
          <w:sz w:val="16"/>
          <w:szCs w:val="16"/>
        </w:rPr>
        <w:t xml:space="preserve"> </w:t>
      </w:r>
      <w:r>
        <w:rPr>
          <w:sz w:val="16"/>
          <w:szCs w:val="16"/>
        </w:rPr>
        <w:t>Poslední letošní odhad</w:t>
      </w:r>
      <w:r w:rsidRPr="00C24490">
        <w:rPr>
          <w:sz w:val="16"/>
          <w:szCs w:val="16"/>
        </w:rPr>
        <w:t xml:space="preserve"> (k 30.</w:t>
      </w:r>
      <w:r>
        <w:rPr>
          <w:sz w:val="16"/>
          <w:szCs w:val="16"/>
        </w:rPr>
        <w:t xml:space="preserve"> </w:t>
      </w:r>
      <w:r w:rsidRPr="00C24490">
        <w:rPr>
          <w:sz w:val="16"/>
          <w:szCs w:val="16"/>
        </w:rPr>
        <w:t xml:space="preserve">9.) potvrdil dobrou sklizeň hlavních zemědělských plodin. Sklizeň všech obilovin je odhadována na </w:t>
      </w:r>
      <w:r>
        <w:rPr>
          <w:sz w:val="16"/>
          <w:szCs w:val="16"/>
        </w:rPr>
        <w:br/>
      </w:r>
      <w:r w:rsidRPr="00C24490">
        <w:rPr>
          <w:sz w:val="16"/>
          <w:szCs w:val="16"/>
        </w:rPr>
        <w:t xml:space="preserve">7,93 mil. tun při výnosu 6,0 t/ha. Meziročně je sklizeň nižší o 3,4 %, 5letý průměr ale převyšuje (+1,3 %). Velmi dobrá byla hlavně úroda pšenice překračující nejen 5letý průměr (+6,9 %), ale nepatrně i loňskou sklizeň. Naopak kukuřice na zrno se letos urodilo nejméně za posledních 5 let (a za dlouhodobým průměrem úroda zaostala o čtvrtinu). K citelnému poklesu došlo u pícnin, sklizeň v předchozích letech u nich však patřila k nadprůměrným. Kukuřice na zeleno se </w:t>
      </w:r>
      <w:r>
        <w:rPr>
          <w:sz w:val="16"/>
          <w:szCs w:val="16"/>
        </w:rPr>
        <w:t>letos urodilo</w:t>
      </w:r>
      <w:r w:rsidRPr="00C24490">
        <w:rPr>
          <w:sz w:val="16"/>
          <w:szCs w:val="16"/>
        </w:rPr>
        <w:t xml:space="preserve"> meziročně o 14,3 % méně, voj</w:t>
      </w:r>
      <w:r>
        <w:rPr>
          <w:sz w:val="16"/>
          <w:szCs w:val="16"/>
        </w:rPr>
        <w:t>těšky a jetele o 22 %</w:t>
      </w:r>
      <w:r w:rsidRPr="00C24490">
        <w:rPr>
          <w:sz w:val="16"/>
          <w:szCs w:val="16"/>
        </w:rPr>
        <w:t xml:space="preserve"> méně. Hlavně díky nárůstu osevních ploch se sklidilo více řepky (meziročně +10,9 %). Úroda většiny ostatních olejnin sice meziročně klesla, ale díky rozšiřování ploch osevů se sklizeň drží nad úrovní dlouhodobého průměru. Cukrové řepy se sklidilo meziročně o 7,2 % méně. Negativní dopad sucha a horka na úrodu cukrovky částečně eliminovaly následné srpnové deště, slunné a teplé září. Vlhčí srpen zčásti pomohl mírně vylepšit původně pesimistické odhady sklizně brambor. I tak je jejich úroda meziročně o 18,6 % nižší, podobně zaostává i za víceletým průměrem (zčásti i kvůli poklesu ploch). Naopak trend rozšiřování osevů pomáhá úrodě luskovin. U hlavních druhů zeleniny (cibule, květák, zelí, rajčata) je letošní úroda meziročně významně vyšší (a zpravidla převyšuje i 5letý průměr). Úroda mrkve byla ale slabší (meziročně o 10 %). </w:t>
      </w:r>
      <w:r>
        <w:rPr>
          <w:sz w:val="16"/>
          <w:szCs w:val="16"/>
        </w:rPr>
        <w:t>U chmele lze letos (po velmi špatném loňském roce) očekávat mírně nadprůměrnou sklizeň.</w:t>
      </w:r>
    </w:p>
  </w:footnote>
  <w:footnote w:id="17">
    <w:p w14:paraId="09E3324C" w14:textId="77777777" w:rsidR="000D7C6F" w:rsidRPr="008C2F46" w:rsidRDefault="000D7C6F" w:rsidP="007D7F4F">
      <w:pPr>
        <w:spacing w:after="0" w:line="240" w:lineRule="auto"/>
        <w:rPr>
          <w:rFonts w:cs="Arial"/>
          <w:color w:val="0D0D0D" w:themeColor="text1" w:themeTint="F2"/>
          <w:spacing w:val="-4"/>
          <w:sz w:val="16"/>
          <w:szCs w:val="16"/>
        </w:rPr>
      </w:pPr>
      <w:r w:rsidRPr="008C2F46">
        <w:rPr>
          <w:rStyle w:val="Znakapoznpodarou"/>
          <w:spacing w:val="-4"/>
          <w:sz w:val="16"/>
          <w:szCs w:val="16"/>
        </w:rPr>
        <w:footnoteRef/>
      </w:r>
      <w:r w:rsidRPr="008C2F46">
        <w:rPr>
          <w:spacing w:val="-4"/>
          <w:sz w:val="16"/>
          <w:szCs w:val="16"/>
        </w:rPr>
        <w:t xml:space="preserve"> </w:t>
      </w:r>
      <w:r w:rsidRPr="008C2F46">
        <w:rPr>
          <w:rFonts w:cs="Arial"/>
          <w:color w:val="0D0D0D" w:themeColor="text1" w:themeTint="F2"/>
          <w:spacing w:val="-4"/>
          <w:sz w:val="16"/>
          <w:szCs w:val="16"/>
        </w:rPr>
        <w:t>Zahrnuje odvětví těžby a dobývání, zpracovatelského průmyslu a také energetiky (zde pojímané jako odvětví výroby a rozvodu elektřiny, plynu, tepla a klimatizovaného vzduchu). Všechna meziroční tempa produkce jsou očištěna o kalendářní vlivy, mezičtvrtletní tempa i o vliv sezónnosti.</w:t>
      </w:r>
    </w:p>
  </w:footnote>
  <w:footnote w:id="18">
    <w:p w14:paraId="6C0D4AD3" w14:textId="77777777" w:rsidR="000D7C6F" w:rsidRPr="00201E70" w:rsidRDefault="000D7C6F" w:rsidP="007D7F4F">
      <w:pPr>
        <w:pStyle w:val="Textpoznpodarou"/>
        <w:rPr>
          <w:color w:val="0D0D0D" w:themeColor="text1" w:themeTint="F2"/>
          <w:spacing w:val="-3"/>
          <w:sz w:val="16"/>
          <w:szCs w:val="16"/>
        </w:rPr>
      </w:pPr>
      <w:r w:rsidRPr="00BF5830">
        <w:rPr>
          <w:rStyle w:val="Znakapoznpodarou"/>
          <w:spacing w:val="-4"/>
          <w:sz w:val="16"/>
          <w:szCs w:val="16"/>
        </w:rPr>
        <w:footnoteRef/>
      </w:r>
      <w:r w:rsidRPr="00BF5830">
        <w:rPr>
          <w:spacing w:val="-4"/>
          <w:sz w:val="16"/>
          <w:szCs w:val="16"/>
        </w:rPr>
        <w:t xml:space="preserve"> </w:t>
      </w:r>
      <w:r w:rsidRPr="00201E70">
        <w:rPr>
          <w:color w:val="0D0D0D" w:themeColor="text1" w:themeTint="F2"/>
          <w:spacing w:val="-4"/>
          <w:sz w:val="16"/>
          <w:szCs w:val="16"/>
        </w:rPr>
        <w:t>Dle údajů energetického regulačního úřadu se letos za tři čtvrtletí hrubá tuzemská spotřeba elektřiny meziročně snížila o 5,9 % a prohloubila svůj pokles z předchozího roku (</w:t>
      </w:r>
      <w:r>
        <w:rPr>
          <w:color w:val="0D0D0D" w:themeColor="text1" w:themeTint="F2"/>
          <w:spacing w:val="-4"/>
          <w:sz w:val="16"/>
          <w:szCs w:val="16"/>
        </w:rPr>
        <w:t>−</w:t>
      </w:r>
      <w:r w:rsidRPr="00201E70">
        <w:rPr>
          <w:color w:val="0D0D0D" w:themeColor="text1" w:themeTint="F2"/>
          <w:spacing w:val="-4"/>
          <w:sz w:val="16"/>
          <w:szCs w:val="16"/>
        </w:rPr>
        <w:t xml:space="preserve">1,5 %). K úspoře došlo letos </w:t>
      </w:r>
      <w:r w:rsidRPr="00201E70">
        <w:rPr>
          <w:color w:val="0D0D0D" w:themeColor="text1" w:themeTint="F2"/>
          <w:spacing w:val="-3"/>
          <w:sz w:val="16"/>
          <w:szCs w:val="16"/>
        </w:rPr>
        <w:t xml:space="preserve">u všech hlavních kategorií spotřeby – nejvíce u domácností (o 4,7 %, </w:t>
      </w:r>
      <w:r w:rsidRPr="00201E70">
        <w:rPr>
          <w:color w:val="0D0D0D" w:themeColor="text1" w:themeTint="F2"/>
          <w:spacing w:val="-4"/>
          <w:sz w:val="16"/>
          <w:szCs w:val="16"/>
        </w:rPr>
        <w:t>za dva roky dokonce o 13,2 %</w:t>
      </w:r>
      <w:r w:rsidRPr="00201E70">
        <w:rPr>
          <w:color w:val="0D0D0D" w:themeColor="text1" w:themeTint="F2"/>
          <w:spacing w:val="-3"/>
          <w:sz w:val="16"/>
          <w:szCs w:val="16"/>
        </w:rPr>
        <w:t>), nejméně u</w:t>
      </w:r>
      <w:r w:rsidRPr="00201E70">
        <w:rPr>
          <w:color w:val="0D0D0D" w:themeColor="text1" w:themeTint="F2"/>
          <w:spacing w:val="-4"/>
          <w:sz w:val="16"/>
          <w:szCs w:val="16"/>
        </w:rPr>
        <w:t> </w:t>
      </w:r>
      <w:r w:rsidRPr="00201E70">
        <w:rPr>
          <w:color w:val="0D0D0D" w:themeColor="text1" w:themeTint="F2"/>
          <w:spacing w:val="-3"/>
          <w:sz w:val="16"/>
          <w:szCs w:val="16"/>
        </w:rPr>
        <w:t>velkoodběratelů</w:t>
      </w:r>
      <w:r w:rsidRPr="00201E70">
        <w:rPr>
          <w:color w:val="0D0D0D" w:themeColor="text1" w:themeTint="F2"/>
          <w:spacing w:val="-2"/>
          <w:sz w:val="16"/>
          <w:szCs w:val="16"/>
        </w:rPr>
        <w:t xml:space="preserve"> </w:t>
      </w:r>
      <w:r w:rsidRPr="00201E70">
        <w:rPr>
          <w:color w:val="0D0D0D" w:themeColor="text1" w:themeTint="F2"/>
          <w:spacing w:val="-4"/>
          <w:sz w:val="16"/>
          <w:szCs w:val="16"/>
        </w:rPr>
        <w:t>(</w:t>
      </w:r>
      <w:r>
        <w:rPr>
          <w:color w:val="0D0D0D" w:themeColor="text1" w:themeTint="F2"/>
          <w:spacing w:val="-4"/>
          <w:sz w:val="16"/>
          <w:szCs w:val="16"/>
        </w:rPr>
        <w:t>−</w:t>
      </w:r>
      <w:r w:rsidRPr="00201E70">
        <w:rPr>
          <w:color w:val="0D0D0D" w:themeColor="text1" w:themeTint="F2"/>
          <w:spacing w:val="-4"/>
          <w:sz w:val="16"/>
          <w:szCs w:val="16"/>
        </w:rPr>
        <w:t>3,9 %).</w:t>
      </w:r>
      <w:r w:rsidRPr="00201E70">
        <w:rPr>
          <w:color w:val="0D0D0D" w:themeColor="text1" w:themeTint="F2"/>
          <w:spacing w:val="-3"/>
          <w:sz w:val="16"/>
          <w:szCs w:val="16"/>
        </w:rPr>
        <w:t xml:space="preserve"> </w:t>
      </w:r>
      <w:r w:rsidRPr="00201E70">
        <w:rPr>
          <w:color w:val="0D0D0D" w:themeColor="text1" w:themeTint="F2"/>
          <w:spacing w:val="-4"/>
          <w:sz w:val="16"/>
          <w:szCs w:val="16"/>
        </w:rPr>
        <w:t>Citelně, byť mírněji než loni</w:t>
      </w:r>
      <w:r>
        <w:rPr>
          <w:color w:val="0D0D0D" w:themeColor="text1" w:themeTint="F2"/>
          <w:spacing w:val="-4"/>
          <w:sz w:val="16"/>
          <w:szCs w:val="16"/>
        </w:rPr>
        <w:t>,</w:t>
      </w:r>
      <w:r w:rsidRPr="00201E70">
        <w:rPr>
          <w:color w:val="0D0D0D" w:themeColor="text1" w:themeTint="F2"/>
          <w:spacing w:val="-4"/>
          <w:sz w:val="16"/>
          <w:szCs w:val="16"/>
        </w:rPr>
        <w:t xml:space="preserve"> klesla v 1. až 3. čtvrtletí i celková spotřeba plynu (vyjádřená v m</w:t>
      </w:r>
      <w:r w:rsidRPr="00201E70">
        <w:rPr>
          <w:color w:val="0D0D0D" w:themeColor="text1" w:themeTint="F2"/>
          <w:spacing w:val="-4"/>
          <w:sz w:val="16"/>
          <w:szCs w:val="16"/>
          <w:vertAlign w:val="superscript"/>
        </w:rPr>
        <w:t>3</w:t>
      </w:r>
      <w:r w:rsidRPr="00201E70">
        <w:rPr>
          <w:color w:val="0D0D0D" w:themeColor="text1" w:themeTint="F2"/>
          <w:spacing w:val="-4"/>
          <w:sz w:val="16"/>
          <w:szCs w:val="16"/>
        </w:rPr>
        <w:t>) v ČR – meziročně o 12,1 % (po přepočtu na teplotní normál o 10,3 %). Znatelné snížení spotřeby nastalo u všech hlavních kategorií odběratelů, nejvyšší bylo u domácnosti, které odebraly meziročně o 14,2 % plynu méně (za dva roky o 30,7 % méně), nejmenší pokles pak u velkoodběratelů (</w:t>
      </w:r>
      <w:r>
        <w:rPr>
          <w:color w:val="0D0D0D" w:themeColor="text1" w:themeTint="F2"/>
          <w:spacing w:val="-4"/>
          <w:sz w:val="16"/>
          <w:szCs w:val="16"/>
        </w:rPr>
        <w:t>−</w:t>
      </w:r>
      <w:r w:rsidRPr="00201E70">
        <w:rPr>
          <w:color w:val="0D0D0D" w:themeColor="text1" w:themeTint="F2"/>
          <w:spacing w:val="-4"/>
          <w:sz w:val="16"/>
          <w:szCs w:val="16"/>
        </w:rPr>
        <w:t>10,6 %, za dva roky ale 29,9 %). K celkovému meziročnímu poklesu spotřeby elektřiny i plynu došlo dosud letos ve všech měsících (leden až září). Aktuální data za 1. pololetí 2023 ukazují i na plošný meziroční pokles spotřeby tepla (vyjádřené v TJ) – v domácnostech o 3,1 %, v odvětví obchodu, službách, školství, zdravotnictví o 6,9 %, v průmyslu o 11,9 %.</w:t>
      </w:r>
    </w:p>
  </w:footnote>
  <w:footnote w:id="19">
    <w:p w14:paraId="54FC69DA" w14:textId="77777777" w:rsidR="000D7C6F" w:rsidRPr="00201E70" w:rsidRDefault="000D7C6F" w:rsidP="007D7F4F">
      <w:pPr>
        <w:pStyle w:val="Textpoznpodarou"/>
        <w:rPr>
          <w:color w:val="0D0D0D" w:themeColor="text1" w:themeTint="F2"/>
          <w:sz w:val="16"/>
          <w:szCs w:val="16"/>
        </w:rPr>
      </w:pPr>
      <w:r w:rsidRPr="00201E70">
        <w:rPr>
          <w:rStyle w:val="Znakapoznpodarou"/>
          <w:color w:val="0D0D0D" w:themeColor="text1" w:themeTint="F2"/>
          <w:sz w:val="16"/>
          <w:szCs w:val="16"/>
        </w:rPr>
        <w:footnoteRef/>
      </w:r>
      <w:r w:rsidRPr="00201E70">
        <w:rPr>
          <w:color w:val="0D0D0D" w:themeColor="text1" w:themeTint="F2"/>
          <w:sz w:val="16"/>
          <w:szCs w:val="16"/>
        </w:rPr>
        <w:t xml:space="preserve"> Průměrná teplota ovzduší v ČR vystoupala letos </w:t>
      </w:r>
      <w:r>
        <w:rPr>
          <w:color w:val="0D0D0D" w:themeColor="text1" w:themeTint="F2"/>
          <w:sz w:val="16"/>
          <w:szCs w:val="16"/>
        </w:rPr>
        <w:t xml:space="preserve">v </w:t>
      </w:r>
      <w:r w:rsidRPr="00201E70">
        <w:rPr>
          <w:color w:val="0D0D0D" w:themeColor="text1" w:themeTint="F2"/>
          <w:sz w:val="16"/>
          <w:szCs w:val="16"/>
        </w:rPr>
        <w:t>le</w:t>
      </w:r>
      <w:r>
        <w:rPr>
          <w:color w:val="0D0D0D" w:themeColor="text1" w:themeTint="F2"/>
          <w:sz w:val="16"/>
          <w:szCs w:val="16"/>
        </w:rPr>
        <w:t>dnu i září nad</w:t>
      </w:r>
      <w:r w:rsidRPr="00201E70">
        <w:rPr>
          <w:color w:val="0D0D0D" w:themeColor="text1" w:themeTint="F2"/>
          <w:sz w:val="16"/>
          <w:szCs w:val="16"/>
        </w:rPr>
        <w:t xml:space="preserve"> dlouhodobý normál</w:t>
      </w:r>
      <w:r>
        <w:rPr>
          <w:color w:val="0D0D0D" w:themeColor="text1" w:themeTint="F2"/>
          <w:sz w:val="16"/>
          <w:szCs w:val="16"/>
        </w:rPr>
        <w:t xml:space="preserve"> o 3,4 stupně, v únoru i březnu</w:t>
      </w:r>
      <w:r w:rsidRPr="00201E70">
        <w:rPr>
          <w:color w:val="0D0D0D" w:themeColor="text1" w:themeTint="F2"/>
          <w:sz w:val="16"/>
          <w:szCs w:val="16"/>
        </w:rPr>
        <w:t xml:space="preserve"> o 1,5 stupně.</w:t>
      </w:r>
    </w:p>
  </w:footnote>
  <w:footnote w:id="20">
    <w:p w14:paraId="7275AAEE" w14:textId="77777777" w:rsidR="000D7C6F" w:rsidRPr="00F125DF" w:rsidRDefault="000D7C6F" w:rsidP="007D7F4F">
      <w:pPr>
        <w:pStyle w:val="Textpoznpodarou"/>
        <w:rPr>
          <w:sz w:val="16"/>
          <w:szCs w:val="16"/>
        </w:rPr>
      </w:pPr>
      <w:r w:rsidRPr="00201E70">
        <w:rPr>
          <w:rStyle w:val="Znakapoznpodarou"/>
          <w:color w:val="0D0D0D" w:themeColor="text1" w:themeTint="F2"/>
          <w:sz w:val="16"/>
          <w:szCs w:val="16"/>
        </w:rPr>
        <w:footnoteRef/>
      </w:r>
      <w:r w:rsidRPr="00201E70">
        <w:rPr>
          <w:color w:val="0D0D0D" w:themeColor="text1" w:themeTint="F2"/>
          <w:sz w:val="16"/>
          <w:szCs w:val="16"/>
        </w:rPr>
        <w:t xml:space="preserve"> Za výrazným útlumem tohoto odvětví stojí i vyšší srovnávací základna. Na počátku roku 2022 zde dosáhl objem produkce rekordní úrovně (ve srovnatelné řadě od roku 2001).</w:t>
      </w:r>
    </w:p>
  </w:footnote>
  <w:footnote w:id="21">
    <w:p w14:paraId="272B6B64" w14:textId="77777777" w:rsidR="000D7C6F" w:rsidRPr="00201E70" w:rsidRDefault="000D7C6F" w:rsidP="007D7F4F">
      <w:pPr>
        <w:pStyle w:val="Textpoznpodarou"/>
        <w:rPr>
          <w:sz w:val="16"/>
          <w:szCs w:val="16"/>
        </w:rPr>
      </w:pPr>
      <w:r w:rsidRPr="00201E70">
        <w:rPr>
          <w:rStyle w:val="Znakapoznpodarou"/>
          <w:sz w:val="16"/>
          <w:szCs w:val="16"/>
        </w:rPr>
        <w:footnoteRef/>
      </w:r>
      <w:r w:rsidRPr="00201E70">
        <w:rPr>
          <w:sz w:val="16"/>
          <w:szCs w:val="16"/>
        </w:rPr>
        <w:t xml:space="preserve"> </w:t>
      </w:r>
      <w:r w:rsidRPr="00201E70">
        <w:rPr>
          <w:color w:val="0D0D0D" w:themeColor="text1" w:themeTint="F2"/>
          <w:spacing w:val="-4"/>
          <w:sz w:val="16"/>
          <w:szCs w:val="16"/>
        </w:rPr>
        <w:t xml:space="preserve">Několikaletý růst spotřeby potravin </w:t>
      </w:r>
      <w:r>
        <w:rPr>
          <w:color w:val="0D0D0D" w:themeColor="text1" w:themeTint="F2"/>
          <w:spacing w:val="-4"/>
          <w:sz w:val="16"/>
          <w:szCs w:val="16"/>
        </w:rPr>
        <w:t xml:space="preserve">v ČR </w:t>
      </w:r>
      <w:r w:rsidRPr="00201E70">
        <w:rPr>
          <w:color w:val="0D0D0D" w:themeColor="text1" w:themeTint="F2"/>
          <w:spacing w:val="-4"/>
          <w:sz w:val="16"/>
          <w:szCs w:val="16"/>
        </w:rPr>
        <w:t xml:space="preserve">(vyjádřený v naturálních jednotkách) se zastavil již v roce 2022. Celková spotřeba potravin na jednoho obyvatele v roce 2022 </w:t>
      </w:r>
      <w:r>
        <w:rPr>
          <w:color w:val="0D0D0D" w:themeColor="text1" w:themeTint="F2"/>
          <w:spacing w:val="-4"/>
          <w:sz w:val="16"/>
          <w:szCs w:val="16"/>
        </w:rPr>
        <w:t xml:space="preserve">činila </w:t>
      </w:r>
      <w:r w:rsidRPr="00201E70">
        <w:rPr>
          <w:color w:val="0D0D0D" w:themeColor="text1" w:themeTint="F2"/>
          <w:spacing w:val="-4"/>
          <w:sz w:val="16"/>
          <w:szCs w:val="16"/>
        </w:rPr>
        <w:t>793 kg</w:t>
      </w:r>
      <w:r>
        <w:rPr>
          <w:color w:val="0D0D0D" w:themeColor="text1" w:themeTint="F2"/>
          <w:spacing w:val="-4"/>
          <w:sz w:val="16"/>
          <w:szCs w:val="16"/>
        </w:rPr>
        <w:t xml:space="preserve"> a</w:t>
      </w:r>
      <w:r w:rsidRPr="00201E70">
        <w:rPr>
          <w:color w:val="0D0D0D" w:themeColor="text1" w:themeTint="F2"/>
          <w:spacing w:val="-4"/>
          <w:sz w:val="16"/>
          <w:szCs w:val="16"/>
        </w:rPr>
        <w:t xml:space="preserve"> </w:t>
      </w:r>
      <w:r>
        <w:rPr>
          <w:color w:val="0D0D0D" w:themeColor="text1" w:themeTint="F2"/>
          <w:spacing w:val="-4"/>
          <w:sz w:val="16"/>
          <w:szCs w:val="16"/>
        </w:rPr>
        <w:t>byla meziročně nižší o 32 kg, když klesla</w:t>
      </w:r>
      <w:r w:rsidRPr="00201E70">
        <w:rPr>
          <w:color w:val="0D0D0D" w:themeColor="text1" w:themeTint="F2"/>
          <w:spacing w:val="-4"/>
          <w:sz w:val="16"/>
          <w:szCs w:val="16"/>
        </w:rPr>
        <w:t xml:space="preserve"> na úroveň posledních </w:t>
      </w:r>
      <w:proofErr w:type="spellStart"/>
      <w:r w:rsidRPr="00201E70">
        <w:rPr>
          <w:color w:val="0D0D0D" w:themeColor="text1" w:themeTint="F2"/>
          <w:spacing w:val="-4"/>
          <w:sz w:val="16"/>
          <w:szCs w:val="16"/>
        </w:rPr>
        <w:t>předcovidových</w:t>
      </w:r>
      <w:proofErr w:type="spellEnd"/>
      <w:r>
        <w:rPr>
          <w:color w:val="0D0D0D" w:themeColor="text1" w:themeTint="F2"/>
          <w:spacing w:val="-4"/>
          <w:sz w:val="16"/>
          <w:szCs w:val="16"/>
        </w:rPr>
        <w:t> let. Proti roku</w:t>
      </w:r>
      <w:r w:rsidRPr="00201E70">
        <w:rPr>
          <w:color w:val="0D0D0D" w:themeColor="text1" w:themeTint="F2"/>
          <w:spacing w:val="-4"/>
          <w:sz w:val="16"/>
          <w:szCs w:val="16"/>
        </w:rPr>
        <w:t xml:space="preserve"> 2021 se spotřebovalo méně mléka a mléčných výrobků, masa, vajec, tuků, brambor, ovoce i zeleniny.</w:t>
      </w:r>
      <w:r w:rsidRPr="00A97171">
        <w:rPr>
          <w:color w:val="0D0D0D" w:themeColor="text1" w:themeTint="F2"/>
          <w:spacing w:val="-4"/>
          <w:sz w:val="16"/>
          <w:szCs w:val="16"/>
        </w:rPr>
        <w:t> Po deseti letech se zastavil růst spotřeby masa</w:t>
      </w:r>
      <w:r>
        <w:rPr>
          <w:color w:val="0D0D0D" w:themeColor="text1" w:themeTint="F2"/>
          <w:spacing w:val="-4"/>
          <w:sz w:val="16"/>
          <w:szCs w:val="16"/>
        </w:rPr>
        <w:t xml:space="preserve"> (relativně nejvyšší pokles nastal o hovězího).</w:t>
      </w:r>
    </w:p>
  </w:footnote>
  <w:footnote w:id="22">
    <w:p w14:paraId="47C3A9C7" w14:textId="77777777" w:rsidR="000D7C6F" w:rsidRPr="00926FB6" w:rsidRDefault="000D7C6F" w:rsidP="007D7F4F">
      <w:pPr>
        <w:pStyle w:val="Textpoznpodarou"/>
        <w:rPr>
          <w:sz w:val="16"/>
          <w:szCs w:val="16"/>
        </w:rPr>
      </w:pPr>
      <w:r w:rsidRPr="00926FB6">
        <w:rPr>
          <w:rStyle w:val="Znakapoznpodarou"/>
          <w:color w:val="0D0D0D" w:themeColor="text1" w:themeTint="F2"/>
          <w:sz w:val="16"/>
          <w:szCs w:val="16"/>
        </w:rPr>
        <w:footnoteRef/>
      </w:r>
      <w:r w:rsidRPr="00926FB6">
        <w:rPr>
          <w:color w:val="0D0D0D" w:themeColor="text1" w:themeTint="F2"/>
          <w:sz w:val="16"/>
          <w:szCs w:val="16"/>
        </w:rPr>
        <w:t xml:space="preserve"> Za celý rok 2022 vzrostla v tomto odvětví produkce o 13 %. Spolu s kožedělným </w:t>
      </w:r>
      <w:r>
        <w:rPr>
          <w:color w:val="0D0D0D" w:themeColor="text1" w:themeTint="F2"/>
          <w:sz w:val="16"/>
          <w:szCs w:val="16"/>
        </w:rPr>
        <w:t xml:space="preserve">a obuvnickým </w:t>
      </w:r>
      <w:r w:rsidRPr="00926FB6">
        <w:rPr>
          <w:color w:val="0D0D0D" w:themeColor="text1" w:themeTint="F2"/>
          <w:sz w:val="16"/>
          <w:szCs w:val="16"/>
        </w:rPr>
        <w:t xml:space="preserve">průmyslem šlo o nejvyšší růst mezi hlavními průmyslovými obory. </w:t>
      </w:r>
    </w:p>
  </w:footnote>
  <w:footnote w:id="23">
    <w:p w14:paraId="385517F4" w14:textId="77777777" w:rsidR="000D7C6F" w:rsidRPr="005C7A8D" w:rsidRDefault="000D7C6F" w:rsidP="007D7F4F">
      <w:pPr>
        <w:pStyle w:val="Textpoznpodarou"/>
        <w:rPr>
          <w:sz w:val="16"/>
          <w:szCs w:val="16"/>
        </w:rPr>
      </w:pPr>
      <w:r w:rsidRPr="005C7A8D">
        <w:rPr>
          <w:rStyle w:val="Znakapoznpodarou"/>
          <w:sz w:val="16"/>
          <w:szCs w:val="16"/>
        </w:rPr>
        <w:footnoteRef/>
      </w:r>
      <w:r w:rsidRPr="005C7A8D">
        <w:rPr>
          <w:sz w:val="16"/>
          <w:szCs w:val="16"/>
        </w:rPr>
        <w:t xml:space="preserve"> Tento obor zahrnuje (vedle váhově dominantní skupiny výroby lékařských a dentálních nástrojů a potřeb) také výrobu her, hraček, hudebních nástrojů, sportovních potřeb či klenotů a bižuterie.</w:t>
      </w:r>
    </w:p>
  </w:footnote>
  <w:footnote w:id="24">
    <w:p w14:paraId="3384AB41" w14:textId="77777777" w:rsidR="000D7C6F" w:rsidRPr="00967BDB" w:rsidRDefault="000D7C6F" w:rsidP="007D7F4F">
      <w:pPr>
        <w:pStyle w:val="Textpoznpodarou"/>
        <w:rPr>
          <w:sz w:val="16"/>
          <w:szCs w:val="16"/>
        </w:rPr>
      </w:pPr>
      <w:r w:rsidRPr="00967BDB">
        <w:rPr>
          <w:rStyle w:val="Znakapoznpodarou"/>
          <w:sz w:val="16"/>
          <w:szCs w:val="16"/>
        </w:rPr>
        <w:footnoteRef/>
      </w:r>
      <w:r w:rsidRPr="00967BDB">
        <w:rPr>
          <w:sz w:val="16"/>
          <w:szCs w:val="16"/>
        </w:rPr>
        <w:t xml:space="preserve"> </w:t>
      </w:r>
      <w:r w:rsidRPr="00967BDB">
        <w:rPr>
          <w:spacing w:val="-5"/>
          <w:sz w:val="16"/>
          <w:szCs w:val="16"/>
        </w:rPr>
        <w:t>Z</w:t>
      </w:r>
      <w:r>
        <w:rPr>
          <w:spacing w:val="-5"/>
          <w:sz w:val="16"/>
          <w:szCs w:val="16"/>
        </w:rPr>
        <w:t>č</w:t>
      </w:r>
      <w:r w:rsidRPr="00967BDB">
        <w:rPr>
          <w:spacing w:val="-5"/>
          <w:sz w:val="16"/>
          <w:szCs w:val="16"/>
        </w:rPr>
        <w:t>ásti šlo ovšem o kompenzaci nižší výroby z období na počá</w:t>
      </w:r>
      <w:r>
        <w:rPr>
          <w:spacing w:val="-5"/>
          <w:sz w:val="16"/>
          <w:szCs w:val="16"/>
        </w:rPr>
        <w:t xml:space="preserve">tku </w:t>
      </w:r>
      <w:r w:rsidRPr="00967BDB">
        <w:rPr>
          <w:spacing w:val="-5"/>
          <w:sz w:val="16"/>
          <w:szCs w:val="16"/>
        </w:rPr>
        <w:t>roku</w:t>
      </w:r>
      <w:r>
        <w:rPr>
          <w:spacing w:val="-5"/>
          <w:sz w:val="16"/>
          <w:szCs w:val="16"/>
        </w:rPr>
        <w:t xml:space="preserve"> 2022, </w:t>
      </w:r>
      <w:r w:rsidRPr="00967BDB">
        <w:rPr>
          <w:spacing w:val="-5"/>
          <w:sz w:val="16"/>
          <w:szCs w:val="16"/>
        </w:rPr>
        <w:t xml:space="preserve">kdy problémy v dodavatelských řetězcích eskalovaly vinou </w:t>
      </w:r>
      <w:r w:rsidRPr="00967BDB">
        <w:rPr>
          <w:color w:val="0D0D0D" w:themeColor="text1" w:themeTint="F2"/>
          <w:spacing w:val="-5"/>
          <w:sz w:val="16"/>
          <w:szCs w:val="16"/>
        </w:rPr>
        <w:t>zmrazení výroby některých zdrojových</w:t>
      </w:r>
      <w:r>
        <w:rPr>
          <w:color w:val="0D0D0D" w:themeColor="text1" w:themeTint="F2"/>
          <w:spacing w:val="-5"/>
          <w:sz w:val="16"/>
          <w:szCs w:val="16"/>
        </w:rPr>
        <w:t xml:space="preserve"> komponent v Číně i na Ukrajině</w:t>
      </w:r>
      <w:r w:rsidRPr="00967BDB">
        <w:rPr>
          <w:color w:val="0D0D0D" w:themeColor="text1" w:themeTint="F2"/>
          <w:spacing w:val="-5"/>
          <w:sz w:val="16"/>
          <w:szCs w:val="16"/>
        </w:rPr>
        <w:t>.</w:t>
      </w:r>
    </w:p>
  </w:footnote>
  <w:footnote w:id="25">
    <w:p w14:paraId="03AABEA0" w14:textId="77777777" w:rsidR="000D7C6F" w:rsidRPr="00967BDB" w:rsidRDefault="000D7C6F" w:rsidP="007D7F4F">
      <w:pPr>
        <w:pStyle w:val="Textpoznpodarou"/>
        <w:rPr>
          <w:sz w:val="16"/>
          <w:szCs w:val="16"/>
        </w:rPr>
      </w:pPr>
      <w:r w:rsidRPr="00967BDB">
        <w:rPr>
          <w:rStyle w:val="Znakapoznpodarou"/>
          <w:sz w:val="16"/>
          <w:szCs w:val="16"/>
        </w:rPr>
        <w:footnoteRef/>
      </w:r>
      <w:r w:rsidRPr="00967BDB">
        <w:rPr>
          <w:sz w:val="16"/>
          <w:szCs w:val="16"/>
        </w:rPr>
        <w:t xml:space="preserve"> K </w:t>
      </w:r>
      <w:proofErr w:type="spellStart"/>
      <w:r w:rsidRPr="00967BDB">
        <w:rPr>
          <w:sz w:val="16"/>
          <w:szCs w:val="16"/>
        </w:rPr>
        <w:t>mezikvartálním</w:t>
      </w:r>
      <w:r>
        <w:rPr>
          <w:sz w:val="16"/>
          <w:szCs w:val="16"/>
        </w:rPr>
        <w:t>u</w:t>
      </w:r>
      <w:proofErr w:type="spellEnd"/>
      <w:r w:rsidRPr="00967BDB">
        <w:rPr>
          <w:sz w:val="16"/>
          <w:szCs w:val="16"/>
        </w:rPr>
        <w:t xml:space="preserve"> poklesu produkce došlo poprvé od 3. čtvrtletí 2021.</w:t>
      </w:r>
      <w:r>
        <w:rPr>
          <w:sz w:val="16"/>
          <w:szCs w:val="16"/>
        </w:rPr>
        <w:t xml:space="preserve"> Částečně se zde projevil dopad narušení výroby u některých významných producentů kvůli dočasným problémům u tuzemských i zahraničních dodavatelů (v důsledku zasažení živelními vlivy).</w:t>
      </w:r>
    </w:p>
  </w:footnote>
  <w:footnote w:id="26">
    <w:p w14:paraId="485FA3B7" w14:textId="77777777" w:rsidR="000D7C6F" w:rsidRPr="00AF5F38" w:rsidRDefault="000D7C6F" w:rsidP="007D7F4F">
      <w:pPr>
        <w:pStyle w:val="Textpoznpodarou"/>
        <w:rPr>
          <w:sz w:val="16"/>
          <w:szCs w:val="16"/>
        </w:rPr>
      </w:pPr>
      <w:r w:rsidRPr="008C2F46">
        <w:rPr>
          <w:rStyle w:val="Znakapoznpodarou"/>
          <w:sz w:val="16"/>
          <w:szCs w:val="16"/>
        </w:rPr>
        <w:footnoteRef/>
      </w:r>
      <w:r w:rsidRPr="008C2F46">
        <w:rPr>
          <w:sz w:val="16"/>
          <w:szCs w:val="16"/>
        </w:rPr>
        <w:t xml:space="preserve"> Dle Sdružení</w:t>
      </w:r>
      <w:r w:rsidRPr="00033208">
        <w:rPr>
          <w:sz w:val="16"/>
          <w:szCs w:val="16"/>
        </w:rPr>
        <w:t xml:space="preserve"> automobilového pr</w:t>
      </w:r>
      <w:r>
        <w:rPr>
          <w:sz w:val="16"/>
          <w:szCs w:val="16"/>
        </w:rPr>
        <w:t xml:space="preserve">ůmyslu bylo letos </w:t>
      </w:r>
      <w:r w:rsidRPr="00033208">
        <w:rPr>
          <w:sz w:val="16"/>
          <w:szCs w:val="16"/>
        </w:rPr>
        <w:t xml:space="preserve">v Česku </w:t>
      </w:r>
      <w:r>
        <w:rPr>
          <w:sz w:val="16"/>
          <w:szCs w:val="16"/>
        </w:rPr>
        <w:t>za prvních deset měsíců</w:t>
      </w:r>
      <w:r w:rsidRPr="00033208">
        <w:rPr>
          <w:sz w:val="16"/>
          <w:szCs w:val="16"/>
        </w:rPr>
        <w:t xml:space="preserve"> </w:t>
      </w:r>
      <w:r>
        <w:rPr>
          <w:sz w:val="16"/>
          <w:szCs w:val="16"/>
        </w:rPr>
        <w:t xml:space="preserve">vyrobeno 1,162 mil. osobních automobilů (nejvíce v tomto období za poslední čtyři roky a pouze o 3 % méně než za leden až říjen 2018). Výroba meziročně posílila o 16 %. </w:t>
      </w:r>
      <w:r>
        <w:rPr>
          <w:spacing w:val="-3"/>
          <w:sz w:val="16"/>
          <w:szCs w:val="16"/>
        </w:rPr>
        <w:t>Březnová, červnová, červencová a říjnová výroba byla v rámci shodných měsíců dokonce nejvyšší v historii. Na elektrická vozidla (vč. vozů s</w:t>
      </w:r>
      <w:r w:rsidRPr="00E04667">
        <w:rPr>
          <w:spacing w:val="-3"/>
          <w:sz w:val="16"/>
          <w:szCs w:val="16"/>
        </w:rPr>
        <w:t xml:space="preserve"> hybridní</w:t>
      </w:r>
      <w:r>
        <w:rPr>
          <w:spacing w:val="-3"/>
          <w:sz w:val="16"/>
          <w:szCs w:val="16"/>
        </w:rPr>
        <w:t>m</w:t>
      </w:r>
      <w:r w:rsidRPr="00E04667">
        <w:rPr>
          <w:spacing w:val="-3"/>
          <w:sz w:val="16"/>
          <w:szCs w:val="16"/>
        </w:rPr>
        <w:t xml:space="preserve"> pohon</w:t>
      </w:r>
      <w:r>
        <w:rPr>
          <w:spacing w:val="-3"/>
          <w:sz w:val="16"/>
          <w:szCs w:val="16"/>
        </w:rPr>
        <w:t>em)</w:t>
      </w:r>
      <w:r w:rsidRPr="00E04667">
        <w:rPr>
          <w:spacing w:val="-3"/>
          <w:sz w:val="16"/>
          <w:szCs w:val="16"/>
        </w:rPr>
        <w:t xml:space="preserve"> </w:t>
      </w:r>
      <w:r>
        <w:rPr>
          <w:spacing w:val="-3"/>
          <w:sz w:val="16"/>
          <w:szCs w:val="16"/>
        </w:rPr>
        <w:t>připadalo</w:t>
      </w:r>
      <w:r w:rsidRPr="00327346">
        <w:rPr>
          <w:spacing w:val="-3"/>
          <w:sz w:val="16"/>
          <w:szCs w:val="16"/>
        </w:rPr>
        <w:t xml:space="preserve"> </w:t>
      </w:r>
      <w:r>
        <w:rPr>
          <w:spacing w:val="-3"/>
          <w:sz w:val="16"/>
          <w:szCs w:val="16"/>
        </w:rPr>
        <w:t>dosud letos již 13,6 % všech v tuzemsku vyrobených osobních automobilů. Meziročně nižší produkci zaznamenali naopak výrobci ostatních druhů motorových silničních vozidel.</w:t>
      </w:r>
    </w:p>
  </w:footnote>
  <w:footnote w:id="27">
    <w:p w14:paraId="18188809" w14:textId="77777777" w:rsidR="000D7C6F" w:rsidRPr="00F33536" w:rsidRDefault="000D7C6F" w:rsidP="007D7F4F">
      <w:pPr>
        <w:pStyle w:val="Textpoznpodarou"/>
        <w:jc w:val="both"/>
        <w:rPr>
          <w:spacing w:val="-2"/>
          <w:sz w:val="16"/>
          <w:szCs w:val="16"/>
        </w:rPr>
      </w:pPr>
      <w:r w:rsidRPr="00F33536">
        <w:rPr>
          <w:rStyle w:val="Znakapoznpodarou"/>
          <w:spacing w:val="-2"/>
          <w:sz w:val="16"/>
          <w:szCs w:val="16"/>
        </w:rPr>
        <w:footnoteRef/>
      </w:r>
      <w:r w:rsidRPr="00F33536">
        <w:rPr>
          <w:spacing w:val="-2"/>
          <w:sz w:val="16"/>
          <w:szCs w:val="16"/>
        </w:rPr>
        <w:t xml:space="preserve"> </w:t>
      </w:r>
      <w:r>
        <w:rPr>
          <w:spacing w:val="-2"/>
          <w:sz w:val="16"/>
          <w:szCs w:val="16"/>
        </w:rPr>
        <w:t xml:space="preserve">Jde o tržby z průmyslové činnosti. </w:t>
      </w:r>
      <w:r w:rsidRPr="00F33536">
        <w:rPr>
          <w:rFonts w:cs="Arial"/>
          <w:color w:val="0D0D0D" w:themeColor="text1" w:themeTint="F2"/>
          <w:spacing w:val="-2"/>
          <w:sz w:val="16"/>
          <w:szCs w:val="16"/>
        </w:rPr>
        <w:t>Meziroční tempa tržeb jsou očištěna o kalendářní vlivy.</w:t>
      </w:r>
    </w:p>
  </w:footnote>
  <w:footnote w:id="28">
    <w:p w14:paraId="002791F9" w14:textId="77777777" w:rsidR="000D7C6F" w:rsidRPr="00FB58F4" w:rsidRDefault="000D7C6F" w:rsidP="007D7F4F">
      <w:pPr>
        <w:pStyle w:val="Textpoznpodarou"/>
        <w:jc w:val="both"/>
        <w:rPr>
          <w:rFonts w:cs="Arial"/>
          <w:color w:val="0D0D0D" w:themeColor="text1" w:themeTint="F2"/>
          <w:spacing w:val="-2"/>
          <w:sz w:val="16"/>
          <w:szCs w:val="16"/>
        </w:rPr>
      </w:pPr>
      <w:r w:rsidRPr="00F33536">
        <w:rPr>
          <w:rStyle w:val="Znakapoznpodarou"/>
          <w:rFonts w:cs="Arial"/>
          <w:color w:val="0D0D0D" w:themeColor="text1" w:themeTint="F2"/>
          <w:spacing w:val="-2"/>
          <w:sz w:val="16"/>
          <w:szCs w:val="16"/>
        </w:rPr>
        <w:footnoteRef/>
      </w:r>
      <w:r w:rsidRPr="00F33536">
        <w:rPr>
          <w:rFonts w:cs="Arial"/>
          <w:color w:val="0D0D0D" w:themeColor="text1" w:themeTint="F2"/>
          <w:spacing w:val="-2"/>
          <w:sz w:val="16"/>
          <w:szCs w:val="16"/>
        </w:rPr>
        <w:t xml:space="preserve"> Zjišťování zakázek probíhá jen ve dvanácti zpracovatelských odvětvích vyrábějících převážně na zakázku, s dlouhodobějším výrobním cyklem a s většími zásobami zakázek. Meziroční tempa zakázek j</w:t>
      </w:r>
      <w:r>
        <w:rPr>
          <w:rFonts w:cs="Arial"/>
          <w:color w:val="0D0D0D" w:themeColor="text1" w:themeTint="F2"/>
          <w:spacing w:val="-2"/>
          <w:sz w:val="16"/>
          <w:szCs w:val="16"/>
        </w:rPr>
        <w:t xml:space="preserve">sou očištěna o kalendářní vlivy, </w:t>
      </w:r>
      <w:proofErr w:type="spellStart"/>
      <w:r>
        <w:rPr>
          <w:rFonts w:cs="Arial"/>
          <w:color w:val="0D0D0D" w:themeColor="text1" w:themeTint="F2"/>
          <w:spacing w:val="-2"/>
          <w:sz w:val="16"/>
          <w:szCs w:val="16"/>
        </w:rPr>
        <w:t>mezikvartální</w:t>
      </w:r>
      <w:proofErr w:type="spellEnd"/>
      <w:r>
        <w:rPr>
          <w:rFonts w:cs="Arial"/>
          <w:color w:val="0D0D0D" w:themeColor="text1" w:themeTint="F2"/>
          <w:spacing w:val="-2"/>
          <w:sz w:val="16"/>
          <w:szCs w:val="16"/>
        </w:rPr>
        <w:t xml:space="preserve"> tempa také o vliv sezónnosti.</w:t>
      </w:r>
    </w:p>
  </w:footnote>
  <w:footnote w:id="29">
    <w:p w14:paraId="0917A2A0" w14:textId="77777777" w:rsidR="000D7C6F" w:rsidRPr="003728A3" w:rsidRDefault="000D7C6F" w:rsidP="007D7F4F">
      <w:pPr>
        <w:pStyle w:val="Textpoznpodarou"/>
        <w:rPr>
          <w:sz w:val="16"/>
          <w:szCs w:val="16"/>
        </w:rPr>
      </w:pPr>
      <w:r w:rsidRPr="003728A3">
        <w:rPr>
          <w:rStyle w:val="Znakapoznpodarou"/>
          <w:sz w:val="16"/>
          <w:szCs w:val="16"/>
        </w:rPr>
        <w:footnoteRef/>
      </w:r>
      <w:r w:rsidRPr="003728A3">
        <w:rPr>
          <w:sz w:val="16"/>
          <w:szCs w:val="16"/>
        </w:rPr>
        <w:t xml:space="preserve"> V</w:t>
      </w:r>
      <w:r>
        <w:rPr>
          <w:sz w:val="16"/>
          <w:szCs w:val="16"/>
        </w:rPr>
        <w:t>e 3. čtvrtletí klesly nové tuzemské zakázky meziročně o 7,2 % a pokles v </w:t>
      </w:r>
      <w:proofErr w:type="spellStart"/>
      <w:r>
        <w:rPr>
          <w:sz w:val="16"/>
          <w:szCs w:val="16"/>
        </w:rPr>
        <w:t>mezikvartálním</w:t>
      </w:r>
      <w:proofErr w:type="spellEnd"/>
      <w:r>
        <w:rPr>
          <w:sz w:val="16"/>
          <w:szCs w:val="16"/>
        </w:rPr>
        <w:t xml:space="preserve"> srovnání registrovaly počtvrté v řadě.</w:t>
      </w:r>
    </w:p>
  </w:footnote>
  <w:footnote w:id="30">
    <w:p w14:paraId="6AC68B32" w14:textId="77777777" w:rsidR="000D7C6F" w:rsidRPr="002F35D0" w:rsidRDefault="000D7C6F" w:rsidP="007D7F4F">
      <w:pPr>
        <w:pStyle w:val="Textpoznpodarou"/>
        <w:rPr>
          <w:spacing w:val="-2"/>
          <w:sz w:val="16"/>
          <w:szCs w:val="16"/>
        </w:rPr>
      </w:pPr>
      <w:r w:rsidRPr="002F35D0">
        <w:rPr>
          <w:rStyle w:val="Znakapoznpodarou"/>
          <w:spacing w:val="-2"/>
          <w:sz w:val="16"/>
          <w:szCs w:val="16"/>
        </w:rPr>
        <w:footnoteRef/>
      </w:r>
      <w:r>
        <w:rPr>
          <w:spacing w:val="-2"/>
          <w:sz w:val="16"/>
          <w:szCs w:val="16"/>
        </w:rPr>
        <w:t xml:space="preserve"> Ty přetrvávají od </w:t>
      </w:r>
      <w:r w:rsidRPr="002F35D0">
        <w:rPr>
          <w:spacing w:val="-2"/>
          <w:sz w:val="16"/>
          <w:szCs w:val="16"/>
        </w:rPr>
        <w:t xml:space="preserve">loňského října. </w:t>
      </w:r>
      <w:r w:rsidRPr="002F35D0">
        <w:rPr>
          <w:sz w:val="16"/>
          <w:szCs w:val="16"/>
        </w:rPr>
        <w:t>To se již začalo projevovat na „tvrdých“ datech – evidenční počet zaměstnanců v</w:t>
      </w:r>
      <w:r>
        <w:rPr>
          <w:sz w:val="16"/>
          <w:szCs w:val="16"/>
        </w:rPr>
        <w:t> průmyslu se ve 3</w:t>
      </w:r>
      <w:r w:rsidRPr="002F35D0">
        <w:rPr>
          <w:sz w:val="16"/>
          <w:szCs w:val="16"/>
        </w:rPr>
        <w:t xml:space="preserve">. čtvrtletí 2023 </w:t>
      </w:r>
      <w:r>
        <w:rPr>
          <w:sz w:val="16"/>
          <w:szCs w:val="16"/>
        </w:rPr>
        <w:t>meziročně snížil o 1,6 % (v úhrnu od počátku letošního roku o 1,2 %).</w:t>
      </w:r>
    </w:p>
  </w:footnote>
  <w:footnote w:id="31">
    <w:p w14:paraId="5DD6F8C9" w14:textId="77777777" w:rsidR="000D7C6F" w:rsidRPr="00AF44D9" w:rsidRDefault="000D7C6F" w:rsidP="007D7F4F">
      <w:pPr>
        <w:pStyle w:val="Textpoznpodarou"/>
        <w:rPr>
          <w:sz w:val="16"/>
          <w:szCs w:val="16"/>
        </w:rPr>
      </w:pPr>
      <w:r w:rsidRPr="00AF44D9">
        <w:rPr>
          <w:rStyle w:val="Znakapoznpodarou"/>
          <w:sz w:val="16"/>
          <w:szCs w:val="16"/>
        </w:rPr>
        <w:footnoteRef/>
      </w:r>
      <w:r w:rsidRPr="00AF44D9">
        <w:rPr>
          <w:sz w:val="16"/>
          <w:szCs w:val="16"/>
        </w:rPr>
        <w:t xml:space="preserve"> Podniky mohly uvést více bariér současně.</w:t>
      </w:r>
      <w:r>
        <w:rPr>
          <w:sz w:val="16"/>
          <w:szCs w:val="16"/>
        </w:rPr>
        <w:t xml:space="preserve"> Bariéry jsou očištěny o vliv sezónnosti. Slabá poptávka představovala zásadní růstový limit především pro většinu energeticky náročných průmyslových oborů (hutnictví, výroba stavebních hmot, gumárenství a </w:t>
      </w:r>
      <w:proofErr w:type="spellStart"/>
      <w:r>
        <w:rPr>
          <w:sz w:val="16"/>
          <w:szCs w:val="16"/>
        </w:rPr>
        <w:t>plastikářství</w:t>
      </w:r>
      <w:proofErr w:type="spellEnd"/>
      <w:r>
        <w:rPr>
          <w:sz w:val="16"/>
          <w:szCs w:val="16"/>
        </w:rPr>
        <w:t xml:space="preserve">, </w:t>
      </w:r>
      <w:r w:rsidRPr="001D37AB">
        <w:rPr>
          <w:sz w:val="16"/>
          <w:szCs w:val="16"/>
        </w:rPr>
        <w:t>dřevozpracující a papírenský průmysl), dále pro textilní či nápojový průmysl. Tuto bariéru uvedl i vysoký podíl podniků v</w:t>
      </w:r>
      <w:r>
        <w:rPr>
          <w:sz w:val="16"/>
          <w:szCs w:val="16"/>
        </w:rPr>
        <w:t>e výrobě elektrických zařízení</w:t>
      </w:r>
      <w:r w:rsidRPr="001D37AB">
        <w:rPr>
          <w:sz w:val="16"/>
          <w:szCs w:val="16"/>
        </w:rPr>
        <w:t>.</w:t>
      </w:r>
    </w:p>
  </w:footnote>
  <w:footnote w:id="32">
    <w:p w14:paraId="1B131CDA" w14:textId="77777777" w:rsidR="000D7C6F" w:rsidRPr="002A5130" w:rsidRDefault="000D7C6F" w:rsidP="007D7F4F">
      <w:pPr>
        <w:pStyle w:val="Textpoznpodarou"/>
        <w:rPr>
          <w:sz w:val="16"/>
          <w:szCs w:val="16"/>
        </w:rPr>
      </w:pPr>
      <w:r w:rsidRPr="002A5130">
        <w:rPr>
          <w:rStyle w:val="Znakapoznpodarou"/>
          <w:sz w:val="16"/>
          <w:szCs w:val="16"/>
        </w:rPr>
        <w:footnoteRef/>
      </w:r>
      <w:r>
        <w:rPr>
          <w:sz w:val="16"/>
          <w:szCs w:val="16"/>
        </w:rPr>
        <w:t xml:space="preserve"> U</w:t>
      </w:r>
      <w:r w:rsidRPr="002A5130">
        <w:rPr>
          <w:sz w:val="16"/>
          <w:szCs w:val="16"/>
        </w:rPr>
        <w:t xml:space="preserve"> n</w:t>
      </w:r>
      <w:r>
        <w:rPr>
          <w:sz w:val="16"/>
          <w:szCs w:val="16"/>
        </w:rPr>
        <w:t>edostatku zaměstnanců šlo o strojírenství, kožedělný i obuvnický průmysl či výrobu dopravních prostředků (mimo automobily).</w:t>
      </w:r>
    </w:p>
  </w:footnote>
  <w:footnote w:id="33">
    <w:p w14:paraId="474684E7" w14:textId="77777777" w:rsidR="000D7C6F" w:rsidRPr="00291A49" w:rsidRDefault="000D7C6F" w:rsidP="007D7F4F">
      <w:pPr>
        <w:pStyle w:val="Textpoznpodarou"/>
        <w:rPr>
          <w:sz w:val="16"/>
          <w:szCs w:val="16"/>
        </w:rPr>
      </w:pPr>
      <w:r w:rsidRPr="00291A49">
        <w:rPr>
          <w:rStyle w:val="Znakapoznpodarou"/>
          <w:sz w:val="16"/>
          <w:szCs w:val="16"/>
        </w:rPr>
        <w:footnoteRef/>
      </w:r>
      <w:r w:rsidRPr="00291A49">
        <w:rPr>
          <w:sz w:val="16"/>
          <w:szCs w:val="16"/>
        </w:rPr>
        <w:t xml:space="preserve"> Dle kon</w:t>
      </w:r>
      <w:r>
        <w:rPr>
          <w:sz w:val="16"/>
          <w:szCs w:val="16"/>
        </w:rPr>
        <w:t xml:space="preserve">junkturálních průzkumů z letošního listopadu očekávalo </w:t>
      </w:r>
      <w:r w:rsidRPr="00291A49">
        <w:rPr>
          <w:sz w:val="16"/>
          <w:szCs w:val="16"/>
        </w:rPr>
        <w:t xml:space="preserve">růst cen vlastní produkce </w:t>
      </w:r>
      <w:r>
        <w:rPr>
          <w:sz w:val="16"/>
          <w:szCs w:val="16"/>
        </w:rPr>
        <w:t xml:space="preserve">(v horizontu tří měsíců) stále bezmála 40 % tuzemských </w:t>
      </w:r>
      <w:r w:rsidRPr="00291A49">
        <w:rPr>
          <w:sz w:val="16"/>
          <w:szCs w:val="16"/>
        </w:rPr>
        <w:t>stavebních p</w:t>
      </w:r>
      <w:r>
        <w:rPr>
          <w:sz w:val="16"/>
          <w:szCs w:val="16"/>
        </w:rPr>
        <w:t xml:space="preserve">odniků. I přes postupný pokles, </w:t>
      </w:r>
      <w:r w:rsidRPr="00291A49">
        <w:rPr>
          <w:sz w:val="16"/>
          <w:szCs w:val="16"/>
        </w:rPr>
        <w:t>který je však mírněj</w:t>
      </w:r>
      <w:r>
        <w:rPr>
          <w:sz w:val="16"/>
          <w:szCs w:val="16"/>
        </w:rPr>
        <w:t xml:space="preserve">ší než v průmyslu, šlo </w:t>
      </w:r>
      <w:r w:rsidRPr="00291A49">
        <w:rPr>
          <w:sz w:val="16"/>
          <w:szCs w:val="16"/>
        </w:rPr>
        <w:t>o nejvyšší podíl me</w:t>
      </w:r>
      <w:r>
        <w:rPr>
          <w:sz w:val="16"/>
          <w:szCs w:val="16"/>
        </w:rPr>
        <w:t>zi všemi hlavními odvětvími</w:t>
      </w:r>
      <w:r w:rsidRPr="00291A49">
        <w:rPr>
          <w:sz w:val="16"/>
          <w:szCs w:val="16"/>
        </w:rPr>
        <w:t>.</w:t>
      </w:r>
    </w:p>
  </w:footnote>
  <w:footnote w:id="34">
    <w:p w14:paraId="7765641C" w14:textId="77777777" w:rsidR="000D7C6F" w:rsidRPr="00C6587B" w:rsidRDefault="000D7C6F" w:rsidP="007D7F4F">
      <w:pPr>
        <w:pStyle w:val="Textpoznpodarou"/>
        <w:rPr>
          <w:sz w:val="16"/>
          <w:szCs w:val="16"/>
        </w:rPr>
      </w:pPr>
      <w:r w:rsidRPr="00C6587B">
        <w:rPr>
          <w:rStyle w:val="Znakapoznpodarou"/>
          <w:sz w:val="16"/>
          <w:szCs w:val="16"/>
        </w:rPr>
        <w:footnoteRef/>
      </w:r>
      <w:r w:rsidRPr="00C6587B">
        <w:rPr>
          <w:sz w:val="16"/>
          <w:szCs w:val="16"/>
        </w:rPr>
        <w:t xml:space="preserve"> Ta souvisela </w:t>
      </w:r>
      <w:r>
        <w:rPr>
          <w:sz w:val="16"/>
          <w:szCs w:val="16"/>
        </w:rPr>
        <w:t>s poklesem reálných příjmů domácností i s vysokými úrokovými sazbami hypoték (jejichž úroveň se během letošního roku příliš nezměnila).</w:t>
      </w:r>
      <w:r w:rsidRPr="00C6587B">
        <w:rPr>
          <w:sz w:val="16"/>
          <w:szCs w:val="16"/>
        </w:rPr>
        <w:t xml:space="preserve"> </w:t>
      </w:r>
      <w:r>
        <w:rPr>
          <w:sz w:val="16"/>
          <w:szCs w:val="16"/>
        </w:rPr>
        <w:t>Situaci by v nejbližší době mohlo zlepšit omezení regulací. Od ledna 2024</w:t>
      </w:r>
      <w:r w:rsidRPr="00C6587B">
        <w:rPr>
          <w:sz w:val="16"/>
          <w:szCs w:val="16"/>
        </w:rPr>
        <w:t xml:space="preserve"> </w:t>
      </w:r>
      <w:r>
        <w:rPr>
          <w:sz w:val="16"/>
          <w:szCs w:val="16"/>
        </w:rPr>
        <w:t>přistoupila</w:t>
      </w:r>
      <w:r w:rsidRPr="00C6587B">
        <w:rPr>
          <w:sz w:val="16"/>
          <w:szCs w:val="16"/>
        </w:rPr>
        <w:t xml:space="preserve"> ČNB </w:t>
      </w:r>
      <w:r>
        <w:rPr>
          <w:sz w:val="16"/>
          <w:szCs w:val="16"/>
        </w:rPr>
        <w:t>k deaktivaci některých limitů pro poskytování hypotečních úvěrů (poměr celkové výše dluhu, resp. výše dluhové služby k ročnímu čistému příjmu domácnosti).</w:t>
      </w:r>
    </w:p>
  </w:footnote>
  <w:footnote w:id="35">
    <w:p w14:paraId="07BE9058" w14:textId="77777777" w:rsidR="000D7C6F" w:rsidRPr="000F6F33" w:rsidRDefault="000D7C6F" w:rsidP="007D7F4F">
      <w:pPr>
        <w:pStyle w:val="Textpoznpodarou"/>
        <w:rPr>
          <w:sz w:val="16"/>
          <w:szCs w:val="16"/>
        </w:rPr>
      </w:pPr>
      <w:r w:rsidRPr="000F6F33">
        <w:rPr>
          <w:rStyle w:val="Znakapoznpodarou"/>
          <w:sz w:val="16"/>
          <w:szCs w:val="16"/>
        </w:rPr>
        <w:footnoteRef/>
      </w:r>
      <w:r w:rsidRPr="000F6F33">
        <w:rPr>
          <w:sz w:val="16"/>
          <w:szCs w:val="16"/>
        </w:rPr>
        <w:t xml:space="preserve"> </w:t>
      </w:r>
      <w:r>
        <w:rPr>
          <w:sz w:val="16"/>
          <w:szCs w:val="16"/>
        </w:rPr>
        <w:t>Např. k</w:t>
      </w:r>
      <w:r w:rsidRPr="000F6F33">
        <w:rPr>
          <w:sz w:val="16"/>
          <w:szCs w:val="16"/>
        </w:rPr>
        <w:t xml:space="preserve">apitálové výdaje státního rozpočtu ČR vzrostly letos od ledna do listopadu meziročně o 22 %, resp. </w:t>
      </w:r>
      <w:r>
        <w:rPr>
          <w:sz w:val="16"/>
          <w:szCs w:val="16"/>
        </w:rPr>
        <w:t xml:space="preserve">o </w:t>
      </w:r>
      <w:r w:rsidRPr="000F6F33">
        <w:rPr>
          <w:sz w:val="16"/>
          <w:szCs w:val="16"/>
        </w:rPr>
        <w:t>32,4 mld. korun.</w:t>
      </w:r>
    </w:p>
  </w:footnote>
  <w:footnote w:id="36">
    <w:p w14:paraId="34B43159" w14:textId="77777777" w:rsidR="000D7C6F" w:rsidRPr="002D2942" w:rsidRDefault="000D7C6F" w:rsidP="007D7F4F">
      <w:pPr>
        <w:pStyle w:val="Textpoznpodarou"/>
        <w:jc w:val="both"/>
        <w:rPr>
          <w:sz w:val="16"/>
          <w:szCs w:val="16"/>
        </w:rPr>
      </w:pPr>
      <w:r w:rsidRPr="002D2942">
        <w:rPr>
          <w:rStyle w:val="Znakapoznpodarou"/>
          <w:rFonts w:cs="Arial"/>
          <w:color w:val="0D0D0D" w:themeColor="text1" w:themeTint="F2"/>
          <w:sz w:val="16"/>
          <w:szCs w:val="16"/>
        </w:rPr>
        <w:footnoteRef/>
      </w:r>
      <w:r w:rsidRPr="002D2942">
        <w:rPr>
          <w:rFonts w:cs="Arial"/>
          <w:color w:val="0D0D0D" w:themeColor="text1" w:themeTint="F2"/>
          <w:sz w:val="16"/>
          <w:szCs w:val="16"/>
        </w:rPr>
        <w:t xml:space="preserve"> Údaje o stavební produkci jsou ve stálých cenách, meziroční tempa jsou očištěna o kalendářní vlivy, mezičtvrtletní též o vliv sezónnosti.</w:t>
      </w:r>
    </w:p>
  </w:footnote>
  <w:footnote w:id="37">
    <w:p w14:paraId="7FD5F1B4" w14:textId="77777777" w:rsidR="000D7C6F" w:rsidRPr="005A580E" w:rsidRDefault="000D7C6F" w:rsidP="007D7F4F">
      <w:pPr>
        <w:pStyle w:val="Textpoznpodarou"/>
        <w:rPr>
          <w:sz w:val="16"/>
          <w:szCs w:val="16"/>
        </w:rPr>
      </w:pPr>
      <w:r w:rsidRPr="005A580E">
        <w:rPr>
          <w:rStyle w:val="Znakapoznpodarou"/>
          <w:sz w:val="16"/>
          <w:szCs w:val="16"/>
        </w:rPr>
        <w:footnoteRef/>
      </w:r>
      <w:r w:rsidRPr="005A580E">
        <w:rPr>
          <w:sz w:val="16"/>
          <w:szCs w:val="16"/>
        </w:rPr>
        <w:t xml:space="preserve"> </w:t>
      </w:r>
      <w:r w:rsidRPr="005A580E">
        <w:rPr>
          <w:rFonts w:cs="Arial"/>
          <w:color w:val="0D0D0D" w:themeColor="text1" w:themeTint="F2"/>
          <w:spacing w:val="-4"/>
          <w:sz w:val="16"/>
          <w:szCs w:val="16"/>
        </w:rPr>
        <w:t xml:space="preserve">V růstu </w:t>
      </w:r>
      <w:r>
        <w:rPr>
          <w:rFonts w:cs="Arial"/>
          <w:color w:val="0D0D0D" w:themeColor="text1" w:themeTint="F2"/>
          <w:spacing w:val="-4"/>
          <w:sz w:val="16"/>
          <w:szCs w:val="16"/>
        </w:rPr>
        <w:t xml:space="preserve">nominální </w:t>
      </w:r>
      <w:r w:rsidRPr="005A580E">
        <w:rPr>
          <w:rFonts w:cs="Arial"/>
          <w:color w:val="0D0D0D" w:themeColor="text1" w:themeTint="F2"/>
          <w:spacing w:val="-4"/>
          <w:sz w:val="16"/>
          <w:szCs w:val="16"/>
        </w:rPr>
        <w:t xml:space="preserve">hodnoty povolení se odrážela vyšší očekávaná aktivita firem v oblasti změn dokončených staveb (ve </w:t>
      </w:r>
      <w:r w:rsidRPr="005A580E">
        <w:rPr>
          <w:rFonts w:cs="Arial"/>
          <w:color w:val="0D0D0D" w:themeColor="text1" w:themeTint="F2"/>
          <w:spacing w:val="-5"/>
          <w:sz w:val="16"/>
          <w:szCs w:val="16"/>
        </w:rPr>
        <w:t>všech klíčových směrech výstavby) a též nová výstavba inženýrských (primárně dopravních)</w:t>
      </w:r>
      <w:r w:rsidRPr="005A580E">
        <w:rPr>
          <w:rFonts w:cs="Arial"/>
          <w:color w:val="0D0D0D" w:themeColor="text1" w:themeTint="F2"/>
          <w:spacing w:val="-4"/>
          <w:sz w:val="16"/>
          <w:szCs w:val="16"/>
        </w:rPr>
        <w:t xml:space="preserve"> staveb. Naopak hodnota povolení u nov</w:t>
      </w:r>
      <w:r>
        <w:rPr>
          <w:rFonts w:cs="Arial"/>
          <w:color w:val="0D0D0D" w:themeColor="text1" w:themeTint="F2"/>
          <w:spacing w:val="-4"/>
          <w:sz w:val="16"/>
          <w:szCs w:val="16"/>
        </w:rPr>
        <w:t>é výstavby bytů propadla o</w:t>
      </w:r>
      <w:r w:rsidRPr="002D2942">
        <w:rPr>
          <w:rFonts w:cs="Arial"/>
          <w:color w:val="0D0D0D" w:themeColor="text1" w:themeTint="F2"/>
          <w:sz w:val="16"/>
          <w:szCs w:val="16"/>
        </w:rPr>
        <w:t> </w:t>
      </w:r>
      <w:r>
        <w:rPr>
          <w:rFonts w:cs="Arial"/>
          <w:color w:val="0D0D0D" w:themeColor="text1" w:themeTint="F2"/>
          <w:spacing w:val="-4"/>
          <w:sz w:val="16"/>
          <w:szCs w:val="16"/>
        </w:rPr>
        <w:t>16 % (na 96</w:t>
      </w:r>
      <w:r w:rsidRPr="005A580E">
        <w:rPr>
          <w:rFonts w:cs="Arial"/>
          <w:color w:val="0D0D0D" w:themeColor="text1" w:themeTint="F2"/>
          <w:spacing w:val="-4"/>
          <w:sz w:val="16"/>
          <w:szCs w:val="16"/>
        </w:rPr>
        <w:t xml:space="preserve"> mld. korun –</w:t>
      </w:r>
      <w:r>
        <w:rPr>
          <w:rFonts w:cs="Arial"/>
          <w:color w:val="0D0D0D" w:themeColor="text1" w:themeTint="F2"/>
          <w:spacing w:val="-4"/>
          <w:sz w:val="16"/>
          <w:szCs w:val="16"/>
        </w:rPr>
        <w:t xml:space="preserve"> nejnižší úroveň za poslední tři</w:t>
      </w:r>
      <w:r w:rsidRPr="005A580E">
        <w:rPr>
          <w:rFonts w:cs="Arial"/>
          <w:color w:val="0D0D0D" w:themeColor="text1" w:themeTint="F2"/>
          <w:spacing w:val="-4"/>
          <w:sz w:val="16"/>
          <w:szCs w:val="16"/>
        </w:rPr>
        <w:t xml:space="preserve"> roky).</w:t>
      </w:r>
    </w:p>
  </w:footnote>
  <w:footnote w:id="38">
    <w:p w14:paraId="4DA68671" w14:textId="77777777" w:rsidR="000D7C6F" w:rsidRPr="00E254E1" w:rsidRDefault="000D7C6F" w:rsidP="007D7F4F">
      <w:pPr>
        <w:pStyle w:val="Textpoznpodarou"/>
        <w:rPr>
          <w:sz w:val="16"/>
          <w:szCs w:val="16"/>
        </w:rPr>
      </w:pPr>
      <w:r w:rsidRPr="00E254E1">
        <w:rPr>
          <w:rStyle w:val="Znakapoznpodarou"/>
          <w:sz w:val="16"/>
          <w:szCs w:val="16"/>
        </w:rPr>
        <w:footnoteRef/>
      </w:r>
      <w:r w:rsidRPr="00E254E1">
        <w:rPr>
          <w:sz w:val="16"/>
          <w:szCs w:val="16"/>
        </w:rPr>
        <w:t xml:space="preserve"> Podniky mohly uvést více bariér současně.</w:t>
      </w:r>
    </w:p>
  </w:footnote>
  <w:footnote w:id="39">
    <w:p w14:paraId="0880873A" w14:textId="77777777" w:rsidR="000D7C6F" w:rsidRPr="00E62461" w:rsidRDefault="000D7C6F" w:rsidP="007D7F4F">
      <w:pPr>
        <w:spacing w:after="0" w:line="240" w:lineRule="auto"/>
        <w:rPr>
          <w:spacing w:val="-2"/>
        </w:rPr>
      </w:pPr>
      <w:r w:rsidRPr="00E62461">
        <w:rPr>
          <w:rStyle w:val="Znakapoznpodarou"/>
          <w:color w:val="0D0D0D" w:themeColor="text1" w:themeTint="F2"/>
          <w:spacing w:val="-2"/>
          <w:sz w:val="16"/>
          <w:szCs w:val="16"/>
        </w:rPr>
        <w:footnoteRef/>
      </w:r>
      <w:r w:rsidRPr="00E62461">
        <w:rPr>
          <w:color w:val="0D0D0D" w:themeColor="text1" w:themeTint="F2"/>
          <w:spacing w:val="-2"/>
          <w:sz w:val="16"/>
          <w:szCs w:val="16"/>
        </w:rPr>
        <w:t xml:space="preserve"> Bez obchodu, peněžnictví, pojišťovnictví, vědy, výzkumu a veřejných služeb. Všechny údaje za tržby ve službách jsou ve stálých cenách, meziroční data jsou očištěna o kalendářní vlivy, mezičtvrtletní jsou očištěna o sezónní vlivy (včetně vlivu počtu pracovních dnů).</w:t>
      </w:r>
    </w:p>
  </w:footnote>
  <w:footnote w:id="40">
    <w:p w14:paraId="45D07E4F" w14:textId="734D8B5C" w:rsidR="000D7C6F" w:rsidRPr="000A0F03" w:rsidRDefault="000D7C6F" w:rsidP="007D7F4F">
      <w:pPr>
        <w:pStyle w:val="Textpoznpodarou"/>
        <w:rPr>
          <w:sz w:val="16"/>
          <w:szCs w:val="16"/>
        </w:rPr>
      </w:pPr>
      <w:r w:rsidRPr="000A0F03">
        <w:rPr>
          <w:rStyle w:val="Znakapoznpodarou"/>
          <w:sz w:val="16"/>
          <w:szCs w:val="16"/>
        </w:rPr>
        <w:footnoteRef/>
      </w:r>
      <w:r w:rsidRPr="000A0F03">
        <w:rPr>
          <w:sz w:val="16"/>
          <w:szCs w:val="16"/>
        </w:rPr>
        <w:t xml:space="preserve"> Z hlavních odvětví </w:t>
      </w:r>
      <w:r>
        <w:rPr>
          <w:sz w:val="16"/>
          <w:szCs w:val="16"/>
        </w:rPr>
        <w:t xml:space="preserve">zaostávaly </w:t>
      </w:r>
      <w:r w:rsidRPr="000A0F03">
        <w:rPr>
          <w:sz w:val="16"/>
          <w:szCs w:val="16"/>
        </w:rPr>
        <w:t xml:space="preserve">za předkrizovou úrovní </w:t>
      </w:r>
      <w:r>
        <w:rPr>
          <w:sz w:val="16"/>
          <w:szCs w:val="16"/>
        </w:rPr>
        <w:t>nejvíce</w:t>
      </w:r>
      <w:r w:rsidRPr="000A0F03">
        <w:rPr>
          <w:sz w:val="16"/>
          <w:szCs w:val="16"/>
        </w:rPr>
        <w:t xml:space="preserve"> tržby v ubytování, stravování a pohostinství (</w:t>
      </w:r>
      <w:r>
        <w:rPr>
          <w:sz w:val="16"/>
          <w:szCs w:val="16"/>
        </w:rPr>
        <w:t xml:space="preserve">skoro </w:t>
      </w:r>
      <w:r w:rsidRPr="000A0F03">
        <w:rPr>
          <w:sz w:val="16"/>
          <w:szCs w:val="16"/>
        </w:rPr>
        <w:t xml:space="preserve">o pětinu) </w:t>
      </w:r>
      <w:r>
        <w:rPr>
          <w:sz w:val="16"/>
          <w:szCs w:val="16"/>
        </w:rPr>
        <w:br/>
      </w:r>
      <w:r w:rsidRPr="000A0F03">
        <w:rPr>
          <w:sz w:val="16"/>
          <w:szCs w:val="16"/>
        </w:rPr>
        <w:t xml:space="preserve">a v </w:t>
      </w:r>
      <w:r w:rsidRPr="000A0F03">
        <w:rPr>
          <w:rFonts w:cs="Arial"/>
          <w:color w:val="0D0D0D" w:themeColor="text1" w:themeTint="F2"/>
          <w:spacing w:val="-6"/>
          <w:sz w:val="16"/>
          <w:szCs w:val="16"/>
        </w:rPr>
        <w:t>administrativních a podpůrných činnostech (o desetinu). Naproti tomu profesní, vědecké a technické činnosti</w:t>
      </w:r>
      <w:r>
        <w:rPr>
          <w:rFonts w:cs="Arial"/>
          <w:color w:val="0D0D0D" w:themeColor="text1" w:themeTint="F2"/>
          <w:spacing w:val="-6"/>
          <w:sz w:val="16"/>
          <w:szCs w:val="16"/>
        </w:rPr>
        <w:t xml:space="preserve">, </w:t>
      </w:r>
      <w:r w:rsidRPr="000A0F03">
        <w:rPr>
          <w:rFonts w:cs="Arial"/>
          <w:color w:val="0D0D0D" w:themeColor="text1" w:themeTint="F2"/>
          <w:spacing w:val="-6"/>
          <w:sz w:val="16"/>
          <w:szCs w:val="16"/>
        </w:rPr>
        <w:t>činnosti</w:t>
      </w:r>
      <w:r>
        <w:rPr>
          <w:rFonts w:cs="Arial"/>
          <w:color w:val="0D0D0D" w:themeColor="text1" w:themeTint="F2"/>
          <w:spacing w:val="-6"/>
          <w:sz w:val="16"/>
          <w:szCs w:val="16"/>
        </w:rPr>
        <w:t xml:space="preserve"> v oblasti nemovitostí</w:t>
      </w:r>
      <w:r w:rsidRPr="000A0F03">
        <w:rPr>
          <w:rFonts w:cs="Arial"/>
          <w:color w:val="0D0D0D" w:themeColor="text1" w:themeTint="F2"/>
          <w:spacing w:val="-6"/>
          <w:sz w:val="16"/>
          <w:szCs w:val="16"/>
        </w:rPr>
        <w:t xml:space="preserve"> a také informační a komunikační čin</w:t>
      </w:r>
      <w:r>
        <w:rPr>
          <w:rFonts w:cs="Arial"/>
          <w:color w:val="0D0D0D" w:themeColor="text1" w:themeTint="F2"/>
          <w:spacing w:val="-6"/>
          <w:sz w:val="16"/>
          <w:szCs w:val="16"/>
        </w:rPr>
        <w:t>nosti tuto úroveň</w:t>
      </w:r>
      <w:r w:rsidRPr="000A0F03">
        <w:rPr>
          <w:rFonts w:cs="Arial"/>
          <w:color w:val="0D0D0D" w:themeColor="text1" w:themeTint="F2"/>
          <w:spacing w:val="-6"/>
          <w:sz w:val="16"/>
          <w:szCs w:val="16"/>
        </w:rPr>
        <w:t xml:space="preserve"> překonaly.</w:t>
      </w:r>
    </w:p>
  </w:footnote>
  <w:footnote w:id="41">
    <w:p w14:paraId="6A8A660D" w14:textId="77777777" w:rsidR="000D7C6F" w:rsidRPr="004272FC" w:rsidRDefault="000D7C6F" w:rsidP="007D7F4F">
      <w:pPr>
        <w:pStyle w:val="Textpoznpodarou"/>
        <w:rPr>
          <w:sz w:val="16"/>
          <w:szCs w:val="16"/>
        </w:rPr>
      </w:pPr>
      <w:r w:rsidRPr="004272FC">
        <w:rPr>
          <w:rStyle w:val="Znakapoznpodarou"/>
          <w:sz w:val="16"/>
          <w:szCs w:val="16"/>
        </w:rPr>
        <w:footnoteRef/>
      </w:r>
      <w:r w:rsidRPr="004272FC">
        <w:rPr>
          <w:sz w:val="16"/>
          <w:szCs w:val="16"/>
        </w:rPr>
        <w:t xml:space="preserve"> Obrat zbožového zahraničního obchodu ve stálých cenách (dle metodiky národního účetnictví) se letos ve 3. čtvrtletí meziročně snížil o 3,4 %, z toho u dovozu zboží došlo k poklesu již i v předcházejícím čtvrtletí.</w:t>
      </w:r>
    </w:p>
  </w:footnote>
  <w:footnote w:id="42">
    <w:p w14:paraId="5A79FA41" w14:textId="77777777" w:rsidR="000D7C6F" w:rsidRPr="00923BCB" w:rsidRDefault="000D7C6F" w:rsidP="007D7F4F">
      <w:pPr>
        <w:pStyle w:val="Textpoznpodarou"/>
        <w:rPr>
          <w:spacing w:val="-4"/>
          <w:sz w:val="16"/>
          <w:szCs w:val="16"/>
        </w:rPr>
      </w:pPr>
      <w:r w:rsidRPr="00923BCB">
        <w:rPr>
          <w:rStyle w:val="Znakapoznpodarou"/>
          <w:spacing w:val="-4"/>
          <w:sz w:val="16"/>
          <w:szCs w:val="16"/>
        </w:rPr>
        <w:footnoteRef/>
      </w:r>
      <w:r w:rsidRPr="00923BCB">
        <w:rPr>
          <w:spacing w:val="-4"/>
          <w:sz w:val="16"/>
          <w:szCs w:val="16"/>
        </w:rPr>
        <w:t xml:space="preserve"> S tím souvisely tržby tuzemských leteckých dopravců, které se během 3. čtvrtletí mírně snížily – meziročně (</w:t>
      </w:r>
      <w:r>
        <w:rPr>
          <w:spacing w:val="-4"/>
          <w:sz w:val="16"/>
          <w:szCs w:val="16"/>
        </w:rPr>
        <w:t>−</w:t>
      </w:r>
      <w:r w:rsidRPr="00923BCB">
        <w:rPr>
          <w:spacing w:val="-4"/>
          <w:sz w:val="16"/>
          <w:szCs w:val="16"/>
        </w:rPr>
        <w:t xml:space="preserve">2,0 %) i </w:t>
      </w:r>
      <w:proofErr w:type="spellStart"/>
      <w:r w:rsidRPr="00923BCB">
        <w:rPr>
          <w:spacing w:val="-4"/>
          <w:sz w:val="16"/>
          <w:szCs w:val="16"/>
        </w:rPr>
        <w:t>mezikvartálně</w:t>
      </w:r>
      <w:proofErr w:type="spellEnd"/>
      <w:r w:rsidRPr="00923BCB">
        <w:rPr>
          <w:spacing w:val="-4"/>
          <w:sz w:val="16"/>
          <w:szCs w:val="16"/>
        </w:rPr>
        <w:t xml:space="preserve"> (</w:t>
      </w:r>
      <w:r>
        <w:rPr>
          <w:spacing w:val="-4"/>
          <w:sz w:val="16"/>
          <w:szCs w:val="16"/>
        </w:rPr>
        <w:t>−</w:t>
      </w:r>
      <w:r w:rsidRPr="00923BCB">
        <w:rPr>
          <w:spacing w:val="-4"/>
          <w:sz w:val="16"/>
          <w:szCs w:val="16"/>
        </w:rPr>
        <w:t>3,4 %).</w:t>
      </w:r>
    </w:p>
  </w:footnote>
  <w:footnote w:id="43">
    <w:p w14:paraId="14828148" w14:textId="77777777" w:rsidR="000D7C6F" w:rsidRDefault="000D7C6F" w:rsidP="007D7F4F">
      <w:pPr>
        <w:pStyle w:val="paragraph"/>
        <w:spacing w:before="0" w:beforeAutospacing="0" w:after="0" w:afterAutospacing="0"/>
        <w:jc w:val="both"/>
        <w:textAlignment w:val="baseline"/>
        <w:rPr>
          <w:rStyle w:val="normaltextrun"/>
          <w:rFonts w:eastAsia="MS Gothic" w:cs="Arial"/>
          <w:sz w:val="20"/>
          <w:szCs w:val="20"/>
        </w:rPr>
      </w:pPr>
      <w:r w:rsidRPr="00377378">
        <w:rPr>
          <w:rStyle w:val="Znakapoznpodarou"/>
          <w:rFonts w:ascii="Arial" w:hAnsi="Arial" w:cs="Arial"/>
          <w:sz w:val="16"/>
          <w:szCs w:val="16"/>
        </w:rPr>
        <w:footnoteRef/>
      </w:r>
      <w:r w:rsidRPr="00377378">
        <w:rPr>
          <w:rFonts w:ascii="Arial" w:hAnsi="Arial" w:cs="Arial"/>
          <w:sz w:val="16"/>
          <w:szCs w:val="16"/>
        </w:rPr>
        <w:t xml:space="preserve"> </w:t>
      </w:r>
      <w:r w:rsidRPr="00377378">
        <w:rPr>
          <w:rFonts w:ascii="Arial" w:eastAsia="Calibri" w:hAnsi="Arial" w:cs="Arial"/>
          <w:spacing w:val="-2"/>
          <w:sz w:val="16"/>
          <w:szCs w:val="16"/>
        </w:rPr>
        <w:t>Růst</w:t>
      </w:r>
      <w:r>
        <w:rPr>
          <w:rFonts w:ascii="Arial" w:eastAsia="Calibri" w:hAnsi="Arial"/>
          <w:spacing w:val="-2"/>
          <w:sz w:val="16"/>
          <w:szCs w:val="16"/>
        </w:rPr>
        <w:t xml:space="preserve"> v samotném</w:t>
      </w:r>
      <w:r w:rsidRPr="00377378">
        <w:rPr>
          <w:rFonts w:ascii="Arial" w:eastAsia="Calibri" w:hAnsi="Arial"/>
          <w:spacing w:val="-2"/>
          <w:sz w:val="16"/>
          <w:szCs w:val="16"/>
        </w:rPr>
        <w:t xml:space="preserve"> 3. čtvrtletí 2023 byl z drtivé části t</w:t>
      </w:r>
      <w:r>
        <w:rPr>
          <w:rFonts w:ascii="Arial" w:eastAsia="Calibri" w:hAnsi="Arial"/>
          <w:spacing w:val="-2"/>
          <w:sz w:val="16"/>
          <w:szCs w:val="16"/>
        </w:rPr>
        <w:t>ažen rostoucí poptávkou nerezid</w:t>
      </w:r>
      <w:r w:rsidRPr="00377378">
        <w:rPr>
          <w:rFonts w:ascii="Arial" w:eastAsia="Calibri" w:hAnsi="Arial"/>
          <w:spacing w:val="-2"/>
          <w:sz w:val="16"/>
          <w:szCs w:val="16"/>
        </w:rPr>
        <w:t>e</w:t>
      </w:r>
      <w:r>
        <w:rPr>
          <w:rFonts w:ascii="Arial" w:eastAsia="Calibri" w:hAnsi="Arial"/>
          <w:spacing w:val="-2"/>
          <w:sz w:val="16"/>
          <w:szCs w:val="16"/>
        </w:rPr>
        <w:t>n</w:t>
      </w:r>
      <w:r w:rsidRPr="00377378">
        <w:rPr>
          <w:rFonts w:ascii="Arial" w:eastAsia="Calibri" w:hAnsi="Arial"/>
          <w:spacing w:val="-2"/>
          <w:sz w:val="16"/>
          <w:szCs w:val="16"/>
        </w:rPr>
        <w:t>tů (meziročně o pětinu vyšší), domácích hostů přibylo meziročně jen o 1,1 %. Rostoucí ceny za ubytování i stravování v tuzemsku mohly část domácí klientely přimět k častější volbě zahraničních dovolených (tržby cestovních agentur a kanceláří ve 3. čtvrtletí</w:t>
      </w:r>
      <w:r>
        <w:rPr>
          <w:rFonts w:ascii="Arial" w:eastAsia="Calibri" w:hAnsi="Arial"/>
          <w:spacing w:val="-2"/>
          <w:sz w:val="16"/>
          <w:szCs w:val="16"/>
        </w:rPr>
        <w:t xml:space="preserve"> dále rostly</w:t>
      </w:r>
      <w:r w:rsidRPr="00377378">
        <w:rPr>
          <w:rFonts w:ascii="Arial" w:eastAsia="Calibri" w:hAnsi="Arial"/>
          <w:spacing w:val="-2"/>
          <w:sz w:val="16"/>
          <w:szCs w:val="16"/>
        </w:rPr>
        <w:t>), roli m</w:t>
      </w:r>
      <w:r>
        <w:rPr>
          <w:rFonts w:ascii="Arial" w:eastAsia="Calibri" w:hAnsi="Arial"/>
          <w:spacing w:val="-2"/>
          <w:sz w:val="16"/>
          <w:szCs w:val="16"/>
        </w:rPr>
        <w:t>ohl hrát i deštivější srpen v Česku</w:t>
      </w:r>
      <w:r w:rsidRPr="00377378">
        <w:rPr>
          <w:rFonts w:ascii="Arial" w:eastAsia="Calibri" w:hAnsi="Arial"/>
          <w:spacing w:val="-2"/>
          <w:sz w:val="16"/>
          <w:szCs w:val="16"/>
        </w:rPr>
        <w:t>. Zotavování zahraniční poptávky se ve 3. čtvrtletí projevilo ve svižném celkovém růstu výkonu HUZ v Praze (meziročně +15 % všech hostů, v úhrnu od počátku roku +28 %) i ve</w:t>
      </w:r>
      <w:r>
        <w:rPr>
          <w:rFonts w:ascii="Arial" w:eastAsia="Calibri" w:hAnsi="Arial"/>
          <w:spacing w:val="-2"/>
          <w:sz w:val="16"/>
          <w:szCs w:val="16"/>
        </w:rPr>
        <w:t xml:space="preserve"> středních Čechách (+11 % ve 3. čtvrtletí). Naopak v polovině krajů</w:t>
      </w:r>
      <w:r w:rsidRPr="00377378">
        <w:rPr>
          <w:rFonts w:ascii="Arial" w:eastAsia="Calibri" w:hAnsi="Arial"/>
          <w:spacing w:val="-2"/>
          <w:sz w:val="16"/>
          <w:szCs w:val="16"/>
        </w:rPr>
        <w:t xml:space="preserve">, zejména těch tradičně zaměřených na tuzemské hosty, celkový počet návštěvníků rostl jen mírně (do 4 %). Alespoň minimální růst poptávky zaznamenaly </w:t>
      </w:r>
      <w:r>
        <w:rPr>
          <w:rFonts w:ascii="Arial" w:eastAsia="Calibri" w:hAnsi="Arial"/>
          <w:spacing w:val="-2"/>
          <w:sz w:val="16"/>
          <w:szCs w:val="16"/>
        </w:rPr>
        <w:t xml:space="preserve">ovšem </w:t>
      </w:r>
      <w:r w:rsidRPr="00377378">
        <w:rPr>
          <w:rFonts w:ascii="Arial" w:eastAsia="Calibri" w:hAnsi="Arial"/>
          <w:spacing w:val="-2"/>
          <w:sz w:val="16"/>
          <w:szCs w:val="16"/>
        </w:rPr>
        <w:t>všechny kraje.</w:t>
      </w:r>
      <w:r>
        <w:rPr>
          <w:rStyle w:val="normaltextrun"/>
          <w:rFonts w:eastAsia="MS Gothic" w:cs="Arial"/>
          <w:sz w:val="20"/>
          <w:szCs w:val="20"/>
        </w:rPr>
        <w:t xml:space="preserve"> </w:t>
      </w:r>
    </w:p>
    <w:p w14:paraId="6DA66FAF" w14:textId="77777777" w:rsidR="000D7C6F" w:rsidRPr="00377378" w:rsidRDefault="000D7C6F" w:rsidP="007D7F4F">
      <w:pPr>
        <w:pStyle w:val="paragraph"/>
        <w:spacing w:before="0" w:beforeAutospacing="0" w:after="0" w:afterAutospacing="0"/>
        <w:jc w:val="both"/>
        <w:textAlignment w:val="baseline"/>
        <w:rPr>
          <w:rFonts w:ascii="Arial" w:eastAsia="Calibri" w:hAnsi="Arial"/>
          <w:spacing w:val="-2"/>
          <w:sz w:val="16"/>
          <w:szCs w:val="16"/>
        </w:rPr>
      </w:pPr>
      <w:r w:rsidRPr="00377378">
        <w:rPr>
          <w:rFonts w:ascii="Arial" w:eastAsia="Calibri" w:hAnsi="Arial"/>
          <w:spacing w:val="-2"/>
          <w:sz w:val="16"/>
          <w:szCs w:val="16"/>
        </w:rPr>
        <w:t xml:space="preserve">Růst návštěvnosti </w:t>
      </w:r>
      <w:r>
        <w:rPr>
          <w:rFonts w:ascii="Arial" w:eastAsia="Calibri" w:hAnsi="Arial"/>
          <w:spacing w:val="-2"/>
          <w:sz w:val="16"/>
          <w:szCs w:val="16"/>
        </w:rPr>
        <w:t xml:space="preserve">nerezidentů byl nadále tažen </w:t>
      </w:r>
      <w:r w:rsidRPr="00377378">
        <w:rPr>
          <w:rFonts w:ascii="Arial" w:eastAsia="Calibri" w:hAnsi="Arial"/>
          <w:spacing w:val="-2"/>
          <w:sz w:val="16"/>
          <w:szCs w:val="16"/>
        </w:rPr>
        <w:t xml:space="preserve">hosty ze sousedních států (jejich počty již dříve převýšily </w:t>
      </w:r>
      <w:proofErr w:type="spellStart"/>
      <w:r w:rsidRPr="00377378">
        <w:rPr>
          <w:rFonts w:ascii="Arial" w:eastAsia="Calibri" w:hAnsi="Arial"/>
          <w:spacing w:val="-2"/>
          <w:sz w:val="16"/>
          <w:szCs w:val="16"/>
        </w:rPr>
        <w:t>předc</w:t>
      </w:r>
      <w:r>
        <w:rPr>
          <w:rFonts w:ascii="Arial" w:eastAsia="Calibri" w:hAnsi="Arial"/>
          <w:spacing w:val="-2"/>
          <w:sz w:val="16"/>
          <w:szCs w:val="16"/>
        </w:rPr>
        <w:t>ovidovou</w:t>
      </w:r>
      <w:proofErr w:type="spellEnd"/>
      <w:r>
        <w:rPr>
          <w:rFonts w:ascii="Arial" w:eastAsia="Calibri" w:hAnsi="Arial"/>
          <w:spacing w:val="-2"/>
          <w:sz w:val="16"/>
          <w:szCs w:val="16"/>
        </w:rPr>
        <w:t xml:space="preserve"> úroveň). Počet hostů z</w:t>
      </w:r>
      <w:r w:rsidRPr="00E62461">
        <w:rPr>
          <w:color w:val="0D0D0D" w:themeColor="text1" w:themeTint="F2"/>
          <w:spacing w:val="-2"/>
          <w:sz w:val="16"/>
          <w:szCs w:val="16"/>
        </w:rPr>
        <w:t> </w:t>
      </w:r>
      <w:r w:rsidRPr="00377378">
        <w:rPr>
          <w:rFonts w:ascii="Arial" w:eastAsia="Calibri" w:hAnsi="Arial"/>
          <w:spacing w:val="-2"/>
          <w:sz w:val="16"/>
          <w:szCs w:val="16"/>
        </w:rPr>
        <w:t xml:space="preserve">Německa a Polska vzrostl oproti 3. čtvrtletí 2022 skoro o pětinu. Svižně se zvyšovaly i počty hostů z dalších lidnatých států EU, ale </w:t>
      </w:r>
      <w:r>
        <w:rPr>
          <w:rFonts w:ascii="Arial" w:eastAsia="Calibri" w:hAnsi="Arial"/>
          <w:spacing w:val="-2"/>
          <w:sz w:val="16"/>
          <w:szCs w:val="16"/>
        </w:rPr>
        <w:br/>
      </w:r>
      <w:r w:rsidRPr="00377378">
        <w:rPr>
          <w:rFonts w:ascii="Arial" w:eastAsia="Calibri" w:hAnsi="Arial"/>
          <w:spacing w:val="-2"/>
          <w:sz w:val="16"/>
          <w:szCs w:val="16"/>
        </w:rPr>
        <w:t>i z USA (ti už tvořili čtvrtou nejpočetnější skupinu nerezidentů v ČR). Překvapivě zatím relativně malý úbytek postihl poptávku ze strany izraelských turistů (ve 3. čtvrtletí jich</w:t>
      </w:r>
      <w:r>
        <w:rPr>
          <w:rFonts w:ascii="Arial" w:eastAsia="Calibri" w:hAnsi="Arial"/>
          <w:spacing w:val="-2"/>
          <w:sz w:val="16"/>
          <w:szCs w:val="16"/>
        </w:rPr>
        <w:t xml:space="preserve"> v ČR přenocovalo meziročně </w:t>
      </w:r>
      <w:r w:rsidRPr="00377378">
        <w:rPr>
          <w:rFonts w:ascii="Arial" w:eastAsia="Calibri" w:hAnsi="Arial"/>
          <w:spacing w:val="-2"/>
          <w:sz w:val="16"/>
          <w:szCs w:val="16"/>
        </w:rPr>
        <w:t xml:space="preserve">o 5 % méně a v úhrnu od počátku roku byla jejich poptávka dokonce </w:t>
      </w:r>
      <w:r>
        <w:rPr>
          <w:rFonts w:ascii="Arial" w:eastAsia="Calibri" w:hAnsi="Arial"/>
          <w:spacing w:val="-2"/>
          <w:sz w:val="16"/>
          <w:szCs w:val="16"/>
        </w:rPr>
        <w:br/>
      </w:r>
      <w:r w:rsidRPr="00377378">
        <w:rPr>
          <w:rFonts w:ascii="Arial" w:eastAsia="Calibri" w:hAnsi="Arial"/>
          <w:spacing w:val="-2"/>
          <w:sz w:val="16"/>
          <w:szCs w:val="16"/>
        </w:rPr>
        <w:t>o 3 % vyšší). Zatím pomalu ožívá silně utlumená poptávka z</w:t>
      </w:r>
      <w:r>
        <w:rPr>
          <w:rFonts w:ascii="Arial" w:eastAsia="Calibri" w:hAnsi="Arial"/>
          <w:spacing w:val="-2"/>
          <w:sz w:val="16"/>
          <w:szCs w:val="16"/>
        </w:rPr>
        <w:t xml:space="preserve"> Asie, byť zde částečně pomohlo</w:t>
      </w:r>
      <w:r w:rsidRPr="00377378">
        <w:rPr>
          <w:rFonts w:ascii="Arial" w:eastAsia="Calibri" w:hAnsi="Arial"/>
          <w:spacing w:val="-2"/>
          <w:sz w:val="16"/>
          <w:szCs w:val="16"/>
        </w:rPr>
        <w:t xml:space="preserve"> zavedení </w:t>
      </w:r>
      <w:r>
        <w:rPr>
          <w:rFonts w:ascii="Arial" w:eastAsia="Calibri" w:hAnsi="Arial"/>
          <w:spacing w:val="-2"/>
          <w:sz w:val="16"/>
          <w:szCs w:val="16"/>
        </w:rPr>
        <w:t xml:space="preserve">nových </w:t>
      </w:r>
      <w:r w:rsidRPr="00377378">
        <w:rPr>
          <w:rFonts w:ascii="Arial" w:eastAsia="Calibri" w:hAnsi="Arial"/>
          <w:spacing w:val="-2"/>
          <w:sz w:val="16"/>
          <w:szCs w:val="16"/>
        </w:rPr>
        <w:t xml:space="preserve">přímých leteckých linek </w:t>
      </w:r>
      <w:r>
        <w:rPr>
          <w:rFonts w:ascii="Arial" w:eastAsia="Calibri" w:hAnsi="Arial"/>
          <w:spacing w:val="-2"/>
          <w:sz w:val="16"/>
          <w:szCs w:val="16"/>
        </w:rPr>
        <w:br/>
      </w:r>
      <w:r w:rsidRPr="00377378">
        <w:rPr>
          <w:rFonts w:ascii="Arial" w:eastAsia="Calibri" w:hAnsi="Arial"/>
          <w:spacing w:val="-2"/>
          <w:sz w:val="16"/>
          <w:szCs w:val="16"/>
        </w:rPr>
        <w:t>s Prahou.</w:t>
      </w:r>
    </w:p>
  </w:footnote>
  <w:footnote w:id="44">
    <w:p w14:paraId="2517862F" w14:textId="77777777" w:rsidR="000D7C6F" w:rsidRPr="00951B5E" w:rsidRDefault="000D7C6F" w:rsidP="007D7F4F">
      <w:pPr>
        <w:pStyle w:val="Textpoznpodarou"/>
        <w:rPr>
          <w:sz w:val="16"/>
          <w:szCs w:val="16"/>
        </w:rPr>
      </w:pPr>
      <w:r w:rsidRPr="00951B5E">
        <w:rPr>
          <w:rStyle w:val="Znakapoznpodarou"/>
          <w:sz w:val="16"/>
          <w:szCs w:val="16"/>
        </w:rPr>
        <w:footnoteRef/>
      </w:r>
      <w:r w:rsidRPr="00951B5E">
        <w:rPr>
          <w:sz w:val="16"/>
          <w:szCs w:val="16"/>
        </w:rPr>
        <w:t xml:space="preserve"> Z toho ve 3. čtvrtletí 2023 se mez</w:t>
      </w:r>
      <w:r>
        <w:rPr>
          <w:sz w:val="16"/>
          <w:szCs w:val="16"/>
        </w:rPr>
        <w:t>iroční tempo prohloubilo na −3,6</w:t>
      </w:r>
      <w:r w:rsidRPr="00951B5E">
        <w:rPr>
          <w:sz w:val="16"/>
          <w:szCs w:val="16"/>
        </w:rPr>
        <w:t xml:space="preserve"> %, což znamenalo největší pokles od konce roku 2009.</w:t>
      </w:r>
    </w:p>
  </w:footnote>
  <w:footnote w:id="45">
    <w:p w14:paraId="12838B6C" w14:textId="77777777" w:rsidR="000D7C6F" w:rsidRPr="00B86BDD" w:rsidRDefault="000D7C6F" w:rsidP="007D7F4F">
      <w:pPr>
        <w:pStyle w:val="Textpoznpodarou"/>
        <w:rPr>
          <w:sz w:val="16"/>
          <w:szCs w:val="16"/>
        </w:rPr>
      </w:pPr>
      <w:r w:rsidRPr="00B86BDD">
        <w:rPr>
          <w:rStyle w:val="Znakapoznpodarou"/>
          <w:sz w:val="16"/>
          <w:szCs w:val="16"/>
        </w:rPr>
        <w:footnoteRef/>
      </w:r>
      <w:r w:rsidRPr="00B86BDD">
        <w:rPr>
          <w:sz w:val="16"/>
          <w:szCs w:val="16"/>
        </w:rPr>
        <w:t xml:space="preserve"> Zahrnují zejména činnosti webových portálů, zpravodajských tiskových kanceláří a agentur či zpracování dat a </w:t>
      </w:r>
      <w:proofErr w:type="spellStart"/>
      <w:r w:rsidRPr="00B86BDD">
        <w:rPr>
          <w:sz w:val="16"/>
          <w:szCs w:val="16"/>
        </w:rPr>
        <w:t>hosting</w:t>
      </w:r>
      <w:proofErr w:type="spellEnd"/>
      <w:r w:rsidRPr="00B86BDD">
        <w:rPr>
          <w:sz w:val="16"/>
          <w:szCs w:val="16"/>
        </w:rPr>
        <w:t>.</w:t>
      </w:r>
    </w:p>
  </w:footnote>
  <w:footnote w:id="46">
    <w:p w14:paraId="5B88799C" w14:textId="1CA7FFAF" w:rsidR="000D7C6F" w:rsidRPr="00590597" w:rsidRDefault="000D7C6F" w:rsidP="007D7F4F">
      <w:pPr>
        <w:pStyle w:val="Textpoznpodarou"/>
        <w:rPr>
          <w:sz w:val="16"/>
          <w:szCs w:val="16"/>
        </w:rPr>
      </w:pPr>
      <w:r w:rsidRPr="00590597">
        <w:rPr>
          <w:rStyle w:val="Znakapoznpodarou"/>
          <w:sz w:val="16"/>
          <w:szCs w:val="16"/>
        </w:rPr>
        <w:footnoteRef/>
      </w:r>
      <w:r w:rsidRPr="00590597">
        <w:rPr>
          <w:sz w:val="16"/>
          <w:szCs w:val="16"/>
        </w:rPr>
        <w:t xml:space="preserve"> </w:t>
      </w:r>
      <w:r>
        <w:rPr>
          <w:sz w:val="16"/>
          <w:szCs w:val="16"/>
        </w:rPr>
        <w:t>Lépe si vedl segment</w:t>
      </w:r>
      <w:r w:rsidRPr="00590597">
        <w:rPr>
          <w:sz w:val="16"/>
          <w:szCs w:val="16"/>
        </w:rPr>
        <w:t xml:space="preserve"> filmové distribuce. </w:t>
      </w:r>
      <w:r w:rsidRPr="00590597">
        <w:rPr>
          <w:rFonts w:cs="Arial"/>
          <w:color w:val="0D0D0D" w:themeColor="text1" w:themeTint="F2"/>
          <w:spacing w:val="-3"/>
          <w:sz w:val="16"/>
          <w:szCs w:val="16"/>
        </w:rPr>
        <w:t xml:space="preserve">Dle údajů </w:t>
      </w:r>
      <w:r w:rsidRPr="00590597">
        <w:rPr>
          <w:spacing w:val="-3"/>
          <w:sz w:val="16"/>
          <w:szCs w:val="16"/>
        </w:rPr>
        <w:t xml:space="preserve">Unie filmových distributorů vzrostly v 1. až 3. čtvrtletí 2023 hrubé nominální tržby provozovatelů tuzemských kin meziročně o 11,8 %. Celková návštěvnost však vzrostla jen o 0,9 % (počet odehraných představení se dokonce mírně snížil – o 2,5 %). Ve srovnání s rekordním rokem 2019 </w:t>
      </w:r>
      <w:r>
        <w:rPr>
          <w:spacing w:val="-3"/>
          <w:sz w:val="16"/>
          <w:szCs w:val="16"/>
        </w:rPr>
        <w:t>zatím letos scházela skoro</w:t>
      </w:r>
      <w:r w:rsidRPr="00590597">
        <w:rPr>
          <w:spacing w:val="-3"/>
          <w:sz w:val="16"/>
          <w:szCs w:val="16"/>
        </w:rPr>
        <w:t xml:space="preserve"> čtvrtina diváků.</w:t>
      </w:r>
    </w:p>
  </w:footnote>
  <w:footnote w:id="47">
    <w:p w14:paraId="1DAE4B89" w14:textId="77777777" w:rsidR="000D7C6F" w:rsidRPr="00052DD9" w:rsidRDefault="000D7C6F" w:rsidP="007D7F4F">
      <w:pPr>
        <w:pStyle w:val="Textpoznpodarou"/>
        <w:rPr>
          <w:sz w:val="16"/>
          <w:szCs w:val="16"/>
        </w:rPr>
      </w:pPr>
      <w:r w:rsidRPr="00052DD9">
        <w:rPr>
          <w:rStyle w:val="Znakapoznpodarou"/>
          <w:sz w:val="16"/>
          <w:szCs w:val="16"/>
        </w:rPr>
        <w:footnoteRef/>
      </w:r>
      <w:r w:rsidRPr="00052DD9">
        <w:rPr>
          <w:sz w:val="16"/>
          <w:szCs w:val="16"/>
        </w:rPr>
        <w:t xml:space="preserve"> K poklesu tržeb </w:t>
      </w:r>
      <w:r>
        <w:rPr>
          <w:sz w:val="16"/>
          <w:szCs w:val="16"/>
        </w:rPr>
        <w:t xml:space="preserve">zde </w:t>
      </w:r>
      <w:r w:rsidRPr="00052DD9">
        <w:rPr>
          <w:sz w:val="16"/>
          <w:szCs w:val="16"/>
        </w:rPr>
        <w:t>došlo i při vysokém růstu počtu pracujících cizinců v ČR. Na něm se v posledních dvou letech významně podíleli uprchlíci z Ukrajiny. Vzhledem ke statu</w:t>
      </w:r>
      <w:r>
        <w:rPr>
          <w:sz w:val="16"/>
          <w:szCs w:val="16"/>
        </w:rPr>
        <w:t>s</w:t>
      </w:r>
      <w:r w:rsidRPr="00052DD9">
        <w:rPr>
          <w:sz w:val="16"/>
          <w:szCs w:val="16"/>
        </w:rPr>
        <w:t>u dočasné ochrany, který byl těmto osobám přiznán, je j</w:t>
      </w:r>
      <w:r>
        <w:rPr>
          <w:sz w:val="16"/>
          <w:szCs w:val="16"/>
        </w:rPr>
        <w:t>ej</w:t>
      </w:r>
      <w:r w:rsidRPr="00052DD9">
        <w:rPr>
          <w:sz w:val="16"/>
          <w:szCs w:val="16"/>
        </w:rPr>
        <w:t xml:space="preserve">ich zaměstnávání v tuzemsku administrativně jednodušší (oproti ostatním skupinám migrantů z tzv. třetích zemí) a </w:t>
      </w:r>
      <w:r>
        <w:rPr>
          <w:sz w:val="16"/>
          <w:szCs w:val="16"/>
        </w:rPr>
        <w:t>ti tak mohou</w:t>
      </w:r>
      <w:r w:rsidRPr="00052DD9">
        <w:rPr>
          <w:sz w:val="16"/>
          <w:szCs w:val="16"/>
        </w:rPr>
        <w:t xml:space="preserve"> snáze nalézt práci „napřímo“ (bez zprostředkovatele). Kromě výše uvedeného se na poklesu tržeb v letošním roce může podílet i snížená poptávka</w:t>
      </w:r>
      <w:r>
        <w:rPr>
          <w:sz w:val="16"/>
          <w:szCs w:val="16"/>
        </w:rPr>
        <w:t xml:space="preserve"> po</w:t>
      </w:r>
      <w:r w:rsidRPr="00052DD9">
        <w:rPr>
          <w:sz w:val="16"/>
          <w:szCs w:val="16"/>
        </w:rPr>
        <w:t xml:space="preserve"> agenturních pracovní</w:t>
      </w:r>
      <w:r>
        <w:rPr>
          <w:sz w:val="16"/>
          <w:szCs w:val="16"/>
        </w:rPr>
        <w:t>cí</w:t>
      </w:r>
      <w:r w:rsidRPr="00052DD9">
        <w:rPr>
          <w:sz w:val="16"/>
          <w:szCs w:val="16"/>
        </w:rPr>
        <w:t>ch ze strany klí</w:t>
      </w:r>
      <w:r>
        <w:rPr>
          <w:sz w:val="16"/>
          <w:szCs w:val="16"/>
        </w:rPr>
        <w:t xml:space="preserve">čových výrobních odvětví </w:t>
      </w:r>
      <w:r w:rsidRPr="00052DD9">
        <w:rPr>
          <w:sz w:val="16"/>
          <w:szCs w:val="16"/>
        </w:rPr>
        <w:t>procház</w:t>
      </w:r>
      <w:r>
        <w:rPr>
          <w:sz w:val="16"/>
          <w:szCs w:val="16"/>
        </w:rPr>
        <w:t>ej</w:t>
      </w:r>
      <w:r w:rsidRPr="00052DD9">
        <w:rPr>
          <w:sz w:val="16"/>
          <w:szCs w:val="16"/>
        </w:rPr>
        <w:t>í</w:t>
      </w:r>
      <w:r>
        <w:rPr>
          <w:sz w:val="16"/>
          <w:szCs w:val="16"/>
        </w:rPr>
        <w:t>cích</w:t>
      </w:r>
      <w:r w:rsidRPr="00052DD9">
        <w:rPr>
          <w:sz w:val="16"/>
          <w:szCs w:val="16"/>
        </w:rPr>
        <w:t xml:space="preserve"> recesí (např. průmysl</w:t>
      </w:r>
      <w:r>
        <w:rPr>
          <w:sz w:val="16"/>
          <w:szCs w:val="16"/>
        </w:rPr>
        <w:t>u</w:t>
      </w:r>
      <w:r w:rsidRPr="00052DD9">
        <w:rPr>
          <w:sz w:val="16"/>
          <w:szCs w:val="16"/>
        </w:rPr>
        <w:t>).</w:t>
      </w:r>
    </w:p>
  </w:footnote>
  <w:footnote w:id="48">
    <w:p w14:paraId="429495E5" w14:textId="77777777" w:rsidR="000D7C6F" w:rsidRPr="00E53523" w:rsidRDefault="000D7C6F" w:rsidP="007D7F4F">
      <w:pPr>
        <w:pStyle w:val="Textpoznpodarou"/>
        <w:rPr>
          <w:sz w:val="16"/>
          <w:szCs w:val="16"/>
        </w:rPr>
      </w:pPr>
      <w:r w:rsidRPr="00E53523">
        <w:rPr>
          <w:rStyle w:val="Znakapoznpodarou"/>
          <w:sz w:val="16"/>
          <w:szCs w:val="16"/>
        </w:rPr>
        <w:footnoteRef/>
      </w:r>
      <w:r w:rsidRPr="00E53523">
        <w:rPr>
          <w:sz w:val="16"/>
          <w:szCs w:val="16"/>
        </w:rPr>
        <w:t xml:space="preserve"> Pesimismus tuzemských spotřebitelů se oproti loňskému podzimu (kdy byl nejvyšší od konce 90. let) sice zmírnil, i tak se důvěra domácností v listopadu 2023 nacházela o desetinu pod dlouhodobým průměrem. </w:t>
      </w:r>
      <w:r w:rsidRPr="000119B3">
        <w:rPr>
          <w:sz w:val="16"/>
          <w:szCs w:val="16"/>
        </w:rPr>
        <w:t>Obavy lidí z cenového růstu se letos během jara</w:t>
      </w:r>
      <w:r>
        <w:rPr>
          <w:sz w:val="16"/>
          <w:szCs w:val="16"/>
        </w:rPr>
        <w:t xml:space="preserve"> z velké části rozpustily (na podzim</w:t>
      </w:r>
      <w:r w:rsidRPr="000119B3">
        <w:rPr>
          <w:sz w:val="16"/>
          <w:szCs w:val="16"/>
        </w:rPr>
        <w:t xml:space="preserve"> se opět zvýšily, byť jen mírně) a strach z nezaměstnanosti klesl pod dlouhodobý průměr. Většina domácnost</w:t>
      </w:r>
      <w:r>
        <w:rPr>
          <w:sz w:val="16"/>
          <w:szCs w:val="16"/>
        </w:rPr>
        <w:t>í</w:t>
      </w:r>
      <w:r w:rsidRPr="000119B3">
        <w:rPr>
          <w:sz w:val="16"/>
          <w:szCs w:val="16"/>
        </w:rPr>
        <w:t xml:space="preserve"> nicméně stále očekávala, ž</w:t>
      </w:r>
      <w:r>
        <w:rPr>
          <w:sz w:val="16"/>
          <w:szCs w:val="16"/>
        </w:rPr>
        <w:t>e jejich finanční situace, stej</w:t>
      </w:r>
      <w:r w:rsidRPr="000119B3">
        <w:rPr>
          <w:sz w:val="16"/>
          <w:szCs w:val="16"/>
        </w:rPr>
        <w:t>ně jako celková hospodářská situace v </w:t>
      </w:r>
      <w:r>
        <w:rPr>
          <w:sz w:val="16"/>
          <w:szCs w:val="16"/>
        </w:rPr>
        <w:t xml:space="preserve">Česku, se v nejbližších </w:t>
      </w:r>
      <w:r>
        <w:rPr>
          <w:sz w:val="16"/>
          <w:szCs w:val="16"/>
        </w:rPr>
        <w:br/>
        <w:t>12 měsících zhorší. Lidé tak stále zůstávali</w:t>
      </w:r>
      <w:r w:rsidRPr="000119B3">
        <w:rPr>
          <w:sz w:val="16"/>
          <w:szCs w:val="16"/>
        </w:rPr>
        <w:t xml:space="preserve"> opatrní v oblasti plánování velkých nákupů (zejména zboží dlouhodobé spotřeby či investic).</w:t>
      </w:r>
    </w:p>
  </w:footnote>
  <w:footnote w:id="49">
    <w:p w14:paraId="594744D6" w14:textId="77777777" w:rsidR="000D7C6F" w:rsidRPr="00712854" w:rsidRDefault="000D7C6F" w:rsidP="007D7F4F">
      <w:pPr>
        <w:pStyle w:val="Textpoznpodarou"/>
        <w:rPr>
          <w:sz w:val="16"/>
          <w:szCs w:val="16"/>
        </w:rPr>
      </w:pPr>
      <w:r w:rsidRPr="00712854">
        <w:rPr>
          <w:rStyle w:val="Znakapoznpodarou"/>
          <w:sz w:val="16"/>
          <w:szCs w:val="16"/>
        </w:rPr>
        <w:footnoteRef/>
      </w:r>
      <w:r w:rsidRPr="00712854">
        <w:rPr>
          <w:sz w:val="16"/>
          <w:szCs w:val="16"/>
        </w:rPr>
        <w:t xml:space="preserve"> Zvlášť příhodné podmínky k těmto nákupům skýtalo letos jarní období, a to díky </w:t>
      </w:r>
      <w:r>
        <w:rPr>
          <w:sz w:val="16"/>
          <w:szCs w:val="16"/>
        </w:rPr>
        <w:t>souběhu poklesu cen pohonných hmot a</w:t>
      </w:r>
      <w:r w:rsidRPr="00712854">
        <w:rPr>
          <w:sz w:val="16"/>
          <w:szCs w:val="16"/>
        </w:rPr>
        <w:t xml:space="preserve"> velmi příhodnému kurzu koruny vůči euru i polskému zlotému.</w:t>
      </w:r>
    </w:p>
  </w:footnote>
  <w:footnote w:id="50">
    <w:p w14:paraId="1E28ACFF" w14:textId="77777777" w:rsidR="000D7C6F" w:rsidRPr="00EB7D87" w:rsidRDefault="000D7C6F" w:rsidP="007D7F4F">
      <w:pPr>
        <w:spacing w:after="0" w:line="240" w:lineRule="auto"/>
        <w:rPr>
          <w:spacing w:val="-2"/>
        </w:rPr>
      </w:pPr>
      <w:r w:rsidRPr="00EB7D87">
        <w:rPr>
          <w:rStyle w:val="Znakapoznpodarou"/>
          <w:color w:val="0D0D0D" w:themeColor="text1" w:themeTint="F2"/>
          <w:spacing w:val="-2"/>
          <w:sz w:val="16"/>
          <w:szCs w:val="16"/>
        </w:rPr>
        <w:footnoteRef/>
      </w:r>
      <w:r>
        <w:rPr>
          <w:color w:val="0D0D0D" w:themeColor="text1" w:themeTint="F2"/>
          <w:spacing w:val="-2"/>
          <w:sz w:val="16"/>
          <w:szCs w:val="16"/>
        </w:rPr>
        <w:t xml:space="preserve"> Všechna meziroční</w:t>
      </w:r>
      <w:r w:rsidRPr="00EB7D87">
        <w:rPr>
          <w:color w:val="0D0D0D" w:themeColor="text1" w:themeTint="F2"/>
          <w:spacing w:val="-2"/>
          <w:sz w:val="16"/>
          <w:szCs w:val="16"/>
        </w:rPr>
        <w:t xml:space="preserve"> tempa tržeb za maloobchod jsou uvedena ve stálých cenách a očištěna o kalendářní vlivy, mezičtvrtletní </w:t>
      </w:r>
      <w:r>
        <w:rPr>
          <w:color w:val="0D0D0D" w:themeColor="text1" w:themeTint="F2"/>
          <w:spacing w:val="-2"/>
          <w:sz w:val="16"/>
          <w:szCs w:val="16"/>
        </w:rPr>
        <w:br/>
        <w:t>i meziměsíční</w:t>
      </w:r>
      <w:r w:rsidRPr="00EB7D87">
        <w:rPr>
          <w:color w:val="0D0D0D" w:themeColor="text1" w:themeTint="F2"/>
          <w:spacing w:val="-2"/>
          <w:sz w:val="16"/>
          <w:szCs w:val="16"/>
        </w:rPr>
        <w:t xml:space="preserve"> tempa jsou očištěna o sezónní vlivy (včetně vlivu počtu pracovních dnů). Maloobchod zahrnuje odvětví CZ-NACE 47.</w:t>
      </w:r>
    </w:p>
  </w:footnote>
  <w:footnote w:id="51">
    <w:p w14:paraId="198171A7" w14:textId="1EC81838" w:rsidR="000D7C6F" w:rsidRPr="00F418C1" w:rsidRDefault="000D7C6F" w:rsidP="007D7F4F">
      <w:pPr>
        <w:pStyle w:val="Textpoznpodarou"/>
        <w:rPr>
          <w:sz w:val="16"/>
          <w:szCs w:val="16"/>
        </w:rPr>
      </w:pPr>
      <w:r w:rsidRPr="00F418C1">
        <w:rPr>
          <w:rStyle w:val="Znakapoznpodarou"/>
          <w:sz w:val="16"/>
          <w:szCs w:val="16"/>
        </w:rPr>
        <w:footnoteRef/>
      </w:r>
      <w:r w:rsidRPr="00F418C1">
        <w:rPr>
          <w:sz w:val="16"/>
          <w:szCs w:val="16"/>
        </w:rPr>
        <w:t xml:space="preserve"> Ve srovnání se 3. čtvrt</w:t>
      </w:r>
      <w:r>
        <w:rPr>
          <w:sz w:val="16"/>
          <w:szCs w:val="16"/>
        </w:rPr>
        <w:t>letím 2021, kdyby se objem tržeb</w:t>
      </w:r>
      <w:r w:rsidRPr="00F418C1">
        <w:rPr>
          <w:sz w:val="16"/>
          <w:szCs w:val="16"/>
        </w:rPr>
        <w:t xml:space="preserve"> nacházel na absolutním maximu, byla jejich současná úrove</w:t>
      </w:r>
      <w:r>
        <w:rPr>
          <w:sz w:val="16"/>
          <w:szCs w:val="16"/>
        </w:rPr>
        <w:t>ň o více než o</w:t>
      </w:r>
      <w:r w:rsidRPr="00052DD9">
        <w:rPr>
          <w:sz w:val="16"/>
          <w:szCs w:val="16"/>
        </w:rPr>
        <w:t> </w:t>
      </w:r>
      <w:r>
        <w:rPr>
          <w:sz w:val="16"/>
          <w:szCs w:val="16"/>
        </w:rPr>
        <w:t>10</w:t>
      </w:r>
      <w:r w:rsidRPr="00052DD9">
        <w:rPr>
          <w:sz w:val="16"/>
          <w:szCs w:val="16"/>
        </w:rPr>
        <w:t> </w:t>
      </w:r>
      <w:r w:rsidRPr="00F418C1">
        <w:rPr>
          <w:sz w:val="16"/>
          <w:szCs w:val="16"/>
        </w:rPr>
        <w:t xml:space="preserve">% nižší. Srovnatelně ve shodném období klesla i kupní síla průměrných mezd. </w:t>
      </w:r>
    </w:p>
  </w:footnote>
  <w:footnote w:id="52">
    <w:p w14:paraId="15F1E44B" w14:textId="77777777" w:rsidR="000D7C6F" w:rsidRPr="00420E72" w:rsidRDefault="000D7C6F" w:rsidP="007D7F4F">
      <w:pPr>
        <w:pStyle w:val="paragraph"/>
        <w:spacing w:before="0" w:beforeAutospacing="0" w:after="0" w:afterAutospacing="0"/>
        <w:jc w:val="both"/>
        <w:textAlignment w:val="baseline"/>
        <w:rPr>
          <w:rFonts w:ascii="Arial" w:eastAsia="MS Gothic" w:hAnsi="Arial" w:cs="Arial"/>
          <w:sz w:val="16"/>
          <w:szCs w:val="16"/>
        </w:rPr>
      </w:pPr>
      <w:r w:rsidRPr="00420E72">
        <w:rPr>
          <w:rStyle w:val="Znakapoznpodarou"/>
          <w:rFonts w:ascii="Arial" w:hAnsi="Arial" w:cs="Arial"/>
          <w:sz w:val="16"/>
          <w:szCs w:val="16"/>
        </w:rPr>
        <w:footnoteRef/>
      </w:r>
      <w:r w:rsidRPr="00420E72">
        <w:rPr>
          <w:rFonts w:ascii="Arial" w:hAnsi="Arial" w:cs="Arial"/>
          <w:sz w:val="16"/>
          <w:szCs w:val="16"/>
        </w:rPr>
        <w:t xml:space="preserve"> </w:t>
      </w:r>
      <w:r w:rsidRPr="00420E72">
        <w:rPr>
          <w:rStyle w:val="normaltextrun"/>
          <w:rFonts w:ascii="Arial" w:eastAsia="MS Gothic" w:hAnsi="Arial" w:cs="Arial"/>
          <w:color w:val="000000"/>
          <w:sz w:val="16"/>
          <w:szCs w:val="16"/>
        </w:rPr>
        <w:t xml:space="preserve">Stav zásob zboží na skladech zůstával od léta nezvykle vysoký. Počet firem hodnotících pozitivně svou aktuální ekonomickou situaci se </w:t>
      </w:r>
      <w:r>
        <w:rPr>
          <w:rStyle w:val="normaltextrun"/>
          <w:rFonts w:ascii="Arial" w:eastAsia="MS Gothic" w:hAnsi="Arial" w:cs="Arial"/>
          <w:color w:val="000000"/>
          <w:sz w:val="16"/>
          <w:szCs w:val="16"/>
        </w:rPr>
        <w:t xml:space="preserve">letos v listopadu </w:t>
      </w:r>
      <w:r w:rsidRPr="00420E72">
        <w:rPr>
          <w:rStyle w:val="normaltextrun"/>
          <w:rFonts w:ascii="Arial" w:eastAsia="MS Gothic" w:hAnsi="Arial" w:cs="Arial"/>
          <w:color w:val="000000"/>
          <w:sz w:val="16"/>
          <w:szCs w:val="16"/>
        </w:rPr>
        <w:t xml:space="preserve">čtvrtý měsíc v řadě snížil, výrazný optimismus ohledně vývoje v nejbližším období ale podniky neopouštěl (zlepšení situace v nejbližším pololetí očekávalo 43 % firem, zhoršení </w:t>
      </w:r>
      <w:r>
        <w:rPr>
          <w:rStyle w:val="normaltextrun"/>
          <w:rFonts w:ascii="Arial" w:eastAsia="MS Gothic" w:hAnsi="Arial" w:cs="Arial"/>
          <w:color w:val="000000"/>
          <w:sz w:val="16"/>
          <w:szCs w:val="16"/>
        </w:rPr>
        <w:t xml:space="preserve">jen </w:t>
      </w:r>
      <w:r w:rsidRPr="00420E72">
        <w:rPr>
          <w:rStyle w:val="normaltextrun"/>
          <w:rFonts w:ascii="Arial" w:eastAsia="MS Gothic" w:hAnsi="Arial" w:cs="Arial"/>
          <w:color w:val="000000"/>
          <w:sz w:val="16"/>
          <w:szCs w:val="16"/>
        </w:rPr>
        <w:t>9 %).</w:t>
      </w:r>
    </w:p>
  </w:footnote>
  <w:footnote w:id="53">
    <w:p w14:paraId="7BCFD5CD" w14:textId="77777777" w:rsidR="000D7C6F" w:rsidRPr="009A24F2" w:rsidRDefault="000D7C6F" w:rsidP="007D7F4F">
      <w:pPr>
        <w:pStyle w:val="Textpoznpodarou"/>
        <w:rPr>
          <w:sz w:val="16"/>
          <w:szCs w:val="16"/>
        </w:rPr>
      </w:pPr>
      <w:r w:rsidRPr="009A24F2">
        <w:rPr>
          <w:rStyle w:val="Znakapoznpodarou"/>
          <w:sz w:val="16"/>
          <w:szCs w:val="16"/>
        </w:rPr>
        <w:footnoteRef/>
      </w:r>
      <w:r w:rsidRPr="009A24F2">
        <w:rPr>
          <w:sz w:val="16"/>
          <w:szCs w:val="16"/>
        </w:rPr>
        <w:t xml:space="preserve"> </w:t>
      </w:r>
      <w:r w:rsidRPr="00436FBD">
        <w:rPr>
          <w:spacing w:val="-2"/>
          <w:sz w:val="16"/>
          <w:szCs w:val="16"/>
        </w:rPr>
        <w:t xml:space="preserve">Se slábnoucí poptávkou se potýká i maloobchod v EU. </w:t>
      </w:r>
      <w:proofErr w:type="spellStart"/>
      <w:r w:rsidRPr="00436FBD">
        <w:rPr>
          <w:spacing w:val="-2"/>
          <w:sz w:val="16"/>
          <w:szCs w:val="16"/>
        </w:rPr>
        <w:t>Mezikvartální</w:t>
      </w:r>
      <w:proofErr w:type="spellEnd"/>
      <w:r w:rsidRPr="00436FBD">
        <w:rPr>
          <w:spacing w:val="-2"/>
          <w:sz w:val="16"/>
          <w:szCs w:val="16"/>
        </w:rPr>
        <w:t xml:space="preserve"> pokles tržeb ve 3. čtvrtletí 2023 (</w:t>
      </w:r>
      <w:r>
        <w:rPr>
          <w:spacing w:val="-2"/>
          <w:sz w:val="16"/>
          <w:szCs w:val="16"/>
        </w:rPr>
        <w:t>−</w:t>
      </w:r>
      <w:r w:rsidRPr="00436FBD">
        <w:rPr>
          <w:spacing w:val="-2"/>
          <w:sz w:val="16"/>
          <w:szCs w:val="16"/>
        </w:rPr>
        <w:t xml:space="preserve">0,3 %) zde nastal již pošesté </w:t>
      </w:r>
      <w:r w:rsidRPr="00694029">
        <w:rPr>
          <w:spacing w:val="-4"/>
          <w:sz w:val="16"/>
          <w:szCs w:val="16"/>
        </w:rPr>
        <w:t>v řadě. Za 1. až 3. čtvrtletí se tržby meziročně snížily o 2,2 %, k poklesu došlo v 19 členských státech – k nejvyššímu ve Slovinsku (</w:t>
      </w:r>
      <w:r>
        <w:rPr>
          <w:spacing w:val="-4"/>
          <w:sz w:val="16"/>
          <w:szCs w:val="16"/>
        </w:rPr>
        <w:t>−</w:t>
      </w:r>
      <w:r w:rsidRPr="00694029">
        <w:rPr>
          <w:spacing w:val="-4"/>
          <w:sz w:val="16"/>
          <w:szCs w:val="16"/>
        </w:rPr>
        <w:t>10,8 %),</w:t>
      </w:r>
      <w:r w:rsidRPr="00436FBD">
        <w:rPr>
          <w:spacing w:val="-2"/>
          <w:sz w:val="16"/>
          <w:szCs w:val="16"/>
        </w:rPr>
        <w:t xml:space="preserve"> Maďarsku (</w:t>
      </w:r>
      <w:r>
        <w:rPr>
          <w:spacing w:val="-2"/>
          <w:sz w:val="16"/>
          <w:szCs w:val="16"/>
        </w:rPr>
        <w:t>−</w:t>
      </w:r>
      <w:r w:rsidRPr="00436FBD">
        <w:rPr>
          <w:spacing w:val="-2"/>
          <w:sz w:val="16"/>
          <w:szCs w:val="16"/>
        </w:rPr>
        <w:t>9,3 %) a Estonsku (</w:t>
      </w:r>
      <w:r>
        <w:rPr>
          <w:spacing w:val="-2"/>
          <w:sz w:val="16"/>
          <w:szCs w:val="16"/>
        </w:rPr>
        <w:t>−</w:t>
      </w:r>
      <w:r w:rsidRPr="00436FBD">
        <w:rPr>
          <w:spacing w:val="-2"/>
          <w:sz w:val="16"/>
          <w:szCs w:val="16"/>
        </w:rPr>
        <w:t>8,7 %). Maloobchod v ČR registroval šestý nejvyšší pokles mezi státy EU (u potravin pak čtvrtý nejvyšší). Výraznější hlubší propad než v Unii nastal v ČR u nepotravinářského zboží (</w:t>
      </w:r>
      <w:r>
        <w:rPr>
          <w:spacing w:val="-2"/>
          <w:sz w:val="16"/>
          <w:szCs w:val="16"/>
        </w:rPr>
        <w:t>−</w:t>
      </w:r>
      <w:r w:rsidRPr="00436FBD">
        <w:rPr>
          <w:spacing w:val="-2"/>
          <w:sz w:val="16"/>
          <w:szCs w:val="16"/>
        </w:rPr>
        <w:t xml:space="preserve">7,5 % vs. </w:t>
      </w:r>
      <w:r>
        <w:rPr>
          <w:spacing w:val="-2"/>
          <w:sz w:val="16"/>
          <w:szCs w:val="16"/>
        </w:rPr>
        <w:t>−</w:t>
      </w:r>
      <w:r w:rsidRPr="00436FBD">
        <w:rPr>
          <w:spacing w:val="-2"/>
          <w:sz w:val="16"/>
          <w:szCs w:val="16"/>
        </w:rPr>
        <w:t xml:space="preserve">1,1 %). Naopak růst tržeb za pohonné hmoty byl v ČR spolu se Slovenskem v EU nejvyšší. Objem tržeb ve 3. čtvrtletí 2023 v celém maloobchodu byl oproti roku 2019 v EU vyšší </w:t>
      </w:r>
      <w:r>
        <w:rPr>
          <w:spacing w:val="-5"/>
          <w:sz w:val="16"/>
          <w:szCs w:val="16"/>
        </w:rPr>
        <w:t>o 3,6</w:t>
      </w:r>
      <w:r w:rsidRPr="00436FBD">
        <w:rPr>
          <w:spacing w:val="-5"/>
          <w:sz w:val="16"/>
          <w:szCs w:val="16"/>
        </w:rPr>
        <w:t xml:space="preserve"> %, </w:t>
      </w:r>
      <w:r w:rsidRPr="00694029">
        <w:rPr>
          <w:sz w:val="16"/>
          <w:szCs w:val="16"/>
        </w:rPr>
        <w:t xml:space="preserve">z toho v Rumunsku o 18 %, </w:t>
      </w:r>
      <w:r>
        <w:rPr>
          <w:sz w:val="16"/>
          <w:szCs w:val="16"/>
        </w:rPr>
        <w:t xml:space="preserve">v </w:t>
      </w:r>
      <w:r w:rsidRPr="00694029">
        <w:rPr>
          <w:sz w:val="16"/>
          <w:szCs w:val="16"/>
        </w:rPr>
        <w:t xml:space="preserve">Polsku o 21,5 %. Za </w:t>
      </w:r>
      <w:proofErr w:type="spellStart"/>
      <w:r w:rsidRPr="00694029">
        <w:rPr>
          <w:sz w:val="16"/>
          <w:szCs w:val="16"/>
        </w:rPr>
        <w:t>předpandemickou</w:t>
      </w:r>
      <w:proofErr w:type="spellEnd"/>
      <w:r w:rsidRPr="00694029">
        <w:rPr>
          <w:sz w:val="16"/>
          <w:szCs w:val="16"/>
        </w:rPr>
        <w:t xml:space="preserve"> úrovní naopak zaostával jen v osmi státech – nejvíce v ČR </w:t>
      </w:r>
      <w:r>
        <w:rPr>
          <w:sz w:val="16"/>
          <w:szCs w:val="16"/>
        </w:rPr>
        <w:br/>
      </w:r>
      <w:r w:rsidRPr="00694029">
        <w:rPr>
          <w:sz w:val="16"/>
          <w:szCs w:val="16"/>
        </w:rPr>
        <w:t>(</w:t>
      </w:r>
      <w:r>
        <w:rPr>
          <w:sz w:val="16"/>
          <w:szCs w:val="16"/>
        </w:rPr>
        <w:t>−</w:t>
      </w:r>
      <w:r w:rsidRPr="00694029">
        <w:rPr>
          <w:sz w:val="16"/>
          <w:szCs w:val="16"/>
        </w:rPr>
        <w:t>5,5 %), Belgii (</w:t>
      </w:r>
      <w:r>
        <w:rPr>
          <w:sz w:val="16"/>
          <w:szCs w:val="16"/>
        </w:rPr>
        <w:t>−</w:t>
      </w:r>
      <w:r w:rsidRPr="00694029">
        <w:rPr>
          <w:sz w:val="16"/>
          <w:szCs w:val="16"/>
        </w:rPr>
        <w:t>4,3 %)</w:t>
      </w:r>
      <w:r w:rsidRPr="00436FBD">
        <w:rPr>
          <w:spacing w:val="-2"/>
          <w:sz w:val="16"/>
          <w:szCs w:val="16"/>
        </w:rPr>
        <w:t xml:space="preserve"> a Itálii (</w:t>
      </w:r>
      <w:r>
        <w:rPr>
          <w:spacing w:val="-2"/>
          <w:sz w:val="16"/>
          <w:szCs w:val="16"/>
        </w:rPr>
        <w:t>−</w:t>
      </w:r>
      <w:r w:rsidRPr="00436FBD">
        <w:rPr>
          <w:spacing w:val="-2"/>
          <w:sz w:val="16"/>
          <w:szCs w:val="16"/>
        </w:rPr>
        <w:t xml:space="preserve">4,0 %). Souhrnný ukazatel spotřebitelské důvěry v ČR se přitom </w:t>
      </w:r>
      <w:r>
        <w:rPr>
          <w:spacing w:val="-2"/>
          <w:sz w:val="16"/>
          <w:szCs w:val="16"/>
        </w:rPr>
        <w:t xml:space="preserve">významně neodlišoval </w:t>
      </w:r>
      <w:r w:rsidRPr="00436FBD">
        <w:rPr>
          <w:spacing w:val="-2"/>
          <w:sz w:val="16"/>
          <w:szCs w:val="16"/>
        </w:rPr>
        <w:t>od důvěry v celé EU</w:t>
      </w:r>
      <w:r>
        <w:rPr>
          <w:spacing w:val="-2"/>
          <w:sz w:val="16"/>
          <w:szCs w:val="16"/>
        </w:rPr>
        <w:t>.</w:t>
      </w:r>
    </w:p>
  </w:footnote>
  <w:footnote w:id="54">
    <w:p w14:paraId="6F4A2164" w14:textId="77777777" w:rsidR="000D7C6F" w:rsidRPr="00C601D3" w:rsidRDefault="000D7C6F" w:rsidP="007D7F4F">
      <w:pPr>
        <w:pStyle w:val="Textpoznpodarou"/>
        <w:rPr>
          <w:sz w:val="16"/>
          <w:szCs w:val="16"/>
        </w:rPr>
      </w:pPr>
      <w:r w:rsidRPr="00C601D3">
        <w:rPr>
          <w:rStyle w:val="Znakapoznpodarou"/>
          <w:sz w:val="16"/>
          <w:szCs w:val="16"/>
        </w:rPr>
        <w:footnoteRef/>
      </w:r>
      <w:r>
        <w:rPr>
          <w:sz w:val="16"/>
          <w:szCs w:val="16"/>
        </w:rPr>
        <w:t xml:space="preserve"> Situace se </w:t>
      </w:r>
      <w:r w:rsidRPr="00C601D3">
        <w:rPr>
          <w:sz w:val="16"/>
          <w:szCs w:val="16"/>
        </w:rPr>
        <w:t>zlepšila ve 3. čtvrtletí</w:t>
      </w:r>
      <w:r>
        <w:rPr>
          <w:sz w:val="16"/>
          <w:szCs w:val="16"/>
        </w:rPr>
        <w:t xml:space="preserve"> 2023</w:t>
      </w:r>
      <w:r w:rsidRPr="00C601D3">
        <w:rPr>
          <w:sz w:val="16"/>
          <w:szCs w:val="16"/>
        </w:rPr>
        <w:t xml:space="preserve">, kdy se meziroční pokles tržeb zastavil (+0,5 %). Velmi mírné oživení poptávky je zde patrné </w:t>
      </w:r>
      <w:r>
        <w:rPr>
          <w:sz w:val="16"/>
          <w:szCs w:val="16"/>
        </w:rPr>
        <w:br/>
      </w:r>
      <w:r w:rsidRPr="00C601D3">
        <w:rPr>
          <w:sz w:val="16"/>
          <w:szCs w:val="16"/>
        </w:rPr>
        <w:t>i z </w:t>
      </w:r>
      <w:proofErr w:type="spellStart"/>
      <w:r w:rsidRPr="00C601D3">
        <w:rPr>
          <w:sz w:val="16"/>
          <w:szCs w:val="16"/>
        </w:rPr>
        <w:t>mezikvartálních</w:t>
      </w:r>
      <w:proofErr w:type="spellEnd"/>
      <w:r w:rsidRPr="00C601D3">
        <w:rPr>
          <w:sz w:val="16"/>
          <w:szCs w:val="16"/>
        </w:rPr>
        <w:t xml:space="preserve"> temp, a to již od počátku letošního roku.</w:t>
      </w:r>
    </w:p>
  </w:footnote>
  <w:footnote w:id="55">
    <w:p w14:paraId="09EFE65A" w14:textId="77777777" w:rsidR="000D7C6F" w:rsidRPr="00681FE8" w:rsidRDefault="000D7C6F" w:rsidP="007D7F4F">
      <w:pPr>
        <w:pStyle w:val="Textpoznpodarou"/>
        <w:rPr>
          <w:sz w:val="16"/>
          <w:szCs w:val="16"/>
        </w:rPr>
      </w:pPr>
      <w:r w:rsidRPr="00681FE8">
        <w:rPr>
          <w:rStyle w:val="Znakapoznpodarou"/>
          <w:sz w:val="16"/>
          <w:szCs w:val="16"/>
        </w:rPr>
        <w:footnoteRef/>
      </w:r>
      <w:r w:rsidRPr="00681FE8">
        <w:rPr>
          <w:sz w:val="16"/>
          <w:szCs w:val="16"/>
        </w:rPr>
        <w:t xml:space="preserve"> Z toho ve 3. čtvrtletí</w:t>
      </w:r>
      <w:r>
        <w:rPr>
          <w:sz w:val="16"/>
          <w:szCs w:val="16"/>
        </w:rPr>
        <w:t xml:space="preserve"> 2023</w:t>
      </w:r>
      <w:r w:rsidRPr="00681FE8">
        <w:rPr>
          <w:sz w:val="16"/>
          <w:szCs w:val="16"/>
        </w:rPr>
        <w:t xml:space="preserve"> činil pokles dokonce 11,8 %. To lze zčásti vysvětlit slabými tržbami v září, kdy spotřebitelé vlivem přetrvávajícího velmi teplého počasí odkládali nákupy podzimních kolekcí oblečení i obuvi.</w:t>
      </w:r>
    </w:p>
  </w:footnote>
  <w:footnote w:id="56">
    <w:p w14:paraId="5364C942" w14:textId="77777777" w:rsidR="000D7C6F" w:rsidRPr="00377F5E" w:rsidRDefault="000D7C6F" w:rsidP="007D7F4F">
      <w:pPr>
        <w:pStyle w:val="Textpoznpodarou"/>
        <w:rPr>
          <w:sz w:val="16"/>
          <w:szCs w:val="16"/>
        </w:rPr>
      </w:pPr>
      <w:r w:rsidRPr="00377F5E">
        <w:rPr>
          <w:rStyle w:val="Znakapoznpodarou"/>
          <w:sz w:val="16"/>
          <w:szCs w:val="16"/>
        </w:rPr>
        <w:footnoteRef/>
      </w:r>
      <w:r w:rsidRPr="00377F5E">
        <w:rPr>
          <w:sz w:val="16"/>
          <w:szCs w:val="16"/>
        </w:rPr>
        <w:t xml:space="preserve"> Z toho ve 3. čtvrtletí tempo růstu tržeb vystoupalo na 7,8 %</w:t>
      </w:r>
      <w:r>
        <w:rPr>
          <w:sz w:val="16"/>
          <w:szCs w:val="16"/>
        </w:rPr>
        <w:t xml:space="preserve"> a jejich objem dosáhl v tomto období absolutního maxima v celé řadě od roku 2000 (jako v jediném z hlavních sledovaných segmentů maloobchodu).</w:t>
      </w:r>
    </w:p>
  </w:footnote>
  <w:footnote w:id="57">
    <w:p w14:paraId="3A4E73FD" w14:textId="77777777" w:rsidR="000D7C6F" w:rsidRPr="00441515" w:rsidRDefault="000D7C6F" w:rsidP="000D7C6F">
      <w:pPr>
        <w:pStyle w:val="Textpoznpodarou"/>
        <w:rPr>
          <w:rFonts w:cs="Arial"/>
          <w:i/>
          <w:iCs/>
          <w:sz w:val="16"/>
          <w:szCs w:val="16"/>
        </w:rPr>
      </w:pPr>
      <w:r w:rsidRPr="00441515">
        <w:rPr>
          <w:rStyle w:val="Znakapoznpodarou"/>
          <w:rFonts w:cs="Arial"/>
          <w:sz w:val="16"/>
          <w:szCs w:val="16"/>
        </w:rPr>
        <w:footnoteRef/>
      </w:r>
      <w:r w:rsidRPr="00441515">
        <w:rPr>
          <w:rFonts w:cs="Arial"/>
          <w:i/>
          <w:iCs/>
          <w:sz w:val="16"/>
          <w:szCs w:val="16"/>
        </w:rPr>
        <w:t xml:space="preserve"> </w:t>
      </w:r>
      <w:r w:rsidRPr="00441515">
        <w:rPr>
          <w:rStyle w:val="Zdraznn"/>
          <w:rFonts w:cs="Arial"/>
          <w:i w:val="0"/>
          <w:iCs w:val="0"/>
          <w:color w:val="333333"/>
          <w:sz w:val="16"/>
          <w:szCs w:val="16"/>
          <w:bdr w:val="none" w:sz="0" w:space="0" w:color="auto" w:frame="1"/>
          <w:shd w:val="clear" w:color="auto" w:fill="FFFFFF"/>
        </w:rPr>
        <w:t>Údaje za zahraniční obchod se zbožím od roku 2020 jsou přepočítávány aktualizovanou metodou založenou na vyšší míře detailu, viz </w:t>
      </w:r>
      <w:hyperlink r:id="rId1" w:history="1">
        <w:r w:rsidRPr="00C80FF3">
          <w:rPr>
            <w:rStyle w:val="Hypertextovodkaz"/>
            <w:rFonts w:cs="Arial"/>
            <w:sz w:val="16"/>
            <w:szCs w:val="16"/>
            <w:bdr w:val="none" w:sz="0" w:space="0" w:color="auto" w:frame="1"/>
            <w:shd w:val="clear" w:color="auto" w:fill="FFFFFF"/>
          </w:rPr>
          <w:t>https://www.czso.cz/csu/czso/aktualizace-metody-propoctu-zahranicni-obchod-se-zbozim</w:t>
        </w:r>
      </w:hyperlink>
      <w:r>
        <w:rPr>
          <w:rStyle w:val="Hypertextovodkaz"/>
          <w:rFonts w:cs="Arial"/>
          <w:sz w:val="16"/>
          <w:szCs w:val="16"/>
          <w:bdr w:val="none" w:sz="0" w:space="0" w:color="auto" w:frame="1"/>
          <w:shd w:val="clear" w:color="auto" w:fill="FFFFFF"/>
        </w:rPr>
        <w:t xml:space="preserve">. </w:t>
      </w:r>
      <w:r w:rsidRPr="004E0CF8">
        <w:rPr>
          <w:sz w:val="16"/>
          <w:szCs w:val="16"/>
        </w:rPr>
        <w:t>Není-li uvedeno jinak, jsou všechny údaje sezónně neočištěné a v běžných cenách.</w:t>
      </w:r>
    </w:p>
  </w:footnote>
  <w:footnote w:id="58">
    <w:p w14:paraId="6EC4874D" w14:textId="77777777" w:rsidR="000D7C6F" w:rsidRPr="00FC5C85" w:rsidRDefault="000D7C6F" w:rsidP="000D7C6F">
      <w:pPr>
        <w:pStyle w:val="Textpoznpodarou"/>
        <w:rPr>
          <w:sz w:val="16"/>
          <w:szCs w:val="16"/>
        </w:rPr>
      </w:pPr>
      <w:r w:rsidRPr="00FC5C85">
        <w:rPr>
          <w:rStyle w:val="Znakapoznpodarou"/>
          <w:sz w:val="16"/>
          <w:szCs w:val="16"/>
        </w:rPr>
        <w:footnoteRef/>
      </w:r>
      <w:r w:rsidRPr="00FC5C85">
        <w:rPr>
          <w:sz w:val="16"/>
          <w:szCs w:val="16"/>
        </w:rPr>
        <w:t xml:space="preserve"> </w:t>
      </w:r>
      <w:r w:rsidRPr="002F0E99">
        <w:rPr>
          <w:sz w:val="16"/>
          <w:szCs w:val="16"/>
        </w:rPr>
        <w:t>Ceny vývozu zboží se ve </w:t>
      </w:r>
      <w:r>
        <w:rPr>
          <w:sz w:val="16"/>
          <w:szCs w:val="16"/>
        </w:rPr>
        <w:t>3</w:t>
      </w:r>
      <w:r w:rsidRPr="002F0E99">
        <w:rPr>
          <w:sz w:val="16"/>
          <w:szCs w:val="16"/>
        </w:rPr>
        <w:t xml:space="preserve">. čtvrtletí 2023 meziročně </w:t>
      </w:r>
      <w:r>
        <w:rPr>
          <w:sz w:val="16"/>
          <w:szCs w:val="16"/>
        </w:rPr>
        <w:t>snížily</w:t>
      </w:r>
      <w:r w:rsidRPr="002F0E99">
        <w:rPr>
          <w:sz w:val="16"/>
          <w:szCs w:val="16"/>
        </w:rPr>
        <w:t xml:space="preserve"> o </w:t>
      </w:r>
      <w:r>
        <w:rPr>
          <w:sz w:val="16"/>
          <w:szCs w:val="16"/>
        </w:rPr>
        <w:t>4,4</w:t>
      </w:r>
      <w:r w:rsidRPr="002F0E99">
        <w:rPr>
          <w:sz w:val="16"/>
          <w:szCs w:val="16"/>
        </w:rPr>
        <w:t xml:space="preserve"> % a mezičtvrtletně </w:t>
      </w:r>
      <w:r>
        <w:rPr>
          <w:sz w:val="16"/>
          <w:szCs w:val="16"/>
        </w:rPr>
        <w:t>vzrostly o 0,7</w:t>
      </w:r>
      <w:r w:rsidRPr="002F0E99">
        <w:rPr>
          <w:sz w:val="16"/>
          <w:szCs w:val="16"/>
        </w:rPr>
        <w:t xml:space="preserve"> %.</w:t>
      </w:r>
      <w:r w:rsidRPr="00FC5C85">
        <w:rPr>
          <w:sz w:val="16"/>
          <w:szCs w:val="16"/>
        </w:rPr>
        <w:t xml:space="preserve"> </w:t>
      </w:r>
      <w:r>
        <w:rPr>
          <w:sz w:val="16"/>
          <w:szCs w:val="16"/>
        </w:rPr>
        <w:t>C</w:t>
      </w:r>
      <w:r w:rsidRPr="002F40C5">
        <w:rPr>
          <w:sz w:val="16"/>
          <w:szCs w:val="16"/>
        </w:rPr>
        <w:t>eny ostatních surovin</w:t>
      </w:r>
      <w:r>
        <w:rPr>
          <w:sz w:val="16"/>
          <w:szCs w:val="16"/>
        </w:rPr>
        <w:t xml:space="preserve"> meziročně klesly</w:t>
      </w:r>
      <w:r w:rsidRPr="002F40C5">
        <w:rPr>
          <w:sz w:val="16"/>
          <w:szCs w:val="16"/>
        </w:rPr>
        <w:t xml:space="preserve"> o 23,0 % (především korku a dřeva), minerálních paliv o 18,8 % (elektřiny, ropných výrobků a uhlí) a chemikálií o</w:t>
      </w:r>
      <w:r>
        <w:rPr>
          <w:sz w:val="16"/>
          <w:szCs w:val="16"/>
        </w:rPr>
        <w:t> </w:t>
      </w:r>
      <w:r w:rsidRPr="002F40C5">
        <w:rPr>
          <w:sz w:val="16"/>
          <w:szCs w:val="16"/>
        </w:rPr>
        <w:t>13,4</w:t>
      </w:r>
      <w:r>
        <w:rPr>
          <w:sz w:val="16"/>
          <w:szCs w:val="16"/>
        </w:rPr>
        <w:t> </w:t>
      </w:r>
      <w:r w:rsidRPr="002F40C5">
        <w:rPr>
          <w:sz w:val="16"/>
          <w:szCs w:val="16"/>
        </w:rPr>
        <w:t>% (zvláště organických chemikálií a plastů).</w:t>
      </w:r>
    </w:p>
  </w:footnote>
  <w:footnote w:id="59">
    <w:p w14:paraId="04878AD7" w14:textId="77777777" w:rsidR="000D7C6F" w:rsidRPr="00DE472F" w:rsidRDefault="000D7C6F" w:rsidP="000D7C6F">
      <w:pPr>
        <w:pStyle w:val="Textpoznpodarou"/>
        <w:rPr>
          <w:sz w:val="16"/>
          <w:szCs w:val="16"/>
        </w:rPr>
      </w:pPr>
      <w:r w:rsidRPr="00DE472F">
        <w:rPr>
          <w:rStyle w:val="Znakapoznpodarou"/>
          <w:sz w:val="16"/>
          <w:szCs w:val="16"/>
        </w:rPr>
        <w:footnoteRef/>
      </w:r>
      <w:r w:rsidRPr="00DE472F">
        <w:rPr>
          <w:sz w:val="16"/>
          <w:szCs w:val="16"/>
        </w:rPr>
        <w:t xml:space="preserve"> </w:t>
      </w:r>
      <w:r>
        <w:rPr>
          <w:sz w:val="16"/>
          <w:szCs w:val="16"/>
        </w:rPr>
        <w:t>U všech tří zemí byl vývoz ovlivněn propadem cen elektřiny. V případě Německa se ve 3. čtvrtletí meziročně snížila hodnota vývozu elektřiny, plynu, páry a klimatizovaného vzduchu o 16,4 mld. korun, export elektřiny na Slovensko se propadl o 9,0 mld. korun a do Rakouska o 5,4 mld.</w:t>
      </w:r>
    </w:p>
  </w:footnote>
  <w:footnote w:id="60">
    <w:p w14:paraId="5EE602F1" w14:textId="77777777" w:rsidR="000D7C6F" w:rsidRPr="00063A81" w:rsidRDefault="000D7C6F" w:rsidP="000D7C6F">
      <w:pPr>
        <w:pStyle w:val="Textpoznpodarou"/>
        <w:rPr>
          <w:sz w:val="16"/>
          <w:szCs w:val="16"/>
        </w:rPr>
      </w:pPr>
      <w:r w:rsidRPr="00063A81">
        <w:rPr>
          <w:rStyle w:val="Znakapoznpodarou"/>
          <w:sz w:val="16"/>
          <w:szCs w:val="16"/>
        </w:rPr>
        <w:footnoteRef/>
      </w:r>
      <w:r w:rsidRPr="00063A81">
        <w:rPr>
          <w:sz w:val="16"/>
          <w:szCs w:val="16"/>
        </w:rPr>
        <w:t xml:space="preserve"> </w:t>
      </w:r>
      <w:r w:rsidRPr="002F0E99">
        <w:rPr>
          <w:sz w:val="16"/>
          <w:szCs w:val="16"/>
        </w:rPr>
        <w:t>Ceny dovozu zboží ve </w:t>
      </w:r>
      <w:r>
        <w:rPr>
          <w:sz w:val="16"/>
          <w:szCs w:val="16"/>
        </w:rPr>
        <w:t>3</w:t>
      </w:r>
      <w:r w:rsidRPr="002F0E99">
        <w:rPr>
          <w:sz w:val="16"/>
          <w:szCs w:val="16"/>
        </w:rPr>
        <w:t xml:space="preserve">. čtvrtletí meziročně klesly o </w:t>
      </w:r>
      <w:r>
        <w:rPr>
          <w:sz w:val="16"/>
          <w:szCs w:val="16"/>
        </w:rPr>
        <w:t>11,2</w:t>
      </w:r>
      <w:r w:rsidRPr="002F0E99">
        <w:rPr>
          <w:sz w:val="16"/>
          <w:szCs w:val="16"/>
        </w:rPr>
        <w:t xml:space="preserve"> % a mezičtvrtletně </w:t>
      </w:r>
      <w:r>
        <w:rPr>
          <w:sz w:val="16"/>
          <w:szCs w:val="16"/>
        </w:rPr>
        <w:t>vzrostly</w:t>
      </w:r>
      <w:r w:rsidRPr="002F0E99">
        <w:rPr>
          <w:sz w:val="16"/>
          <w:szCs w:val="16"/>
        </w:rPr>
        <w:t xml:space="preserve"> o </w:t>
      </w:r>
      <w:r>
        <w:rPr>
          <w:sz w:val="16"/>
          <w:szCs w:val="16"/>
        </w:rPr>
        <w:t>1,3</w:t>
      </w:r>
      <w:r w:rsidRPr="002F0E99">
        <w:rPr>
          <w:sz w:val="16"/>
          <w:szCs w:val="16"/>
        </w:rPr>
        <w:t xml:space="preserve"> %. Ceny minerálních paliv byly </w:t>
      </w:r>
      <w:r>
        <w:rPr>
          <w:sz w:val="16"/>
          <w:szCs w:val="16"/>
        </w:rPr>
        <w:t xml:space="preserve">meziročně </w:t>
      </w:r>
      <w:r w:rsidRPr="002F0E99">
        <w:rPr>
          <w:sz w:val="16"/>
          <w:szCs w:val="16"/>
        </w:rPr>
        <w:t>nižší o </w:t>
      </w:r>
      <w:r>
        <w:rPr>
          <w:sz w:val="16"/>
          <w:szCs w:val="16"/>
        </w:rPr>
        <w:t>44,7</w:t>
      </w:r>
      <w:r w:rsidRPr="002F0E99">
        <w:rPr>
          <w:sz w:val="16"/>
          <w:szCs w:val="16"/>
        </w:rPr>
        <w:t xml:space="preserve"> % (hlavně </w:t>
      </w:r>
      <w:r>
        <w:rPr>
          <w:sz w:val="16"/>
          <w:szCs w:val="16"/>
        </w:rPr>
        <w:t>p</w:t>
      </w:r>
      <w:r w:rsidRPr="002F0E99">
        <w:rPr>
          <w:sz w:val="16"/>
          <w:szCs w:val="16"/>
        </w:rPr>
        <w:t>lynu a elektřiny), ostatních surovin o 1</w:t>
      </w:r>
      <w:r>
        <w:rPr>
          <w:sz w:val="16"/>
          <w:szCs w:val="16"/>
        </w:rPr>
        <w:t>7</w:t>
      </w:r>
      <w:r w:rsidRPr="002F0E99">
        <w:rPr>
          <w:sz w:val="16"/>
          <w:szCs w:val="16"/>
        </w:rPr>
        <w:t>,</w:t>
      </w:r>
      <w:r>
        <w:rPr>
          <w:sz w:val="16"/>
          <w:szCs w:val="16"/>
        </w:rPr>
        <w:t>2</w:t>
      </w:r>
      <w:r w:rsidRPr="002F0E99">
        <w:rPr>
          <w:sz w:val="16"/>
          <w:szCs w:val="16"/>
        </w:rPr>
        <w:t> % (především rud kovů a kovového odpadu)</w:t>
      </w:r>
      <w:r>
        <w:rPr>
          <w:sz w:val="16"/>
          <w:szCs w:val="16"/>
        </w:rPr>
        <w:t xml:space="preserve"> </w:t>
      </w:r>
      <w:r w:rsidRPr="002F0E99">
        <w:rPr>
          <w:sz w:val="16"/>
          <w:szCs w:val="16"/>
        </w:rPr>
        <w:t>a chemikálií o 1</w:t>
      </w:r>
      <w:r>
        <w:rPr>
          <w:sz w:val="16"/>
          <w:szCs w:val="16"/>
        </w:rPr>
        <w:t>2,0</w:t>
      </w:r>
      <w:r w:rsidRPr="002F0E99">
        <w:rPr>
          <w:sz w:val="16"/>
          <w:szCs w:val="16"/>
        </w:rPr>
        <w:t> % (zvláště plastů).</w:t>
      </w:r>
    </w:p>
  </w:footnote>
  <w:footnote w:id="61">
    <w:p w14:paraId="390BB12A" w14:textId="77777777" w:rsidR="000D7C6F" w:rsidRPr="009424B8" w:rsidRDefault="000D7C6F" w:rsidP="000D7C6F">
      <w:pPr>
        <w:pStyle w:val="Textpoznpodarou"/>
        <w:rPr>
          <w:sz w:val="16"/>
          <w:szCs w:val="16"/>
        </w:rPr>
      </w:pPr>
      <w:r w:rsidRPr="009424B8">
        <w:rPr>
          <w:rStyle w:val="Znakapoznpodarou"/>
          <w:sz w:val="16"/>
          <w:szCs w:val="16"/>
        </w:rPr>
        <w:footnoteRef/>
      </w:r>
      <w:r w:rsidRPr="009424B8">
        <w:rPr>
          <w:sz w:val="16"/>
          <w:szCs w:val="16"/>
        </w:rPr>
        <w:t xml:space="preserve"> Norsko představuje „nový“ zdroj zemního plynu a náhradu za výpadek u dovozu</w:t>
      </w:r>
      <w:r>
        <w:rPr>
          <w:sz w:val="16"/>
          <w:szCs w:val="16"/>
        </w:rPr>
        <w:t xml:space="preserve"> této komodity</w:t>
      </w:r>
      <w:r w:rsidRPr="009424B8">
        <w:rPr>
          <w:sz w:val="16"/>
          <w:szCs w:val="16"/>
        </w:rPr>
        <w:t xml:space="preserve"> z Ruska.</w:t>
      </w:r>
    </w:p>
  </w:footnote>
  <w:footnote w:id="62">
    <w:p w14:paraId="675AFC05" w14:textId="77777777" w:rsidR="000D7C6F" w:rsidRPr="00720921" w:rsidRDefault="000D7C6F" w:rsidP="001E1AF1">
      <w:pPr>
        <w:pStyle w:val="Textpoznpodarou"/>
        <w:rPr>
          <w:sz w:val="16"/>
          <w:szCs w:val="16"/>
        </w:rPr>
      </w:pPr>
      <w:r w:rsidRPr="00720921">
        <w:rPr>
          <w:rStyle w:val="Znakapoznpodarou"/>
          <w:sz w:val="16"/>
          <w:szCs w:val="16"/>
        </w:rPr>
        <w:footnoteRef/>
      </w:r>
      <w:r w:rsidRPr="00720921">
        <w:rPr>
          <w:sz w:val="16"/>
          <w:szCs w:val="16"/>
        </w:rPr>
        <w:t xml:space="preserve"> Zahrnuje služby osobní péče</w:t>
      </w:r>
      <w:r>
        <w:rPr>
          <w:sz w:val="16"/>
          <w:szCs w:val="16"/>
        </w:rPr>
        <w:t xml:space="preserve"> a osobní potřeby a doplňky</w:t>
      </w:r>
      <w:r w:rsidRPr="00720921">
        <w:rPr>
          <w:sz w:val="16"/>
          <w:szCs w:val="16"/>
        </w:rPr>
        <w:t>, sociální péči, pojištění a další finanční služby apod.</w:t>
      </w:r>
    </w:p>
  </w:footnote>
  <w:footnote w:id="63">
    <w:p w14:paraId="28833F6F" w14:textId="77777777" w:rsidR="000D7C6F" w:rsidRPr="00114669" w:rsidRDefault="000D7C6F" w:rsidP="001E1AF1">
      <w:pPr>
        <w:pStyle w:val="Textpoznpodarou"/>
        <w:rPr>
          <w:sz w:val="16"/>
          <w:szCs w:val="16"/>
        </w:rPr>
      </w:pPr>
      <w:r w:rsidRPr="000A4298">
        <w:rPr>
          <w:rStyle w:val="Znakapoznpodarou"/>
          <w:sz w:val="16"/>
          <w:szCs w:val="16"/>
        </w:rPr>
        <w:footnoteRef/>
      </w:r>
      <w:r>
        <w:rPr>
          <w:sz w:val="16"/>
          <w:szCs w:val="16"/>
        </w:rPr>
        <w:t xml:space="preserve"> I</w:t>
      </w:r>
      <w:r w:rsidRPr="000A4298">
        <w:rPr>
          <w:sz w:val="16"/>
          <w:szCs w:val="16"/>
        </w:rPr>
        <w:t>mputované nájemné vyjadřuje náklady vlastnického bydlení.</w:t>
      </w:r>
      <w:r>
        <w:rPr>
          <w:sz w:val="16"/>
          <w:szCs w:val="16"/>
        </w:rPr>
        <w:t xml:space="preserve"> Kromě samotných cen bydlení zahrnuje i náklady na výstavbu a renovace a další poplatky. Více na:</w:t>
      </w:r>
      <w:r w:rsidRPr="000A4298">
        <w:rPr>
          <w:sz w:val="16"/>
          <w:szCs w:val="16"/>
        </w:rPr>
        <w:t xml:space="preserve"> </w:t>
      </w:r>
      <w:hyperlink r:id="rId2" w:history="1">
        <w:r w:rsidRPr="000A4298">
          <w:rPr>
            <w:rStyle w:val="Hypertextovodkaz"/>
            <w:sz w:val="16"/>
            <w:szCs w:val="16"/>
          </w:rPr>
          <w:t>https://www.czso.cz/csu/czso/metodicka-poznamka-k-indexu-spotrebitelskych-cen-imputovane-najemne</w:t>
        </w:r>
      </w:hyperlink>
      <w:r>
        <w:rPr>
          <w:rStyle w:val="Hypertextovodkaz"/>
          <w:sz w:val="16"/>
          <w:szCs w:val="16"/>
          <w:u w:val="none"/>
        </w:rPr>
        <w:t>.</w:t>
      </w:r>
    </w:p>
  </w:footnote>
  <w:footnote w:id="64">
    <w:p w14:paraId="4E254337" w14:textId="77777777" w:rsidR="000D7C6F" w:rsidRPr="00C055FA" w:rsidRDefault="000D7C6F" w:rsidP="001E1AF1">
      <w:pPr>
        <w:pStyle w:val="Textpoznpodarou"/>
        <w:rPr>
          <w:sz w:val="16"/>
          <w:szCs w:val="16"/>
        </w:rPr>
      </w:pPr>
      <w:r w:rsidRPr="00C055FA">
        <w:rPr>
          <w:rStyle w:val="Znakapoznpodarou"/>
          <w:sz w:val="16"/>
          <w:szCs w:val="16"/>
        </w:rPr>
        <w:footnoteRef/>
      </w:r>
      <w:r w:rsidRPr="00C055FA">
        <w:rPr>
          <w:sz w:val="16"/>
          <w:szCs w:val="16"/>
        </w:rPr>
        <w:t xml:space="preserve"> </w:t>
      </w:r>
      <w:r>
        <w:rPr>
          <w:sz w:val="16"/>
          <w:szCs w:val="16"/>
        </w:rPr>
        <w:t xml:space="preserve">Oproti indexu spotřebitelských cen, který ČSÚ pro českou ekonomiku sestavuje, </w:t>
      </w:r>
      <w:r w:rsidRPr="00C055FA">
        <w:rPr>
          <w:sz w:val="16"/>
          <w:szCs w:val="16"/>
        </w:rPr>
        <w:t>HICP neobsahuje imputované nájemné</w:t>
      </w:r>
      <w:r>
        <w:rPr>
          <w:sz w:val="16"/>
          <w:szCs w:val="16"/>
        </w:rPr>
        <w:t>, což bývá zdrojem rozdílů mezi HICP a Indexem spotřebitelských cen</w:t>
      </w:r>
      <w:r w:rsidRPr="00C055FA">
        <w:rPr>
          <w:sz w:val="16"/>
          <w:szCs w:val="16"/>
        </w:rPr>
        <w:t>.</w:t>
      </w:r>
    </w:p>
  </w:footnote>
  <w:footnote w:id="65">
    <w:p w14:paraId="0690702C" w14:textId="77777777" w:rsidR="000D7C6F" w:rsidRPr="005F66A4" w:rsidRDefault="000D7C6F" w:rsidP="001E1AF1">
      <w:pPr>
        <w:pStyle w:val="Textpoznpodarou"/>
        <w:rPr>
          <w:sz w:val="16"/>
          <w:szCs w:val="16"/>
        </w:rPr>
      </w:pPr>
      <w:r w:rsidRPr="005F66A4">
        <w:rPr>
          <w:rStyle w:val="Znakapoznpodarou"/>
          <w:sz w:val="16"/>
          <w:szCs w:val="16"/>
        </w:rPr>
        <w:footnoteRef/>
      </w:r>
      <w:r w:rsidRPr="005F66A4">
        <w:rPr>
          <w:sz w:val="16"/>
          <w:szCs w:val="16"/>
        </w:rPr>
        <w:t xml:space="preserve"> </w:t>
      </w:r>
      <w:r>
        <w:rPr>
          <w:sz w:val="16"/>
          <w:szCs w:val="16"/>
        </w:rPr>
        <w:t>Přesné hodnoty ukazatele nejsou uvedeny kvůli ochraně i</w:t>
      </w:r>
      <w:r w:rsidRPr="005F66A4">
        <w:rPr>
          <w:sz w:val="16"/>
          <w:szCs w:val="16"/>
        </w:rPr>
        <w:t>ndividuální</w:t>
      </w:r>
      <w:r>
        <w:rPr>
          <w:sz w:val="16"/>
          <w:szCs w:val="16"/>
        </w:rPr>
        <w:t>ch</w:t>
      </w:r>
      <w:r w:rsidRPr="005F66A4">
        <w:rPr>
          <w:sz w:val="16"/>
          <w:szCs w:val="16"/>
        </w:rPr>
        <w:t xml:space="preserve"> dat.</w:t>
      </w:r>
    </w:p>
  </w:footnote>
  <w:footnote w:id="66">
    <w:p w14:paraId="6E2BFDA1" w14:textId="77777777" w:rsidR="000D7C6F" w:rsidRPr="000C5F73" w:rsidRDefault="000D7C6F" w:rsidP="001E1AF1">
      <w:pPr>
        <w:pStyle w:val="Textpoznpodarou"/>
        <w:rPr>
          <w:sz w:val="16"/>
          <w:szCs w:val="16"/>
        </w:rPr>
      </w:pPr>
      <w:r w:rsidRPr="000C5F73">
        <w:rPr>
          <w:rStyle w:val="Znakapoznpodarou"/>
          <w:sz w:val="16"/>
          <w:szCs w:val="16"/>
        </w:rPr>
        <w:footnoteRef/>
      </w:r>
      <w:r w:rsidRPr="000C5F73">
        <w:rPr>
          <w:sz w:val="16"/>
          <w:szCs w:val="16"/>
        </w:rPr>
        <w:t xml:space="preserve"> Bez cen zásobování vodou a</w:t>
      </w:r>
      <w:r>
        <w:rPr>
          <w:sz w:val="16"/>
          <w:szCs w:val="16"/>
        </w:rPr>
        <w:t> </w:t>
      </w:r>
      <w:r w:rsidRPr="000C5F73">
        <w:rPr>
          <w:sz w:val="16"/>
          <w:szCs w:val="16"/>
        </w:rPr>
        <w:t>služeb souvisejících s odpadními vodami.</w:t>
      </w:r>
    </w:p>
  </w:footnote>
  <w:footnote w:id="67">
    <w:p w14:paraId="28AE0BCA" w14:textId="77777777" w:rsidR="000D7C6F" w:rsidRPr="00C11C5A" w:rsidRDefault="000D7C6F" w:rsidP="001E1AF1">
      <w:pPr>
        <w:pStyle w:val="Textpoznpodarou"/>
        <w:rPr>
          <w:sz w:val="16"/>
          <w:szCs w:val="16"/>
        </w:rPr>
      </w:pPr>
      <w:r w:rsidRPr="00C11C5A">
        <w:rPr>
          <w:rStyle w:val="Znakapoznpodarou"/>
          <w:sz w:val="16"/>
          <w:szCs w:val="16"/>
        </w:rPr>
        <w:footnoteRef/>
      </w:r>
      <w:r>
        <w:rPr>
          <w:sz w:val="16"/>
          <w:szCs w:val="16"/>
        </w:rPr>
        <w:t xml:space="preserve"> Podle údajů ČNB byl ve 3. čtvrtletí 2023 </w:t>
      </w:r>
      <w:r w:rsidRPr="00C11C5A">
        <w:rPr>
          <w:sz w:val="16"/>
          <w:szCs w:val="16"/>
        </w:rPr>
        <w:t xml:space="preserve">průměrný kurz koruny vůči euru </w:t>
      </w:r>
      <w:r>
        <w:rPr>
          <w:sz w:val="16"/>
          <w:szCs w:val="16"/>
        </w:rPr>
        <w:t>24,136 </w:t>
      </w:r>
      <w:r w:rsidRPr="00C11C5A">
        <w:rPr>
          <w:sz w:val="16"/>
          <w:szCs w:val="16"/>
        </w:rPr>
        <w:t xml:space="preserve">CZK/EUR. </w:t>
      </w:r>
      <w:r>
        <w:rPr>
          <w:sz w:val="16"/>
          <w:szCs w:val="16"/>
        </w:rPr>
        <w:t>V roce 2022</w:t>
      </w:r>
      <w:r w:rsidRPr="00C11C5A">
        <w:rPr>
          <w:sz w:val="16"/>
          <w:szCs w:val="16"/>
        </w:rPr>
        <w:t xml:space="preserve"> to bylo </w:t>
      </w:r>
      <w:r>
        <w:rPr>
          <w:sz w:val="16"/>
          <w:szCs w:val="16"/>
        </w:rPr>
        <w:t xml:space="preserve">24,573 </w:t>
      </w:r>
      <w:r w:rsidRPr="00C11C5A">
        <w:rPr>
          <w:sz w:val="16"/>
          <w:szCs w:val="16"/>
        </w:rPr>
        <w:t xml:space="preserve">CZK/EUR. </w:t>
      </w:r>
      <w:r>
        <w:rPr>
          <w:sz w:val="16"/>
          <w:szCs w:val="16"/>
        </w:rPr>
        <w:t>Kurz dolaru meziročně výrazně posílil</w:t>
      </w:r>
      <w:r w:rsidRPr="00C11C5A">
        <w:rPr>
          <w:sz w:val="16"/>
          <w:szCs w:val="16"/>
        </w:rPr>
        <w:t xml:space="preserve">. </w:t>
      </w:r>
      <w:r>
        <w:rPr>
          <w:sz w:val="16"/>
          <w:szCs w:val="16"/>
        </w:rPr>
        <w:t xml:space="preserve">Ve 3. čtvrtletí 2022 </w:t>
      </w:r>
      <w:r w:rsidRPr="00C11C5A">
        <w:rPr>
          <w:sz w:val="16"/>
          <w:szCs w:val="16"/>
        </w:rPr>
        <w:t xml:space="preserve">činil </w:t>
      </w:r>
      <w:r>
        <w:rPr>
          <w:sz w:val="16"/>
          <w:szCs w:val="16"/>
        </w:rPr>
        <w:t xml:space="preserve">průměr 24,402 </w:t>
      </w:r>
      <w:r w:rsidRPr="00C11C5A">
        <w:rPr>
          <w:sz w:val="16"/>
          <w:szCs w:val="16"/>
        </w:rPr>
        <w:t>CZK/USD</w:t>
      </w:r>
      <w:r>
        <w:rPr>
          <w:sz w:val="16"/>
          <w:szCs w:val="16"/>
        </w:rPr>
        <w:t xml:space="preserve"> a letos</w:t>
      </w:r>
      <w:r w:rsidRPr="00C11C5A">
        <w:rPr>
          <w:sz w:val="16"/>
          <w:szCs w:val="16"/>
        </w:rPr>
        <w:t xml:space="preserve"> 2</w:t>
      </w:r>
      <w:r>
        <w:rPr>
          <w:sz w:val="16"/>
          <w:szCs w:val="16"/>
        </w:rPr>
        <w:t>2,173 </w:t>
      </w:r>
      <w:r w:rsidRPr="00C11C5A">
        <w:rPr>
          <w:sz w:val="16"/>
          <w:szCs w:val="16"/>
        </w:rPr>
        <w:t>CZK/U</w:t>
      </w:r>
      <w:r>
        <w:rPr>
          <w:sz w:val="16"/>
          <w:szCs w:val="16"/>
        </w:rPr>
        <w:t>SD</w:t>
      </w:r>
      <w:r w:rsidRPr="00C11C5A">
        <w:rPr>
          <w:sz w:val="16"/>
          <w:szCs w:val="16"/>
        </w:rPr>
        <w:t>.</w:t>
      </w:r>
    </w:p>
  </w:footnote>
  <w:footnote w:id="68">
    <w:p w14:paraId="3807196D" w14:textId="77777777" w:rsidR="000D7C6F" w:rsidRPr="00940B11" w:rsidRDefault="000D7C6F" w:rsidP="001E1AF1">
      <w:pPr>
        <w:pStyle w:val="Textpoznpodarou"/>
        <w:rPr>
          <w:sz w:val="16"/>
          <w:szCs w:val="16"/>
        </w:rPr>
      </w:pPr>
      <w:r w:rsidRPr="00940B11">
        <w:rPr>
          <w:rStyle w:val="Znakapoznpodarou"/>
          <w:sz w:val="16"/>
          <w:szCs w:val="16"/>
        </w:rPr>
        <w:footnoteRef/>
      </w:r>
      <w:r w:rsidRPr="00940B11">
        <w:rPr>
          <w:sz w:val="16"/>
          <w:szCs w:val="16"/>
        </w:rPr>
        <w:t xml:space="preserve"> SITC</w:t>
      </w:r>
      <w:r>
        <w:rPr>
          <w:sz w:val="16"/>
          <w:szCs w:val="16"/>
        </w:rPr>
        <w:t> </w:t>
      </w:r>
      <w:r w:rsidRPr="00940B11">
        <w:rPr>
          <w:sz w:val="16"/>
          <w:szCs w:val="16"/>
        </w:rPr>
        <w:t>2</w:t>
      </w:r>
      <w:r>
        <w:rPr>
          <w:sz w:val="16"/>
          <w:szCs w:val="16"/>
        </w:rPr>
        <w:t> </w:t>
      </w:r>
      <w:r w:rsidRPr="00940B11">
        <w:rPr>
          <w:sz w:val="16"/>
          <w:szCs w:val="16"/>
        </w:rPr>
        <w:t>– suroviny nepoživatelné s výjimkou paliv</w:t>
      </w:r>
      <w:r>
        <w:rPr>
          <w:sz w:val="16"/>
          <w:szCs w:val="16"/>
        </w:rPr>
        <w:t>.</w:t>
      </w:r>
    </w:p>
  </w:footnote>
  <w:footnote w:id="69">
    <w:p w14:paraId="03674AA9" w14:textId="77777777" w:rsidR="000D7C6F" w:rsidRPr="00940B11" w:rsidRDefault="000D7C6F" w:rsidP="001E1AF1">
      <w:pPr>
        <w:pStyle w:val="Textpoznpodarou"/>
        <w:rPr>
          <w:sz w:val="16"/>
          <w:szCs w:val="16"/>
        </w:rPr>
      </w:pPr>
      <w:r w:rsidRPr="00940B11">
        <w:rPr>
          <w:rStyle w:val="Znakapoznpodarou"/>
          <w:sz w:val="16"/>
          <w:szCs w:val="16"/>
        </w:rPr>
        <w:footnoteRef/>
      </w:r>
      <w:r w:rsidRPr="00940B11">
        <w:rPr>
          <w:sz w:val="16"/>
          <w:szCs w:val="16"/>
        </w:rPr>
        <w:t xml:space="preserve"> SITC</w:t>
      </w:r>
      <w:r>
        <w:rPr>
          <w:sz w:val="16"/>
          <w:szCs w:val="16"/>
        </w:rPr>
        <w:t> </w:t>
      </w:r>
      <w:r w:rsidRPr="00940B11">
        <w:rPr>
          <w:sz w:val="16"/>
          <w:szCs w:val="16"/>
        </w:rPr>
        <w:t>6</w:t>
      </w:r>
      <w:r>
        <w:rPr>
          <w:sz w:val="16"/>
          <w:szCs w:val="16"/>
        </w:rPr>
        <w:t> </w:t>
      </w:r>
      <w:r w:rsidRPr="00940B11">
        <w:rPr>
          <w:sz w:val="16"/>
          <w:szCs w:val="16"/>
        </w:rPr>
        <w:t>– tržní výrobky tříděné hlavně podle materiálu</w:t>
      </w:r>
      <w:r>
        <w:rPr>
          <w:sz w:val="16"/>
          <w:szCs w:val="16"/>
        </w:rPr>
        <w:t>.</w:t>
      </w:r>
    </w:p>
  </w:footnote>
  <w:footnote w:id="70">
    <w:p w14:paraId="5F0BF67C" w14:textId="77777777" w:rsidR="000D7C6F" w:rsidRPr="00F72E52" w:rsidRDefault="000D7C6F" w:rsidP="00763B23">
      <w:pPr>
        <w:pStyle w:val="Textpoznpodarou"/>
        <w:jc w:val="both"/>
        <w:rPr>
          <w:color w:val="0D0D0D" w:themeColor="text1" w:themeTint="F2"/>
          <w:spacing w:val="-2"/>
          <w:sz w:val="16"/>
          <w:szCs w:val="16"/>
        </w:rPr>
      </w:pPr>
      <w:r w:rsidRPr="00F72E52">
        <w:rPr>
          <w:rStyle w:val="Znakapoznpodarou"/>
          <w:color w:val="0D0D0D" w:themeColor="text1" w:themeTint="F2"/>
          <w:spacing w:val="-2"/>
          <w:sz w:val="16"/>
          <w:szCs w:val="16"/>
        </w:rPr>
        <w:footnoteRef/>
      </w:r>
      <w:r w:rsidRPr="00F72E52">
        <w:rPr>
          <w:color w:val="0D0D0D" w:themeColor="text1" w:themeTint="F2"/>
          <w:spacing w:val="-2"/>
          <w:sz w:val="16"/>
          <w:szCs w:val="16"/>
        </w:rPr>
        <w:t xml:space="preserve"> Údaje </w:t>
      </w:r>
      <w:r>
        <w:rPr>
          <w:color w:val="0D0D0D" w:themeColor="text1" w:themeTint="F2"/>
          <w:spacing w:val="-2"/>
          <w:sz w:val="16"/>
          <w:szCs w:val="16"/>
        </w:rPr>
        <w:t xml:space="preserve">o zaměstnanosti </w:t>
      </w:r>
      <w:r w:rsidRPr="00F72E52">
        <w:rPr>
          <w:color w:val="0D0D0D" w:themeColor="text1" w:themeTint="F2"/>
          <w:spacing w:val="-2"/>
          <w:sz w:val="16"/>
          <w:szCs w:val="16"/>
        </w:rPr>
        <w:t>vycház</w:t>
      </w:r>
      <w:r>
        <w:rPr>
          <w:color w:val="0D0D0D" w:themeColor="text1" w:themeTint="F2"/>
          <w:spacing w:val="-2"/>
          <w:sz w:val="16"/>
          <w:szCs w:val="16"/>
        </w:rPr>
        <w:t>ej</w:t>
      </w:r>
      <w:r w:rsidRPr="00F72E52">
        <w:rPr>
          <w:color w:val="0D0D0D" w:themeColor="text1" w:themeTint="F2"/>
          <w:spacing w:val="-2"/>
          <w:sz w:val="16"/>
          <w:szCs w:val="16"/>
        </w:rPr>
        <w:t>í z</w:t>
      </w:r>
      <w:r>
        <w:rPr>
          <w:color w:val="0D0D0D" w:themeColor="text1" w:themeTint="F2"/>
          <w:spacing w:val="-2"/>
          <w:sz w:val="16"/>
          <w:szCs w:val="16"/>
        </w:rPr>
        <w:t> </w:t>
      </w:r>
      <w:r w:rsidRPr="00F72E52">
        <w:rPr>
          <w:color w:val="0D0D0D" w:themeColor="text1" w:themeTint="F2"/>
          <w:spacing w:val="-2"/>
          <w:sz w:val="16"/>
          <w:szCs w:val="16"/>
        </w:rPr>
        <w:t>pojetí národních účtů. Jsou vyjádřeny ve fyzických osobách a</w:t>
      </w:r>
      <w:r>
        <w:rPr>
          <w:color w:val="0D0D0D" w:themeColor="text1" w:themeTint="F2"/>
          <w:spacing w:val="-2"/>
          <w:sz w:val="16"/>
          <w:szCs w:val="16"/>
        </w:rPr>
        <w:t> </w:t>
      </w:r>
      <w:r w:rsidRPr="00F72E52">
        <w:rPr>
          <w:color w:val="0D0D0D" w:themeColor="text1" w:themeTint="F2"/>
          <w:spacing w:val="-2"/>
          <w:sz w:val="16"/>
          <w:szCs w:val="16"/>
        </w:rPr>
        <w:t>očištěny o sezónní vlivy.</w:t>
      </w:r>
      <w:r>
        <w:rPr>
          <w:color w:val="0D0D0D" w:themeColor="text1" w:themeTint="F2"/>
          <w:spacing w:val="-2"/>
          <w:sz w:val="16"/>
          <w:szCs w:val="16"/>
        </w:rPr>
        <w:t xml:space="preserve"> Na rozdíl od údajů z podnikové statistiky či z </w:t>
      </w:r>
      <w:r w:rsidRPr="00946AFA">
        <w:rPr>
          <w:sz w:val="16"/>
          <w:szCs w:val="16"/>
        </w:rPr>
        <w:t xml:space="preserve">výběrového šetření pracovních sil </w:t>
      </w:r>
      <w:r>
        <w:rPr>
          <w:sz w:val="16"/>
          <w:szCs w:val="16"/>
        </w:rPr>
        <w:t>(VŠPS) zahrnují např. i odhad vlivu šedé ekonomiky.</w:t>
      </w:r>
    </w:p>
  </w:footnote>
  <w:footnote w:id="71">
    <w:p w14:paraId="68FBCEE8" w14:textId="77777777" w:rsidR="000D7C6F" w:rsidRPr="00F202F4" w:rsidRDefault="000D7C6F" w:rsidP="00763B23">
      <w:pPr>
        <w:pStyle w:val="Textpoznpodarou"/>
        <w:rPr>
          <w:sz w:val="16"/>
          <w:szCs w:val="16"/>
        </w:rPr>
      </w:pPr>
      <w:r w:rsidRPr="00F202F4">
        <w:rPr>
          <w:rStyle w:val="Znakapoznpodarou"/>
          <w:sz w:val="16"/>
          <w:szCs w:val="16"/>
        </w:rPr>
        <w:footnoteRef/>
      </w:r>
      <w:r>
        <w:rPr>
          <w:sz w:val="16"/>
          <w:szCs w:val="16"/>
        </w:rPr>
        <w:t xml:space="preserve"> V E</w:t>
      </w:r>
      <w:r w:rsidRPr="00F202F4">
        <w:rPr>
          <w:sz w:val="16"/>
          <w:szCs w:val="16"/>
        </w:rPr>
        <w:t xml:space="preserve">U i samotné eurozóně </w:t>
      </w:r>
      <w:r>
        <w:rPr>
          <w:sz w:val="16"/>
          <w:szCs w:val="16"/>
        </w:rPr>
        <w:t xml:space="preserve">pokračoval </w:t>
      </w:r>
      <w:r w:rsidRPr="00F202F4">
        <w:rPr>
          <w:sz w:val="16"/>
          <w:szCs w:val="16"/>
        </w:rPr>
        <w:t xml:space="preserve">mírný růst celkové zaměstnanosti (ve 3. čtvrtletí činil </w:t>
      </w:r>
      <w:proofErr w:type="spellStart"/>
      <w:r w:rsidRPr="00F202F4">
        <w:rPr>
          <w:sz w:val="16"/>
          <w:szCs w:val="16"/>
        </w:rPr>
        <w:t>mezikvartálně</w:t>
      </w:r>
      <w:proofErr w:type="spellEnd"/>
      <w:r w:rsidRPr="00F202F4">
        <w:rPr>
          <w:sz w:val="16"/>
          <w:szCs w:val="16"/>
        </w:rPr>
        <w:t xml:space="preserve"> 0,2 %). Horší výsledky průmyslu vyvažovaly služby – zejména informační a komunikační činnosti, finančnictví a podnikové služby.</w:t>
      </w:r>
      <w:r>
        <w:rPr>
          <w:sz w:val="16"/>
          <w:szCs w:val="16"/>
        </w:rPr>
        <w:t xml:space="preserve"> Dařilo se hlavně drobnému podnikání.</w:t>
      </w:r>
    </w:p>
  </w:footnote>
  <w:footnote w:id="72">
    <w:p w14:paraId="1F3D8EA6" w14:textId="77777777" w:rsidR="000D7C6F" w:rsidRPr="00431D2B" w:rsidRDefault="000D7C6F" w:rsidP="00763B23">
      <w:pPr>
        <w:pStyle w:val="Textpoznpodarou"/>
        <w:rPr>
          <w:sz w:val="16"/>
          <w:szCs w:val="16"/>
        </w:rPr>
      </w:pPr>
      <w:r w:rsidRPr="00431D2B">
        <w:rPr>
          <w:rStyle w:val="Znakapoznpodarou"/>
          <w:sz w:val="16"/>
          <w:szCs w:val="16"/>
        </w:rPr>
        <w:footnoteRef/>
      </w:r>
      <w:r w:rsidRPr="00431D2B">
        <w:rPr>
          <w:sz w:val="16"/>
          <w:szCs w:val="16"/>
        </w:rPr>
        <w:t xml:space="preserve"> V celé EU se počet pracovníků zvýšil o 1,3 %, z </w:t>
      </w:r>
      <w:r>
        <w:rPr>
          <w:sz w:val="16"/>
          <w:szCs w:val="16"/>
        </w:rPr>
        <w:t xml:space="preserve">jednotlivých </w:t>
      </w:r>
      <w:r w:rsidRPr="00431D2B">
        <w:rPr>
          <w:sz w:val="16"/>
          <w:szCs w:val="16"/>
        </w:rPr>
        <w:t xml:space="preserve">států pak nejvíce v Irsku </w:t>
      </w:r>
      <w:r>
        <w:rPr>
          <w:sz w:val="16"/>
          <w:szCs w:val="16"/>
        </w:rPr>
        <w:t>(o 3,8</w:t>
      </w:r>
      <w:r w:rsidRPr="00431D2B">
        <w:rPr>
          <w:sz w:val="16"/>
          <w:szCs w:val="16"/>
        </w:rPr>
        <w:t xml:space="preserve"> %), Estonsku (3,5</w:t>
      </w:r>
      <w:r>
        <w:rPr>
          <w:sz w:val="16"/>
          <w:szCs w:val="16"/>
        </w:rPr>
        <w:t xml:space="preserve"> %) a Španělsku (3,0</w:t>
      </w:r>
      <w:r w:rsidRPr="00431D2B">
        <w:rPr>
          <w:sz w:val="16"/>
          <w:szCs w:val="16"/>
        </w:rPr>
        <w:t xml:space="preserve"> %). </w:t>
      </w:r>
      <w:r>
        <w:rPr>
          <w:sz w:val="16"/>
          <w:szCs w:val="16"/>
        </w:rPr>
        <w:t>Německo vykázalo identický růst jako ČR, naopak jen velmi slabý byl na Slovensku (+0,4 %), v Lotyšsku (0,3 %) a Maďarsku (0,2 %). V Rumunsku, jako v jediné členské zemi, se zaměstnanost snížila (o 1,2 %).</w:t>
      </w:r>
    </w:p>
  </w:footnote>
  <w:footnote w:id="73">
    <w:p w14:paraId="17962D28" w14:textId="77777777" w:rsidR="000D7C6F" w:rsidRPr="00946AFA" w:rsidRDefault="000D7C6F" w:rsidP="00763B23">
      <w:pPr>
        <w:pStyle w:val="Textpoznpodarou"/>
        <w:rPr>
          <w:sz w:val="16"/>
          <w:szCs w:val="16"/>
        </w:rPr>
      </w:pPr>
      <w:r w:rsidRPr="00946AFA">
        <w:rPr>
          <w:rStyle w:val="Znakapoznpodarou"/>
          <w:sz w:val="16"/>
          <w:szCs w:val="16"/>
        </w:rPr>
        <w:footnoteRef/>
      </w:r>
      <w:r w:rsidRPr="00946AFA">
        <w:rPr>
          <w:sz w:val="16"/>
          <w:szCs w:val="16"/>
        </w:rPr>
        <w:t xml:space="preserve"> Z detailnějších </w:t>
      </w:r>
      <w:r>
        <w:rPr>
          <w:sz w:val="16"/>
          <w:szCs w:val="16"/>
        </w:rPr>
        <w:t xml:space="preserve">údajů z VŠPS </w:t>
      </w:r>
      <w:r w:rsidRPr="00946AFA">
        <w:rPr>
          <w:sz w:val="16"/>
          <w:szCs w:val="16"/>
        </w:rPr>
        <w:t>plyne, že počet zaměstnavatel</w:t>
      </w:r>
      <w:r>
        <w:rPr>
          <w:sz w:val="16"/>
          <w:szCs w:val="16"/>
        </w:rPr>
        <w:t>ů (podnikatelů se zaměstnanci) se v 1. až 3. čtvrtletí meziročně nepatrně snížil (a pokračoval tak v nepříznivém trendu trvajícím od roku 2019). Tato početně méně významná skupina podnikatelů je v metodice národních účtů řazena do kategorie zaměstnanců.</w:t>
      </w:r>
    </w:p>
  </w:footnote>
  <w:footnote w:id="74">
    <w:p w14:paraId="774F0981" w14:textId="77777777" w:rsidR="000D7C6F" w:rsidRPr="00650B9F" w:rsidRDefault="000D7C6F" w:rsidP="00763B23">
      <w:pPr>
        <w:pStyle w:val="Textpoznpodarou"/>
        <w:rPr>
          <w:sz w:val="16"/>
          <w:szCs w:val="16"/>
        </w:rPr>
      </w:pPr>
      <w:r w:rsidRPr="00650B9F">
        <w:rPr>
          <w:rStyle w:val="Znakapoznpodarou"/>
          <w:sz w:val="16"/>
          <w:szCs w:val="16"/>
        </w:rPr>
        <w:footnoteRef/>
      </w:r>
      <w:r w:rsidRPr="00650B9F">
        <w:rPr>
          <w:sz w:val="16"/>
          <w:szCs w:val="16"/>
        </w:rPr>
        <w:t xml:space="preserve"> </w:t>
      </w:r>
      <w:r>
        <w:rPr>
          <w:color w:val="0D0D0D" w:themeColor="text1" w:themeTint="F2"/>
          <w:spacing w:val="-4"/>
          <w:sz w:val="16"/>
          <w:szCs w:val="16"/>
        </w:rPr>
        <w:t xml:space="preserve">Ve zpracovatelském průmyslu a také v peněžnictví a pojišťovnictví jich za poslední čtyři roky ubylo dokonce o více než desetinu. Naopak znatelně nad svými předkrizovými počty se nacházeli </w:t>
      </w:r>
      <w:proofErr w:type="spellStart"/>
      <w:r>
        <w:rPr>
          <w:color w:val="0D0D0D" w:themeColor="text1" w:themeTint="F2"/>
          <w:spacing w:val="-4"/>
          <w:sz w:val="16"/>
          <w:szCs w:val="16"/>
        </w:rPr>
        <w:t>sebezaměstnaní</w:t>
      </w:r>
      <w:proofErr w:type="spellEnd"/>
      <w:r>
        <w:rPr>
          <w:color w:val="0D0D0D" w:themeColor="text1" w:themeTint="F2"/>
          <w:spacing w:val="-4"/>
          <w:sz w:val="16"/>
          <w:szCs w:val="16"/>
        </w:rPr>
        <w:t xml:space="preserve"> pouze v informačních a komunikačních činnostech (+10 %).</w:t>
      </w:r>
    </w:p>
  </w:footnote>
  <w:footnote w:id="75">
    <w:p w14:paraId="2E2C9FFD" w14:textId="77777777" w:rsidR="000D7C6F" w:rsidRPr="006A28A4" w:rsidRDefault="000D7C6F" w:rsidP="00763B23">
      <w:pPr>
        <w:pStyle w:val="Textpoznpodarou"/>
        <w:rPr>
          <w:sz w:val="16"/>
          <w:szCs w:val="16"/>
        </w:rPr>
      </w:pPr>
      <w:r w:rsidRPr="006A28A4">
        <w:rPr>
          <w:rStyle w:val="Znakapoznpodarou"/>
          <w:sz w:val="16"/>
          <w:szCs w:val="16"/>
        </w:rPr>
        <w:footnoteRef/>
      </w:r>
      <w:r w:rsidRPr="006A28A4">
        <w:rPr>
          <w:sz w:val="16"/>
          <w:szCs w:val="16"/>
        </w:rPr>
        <w:t xml:space="preserve"> Z podrobnějších podnikových statistik plyne, že ve výrobě ostatních nekovových minerálních výrobků (zahrnujících typicky stavební materiály) se v 1. až 3. čtvrtletí </w:t>
      </w:r>
      <w:r>
        <w:rPr>
          <w:sz w:val="16"/>
          <w:szCs w:val="16"/>
        </w:rPr>
        <w:t xml:space="preserve">snížil </w:t>
      </w:r>
      <w:r w:rsidRPr="006A28A4">
        <w:rPr>
          <w:sz w:val="16"/>
          <w:szCs w:val="16"/>
        </w:rPr>
        <w:t xml:space="preserve">evidenční počet zaměstnanců pod loňskou úroveň o 3,5 % (relativně nejvíce ze všech váhově významnějších průmyslových oborů). </w:t>
      </w:r>
    </w:p>
  </w:footnote>
  <w:footnote w:id="76">
    <w:p w14:paraId="010265C9" w14:textId="77777777" w:rsidR="000D7C6F" w:rsidRPr="00B04E9B" w:rsidRDefault="000D7C6F" w:rsidP="00763B23">
      <w:pPr>
        <w:pStyle w:val="Textpoznpodarou"/>
        <w:rPr>
          <w:sz w:val="16"/>
          <w:szCs w:val="16"/>
        </w:rPr>
      </w:pPr>
      <w:r w:rsidRPr="00B04E9B">
        <w:rPr>
          <w:rStyle w:val="Znakapoznpodarou"/>
          <w:sz w:val="16"/>
          <w:szCs w:val="16"/>
        </w:rPr>
        <w:footnoteRef/>
      </w:r>
      <w:r w:rsidRPr="00B04E9B">
        <w:rPr>
          <w:sz w:val="16"/>
          <w:szCs w:val="16"/>
        </w:rPr>
        <w:t xml:space="preserve"> Dle údajů z </w:t>
      </w:r>
      <w:r>
        <w:rPr>
          <w:sz w:val="16"/>
          <w:szCs w:val="16"/>
        </w:rPr>
        <w:t xml:space="preserve">VŠPS </w:t>
      </w:r>
      <w:r w:rsidRPr="00B04E9B">
        <w:rPr>
          <w:sz w:val="16"/>
          <w:szCs w:val="16"/>
        </w:rPr>
        <w:t xml:space="preserve">se </w:t>
      </w:r>
      <w:r>
        <w:rPr>
          <w:sz w:val="16"/>
          <w:szCs w:val="16"/>
        </w:rPr>
        <w:t xml:space="preserve">letos </w:t>
      </w:r>
      <w:r w:rsidRPr="00B04E9B">
        <w:rPr>
          <w:sz w:val="16"/>
          <w:szCs w:val="16"/>
        </w:rPr>
        <w:t xml:space="preserve">ve 3. čtvrtletí významněji meziročně zvýšil počet specialistů, ale i řemeslníků a opravářů. Ubylo úřednických pozic, což může souviset s postupující digitalizací ve </w:t>
      </w:r>
      <w:r>
        <w:rPr>
          <w:sz w:val="16"/>
          <w:szCs w:val="16"/>
        </w:rPr>
        <w:t>finančnictv</w:t>
      </w:r>
      <w:r w:rsidRPr="00B04E9B">
        <w:rPr>
          <w:sz w:val="16"/>
          <w:szCs w:val="16"/>
        </w:rPr>
        <w:t>í</w:t>
      </w:r>
      <w:r>
        <w:rPr>
          <w:sz w:val="16"/>
          <w:szCs w:val="16"/>
        </w:rPr>
        <w:t>, obchodu</w:t>
      </w:r>
      <w:r w:rsidRPr="00B04E9B">
        <w:rPr>
          <w:sz w:val="16"/>
          <w:szCs w:val="16"/>
        </w:rPr>
        <w:t xml:space="preserve"> či ve veřejné správě.</w:t>
      </w:r>
    </w:p>
  </w:footnote>
  <w:footnote w:id="77">
    <w:p w14:paraId="54077E53" w14:textId="77777777" w:rsidR="000D7C6F" w:rsidRPr="004F321F" w:rsidRDefault="000D7C6F" w:rsidP="00763B23">
      <w:pPr>
        <w:pStyle w:val="Textpoznpodarou"/>
        <w:rPr>
          <w:sz w:val="16"/>
          <w:szCs w:val="16"/>
        </w:rPr>
      </w:pPr>
      <w:r w:rsidRPr="004F321F">
        <w:rPr>
          <w:rStyle w:val="Znakapoznpodarou"/>
          <w:sz w:val="16"/>
          <w:szCs w:val="16"/>
        </w:rPr>
        <w:footnoteRef/>
      </w:r>
      <w:r w:rsidRPr="004F321F">
        <w:rPr>
          <w:sz w:val="16"/>
          <w:szCs w:val="16"/>
        </w:rPr>
        <w:t xml:space="preserve"> Dle údajů</w:t>
      </w:r>
      <w:r w:rsidRPr="00B04E9B">
        <w:rPr>
          <w:sz w:val="16"/>
          <w:szCs w:val="16"/>
        </w:rPr>
        <w:t xml:space="preserve"> z</w:t>
      </w:r>
      <w:r>
        <w:rPr>
          <w:sz w:val="16"/>
          <w:szCs w:val="16"/>
        </w:rPr>
        <w:t> VŠPS pracovalo v ČR letos ve 2. čtvrtletí 12,9 % žen starších 15 let na zkrácené úvazky. To je meziročně o 1,6 p. b. více, avšak ve srovnání s konjunkturním obdobím z konce minulé dekády jde o srovnatelné procento. Zastoupení těchto úvazků v ČR je v evropském kontextu stále nízké. V EU letos dosahovalo (29,4 %), z toho v eurozóně (34,1 %). Na druhou stranu 11 států vykázalo nižší podíl než Česko. Ze zemí, které vstoupily do EU až po roce 2000, nacházíme vyšší procento jen ve Slovinsku (13,0 %), na Maltě (18,1 %)  a v Estonsku (20,9 %).</w:t>
      </w:r>
    </w:p>
  </w:footnote>
  <w:footnote w:id="78">
    <w:p w14:paraId="3E8619BC" w14:textId="77777777" w:rsidR="000D7C6F" w:rsidRPr="00321433" w:rsidRDefault="000D7C6F" w:rsidP="00763B23">
      <w:pPr>
        <w:pStyle w:val="Textpoznpodarou"/>
        <w:rPr>
          <w:sz w:val="16"/>
          <w:szCs w:val="16"/>
        </w:rPr>
      </w:pPr>
      <w:r w:rsidRPr="00321433">
        <w:rPr>
          <w:rStyle w:val="Znakapoznpodarou"/>
          <w:sz w:val="16"/>
          <w:szCs w:val="16"/>
        </w:rPr>
        <w:footnoteRef/>
      </w:r>
      <w:r w:rsidRPr="00321433">
        <w:rPr>
          <w:sz w:val="16"/>
          <w:szCs w:val="16"/>
        </w:rPr>
        <w:t xml:space="preserve"> Plných 30 % z nich by</w:t>
      </w:r>
      <w:r>
        <w:rPr>
          <w:sz w:val="16"/>
          <w:szCs w:val="16"/>
        </w:rPr>
        <w:t>lo</w:t>
      </w:r>
      <w:r w:rsidRPr="00321433">
        <w:rPr>
          <w:sz w:val="16"/>
          <w:szCs w:val="16"/>
        </w:rPr>
        <w:t xml:space="preserve"> registrováno na ÚP v Praze. Tento podíl zůstává v posledních letech neměnný.</w:t>
      </w:r>
    </w:p>
  </w:footnote>
  <w:footnote w:id="79">
    <w:p w14:paraId="39960F99" w14:textId="77777777" w:rsidR="000D7C6F" w:rsidRPr="00A90530" w:rsidRDefault="000D7C6F" w:rsidP="00763B23">
      <w:pPr>
        <w:pStyle w:val="Textpoznpodarou"/>
        <w:rPr>
          <w:sz w:val="16"/>
          <w:szCs w:val="16"/>
        </w:rPr>
      </w:pPr>
      <w:r w:rsidRPr="00A90530">
        <w:rPr>
          <w:rStyle w:val="Znakapoznpodarou"/>
          <w:sz w:val="16"/>
          <w:szCs w:val="16"/>
        </w:rPr>
        <w:footnoteRef/>
      </w:r>
      <w:r w:rsidRPr="00A90530">
        <w:rPr>
          <w:sz w:val="16"/>
          <w:szCs w:val="16"/>
        </w:rPr>
        <w:t xml:space="preserve"> </w:t>
      </w:r>
      <w:r>
        <w:rPr>
          <w:sz w:val="16"/>
          <w:szCs w:val="16"/>
        </w:rPr>
        <w:t xml:space="preserve">Z </w:t>
      </w:r>
      <w:r w:rsidRPr="00A90530">
        <w:rPr>
          <w:sz w:val="16"/>
          <w:szCs w:val="16"/>
        </w:rPr>
        <w:t>občanů Ukrajiny registrovaných na úřadech práce</w:t>
      </w:r>
      <w:r>
        <w:rPr>
          <w:sz w:val="16"/>
          <w:szCs w:val="16"/>
        </w:rPr>
        <w:t xml:space="preserve"> tvořily</w:t>
      </w:r>
      <w:r w:rsidRPr="00A90530">
        <w:rPr>
          <w:sz w:val="16"/>
          <w:szCs w:val="16"/>
        </w:rPr>
        <w:t xml:space="preserve"> </w:t>
      </w:r>
      <w:r>
        <w:rPr>
          <w:sz w:val="16"/>
          <w:szCs w:val="16"/>
        </w:rPr>
        <w:t>ženy již 53</w:t>
      </w:r>
      <w:r w:rsidRPr="00A90530">
        <w:rPr>
          <w:sz w:val="16"/>
          <w:szCs w:val="16"/>
        </w:rPr>
        <w:t xml:space="preserve"> %. Nadpoloviční podíl žen se mezi významnějšími skupinami cizinců vyskytoval již pouze u občanů Ruska, </w:t>
      </w:r>
      <w:r>
        <w:rPr>
          <w:sz w:val="16"/>
          <w:szCs w:val="16"/>
        </w:rPr>
        <w:t xml:space="preserve">Kazachstánu a Thajska. Již 75 % všech </w:t>
      </w:r>
      <w:r w:rsidRPr="00A90530">
        <w:rPr>
          <w:sz w:val="16"/>
          <w:szCs w:val="16"/>
        </w:rPr>
        <w:t>registrovaných pracovníků z</w:t>
      </w:r>
      <w:r>
        <w:rPr>
          <w:sz w:val="16"/>
          <w:szCs w:val="16"/>
        </w:rPr>
        <w:t> </w:t>
      </w:r>
      <w:r w:rsidRPr="00A90530">
        <w:rPr>
          <w:sz w:val="16"/>
          <w:szCs w:val="16"/>
        </w:rPr>
        <w:t>Ukrajiny</w:t>
      </w:r>
      <w:r>
        <w:rPr>
          <w:sz w:val="16"/>
          <w:szCs w:val="16"/>
        </w:rPr>
        <w:t xml:space="preserve"> (a 86 % žen)</w:t>
      </w:r>
      <w:r w:rsidRPr="00A90530">
        <w:rPr>
          <w:sz w:val="16"/>
          <w:szCs w:val="16"/>
        </w:rPr>
        <w:t xml:space="preserve"> nepotřebovalo v Česku speciální pracovní oprávnění (např. zaměstnanec</w:t>
      </w:r>
      <w:r>
        <w:rPr>
          <w:sz w:val="16"/>
          <w:szCs w:val="16"/>
        </w:rPr>
        <w:t>kou kartu). Tímto se liší od většiny ostatních zaměstnanců z tzv. „třetích zemí“.</w:t>
      </w:r>
    </w:p>
  </w:footnote>
  <w:footnote w:id="80">
    <w:p w14:paraId="4CE1334D" w14:textId="77777777" w:rsidR="000D7C6F" w:rsidRPr="009A5FB8" w:rsidRDefault="000D7C6F" w:rsidP="00763B23">
      <w:pPr>
        <w:pStyle w:val="Textpoznpodarou"/>
        <w:rPr>
          <w:sz w:val="16"/>
          <w:szCs w:val="16"/>
        </w:rPr>
      </w:pPr>
      <w:r w:rsidRPr="009A5FB8">
        <w:rPr>
          <w:rStyle w:val="Znakapoznpodarou"/>
          <w:sz w:val="16"/>
          <w:szCs w:val="16"/>
        </w:rPr>
        <w:footnoteRef/>
      </w:r>
      <w:r w:rsidRPr="009A5FB8">
        <w:rPr>
          <w:sz w:val="16"/>
          <w:szCs w:val="16"/>
        </w:rPr>
        <w:t xml:space="preserve"> U </w:t>
      </w:r>
      <w:r>
        <w:rPr>
          <w:sz w:val="16"/>
          <w:szCs w:val="16"/>
        </w:rPr>
        <w:t xml:space="preserve">občanů Filipín činil 2,2 tis., Slovenska 2,1 tis., Indie a Vietnamu shodně 1,2 tis., Turecka 1,1 tis., Ruska 0,7 tis., Mongolska </w:t>
      </w:r>
      <w:r>
        <w:rPr>
          <w:sz w:val="16"/>
          <w:szCs w:val="16"/>
        </w:rPr>
        <w:br/>
        <w:t xml:space="preserve">a Moldavska shodně 0,5 tis. </w:t>
      </w:r>
      <w:r w:rsidRPr="009A5FB8">
        <w:rPr>
          <w:sz w:val="16"/>
          <w:szCs w:val="16"/>
        </w:rPr>
        <w:t>Z význa</w:t>
      </w:r>
      <w:r>
        <w:rPr>
          <w:sz w:val="16"/>
          <w:szCs w:val="16"/>
        </w:rPr>
        <w:t>mnějších cizineckých skupin v Česku klesl meziročně pouze počet zaměstnanců z Rumunska. Maďarska a Bulharska</w:t>
      </w:r>
      <w:r w:rsidRPr="009A5FB8">
        <w:rPr>
          <w:sz w:val="16"/>
          <w:szCs w:val="16"/>
        </w:rPr>
        <w:t xml:space="preserve"> </w:t>
      </w:r>
      <w:r>
        <w:rPr>
          <w:sz w:val="16"/>
          <w:szCs w:val="16"/>
        </w:rPr>
        <w:t>(shodně mezi 0,8 a 0,9 tis.).</w:t>
      </w:r>
    </w:p>
  </w:footnote>
  <w:footnote w:id="81">
    <w:p w14:paraId="7679FF30" w14:textId="77777777" w:rsidR="000D7C6F" w:rsidRPr="00F7442E" w:rsidRDefault="000D7C6F" w:rsidP="00763B23">
      <w:pPr>
        <w:pStyle w:val="Textpoznpodarou"/>
        <w:rPr>
          <w:sz w:val="16"/>
          <w:szCs w:val="16"/>
        </w:rPr>
      </w:pPr>
      <w:r w:rsidRPr="00F7442E">
        <w:rPr>
          <w:rStyle w:val="Znakapoznpodarou"/>
          <w:sz w:val="16"/>
          <w:szCs w:val="16"/>
        </w:rPr>
        <w:footnoteRef/>
      </w:r>
      <w:r>
        <w:rPr>
          <w:sz w:val="16"/>
          <w:szCs w:val="16"/>
        </w:rPr>
        <w:t xml:space="preserve"> Dle údajů MPO bylo</w:t>
      </w:r>
      <w:r w:rsidRPr="00F7442E">
        <w:rPr>
          <w:sz w:val="16"/>
          <w:szCs w:val="16"/>
        </w:rPr>
        <w:t xml:space="preserve"> letos v říjnu těmito držiteli 115,6 tis. osob, o 6,1 % více než </w:t>
      </w:r>
      <w:r>
        <w:rPr>
          <w:sz w:val="16"/>
          <w:szCs w:val="16"/>
        </w:rPr>
        <w:t>v loňském roce</w:t>
      </w:r>
      <w:r w:rsidRPr="00F7442E">
        <w:rPr>
          <w:sz w:val="16"/>
          <w:szCs w:val="16"/>
        </w:rPr>
        <w:t xml:space="preserve">. Na meziročním přírůstku se více než polovinou podíleli občané Ukrajiny. </w:t>
      </w:r>
    </w:p>
  </w:footnote>
  <w:footnote w:id="82">
    <w:p w14:paraId="413FDC0F" w14:textId="77777777" w:rsidR="000D7C6F" w:rsidRPr="00A20936" w:rsidRDefault="000D7C6F" w:rsidP="00763B23">
      <w:pPr>
        <w:pStyle w:val="Textpoznpodarou"/>
        <w:rPr>
          <w:color w:val="0D0D0D" w:themeColor="text1" w:themeTint="F2"/>
          <w:spacing w:val="-4"/>
          <w:sz w:val="16"/>
          <w:szCs w:val="16"/>
        </w:rPr>
      </w:pPr>
      <w:r w:rsidRPr="00A20936">
        <w:rPr>
          <w:rStyle w:val="Znakapoznpodarou"/>
          <w:color w:val="0D0D0D" w:themeColor="text1" w:themeTint="F2"/>
          <w:spacing w:val="-2"/>
          <w:sz w:val="16"/>
          <w:szCs w:val="16"/>
        </w:rPr>
        <w:footnoteRef/>
      </w:r>
      <w:r w:rsidRPr="00A20936">
        <w:rPr>
          <w:color w:val="0D0D0D" w:themeColor="text1" w:themeTint="F2"/>
          <w:spacing w:val="-2"/>
          <w:sz w:val="16"/>
          <w:szCs w:val="16"/>
        </w:rPr>
        <w:t xml:space="preserve"> </w:t>
      </w:r>
      <w:r>
        <w:rPr>
          <w:color w:val="0D0D0D" w:themeColor="text1" w:themeTint="F2"/>
          <w:spacing w:val="-2"/>
          <w:sz w:val="16"/>
          <w:szCs w:val="16"/>
        </w:rPr>
        <w:t>Převažující negativní očekávání zaměstnanosti vyjádřily (dle šetření z listopadu</w:t>
      </w:r>
      <w:r w:rsidRPr="00A20936">
        <w:rPr>
          <w:color w:val="0D0D0D" w:themeColor="text1" w:themeTint="F2"/>
          <w:spacing w:val="-2"/>
          <w:sz w:val="16"/>
          <w:szCs w:val="16"/>
        </w:rPr>
        <w:t xml:space="preserve"> </w:t>
      </w:r>
      <w:r>
        <w:rPr>
          <w:color w:val="0D0D0D" w:themeColor="text1" w:themeTint="F2"/>
          <w:spacing w:val="-2"/>
          <w:sz w:val="16"/>
          <w:szCs w:val="16"/>
        </w:rPr>
        <w:t>2023) podniky v mírně nadpolovičním počtu</w:t>
      </w:r>
      <w:r w:rsidRPr="00A20936">
        <w:rPr>
          <w:color w:val="0D0D0D" w:themeColor="text1" w:themeTint="F2"/>
          <w:spacing w:val="-2"/>
          <w:sz w:val="16"/>
          <w:szCs w:val="16"/>
        </w:rPr>
        <w:t xml:space="preserve"> průmyslových oborů – jak </w:t>
      </w:r>
      <w:r>
        <w:rPr>
          <w:color w:val="0D0D0D" w:themeColor="text1" w:themeTint="F2"/>
          <w:spacing w:val="-2"/>
          <w:sz w:val="16"/>
          <w:szCs w:val="16"/>
        </w:rPr>
        <w:t xml:space="preserve">v </w:t>
      </w:r>
      <w:r w:rsidRPr="00A20936">
        <w:rPr>
          <w:color w:val="0D0D0D" w:themeColor="text1" w:themeTint="F2"/>
          <w:spacing w:val="-2"/>
          <w:sz w:val="16"/>
          <w:szCs w:val="16"/>
        </w:rPr>
        <w:t>energeticky náročných (hutnictví, kovovýroba, výroba stavebních materiálů, ch</w:t>
      </w:r>
      <w:r>
        <w:rPr>
          <w:color w:val="0D0D0D" w:themeColor="text1" w:themeTint="F2"/>
          <w:spacing w:val="-2"/>
          <w:sz w:val="16"/>
          <w:szCs w:val="16"/>
        </w:rPr>
        <w:t xml:space="preserve">emický, dřevozpracující </w:t>
      </w:r>
      <w:r>
        <w:rPr>
          <w:color w:val="0D0D0D" w:themeColor="text1" w:themeTint="F2"/>
          <w:spacing w:val="-2"/>
          <w:sz w:val="16"/>
          <w:szCs w:val="16"/>
        </w:rPr>
        <w:br/>
        <w:t xml:space="preserve">a papírenský průmysl), tak dále ve strojírenství a subdodavatelských oborech pro automobilový průmysl (elektrotechnika, gumárenství, </w:t>
      </w:r>
      <w:proofErr w:type="spellStart"/>
      <w:r>
        <w:rPr>
          <w:color w:val="0D0D0D" w:themeColor="text1" w:themeTint="F2"/>
          <w:spacing w:val="-2"/>
          <w:sz w:val="16"/>
          <w:szCs w:val="16"/>
        </w:rPr>
        <w:t>plastikářství</w:t>
      </w:r>
      <w:proofErr w:type="spellEnd"/>
      <w:r>
        <w:rPr>
          <w:color w:val="0D0D0D" w:themeColor="text1" w:themeTint="F2"/>
          <w:spacing w:val="-2"/>
          <w:sz w:val="16"/>
          <w:szCs w:val="16"/>
        </w:rPr>
        <w:t>) či v řadě</w:t>
      </w:r>
      <w:r w:rsidRPr="00A20936">
        <w:rPr>
          <w:color w:val="0D0D0D" w:themeColor="text1" w:themeTint="F2"/>
          <w:spacing w:val="-2"/>
          <w:sz w:val="16"/>
          <w:szCs w:val="16"/>
        </w:rPr>
        <w:t xml:space="preserve"> </w:t>
      </w:r>
      <w:r>
        <w:rPr>
          <w:color w:val="0D0D0D" w:themeColor="text1" w:themeTint="F2"/>
          <w:spacing w:val="-2"/>
          <w:sz w:val="16"/>
          <w:szCs w:val="16"/>
        </w:rPr>
        <w:t>menších oborů (textilní, oděvní</w:t>
      </w:r>
      <w:r w:rsidRPr="00A20936">
        <w:rPr>
          <w:color w:val="0D0D0D" w:themeColor="text1" w:themeTint="F2"/>
          <w:spacing w:val="-2"/>
          <w:sz w:val="16"/>
          <w:szCs w:val="16"/>
        </w:rPr>
        <w:t xml:space="preserve">, </w:t>
      </w:r>
      <w:r>
        <w:rPr>
          <w:color w:val="0D0D0D" w:themeColor="text1" w:themeTint="F2"/>
          <w:spacing w:val="-2"/>
          <w:sz w:val="16"/>
          <w:szCs w:val="16"/>
        </w:rPr>
        <w:t xml:space="preserve">obuvnický a nábytkářský </w:t>
      </w:r>
      <w:r w:rsidRPr="00A20936">
        <w:rPr>
          <w:color w:val="0D0D0D" w:themeColor="text1" w:themeTint="F2"/>
          <w:spacing w:val="-2"/>
          <w:sz w:val="16"/>
          <w:szCs w:val="16"/>
        </w:rPr>
        <w:t xml:space="preserve">průmysl). Naopak mírně pozitivní výhledy přetrvávaly ve výrobě dopravních </w:t>
      </w:r>
      <w:r>
        <w:rPr>
          <w:color w:val="0D0D0D" w:themeColor="text1" w:themeTint="F2"/>
          <w:spacing w:val="-4"/>
          <w:sz w:val="16"/>
          <w:szCs w:val="16"/>
        </w:rPr>
        <w:t>prostředků,</w:t>
      </w:r>
      <w:r w:rsidRPr="00A20936">
        <w:rPr>
          <w:color w:val="0D0D0D" w:themeColor="text1" w:themeTint="F2"/>
          <w:spacing w:val="-4"/>
          <w:sz w:val="16"/>
          <w:szCs w:val="16"/>
        </w:rPr>
        <w:t xml:space="preserve"> počítačů, elektronických a optických přístrojů, z menších oborů pak ve </w:t>
      </w:r>
      <w:r>
        <w:rPr>
          <w:color w:val="0D0D0D" w:themeColor="text1" w:themeTint="F2"/>
          <w:spacing w:val="-4"/>
          <w:sz w:val="16"/>
          <w:szCs w:val="16"/>
        </w:rPr>
        <w:t xml:space="preserve">výrobě nápojů, </w:t>
      </w:r>
      <w:r w:rsidRPr="00A20936">
        <w:rPr>
          <w:color w:val="0D0D0D" w:themeColor="text1" w:themeTint="F2"/>
          <w:spacing w:val="-4"/>
          <w:sz w:val="16"/>
          <w:szCs w:val="16"/>
        </w:rPr>
        <w:t>farmacii, tiskárenství</w:t>
      </w:r>
      <w:r>
        <w:rPr>
          <w:color w:val="0D0D0D" w:themeColor="text1" w:themeTint="F2"/>
          <w:spacing w:val="-4"/>
          <w:sz w:val="16"/>
          <w:szCs w:val="16"/>
        </w:rPr>
        <w:t xml:space="preserve"> či opravě a instalaci</w:t>
      </w:r>
      <w:r w:rsidRPr="007B0645">
        <w:rPr>
          <w:color w:val="0D0D0D" w:themeColor="text1" w:themeTint="F2"/>
          <w:spacing w:val="-4"/>
          <w:sz w:val="16"/>
          <w:szCs w:val="16"/>
        </w:rPr>
        <w:t xml:space="preserve"> strojů a zařízení</w:t>
      </w:r>
      <w:r>
        <w:rPr>
          <w:color w:val="0D0D0D" w:themeColor="text1" w:themeTint="F2"/>
          <w:spacing w:val="-4"/>
          <w:sz w:val="16"/>
          <w:szCs w:val="16"/>
        </w:rPr>
        <w:t>.</w:t>
      </w:r>
    </w:p>
    <w:p w14:paraId="49E9FC99" w14:textId="24C2EEA0" w:rsidR="000D7C6F" w:rsidRPr="006116E7" w:rsidRDefault="000D7C6F" w:rsidP="00763B23">
      <w:pPr>
        <w:pStyle w:val="Textpoznpodarou"/>
        <w:rPr>
          <w:color w:val="0D0D0D" w:themeColor="text1" w:themeTint="F2"/>
          <w:spacing w:val="-4"/>
          <w:sz w:val="16"/>
          <w:szCs w:val="16"/>
        </w:rPr>
      </w:pPr>
      <w:r w:rsidRPr="00A20936">
        <w:rPr>
          <w:color w:val="0D0D0D" w:themeColor="text1" w:themeTint="F2"/>
          <w:spacing w:val="-4"/>
          <w:sz w:val="16"/>
          <w:szCs w:val="16"/>
        </w:rPr>
        <w:t>Ve službách byla negativní očekávání</w:t>
      </w:r>
      <w:r>
        <w:rPr>
          <w:color w:val="0D0D0D" w:themeColor="text1" w:themeTint="F2"/>
          <w:spacing w:val="-4"/>
          <w:sz w:val="16"/>
          <w:szCs w:val="16"/>
        </w:rPr>
        <w:t xml:space="preserve"> nejvíce patrná v pozemní dopravě</w:t>
      </w:r>
      <w:r w:rsidRPr="00A20936">
        <w:rPr>
          <w:color w:val="0D0D0D" w:themeColor="text1" w:themeTint="F2"/>
          <w:spacing w:val="-4"/>
          <w:sz w:val="16"/>
          <w:szCs w:val="16"/>
        </w:rPr>
        <w:t>, peněžnictví, telek</w:t>
      </w:r>
      <w:r>
        <w:rPr>
          <w:color w:val="0D0D0D" w:themeColor="text1" w:themeTint="F2"/>
          <w:spacing w:val="-4"/>
          <w:sz w:val="16"/>
          <w:szCs w:val="16"/>
        </w:rPr>
        <w:t>omunikacích, v</w:t>
      </w:r>
      <w:r w:rsidRPr="00A20936">
        <w:rPr>
          <w:color w:val="0D0D0D" w:themeColor="text1" w:themeTint="F2"/>
          <w:spacing w:val="-4"/>
          <w:sz w:val="16"/>
          <w:szCs w:val="16"/>
        </w:rPr>
        <w:t>ydavatelských činnostech</w:t>
      </w:r>
      <w:r>
        <w:rPr>
          <w:color w:val="0D0D0D" w:themeColor="text1" w:themeTint="F2"/>
          <w:spacing w:val="-4"/>
          <w:sz w:val="16"/>
          <w:szCs w:val="16"/>
        </w:rPr>
        <w:t>, reklamě, u</w:t>
      </w:r>
      <w:r w:rsidRPr="001D108A">
        <w:rPr>
          <w:sz w:val="16"/>
          <w:szCs w:val="16"/>
        </w:rPr>
        <w:t> </w:t>
      </w:r>
      <w:r w:rsidRPr="00A20936">
        <w:rPr>
          <w:color w:val="0D0D0D" w:themeColor="text1" w:themeTint="F2"/>
          <w:spacing w:val="-4"/>
          <w:sz w:val="16"/>
          <w:szCs w:val="16"/>
        </w:rPr>
        <w:t>ce</w:t>
      </w:r>
      <w:r>
        <w:rPr>
          <w:color w:val="0D0D0D" w:themeColor="text1" w:themeTint="F2"/>
          <w:spacing w:val="-4"/>
          <w:sz w:val="16"/>
          <w:szCs w:val="16"/>
        </w:rPr>
        <w:t>stovních kanceláří a agentur, opravě</w:t>
      </w:r>
      <w:r w:rsidRPr="006116E7">
        <w:rPr>
          <w:color w:val="0D0D0D" w:themeColor="text1" w:themeTint="F2"/>
          <w:spacing w:val="-4"/>
          <w:sz w:val="16"/>
          <w:szCs w:val="16"/>
        </w:rPr>
        <w:t xml:space="preserve"> počítačů a výrob</w:t>
      </w:r>
      <w:r>
        <w:rPr>
          <w:color w:val="0D0D0D" w:themeColor="text1" w:themeTint="F2"/>
          <w:spacing w:val="-4"/>
          <w:sz w:val="16"/>
          <w:szCs w:val="16"/>
        </w:rPr>
        <w:t>ků pro osobní potřebu</w:t>
      </w:r>
      <w:r w:rsidRPr="006116E7">
        <w:rPr>
          <w:color w:val="0D0D0D" w:themeColor="text1" w:themeTint="F2"/>
          <w:spacing w:val="-4"/>
          <w:sz w:val="16"/>
          <w:szCs w:val="16"/>
        </w:rPr>
        <w:t xml:space="preserve"> pro domácnost</w:t>
      </w:r>
      <w:r>
        <w:rPr>
          <w:color w:val="0D0D0D" w:themeColor="text1" w:themeTint="F2"/>
          <w:spacing w:val="-4"/>
          <w:sz w:val="16"/>
          <w:szCs w:val="16"/>
        </w:rPr>
        <w:t xml:space="preserve"> či v a</w:t>
      </w:r>
      <w:r w:rsidRPr="006116E7">
        <w:rPr>
          <w:color w:val="0D0D0D" w:themeColor="text1" w:themeTint="F2"/>
          <w:spacing w:val="-4"/>
          <w:sz w:val="16"/>
          <w:szCs w:val="16"/>
        </w:rPr>
        <w:t>dministrativní</w:t>
      </w:r>
      <w:r>
        <w:rPr>
          <w:color w:val="0D0D0D" w:themeColor="text1" w:themeTint="F2"/>
          <w:spacing w:val="-4"/>
          <w:sz w:val="16"/>
          <w:szCs w:val="16"/>
        </w:rPr>
        <w:t>ch, kancelářských a jiných podpůrných</w:t>
      </w:r>
      <w:r w:rsidRPr="006116E7">
        <w:rPr>
          <w:color w:val="0D0D0D" w:themeColor="text1" w:themeTint="F2"/>
          <w:spacing w:val="-4"/>
          <w:sz w:val="16"/>
          <w:szCs w:val="16"/>
        </w:rPr>
        <w:t xml:space="preserve"> činnost</w:t>
      </w:r>
      <w:r>
        <w:rPr>
          <w:color w:val="0D0D0D" w:themeColor="text1" w:themeTint="F2"/>
          <w:spacing w:val="-4"/>
          <w:sz w:val="16"/>
          <w:szCs w:val="16"/>
        </w:rPr>
        <w:t>ech</w:t>
      </w:r>
      <w:r w:rsidRPr="006116E7">
        <w:rPr>
          <w:color w:val="0D0D0D" w:themeColor="text1" w:themeTint="F2"/>
          <w:spacing w:val="-4"/>
          <w:sz w:val="16"/>
          <w:szCs w:val="16"/>
        </w:rPr>
        <w:t xml:space="preserve"> pro podnikání</w:t>
      </w:r>
      <w:r>
        <w:rPr>
          <w:color w:val="0D0D0D" w:themeColor="text1" w:themeTint="F2"/>
          <w:spacing w:val="-4"/>
          <w:sz w:val="16"/>
          <w:szCs w:val="16"/>
        </w:rPr>
        <w:t>.</w:t>
      </w:r>
      <w:r w:rsidRPr="00A20936">
        <w:rPr>
          <w:color w:val="0D0D0D" w:themeColor="text1" w:themeTint="F2"/>
          <w:spacing w:val="-4"/>
          <w:sz w:val="16"/>
          <w:szCs w:val="16"/>
        </w:rPr>
        <w:t xml:space="preserve"> Naopak u řady jiných podnikových služeb (právní a účetnické činnosti, </w:t>
      </w:r>
      <w:r>
        <w:rPr>
          <w:color w:val="0D0D0D" w:themeColor="text1" w:themeTint="F2"/>
          <w:spacing w:val="-4"/>
          <w:sz w:val="16"/>
          <w:szCs w:val="16"/>
        </w:rPr>
        <w:t>a</w:t>
      </w:r>
      <w:r w:rsidRPr="006116E7">
        <w:rPr>
          <w:color w:val="0D0D0D" w:themeColor="text1" w:themeTint="F2"/>
          <w:spacing w:val="-4"/>
          <w:sz w:val="16"/>
          <w:szCs w:val="16"/>
        </w:rPr>
        <w:t xml:space="preserve">rchitektonické </w:t>
      </w:r>
      <w:r>
        <w:rPr>
          <w:color w:val="0D0D0D" w:themeColor="text1" w:themeTint="F2"/>
          <w:spacing w:val="-4"/>
          <w:sz w:val="16"/>
          <w:szCs w:val="16"/>
        </w:rPr>
        <w:br/>
      </w:r>
      <w:r w:rsidRPr="006116E7">
        <w:rPr>
          <w:color w:val="0D0D0D" w:themeColor="text1" w:themeTint="F2"/>
          <w:spacing w:val="-4"/>
          <w:sz w:val="16"/>
          <w:szCs w:val="16"/>
        </w:rPr>
        <w:t>a inženýrské činnosti</w:t>
      </w:r>
      <w:r>
        <w:rPr>
          <w:color w:val="0D0D0D" w:themeColor="text1" w:themeTint="F2"/>
          <w:spacing w:val="-4"/>
          <w:sz w:val="16"/>
          <w:szCs w:val="16"/>
        </w:rPr>
        <w:t>,</w:t>
      </w:r>
      <w:r w:rsidRPr="006116E7">
        <w:rPr>
          <w:color w:val="0D0D0D" w:themeColor="text1" w:themeTint="F2"/>
          <w:spacing w:val="-4"/>
          <w:sz w:val="16"/>
          <w:szCs w:val="16"/>
        </w:rPr>
        <w:t xml:space="preserve"> </w:t>
      </w:r>
      <w:r w:rsidRPr="00A20936">
        <w:rPr>
          <w:color w:val="0D0D0D" w:themeColor="text1" w:themeTint="F2"/>
          <w:spacing w:val="-4"/>
          <w:sz w:val="16"/>
          <w:szCs w:val="16"/>
        </w:rPr>
        <w:t>služby pracovních agentur) či v oblasti pojišťovnictví, programování, kurýrních činnostech</w:t>
      </w:r>
      <w:r>
        <w:rPr>
          <w:color w:val="0D0D0D" w:themeColor="text1" w:themeTint="F2"/>
          <w:spacing w:val="-4"/>
          <w:sz w:val="16"/>
          <w:szCs w:val="16"/>
        </w:rPr>
        <w:t>, pohostinství a</w:t>
      </w:r>
      <w:r w:rsidRPr="00A20936">
        <w:rPr>
          <w:color w:val="0D0D0D" w:themeColor="text1" w:themeTint="F2"/>
          <w:spacing w:val="-4"/>
          <w:sz w:val="16"/>
          <w:szCs w:val="16"/>
        </w:rPr>
        <w:t xml:space="preserve"> sk</w:t>
      </w:r>
      <w:r>
        <w:rPr>
          <w:color w:val="0D0D0D" w:themeColor="text1" w:themeTint="F2"/>
          <w:spacing w:val="-4"/>
          <w:sz w:val="16"/>
          <w:szCs w:val="16"/>
        </w:rPr>
        <w:t>ladování podniky předpokládaly</w:t>
      </w:r>
      <w:r w:rsidRPr="00A20936">
        <w:rPr>
          <w:color w:val="0D0D0D" w:themeColor="text1" w:themeTint="F2"/>
          <w:spacing w:val="-4"/>
          <w:sz w:val="16"/>
          <w:szCs w:val="16"/>
        </w:rPr>
        <w:t xml:space="preserve"> </w:t>
      </w:r>
      <w:r>
        <w:rPr>
          <w:color w:val="0D0D0D" w:themeColor="text1" w:themeTint="F2"/>
          <w:spacing w:val="-4"/>
          <w:sz w:val="16"/>
          <w:szCs w:val="16"/>
        </w:rPr>
        <w:t xml:space="preserve">spíše </w:t>
      </w:r>
      <w:r w:rsidRPr="00A20936">
        <w:rPr>
          <w:color w:val="0D0D0D" w:themeColor="text1" w:themeTint="F2"/>
          <w:spacing w:val="-4"/>
          <w:sz w:val="16"/>
          <w:szCs w:val="16"/>
        </w:rPr>
        <w:t>vyšší zaměstnanost.</w:t>
      </w:r>
    </w:p>
  </w:footnote>
  <w:footnote w:id="83">
    <w:p w14:paraId="308C488F" w14:textId="77777777" w:rsidR="000D7C6F" w:rsidRPr="004E68B1" w:rsidRDefault="000D7C6F" w:rsidP="00763B23">
      <w:pPr>
        <w:pStyle w:val="Textpoznpodarou"/>
        <w:rPr>
          <w:spacing w:val="-3"/>
          <w:sz w:val="16"/>
          <w:szCs w:val="16"/>
        </w:rPr>
      </w:pPr>
      <w:r w:rsidRPr="004E68B1">
        <w:rPr>
          <w:rStyle w:val="Znakapoznpodarou"/>
          <w:spacing w:val="-3"/>
          <w:sz w:val="16"/>
          <w:szCs w:val="16"/>
        </w:rPr>
        <w:footnoteRef/>
      </w:r>
      <w:r>
        <w:rPr>
          <w:spacing w:val="-3"/>
          <w:sz w:val="16"/>
          <w:szCs w:val="16"/>
        </w:rPr>
        <w:t xml:space="preserve"> Není-li uvedeno jinak, vycházejí v</w:t>
      </w:r>
      <w:r w:rsidRPr="004E68B1">
        <w:rPr>
          <w:spacing w:val="-3"/>
          <w:sz w:val="16"/>
          <w:szCs w:val="16"/>
        </w:rPr>
        <w:t>šechny údaje o </w:t>
      </w:r>
      <w:r>
        <w:rPr>
          <w:spacing w:val="-3"/>
          <w:sz w:val="16"/>
          <w:szCs w:val="16"/>
        </w:rPr>
        <w:t xml:space="preserve">mírách </w:t>
      </w:r>
      <w:r w:rsidRPr="004E68B1">
        <w:rPr>
          <w:spacing w:val="-3"/>
          <w:sz w:val="16"/>
          <w:szCs w:val="16"/>
        </w:rPr>
        <w:t>nezaměstnanosti z</w:t>
      </w:r>
      <w:r>
        <w:rPr>
          <w:spacing w:val="-3"/>
          <w:sz w:val="16"/>
          <w:szCs w:val="16"/>
        </w:rPr>
        <w:t> VŠPS (dle metodiky ILO) a jsou očištěny o sezónní vlivy.</w:t>
      </w:r>
    </w:p>
  </w:footnote>
  <w:footnote w:id="84">
    <w:p w14:paraId="10C85AA9" w14:textId="62A78A88" w:rsidR="000D7C6F" w:rsidRDefault="000D7C6F" w:rsidP="00763B23">
      <w:pPr>
        <w:pStyle w:val="Textpoznpodarou"/>
        <w:rPr>
          <w:sz w:val="16"/>
          <w:szCs w:val="16"/>
        </w:rPr>
      </w:pPr>
      <w:r w:rsidRPr="001D108A">
        <w:rPr>
          <w:color w:val="0D0D0D" w:themeColor="text1" w:themeTint="F2"/>
          <w:spacing w:val="-4"/>
          <w:sz w:val="16"/>
          <w:szCs w:val="16"/>
          <w:vertAlign w:val="superscript"/>
        </w:rPr>
        <w:footnoteRef/>
      </w:r>
      <w:r w:rsidRPr="001D108A">
        <w:rPr>
          <w:color w:val="0D0D0D" w:themeColor="text1" w:themeTint="F2"/>
          <w:spacing w:val="-4"/>
          <w:sz w:val="16"/>
          <w:szCs w:val="16"/>
        </w:rPr>
        <w:t xml:space="preserve"> </w:t>
      </w:r>
      <w:r w:rsidRPr="008B2B01">
        <w:rPr>
          <w:spacing w:val="-2"/>
          <w:sz w:val="16"/>
          <w:szCs w:val="16"/>
        </w:rPr>
        <w:t>Česku stále patřila významná pozice mezi státy EU. Nižší celkovou míru nezaměstnanost</w:t>
      </w:r>
      <w:r>
        <w:rPr>
          <w:spacing w:val="-2"/>
          <w:sz w:val="16"/>
          <w:szCs w:val="16"/>
        </w:rPr>
        <w:t>i</w:t>
      </w:r>
      <w:r w:rsidRPr="008B2B01">
        <w:rPr>
          <w:spacing w:val="-2"/>
          <w:sz w:val="16"/>
          <w:szCs w:val="16"/>
        </w:rPr>
        <w:t xml:space="preserve"> (osob ve věku 15-74 let) než v tuzemsku </w:t>
      </w:r>
      <w:r>
        <w:rPr>
          <w:spacing w:val="-2"/>
          <w:sz w:val="16"/>
          <w:szCs w:val="16"/>
        </w:rPr>
        <w:t>(2,9</w:t>
      </w:r>
      <w:r w:rsidRPr="008B2B01">
        <w:rPr>
          <w:spacing w:val="-2"/>
          <w:sz w:val="16"/>
          <w:szCs w:val="16"/>
        </w:rPr>
        <w:t> %) vykázala v říjnu jen Malta (2,5 %) a Polsko (2,8 %). K Česku se blížilo Německo (3,1 %), a to díky tomu, že zde nezaměstnanost meziročně nerostla.</w:t>
      </w:r>
      <w:r>
        <w:rPr>
          <w:spacing w:val="-2"/>
          <w:sz w:val="16"/>
          <w:szCs w:val="16"/>
        </w:rPr>
        <w:t xml:space="preserve"> </w:t>
      </w:r>
      <w:r w:rsidRPr="008B2B01">
        <w:rPr>
          <w:spacing w:val="-2"/>
          <w:sz w:val="16"/>
          <w:szCs w:val="16"/>
        </w:rPr>
        <w:t>Mez</w:t>
      </w:r>
      <w:r>
        <w:rPr>
          <w:spacing w:val="-2"/>
          <w:sz w:val="16"/>
          <w:szCs w:val="16"/>
        </w:rPr>
        <w:t>i středoevropskými státy mě</w:t>
      </w:r>
      <w:r w:rsidRPr="008B2B01">
        <w:rPr>
          <w:spacing w:val="-2"/>
          <w:sz w:val="16"/>
          <w:szCs w:val="16"/>
        </w:rPr>
        <w:t>ly zvýšenou nezaměstnanost Slovensko (5,8 %) a Rakousko (5,1 %). Nejvyšší nezaměstnanost zůstávala i přes její meziroční pokles ve Španělsku (12,0 %) a Řecku. Nejvýraznější meziroční zvýšení nastalo v Estonsk</w:t>
      </w:r>
      <w:r>
        <w:rPr>
          <w:spacing w:val="-2"/>
          <w:sz w:val="16"/>
          <w:szCs w:val="16"/>
        </w:rPr>
        <w:t>u</w:t>
      </w:r>
      <w:r w:rsidRPr="008B2B01">
        <w:rPr>
          <w:spacing w:val="-2"/>
          <w:sz w:val="16"/>
          <w:szCs w:val="16"/>
        </w:rPr>
        <w:t xml:space="preserve"> (z 5,4 % na 6,3 %) a Dánsku (ze 4,6 na 5,4 %).  Více než 7% nezaměstnanost sužovala i Švédsko, Finsko, Francii a Itálii. V EU dosáhla nezaměstnanost rovných 6 %, z toho v eurozóně 6,5 % (v obou uskupeních zůstala meziročně i meziměsíčně téměř beze změny) </w:t>
      </w:r>
      <w:r>
        <w:rPr>
          <w:spacing w:val="-2"/>
          <w:sz w:val="16"/>
          <w:szCs w:val="16"/>
        </w:rPr>
        <w:t>a ve srovnání s konjunktur</w:t>
      </w:r>
      <w:r w:rsidRPr="008B2B01">
        <w:rPr>
          <w:spacing w:val="-2"/>
          <w:sz w:val="16"/>
          <w:szCs w:val="16"/>
        </w:rPr>
        <w:t>ním rokem 2008 byla nižší o více než 1 p. b.</w:t>
      </w:r>
      <w:r w:rsidRPr="001D108A">
        <w:rPr>
          <w:sz w:val="16"/>
          <w:szCs w:val="16"/>
        </w:rPr>
        <w:t xml:space="preserve"> </w:t>
      </w:r>
    </w:p>
    <w:p w14:paraId="714ACE86" w14:textId="77777777" w:rsidR="000D7C6F" w:rsidRPr="00002144" w:rsidRDefault="000D7C6F" w:rsidP="00763B23">
      <w:pPr>
        <w:pStyle w:val="paragraph"/>
        <w:spacing w:before="0" w:beforeAutospacing="0" w:after="0" w:afterAutospacing="0"/>
        <w:jc w:val="both"/>
        <w:textAlignment w:val="baseline"/>
        <w:rPr>
          <w:rFonts w:eastAsia="MS Gothic"/>
        </w:rPr>
      </w:pPr>
      <w:r w:rsidRPr="008B2B01">
        <w:rPr>
          <w:rFonts w:ascii="Arial" w:eastAsia="Calibri" w:hAnsi="Arial"/>
          <w:spacing w:val="-2"/>
          <w:sz w:val="16"/>
          <w:szCs w:val="16"/>
        </w:rPr>
        <w:t>Míra nezaměstnanosti mladých (do 25 let) činila v EU 14,8 % a za poslední půlrok se velmi mírně zvýšila. V Česku dosáhla 7,1 %</w:t>
      </w:r>
      <w:r>
        <w:rPr>
          <w:rFonts w:ascii="Arial" w:eastAsia="Calibri" w:hAnsi="Arial"/>
          <w:spacing w:val="-2"/>
          <w:sz w:val="16"/>
          <w:szCs w:val="16"/>
        </w:rPr>
        <w:t>.</w:t>
      </w:r>
      <w:r w:rsidRPr="008B2B01">
        <w:rPr>
          <w:rFonts w:ascii="Arial" w:eastAsia="Calibri" w:hAnsi="Arial"/>
          <w:spacing w:val="-2"/>
          <w:sz w:val="16"/>
          <w:szCs w:val="16"/>
        </w:rPr>
        <w:t xml:space="preserve"> </w:t>
      </w:r>
      <w:r>
        <w:rPr>
          <w:rFonts w:ascii="Arial" w:eastAsia="Calibri" w:hAnsi="Arial"/>
          <w:spacing w:val="-2"/>
          <w:sz w:val="16"/>
          <w:szCs w:val="16"/>
        </w:rPr>
        <w:t>A</w:t>
      </w:r>
      <w:r w:rsidRPr="008B2B01">
        <w:rPr>
          <w:rFonts w:ascii="Arial" w:eastAsia="Calibri" w:hAnsi="Arial"/>
          <w:spacing w:val="-2"/>
          <w:sz w:val="16"/>
          <w:szCs w:val="16"/>
        </w:rPr>
        <w:t xml:space="preserve"> byť meziročně lehce vzrostla, patřila v rámci Unie k nejnižším. Míru pod 10% hranicí měly také Německo, Nizozemsko a Malta. I přes mírné meziroční snížení byla v tomto ohledu stále nejhorší situace ve Španělsku (28 %), následovan</w:t>
      </w:r>
      <w:r>
        <w:rPr>
          <w:rFonts w:ascii="Arial" w:eastAsia="Calibri" w:hAnsi="Arial"/>
          <w:spacing w:val="-2"/>
          <w:sz w:val="16"/>
          <w:szCs w:val="16"/>
        </w:rPr>
        <w:t>é</w:t>
      </w:r>
      <w:r w:rsidRPr="008B2B01">
        <w:rPr>
          <w:rFonts w:ascii="Arial" w:eastAsia="Calibri" w:hAnsi="Arial"/>
          <w:spacing w:val="-2"/>
          <w:sz w:val="16"/>
          <w:szCs w:val="16"/>
        </w:rPr>
        <w:t>m Itálií (25 %) a Portugalskem, Slovenskem, Estonskem a Švédskem (shodně těsně nad 20 %).</w:t>
      </w:r>
    </w:p>
  </w:footnote>
  <w:footnote w:id="85">
    <w:p w14:paraId="5DE1CF4F" w14:textId="77777777" w:rsidR="000D7C6F" w:rsidRPr="00EC5D23" w:rsidRDefault="000D7C6F" w:rsidP="00763B23">
      <w:pPr>
        <w:pStyle w:val="Textpoznpodarou"/>
        <w:rPr>
          <w:sz w:val="16"/>
          <w:szCs w:val="16"/>
        </w:rPr>
      </w:pPr>
      <w:r w:rsidRPr="00EC5D23">
        <w:rPr>
          <w:rStyle w:val="Znakapoznpodarou"/>
          <w:sz w:val="16"/>
          <w:szCs w:val="16"/>
        </w:rPr>
        <w:footnoteRef/>
      </w:r>
      <w:r w:rsidRPr="00EC5D23">
        <w:rPr>
          <w:sz w:val="16"/>
          <w:szCs w:val="16"/>
        </w:rPr>
        <w:t xml:space="preserve"> </w:t>
      </w:r>
      <w:r w:rsidRPr="00EC5D23">
        <w:rPr>
          <w:spacing w:val="-3"/>
          <w:sz w:val="16"/>
          <w:szCs w:val="16"/>
        </w:rPr>
        <w:t xml:space="preserve">Dle údajů MPSV činil </w:t>
      </w:r>
      <w:r>
        <w:rPr>
          <w:spacing w:val="-3"/>
          <w:sz w:val="16"/>
          <w:szCs w:val="16"/>
        </w:rPr>
        <w:t xml:space="preserve">letos v listopadu </w:t>
      </w:r>
      <w:r w:rsidRPr="00EC5D23">
        <w:rPr>
          <w:spacing w:val="-3"/>
          <w:sz w:val="16"/>
          <w:szCs w:val="16"/>
        </w:rPr>
        <w:t>sezonně neočištěný podíl dosažitelných uchazečů o zaměstnání ve věku 15 až 64 let</w:t>
      </w:r>
      <w:r>
        <w:rPr>
          <w:spacing w:val="-3"/>
          <w:sz w:val="16"/>
          <w:szCs w:val="16"/>
        </w:rPr>
        <w:t xml:space="preserve"> na obyvatelstvo stejného věku </w:t>
      </w:r>
      <w:r>
        <w:rPr>
          <w:spacing w:val="-2"/>
          <w:sz w:val="16"/>
          <w:szCs w:val="16"/>
        </w:rPr>
        <w:t>3,5 %. Meziročně se velmi mírně zvyšoval nepřetržitě od loňského října, nicméně dosavadní údaje za poslední letošní kvartál ukazují pouze na stagnaci.</w:t>
      </w:r>
    </w:p>
  </w:footnote>
  <w:footnote w:id="86">
    <w:p w14:paraId="3ADAE171" w14:textId="77777777" w:rsidR="000D7C6F" w:rsidRPr="004A5CB3" w:rsidRDefault="000D7C6F" w:rsidP="00763B23">
      <w:pPr>
        <w:pStyle w:val="Textpoznpodarou"/>
        <w:rPr>
          <w:sz w:val="16"/>
          <w:szCs w:val="16"/>
        </w:rPr>
      </w:pPr>
      <w:r w:rsidRPr="004A5CB3">
        <w:rPr>
          <w:rStyle w:val="Znakapoznpodarou"/>
          <w:sz w:val="16"/>
          <w:szCs w:val="16"/>
        </w:rPr>
        <w:footnoteRef/>
      </w:r>
      <w:r>
        <w:rPr>
          <w:sz w:val="16"/>
          <w:szCs w:val="16"/>
        </w:rPr>
        <w:t xml:space="preserve"> Jen pětina tohoto počtu je ovšem schop</w:t>
      </w:r>
      <w:r w:rsidRPr="004A5CB3">
        <w:rPr>
          <w:sz w:val="16"/>
          <w:szCs w:val="16"/>
        </w:rPr>
        <w:t>n</w:t>
      </w:r>
      <w:r>
        <w:rPr>
          <w:sz w:val="16"/>
          <w:szCs w:val="16"/>
        </w:rPr>
        <w:t>a</w:t>
      </w:r>
      <w:r w:rsidRPr="004A5CB3">
        <w:rPr>
          <w:sz w:val="16"/>
          <w:szCs w:val="16"/>
        </w:rPr>
        <w:t xml:space="preserve"> bezprostředně do práce nastoupit. Významnou část pracovních rezerv totiž tvoří studenti </w:t>
      </w:r>
      <w:r>
        <w:rPr>
          <w:sz w:val="16"/>
          <w:szCs w:val="16"/>
        </w:rPr>
        <w:br/>
      </w:r>
      <w:r w:rsidRPr="004A5CB3">
        <w:rPr>
          <w:sz w:val="16"/>
          <w:szCs w:val="16"/>
        </w:rPr>
        <w:t>a ženy na rodičovské dovolené.</w:t>
      </w:r>
    </w:p>
  </w:footnote>
  <w:footnote w:id="87">
    <w:p w14:paraId="7A077A6C" w14:textId="77777777" w:rsidR="000D7C6F" w:rsidRPr="00184274" w:rsidRDefault="000D7C6F" w:rsidP="00763B23">
      <w:pPr>
        <w:pStyle w:val="Textpoznpodarou"/>
        <w:rPr>
          <w:sz w:val="16"/>
          <w:szCs w:val="16"/>
        </w:rPr>
      </w:pPr>
      <w:r w:rsidRPr="00184274">
        <w:rPr>
          <w:rStyle w:val="Znakapoznpodarou"/>
          <w:sz w:val="16"/>
          <w:szCs w:val="16"/>
        </w:rPr>
        <w:footnoteRef/>
      </w:r>
      <w:r w:rsidRPr="00184274">
        <w:rPr>
          <w:sz w:val="16"/>
          <w:szCs w:val="16"/>
        </w:rPr>
        <w:t xml:space="preserve"> N</w:t>
      </w:r>
      <w:r>
        <w:rPr>
          <w:sz w:val="16"/>
          <w:szCs w:val="16"/>
        </w:rPr>
        <w:t>e všechny</w:t>
      </w:r>
      <w:r w:rsidRPr="00184274">
        <w:rPr>
          <w:sz w:val="16"/>
          <w:szCs w:val="16"/>
        </w:rPr>
        <w:t xml:space="preserve"> nabídky volných pracovních pozic v evidenci ÚP lze ovšem považovat za aktuální. Plných 52 % z celkového počtu míst (282 tis.) bylo na konci 3. čtvrtletí 2023 inzerováno déle než půl roku.</w:t>
      </w:r>
      <w:r>
        <w:rPr>
          <w:sz w:val="16"/>
          <w:szCs w:val="16"/>
        </w:rPr>
        <w:t xml:space="preserve"> Počet volných pracovních míst (na základě šetření v podnicích) na experimentální bázi zjišťuje od roku 2020 i ČSÚ. Ve 3. čtvrtletí byl takto odhadnut počet volných míst v ČR na 97 tis. Jejich počet se meziročně snížil o 7 %, když klesl druhý kvartál v řadě.</w:t>
      </w:r>
    </w:p>
  </w:footnote>
  <w:footnote w:id="88">
    <w:p w14:paraId="0BF0814A" w14:textId="77777777" w:rsidR="000D7C6F" w:rsidRPr="007E3267" w:rsidRDefault="000D7C6F" w:rsidP="00763B23">
      <w:pPr>
        <w:spacing w:after="0"/>
        <w:rPr>
          <w:color w:val="0D0D0D" w:themeColor="text1" w:themeTint="F2"/>
          <w:spacing w:val="-4"/>
          <w:sz w:val="16"/>
          <w:szCs w:val="16"/>
        </w:rPr>
      </w:pPr>
      <w:r w:rsidRPr="007E3267">
        <w:rPr>
          <w:rStyle w:val="Znakapoznpodarou"/>
          <w:sz w:val="16"/>
          <w:szCs w:val="16"/>
        </w:rPr>
        <w:footnoteRef/>
      </w:r>
      <w:r w:rsidRPr="007E3267">
        <w:rPr>
          <w:sz w:val="16"/>
          <w:szCs w:val="16"/>
        </w:rPr>
        <w:t xml:space="preserve"> </w:t>
      </w:r>
      <w:r>
        <w:rPr>
          <w:color w:val="0D0D0D" w:themeColor="text1" w:themeTint="F2"/>
          <w:spacing w:val="-4"/>
          <w:sz w:val="16"/>
          <w:szCs w:val="16"/>
        </w:rPr>
        <w:t>Aktuální tempo bylo současně nejslabší za celé dvouleté období s reálným poklesem mezd.</w:t>
      </w:r>
    </w:p>
  </w:footnote>
  <w:footnote w:id="89">
    <w:p w14:paraId="249CB7B2" w14:textId="77777777" w:rsidR="000D7C6F" w:rsidRPr="00B6005F" w:rsidRDefault="000D7C6F" w:rsidP="00763B23">
      <w:pPr>
        <w:pStyle w:val="Textpoznpodarou"/>
        <w:rPr>
          <w:spacing w:val="-3"/>
          <w:sz w:val="16"/>
          <w:szCs w:val="16"/>
        </w:rPr>
      </w:pPr>
      <w:r w:rsidRPr="00B6005F">
        <w:rPr>
          <w:rStyle w:val="Znakapoznpodarou"/>
          <w:spacing w:val="-3"/>
          <w:sz w:val="16"/>
          <w:szCs w:val="16"/>
        </w:rPr>
        <w:footnoteRef/>
      </w:r>
      <w:r w:rsidRPr="00B6005F">
        <w:rPr>
          <w:spacing w:val="-3"/>
          <w:sz w:val="16"/>
          <w:szCs w:val="16"/>
        </w:rPr>
        <w:t xml:space="preserve"> Hrubý disponibilní důchod (HDD) domác</w:t>
      </w:r>
      <w:r>
        <w:rPr>
          <w:spacing w:val="-3"/>
          <w:sz w:val="16"/>
          <w:szCs w:val="16"/>
        </w:rPr>
        <w:t>ností v reálném vyjádření se dle aktuálních údajů v 1</w:t>
      </w:r>
      <w:r w:rsidRPr="00B6005F">
        <w:rPr>
          <w:spacing w:val="-3"/>
          <w:sz w:val="16"/>
          <w:szCs w:val="16"/>
        </w:rPr>
        <w:t>. čtvrt</w:t>
      </w:r>
      <w:r>
        <w:rPr>
          <w:spacing w:val="-3"/>
          <w:sz w:val="16"/>
          <w:szCs w:val="16"/>
        </w:rPr>
        <w:t xml:space="preserve">letí 2023 meziročně snížil o 3,3 %, v následujícím čtvrtletí již jen o 1,1 %. Z toho </w:t>
      </w:r>
      <w:r w:rsidRPr="00B6005F">
        <w:rPr>
          <w:spacing w:val="-3"/>
          <w:sz w:val="16"/>
          <w:szCs w:val="16"/>
        </w:rPr>
        <w:t>objem mezd a platů</w:t>
      </w:r>
      <w:r>
        <w:rPr>
          <w:spacing w:val="-3"/>
          <w:sz w:val="16"/>
          <w:szCs w:val="16"/>
        </w:rPr>
        <w:t xml:space="preserve"> v pojetí národních účtů ve 2. čtvrtletí reálně poklesl o 1,3 % (dle předběžných údajů tento objem ve 3. čtvrtletí již nepatrně vzrostl – š</w:t>
      </w:r>
      <w:r w:rsidRPr="006B7CE8">
        <w:rPr>
          <w:spacing w:val="-3"/>
          <w:sz w:val="16"/>
          <w:szCs w:val="16"/>
        </w:rPr>
        <w:t>lo o první přírůstek po pěti čtvrtletích poklesů</w:t>
      </w:r>
      <w:r>
        <w:rPr>
          <w:spacing w:val="-3"/>
          <w:sz w:val="16"/>
          <w:szCs w:val="16"/>
        </w:rPr>
        <w:t>, za který ovšem domácnosti vděčí pouze rostoucí zaměstnanosti).</w:t>
      </w:r>
      <w:r w:rsidRPr="00B6005F">
        <w:rPr>
          <w:spacing w:val="-3"/>
          <w:sz w:val="16"/>
          <w:szCs w:val="16"/>
        </w:rPr>
        <w:t xml:space="preserve"> Mzdy a platy zohledňují (na rozdíl od podnikové statistiky) i další faktory, např. šedou ekonomiku, možné zvýšení ekonomické aktivity obyvatel, např. formou druhých zaměstnání či dohod o provedení práce. HDD zahrnuje vedle mezd </w:t>
      </w:r>
      <w:r>
        <w:rPr>
          <w:spacing w:val="-3"/>
          <w:sz w:val="16"/>
          <w:szCs w:val="16"/>
        </w:rPr>
        <w:br/>
      </w:r>
      <w:r w:rsidRPr="00B6005F">
        <w:rPr>
          <w:spacing w:val="-3"/>
          <w:sz w:val="16"/>
          <w:szCs w:val="16"/>
        </w:rPr>
        <w:t>a platů i p</w:t>
      </w:r>
      <w:r>
        <w:rPr>
          <w:spacing w:val="-3"/>
          <w:sz w:val="16"/>
          <w:szCs w:val="16"/>
        </w:rPr>
        <w:t>říjmy plynoucí z podnikání či z</w:t>
      </w:r>
      <w:r w:rsidRPr="001D108A">
        <w:rPr>
          <w:sz w:val="16"/>
          <w:szCs w:val="16"/>
        </w:rPr>
        <w:t> </w:t>
      </w:r>
      <w:r w:rsidRPr="00B6005F">
        <w:rPr>
          <w:spacing w:val="-3"/>
          <w:sz w:val="16"/>
          <w:szCs w:val="16"/>
        </w:rPr>
        <w:t xml:space="preserve">vlastnictví kapitálu a také sociální transfery od státu, vč. donedávna plně valorizovaných starobních důchodů (efekt úpravy valorizačního schématu z důvodu úsporných opatření se poprvé projevil v červnu 2023). </w:t>
      </w:r>
    </w:p>
  </w:footnote>
  <w:footnote w:id="90">
    <w:p w14:paraId="2B3FE9E7" w14:textId="77777777" w:rsidR="000D7C6F" w:rsidRPr="00B6005F" w:rsidRDefault="000D7C6F" w:rsidP="00763B23">
      <w:pPr>
        <w:pStyle w:val="Textpoznpodarou"/>
        <w:rPr>
          <w:spacing w:val="-3"/>
          <w:sz w:val="16"/>
          <w:szCs w:val="16"/>
        </w:rPr>
      </w:pPr>
      <w:r w:rsidRPr="00B6005F">
        <w:rPr>
          <w:rStyle w:val="Znakapoznpodarou"/>
          <w:spacing w:val="-3"/>
          <w:sz w:val="16"/>
          <w:szCs w:val="16"/>
        </w:rPr>
        <w:footnoteRef/>
      </w:r>
      <w:r w:rsidRPr="00B6005F">
        <w:rPr>
          <w:spacing w:val="-3"/>
          <w:sz w:val="16"/>
          <w:szCs w:val="16"/>
        </w:rPr>
        <w:t xml:space="preserve"> Výjimkou bylo odvětví veřejné správy, obrany a sociálního zabezpečení. Od 1. září 2022 došlo k 10%</w:t>
      </w:r>
      <w:r>
        <w:rPr>
          <w:spacing w:val="-3"/>
          <w:sz w:val="16"/>
          <w:szCs w:val="16"/>
        </w:rPr>
        <w:t xml:space="preserve"> navýšení platových tarifů </w:t>
      </w:r>
      <w:r w:rsidRPr="00477E4D">
        <w:rPr>
          <w:spacing w:val="-4"/>
          <w:sz w:val="16"/>
          <w:szCs w:val="16"/>
        </w:rPr>
        <w:t>u zaměstnanců spadajících po</w:t>
      </w:r>
      <w:r>
        <w:rPr>
          <w:spacing w:val="-4"/>
          <w:sz w:val="16"/>
          <w:szCs w:val="16"/>
        </w:rPr>
        <w:t>d</w:t>
      </w:r>
      <w:r w:rsidRPr="00477E4D">
        <w:rPr>
          <w:spacing w:val="-4"/>
          <w:sz w:val="16"/>
          <w:szCs w:val="16"/>
        </w:rPr>
        <w:t xml:space="preserve"> služební zákon. Od ledna 2023 se zvýšily i platové tarify u vojáků a příslušníků bezpečnostních sborů (o 10 %).</w:t>
      </w:r>
    </w:p>
  </w:footnote>
  <w:footnote w:id="91">
    <w:p w14:paraId="4DFD0C46" w14:textId="7EF7135B" w:rsidR="000D7C6F" w:rsidRPr="00B6005F" w:rsidRDefault="000D7C6F" w:rsidP="00763B23">
      <w:pPr>
        <w:pStyle w:val="Textpoznpodarou"/>
        <w:rPr>
          <w:spacing w:val="-3"/>
          <w:sz w:val="16"/>
          <w:szCs w:val="16"/>
        </w:rPr>
      </w:pPr>
      <w:r w:rsidRPr="00B6005F">
        <w:rPr>
          <w:rStyle w:val="Znakapoznpodarou"/>
          <w:spacing w:val="-3"/>
          <w:sz w:val="16"/>
          <w:szCs w:val="16"/>
        </w:rPr>
        <w:footnoteRef/>
      </w:r>
      <w:r w:rsidRPr="00B6005F">
        <w:rPr>
          <w:spacing w:val="-3"/>
          <w:sz w:val="16"/>
          <w:szCs w:val="16"/>
        </w:rPr>
        <w:t xml:space="preserve"> Od ledna 2023 došlo k navýšení minimální mzdy o 6,8 </w:t>
      </w:r>
      <w:r>
        <w:rPr>
          <w:spacing w:val="-3"/>
          <w:sz w:val="16"/>
          <w:szCs w:val="16"/>
        </w:rPr>
        <w:t>% (srovnatelně jako v předchozím roce</w:t>
      </w:r>
      <w:r w:rsidRPr="00B6005F">
        <w:rPr>
          <w:spacing w:val="-3"/>
          <w:sz w:val="16"/>
          <w:szCs w:val="16"/>
        </w:rPr>
        <w:t xml:space="preserve">). Na rozdíl od praxe z minulých let </w:t>
      </w:r>
      <w:r>
        <w:rPr>
          <w:spacing w:val="-3"/>
          <w:sz w:val="16"/>
          <w:szCs w:val="16"/>
        </w:rPr>
        <w:t xml:space="preserve">však </w:t>
      </w:r>
      <w:r w:rsidRPr="00B6005F">
        <w:rPr>
          <w:spacing w:val="-3"/>
          <w:sz w:val="16"/>
          <w:szCs w:val="16"/>
        </w:rPr>
        <w:t>neby</w:t>
      </w:r>
      <w:r>
        <w:rPr>
          <w:spacing w:val="-3"/>
          <w:sz w:val="16"/>
          <w:szCs w:val="16"/>
        </w:rPr>
        <w:t xml:space="preserve">l posun minimální mzdy </w:t>
      </w:r>
      <w:r w:rsidRPr="00B6005F">
        <w:rPr>
          <w:spacing w:val="-3"/>
          <w:sz w:val="16"/>
          <w:szCs w:val="16"/>
        </w:rPr>
        <w:t>doprovázen zvýšením hranice u tzv. zaručených mezd (ta letos vzrostla jen v</w:t>
      </w:r>
      <w:r>
        <w:rPr>
          <w:spacing w:val="-3"/>
          <w:sz w:val="16"/>
          <w:szCs w:val="16"/>
        </w:rPr>
        <w:t xml:space="preserve"> osmé – </w:t>
      </w:r>
      <w:r w:rsidRPr="00B6005F">
        <w:rPr>
          <w:spacing w:val="-3"/>
          <w:sz w:val="16"/>
          <w:szCs w:val="16"/>
        </w:rPr>
        <w:t>kvalifi</w:t>
      </w:r>
      <w:r>
        <w:rPr>
          <w:spacing w:val="-3"/>
          <w:sz w:val="16"/>
          <w:szCs w:val="16"/>
        </w:rPr>
        <w:t>kačně nejvyšší kategorii prací -, v níž ale zaručenou</w:t>
      </w:r>
      <w:r w:rsidRPr="00B6005F">
        <w:rPr>
          <w:spacing w:val="-3"/>
          <w:sz w:val="16"/>
          <w:szCs w:val="16"/>
        </w:rPr>
        <w:t xml:space="preserve"> mzdu patrně pobírá jen zlomek zaměstnanců).</w:t>
      </w:r>
    </w:p>
  </w:footnote>
  <w:footnote w:id="92">
    <w:p w14:paraId="7FCCAC99" w14:textId="77777777" w:rsidR="000D7C6F" w:rsidRPr="002725F2" w:rsidRDefault="000D7C6F" w:rsidP="00763B23">
      <w:pPr>
        <w:pStyle w:val="Textpoznpodarou"/>
        <w:rPr>
          <w:spacing w:val="-2"/>
          <w:sz w:val="16"/>
          <w:szCs w:val="16"/>
        </w:rPr>
      </w:pPr>
      <w:r w:rsidRPr="002725F2">
        <w:rPr>
          <w:rStyle w:val="Znakapoznpodarou"/>
          <w:spacing w:val="-2"/>
          <w:sz w:val="16"/>
          <w:szCs w:val="16"/>
        </w:rPr>
        <w:footnoteRef/>
      </w:r>
      <w:r w:rsidRPr="002725F2">
        <w:rPr>
          <w:spacing w:val="-2"/>
          <w:sz w:val="16"/>
          <w:szCs w:val="16"/>
        </w:rPr>
        <w:t xml:space="preserve"> Např. medián mzdy občanů Ukrajiny se v 1. pololetí dle předběžných údajů zvýšil nejméně ze všech významnějších cizineckých skupin zaměstnanců – meziročně o 6,2 % (na méně než 30 tis. korun), přitom na celém trhu práce vzrostla střední úroveň mzdy o 7,2 %.</w:t>
      </w:r>
    </w:p>
  </w:footnote>
  <w:footnote w:id="93">
    <w:p w14:paraId="6A065B3F" w14:textId="77777777" w:rsidR="000D7C6F" w:rsidRPr="00F7747C" w:rsidRDefault="000D7C6F" w:rsidP="00763B23">
      <w:pPr>
        <w:pStyle w:val="Textpoznpodarou"/>
        <w:rPr>
          <w:sz w:val="16"/>
          <w:szCs w:val="16"/>
        </w:rPr>
      </w:pPr>
      <w:r w:rsidRPr="00F7747C">
        <w:rPr>
          <w:rStyle w:val="Znakapoznpodarou"/>
          <w:sz w:val="16"/>
          <w:szCs w:val="16"/>
        </w:rPr>
        <w:footnoteRef/>
      </w:r>
      <w:r w:rsidRPr="00F7747C">
        <w:rPr>
          <w:sz w:val="16"/>
          <w:szCs w:val="16"/>
        </w:rPr>
        <w:t xml:space="preserve"> </w:t>
      </w:r>
      <w:r w:rsidRPr="00F7747C">
        <w:rPr>
          <w:rFonts w:cs="Arial"/>
          <w:color w:val="0D0D0D" w:themeColor="text1" w:themeTint="F2"/>
          <w:spacing w:val="-4"/>
          <w:sz w:val="16"/>
          <w:szCs w:val="16"/>
        </w:rPr>
        <w:t>Ve vysokém mzdovém tempu se zde promítly zejména mimořádné odměny vyplacené na počátku roku.</w:t>
      </w:r>
    </w:p>
  </w:footnote>
  <w:footnote w:id="94">
    <w:p w14:paraId="10E76EDC" w14:textId="77777777" w:rsidR="000D7C6F" w:rsidRPr="00B43E19" w:rsidRDefault="000D7C6F" w:rsidP="00763B23">
      <w:pPr>
        <w:pStyle w:val="Textpoznpodarou"/>
        <w:rPr>
          <w:sz w:val="16"/>
          <w:szCs w:val="16"/>
        </w:rPr>
      </w:pPr>
      <w:r w:rsidRPr="00B6005F">
        <w:rPr>
          <w:rStyle w:val="Znakapoznpodarou"/>
          <w:spacing w:val="-3"/>
          <w:sz w:val="16"/>
          <w:szCs w:val="16"/>
        </w:rPr>
        <w:footnoteRef/>
      </w:r>
      <w:r w:rsidRPr="00B6005F">
        <w:rPr>
          <w:spacing w:val="-3"/>
          <w:sz w:val="16"/>
          <w:szCs w:val="16"/>
        </w:rPr>
        <w:t xml:space="preserve"> Zahrnuje výrobu a rozvod elektřiny, plynu, tepla a klimatizovaného vzduchu.</w:t>
      </w:r>
    </w:p>
  </w:footnote>
  <w:footnote w:id="95">
    <w:p w14:paraId="1994A1C6" w14:textId="77777777" w:rsidR="000D7C6F" w:rsidRPr="007A01D2" w:rsidRDefault="000D7C6F" w:rsidP="00763B23">
      <w:pPr>
        <w:pStyle w:val="Textpoznpodarou"/>
        <w:rPr>
          <w:spacing w:val="-2"/>
          <w:sz w:val="16"/>
          <w:szCs w:val="16"/>
        </w:rPr>
      </w:pPr>
      <w:r w:rsidRPr="007A01D2">
        <w:rPr>
          <w:rStyle w:val="Znakapoznpodarou"/>
          <w:spacing w:val="-2"/>
          <w:sz w:val="16"/>
          <w:szCs w:val="16"/>
        </w:rPr>
        <w:footnoteRef/>
      </w:r>
      <w:r w:rsidRPr="007A01D2">
        <w:rPr>
          <w:spacing w:val="-2"/>
          <w:sz w:val="16"/>
          <w:szCs w:val="16"/>
        </w:rPr>
        <w:t xml:space="preserve"> Po zohlednění svižného růstu zaměstnanosti zde objem vyplace</w:t>
      </w:r>
      <w:r>
        <w:rPr>
          <w:spacing w:val="-2"/>
          <w:sz w:val="16"/>
          <w:szCs w:val="16"/>
        </w:rPr>
        <w:t>ných mezd vzrostl skoro o 15 %</w:t>
      </w:r>
      <w:r w:rsidRPr="007A01D2">
        <w:rPr>
          <w:spacing w:val="-2"/>
          <w:sz w:val="16"/>
          <w:szCs w:val="16"/>
        </w:rPr>
        <w:t xml:space="preserve"> a </w:t>
      </w:r>
      <w:r>
        <w:rPr>
          <w:spacing w:val="-2"/>
          <w:sz w:val="16"/>
          <w:szCs w:val="16"/>
        </w:rPr>
        <w:t xml:space="preserve">téměř dorovnal </w:t>
      </w:r>
      <w:r w:rsidRPr="007A01D2">
        <w:rPr>
          <w:spacing w:val="-2"/>
          <w:sz w:val="16"/>
          <w:szCs w:val="16"/>
        </w:rPr>
        <w:t>odvětví energetiky.</w:t>
      </w:r>
    </w:p>
  </w:footnote>
  <w:footnote w:id="96">
    <w:p w14:paraId="760EF714" w14:textId="77777777" w:rsidR="000D7C6F" w:rsidRPr="000869D8" w:rsidRDefault="000D7C6F" w:rsidP="00763B23">
      <w:pPr>
        <w:pStyle w:val="Textpoznpodarou"/>
        <w:rPr>
          <w:sz w:val="16"/>
          <w:szCs w:val="16"/>
        </w:rPr>
      </w:pPr>
      <w:r w:rsidRPr="000869D8">
        <w:rPr>
          <w:rStyle w:val="Znakapoznpodarou"/>
          <w:sz w:val="16"/>
          <w:szCs w:val="16"/>
        </w:rPr>
        <w:footnoteRef/>
      </w:r>
      <w:r w:rsidRPr="000869D8">
        <w:rPr>
          <w:sz w:val="16"/>
          <w:szCs w:val="16"/>
        </w:rPr>
        <w:t xml:space="preserve"> </w:t>
      </w:r>
      <w:r>
        <w:rPr>
          <w:sz w:val="16"/>
          <w:szCs w:val="16"/>
        </w:rPr>
        <w:t>Z</w:t>
      </w:r>
      <w:r w:rsidRPr="000869D8">
        <w:rPr>
          <w:sz w:val="16"/>
          <w:szCs w:val="16"/>
        </w:rPr>
        <w:t xml:space="preserve"> hlediska zaměstnanosti </w:t>
      </w:r>
      <w:r>
        <w:rPr>
          <w:sz w:val="16"/>
          <w:szCs w:val="16"/>
        </w:rPr>
        <w:t xml:space="preserve">jde </w:t>
      </w:r>
      <w:r w:rsidRPr="000869D8">
        <w:rPr>
          <w:sz w:val="16"/>
          <w:szCs w:val="16"/>
        </w:rPr>
        <w:t xml:space="preserve">o relativně malé odvětví zahrnující různorodé spektrum aktivit. Jedná se zejména o profesní organizace, odborové svazy, spolky a občanské iniciativy, ale také opravy počítačů a výrobků pro osobní potřebu a </w:t>
      </w:r>
      <w:r>
        <w:rPr>
          <w:sz w:val="16"/>
          <w:szCs w:val="16"/>
        </w:rPr>
        <w:t xml:space="preserve">dále o </w:t>
      </w:r>
      <w:r w:rsidRPr="000869D8">
        <w:rPr>
          <w:sz w:val="16"/>
          <w:szCs w:val="16"/>
        </w:rPr>
        <w:t>osobní služby pro domácnost (např. kosmetické, kadeřnické, čistírny oblečení aj.)</w:t>
      </w:r>
      <w:r>
        <w:rPr>
          <w:sz w:val="16"/>
          <w:szCs w:val="16"/>
        </w:rPr>
        <w:t>.</w:t>
      </w:r>
    </w:p>
  </w:footnote>
  <w:footnote w:id="97">
    <w:p w14:paraId="3729A56A" w14:textId="77777777" w:rsidR="000D7C6F" w:rsidRPr="00D16130" w:rsidRDefault="000D7C6F" w:rsidP="00763B23">
      <w:pPr>
        <w:pStyle w:val="Textpoznpodarou"/>
        <w:rPr>
          <w:sz w:val="16"/>
          <w:szCs w:val="16"/>
        </w:rPr>
      </w:pPr>
      <w:r w:rsidRPr="00D16130">
        <w:rPr>
          <w:rStyle w:val="Znakapoznpodarou"/>
          <w:sz w:val="16"/>
          <w:szCs w:val="16"/>
        </w:rPr>
        <w:footnoteRef/>
      </w:r>
      <w:r w:rsidRPr="00D16130">
        <w:rPr>
          <w:sz w:val="16"/>
          <w:szCs w:val="16"/>
        </w:rPr>
        <w:t xml:space="preserve"> Pro zjednodušení zahrnuje odvětví </w:t>
      </w:r>
      <w:r w:rsidRPr="00D16130">
        <w:rPr>
          <w:rFonts w:cs="Arial"/>
          <w:color w:val="0D0D0D" w:themeColor="text1" w:themeTint="F2"/>
          <w:spacing w:val="-4"/>
          <w:sz w:val="16"/>
          <w:szCs w:val="16"/>
        </w:rPr>
        <w:t>Veřejná správa a obrana, povinné sociální zabezpečení; Vzdělávání; Zdravotní a sociální péče; Kulturní, zábavní a rekreační činnosti.</w:t>
      </w:r>
    </w:p>
  </w:footnote>
  <w:footnote w:id="98">
    <w:p w14:paraId="53BBA3C1" w14:textId="77777777" w:rsidR="000D7C6F" w:rsidRPr="00046FDC" w:rsidRDefault="000D7C6F" w:rsidP="00763B23">
      <w:pPr>
        <w:pStyle w:val="Textpoznpodarou"/>
        <w:rPr>
          <w:spacing w:val="-3"/>
          <w:sz w:val="16"/>
          <w:szCs w:val="16"/>
        </w:rPr>
      </w:pPr>
      <w:r w:rsidRPr="00046FDC">
        <w:rPr>
          <w:rStyle w:val="Znakapoznpodarou"/>
          <w:spacing w:val="-3"/>
          <w:sz w:val="16"/>
          <w:szCs w:val="16"/>
        </w:rPr>
        <w:footnoteRef/>
      </w:r>
      <w:r w:rsidRPr="00046FDC">
        <w:rPr>
          <w:spacing w:val="-3"/>
          <w:sz w:val="16"/>
          <w:szCs w:val="16"/>
        </w:rPr>
        <w:t xml:space="preserve"> Do růstu průměrných mezd se zde promítlo navýšení platových tarifů nepedagogickým pracovníkům o 10 %, realizované od loňského září.</w:t>
      </w:r>
    </w:p>
  </w:footnote>
  <w:footnote w:id="99">
    <w:p w14:paraId="0DD211AD" w14:textId="77777777" w:rsidR="000D7C6F" w:rsidRDefault="000D7C6F" w:rsidP="001E1AF1">
      <w:pPr>
        <w:pStyle w:val="Textpoznpodarou"/>
        <w:rPr>
          <w:sz w:val="16"/>
          <w:szCs w:val="16"/>
        </w:rPr>
      </w:pPr>
      <w:r>
        <w:rPr>
          <w:rStyle w:val="Znakapoznpodarou"/>
          <w:sz w:val="16"/>
          <w:szCs w:val="16"/>
        </w:rPr>
        <w:footnoteRef/>
      </w:r>
      <w:r>
        <w:rPr>
          <w:sz w:val="16"/>
          <w:szCs w:val="16"/>
        </w:rPr>
        <w:t xml:space="preserve"> Není-li uvedeno jinak, je zdrojem údajů v této kapitole databáze ARAD České národní banky. Hodnoty směnných kurzů jsou rovněž převzaty od ČNB.</w:t>
      </w:r>
    </w:p>
  </w:footnote>
  <w:footnote w:id="100">
    <w:p w14:paraId="4EFCD87D" w14:textId="77777777" w:rsidR="000D7C6F" w:rsidRPr="001F5F82" w:rsidRDefault="000D7C6F" w:rsidP="001E1AF1">
      <w:pPr>
        <w:pStyle w:val="Textpoznpodarou"/>
        <w:rPr>
          <w:sz w:val="16"/>
          <w:szCs w:val="16"/>
        </w:rPr>
      </w:pPr>
      <w:r w:rsidRPr="001F5F82">
        <w:rPr>
          <w:rStyle w:val="Znakapoznpodarou"/>
          <w:sz w:val="16"/>
          <w:szCs w:val="16"/>
        </w:rPr>
        <w:footnoteRef/>
      </w:r>
      <w:r w:rsidRPr="001F5F82">
        <w:rPr>
          <w:sz w:val="16"/>
          <w:szCs w:val="16"/>
        </w:rPr>
        <w:t xml:space="preserve"> Není-li uvedeno jinak, je změnou úrokových sazeb myšlen rozdíl mezi hodnotou ke dni 3</w:t>
      </w:r>
      <w:r>
        <w:rPr>
          <w:sz w:val="16"/>
          <w:szCs w:val="16"/>
        </w:rPr>
        <w:t>0. 6</w:t>
      </w:r>
      <w:r w:rsidRPr="001F5F82">
        <w:rPr>
          <w:sz w:val="16"/>
          <w:szCs w:val="16"/>
        </w:rPr>
        <w:t>.</w:t>
      </w:r>
      <w:r>
        <w:rPr>
          <w:sz w:val="16"/>
          <w:szCs w:val="16"/>
        </w:rPr>
        <w:t xml:space="preserve"> 2023</w:t>
      </w:r>
      <w:r w:rsidRPr="001F5F82">
        <w:rPr>
          <w:sz w:val="16"/>
          <w:szCs w:val="16"/>
        </w:rPr>
        <w:t xml:space="preserve"> a</w:t>
      </w:r>
      <w:r>
        <w:rPr>
          <w:sz w:val="16"/>
          <w:szCs w:val="16"/>
        </w:rPr>
        <w:t> </w:t>
      </w:r>
      <w:r w:rsidRPr="001F5F82">
        <w:rPr>
          <w:sz w:val="16"/>
          <w:szCs w:val="16"/>
        </w:rPr>
        <w:t>3</w:t>
      </w:r>
      <w:r>
        <w:rPr>
          <w:sz w:val="16"/>
          <w:szCs w:val="16"/>
        </w:rPr>
        <w:t>1. 3</w:t>
      </w:r>
      <w:r w:rsidRPr="001F5F82">
        <w:rPr>
          <w:sz w:val="16"/>
          <w:szCs w:val="16"/>
        </w:rPr>
        <w:t>.</w:t>
      </w:r>
      <w:r>
        <w:rPr>
          <w:sz w:val="16"/>
          <w:szCs w:val="16"/>
        </w:rPr>
        <w:t xml:space="preserve"> 2023.</w:t>
      </w:r>
    </w:p>
  </w:footnote>
  <w:footnote w:id="101">
    <w:p w14:paraId="550A078E" w14:textId="77777777" w:rsidR="000D7C6F" w:rsidRPr="00651A71" w:rsidRDefault="000D7C6F" w:rsidP="001E1AF1">
      <w:pPr>
        <w:pStyle w:val="Textpoznpodarou"/>
        <w:rPr>
          <w:sz w:val="16"/>
          <w:szCs w:val="16"/>
        </w:rPr>
      </w:pPr>
      <w:r w:rsidRPr="00651A71">
        <w:rPr>
          <w:rStyle w:val="Znakapoznpodarou"/>
          <w:sz w:val="16"/>
          <w:szCs w:val="16"/>
        </w:rPr>
        <w:footnoteRef/>
      </w:r>
      <w:r w:rsidRPr="00651A71">
        <w:rPr>
          <w:sz w:val="16"/>
          <w:szCs w:val="16"/>
        </w:rPr>
        <w:t xml:space="preserve"> O</w:t>
      </w:r>
      <w:r w:rsidRPr="00651A71">
        <w:rPr>
          <w:spacing w:val="-3"/>
          <w:sz w:val="16"/>
          <w:szCs w:val="16"/>
          <w:lang w:eastAsia="en-US"/>
        </w:rPr>
        <w:t>byvatelstvo</w:t>
      </w:r>
      <w:r>
        <w:rPr>
          <w:spacing w:val="-3"/>
          <w:sz w:val="16"/>
          <w:szCs w:val="16"/>
          <w:lang w:eastAsia="en-US"/>
        </w:rPr>
        <w:t xml:space="preserve"> včetně </w:t>
      </w:r>
      <w:r w:rsidRPr="00651A71">
        <w:rPr>
          <w:spacing w:val="-3"/>
          <w:sz w:val="16"/>
          <w:szCs w:val="16"/>
          <w:lang w:eastAsia="en-US"/>
        </w:rPr>
        <w:t>živnostníků.</w:t>
      </w:r>
    </w:p>
  </w:footnote>
  <w:footnote w:id="102">
    <w:p w14:paraId="7CD0ABBF" w14:textId="77777777" w:rsidR="000D7C6F" w:rsidRPr="00284DA5" w:rsidRDefault="000D7C6F" w:rsidP="001E1AF1">
      <w:pPr>
        <w:pStyle w:val="Textpoznpodarou"/>
        <w:rPr>
          <w:sz w:val="16"/>
          <w:szCs w:val="16"/>
        </w:rPr>
      </w:pPr>
      <w:r w:rsidRPr="00284DA5">
        <w:rPr>
          <w:rStyle w:val="Znakapoznpodarou"/>
          <w:sz w:val="16"/>
          <w:szCs w:val="16"/>
        </w:rPr>
        <w:footnoteRef/>
      </w:r>
      <w:r w:rsidRPr="00284DA5">
        <w:rPr>
          <w:sz w:val="16"/>
          <w:szCs w:val="16"/>
        </w:rPr>
        <w:t xml:space="preserve"> V nových smlouvách jsou zahrnuty i</w:t>
      </w:r>
      <w:r>
        <w:rPr>
          <w:sz w:val="16"/>
          <w:szCs w:val="16"/>
        </w:rPr>
        <w:t> </w:t>
      </w:r>
      <w:r w:rsidRPr="00284DA5">
        <w:rPr>
          <w:sz w:val="16"/>
          <w:szCs w:val="16"/>
        </w:rPr>
        <w:t>refinancované úvěry a</w:t>
      </w:r>
      <w:r>
        <w:rPr>
          <w:sz w:val="16"/>
          <w:szCs w:val="16"/>
        </w:rPr>
        <w:t> </w:t>
      </w:r>
      <w:r w:rsidRPr="00284DA5">
        <w:rPr>
          <w:sz w:val="16"/>
          <w:szCs w:val="16"/>
        </w:rPr>
        <w:t>ostatní ujednání.</w:t>
      </w:r>
      <w:r>
        <w:rPr>
          <w:sz w:val="16"/>
          <w:szCs w:val="16"/>
        </w:rPr>
        <w:t xml:space="preserve"> Refinancované úvěry zahrnují stávající smlouvy sjednané nově u jiné banky, zatímco ostatní nová ujednání jsou stávající smlouvy sjednané s novými podmínkami u stejné banky.</w:t>
      </w:r>
    </w:p>
  </w:footnote>
  <w:footnote w:id="103">
    <w:p w14:paraId="6C59C46E" w14:textId="77777777" w:rsidR="000D7C6F" w:rsidRPr="00724B7B" w:rsidRDefault="000D7C6F" w:rsidP="001E1AF1">
      <w:pPr>
        <w:pStyle w:val="Textpoznpodarou"/>
        <w:rPr>
          <w:sz w:val="16"/>
          <w:szCs w:val="16"/>
        </w:rPr>
      </w:pPr>
      <w:r w:rsidRPr="00724B7B">
        <w:rPr>
          <w:rStyle w:val="Znakapoznpodarou"/>
          <w:sz w:val="16"/>
          <w:szCs w:val="16"/>
        </w:rPr>
        <w:footnoteRef/>
      </w:r>
      <w:r w:rsidRPr="00724B7B">
        <w:rPr>
          <w:sz w:val="16"/>
          <w:szCs w:val="16"/>
        </w:rPr>
        <w:t xml:space="preserve"> Úvěry v cizí měně začaly prudce</w:t>
      </w:r>
      <w:r>
        <w:rPr>
          <w:sz w:val="16"/>
          <w:szCs w:val="16"/>
        </w:rPr>
        <w:t xml:space="preserve"> růst</w:t>
      </w:r>
      <w:r w:rsidRPr="00724B7B">
        <w:rPr>
          <w:sz w:val="16"/>
          <w:szCs w:val="16"/>
        </w:rPr>
        <w:t xml:space="preserve"> po začátku opětovného zvyšování </w:t>
      </w:r>
      <w:proofErr w:type="spellStart"/>
      <w:r w:rsidRPr="00724B7B">
        <w:rPr>
          <w:sz w:val="16"/>
          <w:szCs w:val="16"/>
        </w:rPr>
        <w:t>měnověpolitických</w:t>
      </w:r>
      <w:proofErr w:type="spellEnd"/>
      <w:r w:rsidRPr="00724B7B">
        <w:rPr>
          <w:sz w:val="16"/>
          <w:szCs w:val="16"/>
        </w:rPr>
        <w:t xml:space="preserve"> sazeb v červnu 2021.</w:t>
      </w:r>
    </w:p>
  </w:footnote>
  <w:footnote w:id="104">
    <w:p w14:paraId="2FAAA2BD" w14:textId="77777777" w:rsidR="000D7C6F" w:rsidRPr="008522D6" w:rsidRDefault="000D7C6F" w:rsidP="001E1AF1">
      <w:pPr>
        <w:pStyle w:val="Textpoznpodarou"/>
        <w:jc w:val="both"/>
        <w:rPr>
          <w:sz w:val="16"/>
          <w:szCs w:val="16"/>
        </w:rPr>
      </w:pPr>
      <w:r w:rsidRPr="008522D6">
        <w:rPr>
          <w:rStyle w:val="Znakapoznpodarou"/>
          <w:sz w:val="16"/>
          <w:szCs w:val="16"/>
        </w:rPr>
        <w:footnoteRef/>
      </w:r>
      <w:r w:rsidRPr="008522D6">
        <w:rPr>
          <w:sz w:val="16"/>
          <w:szCs w:val="16"/>
        </w:rPr>
        <w:t xml:space="preserve"> </w:t>
      </w:r>
      <w:r w:rsidRPr="008522D6">
        <w:rPr>
          <w:color w:val="0D0D0D" w:themeColor="text1" w:themeTint="F2"/>
          <w:sz w:val="16"/>
          <w:szCs w:val="16"/>
        </w:rPr>
        <w:t xml:space="preserve">Pokud není uvedeno jinak, vycházejí všechny údaje týkající se státního rozpočtu </w:t>
      </w:r>
      <w:r w:rsidRPr="008522D6">
        <w:rPr>
          <w:rFonts w:cs="Arial"/>
          <w:color w:val="0D0D0D" w:themeColor="text1" w:themeTint="F2"/>
          <w:sz w:val="16"/>
          <w:szCs w:val="16"/>
        </w:rPr>
        <w:t xml:space="preserve">z dat Ministerstva financí </w:t>
      </w:r>
      <w:r>
        <w:rPr>
          <w:rFonts w:cs="Arial"/>
          <w:color w:val="0D0D0D" w:themeColor="text1" w:themeTint="F2"/>
          <w:sz w:val="16"/>
          <w:szCs w:val="16"/>
        </w:rPr>
        <w:t xml:space="preserve">ČR </w:t>
      </w:r>
      <w:r w:rsidRPr="008522D6">
        <w:rPr>
          <w:rFonts w:cs="Arial"/>
          <w:color w:val="0D0D0D" w:themeColor="text1" w:themeTint="F2"/>
          <w:sz w:val="16"/>
          <w:szCs w:val="16"/>
        </w:rPr>
        <w:t>o pokladním plnění.</w:t>
      </w:r>
    </w:p>
  </w:footnote>
  <w:footnote w:id="105">
    <w:p w14:paraId="40320095" w14:textId="77777777" w:rsidR="000D7C6F" w:rsidRPr="008522D6" w:rsidRDefault="000D7C6F" w:rsidP="001E1AF1">
      <w:pPr>
        <w:pStyle w:val="Textpoznpodarou"/>
        <w:rPr>
          <w:sz w:val="16"/>
          <w:szCs w:val="16"/>
        </w:rPr>
      </w:pPr>
      <w:r w:rsidRPr="008522D6">
        <w:rPr>
          <w:rStyle w:val="Znakapoznpodarou"/>
          <w:sz w:val="16"/>
          <w:szCs w:val="16"/>
        </w:rPr>
        <w:footnoteRef/>
      </w:r>
      <w:r>
        <w:rPr>
          <w:sz w:val="16"/>
          <w:szCs w:val="16"/>
        </w:rPr>
        <w:t xml:space="preserve"> Dle zákona č. 449/2023 Sb.,</w:t>
      </w:r>
      <w:r w:rsidRPr="008522D6">
        <w:rPr>
          <w:sz w:val="16"/>
          <w:szCs w:val="16"/>
        </w:rPr>
        <w:t xml:space="preserve"> o státním</w:t>
      </w:r>
      <w:r>
        <w:rPr>
          <w:sz w:val="16"/>
          <w:szCs w:val="16"/>
        </w:rPr>
        <w:t xml:space="preserve"> rozpočtu na rok 2023, schváleného</w:t>
      </w:r>
      <w:r w:rsidRPr="008522D6">
        <w:rPr>
          <w:sz w:val="16"/>
          <w:szCs w:val="16"/>
        </w:rPr>
        <w:t xml:space="preserve"> 30. listopadu 2022.</w:t>
      </w:r>
    </w:p>
  </w:footnote>
  <w:footnote w:id="106">
    <w:p w14:paraId="594D1863" w14:textId="77777777" w:rsidR="000D7C6F" w:rsidRPr="00E318D9" w:rsidRDefault="000D7C6F" w:rsidP="001E1AF1">
      <w:pPr>
        <w:pStyle w:val="Textpoznpodarou"/>
        <w:rPr>
          <w:sz w:val="16"/>
          <w:szCs w:val="16"/>
        </w:rPr>
      </w:pPr>
      <w:r w:rsidRPr="00E318D9">
        <w:rPr>
          <w:rStyle w:val="Znakapoznpodarou"/>
          <w:sz w:val="16"/>
          <w:szCs w:val="16"/>
        </w:rPr>
        <w:footnoteRef/>
      </w:r>
      <w:r w:rsidRPr="00E318D9">
        <w:rPr>
          <w:sz w:val="16"/>
          <w:szCs w:val="16"/>
        </w:rPr>
        <w:t xml:space="preserve"> V úhrnu za 1. až 3. čtvrtletí 2023 vzrostly celkové pří</w:t>
      </w:r>
      <w:r>
        <w:rPr>
          <w:sz w:val="16"/>
          <w:szCs w:val="16"/>
        </w:rPr>
        <w:t>jmy státního rozpočtu</w:t>
      </w:r>
      <w:r w:rsidRPr="00E318D9">
        <w:rPr>
          <w:sz w:val="16"/>
          <w:szCs w:val="16"/>
        </w:rPr>
        <w:t xml:space="preserve"> od EU (vč. Finančních mechanismů EHP/Norska/Švýcarska) meziročně </w:t>
      </w:r>
      <w:r>
        <w:rPr>
          <w:sz w:val="16"/>
          <w:szCs w:val="16"/>
        </w:rPr>
        <w:t>o</w:t>
      </w:r>
      <w:r w:rsidRPr="00E318D9">
        <w:rPr>
          <w:sz w:val="16"/>
          <w:szCs w:val="16"/>
        </w:rPr>
        <w:t xml:space="preserve"> tři čtvrtiny, resp. 59,1 mld. korun, z toho příjmy z Národního plánu </w:t>
      </w:r>
      <w:r>
        <w:rPr>
          <w:sz w:val="16"/>
          <w:szCs w:val="16"/>
        </w:rPr>
        <w:t xml:space="preserve">činily </w:t>
      </w:r>
      <w:r w:rsidRPr="00E318D9">
        <w:rPr>
          <w:sz w:val="16"/>
          <w:szCs w:val="16"/>
        </w:rPr>
        <w:t>45,2 mld.</w:t>
      </w:r>
    </w:p>
  </w:footnote>
  <w:footnote w:id="107">
    <w:p w14:paraId="7DAD7A02" w14:textId="77777777" w:rsidR="000D7C6F" w:rsidRPr="00C65A49" w:rsidRDefault="000D7C6F" w:rsidP="001E1AF1">
      <w:pPr>
        <w:pStyle w:val="Textpoznpodarou"/>
        <w:rPr>
          <w:sz w:val="16"/>
          <w:szCs w:val="16"/>
        </w:rPr>
      </w:pPr>
      <w:r w:rsidRPr="00C65A49">
        <w:rPr>
          <w:rStyle w:val="Znakapoznpodarou"/>
          <w:sz w:val="16"/>
          <w:szCs w:val="16"/>
        </w:rPr>
        <w:footnoteRef/>
      </w:r>
      <w:r w:rsidRPr="00C65A49">
        <w:rPr>
          <w:sz w:val="16"/>
          <w:szCs w:val="16"/>
        </w:rPr>
        <w:t xml:space="preserve"> </w:t>
      </w:r>
      <w:r>
        <w:rPr>
          <w:sz w:val="16"/>
          <w:szCs w:val="16"/>
        </w:rPr>
        <w:t>Jde o pojistné na</w:t>
      </w:r>
      <w:r w:rsidRPr="00C65A49">
        <w:rPr>
          <w:sz w:val="16"/>
          <w:szCs w:val="16"/>
        </w:rPr>
        <w:t xml:space="preserve"> sociální zabezpečení a aktivní politiku zaměstnanosti.</w:t>
      </w:r>
    </w:p>
  </w:footnote>
  <w:footnote w:id="108">
    <w:p w14:paraId="032E9C16" w14:textId="77777777" w:rsidR="000D7C6F" w:rsidRPr="003B0F66" w:rsidRDefault="000D7C6F" w:rsidP="001E1AF1">
      <w:pPr>
        <w:pStyle w:val="Textpoznpodarou"/>
        <w:rPr>
          <w:sz w:val="16"/>
          <w:szCs w:val="16"/>
        </w:rPr>
      </w:pPr>
      <w:r w:rsidRPr="003B0F66">
        <w:rPr>
          <w:rStyle w:val="Znakapoznpodarou"/>
          <w:sz w:val="16"/>
          <w:szCs w:val="16"/>
        </w:rPr>
        <w:footnoteRef/>
      </w:r>
      <w:r w:rsidRPr="003B0F66">
        <w:rPr>
          <w:sz w:val="16"/>
          <w:szCs w:val="16"/>
        </w:rPr>
        <w:t xml:space="preserve"> I tak zůstalo v úhrnu za tři čtvrtletí tempo výběru pojistného nepatrně nad úrovní </w:t>
      </w:r>
      <w:r>
        <w:rPr>
          <w:sz w:val="16"/>
          <w:szCs w:val="16"/>
        </w:rPr>
        <w:t>plánovaného celoročního tempa.</w:t>
      </w:r>
    </w:p>
  </w:footnote>
  <w:footnote w:id="109">
    <w:p w14:paraId="2E26A720" w14:textId="77777777" w:rsidR="000D7C6F" w:rsidRPr="00E558C6" w:rsidRDefault="000D7C6F" w:rsidP="001E1AF1">
      <w:pPr>
        <w:pStyle w:val="Textpoznpodarou"/>
        <w:rPr>
          <w:sz w:val="16"/>
          <w:szCs w:val="16"/>
        </w:rPr>
      </w:pPr>
      <w:r w:rsidRPr="00E558C6">
        <w:rPr>
          <w:rStyle w:val="Znakapoznpodarou"/>
          <w:sz w:val="16"/>
          <w:szCs w:val="16"/>
        </w:rPr>
        <w:footnoteRef/>
      </w:r>
      <w:r w:rsidRPr="00E558C6">
        <w:rPr>
          <w:sz w:val="16"/>
          <w:szCs w:val="16"/>
        </w:rPr>
        <w:t xml:space="preserve"> Celostátní daňové inkaso (bez mimořádných firemních daní) vzrostlo v 1. čtvrtletí 2023 meziročně o 12,2 %, ve 2. kvartálu o 8,8 % </w:t>
      </w:r>
      <w:r>
        <w:rPr>
          <w:sz w:val="16"/>
          <w:szCs w:val="16"/>
        </w:rPr>
        <w:br/>
      </w:r>
      <w:r w:rsidRPr="00E558C6">
        <w:rPr>
          <w:sz w:val="16"/>
          <w:szCs w:val="16"/>
        </w:rPr>
        <w:t>a v následujícím období o 16,2 %.</w:t>
      </w:r>
    </w:p>
  </w:footnote>
  <w:footnote w:id="110">
    <w:p w14:paraId="1BE633C5" w14:textId="77777777" w:rsidR="000D7C6F" w:rsidRPr="00563E75" w:rsidRDefault="000D7C6F" w:rsidP="001E1AF1">
      <w:pPr>
        <w:pStyle w:val="Textpoznpodarou"/>
        <w:rPr>
          <w:spacing w:val="-2"/>
        </w:rPr>
      </w:pPr>
      <w:r w:rsidRPr="00563E75">
        <w:rPr>
          <w:rStyle w:val="Znakapoznpodarou"/>
          <w:spacing w:val="-2"/>
          <w:sz w:val="16"/>
          <w:szCs w:val="16"/>
        </w:rPr>
        <w:footnoteRef/>
      </w:r>
      <w:r w:rsidRPr="00563E75">
        <w:rPr>
          <w:spacing w:val="-2"/>
        </w:rPr>
        <w:t xml:space="preserve"> </w:t>
      </w:r>
      <w:r>
        <w:rPr>
          <w:spacing w:val="-2"/>
          <w:sz w:val="16"/>
          <w:szCs w:val="16"/>
        </w:rPr>
        <w:t>Celoroční výnos těchto dočasně zavedených „sektorových“ daní</w:t>
      </w:r>
      <w:r w:rsidRPr="00563E75">
        <w:rPr>
          <w:spacing w:val="-2"/>
          <w:sz w:val="16"/>
          <w:szCs w:val="16"/>
        </w:rPr>
        <w:t xml:space="preserve"> u podniků z neočekávaných zisků a odvod</w:t>
      </w:r>
      <w:r>
        <w:rPr>
          <w:spacing w:val="-2"/>
          <w:sz w:val="16"/>
          <w:szCs w:val="16"/>
        </w:rPr>
        <w:t>ů z nadměrných příjmů se prvotně odhadoval</w:t>
      </w:r>
      <w:r w:rsidRPr="00563E75">
        <w:rPr>
          <w:spacing w:val="-2"/>
          <w:sz w:val="16"/>
          <w:szCs w:val="16"/>
        </w:rPr>
        <w:t xml:space="preserve"> na 100 mld. korun</w:t>
      </w:r>
      <w:r>
        <w:rPr>
          <w:spacing w:val="-2"/>
          <w:sz w:val="16"/>
          <w:szCs w:val="16"/>
        </w:rPr>
        <w:t xml:space="preserve">. U jeho klíčové složky </w:t>
      </w:r>
      <w:r w:rsidRPr="00BC1FC8">
        <w:rPr>
          <w:spacing w:val="-2"/>
          <w:sz w:val="16"/>
          <w:szCs w:val="16"/>
        </w:rPr>
        <w:t>–</w:t>
      </w:r>
      <w:r>
        <w:rPr>
          <w:spacing w:val="-2"/>
          <w:sz w:val="16"/>
          <w:szCs w:val="16"/>
        </w:rPr>
        <w:t xml:space="preserve"> </w:t>
      </w:r>
      <w:r w:rsidRPr="00BC1FC8">
        <w:rPr>
          <w:spacing w:val="-2"/>
          <w:sz w:val="16"/>
          <w:szCs w:val="16"/>
        </w:rPr>
        <w:t>daně z neočekávaných zisků –</w:t>
      </w:r>
      <w:r>
        <w:rPr>
          <w:spacing w:val="-2"/>
          <w:sz w:val="16"/>
          <w:szCs w:val="16"/>
        </w:rPr>
        <w:t xml:space="preserve"> byl </w:t>
      </w:r>
      <w:r w:rsidRPr="00BC1FC8">
        <w:rPr>
          <w:spacing w:val="-2"/>
          <w:sz w:val="16"/>
          <w:szCs w:val="16"/>
        </w:rPr>
        <w:t>původní rozpočtový odhad celoročního in</w:t>
      </w:r>
      <w:r>
        <w:rPr>
          <w:spacing w:val="-2"/>
          <w:sz w:val="16"/>
          <w:szCs w:val="16"/>
        </w:rPr>
        <w:t xml:space="preserve">kasa již letos v dubnu </w:t>
      </w:r>
      <w:r w:rsidRPr="00BC1FC8">
        <w:rPr>
          <w:spacing w:val="-2"/>
          <w:sz w:val="16"/>
          <w:szCs w:val="16"/>
        </w:rPr>
        <w:t>revidován (</w:t>
      </w:r>
      <w:r>
        <w:rPr>
          <w:spacing w:val="-2"/>
          <w:sz w:val="16"/>
          <w:szCs w:val="16"/>
        </w:rPr>
        <w:t>z 85 mld. korun na 28 mld.), v srpnu</w:t>
      </w:r>
      <w:r w:rsidRPr="00BC1FC8">
        <w:rPr>
          <w:spacing w:val="-2"/>
          <w:sz w:val="16"/>
          <w:szCs w:val="16"/>
        </w:rPr>
        <w:t xml:space="preserve"> došlo k dílčí korekci </w:t>
      </w:r>
      <w:r>
        <w:rPr>
          <w:spacing w:val="-2"/>
          <w:sz w:val="16"/>
          <w:szCs w:val="16"/>
        </w:rPr>
        <w:t>očekávaného výnosu</w:t>
      </w:r>
      <w:r w:rsidRPr="00BC1FC8">
        <w:rPr>
          <w:spacing w:val="-2"/>
          <w:sz w:val="16"/>
          <w:szCs w:val="16"/>
        </w:rPr>
        <w:t xml:space="preserve"> (na 46 mld. korun).</w:t>
      </w:r>
    </w:p>
  </w:footnote>
  <w:footnote w:id="111">
    <w:p w14:paraId="695CDF6F" w14:textId="77777777" w:rsidR="000D7C6F" w:rsidRPr="00CA30CB" w:rsidRDefault="000D7C6F" w:rsidP="001E1AF1">
      <w:pPr>
        <w:pStyle w:val="Textpoznpodarou"/>
        <w:rPr>
          <w:sz w:val="16"/>
          <w:szCs w:val="16"/>
        </w:rPr>
      </w:pPr>
      <w:r w:rsidRPr="00CA30CB">
        <w:rPr>
          <w:rStyle w:val="Znakapoznpodarou"/>
          <w:sz w:val="16"/>
          <w:szCs w:val="16"/>
        </w:rPr>
        <w:footnoteRef/>
      </w:r>
      <w:r w:rsidRPr="00CA30CB">
        <w:rPr>
          <w:sz w:val="16"/>
          <w:szCs w:val="16"/>
        </w:rPr>
        <w:t xml:space="preserve"> Ta se týká energetických, petrochemických a těžebních firem a zahrnuje rovněž velké banky.</w:t>
      </w:r>
    </w:p>
  </w:footnote>
  <w:footnote w:id="112">
    <w:p w14:paraId="2AF4A17B" w14:textId="77777777" w:rsidR="000D7C6F" w:rsidRPr="008B3D4E" w:rsidRDefault="000D7C6F" w:rsidP="001E1AF1">
      <w:pPr>
        <w:pStyle w:val="Textpoznpodarou"/>
        <w:rPr>
          <w:sz w:val="16"/>
          <w:szCs w:val="16"/>
        </w:rPr>
      </w:pPr>
      <w:r w:rsidRPr="008B3D4E">
        <w:rPr>
          <w:rStyle w:val="Znakapoznpodarou"/>
          <w:sz w:val="16"/>
          <w:szCs w:val="16"/>
        </w:rPr>
        <w:footnoteRef/>
      </w:r>
      <w:r w:rsidRPr="008B3D4E">
        <w:rPr>
          <w:sz w:val="16"/>
          <w:szCs w:val="16"/>
        </w:rPr>
        <w:t xml:space="preserve"> Tento odvod (zdaněný 90% sazbou) představuje rozdíl mezi sku</w:t>
      </w:r>
      <w:r>
        <w:rPr>
          <w:sz w:val="16"/>
          <w:szCs w:val="16"/>
        </w:rPr>
        <w:t>tečným příjmem a stropem tržního</w:t>
      </w:r>
      <w:r w:rsidRPr="008B3D4E">
        <w:rPr>
          <w:sz w:val="16"/>
          <w:szCs w:val="16"/>
        </w:rPr>
        <w:t xml:space="preserve"> příjmu z prodeje elektřiny nad stanovenou hranici (za období od 1. prosince 2022 do konce roku 2023).</w:t>
      </w:r>
    </w:p>
  </w:footnote>
  <w:footnote w:id="113">
    <w:p w14:paraId="05E3C4B4" w14:textId="77777777" w:rsidR="000D7C6F" w:rsidRPr="00D223A1" w:rsidRDefault="000D7C6F" w:rsidP="001E1AF1">
      <w:pPr>
        <w:pStyle w:val="Textpoznpodarou"/>
        <w:rPr>
          <w:sz w:val="16"/>
          <w:szCs w:val="16"/>
        </w:rPr>
      </w:pPr>
      <w:r w:rsidRPr="00D223A1">
        <w:rPr>
          <w:rStyle w:val="Znakapoznpodarou"/>
          <w:sz w:val="16"/>
          <w:szCs w:val="16"/>
        </w:rPr>
        <w:footnoteRef/>
      </w:r>
      <w:r w:rsidRPr="00D223A1">
        <w:rPr>
          <w:sz w:val="16"/>
          <w:szCs w:val="16"/>
        </w:rPr>
        <w:t xml:space="preserve"> </w:t>
      </w:r>
      <w:r w:rsidRPr="00D223A1">
        <w:rPr>
          <w:spacing w:val="-4"/>
          <w:sz w:val="16"/>
          <w:szCs w:val="16"/>
        </w:rPr>
        <w:t xml:space="preserve">Celostátní inkaso DPFO </w:t>
      </w:r>
      <w:r>
        <w:rPr>
          <w:spacing w:val="-4"/>
          <w:sz w:val="16"/>
          <w:szCs w:val="16"/>
        </w:rPr>
        <w:t xml:space="preserve">ze závislé činnosti </w:t>
      </w:r>
      <w:r w:rsidRPr="00D223A1">
        <w:rPr>
          <w:spacing w:val="-4"/>
          <w:sz w:val="16"/>
          <w:szCs w:val="16"/>
        </w:rPr>
        <w:t>(na úrovni všech veřejn</w:t>
      </w:r>
      <w:r>
        <w:rPr>
          <w:spacing w:val="-4"/>
          <w:sz w:val="16"/>
          <w:szCs w:val="16"/>
        </w:rPr>
        <w:t>ých rozpočtů) se však letos za tři čtvrtletí nacházelo jen na úrovni shodného období roku 2017 a za rekordní výší z roku 2019 zaostávalo o</w:t>
      </w:r>
      <w:r>
        <w:rPr>
          <w:sz w:val="16"/>
          <w:szCs w:val="16"/>
        </w:rPr>
        <w:t> </w:t>
      </w:r>
      <w:r>
        <w:rPr>
          <w:spacing w:val="-4"/>
          <w:sz w:val="16"/>
          <w:szCs w:val="16"/>
        </w:rPr>
        <w:t xml:space="preserve">pětinu. </w:t>
      </w:r>
      <w:r w:rsidRPr="00D223A1">
        <w:rPr>
          <w:spacing w:val="-4"/>
          <w:sz w:val="16"/>
          <w:szCs w:val="16"/>
        </w:rPr>
        <w:t xml:space="preserve">Klíčovou roli zde sehrálo snížení daňového zatížení práce od roku 2021 (v souvislosti se zrušením tzv. </w:t>
      </w:r>
      <w:proofErr w:type="spellStart"/>
      <w:r w:rsidRPr="00D223A1">
        <w:rPr>
          <w:spacing w:val="-4"/>
          <w:sz w:val="16"/>
          <w:szCs w:val="16"/>
        </w:rPr>
        <w:t>superhrubé</w:t>
      </w:r>
      <w:proofErr w:type="spellEnd"/>
      <w:r w:rsidRPr="00D223A1">
        <w:rPr>
          <w:spacing w:val="-4"/>
          <w:sz w:val="16"/>
          <w:szCs w:val="16"/>
        </w:rPr>
        <w:t xml:space="preserve"> mzdy).</w:t>
      </w:r>
    </w:p>
  </w:footnote>
  <w:footnote w:id="114">
    <w:p w14:paraId="0DFDD8C7" w14:textId="77777777" w:rsidR="000D7C6F" w:rsidRPr="00694B41" w:rsidRDefault="000D7C6F" w:rsidP="001E1AF1">
      <w:pPr>
        <w:pStyle w:val="Textpoznpodarou"/>
        <w:rPr>
          <w:sz w:val="16"/>
          <w:szCs w:val="16"/>
        </w:rPr>
      </w:pPr>
      <w:r w:rsidRPr="00694B41">
        <w:rPr>
          <w:rStyle w:val="Znakapoznpodarou"/>
          <w:sz w:val="16"/>
          <w:szCs w:val="16"/>
        </w:rPr>
        <w:footnoteRef/>
      </w:r>
      <w:r w:rsidRPr="00694B41">
        <w:rPr>
          <w:sz w:val="16"/>
          <w:szCs w:val="16"/>
        </w:rPr>
        <w:t xml:space="preserve"> Jde o zvýšení </w:t>
      </w:r>
      <w:r>
        <w:rPr>
          <w:sz w:val="16"/>
          <w:szCs w:val="16"/>
        </w:rPr>
        <w:t>z</w:t>
      </w:r>
      <w:r w:rsidRPr="00694B41">
        <w:rPr>
          <w:sz w:val="16"/>
          <w:szCs w:val="16"/>
        </w:rPr>
        <w:t> 1 na 2 mil. korun, které vstoupilo v platnost od ledna 2023.</w:t>
      </w:r>
      <w:r>
        <w:rPr>
          <w:sz w:val="16"/>
          <w:szCs w:val="16"/>
        </w:rPr>
        <w:t xml:space="preserve"> To se spolu s rozšířením paušálního režimu odrazilo v meziročním poklesu počtu plátců DPH.</w:t>
      </w:r>
    </w:p>
  </w:footnote>
  <w:footnote w:id="115">
    <w:p w14:paraId="5E720449" w14:textId="77777777" w:rsidR="000D7C6F" w:rsidRPr="002F5A4D" w:rsidRDefault="000D7C6F" w:rsidP="001E1AF1">
      <w:pPr>
        <w:pStyle w:val="Textpoznpodarou"/>
        <w:rPr>
          <w:sz w:val="16"/>
          <w:szCs w:val="16"/>
        </w:rPr>
      </w:pPr>
      <w:r w:rsidRPr="002F5A4D">
        <w:rPr>
          <w:rStyle w:val="Znakapoznpodarou"/>
          <w:sz w:val="16"/>
          <w:szCs w:val="16"/>
        </w:rPr>
        <w:footnoteRef/>
      </w:r>
      <w:r w:rsidRPr="002F5A4D">
        <w:rPr>
          <w:sz w:val="16"/>
          <w:szCs w:val="16"/>
        </w:rPr>
        <w:t xml:space="preserve"> Ta zahrnuje i </w:t>
      </w:r>
      <w:r w:rsidRPr="002F5A4D">
        <w:rPr>
          <w:color w:val="0D0D0D" w:themeColor="text1" w:themeTint="F2"/>
          <w:spacing w:val="-4"/>
          <w:sz w:val="16"/>
          <w:szCs w:val="16"/>
        </w:rPr>
        <w:t>energetické daně a daň z digitálních služeb.</w:t>
      </w:r>
    </w:p>
  </w:footnote>
  <w:footnote w:id="116">
    <w:p w14:paraId="571B54FC" w14:textId="77777777" w:rsidR="000D7C6F" w:rsidRDefault="000D7C6F" w:rsidP="001E1AF1">
      <w:pPr>
        <w:pStyle w:val="Textpoznpodarou"/>
      </w:pPr>
      <w:r w:rsidRPr="00441D45">
        <w:rPr>
          <w:rStyle w:val="Znakapoznpodarou"/>
          <w:sz w:val="16"/>
          <w:szCs w:val="16"/>
        </w:rPr>
        <w:footnoteRef/>
      </w:r>
      <w:r w:rsidRPr="00441D45">
        <w:rPr>
          <w:sz w:val="16"/>
          <w:szCs w:val="16"/>
        </w:rPr>
        <w:t xml:space="preserve"> K tomuto zvýšení došlo od letošního srpna (o 1,5 korun na litr). Sazba spotřební daně z motorové nafty se tak vrátila na původní výši (9,95 korun/l) platnou do května 2022.</w:t>
      </w:r>
    </w:p>
  </w:footnote>
  <w:footnote w:id="117">
    <w:p w14:paraId="4E983A09" w14:textId="77777777" w:rsidR="000D7C6F" w:rsidRPr="00586349" w:rsidRDefault="000D7C6F" w:rsidP="001E1AF1">
      <w:pPr>
        <w:pStyle w:val="Textpoznpodarou"/>
        <w:rPr>
          <w:sz w:val="16"/>
          <w:szCs w:val="16"/>
        </w:rPr>
      </w:pPr>
      <w:r w:rsidRPr="00586349">
        <w:rPr>
          <w:rStyle w:val="Znakapoznpodarou"/>
          <w:sz w:val="16"/>
          <w:szCs w:val="16"/>
        </w:rPr>
        <w:footnoteRef/>
      </w:r>
      <w:r w:rsidRPr="00586349">
        <w:rPr>
          <w:sz w:val="16"/>
          <w:szCs w:val="16"/>
        </w:rPr>
        <w:t xml:space="preserve"> Výběr spotřební daně ze zahřívaných tabákových výrobků letos za tři čtvrtletí meziročně stoupl o 8,3 %.</w:t>
      </w:r>
    </w:p>
  </w:footnote>
  <w:footnote w:id="118">
    <w:p w14:paraId="40F75A17" w14:textId="77777777" w:rsidR="000D7C6F" w:rsidRPr="008D661B" w:rsidRDefault="000D7C6F" w:rsidP="001E1AF1">
      <w:pPr>
        <w:pStyle w:val="Textpoznpodarou"/>
        <w:rPr>
          <w:sz w:val="16"/>
          <w:szCs w:val="16"/>
        </w:rPr>
      </w:pPr>
      <w:r w:rsidRPr="008D661B">
        <w:rPr>
          <w:rStyle w:val="Znakapoznpodarou"/>
          <w:sz w:val="16"/>
          <w:szCs w:val="16"/>
        </w:rPr>
        <w:footnoteRef/>
      </w:r>
      <w:r w:rsidRPr="008D661B">
        <w:rPr>
          <w:sz w:val="16"/>
          <w:szCs w:val="16"/>
        </w:rPr>
        <w:t xml:space="preserve"> Letos v lednu se průměrný starobní důchod při řádné valorizaci zvýšil o 4,7 %, v červnu při mimořádném zvýšení </w:t>
      </w:r>
      <w:r w:rsidRPr="008D661B">
        <w:rPr>
          <w:color w:val="0D0D0D" w:themeColor="text1" w:themeTint="F2"/>
          <w:spacing w:val="-4"/>
          <w:sz w:val="16"/>
          <w:szCs w:val="16"/>
        </w:rPr>
        <w:t>(za již upravených legislativních podmínek</w:t>
      </w:r>
      <w:r>
        <w:rPr>
          <w:color w:val="0D0D0D" w:themeColor="text1" w:themeTint="F2"/>
          <w:spacing w:val="-4"/>
          <w:sz w:val="16"/>
          <w:szCs w:val="16"/>
        </w:rPr>
        <w:t xml:space="preserve"> zmírňujících tempo valorizace</w:t>
      </w:r>
      <w:r w:rsidRPr="008D661B">
        <w:rPr>
          <w:color w:val="0D0D0D" w:themeColor="text1" w:themeTint="F2"/>
          <w:spacing w:val="-4"/>
          <w:sz w:val="16"/>
          <w:szCs w:val="16"/>
        </w:rPr>
        <w:t>) o</w:t>
      </w:r>
      <w:r w:rsidRPr="008D661B">
        <w:rPr>
          <w:color w:val="0D0D0D" w:themeColor="text1" w:themeTint="F2"/>
          <w:spacing w:val="-5"/>
          <w:sz w:val="16"/>
          <w:szCs w:val="16"/>
        </w:rPr>
        <w:t> </w:t>
      </w:r>
      <w:r w:rsidRPr="008D661B">
        <w:rPr>
          <w:color w:val="0D0D0D" w:themeColor="text1" w:themeTint="F2"/>
          <w:spacing w:val="-4"/>
          <w:sz w:val="16"/>
          <w:szCs w:val="16"/>
        </w:rPr>
        <w:t>3,9</w:t>
      </w:r>
      <w:r w:rsidRPr="008D661B">
        <w:rPr>
          <w:color w:val="0D0D0D" w:themeColor="text1" w:themeTint="F2"/>
          <w:spacing w:val="-5"/>
          <w:sz w:val="16"/>
          <w:szCs w:val="16"/>
        </w:rPr>
        <w:t> </w:t>
      </w:r>
      <w:r>
        <w:rPr>
          <w:color w:val="0D0D0D" w:themeColor="text1" w:themeTint="F2"/>
          <w:spacing w:val="-4"/>
          <w:sz w:val="16"/>
          <w:szCs w:val="16"/>
        </w:rPr>
        <w:t>%. Úroveň</w:t>
      </w:r>
      <w:r w:rsidRPr="008D661B">
        <w:rPr>
          <w:color w:val="0D0D0D" w:themeColor="text1" w:themeTint="F2"/>
          <w:spacing w:val="-4"/>
          <w:sz w:val="16"/>
          <w:szCs w:val="16"/>
        </w:rPr>
        <w:t xml:space="preserve"> důchodů (zejména žen) navýšil také nově zavedený pravidelný příspěvek za každé vychované dítě (500 korun).</w:t>
      </w:r>
      <w:r w:rsidRPr="00EA726B">
        <w:rPr>
          <w:sz w:val="16"/>
          <w:szCs w:val="16"/>
        </w:rPr>
        <w:t xml:space="preserve"> </w:t>
      </w:r>
      <w:r>
        <w:rPr>
          <w:sz w:val="16"/>
          <w:szCs w:val="16"/>
        </w:rPr>
        <w:t>Průměrný měsíční starobní důchod (bez souběhu s ostatními důchody) letos v červnu poprvé překonal hranici 20 tis. korun. Následně v září u mužů dosáhl 21 539 korun, u žen 19 054 korun. Díky zavedení „výchovného“ se významně snížil rozdíl v úrovni důchodů mezi muži a ženami.</w:t>
      </w:r>
    </w:p>
  </w:footnote>
  <w:footnote w:id="119">
    <w:p w14:paraId="6C47F0A1" w14:textId="77777777" w:rsidR="000D7C6F" w:rsidRPr="004A6934" w:rsidRDefault="000D7C6F" w:rsidP="001E1AF1">
      <w:pPr>
        <w:pStyle w:val="Textpoznpodarou"/>
        <w:rPr>
          <w:sz w:val="16"/>
          <w:szCs w:val="16"/>
        </w:rPr>
      </w:pPr>
      <w:r w:rsidRPr="004A6934">
        <w:rPr>
          <w:rStyle w:val="Znakapoznpodarou"/>
          <w:sz w:val="16"/>
          <w:szCs w:val="16"/>
        </w:rPr>
        <w:footnoteRef/>
      </w:r>
      <w:r w:rsidRPr="004A6934">
        <w:rPr>
          <w:sz w:val="16"/>
          <w:szCs w:val="16"/>
        </w:rPr>
        <w:t xml:space="preserve"> Růst počtu všech příjemců trvale krácených starobníc</w:t>
      </w:r>
      <w:r>
        <w:rPr>
          <w:sz w:val="16"/>
          <w:szCs w:val="16"/>
        </w:rPr>
        <w:t>h důchodů (KSD) letos zrychloval (ve 3</w:t>
      </w:r>
      <w:r w:rsidRPr="004A6934">
        <w:rPr>
          <w:sz w:val="16"/>
          <w:szCs w:val="16"/>
        </w:rPr>
        <w:t>. čtvrtlet</w:t>
      </w:r>
      <w:r>
        <w:rPr>
          <w:sz w:val="16"/>
          <w:szCs w:val="16"/>
        </w:rPr>
        <w:t>í na 5,9</w:t>
      </w:r>
      <w:r w:rsidRPr="004A6934">
        <w:rPr>
          <w:sz w:val="16"/>
          <w:szCs w:val="16"/>
        </w:rPr>
        <w:t xml:space="preserve"> % meziročně</w:t>
      </w:r>
      <w:r>
        <w:rPr>
          <w:sz w:val="16"/>
          <w:szCs w:val="16"/>
        </w:rPr>
        <w:t xml:space="preserve">, nejvíce od roku 2012) a jejich podíl na všech příjemcích starobních důchodů poprvé překročil hranici 30 %. Do </w:t>
      </w:r>
      <w:r w:rsidRPr="004A6934">
        <w:rPr>
          <w:sz w:val="16"/>
          <w:szCs w:val="16"/>
        </w:rPr>
        <w:t xml:space="preserve">počtu </w:t>
      </w:r>
      <w:r>
        <w:rPr>
          <w:sz w:val="16"/>
          <w:szCs w:val="16"/>
        </w:rPr>
        <w:t xml:space="preserve">KSD </w:t>
      </w:r>
      <w:r w:rsidRPr="004A6934">
        <w:rPr>
          <w:sz w:val="16"/>
          <w:szCs w:val="16"/>
        </w:rPr>
        <w:t>nejsou zahrnuty osoby, které podaly žádost o předčasný důchod, ale zahájení jeho výplaty si odložily. Zvýšený zájem o předčasné penze pramenil primárně z výhodnosti valorizačního mechanismu, naopak vliv</w:t>
      </w:r>
      <w:r>
        <w:rPr>
          <w:sz w:val="16"/>
          <w:szCs w:val="16"/>
        </w:rPr>
        <w:t xml:space="preserve"> možného</w:t>
      </w:r>
      <w:r w:rsidRPr="004A6934">
        <w:rPr>
          <w:sz w:val="16"/>
          <w:szCs w:val="16"/>
        </w:rPr>
        <w:t xml:space="preserve"> zhoršeného postavení osob v předdůchodovém věku na pracovním trhu hrál patrně spíše jen doplňkovou roli.</w:t>
      </w:r>
    </w:p>
  </w:footnote>
  <w:footnote w:id="120">
    <w:p w14:paraId="1EE74D3F" w14:textId="77777777" w:rsidR="000D7C6F" w:rsidRPr="00F7046D" w:rsidRDefault="000D7C6F" w:rsidP="001E1AF1">
      <w:pPr>
        <w:pStyle w:val="Textpoznpodarou"/>
        <w:rPr>
          <w:sz w:val="16"/>
          <w:szCs w:val="16"/>
        </w:rPr>
      </w:pPr>
      <w:r w:rsidRPr="00F7046D">
        <w:rPr>
          <w:rStyle w:val="Znakapoznpodarou"/>
          <w:sz w:val="16"/>
          <w:szCs w:val="16"/>
        </w:rPr>
        <w:footnoteRef/>
      </w:r>
      <w:r w:rsidRPr="00F7046D">
        <w:rPr>
          <w:sz w:val="16"/>
          <w:szCs w:val="16"/>
        </w:rPr>
        <w:t xml:space="preserve"> Jen okrajový negativní vliv na výši inkasa pojistného mělo letošní zavedení slevy na odvodech pro zaměstnavatele poskytující kratší úvazky rodičům menších dětí, osobám pečujícím o své blízké či lidem nad 55 let. Od února do července uplatnily firmy tyto slevy pro </w:t>
      </w:r>
      <w:r>
        <w:rPr>
          <w:sz w:val="16"/>
          <w:szCs w:val="16"/>
        </w:rPr>
        <w:br/>
      </w:r>
      <w:r w:rsidRPr="00F7046D">
        <w:rPr>
          <w:sz w:val="16"/>
          <w:szCs w:val="16"/>
        </w:rPr>
        <w:t xml:space="preserve">86 tis. zaměstnanců, a to </w:t>
      </w:r>
      <w:r>
        <w:rPr>
          <w:sz w:val="16"/>
          <w:szCs w:val="16"/>
        </w:rPr>
        <w:t>v celkové</w:t>
      </w:r>
      <w:r w:rsidRPr="00F7046D">
        <w:rPr>
          <w:sz w:val="16"/>
          <w:szCs w:val="16"/>
        </w:rPr>
        <w:t xml:space="preserve"> výši 416 mil. korun.</w:t>
      </w:r>
    </w:p>
  </w:footnote>
  <w:footnote w:id="121">
    <w:p w14:paraId="2A8B2E00" w14:textId="77777777" w:rsidR="000D7C6F" w:rsidRPr="00682B37" w:rsidRDefault="000D7C6F" w:rsidP="001E1AF1">
      <w:pPr>
        <w:pStyle w:val="Textpoznpodarou"/>
        <w:jc w:val="both"/>
        <w:rPr>
          <w:rFonts w:cs="Arial"/>
          <w:color w:val="000000" w:themeColor="text1"/>
          <w:spacing w:val="-4"/>
          <w:sz w:val="16"/>
          <w:szCs w:val="16"/>
        </w:rPr>
      </w:pPr>
      <w:r w:rsidRPr="00682B37">
        <w:rPr>
          <w:rStyle w:val="Znakapoznpodarou"/>
          <w:spacing w:val="-4"/>
          <w:sz w:val="16"/>
          <w:szCs w:val="16"/>
        </w:rPr>
        <w:footnoteRef/>
      </w:r>
      <w:r w:rsidRPr="00682B37">
        <w:rPr>
          <w:spacing w:val="-4"/>
          <w:sz w:val="16"/>
          <w:szCs w:val="16"/>
        </w:rPr>
        <w:t xml:space="preserve"> To vyjadřuje r</w:t>
      </w:r>
      <w:r w:rsidRPr="00682B37">
        <w:rPr>
          <w:rFonts w:cs="Arial"/>
          <w:color w:val="000000" w:themeColor="text1"/>
          <w:spacing w:val="-4"/>
          <w:sz w:val="16"/>
          <w:szCs w:val="16"/>
        </w:rPr>
        <w:t>ozdíl mezi příjmy z pojistného na důchodové pojištění</w:t>
      </w:r>
      <w:r w:rsidRPr="00682B37">
        <w:rPr>
          <w:rFonts w:ascii="Segoe UI" w:eastAsia="Times New Roman" w:hAnsi="Segoe UI" w:cs="Segoe UI"/>
          <w:b/>
          <w:bCs/>
          <w:color w:val="000000"/>
          <w:sz w:val="16"/>
          <w:szCs w:val="16"/>
        </w:rPr>
        <w:t xml:space="preserve"> </w:t>
      </w:r>
      <w:r w:rsidRPr="00682B37">
        <w:rPr>
          <w:rFonts w:cs="Arial"/>
          <w:color w:val="000000" w:themeColor="text1"/>
          <w:spacing w:val="-4"/>
          <w:sz w:val="16"/>
          <w:szCs w:val="16"/>
        </w:rPr>
        <w:t xml:space="preserve">a výdaji na dávky důchodového </w:t>
      </w:r>
      <w:r w:rsidRPr="00682B37">
        <w:rPr>
          <w:rFonts w:cs="Arial"/>
          <w:color w:val="0D0D0D" w:themeColor="text1" w:themeTint="F2"/>
          <w:spacing w:val="-4"/>
          <w:sz w:val="16"/>
          <w:szCs w:val="16"/>
        </w:rPr>
        <w:t>pojištění</w:t>
      </w:r>
      <w:r w:rsidRPr="00682B37">
        <w:rPr>
          <w:rFonts w:cs="Arial"/>
          <w:color w:val="000000" w:themeColor="text1"/>
          <w:spacing w:val="-4"/>
          <w:sz w:val="16"/>
          <w:szCs w:val="16"/>
        </w:rPr>
        <w:t xml:space="preserve"> (včetně nákladů na jeho správu).</w:t>
      </w:r>
    </w:p>
  </w:footnote>
  <w:footnote w:id="122">
    <w:p w14:paraId="38706DBF" w14:textId="77777777" w:rsidR="000D7C6F" w:rsidRDefault="000D7C6F" w:rsidP="001E1AF1">
      <w:pPr>
        <w:pStyle w:val="Textpoznpodarou"/>
      </w:pPr>
      <w:r w:rsidRPr="00682B37">
        <w:rPr>
          <w:rStyle w:val="Znakapoznpodarou"/>
          <w:sz w:val="16"/>
          <w:szCs w:val="16"/>
        </w:rPr>
        <w:footnoteRef/>
      </w:r>
      <w:r w:rsidRPr="00682B37">
        <w:rPr>
          <w:sz w:val="16"/>
          <w:szCs w:val="16"/>
        </w:rPr>
        <w:t xml:space="preserve"> Jsou zde zahrnuty i dávky pěstounské péče a náhradní výživné.</w:t>
      </w:r>
    </w:p>
  </w:footnote>
  <w:footnote w:id="123">
    <w:p w14:paraId="4C2F179F" w14:textId="77777777" w:rsidR="000D7C6F" w:rsidRPr="00A01FE0" w:rsidRDefault="000D7C6F" w:rsidP="001E1AF1">
      <w:pPr>
        <w:pStyle w:val="Textpoznpodarou"/>
        <w:rPr>
          <w:sz w:val="16"/>
          <w:szCs w:val="16"/>
        </w:rPr>
      </w:pPr>
      <w:r w:rsidRPr="00A01FE0">
        <w:rPr>
          <w:rStyle w:val="Znakapoznpodarou"/>
          <w:sz w:val="16"/>
          <w:szCs w:val="16"/>
        </w:rPr>
        <w:footnoteRef/>
      </w:r>
      <w:r w:rsidRPr="00A01FE0">
        <w:rPr>
          <w:sz w:val="16"/>
          <w:szCs w:val="16"/>
        </w:rPr>
        <w:t xml:space="preserve"> Na tomto příspěvku </w:t>
      </w:r>
      <w:r>
        <w:rPr>
          <w:sz w:val="16"/>
          <w:szCs w:val="16"/>
        </w:rPr>
        <w:t>bylo letos od ledna do září vyplaceno 13</w:t>
      </w:r>
      <w:r w:rsidRPr="00A01FE0">
        <w:rPr>
          <w:sz w:val="16"/>
          <w:szCs w:val="16"/>
        </w:rPr>
        <w:t>,2 mld. korun</w:t>
      </w:r>
      <w:r>
        <w:rPr>
          <w:sz w:val="16"/>
          <w:szCs w:val="16"/>
        </w:rPr>
        <w:t xml:space="preserve"> (meziročně o 7,3 mld. více), </w:t>
      </w:r>
      <w:r w:rsidRPr="00A01FE0">
        <w:rPr>
          <w:sz w:val="16"/>
          <w:szCs w:val="16"/>
        </w:rPr>
        <w:t>rekordní byl i počet jeho příjemců (</w:t>
      </w:r>
      <w:r>
        <w:rPr>
          <w:sz w:val="16"/>
          <w:szCs w:val="16"/>
        </w:rPr>
        <w:t>jen za letošní září</w:t>
      </w:r>
      <w:r w:rsidRPr="00A01FE0">
        <w:rPr>
          <w:sz w:val="16"/>
          <w:szCs w:val="16"/>
        </w:rPr>
        <w:t xml:space="preserve"> </w:t>
      </w:r>
      <w:r>
        <w:rPr>
          <w:sz w:val="16"/>
          <w:szCs w:val="16"/>
        </w:rPr>
        <w:t>šlo o 272</w:t>
      </w:r>
      <w:r w:rsidRPr="00A01FE0">
        <w:rPr>
          <w:sz w:val="16"/>
          <w:szCs w:val="16"/>
        </w:rPr>
        <w:t xml:space="preserve"> tis. domácnost</w:t>
      </w:r>
      <w:r>
        <w:rPr>
          <w:sz w:val="16"/>
          <w:szCs w:val="16"/>
        </w:rPr>
        <w:t>í, při průměrné výši dávky 6 275</w:t>
      </w:r>
      <w:r w:rsidRPr="00A01FE0">
        <w:rPr>
          <w:sz w:val="16"/>
          <w:szCs w:val="16"/>
        </w:rPr>
        <w:t xml:space="preserve"> korun). </w:t>
      </w:r>
    </w:p>
  </w:footnote>
  <w:footnote w:id="124">
    <w:p w14:paraId="45AA036E" w14:textId="77777777" w:rsidR="000D7C6F" w:rsidRPr="004861BB" w:rsidRDefault="000D7C6F" w:rsidP="001E1AF1">
      <w:pPr>
        <w:pStyle w:val="Textpoznpodarou"/>
        <w:rPr>
          <w:sz w:val="16"/>
          <w:szCs w:val="16"/>
        </w:rPr>
      </w:pPr>
      <w:r w:rsidRPr="004861BB">
        <w:rPr>
          <w:rStyle w:val="Znakapoznpodarou"/>
          <w:sz w:val="16"/>
          <w:szCs w:val="16"/>
        </w:rPr>
        <w:footnoteRef/>
      </w:r>
      <w:r w:rsidRPr="004861BB">
        <w:rPr>
          <w:sz w:val="16"/>
          <w:szCs w:val="16"/>
        </w:rPr>
        <w:t xml:space="preserve"> </w:t>
      </w:r>
      <w:r>
        <w:rPr>
          <w:sz w:val="16"/>
          <w:szCs w:val="16"/>
        </w:rPr>
        <w:t>To souvisí i s legislativními změnami. Od ledna 2023</w:t>
      </w:r>
      <w:r w:rsidRPr="004861BB">
        <w:rPr>
          <w:sz w:val="16"/>
          <w:szCs w:val="16"/>
        </w:rPr>
        <w:t xml:space="preserve"> došlo ke zvýšení </w:t>
      </w:r>
      <w:r>
        <w:rPr>
          <w:sz w:val="16"/>
          <w:szCs w:val="16"/>
        </w:rPr>
        <w:t xml:space="preserve">životního minima (5,2 %) a také navýšení </w:t>
      </w:r>
      <w:r w:rsidRPr="004861BB">
        <w:rPr>
          <w:sz w:val="16"/>
          <w:szCs w:val="16"/>
        </w:rPr>
        <w:t>přídavk</w:t>
      </w:r>
      <w:r>
        <w:rPr>
          <w:sz w:val="16"/>
          <w:szCs w:val="16"/>
        </w:rPr>
        <w:t>ů</w:t>
      </w:r>
      <w:r w:rsidRPr="004861BB">
        <w:rPr>
          <w:sz w:val="16"/>
          <w:szCs w:val="16"/>
        </w:rPr>
        <w:t xml:space="preserve"> </w:t>
      </w:r>
      <w:r>
        <w:rPr>
          <w:sz w:val="16"/>
          <w:szCs w:val="16"/>
        </w:rPr>
        <w:t>(</w:t>
      </w:r>
      <w:r w:rsidRPr="004861BB">
        <w:rPr>
          <w:sz w:val="16"/>
          <w:szCs w:val="16"/>
        </w:rPr>
        <w:t>o 200 korun</w:t>
      </w:r>
      <w:r>
        <w:rPr>
          <w:sz w:val="16"/>
          <w:szCs w:val="16"/>
        </w:rPr>
        <w:t>)</w:t>
      </w:r>
      <w:r w:rsidRPr="004861BB">
        <w:rPr>
          <w:sz w:val="16"/>
          <w:szCs w:val="16"/>
        </w:rPr>
        <w:t xml:space="preserve"> ve všech věkových kategoriích dítěte </w:t>
      </w:r>
      <w:r>
        <w:rPr>
          <w:sz w:val="16"/>
          <w:szCs w:val="16"/>
        </w:rPr>
        <w:t>(</w:t>
      </w:r>
      <w:r w:rsidRPr="004861BB">
        <w:rPr>
          <w:sz w:val="16"/>
          <w:szCs w:val="16"/>
        </w:rPr>
        <w:t>s cílem posílení finanční podpory rodin s dětmi s příjmem do 3,4násobku životního minima</w:t>
      </w:r>
      <w:r>
        <w:rPr>
          <w:sz w:val="16"/>
          <w:szCs w:val="16"/>
        </w:rPr>
        <w:t>)</w:t>
      </w:r>
      <w:r w:rsidRPr="004861BB">
        <w:rPr>
          <w:sz w:val="16"/>
          <w:szCs w:val="16"/>
        </w:rPr>
        <w:t>.</w:t>
      </w:r>
    </w:p>
  </w:footnote>
  <w:footnote w:id="125">
    <w:p w14:paraId="2652768B" w14:textId="77777777" w:rsidR="000D7C6F" w:rsidRPr="008671F8" w:rsidRDefault="000D7C6F" w:rsidP="001E1AF1">
      <w:pPr>
        <w:pStyle w:val="Textpoznpodarou"/>
        <w:rPr>
          <w:sz w:val="16"/>
          <w:szCs w:val="16"/>
        </w:rPr>
      </w:pPr>
      <w:r w:rsidRPr="008671F8">
        <w:rPr>
          <w:rStyle w:val="Znakapoznpodarou"/>
          <w:sz w:val="16"/>
          <w:szCs w:val="16"/>
        </w:rPr>
        <w:footnoteRef/>
      </w:r>
      <w:r w:rsidRPr="008671F8">
        <w:rPr>
          <w:sz w:val="16"/>
          <w:szCs w:val="16"/>
        </w:rPr>
        <w:t xml:space="preserve"> U příspěvku na živobytí (základní dávky pomoci v hmotné nouzi pomáhající osobám či rodinám při nedostatečném příjmu) však došlo v 1. až 3. čtvrtletí meziročně </w:t>
      </w:r>
      <w:r>
        <w:rPr>
          <w:sz w:val="16"/>
          <w:szCs w:val="16"/>
        </w:rPr>
        <w:t xml:space="preserve">k </w:t>
      </w:r>
      <w:r w:rsidRPr="008671F8">
        <w:rPr>
          <w:sz w:val="16"/>
          <w:szCs w:val="16"/>
        </w:rPr>
        <w:t>růstu čerpání o 21 %.</w:t>
      </w:r>
    </w:p>
  </w:footnote>
  <w:footnote w:id="126">
    <w:p w14:paraId="449A7555" w14:textId="77777777" w:rsidR="000D7C6F" w:rsidRPr="003B3184" w:rsidRDefault="000D7C6F" w:rsidP="001E1AF1">
      <w:pPr>
        <w:pStyle w:val="Textpoznpodarou"/>
        <w:rPr>
          <w:sz w:val="16"/>
          <w:szCs w:val="16"/>
        </w:rPr>
      </w:pPr>
      <w:r w:rsidRPr="003B3184">
        <w:rPr>
          <w:rStyle w:val="Znakapoznpodarou"/>
          <w:sz w:val="16"/>
          <w:szCs w:val="16"/>
        </w:rPr>
        <w:footnoteRef/>
      </w:r>
      <w:r w:rsidRPr="003B3184">
        <w:rPr>
          <w:sz w:val="16"/>
          <w:szCs w:val="16"/>
        </w:rPr>
        <w:t xml:space="preserve"> Nárok na podporu v nez</w:t>
      </w:r>
      <w:r>
        <w:rPr>
          <w:sz w:val="16"/>
          <w:szCs w:val="16"/>
        </w:rPr>
        <w:t>aměstnanosti mělo letos v září 73 tis. registrovaných uchazečů o práci (28 % z jejich celkového počtu).</w:t>
      </w:r>
    </w:p>
  </w:footnote>
  <w:footnote w:id="127">
    <w:p w14:paraId="7494189D" w14:textId="77777777" w:rsidR="000D7C6F" w:rsidRPr="00C24A66" w:rsidRDefault="000D7C6F" w:rsidP="001E1AF1">
      <w:pPr>
        <w:pStyle w:val="Textpoznpodarou"/>
        <w:rPr>
          <w:spacing w:val="-4"/>
          <w:sz w:val="16"/>
          <w:szCs w:val="16"/>
        </w:rPr>
      </w:pPr>
      <w:r w:rsidRPr="00C24A66">
        <w:rPr>
          <w:rStyle w:val="Znakapoznpodarou"/>
          <w:spacing w:val="-4"/>
          <w:sz w:val="16"/>
          <w:szCs w:val="16"/>
        </w:rPr>
        <w:footnoteRef/>
      </w:r>
      <w:r w:rsidRPr="00C24A66">
        <w:rPr>
          <w:spacing w:val="-4"/>
          <w:sz w:val="16"/>
          <w:szCs w:val="16"/>
        </w:rPr>
        <w:t xml:space="preserve"> Úroveň z 1. až 3. čtvrtletí 2019 stále téměř o pětinu převyšoval</w:t>
      </w:r>
      <w:r>
        <w:rPr>
          <w:spacing w:val="-4"/>
          <w:sz w:val="16"/>
          <w:szCs w:val="16"/>
        </w:rPr>
        <w:t>a</w:t>
      </w:r>
      <w:r w:rsidRPr="00C24A66">
        <w:rPr>
          <w:spacing w:val="-4"/>
          <w:sz w:val="16"/>
          <w:szCs w:val="16"/>
        </w:rPr>
        <w:t xml:space="preserve"> a představoval</w:t>
      </w:r>
      <w:r>
        <w:rPr>
          <w:spacing w:val="-4"/>
          <w:sz w:val="16"/>
          <w:szCs w:val="16"/>
        </w:rPr>
        <w:t>a</w:t>
      </w:r>
      <w:r w:rsidRPr="00C24A66">
        <w:rPr>
          <w:spacing w:val="-4"/>
          <w:sz w:val="16"/>
          <w:szCs w:val="16"/>
        </w:rPr>
        <w:t xml:space="preserve"> tak letos pro SR nezanedbatelný výdaj (34,8</w:t>
      </w:r>
      <w:r w:rsidRPr="00C24A66">
        <w:rPr>
          <w:rFonts w:cs="Arial"/>
          <w:color w:val="0D0D0D" w:themeColor="text1" w:themeTint="F2"/>
          <w:spacing w:val="-4"/>
          <w:sz w:val="16"/>
          <w:szCs w:val="16"/>
        </w:rPr>
        <w:t> </w:t>
      </w:r>
      <w:r w:rsidRPr="00C24A66">
        <w:rPr>
          <w:spacing w:val="-4"/>
          <w:sz w:val="16"/>
          <w:szCs w:val="16"/>
        </w:rPr>
        <w:t>mld. korun).</w:t>
      </w:r>
    </w:p>
  </w:footnote>
  <w:footnote w:id="128">
    <w:p w14:paraId="70813DF6" w14:textId="77777777" w:rsidR="000D7C6F" w:rsidRDefault="000D7C6F" w:rsidP="001E1AF1">
      <w:pPr>
        <w:pStyle w:val="Textpoznpodarou"/>
      </w:pPr>
      <w:r w:rsidRPr="00781816">
        <w:rPr>
          <w:rStyle w:val="Znakapoznpodarou"/>
          <w:sz w:val="16"/>
          <w:szCs w:val="16"/>
        </w:rPr>
        <w:footnoteRef/>
      </w:r>
      <w:r w:rsidRPr="00781816">
        <w:rPr>
          <w:sz w:val="16"/>
          <w:szCs w:val="16"/>
        </w:rPr>
        <w:t xml:space="preserve"> </w:t>
      </w:r>
      <w:r>
        <w:rPr>
          <w:sz w:val="16"/>
          <w:szCs w:val="16"/>
        </w:rPr>
        <w:t>Rovněž říjnové</w:t>
      </w:r>
      <w:r w:rsidRPr="00652F08">
        <w:rPr>
          <w:sz w:val="16"/>
          <w:szCs w:val="16"/>
        </w:rPr>
        <w:t xml:space="preserve"> údaje dokládají, že potřeba této mimořádné po</w:t>
      </w:r>
      <w:r>
        <w:rPr>
          <w:sz w:val="16"/>
          <w:szCs w:val="16"/>
        </w:rPr>
        <w:t>moci je stále aktuální</w:t>
      </w:r>
      <w:r w:rsidRPr="00652F08">
        <w:rPr>
          <w:sz w:val="16"/>
          <w:szCs w:val="16"/>
        </w:rPr>
        <w:t xml:space="preserve">. Od počátku roku </w:t>
      </w:r>
      <w:r>
        <w:rPr>
          <w:sz w:val="16"/>
          <w:szCs w:val="16"/>
        </w:rPr>
        <w:t xml:space="preserve">tak </w:t>
      </w:r>
      <w:r w:rsidRPr="00652F08">
        <w:rPr>
          <w:sz w:val="16"/>
          <w:szCs w:val="16"/>
        </w:rPr>
        <w:t xml:space="preserve">bylo na kompenzacích firmám vlivem </w:t>
      </w:r>
      <w:proofErr w:type="spellStart"/>
      <w:r w:rsidRPr="00652F08">
        <w:rPr>
          <w:sz w:val="16"/>
          <w:szCs w:val="16"/>
        </w:rPr>
        <w:t>zastropování</w:t>
      </w:r>
      <w:proofErr w:type="spellEnd"/>
      <w:r>
        <w:rPr>
          <w:sz w:val="16"/>
          <w:szCs w:val="16"/>
        </w:rPr>
        <w:t xml:space="preserve"> cen ze SR vydáno již 68,2 mld. korun. V</w:t>
      </w:r>
      <w:r w:rsidRPr="00652F08">
        <w:rPr>
          <w:sz w:val="16"/>
          <w:szCs w:val="16"/>
        </w:rPr>
        <w:t>ýplata pomoci podnikům v energeticky náročných odvětvích se ve 2</w:t>
      </w:r>
      <w:r>
        <w:rPr>
          <w:sz w:val="16"/>
          <w:szCs w:val="16"/>
        </w:rPr>
        <w:t>.</w:t>
      </w:r>
      <w:r w:rsidRPr="004861BB">
        <w:rPr>
          <w:sz w:val="16"/>
          <w:szCs w:val="16"/>
        </w:rPr>
        <w:t> </w:t>
      </w:r>
      <w:r>
        <w:rPr>
          <w:sz w:val="16"/>
          <w:szCs w:val="16"/>
        </w:rPr>
        <w:t xml:space="preserve">čtvrtletí fakticky zastavila, zrychlovalo ale čerpání ostatních podpůrných transferů (např. </w:t>
      </w:r>
      <w:r w:rsidRPr="00652F08">
        <w:rPr>
          <w:sz w:val="16"/>
          <w:szCs w:val="16"/>
        </w:rPr>
        <w:t>dotace provozova</w:t>
      </w:r>
      <w:r>
        <w:rPr>
          <w:sz w:val="16"/>
          <w:szCs w:val="16"/>
        </w:rPr>
        <w:t>teli přenosové soustavy).</w:t>
      </w:r>
    </w:p>
  </w:footnote>
  <w:footnote w:id="129">
    <w:p w14:paraId="2932FB2F" w14:textId="77777777" w:rsidR="000D7C6F" w:rsidRPr="00E865AB" w:rsidRDefault="000D7C6F" w:rsidP="001E1AF1">
      <w:pPr>
        <w:pStyle w:val="Textpoznpodarou"/>
        <w:rPr>
          <w:sz w:val="16"/>
          <w:szCs w:val="16"/>
        </w:rPr>
      </w:pPr>
      <w:r w:rsidRPr="00E865AB">
        <w:rPr>
          <w:rStyle w:val="Znakapoznpodarou"/>
          <w:sz w:val="16"/>
          <w:szCs w:val="16"/>
        </w:rPr>
        <w:footnoteRef/>
      </w:r>
      <w:r w:rsidRPr="00E865AB">
        <w:rPr>
          <w:sz w:val="16"/>
          <w:szCs w:val="16"/>
        </w:rPr>
        <w:t xml:space="preserve"> Od ledna 2023 vzrostl objem prostředků na platy pedagogů o 4 %, u nepedagogických pracovníků došlo k navýšení již od loňského září (8 %). </w:t>
      </w:r>
    </w:p>
  </w:footnote>
  <w:footnote w:id="130">
    <w:p w14:paraId="23DAF472" w14:textId="77777777" w:rsidR="000D7C6F" w:rsidRPr="00E865AB" w:rsidRDefault="000D7C6F" w:rsidP="001E1AF1">
      <w:pPr>
        <w:pStyle w:val="Textpoznpodarou"/>
        <w:rPr>
          <w:spacing w:val="-2"/>
          <w:sz w:val="16"/>
          <w:szCs w:val="16"/>
        </w:rPr>
      </w:pPr>
      <w:r w:rsidRPr="00E865AB">
        <w:rPr>
          <w:rStyle w:val="Znakapoznpodarou"/>
          <w:spacing w:val="-2"/>
          <w:sz w:val="16"/>
          <w:szCs w:val="16"/>
        </w:rPr>
        <w:footnoteRef/>
      </w:r>
      <w:r w:rsidRPr="00E865AB">
        <w:rPr>
          <w:spacing w:val="-2"/>
          <w:sz w:val="16"/>
          <w:szCs w:val="16"/>
        </w:rPr>
        <w:t xml:space="preserve"> Čisté výdaje odpovídají saldu rozpočtové kapitoly Státní dluh (č. 396). </w:t>
      </w:r>
      <w:r w:rsidRPr="00E865AB">
        <w:rPr>
          <w:color w:val="0D0D0D" w:themeColor="text1" w:themeTint="F2"/>
          <w:spacing w:val="-4"/>
          <w:sz w:val="16"/>
          <w:szCs w:val="16"/>
        </w:rPr>
        <w:t>Zásadní vliv na růst výdajů zde měly výplaty protiinflačních státních dluhopisů občanům, dílčí roli pak rostoucí úrokové sazby u dalších in</w:t>
      </w:r>
      <w:r>
        <w:rPr>
          <w:color w:val="0D0D0D" w:themeColor="text1" w:themeTint="F2"/>
          <w:spacing w:val="-4"/>
          <w:sz w:val="16"/>
          <w:szCs w:val="16"/>
        </w:rPr>
        <w:t>strumentů dluhového financování a celkový trend růstu zadlužení z předchozích let.</w:t>
      </w:r>
    </w:p>
  </w:footnote>
  <w:footnote w:id="131">
    <w:p w14:paraId="21E08000" w14:textId="77777777" w:rsidR="000D7C6F" w:rsidRPr="002E12B5" w:rsidRDefault="000D7C6F" w:rsidP="001E1AF1">
      <w:pPr>
        <w:pStyle w:val="Textpoznpodarou"/>
        <w:rPr>
          <w:sz w:val="16"/>
          <w:szCs w:val="16"/>
        </w:rPr>
      </w:pPr>
      <w:r w:rsidRPr="002E12B5">
        <w:rPr>
          <w:rStyle w:val="Znakapoznpodarou"/>
          <w:sz w:val="16"/>
          <w:szCs w:val="16"/>
        </w:rPr>
        <w:footnoteRef/>
      </w:r>
      <w:r w:rsidRPr="002E12B5">
        <w:rPr>
          <w:sz w:val="16"/>
          <w:szCs w:val="16"/>
        </w:rPr>
        <w:t xml:space="preserve"> </w:t>
      </w:r>
      <w:r>
        <w:rPr>
          <w:sz w:val="16"/>
          <w:szCs w:val="16"/>
        </w:rPr>
        <w:t>V období let 2020 až 2022 bylo na konci září čerpání</w:t>
      </w:r>
      <w:r w:rsidRPr="002E12B5">
        <w:rPr>
          <w:sz w:val="16"/>
          <w:szCs w:val="16"/>
        </w:rPr>
        <w:t xml:space="preserve"> investic </w:t>
      </w:r>
      <w:r>
        <w:rPr>
          <w:sz w:val="16"/>
          <w:szCs w:val="16"/>
        </w:rPr>
        <w:t xml:space="preserve">ze SR výrazněji </w:t>
      </w:r>
      <w:proofErr w:type="spellStart"/>
      <w:r>
        <w:rPr>
          <w:sz w:val="16"/>
          <w:szCs w:val="16"/>
        </w:rPr>
        <w:t>podalikvotní</w:t>
      </w:r>
      <w:proofErr w:type="spellEnd"/>
      <w:r>
        <w:rPr>
          <w:sz w:val="16"/>
          <w:szCs w:val="16"/>
        </w:rPr>
        <w:t xml:space="preserve"> (</w:t>
      </w:r>
      <w:r w:rsidRPr="002E12B5">
        <w:rPr>
          <w:sz w:val="16"/>
          <w:szCs w:val="16"/>
        </w:rPr>
        <w:t>mezi 53 % a 62 %</w:t>
      </w:r>
      <w:r>
        <w:rPr>
          <w:sz w:val="16"/>
          <w:szCs w:val="16"/>
        </w:rPr>
        <w:t xml:space="preserve"> celoročního plánu)</w:t>
      </w:r>
      <w:r w:rsidRPr="002E12B5">
        <w:rPr>
          <w:sz w:val="16"/>
          <w:szCs w:val="16"/>
        </w:rPr>
        <w:t>.</w:t>
      </w:r>
      <w:r>
        <w:rPr>
          <w:sz w:val="16"/>
          <w:szCs w:val="16"/>
        </w:rPr>
        <w:t xml:space="preserve"> Vyšší letošní plnění je spojeno s oblastmi, u nichž se předpokládá následné spolufinancování z EU. Naopak u projektů financovaných výhradně z národních zdrojů byla míra čerpání do konce září nižší.</w:t>
      </w:r>
    </w:p>
  </w:footnote>
  <w:footnote w:id="132">
    <w:p w14:paraId="3C9B3786" w14:textId="77777777" w:rsidR="000D7C6F" w:rsidRPr="00CA2DF7" w:rsidRDefault="000D7C6F" w:rsidP="001E1AF1">
      <w:pPr>
        <w:pStyle w:val="Textpoznpodarou"/>
        <w:rPr>
          <w:sz w:val="16"/>
          <w:szCs w:val="16"/>
        </w:rPr>
      </w:pPr>
      <w:r w:rsidRPr="00CA2DF7">
        <w:rPr>
          <w:rStyle w:val="Znakapoznpodarou"/>
          <w:sz w:val="16"/>
          <w:szCs w:val="16"/>
        </w:rPr>
        <w:footnoteRef/>
      </w:r>
      <w:r w:rsidRPr="00CA2DF7">
        <w:rPr>
          <w:sz w:val="16"/>
          <w:szCs w:val="16"/>
        </w:rPr>
        <w:t xml:space="preserve"> </w:t>
      </w:r>
      <w:r>
        <w:rPr>
          <w:sz w:val="16"/>
          <w:szCs w:val="16"/>
        </w:rPr>
        <w:t xml:space="preserve">Za tři letošní čtvrtletí </w:t>
      </w:r>
      <w:r w:rsidRPr="00CA2DF7">
        <w:rPr>
          <w:sz w:val="16"/>
          <w:szCs w:val="16"/>
        </w:rPr>
        <w:t xml:space="preserve">byly vydány </w:t>
      </w:r>
      <w:r>
        <w:rPr>
          <w:sz w:val="16"/>
          <w:szCs w:val="16"/>
        </w:rPr>
        <w:t>středně- a dlouhodobé korunové státní dluhopisy ve výši 408</w:t>
      </w:r>
      <w:r w:rsidRPr="00CA2DF7">
        <w:rPr>
          <w:sz w:val="16"/>
          <w:szCs w:val="16"/>
        </w:rPr>
        <w:t xml:space="preserve"> mld. korun (meziročně zhruba </w:t>
      </w:r>
      <w:r>
        <w:rPr>
          <w:sz w:val="16"/>
          <w:szCs w:val="16"/>
        </w:rPr>
        <w:br/>
      </w:r>
      <w:r w:rsidRPr="00CA2DF7">
        <w:rPr>
          <w:sz w:val="16"/>
          <w:szCs w:val="16"/>
        </w:rPr>
        <w:t>o desetinu více, ale o</w:t>
      </w:r>
      <w:r>
        <w:rPr>
          <w:sz w:val="16"/>
          <w:szCs w:val="16"/>
        </w:rPr>
        <w:t>proti shodnému období let 2020 i 2021 jde o pokles o více než 15 %</w:t>
      </w:r>
      <w:r w:rsidRPr="00CA2DF7">
        <w:rPr>
          <w:sz w:val="16"/>
          <w:szCs w:val="16"/>
        </w:rPr>
        <w:t xml:space="preserve">). </w:t>
      </w:r>
      <w:r>
        <w:rPr>
          <w:sz w:val="16"/>
          <w:szCs w:val="16"/>
        </w:rPr>
        <w:t>Tyto dluhopisy pokryly veškeré letošní splátky dluhu a předfinancování významné části plánovaného schodku SR za celý rok 2023. F</w:t>
      </w:r>
      <w:r w:rsidRPr="00CA2DF7">
        <w:rPr>
          <w:sz w:val="16"/>
          <w:szCs w:val="16"/>
        </w:rPr>
        <w:t xml:space="preserve">ixně úročené </w:t>
      </w:r>
      <w:r>
        <w:rPr>
          <w:sz w:val="16"/>
          <w:szCs w:val="16"/>
        </w:rPr>
        <w:t xml:space="preserve">státní </w:t>
      </w:r>
      <w:r w:rsidRPr="00CA2DF7">
        <w:rPr>
          <w:sz w:val="16"/>
          <w:szCs w:val="16"/>
        </w:rPr>
        <w:t xml:space="preserve">dluhopisy </w:t>
      </w:r>
      <w:r>
        <w:rPr>
          <w:sz w:val="16"/>
          <w:szCs w:val="16"/>
        </w:rPr>
        <w:t xml:space="preserve">(téměř </w:t>
      </w:r>
      <w:r>
        <w:rPr>
          <w:sz w:val="16"/>
          <w:szCs w:val="16"/>
        </w:rPr>
        <w:br/>
        <w:t>90 % celkové emise) byly prodány s</w:t>
      </w:r>
      <w:r w:rsidRPr="00CA2DF7">
        <w:rPr>
          <w:sz w:val="16"/>
          <w:szCs w:val="16"/>
        </w:rPr>
        <w:t xml:space="preserve"> průměrnou zbytkovou dobou splatnosti 8,</w:t>
      </w:r>
      <w:r>
        <w:rPr>
          <w:sz w:val="16"/>
          <w:szCs w:val="16"/>
        </w:rPr>
        <w:t>5 let a průměrným výnosem 4,5 % p. a.</w:t>
      </w:r>
      <w:r w:rsidRPr="00CA2DF7">
        <w:rPr>
          <w:sz w:val="16"/>
          <w:szCs w:val="16"/>
        </w:rPr>
        <w:t xml:space="preserve"> </w:t>
      </w:r>
      <w:r>
        <w:rPr>
          <w:sz w:val="16"/>
          <w:szCs w:val="16"/>
        </w:rPr>
        <w:t xml:space="preserve">Čistá emise středně- a dlouhodobých dluhopisů (po odečtení uskutečněných splátek) činila dosud letos 262 mld. korun. </w:t>
      </w:r>
      <w:r>
        <w:rPr>
          <w:spacing w:val="-4"/>
          <w:sz w:val="16"/>
          <w:szCs w:val="16"/>
        </w:rPr>
        <w:t>Hodnota veškerých domácích</w:t>
      </w:r>
      <w:r w:rsidRPr="00790DFB">
        <w:rPr>
          <w:spacing w:val="-4"/>
          <w:sz w:val="16"/>
          <w:szCs w:val="16"/>
        </w:rPr>
        <w:t xml:space="preserve"> státních dluhopisů v oběhu </w:t>
      </w:r>
      <w:r>
        <w:rPr>
          <w:spacing w:val="-4"/>
          <w:sz w:val="16"/>
          <w:szCs w:val="16"/>
        </w:rPr>
        <w:t>(zahrnujících i státní pokladniční poukázky) vystoupala letos na konci září na 2 938 mld. korun. Z nich 28,8 % bylo v držbě nerezidentů, 64,6 % připadalo na tuzemské finanční instituce (především banky a penzijní fondy), významnější podíl vlastnily dále ještě domácnosti (3,8 %). Mezi držiteli dluhopisů meziročně mírně vzrostl podíl nerezidentů (0,7 p. b.) i domácností (+0,4 p. b.).</w:t>
      </w:r>
    </w:p>
  </w:footnote>
  <w:footnote w:id="133">
    <w:p w14:paraId="29ADDA03" w14:textId="77777777" w:rsidR="000D7C6F" w:rsidRDefault="000D7C6F" w:rsidP="001E1AF1">
      <w:pPr>
        <w:pStyle w:val="Textpoznpodarou"/>
        <w:rPr>
          <w:sz w:val="16"/>
          <w:szCs w:val="16"/>
        </w:rPr>
      </w:pPr>
      <w:r w:rsidRPr="008C2F4A">
        <w:rPr>
          <w:rStyle w:val="Znakapoznpodarou"/>
          <w:sz w:val="16"/>
          <w:szCs w:val="16"/>
        </w:rPr>
        <w:footnoteRef/>
      </w:r>
      <w:r w:rsidRPr="008C2F4A">
        <w:rPr>
          <w:sz w:val="16"/>
          <w:szCs w:val="16"/>
        </w:rPr>
        <w:t xml:space="preserve"> </w:t>
      </w:r>
      <w:r>
        <w:rPr>
          <w:sz w:val="16"/>
          <w:szCs w:val="16"/>
        </w:rPr>
        <w:t xml:space="preserve">Údaje o hospodaření sektoru vládních institucí za 3. čtvrtletí 2023 zveřejní ČSÚ 5. ledna 2024, </w:t>
      </w:r>
      <w:proofErr w:type="spellStart"/>
      <w:r>
        <w:rPr>
          <w:sz w:val="16"/>
          <w:szCs w:val="16"/>
        </w:rPr>
        <w:t>Eurostat</w:t>
      </w:r>
      <w:proofErr w:type="spellEnd"/>
      <w:r>
        <w:rPr>
          <w:sz w:val="16"/>
          <w:szCs w:val="16"/>
        </w:rPr>
        <w:t xml:space="preserve"> následně na konci ledna. Detailnější zhodnocení tuzemského vývoje za 2. čtvrtletí 2023 je obsaženo v publikaci </w:t>
      </w:r>
      <w:r w:rsidRPr="00C20941">
        <w:rPr>
          <w:i/>
          <w:sz w:val="16"/>
          <w:szCs w:val="16"/>
        </w:rPr>
        <w:t>Analýza sektorových účtů</w:t>
      </w:r>
      <w:r>
        <w:rPr>
          <w:sz w:val="16"/>
          <w:szCs w:val="16"/>
        </w:rPr>
        <w:t>:</w:t>
      </w:r>
    </w:p>
    <w:p w14:paraId="0D915FC3" w14:textId="77777777" w:rsidR="000D7C6F" w:rsidRPr="009831FA" w:rsidRDefault="00926B2B" w:rsidP="001E1AF1">
      <w:pPr>
        <w:pStyle w:val="Textpoznpodarou"/>
        <w:rPr>
          <w:sz w:val="16"/>
          <w:szCs w:val="16"/>
        </w:rPr>
      </w:pPr>
      <w:hyperlink r:id="rId3" w:history="1">
        <w:r w:rsidR="000D7C6F" w:rsidRPr="00EE753F">
          <w:rPr>
            <w:rStyle w:val="Hypertextovodkaz"/>
            <w:sz w:val="16"/>
            <w:szCs w:val="16"/>
          </w:rPr>
          <w:t>https://www.czso.cz/csu/czso/cri/analyza-ctvrtletnich-sektorovych-uctu-2-ctvrtleti-2023</w:t>
        </w:r>
      </w:hyperlink>
    </w:p>
  </w:footnote>
  <w:footnote w:id="134">
    <w:p w14:paraId="1D1377EF" w14:textId="77777777" w:rsidR="000D7C6F" w:rsidRPr="00654E54" w:rsidRDefault="000D7C6F" w:rsidP="001E1AF1">
      <w:pPr>
        <w:pStyle w:val="Textpoznpodarou"/>
        <w:rPr>
          <w:sz w:val="16"/>
          <w:szCs w:val="16"/>
        </w:rPr>
      </w:pPr>
      <w:r w:rsidRPr="00654E54">
        <w:rPr>
          <w:rStyle w:val="Znakapoznpodarou"/>
          <w:sz w:val="16"/>
          <w:szCs w:val="16"/>
        </w:rPr>
        <w:footnoteRef/>
      </w:r>
      <w:r>
        <w:rPr>
          <w:sz w:val="16"/>
          <w:szCs w:val="16"/>
        </w:rPr>
        <w:t xml:space="preserve"> Není-li uvedeno jinak, jsou ú</w:t>
      </w:r>
      <w:r w:rsidRPr="00654E54">
        <w:rPr>
          <w:sz w:val="16"/>
          <w:szCs w:val="16"/>
        </w:rPr>
        <w:t xml:space="preserve">daje o hospodaření sektoru VI v ČR </w:t>
      </w:r>
      <w:r>
        <w:rPr>
          <w:sz w:val="16"/>
          <w:szCs w:val="16"/>
        </w:rPr>
        <w:t>vyjádře</w:t>
      </w:r>
      <w:r w:rsidRPr="00654E54">
        <w:rPr>
          <w:sz w:val="16"/>
          <w:szCs w:val="16"/>
        </w:rPr>
        <w:t>ny bez sezónního očištění.</w:t>
      </w:r>
    </w:p>
  </w:footnote>
  <w:footnote w:id="135">
    <w:p w14:paraId="0EECD93A" w14:textId="77777777" w:rsidR="000D7C6F" w:rsidRPr="00BB7B8B" w:rsidRDefault="000D7C6F" w:rsidP="001E1AF1">
      <w:pPr>
        <w:pStyle w:val="Textpoznpodarou"/>
        <w:rPr>
          <w:sz w:val="16"/>
          <w:szCs w:val="16"/>
        </w:rPr>
      </w:pPr>
      <w:r w:rsidRPr="00BB7B8B">
        <w:rPr>
          <w:rStyle w:val="Znakapoznpodarou"/>
          <w:sz w:val="16"/>
          <w:szCs w:val="16"/>
        </w:rPr>
        <w:footnoteRef/>
      </w:r>
      <w:r w:rsidRPr="00BB7B8B">
        <w:rPr>
          <w:sz w:val="16"/>
          <w:szCs w:val="16"/>
        </w:rPr>
        <w:t xml:space="preserve"> Dle sezónně očištěných údajů byl však ve 2. čtvrtletí 2023 vykázán schodek 59,8 mld. korun. Tento deficit významně nevybočil z řady výsledků hospodaření zaznamenaných od poloviny loňského roku.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0D7C6F" w14:paraId="3D57519A" w14:textId="77777777" w:rsidTr="7059F910">
      <w:trPr>
        <w:trHeight w:val="300"/>
      </w:trPr>
      <w:tc>
        <w:tcPr>
          <w:tcW w:w="3210" w:type="dxa"/>
        </w:tcPr>
        <w:p w14:paraId="7811EB53" w14:textId="4DDFCD4B" w:rsidR="000D7C6F" w:rsidRDefault="000D7C6F" w:rsidP="7059F910">
          <w:pPr>
            <w:pStyle w:val="Zhlav"/>
            <w:ind w:left="-115"/>
          </w:pPr>
        </w:p>
      </w:tc>
      <w:tc>
        <w:tcPr>
          <w:tcW w:w="3210" w:type="dxa"/>
        </w:tcPr>
        <w:p w14:paraId="5B18E2FB" w14:textId="699852E7" w:rsidR="000D7C6F" w:rsidRDefault="000D7C6F" w:rsidP="7059F910">
          <w:pPr>
            <w:pStyle w:val="Zhlav"/>
            <w:jc w:val="center"/>
          </w:pPr>
        </w:p>
      </w:tc>
      <w:tc>
        <w:tcPr>
          <w:tcW w:w="3210" w:type="dxa"/>
        </w:tcPr>
        <w:p w14:paraId="1759E02E" w14:textId="10B800EB" w:rsidR="000D7C6F" w:rsidRDefault="000D7C6F" w:rsidP="7059F910">
          <w:pPr>
            <w:pStyle w:val="Zhlav"/>
            <w:ind w:right="-115"/>
            <w:jc w:val="right"/>
          </w:pPr>
        </w:p>
      </w:tc>
    </w:tr>
  </w:tbl>
  <w:p w14:paraId="757EF678" w14:textId="58C73B80" w:rsidR="000D7C6F" w:rsidRDefault="000D7C6F" w:rsidP="7059F9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0D7C6F" w14:paraId="0DBEFC73" w14:textId="77777777" w:rsidTr="7059F910">
      <w:trPr>
        <w:trHeight w:val="300"/>
      </w:trPr>
      <w:tc>
        <w:tcPr>
          <w:tcW w:w="3210" w:type="dxa"/>
        </w:tcPr>
        <w:p w14:paraId="2A6581A2" w14:textId="561A369A" w:rsidR="000D7C6F" w:rsidRDefault="000D7C6F" w:rsidP="7059F910">
          <w:pPr>
            <w:pStyle w:val="Zhlav"/>
            <w:ind w:left="-115"/>
          </w:pPr>
        </w:p>
      </w:tc>
      <w:tc>
        <w:tcPr>
          <w:tcW w:w="3210" w:type="dxa"/>
        </w:tcPr>
        <w:p w14:paraId="3D3E0A0E" w14:textId="2B32CF54" w:rsidR="000D7C6F" w:rsidRDefault="000D7C6F" w:rsidP="7059F910">
          <w:pPr>
            <w:pStyle w:val="Zhlav"/>
            <w:jc w:val="center"/>
          </w:pPr>
        </w:p>
      </w:tc>
      <w:tc>
        <w:tcPr>
          <w:tcW w:w="3210" w:type="dxa"/>
        </w:tcPr>
        <w:p w14:paraId="64BF241E" w14:textId="61DF3F23" w:rsidR="000D7C6F" w:rsidRDefault="000D7C6F" w:rsidP="7059F910">
          <w:pPr>
            <w:pStyle w:val="Zhlav"/>
            <w:ind w:right="-115"/>
            <w:jc w:val="right"/>
          </w:pPr>
        </w:p>
      </w:tc>
    </w:tr>
  </w:tbl>
  <w:p w14:paraId="7626C104" w14:textId="012EE53B" w:rsidR="000D7C6F" w:rsidRDefault="000D7C6F" w:rsidP="7059F9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0D7C6F" w:rsidRDefault="000D7C6F" w:rsidP="00937AE2">
    <w:pPr>
      <w:pStyle w:val="Zhlav"/>
    </w:pPr>
    <w:r>
      <w:t>Vývoj ekonomiky České republiky</w:t>
    </w:r>
  </w:p>
  <w:p w14:paraId="3E881AB3" w14:textId="77777777" w:rsidR="000D7C6F" w:rsidRPr="006F5416" w:rsidRDefault="000D7C6F" w:rsidP="00937AE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0D7C6F" w:rsidRDefault="000D7C6F" w:rsidP="00937AE2">
    <w:pPr>
      <w:pStyle w:val="Zhlav"/>
    </w:pPr>
    <w:r>
      <w:t>Vývoj ekonomiky České republiky</w:t>
    </w:r>
  </w:p>
  <w:p w14:paraId="57266714" w14:textId="77777777" w:rsidR="000D7C6F" w:rsidRPr="006F5416" w:rsidRDefault="000D7C6F"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51D21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1B2A5724"/>
    <w:multiLevelType w:val="hybridMultilevel"/>
    <w:tmpl w:val="0EA8A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5280B15"/>
    <w:multiLevelType w:val="hybridMultilevel"/>
    <w:tmpl w:val="5156A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841503"/>
    <w:multiLevelType w:val="hybridMultilevel"/>
    <w:tmpl w:val="322E8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D23EC3"/>
    <w:multiLevelType w:val="hybridMultilevel"/>
    <w:tmpl w:val="B65A48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5236EE"/>
    <w:multiLevelType w:val="hybridMultilevel"/>
    <w:tmpl w:val="CC2A1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8"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33"/>
  </w:num>
  <w:num w:numId="14">
    <w:abstractNumId w:val="14"/>
  </w:num>
  <w:num w:numId="15">
    <w:abstractNumId w:val="21"/>
  </w:num>
  <w:num w:numId="16">
    <w:abstractNumId w:val="17"/>
  </w:num>
  <w:num w:numId="17">
    <w:abstractNumId w:val="34"/>
  </w:num>
  <w:num w:numId="18">
    <w:abstractNumId w:val="26"/>
  </w:num>
  <w:num w:numId="19">
    <w:abstractNumId w:val="36"/>
  </w:num>
  <w:num w:numId="20">
    <w:abstractNumId w:val="37"/>
  </w:num>
  <w:num w:numId="21">
    <w:abstractNumId w:val="32"/>
  </w:num>
  <w:num w:numId="22">
    <w:abstractNumId w:val="20"/>
  </w:num>
  <w:num w:numId="23">
    <w:abstractNumId w:val="18"/>
  </w:num>
  <w:num w:numId="24">
    <w:abstractNumId w:val="19"/>
  </w:num>
  <w:num w:numId="25">
    <w:abstractNumId w:val="13"/>
  </w:num>
  <w:num w:numId="26">
    <w:abstractNumId w:val="28"/>
  </w:num>
  <w:num w:numId="27">
    <w:abstractNumId w:val="27"/>
  </w:num>
  <w:num w:numId="28">
    <w:abstractNumId w:val="10"/>
  </w:num>
  <w:num w:numId="29">
    <w:abstractNumId w:val="37"/>
  </w:num>
  <w:num w:numId="30">
    <w:abstractNumId w:val="29"/>
  </w:num>
  <w:num w:numId="31">
    <w:abstractNumId w:val="12"/>
  </w:num>
  <w:num w:numId="32">
    <w:abstractNumId w:val="38"/>
  </w:num>
  <w:num w:numId="33">
    <w:abstractNumId w:val="37"/>
  </w:num>
  <w:num w:numId="34">
    <w:abstractNumId w:val="11"/>
  </w:num>
  <w:num w:numId="35">
    <w:abstractNumId w:val="35"/>
  </w:num>
  <w:num w:numId="36">
    <w:abstractNumId w:val="30"/>
  </w:num>
  <w:num w:numId="37">
    <w:abstractNumId w:val="22"/>
  </w:num>
  <w:num w:numId="38">
    <w:abstractNumId w:val="25"/>
  </w:num>
  <w:num w:numId="39">
    <w:abstractNumId w:val="15"/>
  </w:num>
  <w:num w:numId="40">
    <w:abstractNumId w:val="2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107"/>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389"/>
    <w:rsid w:val="0002669F"/>
    <w:rsid w:val="000279E5"/>
    <w:rsid w:val="000305E0"/>
    <w:rsid w:val="00031AE0"/>
    <w:rsid w:val="00031BB2"/>
    <w:rsid w:val="000322EF"/>
    <w:rsid w:val="00032C3C"/>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363"/>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5152"/>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2BC"/>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D7C6F"/>
    <w:rsid w:val="000E04FD"/>
    <w:rsid w:val="000E0E96"/>
    <w:rsid w:val="000E298B"/>
    <w:rsid w:val="000E2C7D"/>
    <w:rsid w:val="000E3E56"/>
    <w:rsid w:val="000E440D"/>
    <w:rsid w:val="000E4AC5"/>
    <w:rsid w:val="000E6253"/>
    <w:rsid w:val="000E6AC4"/>
    <w:rsid w:val="000E6E4D"/>
    <w:rsid w:val="000E6FBD"/>
    <w:rsid w:val="000E6FCB"/>
    <w:rsid w:val="000F090B"/>
    <w:rsid w:val="000F0E42"/>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6BCC"/>
    <w:rsid w:val="00107124"/>
    <w:rsid w:val="0011038E"/>
    <w:rsid w:val="00111573"/>
    <w:rsid w:val="00112370"/>
    <w:rsid w:val="0011239B"/>
    <w:rsid w:val="001125EF"/>
    <w:rsid w:val="00112CAB"/>
    <w:rsid w:val="0011440C"/>
    <w:rsid w:val="00114C33"/>
    <w:rsid w:val="00114D5B"/>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5376"/>
    <w:rsid w:val="00136A6F"/>
    <w:rsid w:val="00136C1A"/>
    <w:rsid w:val="00137812"/>
    <w:rsid w:val="001405FA"/>
    <w:rsid w:val="00140D1A"/>
    <w:rsid w:val="00141184"/>
    <w:rsid w:val="00141315"/>
    <w:rsid w:val="0014152B"/>
    <w:rsid w:val="00141AA0"/>
    <w:rsid w:val="001425C3"/>
    <w:rsid w:val="0014262D"/>
    <w:rsid w:val="00142B29"/>
    <w:rsid w:val="00143EED"/>
    <w:rsid w:val="00144108"/>
    <w:rsid w:val="00144588"/>
    <w:rsid w:val="001447DD"/>
    <w:rsid w:val="00145358"/>
    <w:rsid w:val="001459BC"/>
    <w:rsid w:val="0014779E"/>
    <w:rsid w:val="00147B13"/>
    <w:rsid w:val="00150ECA"/>
    <w:rsid w:val="0015108F"/>
    <w:rsid w:val="00151707"/>
    <w:rsid w:val="00152C86"/>
    <w:rsid w:val="00152EBC"/>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23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64B"/>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6B3F"/>
    <w:rsid w:val="001D7EFD"/>
    <w:rsid w:val="001D7F60"/>
    <w:rsid w:val="001E085B"/>
    <w:rsid w:val="001E149B"/>
    <w:rsid w:val="001E15CB"/>
    <w:rsid w:val="001E1AF1"/>
    <w:rsid w:val="001E3306"/>
    <w:rsid w:val="001E504C"/>
    <w:rsid w:val="001E56AC"/>
    <w:rsid w:val="001E5A17"/>
    <w:rsid w:val="001E6441"/>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1D"/>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3F48"/>
    <w:rsid w:val="00254FC3"/>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0ED"/>
    <w:rsid w:val="002A3209"/>
    <w:rsid w:val="002A34B5"/>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0D42"/>
    <w:rsid w:val="00301294"/>
    <w:rsid w:val="003017EC"/>
    <w:rsid w:val="00302165"/>
    <w:rsid w:val="00303BB4"/>
    <w:rsid w:val="00304771"/>
    <w:rsid w:val="00304F9C"/>
    <w:rsid w:val="003052D4"/>
    <w:rsid w:val="00305863"/>
    <w:rsid w:val="003060D6"/>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A8B"/>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375E0"/>
    <w:rsid w:val="00340BF3"/>
    <w:rsid w:val="00341C6C"/>
    <w:rsid w:val="00341D26"/>
    <w:rsid w:val="00341F05"/>
    <w:rsid w:val="0034335E"/>
    <w:rsid w:val="00344668"/>
    <w:rsid w:val="00344940"/>
    <w:rsid w:val="0034506D"/>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B2D"/>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32DB"/>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5EBF"/>
    <w:rsid w:val="003D6920"/>
    <w:rsid w:val="003D6982"/>
    <w:rsid w:val="003E0249"/>
    <w:rsid w:val="003E08A4"/>
    <w:rsid w:val="003E105C"/>
    <w:rsid w:val="003E1EF8"/>
    <w:rsid w:val="003E2DFB"/>
    <w:rsid w:val="003E4466"/>
    <w:rsid w:val="003E4C91"/>
    <w:rsid w:val="003E52D8"/>
    <w:rsid w:val="003E62F1"/>
    <w:rsid w:val="003E6ED5"/>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07B"/>
    <w:rsid w:val="00425352"/>
    <w:rsid w:val="00426C99"/>
    <w:rsid w:val="004272BE"/>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0D2A"/>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6AEE"/>
    <w:rsid w:val="0047735C"/>
    <w:rsid w:val="004776BC"/>
    <w:rsid w:val="00477820"/>
    <w:rsid w:val="00477B96"/>
    <w:rsid w:val="00480802"/>
    <w:rsid w:val="00480BAE"/>
    <w:rsid w:val="00480D7F"/>
    <w:rsid w:val="0048139F"/>
    <w:rsid w:val="00481E40"/>
    <w:rsid w:val="00482405"/>
    <w:rsid w:val="004826A7"/>
    <w:rsid w:val="004828DA"/>
    <w:rsid w:val="0048368C"/>
    <w:rsid w:val="0048372F"/>
    <w:rsid w:val="0048399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389"/>
    <w:rsid w:val="004A0498"/>
    <w:rsid w:val="004A06B0"/>
    <w:rsid w:val="004A0D0E"/>
    <w:rsid w:val="004A14E4"/>
    <w:rsid w:val="004A204E"/>
    <w:rsid w:val="004A26A5"/>
    <w:rsid w:val="004A27F0"/>
    <w:rsid w:val="004A3212"/>
    <w:rsid w:val="004A37CD"/>
    <w:rsid w:val="004A3BE4"/>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91D"/>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CE4"/>
    <w:rsid w:val="004C3DB0"/>
    <w:rsid w:val="004C439A"/>
    <w:rsid w:val="004C4720"/>
    <w:rsid w:val="004C4CD0"/>
    <w:rsid w:val="004C5060"/>
    <w:rsid w:val="004C5165"/>
    <w:rsid w:val="004C589C"/>
    <w:rsid w:val="004C5AE8"/>
    <w:rsid w:val="004C6E0E"/>
    <w:rsid w:val="004C70DC"/>
    <w:rsid w:val="004D0211"/>
    <w:rsid w:val="004D0794"/>
    <w:rsid w:val="004D17A6"/>
    <w:rsid w:val="004D2D31"/>
    <w:rsid w:val="004D2E03"/>
    <w:rsid w:val="004D3296"/>
    <w:rsid w:val="004D4056"/>
    <w:rsid w:val="004D4CB0"/>
    <w:rsid w:val="004D5B0F"/>
    <w:rsid w:val="004D7626"/>
    <w:rsid w:val="004E085C"/>
    <w:rsid w:val="004E12DF"/>
    <w:rsid w:val="004E186A"/>
    <w:rsid w:val="004E1A40"/>
    <w:rsid w:val="004E1DB2"/>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01B"/>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32B"/>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68"/>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684D"/>
    <w:rsid w:val="00597671"/>
    <w:rsid w:val="00597BBF"/>
    <w:rsid w:val="005A040C"/>
    <w:rsid w:val="005A0463"/>
    <w:rsid w:val="005A05DF"/>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1705"/>
    <w:rsid w:val="005B26B0"/>
    <w:rsid w:val="005B41C9"/>
    <w:rsid w:val="005B44E6"/>
    <w:rsid w:val="005B4853"/>
    <w:rsid w:val="005B591B"/>
    <w:rsid w:val="005B6CA1"/>
    <w:rsid w:val="005B770C"/>
    <w:rsid w:val="005C06ED"/>
    <w:rsid w:val="005C0CE1"/>
    <w:rsid w:val="005C11B8"/>
    <w:rsid w:val="005C1B24"/>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5B60"/>
    <w:rsid w:val="005D66E6"/>
    <w:rsid w:val="005D7119"/>
    <w:rsid w:val="005D76C8"/>
    <w:rsid w:val="005D7890"/>
    <w:rsid w:val="005D7AAF"/>
    <w:rsid w:val="005E19C1"/>
    <w:rsid w:val="005E2194"/>
    <w:rsid w:val="005E24F0"/>
    <w:rsid w:val="005E3113"/>
    <w:rsid w:val="005E36FE"/>
    <w:rsid w:val="005E3F66"/>
    <w:rsid w:val="005E490F"/>
    <w:rsid w:val="005E4BC9"/>
    <w:rsid w:val="005E5314"/>
    <w:rsid w:val="005E53DC"/>
    <w:rsid w:val="005E764D"/>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5F7B79"/>
    <w:rsid w:val="0060120D"/>
    <w:rsid w:val="006017C1"/>
    <w:rsid w:val="00601ADE"/>
    <w:rsid w:val="00601EEF"/>
    <w:rsid w:val="0060255A"/>
    <w:rsid w:val="00602998"/>
    <w:rsid w:val="00602EB3"/>
    <w:rsid w:val="00604307"/>
    <w:rsid w:val="0060487F"/>
    <w:rsid w:val="00604EAD"/>
    <w:rsid w:val="0060513F"/>
    <w:rsid w:val="006065E2"/>
    <w:rsid w:val="0060694B"/>
    <w:rsid w:val="00607E1D"/>
    <w:rsid w:val="006104FB"/>
    <w:rsid w:val="006116FF"/>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415E"/>
    <w:rsid w:val="00625A84"/>
    <w:rsid w:val="00626079"/>
    <w:rsid w:val="006275B5"/>
    <w:rsid w:val="00631698"/>
    <w:rsid w:val="00631E44"/>
    <w:rsid w:val="00634C57"/>
    <w:rsid w:val="00634CE7"/>
    <w:rsid w:val="006350D5"/>
    <w:rsid w:val="00635EBE"/>
    <w:rsid w:val="0063642C"/>
    <w:rsid w:val="006376B3"/>
    <w:rsid w:val="00637858"/>
    <w:rsid w:val="006404A7"/>
    <w:rsid w:val="00640A38"/>
    <w:rsid w:val="00640E6B"/>
    <w:rsid w:val="00641787"/>
    <w:rsid w:val="0064179B"/>
    <w:rsid w:val="00642338"/>
    <w:rsid w:val="00642489"/>
    <w:rsid w:val="00644055"/>
    <w:rsid w:val="00644137"/>
    <w:rsid w:val="0064478C"/>
    <w:rsid w:val="00644938"/>
    <w:rsid w:val="00645160"/>
    <w:rsid w:val="006451E4"/>
    <w:rsid w:val="0064574B"/>
    <w:rsid w:val="00645B33"/>
    <w:rsid w:val="00650FFC"/>
    <w:rsid w:val="0065153D"/>
    <w:rsid w:val="006516CB"/>
    <w:rsid w:val="00652444"/>
    <w:rsid w:val="00652E30"/>
    <w:rsid w:val="00653BD0"/>
    <w:rsid w:val="00654110"/>
    <w:rsid w:val="00656C5D"/>
    <w:rsid w:val="00656CFB"/>
    <w:rsid w:val="00656D25"/>
    <w:rsid w:val="00657E87"/>
    <w:rsid w:val="00660D2D"/>
    <w:rsid w:val="0066110B"/>
    <w:rsid w:val="00661C41"/>
    <w:rsid w:val="00661EC9"/>
    <w:rsid w:val="00662469"/>
    <w:rsid w:val="0066411C"/>
    <w:rsid w:val="00664205"/>
    <w:rsid w:val="00664647"/>
    <w:rsid w:val="00664803"/>
    <w:rsid w:val="0066502F"/>
    <w:rsid w:val="006653CC"/>
    <w:rsid w:val="00665501"/>
    <w:rsid w:val="00665982"/>
    <w:rsid w:val="00665BA4"/>
    <w:rsid w:val="00666BF3"/>
    <w:rsid w:val="00667748"/>
    <w:rsid w:val="00667856"/>
    <w:rsid w:val="00667AF2"/>
    <w:rsid w:val="00670489"/>
    <w:rsid w:val="006710C9"/>
    <w:rsid w:val="00671D85"/>
    <w:rsid w:val="00672586"/>
    <w:rsid w:val="006727BC"/>
    <w:rsid w:val="006741CD"/>
    <w:rsid w:val="006745DF"/>
    <w:rsid w:val="00674BAC"/>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9F8"/>
    <w:rsid w:val="00684B9B"/>
    <w:rsid w:val="00684D59"/>
    <w:rsid w:val="00684E25"/>
    <w:rsid w:val="006858A4"/>
    <w:rsid w:val="00685C08"/>
    <w:rsid w:val="00685C8C"/>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3CAF"/>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5D3"/>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8A4"/>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1A6"/>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4A6"/>
    <w:rsid w:val="0073261D"/>
    <w:rsid w:val="0073333D"/>
    <w:rsid w:val="007343D9"/>
    <w:rsid w:val="00734F71"/>
    <w:rsid w:val="00735448"/>
    <w:rsid w:val="00736F07"/>
    <w:rsid w:val="007377BD"/>
    <w:rsid w:val="00737DEC"/>
    <w:rsid w:val="0074004D"/>
    <w:rsid w:val="00741493"/>
    <w:rsid w:val="00741F2A"/>
    <w:rsid w:val="007434E5"/>
    <w:rsid w:val="00743884"/>
    <w:rsid w:val="0074499B"/>
    <w:rsid w:val="007449D6"/>
    <w:rsid w:val="0074501E"/>
    <w:rsid w:val="007450BF"/>
    <w:rsid w:val="0074599A"/>
    <w:rsid w:val="00746EE5"/>
    <w:rsid w:val="00746F45"/>
    <w:rsid w:val="007471A1"/>
    <w:rsid w:val="007477BD"/>
    <w:rsid w:val="007477DA"/>
    <w:rsid w:val="00747EE9"/>
    <w:rsid w:val="007520B6"/>
    <w:rsid w:val="00752180"/>
    <w:rsid w:val="00752323"/>
    <w:rsid w:val="007532B7"/>
    <w:rsid w:val="00753CAB"/>
    <w:rsid w:val="00754A70"/>
    <w:rsid w:val="00754BC9"/>
    <w:rsid w:val="00754FB0"/>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A88"/>
    <w:rsid w:val="00763B23"/>
    <w:rsid w:val="00763B85"/>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BF0"/>
    <w:rsid w:val="00780EF1"/>
    <w:rsid w:val="00781A91"/>
    <w:rsid w:val="00781AD3"/>
    <w:rsid w:val="00781F36"/>
    <w:rsid w:val="00783576"/>
    <w:rsid w:val="00784980"/>
    <w:rsid w:val="007853FD"/>
    <w:rsid w:val="00785778"/>
    <w:rsid w:val="00786C87"/>
    <w:rsid w:val="0078755E"/>
    <w:rsid w:val="007877C9"/>
    <w:rsid w:val="00790764"/>
    <w:rsid w:val="0079085F"/>
    <w:rsid w:val="00790E96"/>
    <w:rsid w:val="00791005"/>
    <w:rsid w:val="00793D78"/>
    <w:rsid w:val="0079420B"/>
    <w:rsid w:val="0079453C"/>
    <w:rsid w:val="00794677"/>
    <w:rsid w:val="00795759"/>
    <w:rsid w:val="007A0B5E"/>
    <w:rsid w:val="007A170B"/>
    <w:rsid w:val="007A20EB"/>
    <w:rsid w:val="007A282C"/>
    <w:rsid w:val="007A293C"/>
    <w:rsid w:val="007A2A3A"/>
    <w:rsid w:val="007A33E2"/>
    <w:rsid w:val="007A3CAF"/>
    <w:rsid w:val="007A4551"/>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1E3F"/>
    <w:rsid w:val="007B2011"/>
    <w:rsid w:val="007B2CFE"/>
    <w:rsid w:val="007B309B"/>
    <w:rsid w:val="007B3D5E"/>
    <w:rsid w:val="007B3DCB"/>
    <w:rsid w:val="007B54AE"/>
    <w:rsid w:val="007B5725"/>
    <w:rsid w:val="007B5C1F"/>
    <w:rsid w:val="007B6689"/>
    <w:rsid w:val="007B6747"/>
    <w:rsid w:val="007B6F72"/>
    <w:rsid w:val="007B74AA"/>
    <w:rsid w:val="007C10BD"/>
    <w:rsid w:val="007C162D"/>
    <w:rsid w:val="007C1A03"/>
    <w:rsid w:val="007C1F0C"/>
    <w:rsid w:val="007C1FFB"/>
    <w:rsid w:val="007C2D94"/>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D7F4F"/>
    <w:rsid w:val="007E0535"/>
    <w:rsid w:val="007E07F2"/>
    <w:rsid w:val="007E0D4A"/>
    <w:rsid w:val="007E1788"/>
    <w:rsid w:val="007E1EE3"/>
    <w:rsid w:val="007E29B4"/>
    <w:rsid w:val="007E2F12"/>
    <w:rsid w:val="007E3627"/>
    <w:rsid w:val="007E435A"/>
    <w:rsid w:val="007E445C"/>
    <w:rsid w:val="007E49F7"/>
    <w:rsid w:val="007E4C70"/>
    <w:rsid w:val="007E5149"/>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3E08"/>
    <w:rsid w:val="00804155"/>
    <w:rsid w:val="00804C9F"/>
    <w:rsid w:val="0080559E"/>
    <w:rsid w:val="00805AF3"/>
    <w:rsid w:val="00806C9C"/>
    <w:rsid w:val="008071B1"/>
    <w:rsid w:val="0080734C"/>
    <w:rsid w:val="00807C82"/>
    <w:rsid w:val="008107EE"/>
    <w:rsid w:val="008117CC"/>
    <w:rsid w:val="00811FF8"/>
    <w:rsid w:val="0081249F"/>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3CE"/>
    <w:rsid w:val="0083471A"/>
    <w:rsid w:val="00834FAA"/>
    <w:rsid w:val="00835495"/>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AA1"/>
    <w:rsid w:val="00856D65"/>
    <w:rsid w:val="00856FA4"/>
    <w:rsid w:val="00860D79"/>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2A5"/>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2254"/>
    <w:rsid w:val="008A37E2"/>
    <w:rsid w:val="008A388E"/>
    <w:rsid w:val="008A394E"/>
    <w:rsid w:val="008A3CBA"/>
    <w:rsid w:val="008A4B59"/>
    <w:rsid w:val="008A63E1"/>
    <w:rsid w:val="008A66B7"/>
    <w:rsid w:val="008A68BB"/>
    <w:rsid w:val="008A6AA5"/>
    <w:rsid w:val="008A7127"/>
    <w:rsid w:val="008B02E7"/>
    <w:rsid w:val="008B0CBA"/>
    <w:rsid w:val="008B1850"/>
    <w:rsid w:val="008B2639"/>
    <w:rsid w:val="008B3537"/>
    <w:rsid w:val="008B35C1"/>
    <w:rsid w:val="008B3690"/>
    <w:rsid w:val="008B3A80"/>
    <w:rsid w:val="008B3AEC"/>
    <w:rsid w:val="008B3C07"/>
    <w:rsid w:val="008B3C6E"/>
    <w:rsid w:val="008B3F7B"/>
    <w:rsid w:val="008B43CA"/>
    <w:rsid w:val="008B5324"/>
    <w:rsid w:val="008B5C99"/>
    <w:rsid w:val="008B6106"/>
    <w:rsid w:val="008B7C02"/>
    <w:rsid w:val="008B7D2B"/>
    <w:rsid w:val="008B7EF9"/>
    <w:rsid w:val="008C0049"/>
    <w:rsid w:val="008C025A"/>
    <w:rsid w:val="008C0314"/>
    <w:rsid w:val="008C0E88"/>
    <w:rsid w:val="008C0EBE"/>
    <w:rsid w:val="008C1717"/>
    <w:rsid w:val="008C17F0"/>
    <w:rsid w:val="008C3A32"/>
    <w:rsid w:val="008C3B05"/>
    <w:rsid w:val="008C4B50"/>
    <w:rsid w:val="008C5A37"/>
    <w:rsid w:val="008C7569"/>
    <w:rsid w:val="008C79C3"/>
    <w:rsid w:val="008D006F"/>
    <w:rsid w:val="008D033D"/>
    <w:rsid w:val="008D06A2"/>
    <w:rsid w:val="008D0DBD"/>
    <w:rsid w:val="008D117E"/>
    <w:rsid w:val="008D127E"/>
    <w:rsid w:val="008D1CA8"/>
    <w:rsid w:val="008D1E0A"/>
    <w:rsid w:val="008D1E6A"/>
    <w:rsid w:val="008D2407"/>
    <w:rsid w:val="008D2A16"/>
    <w:rsid w:val="008D2AEC"/>
    <w:rsid w:val="008D3295"/>
    <w:rsid w:val="008D33F5"/>
    <w:rsid w:val="008D35E4"/>
    <w:rsid w:val="008D3ACD"/>
    <w:rsid w:val="008D3D21"/>
    <w:rsid w:val="008D6C3A"/>
    <w:rsid w:val="008D70E2"/>
    <w:rsid w:val="008D7F47"/>
    <w:rsid w:val="008E0001"/>
    <w:rsid w:val="008E039E"/>
    <w:rsid w:val="008E292B"/>
    <w:rsid w:val="008E2C57"/>
    <w:rsid w:val="008E31FF"/>
    <w:rsid w:val="008E3287"/>
    <w:rsid w:val="008E38E4"/>
    <w:rsid w:val="008E3DFA"/>
    <w:rsid w:val="008E419B"/>
    <w:rsid w:val="008E51EB"/>
    <w:rsid w:val="008E5746"/>
    <w:rsid w:val="008E64D7"/>
    <w:rsid w:val="008E6DCB"/>
    <w:rsid w:val="008E6E5D"/>
    <w:rsid w:val="008E6F06"/>
    <w:rsid w:val="008E7000"/>
    <w:rsid w:val="008E723E"/>
    <w:rsid w:val="008E7B8E"/>
    <w:rsid w:val="008E7FC9"/>
    <w:rsid w:val="008F0107"/>
    <w:rsid w:val="008F029B"/>
    <w:rsid w:val="008F0589"/>
    <w:rsid w:val="008F130B"/>
    <w:rsid w:val="008F2A5D"/>
    <w:rsid w:val="008F2BC7"/>
    <w:rsid w:val="008F2E83"/>
    <w:rsid w:val="008F3636"/>
    <w:rsid w:val="008F3FC9"/>
    <w:rsid w:val="008F418F"/>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B2B"/>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0FA"/>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6B8B"/>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3ECA"/>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7C8"/>
    <w:rsid w:val="009B0CAF"/>
    <w:rsid w:val="009B1324"/>
    <w:rsid w:val="009B2558"/>
    <w:rsid w:val="009B284F"/>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66F8"/>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D78C3"/>
    <w:rsid w:val="009E1120"/>
    <w:rsid w:val="009E1393"/>
    <w:rsid w:val="009E1922"/>
    <w:rsid w:val="009E1A3D"/>
    <w:rsid w:val="009E4715"/>
    <w:rsid w:val="009E4A58"/>
    <w:rsid w:val="009E5273"/>
    <w:rsid w:val="009E57A8"/>
    <w:rsid w:val="009E5B85"/>
    <w:rsid w:val="009E5DDB"/>
    <w:rsid w:val="009F032E"/>
    <w:rsid w:val="009F1CA6"/>
    <w:rsid w:val="009F2921"/>
    <w:rsid w:val="009F3063"/>
    <w:rsid w:val="009F42CF"/>
    <w:rsid w:val="009F4982"/>
    <w:rsid w:val="009F4CA7"/>
    <w:rsid w:val="009F4F6A"/>
    <w:rsid w:val="009F55BA"/>
    <w:rsid w:val="009F7D36"/>
    <w:rsid w:val="009F7D61"/>
    <w:rsid w:val="00A00470"/>
    <w:rsid w:val="00A00E71"/>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5FC3"/>
    <w:rsid w:val="00A2628E"/>
    <w:rsid w:val="00A266BF"/>
    <w:rsid w:val="00A26777"/>
    <w:rsid w:val="00A269AB"/>
    <w:rsid w:val="00A2731E"/>
    <w:rsid w:val="00A309AC"/>
    <w:rsid w:val="00A30EA4"/>
    <w:rsid w:val="00A30F65"/>
    <w:rsid w:val="00A315D0"/>
    <w:rsid w:val="00A3279E"/>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09AD"/>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1EAD"/>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49E1"/>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22A"/>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160"/>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C24"/>
    <w:rsid w:val="00B64E72"/>
    <w:rsid w:val="00B65CEF"/>
    <w:rsid w:val="00B6608F"/>
    <w:rsid w:val="00B674C7"/>
    <w:rsid w:val="00B67749"/>
    <w:rsid w:val="00B679FB"/>
    <w:rsid w:val="00B71FBF"/>
    <w:rsid w:val="00B734A0"/>
    <w:rsid w:val="00B73A14"/>
    <w:rsid w:val="00B73FE8"/>
    <w:rsid w:val="00B748BD"/>
    <w:rsid w:val="00B74964"/>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3A"/>
    <w:rsid w:val="00B97FE2"/>
    <w:rsid w:val="00BA0E0B"/>
    <w:rsid w:val="00BA201A"/>
    <w:rsid w:val="00BA21DF"/>
    <w:rsid w:val="00BA361D"/>
    <w:rsid w:val="00BA3787"/>
    <w:rsid w:val="00BA403A"/>
    <w:rsid w:val="00BA46E8"/>
    <w:rsid w:val="00BA49DB"/>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E47"/>
    <w:rsid w:val="00BB4F98"/>
    <w:rsid w:val="00BB50C0"/>
    <w:rsid w:val="00BB5AB2"/>
    <w:rsid w:val="00BB5ABF"/>
    <w:rsid w:val="00BB5F94"/>
    <w:rsid w:val="00BB6EA2"/>
    <w:rsid w:val="00BB7142"/>
    <w:rsid w:val="00BB76F3"/>
    <w:rsid w:val="00BB7B5B"/>
    <w:rsid w:val="00BB7EB1"/>
    <w:rsid w:val="00BC003F"/>
    <w:rsid w:val="00BC0930"/>
    <w:rsid w:val="00BC223A"/>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652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6086"/>
    <w:rsid w:val="00C27913"/>
    <w:rsid w:val="00C27FA7"/>
    <w:rsid w:val="00C300E2"/>
    <w:rsid w:val="00C31F21"/>
    <w:rsid w:val="00C32631"/>
    <w:rsid w:val="00C33301"/>
    <w:rsid w:val="00C33311"/>
    <w:rsid w:val="00C33B68"/>
    <w:rsid w:val="00C34AD4"/>
    <w:rsid w:val="00C35570"/>
    <w:rsid w:val="00C3579B"/>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27AD"/>
    <w:rsid w:val="00C5390B"/>
    <w:rsid w:val="00C54257"/>
    <w:rsid w:val="00C54697"/>
    <w:rsid w:val="00C550CE"/>
    <w:rsid w:val="00C553A5"/>
    <w:rsid w:val="00C55402"/>
    <w:rsid w:val="00C5603B"/>
    <w:rsid w:val="00C6020C"/>
    <w:rsid w:val="00C60AE3"/>
    <w:rsid w:val="00C61F47"/>
    <w:rsid w:val="00C62828"/>
    <w:rsid w:val="00C63132"/>
    <w:rsid w:val="00C655DA"/>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019E"/>
    <w:rsid w:val="00C81070"/>
    <w:rsid w:val="00C8174E"/>
    <w:rsid w:val="00C82191"/>
    <w:rsid w:val="00C83134"/>
    <w:rsid w:val="00C831E7"/>
    <w:rsid w:val="00C832F3"/>
    <w:rsid w:val="00C84307"/>
    <w:rsid w:val="00C845A4"/>
    <w:rsid w:val="00C8504C"/>
    <w:rsid w:val="00C85545"/>
    <w:rsid w:val="00C855B5"/>
    <w:rsid w:val="00C85F0E"/>
    <w:rsid w:val="00C867F9"/>
    <w:rsid w:val="00C872AA"/>
    <w:rsid w:val="00C87C6B"/>
    <w:rsid w:val="00C90357"/>
    <w:rsid w:val="00C90CF4"/>
    <w:rsid w:val="00C91C20"/>
    <w:rsid w:val="00C922DE"/>
    <w:rsid w:val="00C92843"/>
    <w:rsid w:val="00C929FE"/>
    <w:rsid w:val="00C92EB6"/>
    <w:rsid w:val="00C93389"/>
    <w:rsid w:val="00C948E6"/>
    <w:rsid w:val="00C94CDD"/>
    <w:rsid w:val="00C95123"/>
    <w:rsid w:val="00C97588"/>
    <w:rsid w:val="00CA0346"/>
    <w:rsid w:val="00CA0649"/>
    <w:rsid w:val="00CA0BD5"/>
    <w:rsid w:val="00CA0DA1"/>
    <w:rsid w:val="00CA1BD6"/>
    <w:rsid w:val="00CA2D95"/>
    <w:rsid w:val="00CA37FF"/>
    <w:rsid w:val="00CA423A"/>
    <w:rsid w:val="00CA47BC"/>
    <w:rsid w:val="00CA5EAD"/>
    <w:rsid w:val="00CA6AB4"/>
    <w:rsid w:val="00CA7255"/>
    <w:rsid w:val="00CA79E2"/>
    <w:rsid w:val="00CA7E12"/>
    <w:rsid w:val="00CB111E"/>
    <w:rsid w:val="00CB1BEE"/>
    <w:rsid w:val="00CB2351"/>
    <w:rsid w:val="00CB2BF7"/>
    <w:rsid w:val="00CB3605"/>
    <w:rsid w:val="00CB4022"/>
    <w:rsid w:val="00CB4257"/>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5EE0"/>
    <w:rsid w:val="00CD6331"/>
    <w:rsid w:val="00CD7E9E"/>
    <w:rsid w:val="00CE12FB"/>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0E03"/>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07CC2"/>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133"/>
    <w:rsid w:val="00D269B9"/>
    <w:rsid w:val="00D26E6B"/>
    <w:rsid w:val="00D27973"/>
    <w:rsid w:val="00D27F07"/>
    <w:rsid w:val="00D27F3A"/>
    <w:rsid w:val="00D31537"/>
    <w:rsid w:val="00D31E1E"/>
    <w:rsid w:val="00D322A0"/>
    <w:rsid w:val="00D32824"/>
    <w:rsid w:val="00D33297"/>
    <w:rsid w:val="00D334E2"/>
    <w:rsid w:val="00D335E5"/>
    <w:rsid w:val="00D350B1"/>
    <w:rsid w:val="00D35AD6"/>
    <w:rsid w:val="00D35BBB"/>
    <w:rsid w:val="00D35E1A"/>
    <w:rsid w:val="00D36B0A"/>
    <w:rsid w:val="00D36DFB"/>
    <w:rsid w:val="00D36E1C"/>
    <w:rsid w:val="00D373AF"/>
    <w:rsid w:val="00D40556"/>
    <w:rsid w:val="00D418E9"/>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2EB"/>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2CD7"/>
    <w:rsid w:val="00D932B8"/>
    <w:rsid w:val="00D932F0"/>
    <w:rsid w:val="00D95302"/>
    <w:rsid w:val="00D95889"/>
    <w:rsid w:val="00D95C5D"/>
    <w:rsid w:val="00D95CBE"/>
    <w:rsid w:val="00D95E7F"/>
    <w:rsid w:val="00D97D00"/>
    <w:rsid w:val="00DA0121"/>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27CD"/>
    <w:rsid w:val="00DE3231"/>
    <w:rsid w:val="00DE3E22"/>
    <w:rsid w:val="00DE3E5D"/>
    <w:rsid w:val="00DE450F"/>
    <w:rsid w:val="00DE4865"/>
    <w:rsid w:val="00DE5CA6"/>
    <w:rsid w:val="00DE5E55"/>
    <w:rsid w:val="00DE6209"/>
    <w:rsid w:val="00DE63AE"/>
    <w:rsid w:val="00DE7156"/>
    <w:rsid w:val="00DE7AC8"/>
    <w:rsid w:val="00DF0830"/>
    <w:rsid w:val="00DF1D57"/>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59C6"/>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C5D"/>
    <w:rsid w:val="00E47EBA"/>
    <w:rsid w:val="00E50156"/>
    <w:rsid w:val="00E504EB"/>
    <w:rsid w:val="00E5076C"/>
    <w:rsid w:val="00E50D2E"/>
    <w:rsid w:val="00E50D7D"/>
    <w:rsid w:val="00E51EF0"/>
    <w:rsid w:val="00E53470"/>
    <w:rsid w:val="00E5368D"/>
    <w:rsid w:val="00E539F6"/>
    <w:rsid w:val="00E54698"/>
    <w:rsid w:val="00E54BE9"/>
    <w:rsid w:val="00E54D22"/>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4E09"/>
    <w:rsid w:val="00E87CE2"/>
    <w:rsid w:val="00E87D5B"/>
    <w:rsid w:val="00E90CA8"/>
    <w:rsid w:val="00E911C6"/>
    <w:rsid w:val="00E920DE"/>
    <w:rsid w:val="00E930A1"/>
    <w:rsid w:val="00E93820"/>
    <w:rsid w:val="00E94A86"/>
    <w:rsid w:val="00E951AB"/>
    <w:rsid w:val="00E953F6"/>
    <w:rsid w:val="00E96143"/>
    <w:rsid w:val="00E96833"/>
    <w:rsid w:val="00E97506"/>
    <w:rsid w:val="00E97BB5"/>
    <w:rsid w:val="00E97D5B"/>
    <w:rsid w:val="00E97F14"/>
    <w:rsid w:val="00EA0B1A"/>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473"/>
    <w:rsid w:val="00EB6DA6"/>
    <w:rsid w:val="00EB6FAC"/>
    <w:rsid w:val="00EB7BAC"/>
    <w:rsid w:val="00EB7CC9"/>
    <w:rsid w:val="00EC03D7"/>
    <w:rsid w:val="00EC13A7"/>
    <w:rsid w:val="00EC189D"/>
    <w:rsid w:val="00EC2EB6"/>
    <w:rsid w:val="00EC4FFF"/>
    <w:rsid w:val="00EC5517"/>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A09"/>
    <w:rsid w:val="00EE6E06"/>
    <w:rsid w:val="00EE7179"/>
    <w:rsid w:val="00EF0D90"/>
    <w:rsid w:val="00EF150D"/>
    <w:rsid w:val="00EF1967"/>
    <w:rsid w:val="00EF1F5A"/>
    <w:rsid w:val="00EF23B5"/>
    <w:rsid w:val="00EF326A"/>
    <w:rsid w:val="00EF3898"/>
    <w:rsid w:val="00EF47BF"/>
    <w:rsid w:val="00EF52F7"/>
    <w:rsid w:val="00EF54CF"/>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6002"/>
    <w:rsid w:val="00F067B8"/>
    <w:rsid w:val="00F0730A"/>
    <w:rsid w:val="00F073ED"/>
    <w:rsid w:val="00F07C4C"/>
    <w:rsid w:val="00F07E45"/>
    <w:rsid w:val="00F10F11"/>
    <w:rsid w:val="00F11159"/>
    <w:rsid w:val="00F1152E"/>
    <w:rsid w:val="00F115E4"/>
    <w:rsid w:val="00F11AC4"/>
    <w:rsid w:val="00F11FDC"/>
    <w:rsid w:val="00F120A5"/>
    <w:rsid w:val="00F12CFB"/>
    <w:rsid w:val="00F13E60"/>
    <w:rsid w:val="00F13FDB"/>
    <w:rsid w:val="00F15AAA"/>
    <w:rsid w:val="00F15BEF"/>
    <w:rsid w:val="00F1770C"/>
    <w:rsid w:val="00F17898"/>
    <w:rsid w:val="00F204BF"/>
    <w:rsid w:val="00F207C2"/>
    <w:rsid w:val="00F21337"/>
    <w:rsid w:val="00F219A1"/>
    <w:rsid w:val="00F23927"/>
    <w:rsid w:val="00F23E20"/>
    <w:rsid w:val="00F24407"/>
    <w:rsid w:val="00F249CE"/>
    <w:rsid w:val="00F24FAA"/>
    <w:rsid w:val="00F25040"/>
    <w:rsid w:val="00F269D7"/>
    <w:rsid w:val="00F26FB5"/>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2E7"/>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54A"/>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2C07"/>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1BA4"/>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372"/>
    <w:rsid w:val="00FD4916"/>
    <w:rsid w:val="00FD4D12"/>
    <w:rsid w:val="00FD4F73"/>
    <w:rsid w:val="00FD595E"/>
    <w:rsid w:val="00FD6667"/>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56A"/>
    <w:rsid w:val="00FF5B8C"/>
    <w:rsid w:val="00FF63E6"/>
    <w:rsid w:val="00FF72DC"/>
    <w:rsid w:val="00FF7B96"/>
    <w:rsid w:val="019CB78C"/>
    <w:rsid w:val="0241D284"/>
    <w:rsid w:val="04BD1937"/>
    <w:rsid w:val="0523CDF2"/>
    <w:rsid w:val="06B1A837"/>
    <w:rsid w:val="07FB41B9"/>
    <w:rsid w:val="08A648BF"/>
    <w:rsid w:val="08AB0269"/>
    <w:rsid w:val="0A844D4D"/>
    <w:rsid w:val="0BCD71E1"/>
    <w:rsid w:val="0EBE9DEC"/>
    <w:rsid w:val="0FBB85B6"/>
    <w:rsid w:val="12650F4E"/>
    <w:rsid w:val="1371242A"/>
    <w:rsid w:val="1394E51D"/>
    <w:rsid w:val="14DB2A87"/>
    <w:rsid w:val="15DD577B"/>
    <w:rsid w:val="16EC38E2"/>
    <w:rsid w:val="17178072"/>
    <w:rsid w:val="173F358F"/>
    <w:rsid w:val="17513AF8"/>
    <w:rsid w:val="1812CB49"/>
    <w:rsid w:val="1B53A8C8"/>
    <w:rsid w:val="1BEE6986"/>
    <w:rsid w:val="20D21749"/>
    <w:rsid w:val="2111A021"/>
    <w:rsid w:val="21BE069A"/>
    <w:rsid w:val="224238BC"/>
    <w:rsid w:val="224482AD"/>
    <w:rsid w:val="23E0530E"/>
    <w:rsid w:val="24FC0D77"/>
    <w:rsid w:val="2A0E9F3A"/>
    <w:rsid w:val="2A2A6298"/>
    <w:rsid w:val="2F72CB2D"/>
    <w:rsid w:val="3204B56C"/>
    <w:rsid w:val="36A6CB7D"/>
    <w:rsid w:val="37D604A5"/>
    <w:rsid w:val="38C72AFC"/>
    <w:rsid w:val="3A31F626"/>
    <w:rsid w:val="3AA0BED0"/>
    <w:rsid w:val="3C7646FC"/>
    <w:rsid w:val="3E4A9713"/>
    <w:rsid w:val="3E77F3B4"/>
    <w:rsid w:val="40C3BF09"/>
    <w:rsid w:val="47207A7B"/>
    <w:rsid w:val="48038D4B"/>
    <w:rsid w:val="49E8263C"/>
    <w:rsid w:val="4A567F3C"/>
    <w:rsid w:val="50A35788"/>
    <w:rsid w:val="52944939"/>
    <w:rsid w:val="53942896"/>
    <w:rsid w:val="5536E42E"/>
    <w:rsid w:val="55914544"/>
    <w:rsid w:val="581B14F9"/>
    <w:rsid w:val="58FD3BB8"/>
    <w:rsid w:val="5B145290"/>
    <w:rsid w:val="5CF587E8"/>
    <w:rsid w:val="5DD689BF"/>
    <w:rsid w:val="5E8D8646"/>
    <w:rsid w:val="60B2C930"/>
    <w:rsid w:val="64244C5C"/>
    <w:rsid w:val="64B5C10F"/>
    <w:rsid w:val="661E5011"/>
    <w:rsid w:val="67F8BB57"/>
    <w:rsid w:val="6AEA4E8B"/>
    <w:rsid w:val="6AEC8A78"/>
    <w:rsid w:val="6D951AA9"/>
    <w:rsid w:val="7059F910"/>
    <w:rsid w:val="74248E8F"/>
    <w:rsid w:val="74EA3077"/>
    <w:rsid w:val="754BB0AE"/>
    <w:rsid w:val="75B5B795"/>
    <w:rsid w:val="76D4E0D9"/>
    <w:rsid w:val="78058569"/>
    <w:rsid w:val="785B85D1"/>
    <w:rsid w:val="78E73CD1"/>
    <w:rsid w:val="78EC659F"/>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56910147-D8D0-4759-AD79-65565E20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customStyle="1" w:styleId="scxw9398236">
    <w:name w:val="scxw9398236"/>
    <w:basedOn w:val="Standardnpsmoodstavce"/>
    <w:rsid w:val="000D7C6F"/>
  </w:style>
  <w:style w:type="character" w:customStyle="1" w:styleId="superscript">
    <w:name w:val="superscript"/>
    <w:basedOn w:val="Standardnpsmoodstavce"/>
    <w:rsid w:val="000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768357224">
      <w:bodyDiv w:val="1"/>
      <w:marLeft w:val="0"/>
      <w:marRight w:val="0"/>
      <w:marTop w:val="0"/>
      <w:marBottom w:val="0"/>
      <w:divBdr>
        <w:top w:val="none" w:sz="0" w:space="0" w:color="auto"/>
        <w:left w:val="none" w:sz="0" w:space="0" w:color="auto"/>
        <w:bottom w:val="none" w:sz="0" w:space="0" w:color="auto"/>
        <w:right w:val="none" w:sz="0" w:space="0" w:color="auto"/>
      </w:divBdr>
      <w:divsChild>
        <w:div w:id="1344359446">
          <w:marLeft w:val="0"/>
          <w:marRight w:val="0"/>
          <w:marTop w:val="0"/>
          <w:marBottom w:val="0"/>
          <w:divBdr>
            <w:top w:val="none" w:sz="0" w:space="0" w:color="auto"/>
            <w:left w:val="none" w:sz="0" w:space="0" w:color="auto"/>
            <w:bottom w:val="none" w:sz="0" w:space="0" w:color="auto"/>
            <w:right w:val="none" w:sz="0" w:space="0" w:color="auto"/>
          </w:divBdr>
        </w:div>
        <w:div w:id="1716659461">
          <w:marLeft w:val="0"/>
          <w:marRight w:val="0"/>
          <w:marTop w:val="0"/>
          <w:marBottom w:val="0"/>
          <w:divBdr>
            <w:top w:val="none" w:sz="0" w:space="0" w:color="auto"/>
            <w:left w:val="none" w:sz="0" w:space="0" w:color="auto"/>
            <w:bottom w:val="none" w:sz="0" w:space="0" w:color="auto"/>
            <w:right w:val="none" w:sz="0" w:space="0" w:color="auto"/>
          </w:divBdr>
          <w:divsChild>
            <w:div w:id="908930234">
              <w:marLeft w:val="-75"/>
              <w:marRight w:val="0"/>
              <w:marTop w:val="30"/>
              <w:marBottom w:val="30"/>
              <w:divBdr>
                <w:top w:val="none" w:sz="0" w:space="0" w:color="auto"/>
                <w:left w:val="none" w:sz="0" w:space="0" w:color="auto"/>
                <w:bottom w:val="none" w:sz="0" w:space="0" w:color="auto"/>
                <w:right w:val="none" w:sz="0" w:space="0" w:color="auto"/>
              </w:divBdr>
              <w:divsChild>
                <w:div w:id="189690384">
                  <w:marLeft w:val="0"/>
                  <w:marRight w:val="0"/>
                  <w:marTop w:val="0"/>
                  <w:marBottom w:val="0"/>
                  <w:divBdr>
                    <w:top w:val="none" w:sz="0" w:space="0" w:color="auto"/>
                    <w:left w:val="none" w:sz="0" w:space="0" w:color="auto"/>
                    <w:bottom w:val="none" w:sz="0" w:space="0" w:color="auto"/>
                    <w:right w:val="none" w:sz="0" w:space="0" w:color="auto"/>
                  </w:divBdr>
                  <w:divsChild>
                    <w:div w:id="345450649">
                      <w:marLeft w:val="0"/>
                      <w:marRight w:val="0"/>
                      <w:marTop w:val="0"/>
                      <w:marBottom w:val="0"/>
                      <w:divBdr>
                        <w:top w:val="none" w:sz="0" w:space="0" w:color="auto"/>
                        <w:left w:val="none" w:sz="0" w:space="0" w:color="auto"/>
                        <w:bottom w:val="none" w:sz="0" w:space="0" w:color="auto"/>
                        <w:right w:val="none" w:sz="0" w:space="0" w:color="auto"/>
                      </w:divBdr>
                    </w:div>
                  </w:divsChild>
                </w:div>
                <w:div w:id="2130083414">
                  <w:marLeft w:val="0"/>
                  <w:marRight w:val="0"/>
                  <w:marTop w:val="0"/>
                  <w:marBottom w:val="0"/>
                  <w:divBdr>
                    <w:top w:val="none" w:sz="0" w:space="0" w:color="auto"/>
                    <w:left w:val="none" w:sz="0" w:space="0" w:color="auto"/>
                    <w:bottom w:val="none" w:sz="0" w:space="0" w:color="auto"/>
                    <w:right w:val="none" w:sz="0" w:space="0" w:color="auto"/>
                  </w:divBdr>
                  <w:divsChild>
                    <w:div w:id="1847819293">
                      <w:marLeft w:val="0"/>
                      <w:marRight w:val="0"/>
                      <w:marTop w:val="0"/>
                      <w:marBottom w:val="0"/>
                      <w:divBdr>
                        <w:top w:val="none" w:sz="0" w:space="0" w:color="auto"/>
                        <w:left w:val="none" w:sz="0" w:space="0" w:color="auto"/>
                        <w:bottom w:val="none" w:sz="0" w:space="0" w:color="auto"/>
                        <w:right w:val="none" w:sz="0" w:space="0" w:color="auto"/>
                      </w:divBdr>
                    </w:div>
                  </w:divsChild>
                </w:div>
                <w:div w:id="141698433">
                  <w:marLeft w:val="0"/>
                  <w:marRight w:val="0"/>
                  <w:marTop w:val="0"/>
                  <w:marBottom w:val="0"/>
                  <w:divBdr>
                    <w:top w:val="none" w:sz="0" w:space="0" w:color="auto"/>
                    <w:left w:val="none" w:sz="0" w:space="0" w:color="auto"/>
                    <w:bottom w:val="none" w:sz="0" w:space="0" w:color="auto"/>
                    <w:right w:val="none" w:sz="0" w:space="0" w:color="auto"/>
                  </w:divBdr>
                  <w:divsChild>
                    <w:div w:id="1561865753">
                      <w:marLeft w:val="0"/>
                      <w:marRight w:val="0"/>
                      <w:marTop w:val="0"/>
                      <w:marBottom w:val="0"/>
                      <w:divBdr>
                        <w:top w:val="none" w:sz="0" w:space="0" w:color="auto"/>
                        <w:left w:val="none" w:sz="0" w:space="0" w:color="auto"/>
                        <w:bottom w:val="none" w:sz="0" w:space="0" w:color="auto"/>
                        <w:right w:val="none" w:sz="0" w:space="0" w:color="auto"/>
                      </w:divBdr>
                    </w:div>
                  </w:divsChild>
                </w:div>
                <w:div w:id="1168449760">
                  <w:marLeft w:val="0"/>
                  <w:marRight w:val="0"/>
                  <w:marTop w:val="0"/>
                  <w:marBottom w:val="0"/>
                  <w:divBdr>
                    <w:top w:val="none" w:sz="0" w:space="0" w:color="auto"/>
                    <w:left w:val="none" w:sz="0" w:space="0" w:color="auto"/>
                    <w:bottom w:val="none" w:sz="0" w:space="0" w:color="auto"/>
                    <w:right w:val="none" w:sz="0" w:space="0" w:color="auto"/>
                  </w:divBdr>
                  <w:divsChild>
                    <w:div w:id="1407143116">
                      <w:marLeft w:val="0"/>
                      <w:marRight w:val="0"/>
                      <w:marTop w:val="0"/>
                      <w:marBottom w:val="0"/>
                      <w:divBdr>
                        <w:top w:val="none" w:sz="0" w:space="0" w:color="auto"/>
                        <w:left w:val="none" w:sz="0" w:space="0" w:color="auto"/>
                        <w:bottom w:val="none" w:sz="0" w:space="0" w:color="auto"/>
                        <w:right w:val="none" w:sz="0" w:space="0" w:color="auto"/>
                      </w:divBdr>
                    </w:div>
                  </w:divsChild>
                </w:div>
                <w:div w:id="2124761785">
                  <w:marLeft w:val="0"/>
                  <w:marRight w:val="0"/>
                  <w:marTop w:val="0"/>
                  <w:marBottom w:val="0"/>
                  <w:divBdr>
                    <w:top w:val="none" w:sz="0" w:space="0" w:color="auto"/>
                    <w:left w:val="none" w:sz="0" w:space="0" w:color="auto"/>
                    <w:bottom w:val="none" w:sz="0" w:space="0" w:color="auto"/>
                    <w:right w:val="none" w:sz="0" w:space="0" w:color="auto"/>
                  </w:divBdr>
                  <w:divsChild>
                    <w:div w:id="1111317610">
                      <w:marLeft w:val="0"/>
                      <w:marRight w:val="0"/>
                      <w:marTop w:val="0"/>
                      <w:marBottom w:val="0"/>
                      <w:divBdr>
                        <w:top w:val="none" w:sz="0" w:space="0" w:color="auto"/>
                        <w:left w:val="none" w:sz="0" w:space="0" w:color="auto"/>
                        <w:bottom w:val="none" w:sz="0" w:space="0" w:color="auto"/>
                        <w:right w:val="none" w:sz="0" w:space="0" w:color="auto"/>
                      </w:divBdr>
                    </w:div>
                  </w:divsChild>
                </w:div>
                <w:div w:id="1016151455">
                  <w:marLeft w:val="0"/>
                  <w:marRight w:val="0"/>
                  <w:marTop w:val="0"/>
                  <w:marBottom w:val="0"/>
                  <w:divBdr>
                    <w:top w:val="none" w:sz="0" w:space="0" w:color="auto"/>
                    <w:left w:val="none" w:sz="0" w:space="0" w:color="auto"/>
                    <w:bottom w:val="none" w:sz="0" w:space="0" w:color="auto"/>
                    <w:right w:val="none" w:sz="0" w:space="0" w:color="auto"/>
                  </w:divBdr>
                  <w:divsChild>
                    <w:div w:id="1179079040">
                      <w:marLeft w:val="0"/>
                      <w:marRight w:val="0"/>
                      <w:marTop w:val="0"/>
                      <w:marBottom w:val="0"/>
                      <w:divBdr>
                        <w:top w:val="none" w:sz="0" w:space="0" w:color="auto"/>
                        <w:left w:val="none" w:sz="0" w:space="0" w:color="auto"/>
                        <w:bottom w:val="none" w:sz="0" w:space="0" w:color="auto"/>
                        <w:right w:val="none" w:sz="0" w:space="0" w:color="auto"/>
                      </w:divBdr>
                    </w:div>
                  </w:divsChild>
                </w:div>
                <w:div w:id="953753815">
                  <w:marLeft w:val="0"/>
                  <w:marRight w:val="0"/>
                  <w:marTop w:val="0"/>
                  <w:marBottom w:val="0"/>
                  <w:divBdr>
                    <w:top w:val="none" w:sz="0" w:space="0" w:color="auto"/>
                    <w:left w:val="none" w:sz="0" w:space="0" w:color="auto"/>
                    <w:bottom w:val="none" w:sz="0" w:space="0" w:color="auto"/>
                    <w:right w:val="none" w:sz="0" w:space="0" w:color="auto"/>
                  </w:divBdr>
                  <w:divsChild>
                    <w:div w:id="126052794">
                      <w:marLeft w:val="0"/>
                      <w:marRight w:val="0"/>
                      <w:marTop w:val="0"/>
                      <w:marBottom w:val="0"/>
                      <w:divBdr>
                        <w:top w:val="none" w:sz="0" w:space="0" w:color="auto"/>
                        <w:left w:val="none" w:sz="0" w:space="0" w:color="auto"/>
                        <w:bottom w:val="none" w:sz="0" w:space="0" w:color="auto"/>
                        <w:right w:val="none" w:sz="0" w:space="0" w:color="auto"/>
                      </w:divBdr>
                    </w:div>
                  </w:divsChild>
                </w:div>
                <w:div w:id="864711492">
                  <w:marLeft w:val="0"/>
                  <w:marRight w:val="0"/>
                  <w:marTop w:val="0"/>
                  <w:marBottom w:val="0"/>
                  <w:divBdr>
                    <w:top w:val="none" w:sz="0" w:space="0" w:color="auto"/>
                    <w:left w:val="none" w:sz="0" w:space="0" w:color="auto"/>
                    <w:bottom w:val="none" w:sz="0" w:space="0" w:color="auto"/>
                    <w:right w:val="none" w:sz="0" w:space="0" w:color="auto"/>
                  </w:divBdr>
                  <w:divsChild>
                    <w:div w:id="1959221365">
                      <w:marLeft w:val="0"/>
                      <w:marRight w:val="0"/>
                      <w:marTop w:val="0"/>
                      <w:marBottom w:val="0"/>
                      <w:divBdr>
                        <w:top w:val="none" w:sz="0" w:space="0" w:color="auto"/>
                        <w:left w:val="none" w:sz="0" w:space="0" w:color="auto"/>
                        <w:bottom w:val="none" w:sz="0" w:space="0" w:color="auto"/>
                        <w:right w:val="none" w:sz="0" w:space="0" w:color="auto"/>
                      </w:divBdr>
                    </w:div>
                  </w:divsChild>
                </w:div>
                <w:div w:id="708652465">
                  <w:marLeft w:val="0"/>
                  <w:marRight w:val="0"/>
                  <w:marTop w:val="0"/>
                  <w:marBottom w:val="0"/>
                  <w:divBdr>
                    <w:top w:val="none" w:sz="0" w:space="0" w:color="auto"/>
                    <w:left w:val="none" w:sz="0" w:space="0" w:color="auto"/>
                    <w:bottom w:val="none" w:sz="0" w:space="0" w:color="auto"/>
                    <w:right w:val="none" w:sz="0" w:space="0" w:color="auto"/>
                  </w:divBdr>
                  <w:divsChild>
                    <w:div w:id="587033635">
                      <w:marLeft w:val="0"/>
                      <w:marRight w:val="0"/>
                      <w:marTop w:val="0"/>
                      <w:marBottom w:val="0"/>
                      <w:divBdr>
                        <w:top w:val="none" w:sz="0" w:space="0" w:color="auto"/>
                        <w:left w:val="none" w:sz="0" w:space="0" w:color="auto"/>
                        <w:bottom w:val="none" w:sz="0" w:space="0" w:color="auto"/>
                        <w:right w:val="none" w:sz="0" w:space="0" w:color="auto"/>
                      </w:divBdr>
                    </w:div>
                  </w:divsChild>
                </w:div>
                <w:div w:id="970284968">
                  <w:marLeft w:val="0"/>
                  <w:marRight w:val="0"/>
                  <w:marTop w:val="0"/>
                  <w:marBottom w:val="0"/>
                  <w:divBdr>
                    <w:top w:val="none" w:sz="0" w:space="0" w:color="auto"/>
                    <w:left w:val="none" w:sz="0" w:space="0" w:color="auto"/>
                    <w:bottom w:val="none" w:sz="0" w:space="0" w:color="auto"/>
                    <w:right w:val="none" w:sz="0" w:space="0" w:color="auto"/>
                  </w:divBdr>
                  <w:divsChild>
                    <w:div w:id="1759984152">
                      <w:marLeft w:val="0"/>
                      <w:marRight w:val="0"/>
                      <w:marTop w:val="0"/>
                      <w:marBottom w:val="0"/>
                      <w:divBdr>
                        <w:top w:val="none" w:sz="0" w:space="0" w:color="auto"/>
                        <w:left w:val="none" w:sz="0" w:space="0" w:color="auto"/>
                        <w:bottom w:val="none" w:sz="0" w:space="0" w:color="auto"/>
                        <w:right w:val="none" w:sz="0" w:space="0" w:color="auto"/>
                      </w:divBdr>
                    </w:div>
                  </w:divsChild>
                </w:div>
                <w:div w:id="1041595004">
                  <w:marLeft w:val="0"/>
                  <w:marRight w:val="0"/>
                  <w:marTop w:val="0"/>
                  <w:marBottom w:val="0"/>
                  <w:divBdr>
                    <w:top w:val="none" w:sz="0" w:space="0" w:color="auto"/>
                    <w:left w:val="none" w:sz="0" w:space="0" w:color="auto"/>
                    <w:bottom w:val="none" w:sz="0" w:space="0" w:color="auto"/>
                    <w:right w:val="none" w:sz="0" w:space="0" w:color="auto"/>
                  </w:divBdr>
                  <w:divsChild>
                    <w:div w:id="1259410822">
                      <w:marLeft w:val="0"/>
                      <w:marRight w:val="0"/>
                      <w:marTop w:val="0"/>
                      <w:marBottom w:val="0"/>
                      <w:divBdr>
                        <w:top w:val="none" w:sz="0" w:space="0" w:color="auto"/>
                        <w:left w:val="none" w:sz="0" w:space="0" w:color="auto"/>
                        <w:bottom w:val="none" w:sz="0" w:space="0" w:color="auto"/>
                        <w:right w:val="none" w:sz="0" w:space="0" w:color="auto"/>
                      </w:divBdr>
                    </w:div>
                  </w:divsChild>
                </w:div>
                <w:div w:id="1384409651">
                  <w:marLeft w:val="0"/>
                  <w:marRight w:val="0"/>
                  <w:marTop w:val="0"/>
                  <w:marBottom w:val="0"/>
                  <w:divBdr>
                    <w:top w:val="none" w:sz="0" w:space="0" w:color="auto"/>
                    <w:left w:val="none" w:sz="0" w:space="0" w:color="auto"/>
                    <w:bottom w:val="none" w:sz="0" w:space="0" w:color="auto"/>
                    <w:right w:val="none" w:sz="0" w:space="0" w:color="auto"/>
                  </w:divBdr>
                  <w:divsChild>
                    <w:div w:id="73013662">
                      <w:marLeft w:val="0"/>
                      <w:marRight w:val="0"/>
                      <w:marTop w:val="0"/>
                      <w:marBottom w:val="0"/>
                      <w:divBdr>
                        <w:top w:val="none" w:sz="0" w:space="0" w:color="auto"/>
                        <w:left w:val="none" w:sz="0" w:space="0" w:color="auto"/>
                        <w:bottom w:val="none" w:sz="0" w:space="0" w:color="auto"/>
                        <w:right w:val="none" w:sz="0" w:space="0" w:color="auto"/>
                      </w:divBdr>
                    </w:div>
                  </w:divsChild>
                </w:div>
                <w:div w:id="1396856273">
                  <w:marLeft w:val="0"/>
                  <w:marRight w:val="0"/>
                  <w:marTop w:val="0"/>
                  <w:marBottom w:val="0"/>
                  <w:divBdr>
                    <w:top w:val="none" w:sz="0" w:space="0" w:color="auto"/>
                    <w:left w:val="none" w:sz="0" w:space="0" w:color="auto"/>
                    <w:bottom w:val="none" w:sz="0" w:space="0" w:color="auto"/>
                    <w:right w:val="none" w:sz="0" w:space="0" w:color="auto"/>
                  </w:divBdr>
                  <w:divsChild>
                    <w:div w:id="1129475919">
                      <w:marLeft w:val="0"/>
                      <w:marRight w:val="0"/>
                      <w:marTop w:val="0"/>
                      <w:marBottom w:val="0"/>
                      <w:divBdr>
                        <w:top w:val="none" w:sz="0" w:space="0" w:color="auto"/>
                        <w:left w:val="none" w:sz="0" w:space="0" w:color="auto"/>
                        <w:bottom w:val="none" w:sz="0" w:space="0" w:color="auto"/>
                        <w:right w:val="none" w:sz="0" w:space="0" w:color="auto"/>
                      </w:divBdr>
                    </w:div>
                  </w:divsChild>
                </w:div>
                <w:div w:id="241991679">
                  <w:marLeft w:val="0"/>
                  <w:marRight w:val="0"/>
                  <w:marTop w:val="0"/>
                  <w:marBottom w:val="0"/>
                  <w:divBdr>
                    <w:top w:val="none" w:sz="0" w:space="0" w:color="auto"/>
                    <w:left w:val="none" w:sz="0" w:space="0" w:color="auto"/>
                    <w:bottom w:val="none" w:sz="0" w:space="0" w:color="auto"/>
                    <w:right w:val="none" w:sz="0" w:space="0" w:color="auto"/>
                  </w:divBdr>
                  <w:divsChild>
                    <w:div w:id="1142037930">
                      <w:marLeft w:val="0"/>
                      <w:marRight w:val="0"/>
                      <w:marTop w:val="0"/>
                      <w:marBottom w:val="0"/>
                      <w:divBdr>
                        <w:top w:val="none" w:sz="0" w:space="0" w:color="auto"/>
                        <w:left w:val="none" w:sz="0" w:space="0" w:color="auto"/>
                        <w:bottom w:val="none" w:sz="0" w:space="0" w:color="auto"/>
                        <w:right w:val="none" w:sz="0" w:space="0" w:color="auto"/>
                      </w:divBdr>
                    </w:div>
                  </w:divsChild>
                </w:div>
                <w:div w:id="87964264">
                  <w:marLeft w:val="0"/>
                  <w:marRight w:val="0"/>
                  <w:marTop w:val="0"/>
                  <w:marBottom w:val="0"/>
                  <w:divBdr>
                    <w:top w:val="none" w:sz="0" w:space="0" w:color="auto"/>
                    <w:left w:val="none" w:sz="0" w:space="0" w:color="auto"/>
                    <w:bottom w:val="none" w:sz="0" w:space="0" w:color="auto"/>
                    <w:right w:val="none" w:sz="0" w:space="0" w:color="auto"/>
                  </w:divBdr>
                  <w:divsChild>
                    <w:div w:id="297150500">
                      <w:marLeft w:val="0"/>
                      <w:marRight w:val="0"/>
                      <w:marTop w:val="0"/>
                      <w:marBottom w:val="0"/>
                      <w:divBdr>
                        <w:top w:val="none" w:sz="0" w:space="0" w:color="auto"/>
                        <w:left w:val="none" w:sz="0" w:space="0" w:color="auto"/>
                        <w:bottom w:val="none" w:sz="0" w:space="0" w:color="auto"/>
                        <w:right w:val="none" w:sz="0" w:space="0" w:color="auto"/>
                      </w:divBdr>
                    </w:div>
                  </w:divsChild>
                </w:div>
                <w:div w:id="368145167">
                  <w:marLeft w:val="0"/>
                  <w:marRight w:val="0"/>
                  <w:marTop w:val="0"/>
                  <w:marBottom w:val="0"/>
                  <w:divBdr>
                    <w:top w:val="none" w:sz="0" w:space="0" w:color="auto"/>
                    <w:left w:val="none" w:sz="0" w:space="0" w:color="auto"/>
                    <w:bottom w:val="none" w:sz="0" w:space="0" w:color="auto"/>
                    <w:right w:val="none" w:sz="0" w:space="0" w:color="auto"/>
                  </w:divBdr>
                  <w:divsChild>
                    <w:div w:id="1170104264">
                      <w:marLeft w:val="0"/>
                      <w:marRight w:val="0"/>
                      <w:marTop w:val="0"/>
                      <w:marBottom w:val="0"/>
                      <w:divBdr>
                        <w:top w:val="none" w:sz="0" w:space="0" w:color="auto"/>
                        <w:left w:val="none" w:sz="0" w:space="0" w:color="auto"/>
                        <w:bottom w:val="none" w:sz="0" w:space="0" w:color="auto"/>
                        <w:right w:val="none" w:sz="0" w:space="0" w:color="auto"/>
                      </w:divBdr>
                    </w:div>
                  </w:divsChild>
                </w:div>
                <w:div w:id="542448709">
                  <w:marLeft w:val="0"/>
                  <w:marRight w:val="0"/>
                  <w:marTop w:val="0"/>
                  <w:marBottom w:val="0"/>
                  <w:divBdr>
                    <w:top w:val="none" w:sz="0" w:space="0" w:color="auto"/>
                    <w:left w:val="none" w:sz="0" w:space="0" w:color="auto"/>
                    <w:bottom w:val="none" w:sz="0" w:space="0" w:color="auto"/>
                    <w:right w:val="none" w:sz="0" w:space="0" w:color="auto"/>
                  </w:divBdr>
                  <w:divsChild>
                    <w:div w:id="811479007">
                      <w:marLeft w:val="0"/>
                      <w:marRight w:val="0"/>
                      <w:marTop w:val="0"/>
                      <w:marBottom w:val="0"/>
                      <w:divBdr>
                        <w:top w:val="none" w:sz="0" w:space="0" w:color="auto"/>
                        <w:left w:val="none" w:sz="0" w:space="0" w:color="auto"/>
                        <w:bottom w:val="none" w:sz="0" w:space="0" w:color="auto"/>
                        <w:right w:val="none" w:sz="0" w:space="0" w:color="auto"/>
                      </w:divBdr>
                    </w:div>
                  </w:divsChild>
                </w:div>
                <w:div w:id="218828323">
                  <w:marLeft w:val="0"/>
                  <w:marRight w:val="0"/>
                  <w:marTop w:val="0"/>
                  <w:marBottom w:val="0"/>
                  <w:divBdr>
                    <w:top w:val="none" w:sz="0" w:space="0" w:color="auto"/>
                    <w:left w:val="none" w:sz="0" w:space="0" w:color="auto"/>
                    <w:bottom w:val="none" w:sz="0" w:space="0" w:color="auto"/>
                    <w:right w:val="none" w:sz="0" w:space="0" w:color="auto"/>
                  </w:divBdr>
                  <w:divsChild>
                    <w:div w:id="521748238">
                      <w:marLeft w:val="0"/>
                      <w:marRight w:val="0"/>
                      <w:marTop w:val="0"/>
                      <w:marBottom w:val="0"/>
                      <w:divBdr>
                        <w:top w:val="none" w:sz="0" w:space="0" w:color="auto"/>
                        <w:left w:val="none" w:sz="0" w:space="0" w:color="auto"/>
                        <w:bottom w:val="none" w:sz="0" w:space="0" w:color="auto"/>
                        <w:right w:val="none" w:sz="0" w:space="0" w:color="auto"/>
                      </w:divBdr>
                    </w:div>
                  </w:divsChild>
                </w:div>
                <w:div w:id="929586458">
                  <w:marLeft w:val="0"/>
                  <w:marRight w:val="0"/>
                  <w:marTop w:val="0"/>
                  <w:marBottom w:val="0"/>
                  <w:divBdr>
                    <w:top w:val="none" w:sz="0" w:space="0" w:color="auto"/>
                    <w:left w:val="none" w:sz="0" w:space="0" w:color="auto"/>
                    <w:bottom w:val="none" w:sz="0" w:space="0" w:color="auto"/>
                    <w:right w:val="none" w:sz="0" w:space="0" w:color="auto"/>
                  </w:divBdr>
                  <w:divsChild>
                    <w:div w:id="1428455051">
                      <w:marLeft w:val="0"/>
                      <w:marRight w:val="0"/>
                      <w:marTop w:val="0"/>
                      <w:marBottom w:val="0"/>
                      <w:divBdr>
                        <w:top w:val="none" w:sz="0" w:space="0" w:color="auto"/>
                        <w:left w:val="none" w:sz="0" w:space="0" w:color="auto"/>
                        <w:bottom w:val="none" w:sz="0" w:space="0" w:color="auto"/>
                        <w:right w:val="none" w:sz="0" w:space="0" w:color="auto"/>
                      </w:divBdr>
                    </w:div>
                  </w:divsChild>
                </w:div>
                <w:div w:id="118381659">
                  <w:marLeft w:val="0"/>
                  <w:marRight w:val="0"/>
                  <w:marTop w:val="0"/>
                  <w:marBottom w:val="0"/>
                  <w:divBdr>
                    <w:top w:val="none" w:sz="0" w:space="0" w:color="auto"/>
                    <w:left w:val="none" w:sz="0" w:space="0" w:color="auto"/>
                    <w:bottom w:val="none" w:sz="0" w:space="0" w:color="auto"/>
                    <w:right w:val="none" w:sz="0" w:space="0" w:color="auto"/>
                  </w:divBdr>
                  <w:divsChild>
                    <w:div w:id="1199583312">
                      <w:marLeft w:val="0"/>
                      <w:marRight w:val="0"/>
                      <w:marTop w:val="0"/>
                      <w:marBottom w:val="0"/>
                      <w:divBdr>
                        <w:top w:val="none" w:sz="0" w:space="0" w:color="auto"/>
                        <w:left w:val="none" w:sz="0" w:space="0" w:color="auto"/>
                        <w:bottom w:val="none" w:sz="0" w:space="0" w:color="auto"/>
                        <w:right w:val="none" w:sz="0" w:space="0" w:color="auto"/>
                      </w:divBdr>
                    </w:div>
                  </w:divsChild>
                </w:div>
                <w:div w:id="427849766">
                  <w:marLeft w:val="0"/>
                  <w:marRight w:val="0"/>
                  <w:marTop w:val="0"/>
                  <w:marBottom w:val="0"/>
                  <w:divBdr>
                    <w:top w:val="none" w:sz="0" w:space="0" w:color="auto"/>
                    <w:left w:val="none" w:sz="0" w:space="0" w:color="auto"/>
                    <w:bottom w:val="none" w:sz="0" w:space="0" w:color="auto"/>
                    <w:right w:val="none" w:sz="0" w:space="0" w:color="auto"/>
                  </w:divBdr>
                  <w:divsChild>
                    <w:div w:id="975451761">
                      <w:marLeft w:val="0"/>
                      <w:marRight w:val="0"/>
                      <w:marTop w:val="0"/>
                      <w:marBottom w:val="0"/>
                      <w:divBdr>
                        <w:top w:val="none" w:sz="0" w:space="0" w:color="auto"/>
                        <w:left w:val="none" w:sz="0" w:space="0" w:color="auto"/>
                        <w:bottom w:val="none" w:sz="0" w:space="0" w:color="auto"/>
                        <w:right w:val="none" w:sz="0" w:space="0" w:color="auto"/>
                      </w:divBdr>
                    </w:div>
                  </w:divsChild>
                </w:div>
                <w:div w:id="1316687618">
                  <w:marLeft w:val="0"/>
                  <w:marRight w:val="0"/>
                  <w:marTop w:val="0"/>
                  <w:marBottom w:val="0"/>
                  <w:divBdr>
                    <w:top w:val="none" w:sz="0" w:space="0" w:color="auto"/>
                    <w:left w:val="none" w:sz="0" w:space="0" w:color="auto"/>
                    <w:bottom w:val="none" w:sz="0" w:space="0" w:color="auto"/>
                    <w:right w:val="none" w:sz="0" w:space="0" w:color="auto"/>
                  </w:divBdr>
                  <w:divsChild>
                    <w:div w:id="1760709789">
                      <w:marLeft w:val="0"/>
                      <w:marRight w:val="0"/>
                      <w:marTop w:val="0"/>
                      <w:marBottom w:val="0"/>
                      <w:divBdr>
                        <w:top w:val="none" w:sz="0" w:space="0" w:color="auto"/>
                        <w:left w:val="none" w:sz="0" w:space="0" w:color="auto"/>
                        <w:bottom w:val="none" w:sz="0" w:space="0" w:color="auto"/>
                        <w:right w:val="none" w:sz="0" w:space="0" w:color="auto"/>
                      </w:divBdr>
                    </w:div>
                  </w:divsChild>
                </w:div>
                <w:div w:id="91436658">
                  <w:marLeft w:val="0"/>
                  <w:marRight w:val="0"/>
                  <w:marTop w:val="0"/>
                  <w:marBottom w:val="0"/>
                  <w:divBdr>
                    <w:top w:val="none" w:sz="0" w:space="0" w:color="auto"/>
                    <w:left w:val="none" w:sz="0" w:space="0" w:color="auto"/>
                    <w:bottom w:val="none" w:sz="0" w:space="0" w:color="auto"/>
                    <w:right w:val="none" w:sz="0" w:space="0" w:color="auto"/>
                  </w:divBdr>
                  <w:divsChild>
                    <w:div w:id="1271090708">
                      <w:marLeft w:val="0"/>
                      <w:marRight w:val="0"/>
                      <w:marTop w:val="0"/>
                      <w:marBottom w:val="0"/>
                      <w:divBdr>
                        <w:top w:val="none" w:sz="0" w:space="0" w:color="auto"/>
                        <w:left w:val="none" w:sz="0" w:space="0" w:color="auto"/>
                        <w:bottom w:val="none" w:sz="0" w:space="0" w:color="auto"/>
                        <w:right w:val="none" w:sz="0" w:space="0" w:color="auto"/>
                      </w:divBdr>
                    </w:div>
                  </w:divsChild>
                </w:div>
                <w:div w:id="251159376">
                  <w:marLeft w:val="0"/>
                  <w:marRight w:val="0"/>
                  <w:marTop w:val="0"/>
                  <w:marBottom w:val="0"/>
                  <w:divBdr>
                    <w:top w:val="none" w:sz="0" w:space="0" w:color="auto"/>
                    <w:left w:val="none" w:sz="0" w:space="0" w:color="auto"/>
                    <w:bottom w:val="none" w:sz="0" w:space="0" w:color="auto"/>
                    <w:right w:val="none" w:sz="0" w:space="0" w:color="auto"/>
                  </w:divBdr>
                  <w:divsChild>
                    <w:div w:id="1281374192">
                      <w:marLeft w:val="0"/>
                      <w:marRight w:val="0"/>
                      <w:marTop w:val="0"/>
                      <w:marBottom w:val="0"/>
                      <w:divBdr>
                        <w:top w:val="none" w:sz="0" w:space="0" w:color="auto"/>
                        <w:left w:val="none" w:sz="0" w:space="0" w:color="auto"/>
                        <w:bottom w:val="none" w:sz="0" w:space="0" w:color="auto"/>
                        <w:right w:val="none" w:sz="0" w:space="0" w:color="auto"/>
                      </w:divBdr>
                    </w:div>
                  </w:divsChild>
                </w:div>
                <w:div w:id="1298798031">
                  <w:marLeft w:val="0"/>
                  <w:marRight w:val="0"/>
                  <w:marTop w:val="0"/>
                  <w:marBottom w:val="0"/>
                  <w:divBdr>
                    <w:top w:val="none" w:sz="0" w:space="0" w:color="auto"/>
                    <w:left w:val="none" w:sz="0" w:space="0" w:color="auto"/>
                    <w:bottom w:val="none" w:sz="0" w:space="0" w:color="auto"/>
                    <w:right w:val="none" w:sz="0" w:space="0" w:color="auto"/>
                  </w:divBdr>
                  <w:divsChild>
                    <w:div w:id="739056931">
                      <w:marLeft w:val="0"/>
                      <w:marRight w:val="0"/>
                      <w:marTop w:val="0"/>
                      <w:marBottom w:val="0"/>
                      <w:divBdr>
                        <w:top w:val="none" w:sz="0" w:space="0" w:color="auto"/>
                        <w:left w:val="none" w:sz="0" w:space="0" w:color="auto"/>
                        <w:bottom w:val="none" w:sz="0" w:space="0" w:color="auto"/>
                        <w:right w:val="none" w:sz="0" w:space="0" w:color="auto"/>
                      </w:divBdr>
                    </w:div>
                  </w:divsChild>
                </w:div>
                <w:div w:id="1063525951">
                  <w:marLeft w:val="0"/>
                  <w:marRight w:val="0"/>
                  <w:marTop w:val="0"/>
                  <w:marBottom w:val="0"/>
                  <w:divBdr>
                    <w:top w:val="none" w:sz="0" w:space="0" w:color="auto"/>
                    <w:left w:val="none" w:sz="0" w:space="0" w:color="auto"/>
                    <w:bottom w:val="none" w:sz="0" w:space="0" w:color="auto"/>
                    <w:right w:val="none" w:sz="0" w:space="0" w:color="auto"/>
                  </w:divBdr>
                  <w:divsChild>
                    <w:div w:id="11733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8559">
          <w:marLeft w:val="0"/>
          <w:marRight w:val="0"/>
          <w:marTop w:val="0"/>
          <w:marBottom w:val="0"/>
          <w:divBdr>
            <w:top w:val="none" w:sz="0" w:space="0" w:color="auto"/>
            <w:left w:val="none" w:sz="0" w:space="0" w:color="auto"/>
            <w:bottom w:val="none" w:sz="0" w:space="0" w:color="auto"/>
            <w:right w:val="none" w:sz="0" w:space="0" w:color="auto"/>
          </w:divBdr>
        </w:div>
        <w:div w:id="1058825861">
          <w:marLeft w:val="0"/>
          <w:marRight w:val="0"/>
          <w:marTop w:val="0"/>
          <w:marBottom w:val="0"/>
          <w:divBdr>
            <w:top w:val="none" w:sz="0" w:space="0" w:color="auto"/>
            <w:left w:val="none" w:sz="0" w:space="0" w:color="auto"/>
            <w:bottom w:val="none" w:sz="0" w:space="0" w:color="auto"/>
            <w:right w:val="none" w:sz="0" w:space="0" w:color="auto"/>
          </w:divBdr>
        </w:div>
        <w:div w:id="485049849">
          <w:marLeft w:val="0"/>
          <w:marRight w:val="0"/>
          <w:marTop w:val="0"/>
          <w:marBottom w:val="0"/>
          <w:divBdr>
            <w:top w:val="none" w:sz="0" w:space="0" w:color="auto"/>
            <w:left w:val="none" w:sz="0" w:space="0" w:color="auto"/>
            <w:bottom w:val="none" w:sz="0" w:space="0" w:color="auto"/>
            <w:right w:val="none" w:sz="0" w:space="0" w:color="auto"/>
          </w:divBdr>
        </w:div>
        <w:div w:id="1856000505">
          <w:marLeft w:val="0"/>
          <w:marRight w:val="0"/>
          <w:marTop w:val="0"/>
          <w:marBottom w:val="0"/>
          <w:divBdr>
            <w:top w:val="none" w:sz="0" w:space="0" w:color="auto"/>
            <w:left w:val="none" w:sz="0" w:space="0" w:color="auto"/>
            <w:bottom w:val="none" w:sz="0" w:space="0" w:color="auto"/>
            <w:right w:val="none" w:sz="0" w:space="0" w:color="auto"/>
          </w:divBdr>
        </w:div>
        <w:div w:id="1800152014">
          <w:marLeft w:val="0"/>
          <w:marRight w:val="0"/>
          <w:marTop w:val="0"/>
          <w:marBottom w:val="0"/>
          <w:divBdr>
            <w:top w:val="none" w:sz="0" w:space="0" w:color="auto"/>
            <w:left w:val="none" w:sz="0" w:space="0" w:color="auto"/>
            <w:bottom w:val="none" w:sz="0" w:space="0" w:color="auto"/>
            <w:right w:val="none" w:sz="0" w:space="0" w:color="auto"/>
          </w:divBdr>
        </w:div>
      </w:divsChild>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footer" Target="footer4.xml"/><Relationship Id="rId21" Type="http://schemas.openxmlformats.org/officeDocument/2006/relationships/chart" Target="charts/chart5.xml"/><Relationship Id="rId34" Type="http://schemas.openxmlformats.org/officeDocument/2006/relationships/chart" Target="charts/chart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cri/analyza-ctvrtletnich-sektorovych-uctu-2-ctvrtleti-2023" TargetMode="External"/><Relationship Id="rId2" Type="http://schemas.openxmlformats.org/officeDocument/2006/relationships/hyperlink" Target="https://www.czso.cz/csu/czso/metodicka-poznamka-k-indexu-spotrebitelskych-cen-imputovane-najemne" TargetMode="External"/><Relationship Id="rId1" Type="http://schemas.openxmlformats.org/officeDocument/2006/relationships/hyperlink" Target="https://www.czso.cz/csu/czso/aktualizace-metody-propoctu-zahranicni-obchod-se-zbozi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zabojnikova31519.CZSO\Documents\Anal&#253;za\Q\2023Q3\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zabojnikova31519\Documents\Anal&#253;za\Q\2023Q3\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zabojnikova31519.CZSO\Documents\Anal&#253;za\Q\2023Q3\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zabojnikova31519\Documents\Anal&#253;za\Q\2023Q3\Makroanal&#253;za%20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kamenicky3604\JKAM%20CSU\PUBLIKACE\PUBLIKACE\2023\Qmakro\1.a&#382;%203.&#269;tvrtlet&#237;%202023\Trh%20pr&#225;ce\Grafy-Trh%20pr&#225;ce%20celorok-3q-202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kamenicky3604\JKAM%20CSU\PUBLIKACE\PUBLIKACE\2023\Qmakro\1.a&#382;%203.&#269;tvrtlet&#237;%202023\Trh%20pr&#225;ce\Grafy-Trh%20pr&#225;ce%20celorok-3q-202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kamenicky3604\JKAM%20CSU\PUBLIKACE\PUBLIKACE\2023\Qmakro\1.a&#382;%203.&#269;tvrtlet&#237;%202023\Trh%20pr&#225;ce\Grafy-Trh%20pr&#225;ce%20celorok-3q-202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zabojnikova31519\Documents\Anal&#253;za\Q\2023Q3\Makroanal&#253;za%20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kamenicky3604\JKAM%20CSU\PUBLIKACE\PUBLIKACE\2023\Qmakro\1.a&#382;%203.&#269;tvrtlet&#237;%202023\Grafy-st&#225;tn&#237;%20rozpo&#269;et-3q-202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kamenicky3604\JKAM%20CSU\PUBLIKACE\PUBLIKACE\2023\Qmakro\1.a&#382;%203.&#269;tvrtlet&#237;%202023\Grafy-st&#225;tn&#237;%20rozpo&#269;et-3q-202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kamenicky3604\JKAM%20CSU\PUBLIKACE\PUBLIKACE\2023\Qmakro\1.a&#382;%203.&#269;tvrtlet&#237;%202023\Grafy-st&#225;tn&#237;%20rozpo&#269;et-3q-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abojnikova31519.CZSO\Documents\Anal&#253;za\Q\2023Q3\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bojnikova31519.CZSO\Documents\Anal&#253;za\Q\2023Q3\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QMakro-2023\1.a&#382;%203.&#269;tvrtlet&#237;%202023\Odv&#283;tv&#237;\Odv&#283;tv&#237;_grafy-3q-2023-ak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QMakro-2023\1.a&#382;%203.&#269;tvrtlet&#237;%202023\Odv&#283;tv&#237;\Odv&#283;tv&#237;_grafy-3q-2023-ak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QMakro-2023\1.a&#382;%203.&#269;tvrtlet&#237;%202023\Odv&#283;tv&#237;\Odv&#283;tv&#237;_grafy-3q-2023-ak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QMakro-2023\1.a&#382;%203.&#269;tvrtlet&#237;%202023\Odv&#283;tv&#237;\Odv&#283;tv&#237;_grafy-3q-2023-ak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QMakro-2023\1.a&#382;%203.&#269;tvrtlet&#237;%202023\Odv&#283;tv&#237;\Odv&#283;tv&#237;_grafy-3q-2023-ak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abojnikova31519.CZSO\Documents\Anal&#253;za\Q\2023Q3\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701E-2"/>
          <c:y val="2.304663608562698E-2"/>
          <c:w val="0.92008633063154344"/>
          <c:h val="0.74192840256671744"/>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1'!$A$29:$B$51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1'!$C$29:$C$51</c:f>
              <c:numCache>
                <c:formatCode>0.0</c:formatCode>
                <c:ptCount val="23"/>
                <c:pt idx="0">
                  <c:v>4.7409690869492094</c:v>
                </c:pt>
                <c:pt idx="1">
                  <c:v>2.8084745992628513</c:v>
                </c:pt>
                <c:pt idx="2">
                  <c:v>2.6946757492296172</c:v>
                </c:pt>
                <c:pt idx="3">
                  <c:v>2.6327282626460686</c:v>
                </c:pt>
                <c:pt idx="4">
                  <c:v>2.9925598229108177</c:v>
                </c:pt>
                <c:pt idx="5">
                  <c:v>3.0577797411869398</c:v>
                </c:pt>
                <c:pt idx="6">
                  <c:v>3.0222821330284777</c:v>
                </c:pt>
                <c:pt idx="7">
                  <c:v>2.7919398416799659</c:v>
                </c:pt>
                <c:pt idx="8">
                  <c:v>-1.4737630559722406</c:v>
                </c:pt>
                <c:pt idx="9">
                  <c:v>-10.802828827516109</c:v>
                </c:pt>
                <c:pt idx="10">
                  <c:v>-5.2166971565464166</c:v>
                </c:pt>
                <c:pt idx="11">
                  <c:v>-4.5664791785978451</c:v>
                </c:pt>
                <c:pt idx="12">
                  <c:v>-1.9186413648622118</c:v>
                </c:pt>
                <c:pt idx="13">
                  <c:v>9.179288410047473</c:v>
                </c:pt>
                <c:pt idx="14">
                  <c:v>3.8208995035486284</c:v>
                </c:pt>
                <c:pt idx="15">
                  <c:v>3.4133294018282068</c:v>
                </c:pt>
                <c:pt idx="16">
                  <c:v>4.6827760503125955</c:v>
                </c:pt>
                <c:pt idx="17">
                  <c:v>3.3595353964859953</c:v>
                </c:pt>
                <c:pt idx="18">
                  <c:v>1.3500170189121981</c:v>
                </c:pt>
                <c:pt idx="19">
                  <c:v>0.12011038697296783</c:v>
                </c:pt>
                <c:pt idx="20">
                  <c:v>-0.37781887870443243</c:v>
                </c:pt>
                <c:pt idx="21">
                  <c:v>-0.419832424919932</c:v>
                </c:pt>
                <c:pt idx="22" formatCode="General">
                  <c:v>-0.71929526766406671</c:v>
                </c:pt>
              </c:numCache>
            </c:numRef>
          </c:val>
          <c:extLst>
            <c:ext xmlns:c16="http://schemas.microsoft.com/office/drawing/2014/chart" uri="{C3380CC4-5D6E-409C-BE32-E72D297353CC}">
              <c16:uniqueId val="{00000000-FDD5-40CE-87ED-5DF9CE55C83A}"/>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1'!$A$29:$B$51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1'!$D$29:$D$51</c:f>
              <c:numCache>
                <c:formatCode>#\ ##0.##########</c:formatCode>
                <c:ptCount val="23"/>
                <c:pt idx="0">
                  <c:v>2.6</c:v>
                </c:pt>
                <c:pt idx="1">
                  <c:v>2.4</c:v>
                </c:pt>
                <c:pt idx="2">
                  <c:v>1.7000000000000006</c:v>
                </c:pt>
                <c:pt idx="3">
                  <c:v>1.6</c:v>
                </c:pt>
                <c:pt idx="4">
                  <c:v>2.1</c:v>
                </c:pt>
                <c:pt idx="5">
                  <c:v>1.9000000000000001</c:v>
                </c:pt>
                <c:pt idx="6" formatCode="#\ ##0.0">
                  <c:v>2</c:v>
                </c:pt>
                <c:pt idx="7">
                  <c:v>1.4</c:v>
                </c:pt>
                <c:pt idx="8">
                  <c:v>-2.2999999999999998</c:v>
                </c:pt>
                <c:pt idx="9">
                  <c:v>-13.3</c:v>
                </c:pt>
                <c:pt idx="10">
                  <c:v>-3.8</c:v>
                </c:pt>
                <c:pt idx="11">
                  <c:v>-3.7</c:v>
                </c:pt>
                <c:pt idx="12">
                  <c:v>-0.1</c:v>
                </c:pt>
                <c:pt idx="13">
                  <c:v>14.4</c:v>
                </c:pt>
                <c:pt idx="14">
                  <c:v>4.9000000000000004</c:v>
                </c:pt>
                <c:pt idx="15">
                  <c:v>5.5</c:v>
                </c:pt>
                <c:pt idx="16">
                  <c:v>5.6</c:v>
                </c:pt>
                <c:pt idx="17">
                  <c:v>4.2</c:v>
                </c:pt>
                <c:pt idx="18">
                  <c:v>2.5</c:v>
                </c:pt>
                <c:pt idx="19">
                  <c:v>1.7000000000000006</c:v>
                </c:pt>
                <c:pt idx="20">
                  <c:v>1.1000000000000001</c:v>
                </c:pt>
                <c:pt idx="21">
                  <c:v>0.4</c:v>
                </c:pt>
                <c:pt idx="22">
                  <c:v>0.1</c:v>
                </c:pt>
              </c:numCache>
            </c:numRef>
          </c:val>
          <c:extLst>
            <c:ext xmlns:c16="http://schemas.microsoft.com/office/drawing/2014/chart" uri="{C3380CC4-5D6E-409C-BE32-E72D297353CC}">
              <c16:uniqueId val="{00000001-FDD5-40CE-87ED-5DF9CE55C83A}"/>
            </c:ext>
          </c:extLst>
        </c:ser>
        <c:dLbls>
          <c:showLegendKey val="0"/>
          <c:showVal val="0"/>
          <c:showCatName val="0"/>
          <c:showSerName val="0"/>
          <c:showPercent val="0"/>
          <c:showBubbleSize val="0"/>
        </c:dLbls>
        <c:gapWidth val="90"/>
        <c:axId val="105330944"/>
        <c:axId val="105547264"/>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1'!$A$29:$B$51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1'!$E$29:$E$51</c:f>
              <c:numCache>
                <c:formatCode>0.0</c:formatCode>
                <c:ptCount val="23"/>
                <c:pt idx="0">
                  <c:v>0.51859772519729497</c:v>
                </c:pt>
                <c:pt idx="1">
                  <c:v>0.59123747503038249</c:v>
                </c:pt>
                <c:pt idx="2">
                  <c:v>0.73257343037091971</c:v>
                </c:pt>
                <c:pt idx="3">
                  <c:v>0.76492186562109188</c:v>
                </c:pt>
                <c:pt idx="4">
                  <c:v>0.87101711877043897</c:v>
                </c:pt>
                <c:pt idx="5">
                  <c:v>0.65493675873298651</c:v>
                </c:pt>
                <c:pt idx="6">
                  <c:v>0.697876724994558</c:v>
                </c:pt>
                <c:pt idx="7">
                  <c:v>0.53962669151388942</c:v>
                </c:pt>
                <c:pt idx="8">
                  <c:v>-3.3149705245738472</c:v>
                </c:pt>
                <c:pt idx="9">
                  <c:v>-8.8756873103285532</c:v>
                </c:pt>
                <c:pt idx="10">
                  <c:v>7.0042605595799046</c:v>
                </c:pt>
                <c:pt idx="11">
                  <c:v>1.2293333255930037</c:v>
                </c:pt>
                <c:pt idx="12">
                  <c:v>-0.6324091471488783</c:v>
                </c:pt>
                <c:pt idx="13">
                  <c:v>1.4350510102822782</c:v>
                </c:pt>
                <c:pt idx="14">
                  <c:v>1.7526194188431679</c:v>
                </c:pt>
                <c:pt idx="15">
                  <c:v>0.83193694511574257</c:v>
                </c:pt>
                <c:pt idx="16">
                  <c:v>0.58737418161310051</c:v>
                </c:pt>
                <c:pt idx="17">
                  <c:v>0.15286316349390477</c:v>
                </c:pt>
                <c:pt idx="18">
                  <c:v>-0.22565726268484801</c:v>
                </c:pt>
                <c:pt idx="19">
                  <c:v>-0.39168266154831655</c:v>
                </c:pt>
                <c:pt idx="20">
                  <c:v>8.7121063941907564E-2</c:v>
                </c:pt>
                <c:pt idx="21">
                  <c:v>0.11062581335987436</c:v>
                </c:pt>
                <c:pt idx="22" formatCode="General">
                  <c:v>-0.52570403943400446</c:v>
                </c:pt>
              </c:numCache>
            </c:numRef>
          </c:val>
          <c:smooth val="0"/>
          <c:extLst>
            <c:ext xmlns:c16="http://schemas.microsoft.com/office/drawing/2014/chart" uri="{C3380CC4-5D6E-409C-BE32-E72D297353CC}">
              <c16:uniqueId val="{00000002-FDD5-40CE-87ED-5DF9CE55C83A}"/>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1'!$A$29:$B$51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1'!$F$29:$F$51</c:f>
              <c:numCache>
                <c:formatCode>#\ ##0.##########</c:formatCode>
                <c:ptCount val="23"/>
                <c:pt idx="0">
                  <c:v>0.2</c:v>
                </c:pt>
                <c:pt idx="1">
                  <c:v>0.60000000000000064</c:v>
                </c:pt>
                <c:pt idx="2">
                  <c:v>0.1</c:v>
                </c:pt>
                <c:pt idx="3">
                  <c:v>0.70000000000000062</c:v>
                </c:pt>
                <c:pt idx="4">
                  <c:v>0.60000000000000064</c:v>
                </c:pt>
                <c:pt idx="5">
                  <c:v>0.4</c:v>
                </c:pt>
                <c:pt idx="6">
                  <c:v>0.2</c:v>
                </c:pt>
                <c:pt idx="7">
                  <c:v>0.1</c:v>
                </c:pt>
                <c:pt idx="8" formatCode="#\ ##0.0">
                  <c:v>-3</c:v>
                </c:pt>
                <c:pt idx="9">
                  <c:v>-10.9</c:v>
                </c:pt>
                <c:pt idx="10">
                  <c:v>11.2</c:v>
                </c:pt>
                <c:pt idx="11">
                  <c:v>0.2</c:v>
                </c:pt>
                <c:pt idx="12">
                  <c:v>0.60000000000000064</c:v>
                </c:pt>
                <c:pt idx="13">
                  <c:v>2.1</c:v>
                </c:pt>
                <c:pt idx="14" formatCode="#\ ##0.0">
                  <c:v>2</c:v>
                </c:pt>
                <c:pt idx="15">
                  <c:v>0.70000000000000062</c:v>
                </c:pt>
                <c:pt idx="16">
                  <c:v>0.70000000000000062</c:v>
                </c:pt>
                <c:pt idx="17">
                  <c:v>0.70000000000000062</c:v>
                </c:pt>
                <c:pt idx="18">
                  <c:v>0.4</c:v>
                </c:pt>
                <c:pt idx="19">
                  <c:v>-0.1</c:v>
                </c:pt>
                <c:pt idx="20">
                  <c:v>0.1</c:v>
                </c:pt>
                <c:pt idx="21" formatCode="#\ ##0.0">
                  <c:v>0</c:v>
                </c:pt>
                <c:pt idx="22" formatCode="#\ ##0.0">
                  <c:v>0</c:v>
                </c:pt>
              </c:numCache>
            </c:numRef>
          </c:val>
          <c:smooth val="0"/>
          <c:extLst>
            <c:ext xmlns:c16="http://schemas.microsoft.com/office/drawing/2014/chart" uri="{C3380CC4-5D6E-409C-BE32-E72D297353CC}">
              <c16:uniqueId val="{00000003-FDD5-40CE-87ED-5DF9CE55C83A}"/>
            </c:ext>
          </c:extLst>
        </c:ser>
        <c:dLbls>
          <c:showLegendKey val="0"/>
          <c:showVal val="0"/>
          <c:showCatName val="0"/>
          <c:showSerName val="0"/>
          <c:showPercent val="0"/>
          <c:showBubbleSize val="0"/>
        </c:dLbls>
        <c:marker val="1"/>
        <c:smooth val="0"/>
        <c:axId val="105330944"/>
        <c:axId val="105547264"/>
      </c:lineChart>
      <c:catAx>
        <c:axId val="1053309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05547264"/>
        <c:crosses val="autoZero"/>
        <c:auto val="1"/>
        <c:lblAlgn val="ctr"/>
        <c:lblOffset val="100"/>
        <c:noMultiLvlLbl val="0"/>
      </c:catAx>
      <c:valAx>
        <c:axId val="105547264"/>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05330944"/>
        <c:crosses val="autoZero"/>
        <c:crossBetween val="between"/>
        <c:majorUnit val="3"/>
      </c:valAx>
      <c:spPr>
        <a:ln>
          <a:solidFill>
            <a:schemeClr val="tx1"/>
          </a:solidFill>
        </a:ln>
      </c:spPr>
    </c:plotArea>
    <c:legend>
      <c:legendPos val="b"/>
      <c:layout>
        <c:manualLayout>
          <c:xMode val="edge"/>
          <c:yMode val="edge"/>
          <c:x val="5.8431906450523527E-2"/>
          <c:y val="0.89437255125718029"/>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20323E-2"/>
          <c:w val="0.92237743255066085"/>
          <c:h val="0.7147157521300419"/>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2'!$C$30:$C$52</c:f>
              <c:numCache>
                <c:formatCode>0.0</c:formatCode>
                <c:ptCount val="23"/>
                <c:pt idx="0">
                  <c:v>1.9000000000000001</c:v>
                </c:pt>
                <c:pt idx="1">
                  <c:v>2.2999999999999998</c:v>
                </c:pt>
                <c:pt idx="2">
                  <c:v>2.4</c:v>
                </c:pt>
                <c:pt idx="3">
                  <c:v>2.1</c:v>
                </c:pt>
                <c:pt idx="4">
                  <c:v>2.7</c:v>
                </c:pt>
                <c:pt idx="5">
                  <c:v>2.8</c:v>
                </c:pt>
                <c:pt idx="6">
                  <c:v>2.8</c:v>
                </c:pt>
                <c:pt idx="7">
                  <c:v>3</c:v>
                </c:pt>
                <c:pt idx="8">
                  <c:v>3.6</c:v>
                </c:pt>
                <c:pt idx="9">
                  <c:v>3.1</c:v>
                </c:pt>
                <c:pt idx="10">
                  <c:v>3.3</c:v>
                </c:pt>
                <c:pt idx="11">
                  <c:v>2.6</c:v>
                </c:pt>
                <c:pt idx="12">
                  <c:v>2.2000000000000002</c:v>
                </c:pt>
                <c:pt idx="13">
                  <c:v>2.9</c:v>
                </c:pt>
                <c:pt idx="14">
                  <c:v>4.0999999999999996</c:v>
                </c:pt>
                <c:pt idx="15">
                  <c:v>6.1</c:v>
                </c:pt>
                <c:pt idx="16">
                  <c:v>11.2</c:v>
                </c:pt>
                <c:pt idx="17">
                  <c:v>15.8</c:v>
                </c:pt>
                <c:pt idx="18">
                  <c:v>17.600000000000001</c:v>
                </c:pt>
                <c:pt idx="19">
                  <c:v>15.7</c:v>
                </c:pt>
                <c:pt idx="20">
                  <c:v>16.399999999999999</c:v>
                </c:pt>
                <c:pt idx="21">
                  <c:v>11.1</c:v>
                </c:pt>
                <c:pt idx="22">
                  <c:v>8</c:v>
                </c:pt>
              </c:numCache>
            </c:numRef>
          </c:val>
          <c:extLst>
            <c:ext xmlns:c16="http://schemas.microsoft.com/office/drawing/2014/chart" uri="{C3380CC4-5D6E-409C-BE32-E72D297353CC}">
              <c16:uniqueId val="{00000000-433D-47C0-ADCF-53AFCCC0278E}"/>
            </c:ext>
          </c:extLst>
        </c:ser>
        <c:dLbls>
          <c:showLegendKey val="0"/>
          <c:showVal val="0"/>
          <c:showCatName val="0"/>
          <c:showSerName val="0"/>
          <c:showPercent val="0"/>
          <c:showBubbleSize val="0"/>
        </c:dLbls>
        <c:gapWidth val="95"/>
        <c:axId val="117251456"/>
        <c:axId val="117728768"/>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2'!$D$30:$D$52</c:f>
              <c:numCache>
                <c:formatCode>#\ ##0.0_ ;\-#\ ##0.0\ </c:formatCode>
                <c:ptCount val="23"/>
                <c:pt idx="0" formatCode="0.0">
                  <c:v>2.9</c:v>
                </c:pt>
                <c:pt idx="1">
                  <c:v>2.2999999999999998</c:v>
                </c:pt>
                <c:pt idx="2" formatCode="0.0">
                  <c:v>0.6000000000000002</c:v>
                </c:pt>
                <c:pt idx="3" formatCode="0.0">
                  <c:v>-0.5</c:v>
                </c:pt>
                <c:pt idx="4" formatCode="0.0">
                  <c:v>1</c:v>
                </c:pt>
                <c:pt idx="5" formatCode="0.0">
                  <c:v>2.5</c:v>
                </c:pt>
                <c:pt idx="6" formatCode="0.0">
                  <c:v>3.5</c:v>
                </c:pt>
                <c:pt idx="7" formatCode="0.0">
                  <c:v>4.3</c:v>
                </c:pt>
                <c:pt idx="8" formatCode="0.0">
                  <c:v>6.1</c:v>
                </c:pt>
                <c:pt idx="9" formatCode="0.0">
                  <c:v>6.5</c:v>
                </c:pt>
                <c:pt idx="10" formatCode="0.0">
                  <c:v>4</c:v>
                </c:pt>
                <c:pt idx="11" formatCode="0.0">
                  <c:v>1.7</c:v>
                </c:pt>
                <c:pt idx="12" formatCode="0.0">
                  <c:v>0.3000000000000001</c:v>
                </c:pt>
                <c:pt idx="13" formatCode="0.0">
                  <c:v>-0.8</c:v>
                </c:pt>
                <c:pt idx="14" formatCode="0.0">
                  <c:v>1.4</c:v>
                </c:pt>
                <c:pt idx="15" formatCode="0.0">
                  <c:v>2.2999999999999998</c:v>
                </c:pt>
                <c:pt idx="16" formatCode="0.0">
                  <c:v>6.7</c:v>
                </c:pt>
                <c:pt idx="17" formatCode="0.0">
                  <c:v>14.6</c:v>
                </c:pt>
                <c:pt idx="18" formatCode="0.0">
                  <c:v>20</c:v>
                </c:pt>
                <c:pt idx="19" formatCode="0.0">
                  <c:v>25.5</c:v>
                </c:pt>
                <c:pt idx="20" formatCode="0.0">
                  <c:v>24.1</c:v>
                </c:pt>
                <c:pt idx="21" formatCode="0.0">
                  <c:v>14.6</c:v>
                </c:pt>
                <c:pt idx="22" formatCode="0.0">
                  <c:v>7.8</c:v>
                </c:pt>
              </c:numCache>
            </c:numRef>
          </c:val>
          <c:smooth val="0"/>
          <c:extLst>
            <c:ext xmlns:c16="http://schemas.microsoft.com/office/drawing/2014/chart" uri="{C3380CC4-5D6E-409C-BE32-E72D297353CC}">
              <c16:uniqueId val="{00000001-433D-47C0-ADCF-53AFCCC0278E}"/>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2'!$F$30:$F$52</c:f>
              <c:numCache>
                <c:formatCode>0.0</c:formatCode>
                <c:ptCount val="23"/>
                <c:pt idx="0">
                  <c:v>2.2999999999999998</c:v>
                </c:pt>
                <c:pt idx="1">
                  <c:v>2.6</c:v>
                </c:pt>
                <c:pt idx="2">
                  <c:v>3.2</c:v>
                </c:pt>
                <c:pt idx="3">
                  <c:v>3.8</c:v>
                </c:pt>
                <c:pt idx="4">
                  <c:v>5.4</c:v>
                </c:pt>
                <c:pt idx="5">
                  <c:v>5.7</c:v>
                </c:pt>
                <c:pt idx="6">
                  <c:v>5.2</c:v>
                </c:pt>
                <c:pt idx="7">
                  <c:v>5</c:v>
                </c:pt>
                <c:pt idx="8">
                  <c:v>4.2</c:v>
                </c:pt>
                <c:pt idx="9">
                  <c:v>3.2</c:v>
                </c:pt>
                <c:pt idx="10">
                  <c:v>2.7</c:v>
                </c:pt>
                <c:pt idx="11">
                  <c:v>1.4</c:v>
                </c:pt>
                <c:pt idx="12">
                  <c:v>0.6000000000000002</c:v>
                </c:pt>
                <c:pt idx="13">
                  <c:v>1.3</c:v>
                </c:pt>
                <c:pt idx="14">
                  <c:v>3.6</c:v>
                </c:pt>
                <c:pt idx="15">
                  <c:v>5.6</c:v>
                </c:pt>
                <c:pt idx="16">
                  <c:v>16</c:v>
                </c:pt>
                <c:pt idx="17">
                  <c:v>21.4</c:v>
                </c:pt>
                <c:pt idx="18">
                  <c:v>23.6</c:v>
                </c:pt>
                <c:pt idx="19">
                  <c:v>14.9</c:v>
                </c:pt>
                <c:pt idx="20">
                  <c:v>22.2</c:v>
                </c:pt>
                <c:pt idx="21">
                  <c:v>16</c:v>
                </c:pt>
                <c:pt idx="22">
                  <c:v>11.6</c:v>
                </c:pt>
              </c:numCache>
            </c:numRef>
          </c:val>
          <c:smooth val="0"/>
          <c:extLst>
            <c:ext xmlns:c16="http://schemas.microsoft.com/office/drawing/2014/chart" uri="{C3380CC4-5D6E-409C-BE32-E72D297353CC}">
              <c16:uniqueId val="{00000002-433D-47C0-ADCF-53AFCCC0278E}"/>
            </c:ext>
          </c:extLst>
        </c:ser>
        <c:ser>
          <c:idx val="4"/>
          <c:order val="3"/>
          <c:tx>
            <c:strRef>
              <c:f>'Ceny 2'!$G$5</c:f>
              <c:strCache>
                <c:ptCount val="1"/>
                <c:pt idx="0">
                  <c:v>Doprava</c:v>
                </c:pt>
              </c:strCache>
            </c:strRef>
          </c:tx>
          <c:spPr>
            <a:ln w="19050">
              <a:solidFill>
                <a:srgbClr val="FFC000"/>
              </a:solidFill>
            </a:ln>
          </c:spPr>
          <c:marker>
            <c:symbol val="none"/>
          </c:marker>
          <c:cat>
            <c:multiLvlStrRef>
              <c:f>'Ceny 2'!$A$30:$B$52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2'!$G$30:$G$52</c:f>
              <c:numCache>
                <c:formatCode>0.0</c:formatCode>
                <c:ptCount val="23"/>
                <c:pt idx="0">
                  <c:v>1</c:v>
                </c:pt>
                <c:pt idx="1">
                  <c:v>3</c:v>
                </c:pt>
                <c:pt idx="2">
                  <c:v>4.5</c:v>
                </c:pt>
                <c:pt idx="3">
                  <c:v>2.6</c:v>
                </c:pt>
                <c:pt idx="4">
                  <c:v>0.6000000000000002</c:v>
                </c:pt>
                <c:pt idx="5">
                  <c:v>0.8</c:v>
                </c:pt>
                <c:pt idx="6">
                  <c:v>-0.2</c:v>
                </c:pt>
                <c:pt idx="7">
                  <c:v>0.5</c:v>
                </c:pt>
                <c:pt idx="8" formatCode="General">
                  <c:v>1.7</c:v>
                </c:pt>
                <c:pt idx="9">
                  <c:v>-3.4</c:v>
                </c:pt>
                <c:pt idx="10">
                  <c:v>-0.2</c:v>
                </c:pt>
                <c:pt idx="11">
                  <c:v>0.6000000000000002</c:v>
                </c:pt>
                <c:pt idx="12">
                  <c:v>2.4</c:v>
                </c:pt>
                <c:pt idx="13">
                  <c:v>9.1</c:v>
                </c:pt>
                <c:pt idx="14">
                  <c:v>8.8000000000000007</c:v>
                </c:pt>
                <c:pt idx="15">
                  <c:v>13.1</c:v>
                </c:pt>
                <c:pt idx="16">
                  <c:v>17.2</c:v>
                </c:pt>
                <c:pt idx="17">
                  <c:v>22.7</c:v>
                </c:pt>
                <c:pt idx="18">
                  <c:v>19.7</c:v>
                </c:pt>
                <c:pt idx="19">
                  <c:v>13.1</c:v>
                </c:pt>
                <c:pt idx="20">
                  <c:v>4.5</c:v>
                </c:pt>
                <c:pt idx="21">
                  <c:v>-4</c:v>
                </c:pt>
                <c:pt idx="22">
                  <c:v>-2.4</c:v>
                </c:pt>
              </c:numCache>
            </c:numRef>
          </c:val>
          <c:smooth val="0"/>
          <c:extLst>
            <c:ext xmlns:c16="http://schemas.microsoft.com/office/drawing/2014/chart" uri="{C3380CC4-5D6E-409C-BE32-E72D297353CC}">
              <c16:uniqueId val="{00000003-433D-47C0-ADCF-53AFCCC0278E}"/>
            </c:ext>
          </c:extLst>
        </c:ser>
        <c:ser>
          <c:idx val="5"/>
          <c:order val="5"/>
          <c:tx>
            <c:strRef>
              <c:f>'Ceny 2'!$H$5</c:f>
              <c:strCache>
                <c:ptCount val="1"/>
                <c:pt idx="0">
                  <c:v>Stravování a ubytování</c:v>
                </c:pt>
              </c:strCache>
            </c:strRef>
          </c:tx>
          <c:spPr>
            <a:ln w="19050">
              <a:solidFill>
                <a:srgbClr val="7030A0"/>
              </a:solidFill>
            </a:ln>
          </c:spPr>
          <c:marker>
            <c:symbol val="none"/>
          </c:marker>
          <c:cat>
            <c:multiLvlStrRef>
              <c:f>'Ceny 2'!$A$30:$B$52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2'!$H$30:$H$52</c:f>
              <c:numCache>
                <c:formatCode>0.0</c:formatCode>
                <c:ptCount val="23"/>
                <c:pt idx="0">
                  <c:v>3.5</c:v>
                </c:pt>
                <c:pt idx="1">
                  <c:v>3.6</c:v>
                </c:pt>
                <c:pt idx="2">
                  <c:v>3.5</c:v>
                </c:pt>
                <c:pt idx="3">
                  <c:v>3.7</c:v>
                </c:pt>
                <c:pt idx="4">
                  <c:v>3.8</c:v>
                </c:pt>
                <c:pt idx="5">
                  <c:v>4</c:v>
                </c:pt>
                <c:pt idx="6">
                  <c:v>4.5</c:v>
                </c:pt>
                <c:pt idx="7">
                  <c:v>4.5999999999999996</c:v>
                </c:pt>
                <c:pt idx="8">
                  <c:v>5.5</c:v>
                </c:pt>
                <c:pt idx="9">
                  <c:v>5.0999999999999996</c:v>
                </c:pt>
                <c:pt idx="10">
                  <c:v>4.9000000000000004</c:v>
                </c:pt>
                <c:pt idx="11">
                  <c:v>4.3</c:v>
                </c:pt>
                <c:pt idx="12">
                  <c:v>3</c:v>
                </c:pt>
                <c:pt idx="13">
                  <c:v>2.9</c:v>
                </c:pt>
                <c:pt idx="14">
                  <c:v>4.5999999999999996</c:v>
                </c:pt>
                <c:pt idx="15">
                  <c:v>6.8</c:v>
                </c:pt>
                <c:pt idx="16">
                  <c:v>12.3</c:v>
                </c:pt>
                <c:pt idx="17">
                  <c:v>21.4</c:v>
                </c:pt>
                <c:pt idx="18">
                  <c:v>24.3</c:v>
                </c:pt>
                <c:pt idx="19">
                  <c:v>25.6</c:v>
                </c:pt>
                <c:pt idx="20">
                  <c:v>22.4</c:v>
                </c:pt>
                <c:pt idx="21">
                  <c:v>15.4</c:v>
                </c:pt>
                <c:pt idx="22">
                  <c:v>11.6</c:v>
                </c:pt>
              </c:numCache>
            </c:numRef>
          </c:val>
          <c:smooth val="0"/>
          <c:extLst>
            <c:ext xmlns:c16="http://schemas.microsoft.com/office/drawing/2014/chart" uri="{C3380CC4-5D6E-409C-BE32-E72D297353CC}">
              <c16:uniqueId val="{00000004-433D-47C0-ADCF-53AFCCC0278E}"/>
            </c:ext>
          </c:extLst>
        </c:ser>
        <c:ser>
          <c:idx val="6"/>
          <c:order val="6"/>
          <c:tx>
            <c:strRef>
              <c:f>'Ceny 2'!$I$5</c:f>
              <c:strCache>
                <c:ptCount val="1"/>
                <c:pt idx="0">
                  <c:v>Rekreace a kultura</c:v>
                </c:pt>
              </c:strCache>
            </c:strRef>
          </c:tx>
          <c:spPr>
            <a:ln w="19050">
              <a:solidFill>
                <a:srgbClr val="FF0000"/>
              </a:solidFill>
            </a:ln>
          </c:spPr>
          <c:marker>
            <c:symbol val="none"/>
          </c:marker>
          <c:cat>
            <c:multiLvlStrRef>
              <c:f>'Ceny 2'!$A$30:$B$52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2'!$I$30:$I$52</c:f>
              <c:numCache>
                <c:formatCode>General</c:formatCode>
                <c:ptCount val="23"/>
                <c:pt idx="0">
                  <c:v>0.5</c:v>
                </c:pt>
                <c:pt idx="1">
                  <c:v>0.59999999999999432</c:v>
                </c:pt>
                <c:pt idx="2">
                  <c:v>2.2000000000000037</c:v>
                </c:pt>
                <c:pt idx="3">
                  <c:v>0.5</c:v>
                </c:pt>
                <c:pt idx="4">
                  <c:v>1.7000000000000028</c:v>
                </c:pt>
                <c:pt idx="5">
                  <c:v>1</c:v>
                </c:pt>
                <c:pt idx="6">
                  <c:v>1.7000000000000028</c:v>
                </c:pt>
                <c:pt idx="7">
                  <c:v>2.0999999999999943</c:v>
                </c:pt>
                <c:pt idx="8">
                  <c:v>2.0999999999999943</c:v>
                </c:pt>
                <c:pt idx="9">
                  <c:v>2</c:v>
                </c:pt>
                <c:pt idx="10">
                  <c:v>2.2000000000000037</c:v>
                </c:pt>
                <c:pt idx="11">
                  <c:v>2.5</c:v>
                </c:pt>
                <c:pt idx="12">
                  <c:v>1.4000000000000057</c:v>
                </c:pt>
                <c:pt idx="13">
                  <c:v>2</c:v>
                </c:pt>
                <c:pt idx="14">
                  <c:v>3.0999999999999943</c:v>
                </c:pt>
                <c:pt idx="15">
                  <c:v>5.2999999999999972</c:v>
                </c:pt>
                <c:pt idx="16">
                  <c:v>8.5</c:v>
                </c:pt>
                <c:pt idx="17">
                  <c:v>11.3</c:v>
                </c:pt>
                <c:pt idx="18">
                  <c:v>12.599999999999998</c:v>
                </c:pt>
                <c:pt idx="19" formatCode="0.0">
                  <c:v>13.2</c:v>
                </c:pt>
                <c:pt idx="20" formatCode="0.0">
                  <c:v>14</c:v>
                </c:pt>
                <c:pt idx="21" formatCode="0.0">
                  <c:v>11.7</c:v>
                </c:pt>
                <c:pt idx="22" formatCode="0.0">
                  <c:v>9.7000000000000011</c:v>
                </c:pt>
              </c:numCache>
            </c:numRef>
          </c:val>
          <c:smooth val="0"/>
          <c:extLst>
            <c:ext xmlns:c16="http://schemas.microsoft.com/office/drawing/2014/chart" uri="{C3380CC4-5D6E-409C-BE32-E72D297353CC}">
              <c16:uniqueId val="{00000005-433D-47C0-ADCF-53AFCCC0278E}"/>
            </c:ext>
          </c:extLst>
        </c:ser>
        <c:dLbls>
          <c:showLegendKey val="0"/>
          <c:showVal val="0"/>
          <c:showCatName val="0"/>
          <c:showSerName val="0"/>
          <c:showPercent val="0"/>
          <c:showBubbleSize val="0"/>
        </c:dLbls>
        <c:marker val="1"/>
        <c:smooth val="0"/>
        <c:axId val="117251456"/>
        <c:axId val="117728768"/>
        <c:extLst>
          <c:ext xmlns:c15="http://schemas.microsoft.com/office/drawing/2012/chart" uri="{02D57815-91ED-43cb-92C2-25804820EDAC}">
            <c15:filteredLineSeries>
              <c15:ser>
                <c:idx val="2"/>
                <c:order val="4"/>
                <c:tx>
                  <c:strRef>
                    <c:extLst>
                      <c:ext uri="{02D57815-91ED-43cb-92C2-25804820EDAC}">
                        <c15:formulaRef>
                          <c15:sqref>'Ceny 2'!$E$5</c15:sqref>
                        </c15:formulaRef>
                      </c:ext>
                    </c:extLst>
                    <c:strCache>
                      <c:ptCount val="1"/>
                      <c:pt idx="0">
                        <c:v>Alkoholické nápoje a tabák</c:v>
                      </c:pt>
                    </c:strCache>
                  </c:strRef>
                </c:tx>
                <c:spPr>
                  <a:ln w="19050">
                    <a:solidFill>
                      <a:schemeClr val="accent2"/>
                    </a:solidFill>
                  </a:ln>
                </c:spPr>
                <c:marker>
                  <c:symbol val="none"/>
                </c:marker>
                <c:cat>
                  <c:multiLvlStrRef>
                    <c:extLst>
                      <c:ext uri="{02D57815-91ED-43cb-92C2-25804820EDAC}">
                        <c15:formulaRef>
                          <c15:sqref>'Ceny 2'!$A$30:$B$52</c15:sqref>
                        </c15:formulaRef>
                      </c:ext>
                    </c:extLst>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extLst>
                      <c:ext uri="{02D57815-91ED-43cb-92C2-25804820EDAC}">
                        <c15:formulaRef>
                          <c15:sqref>'Ceny 2'!$E$26:$E$48</c15:sqref>
                        </c15:formulaRef>
                      </c:ext>
                    </c:extLst>
                    <c:numCache>
                      <c:formatCode>General</c:formatCode>
                      <c:ptCount val="23"/>
                      <c:pt idx="0">
                        <c:v>3.4000000000000057</c:v>
                      </c:pt>
                      <c:pt idx="1">
                        <c:v>0.79999999999999716</c:v>
                      </c:pt>
                      <c:pt idx="2" formatCode="0.0">
                        <c:v>1.3</c:v>
                      </c:pt>
                      <c:pt idx="3" formatCode="0.0">
                        <c:v>1.5</c:v>
                      </c:pt>
                      <c:pt idx="4" formatCode="0.0">
                        <c:v>2.5</c:v>
                      </c:pt>
                      <c:pt idx="5" formatCode="0.0">
                        <c:v>3.6</c:v>
                      </c:pt>
                      <c:pt idx="6" formatCode="0.0">
                        <c:v>2.8</c:v>
                      </c:pt>
                      <c:pt idx="7" formatCode="0.0">
                        <c:v>3.1</c:v>
                      </c:pt>
                      <c:pt idx="8" formatCode="0.0">
                        <c:v>3.3</c:v>
                      </c:pt>
                      <c:pt idx="9" formatCode="0.0">
                        <c:v>1.7</c:v>
                      </c:pt>
                      <c:pt idx="10" formatCode="0.0">
                        <c:v>1.9</c:v>
                      </c:pt>
                      <c:pt idx="11" formatCode="0.0">
                        <c:v>1.8</c:v>
                      </c:pt>
                      <c:pt idx="12">
                        <c:v>3.5</c:v>
                      </c:pt>
                      <c:pt idx="13" formatCode="0.0">
                        <c:v>6.6</c:v>
                      </c:pt>
                      <c:pt idx="14" formatCode="0.0">
                        <c:v>10.3</c:v>
                      </c:pt>
                      <c:pt idx="15" formatCode="0.0">
                        <c:v>9.9</c:v>
                      </c:pt>
                      <c:pt idx="16" formatCode="0.0">
                        <c:v>9.9</c:v>
                      </c:pt>
                      <c:pt idx="17" formatCode="0.0">
                        <c:v>9.8000000000000007</c:v>
                      </c:pt>
                      <c:pt idx="18" formatCode="0.0">
                        <c:v>6.5</c:v>
                      </c:pt>
                      <c:pt idx="19" formatCode="0.0">
                        <c:v>7.7</c:v>
                      </c:pt>
                      <c:pt idx="20" formatCode="0.0">
                        <c:v>7.1</c:v>
                      </c:pt>
                      <c:pt idx="21" formatCode="0.0">
                        <c:v>5.6</c:v>
                      </c:pt>
                      <c:pt idx="22" formatCode="0.0">
                        <c:v>6.3</c:v>
                      </c:pt>
                    </c:numCache>
                  </c:numRef>
                </c:val>
                <c:smooth val="0"/>
                <c:extLst>
                  <c:ext xmlns:c16="http://schemas.microsoft.com/office/drawing/2014/chart" uri="{C3380CC4-5D6E-409C-BE32-E72D297353CC}">
                    <c16:uniqueId val="{00000006-433D-47C0-ADCF-53AFCCC0278E}"/>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'Ceny 2'!$J$5</c15:sqref>
                        </c15:formulaRef>
                      </c:ext>
                    </c:extLst>
                    <c:strCache>
                      <c:ptCount val="1"/>
                      <c:pt idx="0">
                        <c:v>Odívání a obuv</c:v>
                      </c:pt>
                    </c:strCache>
                  </c:strRef>
                </c:tx>
                <c:spPr>
                  <a:ln w="19050">
                    <a:solidFill>
                      <a:srgbClr val="E8AFB2"/>
                    </a:solidFill>
                  </a:ln>
                </c:spPr>
                <c:marker>
                  <c:symbol val="none"/>
                </c:marker>
                <c:cat>
                  <c:multiLvlStrRef>
                    <c:extLst xmlns:c15="http://schemas.microsoft.com/office/drawing/2012/chart">
                      <c:ext xmlns:c15="http://schemas.microsoft.com/office/drawing/2012/chart" uri="{02D57815-91ED-43cb-92C2-25804820EDAC}">
                        <c15:formulaRef>
                          <c15:sqref>'Ceny 2'!$A$30:$B$52</c15:sqref>
                        </c15:formulaRef>
                      </c:ext>
                    </c:extLst>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extLst xmlns:c15="http://schemas.microsoft.com/office/drawing/2012/chart">
                      <c:ext xmlns:c15="http://schemas.microsoft.com/office/drawing/2012/chart" uri="{02D57815-91ED-43cb-92C2-25804820EDAC}">
                        <c15:formulaRef>
                          <c15:sqref>'Ceny 2'!$J$26:$J$48</c15:sqref>
                        </c15:formulaRef>
                      </c:ext>
                    </c:extLst>
                    <c:numCache>
                      <c:formatCode>General</c:formatCode>
                      <c:ptCount val="23"/>
                      <c:pt idx="0">
                        <c:v>0.5</c:v>
                      </c:pt>
                      <c:pt idx="1">
                        <c:v>1</c:v>
                      </c:pt>
                      <c:pt idx="2" formatCode="0.0">
                        <c:v>0.5</c:v>
                      </c:pt>
                      <c:pt idx="3" formatCode="0.0">
                        <c:v>-0.8</c:v>
                      </c:pt>
                      <c:pt idx="4">
                        <c:v>-0.29999999999999716</c:v>
                      </c:pt>
                      <c:pt idx="5">
                        <c:v>-1</c:v>
                      </c:pt>
                      <c:pt idx="6">
                        <c:v>-1.4000000000000057</c:v>
                      </c:pt>
                      <c:pt idx="7">
                        <c:v>-1.7000000000000028</c:v>
                      </c:pt>
                      <c:pt idx="8">
                        <c:v>-1.0999999999999943</c:v>
                      </c:pt>
                      <c:pt idx="9">
                        <c:v>-1.9000000000000057</c:v>
                      </c:pt>
                      <c:pt idx="10">
                        <c:v>-1.5</c:v>
                      </c:pt>
                      <c:pt idx="11">
                        <c:v>-0.29999999999999716</c:v>
                      </c:pt>
                      <c:pt idx="12">
                        <c:v>3.5</c:v>
                      </c:pt>
                      <c:pt idx="13">
                        <c:v>3.4000000000000057</c:v>
                      </c:pt>
                      <c:pt idx="14">
                        <c:v>4.5</c:v>
                      </c:pt>
                      <c:pt idx="15">
                        <c:v>3.4000000000000057</c:v>
                      </c:pt>
                      <c:pt idx="16">
                        <c:v>2.7000000000000028</c:v>
                      </c:pt>
                      <c:pt idx="17">
                        <c:v>2.9000000000000057</c:v>
                      </c:pt>
                      <c:pt idx="18">
                        <c:v>7.7999999999999972</c:v>
                      </c:pt>
                      <c:pt idx="19">
                        <c:v>12.599999999999994</c:v>
                      </c:pt>
                      <c:pt idx="20">
                        <c:v>16.900000000000006</c:v>
                      </c:pt>
                      <c:pt idx="21">
                        <c:v>20</c:v>
                      </c:pt>
                      <c:pt idx="22">
                        <c:v>19</c:v>
                      </c:pt>
                    </c:numCache>
                  </c:numRef>
                </c:val>
                <c:smooth val="0"/>
                <c:extLst xmlns:c15="http://schemas.microsoft.com/office/drawing/2012/chart">
                  <c:ext xmlns:c16="http://schemas.microsoft.com/office/drawing/2014/chart" uri="{C3380CC4-5D6E-409C-BE32-E72D297353CC}">
                    <c16:uniqueId val="{00000007-433D-47C0-ADCF-53AFCCC0278E}"/>
                  </c:ext>
                </c:extLst>
              </c15:ser>
            </c15:filteredLineSeries>
          </c:ext>
        </c:extLst>
      </c:lineChart>
      <c:catAx>
        <c:axId val="11725145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7728768"/>
        <c:crosses val="autoZero"/>
        <c:auto val="1"/>
        <c:lblAlgn val="ctr"/>
        <c:lblOffset val="100"/>
        <c:noMultiLvlLbl val="0"/>
      </c:catAx>
      <c:valAx>
        <c:axId val="117728768"/>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7251456"/>
        <c:crosses val="autoZero"/>
        <c:crossBetween val="between"/>
        <c:majorUnit val="4"/>
      </c:valAx>
      <c:spPr>
        <a:ln>
          <a:solidFill>
            <a:schemeClr val="tx1"/>
          </a:solidFill>
        </a:ln>
      </c:spPr>
    </c:plotArea>
    <c:legend>
      <c:legendPos val="b"/>
      <c:layout>
        <c:manualLayout>
          <c:xMode val="edge"/>
          <c:yMode val="edge"/>
          <c:x val="5.3882134414049335E-2"/>
          <c:y val="0.85802375323651958"/>
          <c:w val="0.92470364741641364"/>
          <c:h val="0.131253517955645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919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1'!$C$30:$C$52</c:f>
              <c:numCache>
                <c:formatCode>General</c:formatCode>
                <c:ptCount val="23"/>
                <c:pt idx="0">
                  <c:v>9.2000000000000011</c:v>
                </c:pt>
                <c:pt idx="1">
                  <c:v>8</c:v>
                </c:pt>
                <c:pt idx="2">
                  <c:v>9.4000000000000057</c:v>
                </c:pt>
                <c:pt idx="3">
                  <c:v>11.400000000000006</c:v>
                </c:pt>
                <c:pt idx="4">
                  <c:v>11.3</c:v>
                </c:pt>
                <c:pt idx="5">
                  <c:v>10.599999999999998</c:v>
                </c:pt>
                <c:pt idx="6">
                  <c:v>9.5</c:v>
                </c:pt>
                <c:pt idx="7">
                  <c:v>9.4000000000000057</c:v>
                </c:pt>
                <c:pt idx="8">
                  <c:v>10.599999999999998</c:v>
                </c:pt>
                <c:pt idx="9">
                  <c:v>10.200000000000003</c:v>
                </c:pt>
                <c:pt idx="10">
                  <c:v>11.200000000000003</c:v>
                </c:pt>
                <c:pt idx="11">
                  <c:v>13.3</c:v>
                </c:pt>
                <c:pt idx="12">
                  <c:v>15.200000000000003</c:v>
                </c:pt>
                <c:pt idx="13">
                  <c:v>17.900000000000006</c:v>
                </c:pt>
                <c:pt idx="14">
                  <c:v>21.29999999999999</c:v>
                </c:pt>
                <c:pt idx="15">
                  <c:v>25.200000000000003</c:v>
                </c:pt>
                <c:pt idx="16">
                  <c:v>27.29999999999999</c:v>
                </c:pt>
                <c:pt idx="17">
                  <c:v>27.599999999999987</c:v>
                </c:pt>
                <c:pt idx="18">
                  <c:v>23.400000000000006</c:v>
                </c:pt>
                <c:pt idx="19">
                  <c:v>13.8</c:v>
                </c:pt>
                <c:pt idx="20">
                  <c:v>3.7000000000000037</c:v>
                </c:pt>
                <c:pt idx="21">
                  <c:v>-4.0999999999999943</c:v>
                </c:pt>
                <c:pt idx="22">
                  <c:v>-7</c:v>
                </c:pt>
              </c:numCache>
            </c:numRef>
          </c:val>
          <c:extLst>
            <c:ext xmlns:c16="http://schemas.microsoft.com/office/drawing/2014/chart" uri="{C3380CC4-5D6E-409C-BE32-E72D297353CC}">
              <c16:uniqueId val="{00000000-8EB2-4A07-830F-826D171EE131}"/>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1'!$D$30:$D$52</c:f>
              <c:numCache>
                <c:formatCode>General</c:formatCode>
                <c:ptCount val="23"/>
                <c:pt idx="0">
                  <c:v>8.3000000000000025</c:v>
                </c:pt>
                <c:pt idx="1">
                  <c:v>4</c:v>
                </c:pt>
                <c:pt idx="2">
                  <c:v>6</c:v>
                </c:pt>
                <c:pt idx="3">
                  <c:v>8.7000000000000011</c:v>
                </c:pt>
                <c:pt idx="4">
                  <c:v>9.4000000000000057</c:v>
                </c:pt>
                <c:pt idx="5">
                  <c:v>8.7000000000000011</c:v>
                </c:pt>
                <c:pt idx="6">
                  <c:v>6.5</c:v>
                </c:pt>
                <c:pt idx="7">
                  <c:v>7.0999999999999943</c:v>
                </c:pt>
                <c:pt idx="8">
                  <c:v>6.2000000000000028</c:v>
                </c:pt>
                <c:pt idx="9">
                  <c:v>8</c:v>
                </c:pt>
                <c:pt idx="10">
                  <c:v>9.4000000000000057</c:v>
                </c:pt>
                <c:pt idx="11">
                  <c:v>10.599999999999998</c:v>
                </c:pt>
                <c:pt idx="12">
                  <c:v>14.3</c:v>
                </c:pt>
                <c:pt idx="13">
                  <c:v>15.8</c:v>
                </c:pt>
                <c:pt idx="14">
                  <c:v>16.599999999999987</c:v>
                </c:pt>
                <c:pt idx="15">
                  <c:v>20</c:v>
                </c:pt>
                <c:pt idx="16">
                  <c:v>19</c:v>
                </c:pt>
                <c:pt idx="17">
                  <c:v>16.700000000000003</c:v>
                </c:pt>
                <c:pt idx="18">
                  <c:v>15.599999999999998</c:v>
                </c:pt>
                <c:pt idx="19">
                  <c:v>8.4000000000000057</c:v>
                </c:pt>
                <c:pt idx="20">
                  <c:v>1.2000000000000028</c:v>
                </c:pt>
                <c:pt idx="21">
                  <c:v>-3.5999999999999943</c:v>
                </c:pt>
                <c:pt idx="22">
                  <c:v>-5.2999999999999972</c:v>
                </c:pt>
              </c:numCache>
            </c:numRef>
          </c:val>
          <c:extLst>
            <c:ext xmlns:c16="http://schemas.microsoft.com/office/drawing/2014/chart" uri="{C3380CC4-5D6E-409C-BE32-E72D297353CC}">
              <c16:uniqueId val="{00000001-8EB2-4A07-830F-826D171EE131}"/>
            </c:ext>
          </c:extLst>
        </c:ser>
        <c:dLbls>
          <c:showLegendKey val="0"/>
          <c:showVal val="0"/>
          <c:showCatName val="0"/>
          <c:showSerName val="0"/>
          <c:showPercent val="0"/>
          <c:showBubbleSize val="0"/>
        </c:dLbls>
        <c:gapWidth val="95"/>
        <c:axId val="118483968"/>
        <c:axId val="120605696"/>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1'!$E$30:$E$52</c:f>
              <c:numCache>
                <c:formatCode>0.0</c:formatCode>
                <c:ptCount val="23"/>
                <c:pt idx="0">
                  <c:v>12.801932367149751</c:v>
                </c:pt>
                <c:pt idx="1">
                  <c:v>12.22570532915358</c:v>
                </c:pt>
                <c:pt idx="2">
                  <c:v>9.4988780852655257</c:v>
                </c:pt>
                <c:pt idx="3">
                  <c:v>8.4609773887673203</c:v>
                </c:pt>
                <c:pt idx="4">
                  <c:v>7.4232690935046488</c:v>
                </c:pt>
                <c:pt idx="5">
                  <c:v>5.7262569832402352</c:v>
                </c:pt>
                <c:pt idx="6">
                  <c:v>5.1912568306010893</c:v>
                </c:pt>
                <c:pt idx="7">
                  <c:v>5.5144586415601955</c:v>
                </c:pt>
                <c:pt idx="8">
                  <c:v>6.0465116279069644</c:v>
                </c:pt>
                <c:pt idx="9">
                  <c:v>7.1334214002641847</c:v>
                </c:pt>
                <c:pt idx="10">
                  <c:v>7.9870129870129887</c:v>
                </c:pt>
                <c:pt idx="11">
                  <c:v>7.6481835564053533</c:v>
                </c:pt>
                <c:pt idx="12">
                  <c:v>7.6441102756892256</c:v>
                </c:pt>
                <c:pt idx="13">
                  <c:v>7.9531442663378558</c:v>
                </c:pt>
                <c:pt idx="14">
                  <c:v>9.3205051112447475</c:v>
                </c:pt>
                <c:pt idx="15">
                  <c:v>12.433392539964474</c:v>
                </c:pt>
                <c:pt idx="16">
                  <c:v>16.8800931315483</c:v>
                </c:pt>
                <c:pt idx="17">
                  <c:v>24.671616219303267</c:v>
                </c:pt>
                <c:pt idx="18">
                  <c:v>22.937293729372925</c:v>
                </c:pt>
                <c:pt idx="19">
                  <c:v>18.325434439178501</c:v>
                </c:pt>
                <c:pt idx="20">
                  <c:v>9.8107569721115624</c:v>
                </c:pt>
                <c:pt idx="21" formatCode="General">
                  <c:v>-0.7329363261566757</c:v>
                </c:pt>
                <c:pt idx="22" formatCode="General">
                  <c:v>-3.3109619686800897</c:v>
                </c:pt>
              </c:numCache>
            </c:numRef>
          </c:val>
          <c:smooth val="0"/>
          <c:extLst>
            <c:ext xmlns:c16="http://schemas.microsoft.com/office/drawing/2014/chart" uri="{C3380CC4-5D6E-409C-BE32-E72D297353CC}">
              <c16:uniqueId val="{00000002-8EB2-4A07-830F-826D171EE131}"/>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1'!$F$30:$F$52</c:f>
              <c:numCache>
                <c:formatCode>0.0</c:formatCode>
                <c:ptCount val="23"/>
                <c:pt idx="0">
                  <c:v>15.071428571428555</c:v>
                </c:pt>
                <c:pt idx="1">
                  <c:v>14.246386785960068</c:v>
                </c:pt>
                <c:pt idx="2">
                  <c:v>10.732984293193699</c:v>
                </c:pt>
                <c:pt idx="3">
                  <c:v>8.7531486146095574</c:v>
                </c:pt>
                <c:pt idx="4">
                  <c:v>8.3178150217256377</c:v>
                </c:pt>
                <c:pt idx="5">
                  <c:v>4.9397590361445687</c:v>
                </c:pt>
                <c:pt idx="6">
                  <c:v>3.3096926713947985</c:v>
                </c:pt>
                <c:pt idx="7">
                  <c:v>2.9530978575564593</c:v>
                </c:pt>
                <c:pt idx="8">
                  <c:v>3.5530085959885289</c:v>
                </c:pt>
                <c:pt idx="9">
                  <c:v>5.2812858783008068</c:v>
                </c:pt>
                <c:pt idx="10">
                  <c:v>6.2356979405034298</c:v>
                </c:pt>
                <c:pt idx="11">
                  <c:v>5.1743532058492718</c:v>
                </c:pt>
                <c:pt idx="12">
                  <c:v>4.7592695074709628</c:v>
                </c:pt>
                <c:pt idx="13">
                  <c:v>4.5256270447110012</c:v>
                </c:pt>
                <c:pt idx="14">
                  <c:v>6.2466343564889808</c:v>
                </c:pt>
                <c:pt idx="15">
                  <c:v>9.1443850267379485</c:v>
                </c:pt>
                <c:pt idx="16">
                  <c:v>12.255678816693077</c:v>
                </c:pt>
                <c:pt idx="17">
                  <c:v>19.718309859154935</c:v>
                </c:pt>
                <c:pt idx="18">
                  <c:v>18.49974657881398</c:v>
                </c:pt>
                <c:pt idx="19">
                  <c:v>16.903478686918177</c:v>
                </c:pt>
                <c:pt idx="20">
                  <c:v>10.305882352941186</c:v>
                </c:pt>
                <c:pt idx="21" formatCode="General">
                  <c:v>0.30501089324617692</c:v>
                </c:pt>
                <c:pt idx="22" formatCode="General">
                  <c:v>-1.5825491873396085</c:v>
                </c:pt>
              </c:numCache>
            </c:numRef>
          </c:val>
          <c:smooth val="0"/>
          <c:extLst>
            <c:ext xmlns:c16="http://schemas.microsoft.com/office/drawing/2014/chart" uri="{C3380CC4-5D6E-409C-BE32-E72D297353CC}">
              <c16:uniqueId val="{00000003-8EB2-4A07-830F-826D171EE131}"/>
            </c:ext>
          </c:extLst>
        </c:ser>
        <c:dLbls>
          <c:showLegendKey val="0"/>
          <c:showVal val="0"/>
          <c:showCatName val="0"/>
          <c:showSerName val="0"/>
          <c:showPercent val="0"/>
          <c:showBubbleSize val="0"/>
        </c:dLbls>
        <c:marker val="1"/>
        <c:smooth val="0"/>
        <c:axId val="118483968"/>
        <c:axId val="120605696"/>
      </c:lineChart>
      <c:catAx>
        <c:axId val="118483968"/>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20605696"/>
        <c:crosses val="autoZero"/>
        <c:auto val="1"/>
        <c:lblAlgn val="ctr"/>
        <c:lblOffset val="100"/>
        <c:noMultiLvlLbl val="0"/>
      </c:catAx>
      <c:valAx>
        <c:axId val="120605696"/>
        <c:scaling>
          <c:orientation val="minMax"/>
          <c:max val="28"/>
          <c:min val="-8"/>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8483968"/>
        <c:crosses val="autoZero"/>
        <c:crossBetween val="between"/>
        <c:majorUnit val="4"/>
      </c:valAx>
      <c:spPr>
        <a:ln>
          <a:solidFill>
            <a:schemeClr val="tx1"/>
          </a:solidFill>
        </a:ln>
      </c:spPr>
    </c:plotArea>
    <c:legend>
      <c:legendPos val="b"/>
      <c:layout>
        <c:manualLayout>
          <c:xMode val="edge"/>
          <c:yMode val="edge"/>
          <c:x val="7.3334810874704504E-2"/>
          <c:y val="0.88817854328492629"/>
          <c:w val="0.89999282337048314"/>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10469436001386E-2"/>
          <c:y val="2.1811315924220448E-2"/>
          <c:w val="0.90860161263086836"/>
          <c:h val="0.71663233141956562"/>
        </c:manualLayout>
      </c:layout>
      <c:barChart>
        <c:barDir val="col"/>
        <c:grouping val="clustered"/>
        <c:varyColors val="0"/>
        <c:ser>
          <c:idx val="0"/>
          <c:order val="0"/>
          <c:tx>
            <c:strRef>
              <c:f>'Ceny 4'!$C$5</c:f>
              <c:strCache>
                <c:ptCount val="1"/>
                <c:pt idx="0">
                  <c:v>Celkem</c:v>
                </c:pt>
              </c:strCache>
            </c:strRef>
          </c:tx>
          <c:spPr>
            <a:solidFill>
              <a:schemeClr val="bg1">
                <a:lumMod val="65000"/>
              </a:schemeClr>
            </a:solidFill>
            <a:ln w="19050">
              <a:noFill/>
            </a:ln>
          </c:spPr>
          <c:invertIfNegative val="0"/>
          <c:cat>
            <c:multiLvlStrRef>
              <c:f>'Ceny 4'!$A$6:$B$28</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4'!$C$6:$C$28</c:f>
              <c:numCache>
                <c:formatCode>General</c:formatCode>
                <c:ptCount val="23"/>
                <c:pt idx="0">
                  <c:v>9.9999999999994357E-2</c:v>
                </c:pt>
                <c:pt idx="1">
                  <c:v>1.5</c:v>
                </c:pt>
                <c:pt idx="2">
                  <c:v>3.2999999999999972</c:v>
                </c:pt>
                <c:pt idx="3">
                  <c:v>3.4000000000000057</c:v>
                </c:pt>
                <c:pt idx="4">
                  <c:v>3.5</c:v>
                </c:pt>
                <c:pt idx="5">
                  <c:v>3.5</c:v>
                </c:pt>
                <c:pt idx="6">
                  <c:v>2</c:v>
                </c:pt>
                <c:pt idx="7">
                  <c:v>1.2999999999999965</c:v>
                </c:pt>
                <c:pt idx="8">
                  <c:v>1.4000000000000057</c:v>
                </c:pt>
                <c:pt idx="9">
                  <c:v>-0.59999999999999432</c:v>
                </c:pt>
                <c:pt idx="10">
                  <c:v>-0.29999999999999738</c:v>
                </c:pt>
                <c:pt idx="11">
                  <c:v>9.9999999999994357E-2</c:v>
                </c:pt>
                <c:pt idx="12">
                  <c:v>1.5</c:v>
                </c:pt>
                <c:pt idx="13">
                  <c:v>5.2999999999999972</c:v>
                </c:pt>
                <c:pt idx="14">
                  <c:v>9</c:v>
                </c:pt>
                <c:pt idx="15">
                  <c:v>12.8</c:v>
                </c:pt>
                <c:pt idx="16">
                  <c:v>21.79999999999999</c:v>
                </c:pt>
                <c:pt idx="17">
                  <c:v>27.700000000000003</c:v>
                </c:pt>
                <c:pt idx="18">
                  <c:v>25.900000000000006</c:v>
                </c:pt>
                <c:pt idx="19">
                  <c:v>21.79999999999999</c:v>
                </c:pt>
                <c:pt idx="20">
                  <c:v>15</c:v>
                </c:pt>
                <c:pt idx="21">
                  <c:v>3.9000000000000057</c:v>
                </c:pt>
                <c:pt idx="22">
                  <c:v>1.3</c:v>
                </c:pt>
              </c:numCache>
            </c:numRef>
          </c:val>
          <c:extLst>
            <c:ext xmlns:c16="http://schemas.microsoft.com/office/drawing/2014/chart" uri="{C3380CC4-5D6E-409C-BE32-E72D297353CC}">
              <c16:uniqueId val="{00000000-99E0-475B-9DAA-9DEC739E4617}"/>
            </c:ext>
          </c:extLst>
        </c:ser>
        <c:dLbls>
          <c:showLegendKey val="0"/>
          <c:showVal val="0"/>
          <c:showCatName val="0"/>
          <c:showSerName val="0"/>
          <c:showPercent val="0"/>
          <c:showBubbleSize val="0"/>
        </c:dLbls>
        <c:gapWidth val="96"/>
        <c:axId val="117289728"/>
        <c:axId val="117291264"/>
      </c:barChart>
      <c:lineChart>
        <c:grouping val="standard"/>
        <c:varyColors val="0"/>
        <c:ser>
          <c:idx val="1"/>
          <c:order val="1"/>
          <c:tx>
            <c:strRef>
              <c:f>'Ceny 4'!$D$5</c:f>
              <c:strCache>
                <c:ptCount val="1"/>
                <c:pt idx="0">
                  <c:v>Těžba a dobývání</c:v>
                </c:pt>
              </c:strCache>
            </c:strRef>
          </c:tx>
          <c:spPr>
            <a:ln w="19050">
              <a:solidFill>
                <a:srgbClr val="7DBB2D"/>
              </a:solidFill>
            </a:ln>
          </c:spPr>
          <c:marker>
            <c:symbol val="none"/>
          </c:marker>
          <c:cat>
            <c:multiLvlStrRef>
              <c:f>'Ceny 4'!$A$6:$B$28</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4'!$D$6:$D$28</c:f>
              <c:numCache>
                <c:formatCode>General</c:formatCode>
                <c:ptCount val="23"/>
                <c:pt idx="0">
                  <c:v>5.4000000000000075</c:v>
                </c:pt>
                <c:pt idx="1">
                  <c:v>6.7000000000000028</c:v>
                </c:pt>
                <c:pt idx="2">
                  <c:v>9.4000000000000057</c:v>
                </c:pt>
                <c:pt idx="3">
                  <c:v>8.8000000000000025</c:v>
                </c:pt>
                <c:pt idx="4">
                  <c:v>7.7000000000000028</c:v>
                </c:pt>
                <c:pt idx="5">
                  <c:v>7.7000000000000028</c:v>
                </c:pt>
                <c:pt idx="6">
                  <c:v>6.7000000000000028</c:v>
                </c:pt>
                <c:pt idx="7">
                  <c:v>3.7000000000000037</c:v>
                </c:pt>
                <c:pt idx="8">
                  <c:v>-2.0999999999999943</c:v>
                </c:pt>
                <c:pt idx="9">
                  <c:v>-3.5</c:v>
                </c:pt>
                <c:pt idx="10">
                  <c:v>-3.5999999999999943</c:v>
                </c:pt>
                <c:pt idx="11">
                  <c:v>-2</c:v>
                </c:pt>
                <c:pt idx="12">
                  <c:v>-0.5</c:v>
                </c:pt>
                <c:pt idx="13">
                  <c:v>0.79999999999999738</c:v>
                </c:pt>
                <c:pt idx="14">
                  <c:v>3.2999999999999972</c:v>
                </c:pt>
                <c:pt idx="15">
                  <c:v>13.8</c:v>
                </c:pt>
                <c:pt idx="16">
                  <c:v>25.200000000000003</c:v>
                </c:pt>
                <c:pt idx="17">
                  <c:v>31.900000000000006</c:v>
                </c:pt>
                <c:pt idx="18">
                  <c:v>30.199999999999992</c:v>
                </c:pt>
                <c:pt idx="19">
                  <c:v>23.29999999999999</c:v>
                </c:pt>
                <c:pt idx="20">
                  <c:v>54</c:v>
                </c:pt>
                <c:pt idx="21">
                  <c:v>47.600000000000009</c:v>
                </c:pt>
                <c:pt idx="22">
                  <c:v>44.5</c:v>
                </c:pt>
              </c:numCache>
            </c:numRef>
          </c:val>
          <c:smooth val="0"/>
          <c:extLst>
            <c:ext xmlns:c16="http://schemas.microsoft.com/office/drawing/2014/chart" uri="{C3380CC4-5D6E-409C-BE32-E72D297353CC}">
              <c16:uniqueId val="{00000001-99E0-475B-9DAA-9DEC739E4617}"/>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4'!$A$6:$B$28</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4'!$E$6:$E$28</c:f>
              <c:numCache>
                <c:formatCode>General</c:formatCode>
                <c:ptCount val="23"/>
                <c:pt idx="0">
                  <c:v>-0.40000000000000568</c:v>
                </c:pt>
                <c:pt idx="1">
                  <c:v>1.2000000000000028</c:v>
                </c:pt>
                <c:pt idx="2">
                  <c:v>3.2000000000000037</c:v>
                </c:pt>
                <c:pt idx="3">
                  <c:v>3.2999999999999972</c:v>
                </c:pt>
                <c:pt idx="4">
                  <c:v>2.5999999999999943</c:v>
                </c:pt>
                <c:pt idx="5">
                  <c:v>2.5999999999999943</c:v>
                </c:pt>
                <c:pt idx="6">
                  <c:v>0.79999999999999738</c:v>
                </c:pt>
                <c:pt idx="7">
                  <c:v>-9.9999999999994357E-2</c:v>
                </c:pt>
                <c:pt idx="8">
                  <c:v>0</c:v>
                </c:pt>
                <c:pt idx="9">
                  <c:v>-2.2999999999999972</c:v>
                </c:pt>
                <c:pt idx="10">
                  <c:v>-1.7999999999999965</c:v>
                </c:pt>
                <c:pt idx="11">
                  <c:v>-1.2000000000000028</c:v>
                </c:pt>
                <c:pt idx="12">
                  <c:v>1.7999999999999965</c:v>
                </c:pt>
                <c:pt idx="13">
                  <c:v>6.5</c:v>
                </c:pt>
                <c:pt idx="14">
                  <c:v>11</c:v>
                </c:pt>
                <c:pt idx="15">
                  <c:v>14.5</c:v>
                </c:pt>
                <c:pt idx="16">
                  <c:v>17.5</c:v>
                </c:pt>
                <c:pt idx="17">
                  <c:v>24.200000000000003</c:v>
                </c:pt>
                <c:pt idx="18">
                  <c:v>20.5</c:v>
                </c:pt>
                <c:pt idx="19">
                  <c:v>16</c:v>
                </c:pt>
                <c:pt idx="20">
                  <c:v>10.3</c:v>
                </c:pt>
                <c:pt idx="21">
                  <c:v>-0.90000000000000568</c:v>
                </c:pt>
                <c:pt idx="22">
                  <c:v>-2.4</c:v>
                </c:pt>
              </c:numCache>
            </c:numRef>
          </c:val>
          <c:smooth val="0"/>
          <c:extLst>
            <c:ext xmlns:c16="http://schemas.microsoft.com/office/drawing/2014/chart" uri="{C3380CC4-5D6E-409C-BE32-E72D297353CC}">
              <c16:uniqueId val="{00000002-99E0-475B-9DAA-9DEC739E4617}"/>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4'!$A$6:$B$28</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4'!$F$6:$F$28</c:f>
              <c:numCache>
                <c:formatCode>General</c:formatCode>
                <c:ptCount val="23"/>
                <c:pt idx="0">
                  <c:v>1.5</c:v>
                </c:pt>
                <c:pt idx="1">
                  <c:v>1.9000000000000061</c:v>
                </c:pt>
                <c:pt idx="2">
                  <c:v>2.5999999999999943</c:v>
                </c:pt>
                <c:pt idx="3">
                  <c:v>2.7999999999999972</c:v>
                </c:pt>
                <c:pt idx="4">
                  <c:v>7.7000000000000028</c:v>
                </c:pt>
                <c:pt idx="5">
                  <c:v>8.3000000000000025</c:v>
                </c:pt>
                <c:pt idx="6">
                  <c:v>7.7999999999999972</c:v>
                </c:pt>
                <c:pt idx="7">
                  <c:v>8.3000000000000025</c:v>
                </c:pt>
                <c:pt idx="8">
                  <c:v>8.9000000000000057</c:v>
                </c:pt>
                <c:pt idx="9">
                  <c:v>8.2000000000000011</c:v>
                </c:pt>
                <c:pt idx="10">
                  <c:v>7.7999999999999972</c:v>
                </c:pt>
                <c:pt idx="11">
                  <c:v>6.0999999999999943</c:v>
                </c:pt>
                <c:pt idx="12">
                  <c:v>0.29999999999999738</c:v>
                </c:pt>
                <c:pt idx="13">
                  <c:v>9.9999999999994357E-2</c:v>
                </c:pt>
                <c:pt idx="14">
                  <c:v>0.79999999999999738</c:v>
                </c:pt>
                <c:pt idx="15">
                  <c:v>5.5</c:v>
                </c:pt>
                <c:pt idx="16">
                  <c:v>45</c:v>
                </c:pt>
                <c:pt idx="17">
                  <c:v>47.20000000000001</c:v>
                </c:pt>
                <c:pt idx="18">
                  <c:v>56</c:v>
                </c:pt>
                <c:pt idx="19">
                  <c:v>54.300000000000004</c:v>
                </c:pt>
                <c:pt idx="20">
                  <c:v>28.400000000000006</c:v>
                </c:pt>
                <c:pt idx="21">
                  <c:v>18.400000000000006</c:v>
                </c:pt>
                <c:pt idx="22">
                  <c:v>10.5</c:v>
                </c:pt>
              </c:numCache>
            </c:numRef>
          </c:val>
          <c:smooth val="0"/>
          <c:extLst>
            <c:ext xmlns:c16="http://schemas.microsoft.com/office/drawing/2014/chart" uri="{C3380CC4-5D6E-409C-BE32-E72D297353CC}">
              <c16:uniqueId val="{00000003-99E0-475B-9DAA-9DEC739E4617}"/>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4'!$A$6:$B$28</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'Ceny 4'!$G$6:$G$28</c:f>
              <c:numCache>
                <c:formatCode>General</c:formatCode>
                <c:ptCount val="23"/>
                <c:pt idx="0">
                  <c:v>1.9000000000000061</c:v>
                </c:pt>
                <c:pt idx="1">
                  <c:v>1.9000000000000061</c:v>
                </c:pt>
                <c:pt idx="2">
                  <c:v>1.9000000000000061</c:v>
                </c:pt>
                <c:pt idx="3">
                  <c:v>1.9000000000000061</c:v>
                </c:pt>
                <c:pt idx="4">
                  <c:v>2.9000000000000057</c:v>
                </c:pt>
                <c:pt idx="5">
                  <c:v>2.9000000000000057</c:v>
                </c:pt>
                <c:pt idx="6">
                  <c:v>2.9000000000000057</c:v>
                </c:pt>
                <c:pt idx="7">
                  <c:v>2.9000000000000057</c:v>
                </c:pt>
                <c:pt idx="8">
                  <c:v>5.4000000000000075</c:v>
                </c:pt>
                <c:pt idx="9">
                  <c:v>6.0999999999999943</c:v>
                </c:pt>
                <c:pt idx="10">
                  <c:v>6.4000000000000075</c:v>
                </c:pt>
                <c:pt idx="11">
                  <c:v>6.4000000000000075</c:v>
                </c:pt>
                <c:pt idx="12">
                  <c:v>6.9000000000000075</c:v>
                </c:pt>
                <c:pt idx="13">
                  <c:v>6.2000000000000028</c:v>
                </c:pt>
                <c:pt idx="14">
                  <c:v>5.9000000000000075</c:v>
                </c:pt>
                <c:pt idx="15">
                  <c:v>5.9000000000000075</c:v>
                </c:pt>
                <c:pt idx="16">
                  <c:v>5.2999999999999972</c:v>
                </c:pt>
                <c:pt idx="17">
                  <c:v>5.2999999999999972</c:v>
                </c:pt>
                <c:pt idx="18">
                  <c:v>5.2999999999999972</c:v>
                </c:pt>
                <c:pt idx="19">
                  <c:v>5.2999999999999972</c:v>
                </c:pt>
                <c:pt idx="20">
                  <c:v>16.29999999999999</c:v>
                </c:pt>
                <c:pt idx="21">
                  <c:v>16.29999999999999</c:v>
                </c:pt>
                <c:pt idx="22">
                  <c:v>16.3</c:v>
                </c:pt>
              </c:numCache>
            </c:numRef>
          </c:val>
          <c:smooth val="0"/>
          <c:extLst>
            <c:ext xmlns:c16="http://schemas.microsoft.com/office/drawing/2014/chart" uri="{C3380CC4-5D6E-409C-BE32-E72D297353CC}">
              <c16:uniqueId val="{00000004-99E0-475B-9DAA-9DEC739E4617}"/>
            </c:ext>
          </c:extLst>
        </c:ser>
        <c:dLbls>
          <c:showLegendKey val="0"/>
          <c:showVal val="0"/>
          <c:showCatName val="0"/>
          <c:showSerName val="0"/>
          <c:showPercent val="0"/>
          <c:showBubbleSize val="0"/>
        </c:dLbls>
        <c:marker val="1"/>
        <c:smooth val="0"/>
        <c:axId val="117289728"/>
        <c:axId val="117291264"/>
      </c:lineChart>
      <c:catAx>
        <c:axId val="117289728"/>
        <c:scaling>
          <c:orientation val="minMax"/>
        </c:scaling>
        <c:delete val="0"/>
        <c:axPos val="b"/>
        <c:numFmt formatCode="General" sourceLinked="0"/>
        <c:majorTickMark val="out"/>
        <c:minorTickMark val="none"/>
        <c:tickLblPos val="low"/>
        <c:spPr>
          <a:ln>
            <a:solidFill>
              <a:schemeClr val="tx1"/>
            </a:solidFill>
          </a:ln>
        </c:spPr>
        <c:crossAx val="117291264"/>
        <c:crosses val="autoZero"/>
        <c:auto val="1"/>
        <c:lblAlgn val="ctr"/>
        <c:lblOffset val="100"/>
        <c:noMultiLvlLbl val="0"/>
      </c:catAx>
      <c:valAx>
        <c:axId val="117291264"/>
        <c:scaling>
          <c:orientation val="minMax"/>
          <c:min val="-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7289728"/>
        <c:crosses val="autoZero"/>
        <c:crossBetween val="between"/>
        <c:majorUnit val="5"/>
      </c:valAx>
      <c:spPr>
        <a:ln>
          <a:solidFill>
            <a:schemeClr val="tx1"/>
          </a:solidFill>
        </a:ln>
      </c:spPr>
    </c:plotArea>
    <c:legend>
      <c:legendPos val="b"/>
      <c:layout>
        <c:manualLayout>
          <c:xMode val="edge"/>
          <c:yMode val="edge"/>
          <c:x val="6.1319022289766968E-2"/>
          <c:y val="0.86223931272106069"/>
          <c:w val="0.90901046943600139"/>
          <c:h val="0.12109402425765231"/>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1923E-2"/>
          <c:y val="1.452205106022466E-2"/>
          <c:w val="0.84495121574960952"/>
          <c:h val="0.67557130739459648"/>
        </c:manualLayout>
      </c:layout>
      <c:barChart>
        <c:barDir val="col"/>
        <c:grouping val="stacked"/>
        <c:varyColors val="0"/>
        <c:ser>
          <c:idx val="0"/>
          <c:order val="0"/>
          <c:tx>
            <c:strRef>
              <c:f>'Trh práce 1-SNÚ'!$AC$7</c:f>
              <c:strCache>
                <c:ptCount val="1"/>
                <c:pt idx="0">
                  <c:v>Zemědělství, lesnictví a rybářství</c:v>
                </c:pt>
              </c:strCache>
            </c:strRef>
          </c:tx>
          <c:spPr>
            <a:solidFill>
              <a:srgbClr val="7DBB2D"/>
            </a:solidFill>
            <a:ln>
              <a:noFill/>
            </a:ln>
          </c:spPr>
          <c:invertIfNegative val="0"/>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1-SNÚ'!$AC$28:$AC$63</c:f>
              <c:numCache>
                <c:formatCode>#\ ##0.0</c:formatCode>
                <c:ptCount val="36"/>
                <c:pt idx="0">
                  <c:v>-5.6828505791380483E-2</c:v>
                </c:pt>
                <c:pt idx="1">
                  <c:v>-5.3414002474862207E-2</c:v>
                </c:pt>
                <c:pt idx="2">
                  <c:v>-6.9742710596297483E-2</c:v>
                </c:pt>
                <c:pt idx="3">
                  <c:v>-0.13971969588082001</c:v>
                </c:pt>
                <c:pt idx="4">
                  <c:v>-0.12487960810120249</c:v>
                </c:pt>
                <c:pt idx="5">
                  <c:v>-3.2190093204688588E-2</c:v>
                </c:pt>
                <c:pt idx="6">
                  <c:v>-4.495117850766725E-2</c:v>
                </c:pt>
                <c:pt idx="7">
                  <c:v>5.8087184963969883E-2</c:v>
                </c:pt>
                <c:pt idx="8">
                  <c:v>9.8469969335167482E-2</c:v>
                </c:pt>
                <c:pt idx="9">
                  <c:v>3.525689638197723E-2</c:v>
                </c:pt>
                <c:pt idx="10">
                  <c:v>1.9943614652896621E-2</c:v>
                </c:pt>
                <c:pt idx="11">
                  <c:v>-9.3018884588644907E-2</c:v>
                </c:pt>
                <c:pt idx="12">
                  <c:v>2.8401707115870724E-2</c:v>
                </c:pt>
                <c:pt idx="13">
                  <c:v>3.0424969757692683E-2</c:v>
                </c:pt>
                <c:pt idx="14">
                  <c:v>1.721394210079398E-2</c:v>
                </c:pt>
                <c:pt idx="15">
                  <c:v>8.3528120512972676E-2</c:v>
                </c:pt>
                <c:pt idx="16">
                  <c:v>-3.1494865390982861E-2</c:v>
                </c:pt>
                <c:pt idx="17">
                  <c:v>-9.3480094872355909E-2</c:v>
                </c:pt>
                <c:pt idx="18">
                  <c:v>-0.12508397994816237</c:v>
                </c:pt>
                <c:pt idx="19">
                  <c:v>-0.13226896814548544</c:v>
                </c:pt>
                <c:pt idx="20">
                  <c:v>-7.8919822387198829E-2</c:v>
                </c:pt>
                <c:pt idx="21">
                  <c:v>-1.5977001932115317E-3</c:v>
                </c:pt>
                <c:pt idx="22">
                  <c:v>9.3748963565408974E-2</c:v>
                </c:pt>
                <c:pt idx="23">
                  <c:v>7.772100709712601E-2</c:v>
                </c:pt>
                <c:pt idx="24">
                  <c:v>4.0304610198826939E-2</c:v>
                </c:pt>
                <c:pt idx="25">
                  <c:v>-4.2078229095876024E-2</c:v>
                </c:pt>
                <c:pt idx="26">
                  <c:v>-6.3204140368347289E-2</c:v>
                </c:pt>
                <c:pt idx="27">
                  <c:v>-1.9871976866903441E-2</c:v>
                </c:pt>
                <c:pt idx="28">
                  <c:v>-6.79146005861858E-2</c:v>
                </c:pt>
                <c:pt idx="29">
                  <c:v>3.2113631816370829E-2</c:v>
                </c:pt>
                <c:pt idx="30">
                  <c:v>-1.5508012938219832E-2</c:v>
                </c:pt>
                <c:pt idx="31">
                  <c:v>-0.10816507912439972</c:v>
                </c:pt>
                <c:pt idx="32">
                  <c:v>4.5996374884010892E-2</c:v>
                </c:pt>
                <c:pt idx="33">
                  <c:v>2.1780607651521903E-2</c:v>
                </c:pt>
                <c:pt idx="34">
                  <c:v>6.3655323483695764E-3</c:v>
                </c:pt>
              </c:numCache>
            </c:numRef>
          </c:val>
          <c:extLst>
            <c:ext xmlns:c16="http://schemas.microsoft.com/office/drawing/2014/chart" uri="{C3380CC4-5D6E-409C-BE32-E72D297353CC}">
              <c16:uniqueId val="{00000000-DB5A-48A3-88B9-A1306767656E}"/>
            </c:ext>
          </c:extLst>
        </c:ser>
        <c:ser>
          <c:idx val="1"/>
          <c:order val="1"/>
          <c:tx>
            <c:strRef>
              <c:f>'Trh práce 1-SNÚ'!$AD$7</c:f>
              <c:strCache>
                <c:ptCount val="1"/>
                <c:pt idx="0">
                  <c:v>Zpracovatelský průmysl</c:v>
                </c:pt>
              </c:strCache>
            </c:strRef>
          </c:tx>
          <c:spPr>
            <a:solidFill>
              <a:srgbClr val="A6CDE8"/>
            </a:solidFill>
            <a:ln>
              <a:noFill/>
            </a:ln>
          </c:spPr>
          <c:invertIfNegative val="0"/>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1-SNÚ'!$AD$28:$AD$63</c:f>
              <c:numCache>
                <c:formatCode>#\ ##0.0</c:formatCode>
                <c:ptCount val="36"/>
                <c:pt idx="0">
                  <c:v>0.89949329716318993</c:v>
                </c:pt>
                <c:pt idx="1">
                  <c:v>0.93127175953417085</c:v>
                </c:pt>
                <c:pt idx="2">
                  <c:v>0.78437575581487662</c:v>
                </c:pt>
                <c:pt idx="3">
                  <c:v>0.92631003282458291</c:v>
                </c:pt>
                <c:pt idx="4">
                  <c:v>0.87287644021507216</c:v>
                </c:pt>
                <c:pt idx="5">
                  <c:v>0.63654993177204455</c:v>
                </c:pt>
                <c:pt idx="6">
                  <c:v>0.66873314812908025</c:v>
                </c:pt>
                <c:pt idx="7">
                  <c:v>0.5180001099102538</c:v>
                </c:pt>
                <c:pt idx="8">
                  <c:v>0.25448906088853906</c:v>
                </c:pt>
                <c:pt idx="9">
                  <c:v>0.40500765768385588</c:v>
                </c:pt>
                <c:pt idx="10">
                  <c:v>0.49291118462601918</c:v>
                </c:pt>
                <c:pt idx="11">
                  <c:v>0.47964454670419909</c:v>
                </c:pt>
                <c:pt idx="12">
                  <c:v>0.34488863442030787</c:v>
                </c:pt>
                <c:pt idx="13">
                  <c:v>0.29136030152194398</c:v>
                </c:pt>
                <c:pt idx="14">
                  <c:v>9.8868388234755161E-2</c:v>
                </c:pt>
                <c:pt idx="15">
                  <c:v>9.055089068099019E-2</c:v>
                </c:pt>
                <c:pt idx="16">
                  <c:v>0.14484299401542142</c:v>
                </c:pt>
                <c:pt idx="17">
                  <c:v>-1.8858080604667569E-2</c:v>
                </c:pt>
                <c:pt idx="18">
                  <c:v>-0.16365938471305239</c:v>
                </c:pt>
                <c:pt idx="19">
                  <c:v>-0.54941077591471033</c:v>
                </c:pt>
                <c:pt idx="20">
                  <c:v>-0.82546861976528951</c:v>
                </c:pt>
                <c:pt idx="21">
                  <c:v>-1.0955999520322597</c:v>
                </c:pt>
                <c:pt idx="22">
                  <c:v>-1.080397843479032</c:v>
                </c:pt>
                <c:pt idx="23">
                  <c:v>-0.90789746373281621</c:v>
                </c:pt>
                <c:pt idx="24">
                  <c:v>-0.49316165113626681</c:v>
                </c:pt>
                <c:pt idx="25">
                  <c:v>-7.4509620655944658E-2</c:v>
                </c:pt>
                <c:pt idx="26">
                  <c:v>0.18158292508911653</c:v>
                </c:pt>
                <c:pt idx="27">
                  <c:v>0.3223340430198105</c:v>
                </c:pt>
                <c:pt idx="28">
                  <c:v>3.8187860960837004E-2</c:v>
                </c:pt>
                <c:pt idx="29">
                  <c:v>0.35388512361693558</c:v>
                </c:pt>
                <c:pt idx="30">
                  <c:v>0.17345173223946594</c:v>
                </c:pt>
                <c:pt idx="31">
                  <c:v>8.8579785635803723E-2</c:v>
                </c:pt>
                <c:pt idx="32">
                  <c:v>4.8503242308048582E-2</c:v>
                </c:pt>
                <c:pt idx="33">
                  <c:v>-0.20014019323111298</c:v>
                </c:pt>
                <c:pt idx="34">
                  <c:v>-0.41926294473195008</c:v>
                </c:pt>
              </c:numCache>
            </c:numRef>
          </c:val>
          <c:extLst>
            <c:ext xmlns:c16="http://schemas.microsoft.com/office/drawing/2014/chart" uri="{C3380CC4-5D6E-409C-BE32-E72D297353CC}">
              <c16:uniqueId val="{00000001-DB5A-48A3-88B9-A1306767656E}"/>
            </c:ext>
          </c:extLst>
        </c:ser>
        <c:ser>
          <c:idx val="2"/>
          <c:order val="2"/>
          <c:tx>
            <c:strRef>
              <c:f>'Trh práce 1-SNÚ'!$AE$7</c:f>
              <c:strCache>
                <c:ptCount val="1"/>
                <c:pt idx="0">
                  <c:v>Stavebnictví</c:v>
                </c:pt>
              </c:strCache>
            </c:strRef>
          </c:tx>
          <c:spPr>
            <a:solidFill>
              <a:srgbClr val="48AEE7"/>
            </a:solidFill>
            <a:ln w="19050">
              <a:noFill/>
            </a:ln>
          </c:spPr>
          <c:invertIfNegative val="0"/>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1-SNÚ'!$AE$28:$AE$63</c:f>
              <c:numCache>
                <c:formatCode>#\ ##0.0</c:formatCode>
                <c:ptCount val="36"/>
                <c:pt idx="0">
                  <c:v>-0.11446239310279097</c:v>
                </c:pt>
                <c:pt idx="1">
                  <c:v>-0.10158864467757592</c:v>
                </c:pt>
                <c:pt idx="2">
                  <c:v>-0.15723882215178694</c:v>
                </c:pt>
                <c:pt idx="3">
                  <c:v>-0.18194332296049914</c:v>
                </c:pt>
                <c:pt idx="4">
                  <c:v>-0.11325522810856539</c:v>
                </c:pt>
                <c:pt idx="5">
                  <c:v>-0.12563587006311638</c:v>
                </c:pt>
                <c:pt idx="6">
                  <c:v>-2.3912252831191489E-2</c:v>
                </c:pt>
                <c:pt idx="7">
                  <c:v>9.7996904835013724E-3</c:v>
                </c:pt>
                <c:pt idx="8">
                  <c:v>-1.3015925682695845E-2</c:v>
                </c:pt>
                <c:pt idx="9">
                  <c:v>1.663061150093266E-2</c:v>
                </c:pt>
                <c:pt idx="10">
                  <c:v>7.5842717437158341E-2</c:v>
                </c:pt>
                <c:pt idx="11">
                  <c:v>-7.0108572985760911E-2</c:v>
                </c:pt>
                <c:pt idx="12">
                  <c:v>0.10624272535850574</c:v>
                </c:pt>
                <c:pt idx="13">
                  <c:v>6.6114358543656077E-2</c:v>
                </c:pt>
                <c:pt idx="14">
                  <c:v>6.2149037714554899E-2</c:v>
                </c:pt>
                <c:pt idx="15">
                  <c:v>0.11396633392024222</c:v>
                </c:pt>
                <c:pt idx="16">
                  <c:v>4.082461644614449E-2</c:v>
                </c:pt>
                <c:pt idx="17">
                  <c:v>7.0404728663714888E-2</c:v>
                </c:pt>
                <c:pt idx="18">
                  <c:v>9.977925270765331E-2</c:v>
                </c:pt>
                <c:pt idx="19">
                  <c:v>0.13486608895157276</c:v>
                </c:pt>
                <c:pt idx="20">
                  <c:v>2.9339864088043205E-2</c:v>
                </c:pt>
                <c:pt idx="21">
                  <c:v>-0.22182322567588586</c:v>
                </c:pt>
                <c:pt idx="22">
                  <c:v>-0.10380928866499864</c:v>
                </c:pt>
                <c:pt idx="23">
                  <c:v>-5.7292436011891962E-2</c:v>
                </c:pt>
                <c:pt idx="24">
                  <c:v>-7.078786710782474E-2</c:v>
                </c:pt>
                <c:pt idx="25">
                  <c:v>0.1427694418966679</c:v>
                </c:pt>
                <c:pt idx="26">
                  <c:v>-1.9848613983292209E-2</c:v>
                </c:pt>
                <c:pt idx="27">
                  <c:v>5.8388099330416922E-2</c:v>
                </c:pt>
                <c:pt idx="28">
                  <c:v>0.2321167619702279</c:v>
                </c:pt>
                <c:pt idx="29">
                  <c:v>0.27758956088391756</c:v>
                </c:pt>
                <c:pt idx="30">
                  <c:v>0.27910704340848874</c:v>
                </c:pt>
                <c:pt idx="31">
                  <c:v>0.25014916598053055</c:v>
                </c:pt>
                <c:pt idx="32">
                  <c:v>0.25347215065270406</c:v>
                </c:pt>
                <c:pt idx="33">
                  <c:v>0.20527902677441914</c:v>
                </c:pt>
                <c:pt idx="34">
                  <c:v>0.1584045297641824</c:v>
                </c:pt>
              </c:numCache>
            </c:numRef>
          </c:val>
          <c:extLst>
            <c:ext xmlns:c16="http://schemas.microsoft.com/office/drawing/2014/chart" uri="{C3380CC4-5D6E-409C-BE32-E72D297353CC}">
              <c16:uniqueId val="{00000002-DB5A-48A3-88B9-A1306767656E}"/>
            </c:ext>
          </c:extLst>
        </c:ser>
        <c:ser>
          <c:idx val="3"/>
          <c:order val="3"/>
          <c:tx>
            <c:strRef>
              <c:f>'Trh práce 1-SNÚ'!$AF$7</c:f>
              <c:strCache>
                <c:ptCount val="1"/>
                <c:pt idx="0">
                  <c:v>Obchod, doprava, ubytování a pohost.</c:v>
                </c:pt>
              </c:strCache>
            </c:strRef>
          </c:tx>
          <c:spPr>
            <a:solidFill>
              <a:srgbClr val="FDDEB3"/>
            </a:solidFill>
            <a:ln w="19050">
              <a:noFill/>
            </a:ln>
          </c:spPr>
          <c:invertIfNegative val="0"/>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1-SNÚ'!$AF$28:$AF$63</c:f>
              <c:numCache>
                <c:formatCode>#\ ##0.0</c:formatCode>
                <c:ptCount val="36"/>
                <c:pt idx="0">
                  <c:v>0.22921943798120303</c:v>
                </c:pt>
                <c:pt idx="1">
                  <c:v>0.48955640475490941</c:v>
                </c:pt>
                <c:pt idx="2">
                  <c:v>0.32927866250413407</c:v>
                </c:pt>
                <c:pt idx="3">
                  <c:v>0.16612893864836825</c:v>
                </c:pt>
                <c:pt idx="4">
                  <c:v>8.137065994846028E-2</c:v>
                </c:pt>
                <c:pt idx="5">
                  <c:v>0.23250543653835901</c:v>
                </c:pt>
                <c:pt idx="6">
                  <c:v>-6.9229828761272118E-3</c:v>
                </c:pt>
                <c:pt idx="7">
                  <c:v>7.0307975449277485E-2</c:v>
                </c:pt>
                <c:pt idx="8">
                  <c:v>0.16752509340503544</c:v>
                </c:pt>
                <c:pt idx="9">
                  <c:v>4.8846481779882198E-3</c:v>
                </c:pt>
                <c:pt idx="10">
                  <c:v>0.35735158674247353</c:v>
                </c:pt>
                <c:pt idx="11">
                  <c:v>0.18418833710391036</c:v>
                </c:pt>
                <c:pt idx="12">
                  <c:v>0.15244258448001169</c:v>
                </c:pt>
                <c:pt idx="13">
                  <c:v>0.40230652744870238</c:v>
                </c:pt>
                <c:pt idx="14">
                  <c:v>0.21159735322599382</c:v>
                </c:pt>
                <c:pt idx="15">
                  <c:v>0.22968370337309341</c:v>
                </c:pt>
                <c:pt idx="16">
                  <c:v>0.43610558013709622</c:v>
                </c:pt>
                <c:pt idx="17">
                  <c:v>0.11493484477903346</c:v>
                </c:pt>
                <c:pt idx="18">
                  <c:v>-1.6666789714208475E-2</c:v>
                </c:pt>
                <c:pt idx="19">
                  <c:v>-4.3580055512076075E-2</c:v>
                </c:pt>
                <c:pt idx="20">
                  <c:v>-0.11338864767860299</c:v>
                </c:pt>
                <c:pt idx="21">
                  <c:v>-0.5701218677959996</c:v>
                </c:pt>
                <c:pt idx="22">
                  <c:v>-0.41759561915220661</c:v>
                </c:pt>
                <c:pt idx="23">
                  <c:v>-0.99268065558520002</c:v>
                </c:pt>
                <c:pt idx="24">
                  <c:v>-0.85371650200457738</c:v>
                </c:pt>
                <c:pt idx="25">
                  <c:v>-0.15752122069655988</c:v>
                </c:pt>
                <c:pt idx="26">
                  <c:v>0.24002189726109691</c:v>
                </c:pt>
                <c:pt idx="27">
                  <c:v>0.7407978296476736</c:v>
                </c:pt>
                <c:pt idx="28">
                  <c:v>0.5346488559435757</c:v>
                </c:pt>
                <c:pt idx="29">
                  <c:v>0.98634993172818264</c:v>
                </c:pt>
                <c:pt idx="30">
                  <c:v>0.46427346168042322</c:v>
                </c:pt>
                <c:pt idx="31">
                  <c:v>0.26116821630191334</c:v>
                </c:pt>
                <c:pt idx="32">
                  <c:v>8.5753435290416777E-2</c:v>
                </c:pt>
                <c:pt idx="33">
                  <c:v>5.147977375233765E-2</c:v>
                </c:pt>
                <c:pt idx="34">
                  <c:v>7.1525102669432156E-2</c:v>
                </c:pt>
              </c:numCache>
            </c:numRef>
          </c:val>
          <c:extLst>
            <c:ext xmlns:c16="http://schemas.microsoft.com/office/drawing/2014/chart" uri="{C3380CC4-5D6E-409C-BE32-E72D297353CC}">
              <c16:uniqueId val="{00000003-DB5A-48A3-88B9-A1306767656E}"/>
            </c:ext>
          </c:extLst>
        </c:ser>
        <c:ser>
          <c:idx val="4"/>
          <c:order val="4"/>
          <c:tx>
            <c:strRef>
              <c:f>'Trh práce 1-SNÚ'!$AG$7</c:f>
              <c:strCache>
                <c:ptCount val="1"/>
                <c:pt idx="0">
                  <c:v>Informační a komunikač. čin.</c:v>
                </c:pt>
              </c:strCache>
            </c:strRef>
          </c:tx>
          <c:spPr>
            <a:solidFill>
              <a:srgbClr val="F8A124"/>
            </a:solidFill>
            <a:ln w="19050">
              <a:noFill/>
            </a:ln>
          </c:spPr>
          <c:invertIfNegative val="0"/>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1-SNÚ'!$AG$28:$AG$63</c:f>
              <c:numCache>
                <c:formatCode>#\ ##0.0</c:formatCode>
                <c:ptCount val="36"/>
                <c:pt idx="0">
                  <c:v>1.6421925627927481E-2</c:v>
                </c:pt>
                <c:pt idx="1">
                  <c:v>5.8810347324453387E-2</c:v>
                </c:pt>
                <c:pt idx="2">
                  <c:v>6.8432712948427635E-2</c:v>
                </c:pt>
                <c:pt idx="3">
                  <c:v>9.7009172732417617E-2</c:v>
                </c:pt>
                <c:pt idx="4">
                  <c:v>0.1202414998904507</c:v>
                </c:pt>
                <c:pt idx="5">
                  <c:v>0.11261710858129224</c:v>
                </c:pt>
                <c:pt idx="6">
                  <c:v>0.12964683530975837</c:v>
                </c:pt>
                <c:pt idx="7">
                  <c:v>0.16713276044214689</c:v>
                </c:pt>
                <c:pt idx="8">
                  <c:v>0.12903159219365573</c:v>
                </c:pt>
                <c:pt idx="9">
                  <c:v>0.1338051485332182</c:v>
                </c:pt>
                <c:pt idx="10">
                  <c:v>0.13863661271570693</c:v>
                </c:pt>
                <c:pt idx="11">
                  <c:v>0.12829019627380961</c:v>
                </c:pt>
                <c:pt idx="12">
                  <c:v>0.11921936740282588</c:v>
                </c:pt>
                <c:pt idx="13">
                  <c:v>0.14348820404813328</c:v>
                </c:pt>
                <c:pt idx="14">
                  <c:v>0.12461478215607261</c:v>
                </c:pt>
                <c:pt idx="15">
                  <c:v>0.14222506693054082</c:v>
                </c:pt>
                <c:pt idx="16">
                  <c:v>0.15100100067608449</c:v>
                </c:pt>
                <c:pt idx="17">
                  <c:v>8.7586944683397366E-2</c:v>
                </c:pt>
                <c:pt idx="18">
                  <c:v>0.1334819747653993</c:v>
                </c:pt>
                <c:pt idx="19">
                  <c:v>0.1358423116659177</c:v>
                </c:pt>
                <c:pt idx="20">
                  <c:v>0.12945571610776943</c:v>
                </c:pt>
                <c:pt idx="21">
                  <c:v>8.7230757675342149E-2</c:v>
                </c:pt>
                <c:pt idx="22">
                  <c:v>0.10732855989947056</c:v>
                </c:pt>
                <c:pt idx="23">
                  <c:v>7.317310801389737E-2</c:v>
                </c:pt>
                <c:pt idx="24">
                  <c:v>6.8471510199846153E-2</c:v>
                </c:pt>
                <c:pt idx="25">
                  <c:v>0.13165868738071818</c:v>
                </c:pt>
                <c:pt idx="26">
                  <c:v>0.10412080114108865</c:v>
                </c:pt>
                <c:pt idx="27">
                  <c:v>3.9101703530884151E-2</c:v>
                </c:pt>
                <c:pt idx="28">
                  <c:v>9.9089132084495782E-2</c:v>
                </c:pt>
                <c:pt idx="29">
                  <c:v>0.10416847644449309</c:v>
                </c:pt>
                <c:pt idx="30">
                  <c:v>0.11043415928068068</c:v>
                </c:pt>
                <c:pt idx="31">
                  <c:v>0.19349303709369098</c:v>
                </c:pt>
                <c:pt idx="32">
                  <c:v>0.16942709908829848</c:v>
                </c:pt>
                <c:pt idx="33">
                  <c:v>8.6994416959101276E-2</c:v>
                </c:pt>
                <c:pt idx="34">
                  <c:v>3.8761872772636652E-2</c:v>
                </c:pt>
              </c:numCache>
            </c:numRef>
          </c:val>
          <c:extLst>
            <c:ext xmlns:c16="http://schemas.microsoft.com/office/drawing/2014/chart" uri="{C3380CC4-5D6E-409C-BE32-E72D297353CC}">
              <c16:uniqueId val="{00000004-DB5A-48A3-88B9-A1306767656E}"/>
            </c:ext>
          </c:extLst>
        </c:ser>
        <c:ser>
          <c:idx val="5"/>
          <c:order val="5"/>
          <c:tx>
            <c:strRef>
              <c:f>'Trh práce 1-SNÚ'!$AH$7</c:f>
              <c:strCache>
                <c:ptCount val="1"/>
                <c:pt idx="0">
                  <c:v>Profesní, vědec., techn. a admin. čin.</c:v>
                </c:pt>
              </c:strCache>
            </c:strRef>
          </c:tx>
          <c:spPr>
            <a:solidFill>
              <a:srgbClr val="E8C0BE"/>
            </a:solidFill>
            <a:ln w="19050">
              <a:noFill/>
            </a:ln>
          </c:spPr>
          <c:invertIfNegative val="0"/>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1-SNÚ'!$AH$28:$AH$63</c:f>
              <c:numCache>
                <c:formatCode>#\ ##0.0</c:formatCode>
                <c:ptCount val="36"/>
                <c:pt idx="0">
                  <c:v>0.10308883456383168</c:v>
                </c:pt>
                <c:pt idx="1">
                  <c:v>0.12282080877669461</c:v>
                </c:pt>
                <c:pt idx="2">
                  <c:v>0.25097208668743332</c:v>
                </c:pt>
                <c:pt idx="3">
                  <c:v>0.35868659590703411</c:v>
                </c:pt>
                <c:pt idx="4">
                  <c:v>0.23811542989926274</c:v>
                </c:pt>
                <c:pt idx="5">
                  <c:v>0.24004667467079344</c:v>
                </c:pt>
                <c:pt idx="6">
                  <c:v>0.25800163760363776</c:v>
                </c:pt>
                <c:pt idx="7">
                  <c:v>0.26365010416494572</c:v>
                </c:pt>
                <c:pt idx="8">
                  <c:v>0.41654784776603976</c:v>
                </c:pt>
                <c:pt idx="9">
                  <c:v>0.35593309894624658</c:v>
                </c:pt>
                <c:pt idx="10">
                  <c:v>0.30977182035627732</c:v>
                </c:pt>
                <c:pt idx="11">
                  <c:v>0.13772607419921484</c:v>
                </c:pt>
                <c:pt idx="12">
                  <c:v>0.14343992134911879</c:v>
                </c:pt>
                <c:pt idx="13">
                  <c:v>0.13539486233919026</c:v>
                </c:pt>
                <c:pt idx="14">
                  <c:v>0.10628305160717502</c:v>
                </c:pt>
                <c:pt idx="15">
                  <c:v>0.2182460882983914</c:v>
                </c:pt>
                <c:pt idx="16">
                  <c:v>-9.1442689268283559E-3</c:v>
                </c:pt>
                <c:pt idx="17">
                  <c:v>-3.3296298567616171E-2</c:v>
                </c:pt>
                <c:pt idx="18">
                  <c:v>-2.6633640706093933E-2</c:v>
                </c:pt>
                <c:pt idx="19">
                  <c:v>-0.20614876639524751</c:v>
                </c:pt>
                <c:pt idx="20">
                  <c:v>-0.13657008164791523</c:v>
                </c:pt>
                <c:pt idx="21">
                  <c:v>-0.27353729169983632</c:v>
                </c:pt>
                <c:pt idx="22">
                  <c:v>-0.43694239818987962</c:v>
                </c:pt>
                <c:pt idx="23">
                  <c:v>-0.20909243346063169</c:v>
                </c:pt>
                <c:pt idx="24">
                  <c:v>-0.1713918803351494</c:v>
                </c:pt>
                <c:pt idx="25">
                  <c:v>0.10134809862521423</c:v>
                </c:pt>
                <c:pt idx="26">
                  <c:v>0.19100069845358966</c:v>
                </c:pt>
                <c:pt idx="27">
                  <c:v>7.1176434253319584E-2</c:v>
                </c:pt>
                <c:pt idx="28">
                  <c:v>-1.6170142996710902E-3</c:v>
                </c:pt>
                <c:pt idx="29">
                  <c:v>-4.5041283484159381E-2</c:v>
                </c:pt>
                <c:pt idx="30">
                  <c:v>1.792532910364979E-2</c:v>
                </c:pt>
                <c:pt idx="31">
                  <c:v>5.9183263530529689E-2</c:v>
                </c:pt>
                <c:pt idx="32">
                  <c:v>0.17239820122049138</c:v>
                </c:pt>
                <c:pt idx="33">
                  <c:v>0.13830960173674228</c:v>
                </c:pt>
                <c:pt idx="34">
                  <c:v>0.23246116979406145</c:v>
                </c:pt>
              </c:numCache>
            </c:numRef>
          </c:val>
          <c:extLst>
            <c:ext xmlns:c16="http://schemas.microsoft.com/office/drawing/2014/chart" uri="{C3380CC4-5D6E-409C-BE32-E72D297353CC}">
              <c16:uniqueId val="{00000005-DB5A-48A3-88B9-A1306767656E}"/>
            </c:ext>
          </c:extLst>
        </c:ser>
        <c:ser>
          <c:idx val="6"/>
          <c:order val="6"/>
          <c:tx>
            <c:strRef>
              <c:f>'Trh práce 1-SNÚ'!$AI$7</c:f>
              <c:strCache>
                <c:ptCount val="1"/>
                <c:pt idx="0">
                  <c:v>Veř.spr.,obrana, vzděl.,zdrav.a soc.péče</c:v>
                </c:pt>
              </c:strCache>
            </c:strRef>
          </c:tx>
          <c:spPr>
            <a:solidFill>
              <a:srgbClr val="D58D8B"/>
            </a:solidFill>
            <a:ln>
              <a:noFill/>
            </a:ln>
          </c:spPr>
          <c:invertIfNegative val="0"/>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1-SNÚ'!$AI$28:$AI$63</c:f>
              <c:numCache>
                <c:formatCode>#\ ##0.0</c:formatCode>
                <c:ptCount val="36"/>
                <c:pt idx="0">
                  <c:v>0.2031525775646241</c:v>
                </c:pt>
                <c:pt idx="1">
                  <c:v>0.21991576992497472</c:v>
                </c:pt>
                <c:pt idx="2">
                  <c:v>0.13142991326837997</c:v>
                </c:pt>
                <c:pt idx="3">
                  <c:v>0.14149199757097264</c:v>
                </c:pt>
                <c:pt idx="4">
                  <c:v>0.325463233483336</c:v>
                </c:pt>
                <c:pt idx="5">
                  <c:v>0.34066723563476037</c:v>
                </c:pt>
                <c:pt idx="6">
                  <c:v>0.44607921975090492</c:v>
                </c:pt>
                <c:pt idx="7">
                  <c:v>0.55251039247568279</c:v>
                </c:pt>
                <c:pt idx="8">
                  <c:v>0.46255274221280807</c:v>
                </c:pt>
                <c:pt idx="9">
                  <c:v>0.49230411325389473</c:v>
                </c:pt>
                <c:pt idx="10">
                  <c:v>0.52626450589314866</c:v>
                </c:pt>
                <c:pt idx="11">
                  <c:v>0.51878456833877995</c:v>
                </c:pt>
                <c:pt idx="12">
                  <c:v>0.44244887504378938</c:v>
                </c:pt>
                <c:pt idx="13">
                  <c:v>0.45935334574437608</c:v>
                </c:pt>
                <c:pt idx="14">
                  <c:v>0.30172836175807344</c:v>
                </c:pt>
                <c:pt idx="15">
                  <c:v>0.24009677638084359</c:v>
                </c:pt>
                <c:pt idx="16">
                  <c:v>0.20061747000522431</c:v>
                </c:pt>
                <c:pt idx="17">
                  <c:v>0.13283528847799542</c:v>
                </c:pt>
                <c:pt idx="18">
                  <c:v>0.15144076368225956</c:v>
                </c:pt>
                <c:pt idx="19">
                  <c:v>0.17428338345531044</c:v>
                </c:pt>
                <c:pt idx="20">
                  <c:v>0.34198589701119508</c:v>
                </c:pt>
                <c:pt idx="21">
                  <c:v>0.27678778519636987</c:v>
                </c:pt>
                <c:pt idx="22">
                  <c:v>0.37818346642689021</c:v>
                </c:pt>
                <c:pt idx="23">
                  <c:v>0.32123696939097601</c:v>
                </c:pt>
                <c:pt idx="24">
                  <c:v>0.17763677855905952</c:v>
                </c:pt>
                <c:pt idx="25">
                  <c:v>0.30954336863438131</c:v>
                </c:pt>
                <c:pt idx="26">
                  <c:v>0.28418412534868692</c:v>
                </c:pt>
                <c:pt idx="27">
                  <c:v>0.35355873670896537</c:v>
                </c:pt>
                <c:pt idx="28">
                  <c:v>0.43905698734441467</c:v>
                </c:pt>
                <c:pt idx="29">
                  <c:v>0.41338594812836138</c:v>
                </c:pt>
                <c:pt idx="30">
                  <c:v>0.41596432785129245</c:v>
                </c:pt>
                <c:pt idx="31">
                  <c:v>0.50273255724285049</c:v>
                </c:pt>
                <c:pt idx="32">
                  <c:v>0.52272828138268268</c:v>
                </c:pt>
                <c:pt idx="33">
                  <c:v>0.41937270752703643</c:v>
                </c:pt>
                <c:pt idx="34">
                  <c:v>0.26370180837986384</c:v>
                </c:pt>
              </c:numCache>
            </c:numRef>
          </c:val>
          <c:extLst>
            <c:ext xmlns:c16="http://schemas.microsoft.com/office/drawing/2014/chart" uri="{C3380CC4-5D6E-409C-BE32-E72D297353CC}">
              <c16:uniqueId val="{00000006-DB5A-48A3-88B9-A1306767656E}"/>
            </c:ext>
          </c:extLst>
        </c:ser>
        <c:ser>
          <c:idx val="7"/>
          <c:order val="7"/>
          <c:tx>
            <c:strRef>
              <c:f>'Trh práce 1-SNÚ'!$AJ$7</c:f>
              <c:strCache>
                <c:ptCount val="1"/>
                <c:pt idx="0">
                  <c:v>Ostatní odvětví*</c:v>
                </c:pt>
              </c:strCache>
            </c:strRef>
          </c:tx>
          <c:spPr>
            <a:solidFill>
              <a:schemeClr val="bg1">
                <a:lumMod val="85000"/>
              </a:schemeClr>
            </a:solidFill>
            <a:ln>
              <a:noFill/>
            </a:ln>
          </c:spPr>
          <c:invertIfNegative val="0"/>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1-SNÚ'!$AJ$28:$AJ$63</c:f>
              <c:numCache>
                <c:formatCode>#\ ##0.0</c:formatCode>
                <c:ptCount val="36"/>
                <c:pt idx="0">
                  <c:v>-5.8105330152403663E-2</c:v>
                </c:pt>
                <c:pt idx="1">
                  <c:v>7.4822774223603894E-2</c:v>
                </c:pt>
                <c:pt idx="2">
                  <c:v>5.2908263210984297E-2</c:v>
                </c:pt>
                <c:pt idx="3">
                  <c:v>-1.0886996096651559E-2</c:v>
                </c:pt>
                <c:pt idx="4">
                  <c:v>0.13489326432190499</c:v>
                </c:pt>
                <c:pt idx="5">
                  <c:v>7.1998572758000354E-2</c:v>
                </c:pt>
                <c:pt idx="6">
                  <c:v>0.10095213191232859</c:v>
                </c:pt>
                <c:pt idx="7">
                  <c:v>0.17975706759442231</c:v>
                </c:pt>
                <c:pt idx="8">
                  <c:v>-3.4575344434650213E-2</c:v>
                </c:pt>
                <c:pt idx="9">
                  <c:v>7.1083985158272222E-3</c:v>
                </c:pt>
                <c:pt idx="10">
                  <c:v>3.3733199641470868E-2</c:v>
                </c:pt>
                <c:pt idx="11">
                  <c:v>2.2834824579480689E-2</c:v>
                </c:pt>
                <c:pt idx="12">
                  <c:v>0.20382180000527356</c:v>
                </c:pt>
                <c:pt idx="13">
                  <c:v>0.20098465243874819</c:v>
                </c:pt>
                <c:pt idx="14">
                  <c:v>1.3096754650279419E-2</c:v>
                </c:pt>
                <c:pt idx="15">
                  <c:v>1.49769422150825E-2</c:v>
                </c:pt>
                <c:pt idx="16">
                  <c:v>-3.6076273960813747E-2</c:v>
                </c:pt>
                <c:pt idx="17">
                  <c:v>2.1528414284039402E-2</c:v>
                </c:pt>
                <c:pt idx="18">
                  <c:v>0.11899312656423253</c:v>
                </c:pt>
                <c:pt idx="19">
                  <c:v>0.11806769054624172</c:v>
                </c:pt>
                <c:pt idx="20">
                  <c:v>-0.14230569417640501</c:v>
                </c:pt>
                <c:pt idx="21">
                  <c:v>-0.35283464151923138</c:v>
                </c:pt>
                <c:pt idx="22">
                  <c:v>-0.32618669457516397</c:v>
                </c:pt>
                <c:pt idx="23">
                  <c:v>-0.43498990865563242</c:v>
                </c:pt>
                <c:pt idx="24">
                  <c:v>-0.14203900559724536</c:v>
                </c:pt>
                <c:pt idx="25">
                  <c:v>5.2288111624045751E-2</c:v>
                </c:pt>
                <c:pt idx="26">
                  <c:v>-2.6396030127119236E-2</c:v>
                </c:pt>
                <c:pt idx="27">
                  <c:v>9.1180639103177613E-2</c:v>
                </c:pt>
                <c:pt idx="28">
                  <c:v>-1.8257219592797962E-2</c:v>
                </c:pt>
                <c:pt idx="29">
                  <c:v>3.1534502912177992E-2</c:v>
                </c:pt>
                <c:pt idx="30">
                  <c:v>-8.1389175816053011E-2</c:v>
                </c:pt>
                <c:pt idx="31">
                  <c:v>-4.9706508616692888E-2</c:v>
                </c:pt>
                <c:pt idx="32">
                  <c:v>3.0156686641757594E-2</c:v>
                </c:pt>
                <c:pt idx="33">
                  <c:v>0.10460543725164173</c:v>
                </c:pt>
                <c:pt idx="34">
                  <c:v>8.9906265243110406E-2</c:v>
                </c:pt>
              </c:numCache>
            </c:numRef>
          </c:val>
          <c:extLst>
            <c:ext xmlns:c16="http://schemas.microsoft.com/office/drawing/2014/chart" uri="{C3380CC4-5D6E-409C-BE32-E72D297353CC}">
              <c16:uniqueId val="{00000007-DB5A-48A3-88B9-A1306767656E}"/>
            </c:ext>
          </c:extLst>
        </c:ser>
        <c:dLbls>
          <c:showLegendKey val="0"/>
          <c:showVal val="0"/>
          <c:showCatName val="0"/>
          <c:showSerName val="0"/>
          <c:showPercent val="0"/>
          <c:showBubbleSize val="0"/>
        </c:dLbls>
        <c:gapWidth val="47"/>
        <c:overlap val="100"/>
        <c:axId val="37317632"/>
        <c:axId val="37335808"/>
      </c:barChart>
      <c:lineChart>
        <c:grouping val="standard"/>
        <c:varyColors val="0"/>
        <c:ser>
          <c:idx val="8"/>
          <c:order val="8"/>
          <c:tx>
            <c:strRef>
              <c:f>'Trh práce 1-SNÚ'!$AK$7</c:f>
              <c:strCache>
                <c:ptCount val="1"/>
                <c:pt idx="0">
                  <c:v>Zaměstnanost celkem</c:v>
                </c:pt>
              </c:strCache>
            </c:strRef>
          </c:tx>
          <c:spPr>
            <a:ln w="19050">
              <a:solidFill>
                <a:schemeClr val="tx1">
                  <a:lumMod val="95000"/>
                  <a:lumOff val="5000"/>
                </a:schemeClr>
              </a:solidFill>
            </a:ln>
          </c:spPr>
          <c:marker>
            <c:symbol val="none"/>
          </c:marker>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1-SNÚ'!$AK$28:$AK$63</c:f>
              <c:numCache>
                <c:formatCode>#\ ##0.0</c:formatCode>
                <c:ptCount val="36"/>
                <c:pt idx="0">
                  <c:v>1.2219798438541989</c:v>
                </c:pt>
                <c:pt idx="1">
                  <c:v>1.7421952173863668</c:v>
                </c:pt>
                <c:pt idx="2">
                  <c:v>1.3904158616861526</c:v>
                </c:pt>
                <c:pt idx="3">
                  <c:v>1.3570767227454039</c:v>
                </c:pt>
                <c:pt idx="4">
                  <c:v>1.5348256915487184</c:v>
                </c:pt>
                <c:pt idx="5">
                  <c:v>1.4765589966874444</c:v>
                </c:pt>
                <c:pt idx="6">
                  <c:v>1.5276265584907236</c:v>
                </c:pt>
                <c:pt idx="7">
                  <c:v>1.8192452854841994</c:v>
                </c:pt>
                <c:pt idx="8">
                  <c:v>1.4810250356838992</c:v>
                </c:pt>
                <c:pt idx="9">
                  <c:v>1.4509305729939399</c:v>
                </c:pt>
                <c:pt idx="10">
                  <c:v>1.9544552420651509</c:v>
                </c:pt>
                <c:pt idx="11">
                  <c:v>1.3083410896249879</c:v>
                </c:pt>
                <c:pt idx="12">
                  <c:v>1.5409056151757028</c:v>
                </c:pt>
                <c:pt idx="13">
                  <c:v>1.729427221842442</c:v>
                </c:pt>
                <c:pt idx="14">
                  <c:v>0.93555167144769769</c:v>
                </c:pt>
                <c:pt idx="15">
                  <c:v>1.1332739223121564</c:v>
                </c:pt>
                <c:pt idx="16">
                  <c:v>0.89667625300134579</c:v>
                </c:pt>
                <c:pt idx="17">
                  <c:v>0.28165574684354056</c:v>
                </c:pt>
                <c:pt idx="18">
                  <c:v>0.17165132263802718</c:v>
                </c:pt>
                <c:pt idx="19">
                  <c:v>-0.36834909134847788</c:v>
                </c:pt>
                <c:pt idx="20">
                  <c:v>-0.79587138844840455</c:v>
                </c:pt>
                <c:pt idx="21">
                  <c:v>-2.1514961360447127</c:v>
                </c:pt>
                <c:pt idx="22">
                  <c:v>-1.7856708541695099</c:v>
                </c:pt>
                <c:pt idx="23">
                  <c:v>-2.1298218129441739</c:v>
                </c:pt>
                <c:pt idx="24">
                  <c:v>-1.4446840072233298</c:v>
                </c:pt>
                <c:pt idx="25">
                  <c:v>0.46349863771264704</c:v>
                </c:pt>
                <c:pt idx="26">
                  <c:v>0.89146166281481953</c:v>
                </c:pt>
                <c:pt idx="27">
                  <c:v>1.6566655087273441</c:v>
                </c:pt>
                <c:pt idx="28">
                  <c:v>1.2553107638248946</c:v>
                </c:pt>
                <c:pt idx="29">
                  <c:v>2.1539858920462791</c:v>
                </c:pt>
                <c:pt idx="30">
                  <c:v>1.3642588648097294</c:v>
                </c:pt>
                <c:pt idx="31">
                  <c:v>1.1974344380442259</c:v>
                </c:pt>
                <c:pt idx="32">
                  <c:v>1.3284354714684101</c:v>
                </c:pt>
                <c:pt idx="33">
                  <c:v>0.82768137842168743</c:v>
                </c:pt>
                <c:pt idx="34">
                  <c:v>0.44186333623970619</c:v>
                </c:pt>
              </c:numCache>
            </c:numRef>
          </c:val>
          <c:smooth val="0"/>
          <c:extLst>
            <c:ext xmlns:c16="http://schemas.microsoft.com/office/drawing/2014/chart" uri="{C3380CC4-5D6E-409C-BE32-E72D297353CC}">
              <c16:uniqueId val="{00000008-DB5A-48A3-88B9-A1306767656E}"/>
            </c:ext>
          </c:extLst>
        </c:ser>
        <c:dLbls>
          <c:showLegendKey val="0"/>
          <c:showVal val="0"/>
          <c:showCatName val="0"/>
          <c:showSerName val="0"/>
          <c:showPercent val="0"/>
          <c:showBubbleSize val="0"/>
        </c:dLbls>
        <c:marker val="1"/>
        <c:smooth val="0"/>
        <c:axId val="37317632"/>
        <c:axId val="37335808"/>
      </c:lineChart>
      <c:lineChart>
        <c:grouping val="standard"/>
        <c:varyColors val="0"/>
        <c:ser>
          <c:idx val="9"/>
          <c:order val="9"/>
          <c:tx>
            <c:strRef>
              <c:f>'Trh práce 1-SNÚ'!$AL$7</c:f>
              <c:strCache>
                <c:ptCount val="1"/>
              </c:strCache>
            </c:strRef>
          </c:tx>
          <c:spPr>
            <a:ln>
              <a:noFill/>
            </a:ln>
          </c:spPr>
          <c:marker>
            <c:symbol val="none"/>
          </c:marker>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1-SNÚ'!$AL$28:$AL$63</c:f>
              <c:numCache>
                <c:formatCode>General</c:formatCode>
                <c:ptCount val="36"/>
              </c:numCache>
            </c:numRef>
          </c:val>
          <c:smooth val="0"/>
          <c:extLst>
            <c:ext xmlns:c16="http://schemas.microsoft.com/office/drawing/2014/chart" uri="{C3380CC4-5D6E-409C-BE32-E72D297353CC}">
              <c16:uniqueId val="{00000009-DB5A-48A3-88B9-A1306767656E}"/>
            </c:ext>
          </c:extLst>
        </c:ser>
        <c:ser>
          <c:idx val="10"/>
          <c:order val="10"/>
          <c:tx>
            <c:strRef>
              <c:f>'Trh práce 1-SNÚ'!$AM$7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1-SNÚ'!$AM$28:$AM$63</c:f>
              <c:numCache>
                <c:formatCode>#\ ##0.0</c:formatCode>
                <c:ptCount val="36"/>
                <c:pt idx="0">
                  <c:v>-3</c:v>
                </c:pt>
                <c:pt idx="1">
                  <c:v>4.3</c:v>
                </c:pt>
                <c:pt idx="2">
                  <c:v>5.5</c:v>
                </c:pt>
                <c:pt idx="3">
                  <c:v>7.8</c:v>
                </c:pt>
                <c:pt idx="4">
                  <c:v>8.2000000000000011</c:v>
                </c:pt>
                <c:pt idx="5">
                  <c:v>9.9</c:v>
                </c:pt>
                <c:pt idx="6">
                  <c:v>3.8</c:v>
                </c:pt>
                <c:pt idx="7">
                  <c:v>9.5</c:v>
                </c:pt>
                <c:pt idx="8">
                  <c:v>11.1</c:v>
                </c:pt>
                <c:pt idx="9">
                  <c:v>5.7</c:v>
                </c:pt>
                <c:pt idx="10">
                  <c:v>8.2000000000000011</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pt idx="30">
                  <c:v>2.1</c:v>
                </c:pt>
                <c:pt idx="31">
                  <c:v>-9.9</c:v>
                </c:pt>
                <c:pt idx="32">
                  <c:v>-13.6</c:v>
                </c:pt>
                <c:pt idx="33">
                  <c:v>-5.8</c:v>
                </c:pt>
                <c:pt idx="34">
                  <c:v>-4.3</c:v>
                </c:pt>
                <c:pt idx="35">
                  <c:v>-8.3000000000000007</c:v>
                </c:pt>
              </c:numCache>
            </c:numRef>
          </c:val>
          <c:smooth val="0"/>
          <c:extLst>
            <c:ext xmlns:c16="http://schemas.microsoft.com/office/drawing/2014/chart" uri="{C3380CC4-5D6E-409C-BE32-E72D297353CC}">
              <c16:uniqueId val="{0000000A-DB5A-48A3-88B9-A1306767656E}"/>
            </c:ext>
          </c:extLst>
        </c:ser>
        <c:ser>
          <c:idx val="11"/>
          <c:order val="11"/>
          <c:tx>
            <c:strRef>
              <c:f>'Trh práce 1-SNÚ'!$AN$7</c:f>
              <c:strCache>
                <c:ptCount val="1"/>
                <c:pt idx="0">
                  <c:v>Očekávání zaměstnanosti (stavebnictví)</c:v>
                </c:pt>
              </c:strCache>
            </c:strRef>
          </c:tx>
          <c:spPr>
            <a:ln w="15875">
              <a:solidFill>
                <a:srgbClr val="00B0F0"/>
              </a:solidFill>
              <a:prstDash val="sysDot"/>
            </a:ln>
          </c:spPr>
          <c:marker>
            <c:symbol val="none"/>
          </c:marker>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1-SNÚ'!$AN$28:$AN$63</c:f>
              <c:numCache>
                <c:formatCode>#\ ##0.0</c:formatCode>
                <c:ptCount val="36"/>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5.7</c:v>
                </c:pt>
                <c:pt idx="21">
                  <c:v>-4.2</c:v>
                </c:pt>
                <c:pt idx="22">
                  <c:v>1.5</c:v>
                </c:pt>
                <c:pt idx="23">
                  <c:v>-1.5</c:v>
                </c:pt>
                <c:pt idx="24">
                  <c:v>3.9</c:v>
                </c:pt>
                <c:pt idx="25">
                  <c:v>4.4000000000000004</c:v>
                </c:pt>
                <c:pt idx="26">
                  <c:v>4.0999999999999996</c:v>
                </c:pt>
                <c:pt idx="27">
                  <c:v>8.3000000000000007</c:v>
                </c:pt>
                <c:pt idx="28">
                  <c:v>9.8000000000000007</c:v>
                </c:pt>
                <c:pt idx="29">
                  <c:v>8</c:v>
                </c:pt>
                <c:pt idx="30">
                  <c:v>1.2</c:v>
                </c:pt>
                <c:pt idx="31">
                  <c:v>-1.7000000000000004</c:v>
                </c:pt>
                <c:pt idx="32">
                  <c:v>-12</c:v>
                </c:pt>
                <c:pt idx="33">
                  <c:v>-13.4</c:v>
                </c:pt>
                <c:pt idx="34">
                  <c:v>-8.6</c:v>
                </c:pt>
                <c:pt idx="35">
                  <c:v>-0.1</c:v>
                </c:pt>
              </c:numCache>
            </c:numRef>
          </c:val>
          <c:smooth val="0"/>
          <c:extLst>
            <c:ext xmlns:c16="http://schemas.microsoft.com/office/drawing/2014/chart" uri="{C3380CC4-5D6E-409C-BE32-E72D297353CC}">
              <c16:uniqueId val="{0000000B-DB5A-48A3-88B9-A1306767656E}"/>
            </c:ext>
          </c:extLst>
        </c:ser>
        <c:ser>
          <c:idx val="12"/>
          <c:order val="12"/>
          <c:tx>
            <c:strRef>
              <c:f>'Trh práce 1-SNÚ'!$AO$7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1-SNÚ'!$AO$28:$AO$63</c:f>
              <c:numCache>
                <c:formatCode>#\ ##0.0</c:formatCode>
                <c:ptCount val="36"/>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0.7000000000000004</c:v>
                </c:pt>
                <c:pt idx="24">
                  <c:v>5.3</c:v>
                </c:pt>
                <c:pt idx="25">
                  <c:v>13.1</c:v>
                </c:pt>
                <c:pt idx="26">
                  <c:v>10.8</c:v>
                </c:pt>
                <c:pt idx="27">
                  <c:v>8.5</c:v>
                </c:pt>
                <c:pt idx="28">
                  <c:v>9.7000000000000011</c:v>
                </c:pt>
                <c:pt idx="29">
                  <c:v>3.3</c:v>
                </c:pt>
                <c:pt idx="30">
                  <c:v>5.3</c:v>
                </c:pt>
                <c:pt idx="31">
                  <c:v>12.7</c:v>
                </c:pt>
                <c:pt idx="32">
                  <c:v>10.4</c:v>
                </c:pt>
                <c:pt idx="33">
                  <c:v>9.3000000000000007</c:v>
                </c:pt>
                <c:pt idx="34">
                  <c:v>10.9</c:v>
                </c:pt>
                <c:pt idx="35">
                  <c:v>10.6</c:v>
                </c:pt>
              </c:numCache>
            </c:numRef>
          </c:val>
          <c:smooth val="0"/>
          <c:extLst>
            <c:ext xmlns:c16="http://schemas.microsoft.com/office/drawing/2014/chart" uri="{C3380CC4-5D6E-409C-BE32-E72D297353CC}">
              <c16:uniqueId val="{0000000C-DB5A-48A3-88B9-A1306767656E}"/>
            </c:ext>
          </c:extLst>
        </c:ser>
        <c:ser>
          <c:idx val="13"/>
          <c:order val="13"/>
          <c:tx>
            <c:strRef>
              <c:f>'Trh práce 1-SNÚ'!$AP$7</c:f>
              <c:strCache>
                <c:ptCount val="1"/>
                <c:pt idx="0">
                  <c:v>Očekávání zaměstnanosti (vybr. služby)</c:v>
                </c:pt>
              </c:strCache>
            </c:strRef>
          </c:tx>
          <c:spPr>
            <a:ln w="15875">
              <a:solidFill>
                <a:srgbClr val="C00000"/>
              </a:solidFill>
              <a:prstDash val="sysDot"/>
            </a:ln>
          </c:spPr>
          <c:marker>
            <c:symbol val="none"/>
          </c:marker>
          <c:cat>
            <c:multiLvlStrRef>
              <c:f>'Trh práce 1-SNÚ'!$AA$28:$AB$63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1-SNÚ'!$AP$28:$AP$63</c:f>
              <c:numCache>
                <c:formatCode>#\ ##0.0</c:formatCode>
                <c:ptCount val="36"/>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-32.300000000000004</c:v>
                </c:pt>
                <c:pt idx="22">
                  <c:v>-28.6</c:v>
                </c:pt>
                <c:pt idx="23">
                  <c:v>-30.1</c:v>
                </c:pt>
                <c:pt idx="24">
                  <c:v>-27</c:v>
                </c:pt>
                <c:pt idx="25">
                  <c:v>-27.7</c:v>
                </c:pt>
                <c:pt idx="26">
                  <c:v>-12.1</c:v>
                </c:pt>
                <c:pt idx="27">
                  <c:v>-15.8</c:v>
                </c:pt>
                <c:pt idx="28">
                  <c:v>-6.8</c:v>
                </c:pt>
                <c:pt idx="29">
                  <c:v>-3.5</c:v>
                </c:pt>
                <c:pt idx="30">
                  <c:v>-6.1</c:v>
                </c:pt>
                <c:pt idx="31">
                  <c:v>-6.4</c:v>
                </c:pt>
                <c:pt idx="32">
                  <c:v>-10.7</c:v>
                </c:pt>
                <c:pt idx="33">
                  <c:v>-16.7</c:v>
                </c:pt>
                <c:pt idx="34">
                  <c:v>-14.5</c:v>
                </c:pt>
                <c:pt idx="35">
                  <c:v>-15.2</c:v>
                </c:pt>
              </c:numCache>
            </c:numRef>
          </c:val>
          <c:smooth val="0"/>
          <c:extLst>
            <c:ext xmlns:c16="http://schemas.microsoft.com/office/drawing/2014/chart" uri="{C3380CC4-5D6E-409C-BE32-E72D297353CC}">
              <c16:uniqueId val="{0000000D-DB5A-48A3-88B9-A1306767656E}"/>
            </c:ext>
          </c:extLst>
        </c:ser>
        <c:dLbls>
          <c:showLegendKey val="0"/>
          <c:showVal val="0"/>
          <c:showCatName val="0"/>
          <c:showSerName val="0"/>
          <c:showPercent val="0"/>
          <c:showBubbleSize val="0"/>
        </c:dLbls>
        <c:marker val="1"/>
        <c:smooth val="0"/>
        <c:axId val="37339904"/>
        <c:axId val="37337728"/>
      </c:lineChart>
      <c:catAx>
        <c:axId val="37317632"/>
        <c:scaling>
          <c:orientation val="minMax"/>
        </c:scaling>
        <c:delete val="0"/>
        <c:axPos val="b"/>
        <c:numFmt formatCode="General" sourceLinked="1"/>
        <c:majorTickMark val="out"/>
        <c:minorTickMark val="none"/>
        <c:tickLblPos val="low"/>
        <c:spPr>
          <a:ln>
            <a:solidFill>
              <a:schemeClr val="tx1"/>
            </a:solidFill>
          </a:ln>
        </c:spPr>
        <c:crossAx val="37335808"/>
        <c:crosses val="autoZero"/>
        <c:auto val="1"/>
        <c:lblAlgn val="ctr"/>
        <c:lblOffset val="10"/>
        <c:noMultiLvlLbl val="0"/>
      </c:catAx>
      <c:valAx>
        <c:axId val="37335808"/>
        <c:scaling>
          <c:orientation val="minMax"/>
          <c:max val="2.5"/>
          <c:min val="-4.5"/>
        </c:scaling>
        <c:delete val="0"/>
        <c:axPos val="l"/>
        <c:majorGridlines>
          <c:spPr>
            <a:ln w="6350">
              <a:solidFill>
                <a:schemeClr val="bg1">
                  <a:lumMod val="75000"/>
                </a:schemeClr>
              </a:solidFill>
            </a:ln>
          </c:spPr>
        </c:majorGridlines>
        <c:title>
          <c:tx>
            <c:rich>
              <a:bodyPr/>
              <a:lstStyle/>
              <a:p>
                <a:pPr>
                  <a:defRPr sz="700" b="0" i="1"/>
                </a:pPr>
                <a:r>
                  <a:rPr lang="cs-CZ" sz="700" b="0" i="1"/>
                  <a:t>Příspěvek k růstu zaměstnanosti</a:t>
                </a:r>
              </a:p>
            </c:rich>
          </c:tx>
          <c:overlay val="0"/>
        </c:title>
        <c:numFmt formatCode="0.0" sourceLinked="0"/>
        <c:majorTickMark val="out"/>
        <c:minorTickMark val="none"/>
        <c:tickLblPos val="nextTo"/>
        <c:spPr>
          <a:ln>
            <a:solidFill>
              <a:schemeClr val="tx1"/>
            </a:solidFill>
          </a:ln>
        </c:spPr>
        <c:crossAx val="37317632"/>
        <c:crosses val="autoZero"/>
        <c:crossBetween val="between"/>
        <c:majorUnit val="0.5"/>
      </c:valAx>
      <c:valAx>
        <c:axId val="37337728"/>
        <c:scaling>
          <c:orientation val="minMax"/>
          <c:max val="100"/>
          <c:min val="-40"/>
        </c:scaling>
        <c:delete val="0"/>
        <c:axPos val="r"/>
        <c:title>
          <c:tx>
            <c:rich>
              <a:bodyPr/>
              <a:lstStyle/>
              <a:p>
                <a:pPr>
                  <a:defRPr sz="700" b="0" i="1"/>
                </a:pPr>
                <a:r>
                  <a:rPr lang="cs-CZ" sz="700" b="0" i="1"/>
                  <a:t>Očekávání vývoje zaměstnanosti</a:t>
                </a:r>
              </a:p>
            </c:rich>
          </c:tx>
          <c:overlay val="0"/>
        </c:title>
        <c:numFmt formatCode="#,##0" sourceLinked="0"/>
        <c:majorTickMark val="out"/>
        <c:minorTickMark val="none"/>
        <c:tickLblPos val="nextTo"/>
        <c:crossAx val="37339904"/>
        <c:crosses val="max"/>
        <c:crossBetween val="between"/>
        <c:majorUnit val="10"/>
      </c:valAx>
      <c:catAx>
        <c:axId val="37339904"/>
        <c:scaling>
          <c:orientation val="minMax"/>
        </c:scaling>
        <c:delete val="1"/>
        <c:axPos val="b"/>
        <c:numFmt formatCode="General" sourceLinked="1"/>
        <c:majorTickMark val="out"/>
        <c:minorTickMark val="none"/>
        <c:tickLblPos val="none"/>
        <c:crossAx val="37337728"/>
        <c:crosses val="autoZero"/>
        <c:auto val="1"/>
        <c:lblAlgn val="ctr"/>
        <c:lblOffset val="100"/>
        <c:noMultiLvlLbl val="0"/>
      </c:catAx>
      <c:spPr>
        <a:ln>
          <a:solidFill>
            <a:schemeClr val="tx1"/>
          </a:solidFill>
        </a:ln>
      </c:spPr>
    </c:plotArea>
    <c:legend>
      <c:legendPos val="b"/>
      <c:layout>
        <c:manualLayout>
          <c:xMode val="edge"/>
          <c:yMode val="edge"/>
          <c:x val="1.5472441370721636E-2"/>
          <c:y val="0.77992823117070786"/>
          <c:w val="0.96005692595618608"/>
          <c:h val="0.21194618315349978"/>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974E-2"/>
          <c:y val="1.6081916099773243E-2"/>
          <c:w val="0.83584199323559083"/>
          <c:h val="0.75413005601973693"/>
        </c:manualLayout>
      </c:layout>
      <c:barChart>
        <c:barDir val="col"/>
        <c:grouping val="clustered"/>
        <c:varyColors val="0"/>
        <c:ser>
          <c:idx val="0"/>
          <c:order val="0"/>
          <c:tx>
            <c:strRef>
              <c:f>'Trh práce-2b'!$A$32</c:f>
              <c:strCache>
                <c:ptCount val="1"/>
                <c:pt idx="0">
                  <c:v>Míra nezaměstnanosti mužů</c:v>
                </c:pt>
              </c:strCache>
            </c:strRef>
          </c:tx>
          <c:spPr>
            <a:solidFill>
              <a:srgbClr val="BCBCBC"/>
            </a:solidFill>
          </c:spPr>
          <c:invertIfNegative val="0"/>
          <c:cat>
            <c:multiLvlStrRef>
              <c:f>'Trh práce-2b'!$B$30:$AK$31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práce-2b'!$B$32:$AK$32</c:f>
              <c:numCache>
                <c:formatCode>0.0</c:formatCode>
                <c:ptCount val="36"/>
                <c:pt idx="0">
                  <c:v>5.0179703567993243</c:v>
                </c:pt>
                <c:pt idx="1">
                  <c:v>4.3397037857057379</c:v>
                </c:pt>
                <c:pt idx="2">
                  <c:v>4.078363791425371</c:v>
                </c:pt>
                <c:pt idx="3">
                  <c:v>3.7766265778372001</c:v>
                </c:pt>
                <c:pt idx="4">
                  <c:v>3.6410218058510386</c:v>
                </c:pt>
                <c:pt idx="5">
                  <c:v>3.5617055995244464</c:v>
                </c:pt>
                <c:pt idx="6">
                  <c:v>3.3832737899339094</c:v>
                </c:pt>
                <c:pt idx="7">
                  <c:v>3.1624830152469738</c:v>
                </c:pt>
                <c:pt idx="8">
                  <c:v>2.7030133381290362</c:v>
                </c:pt>
                <c:pt idx="9">
                  <c:v>2.4612076398961937</c:v>
                </c:pt>
                <c:pt idx="10">
                  <c:v>2.2569337257329667</c:v>
                </c:pt>
                <c:pt idx="11">
                  <c:v>2.0533565705585919</c:v>
                </c:pt>
                <c:pt idx="12">
                  <c:v>1.8939606859689568</c:v>
                </c:pt>
                <c:pt idx="13">
                  <c:v>1.8444391535153297</c:v>
                </c:pt>
                <c:pt idx="14">
                  <c:v>1.8906657579743837</c:v>
                </c:pt>
                <c:pt idx="15">
                  <c:v>1.6613164713888835</c:v>
                </c:pt>
                <c:pt idx="16">
                  <c:v>1.8002424728293283</c:v>
                </c:pt>
                <c:pt idx="17">
                  <c:v>1.6837047772888498</c:v>
                </c:pt>
                <c:pt idx="18">
                  <c:v>1.7665785210090021</c:v>
                </c:pt>
                <c:pt idx="19">
                  <c:v>1.8635330355029034</c:v>
                </c:pt>
                <c:pt idx="20">
                  <c:v>1.8345903586695378</c:v>
                </c:pt>
                <c:pt idx="21">
                  <c:v>2.2579728634053926</c:v>
                </c:pt>
                <c:pt idx="22">
                  <c:v>2.5264092526326736</c:v>
                </c:pt>
                <c:pt idx="23">
                  <c:v>2.5328753255200644</c:v>
                </c:pt>
                <c:pt idx="24">
                  <c:v>2.6659857772407243</c:v>
                </c:pt>
                <c:pt idx="25">
                  <c:v>2.5641998643246779</c:v>
                </c:pt>
                <c:pt idx="26">
                  <c:v>2.278905916721282</c:v>
                </c:pt>
                <c:pt idx="27">
                  <c:v>1.9630889525330852</c:v>
                </c:pt>
                <c:pt idx="28">
                  <c:v>1.9685385453323621</c:v>
                </c:pt>
                <c:pt idx="29">
                  <c:v>1.9052507167110388</c:v>
                </c:pt>
                <c:pt idx="30">
                  <c:v>1.9319432534880339</c:v>
                </c:pt>
                <c:pt idx="31">
                  <c:v>2.0839154037369112</c:v>
                </c:pt>
                <c:pt idx="32">
                  <c:v>2.1539684039842539</c:v>
                </c:pt>
                <c:pt idx="33">
                  <c:v>2.2475906319653256</c:v>
                </c:pt>
                <c:pt idx="34">
                  <c:v>2.3830783649664355</c:v>
                </c:pt>
              </c:numCache>
            </c:numRef>
          </c:val>
          <c:extLst>
            <c:ext xmlns:c16="http://schemas.microsoft.com/office/drawing/2014/chart" uri="{C3380CC4-5D6E-409C-BE32-E72D297353CC}">
              <c16:uniqueId val="{00000000-BE7D-418A-89BD-FF61E67F5466}"/>
            </c:ext>
          </c:extLst>
        </c:ser>
        <c:ser>
          <c:idx val="1"/>
          <c:order val="1"/>
          <c:tx>
            <c:strRef>
              <c:f>'Trh práce-2b'!$A$33</c:f>
              <c:strCache>
                <c:ptCount val="1"/>
                <c:pt idx="0">
                  <c:v>Míra nezaměstnanosti žen</c:v>
                </c:pt>
              </c:strCache>
            </c:strRef>
          </c:tx>
          <c:spPr>
            <a:solidFill>
              <a:schemeClr val="bg1">
                <a:lumMod val="95000"/>
              </a:schemeClr>
            </a:solidFill>
            <a:ln>
              <a:solidFill>
                <a:schemeClr val="bg1">
                  <a:lumMod val="65000"/>
                </a:schemeClr>
              </a:solidFill>
            </a:ln>
          </c:spPr>
          <c:invertIfNegative val="0"/>
          <c:cat>
            <c:multiLvlStrRef>
              <c:f>'Trh práce-2b'!$B$30:$AK$31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práce-2b'!$B$33:$AK$33</c:f>
              <c:numCache>
                <c:formatCode>0.0</c:formatCode>
                <c:ptCount val="36"/>
                <c:pt idx="0">
                  <c:v>6.9247844222757049</c:v>
                </c:pt>
                <c:pt idx="1">
                  <c:v>6.1548239649972301</c:v>
                </c:pt>
                <c:pt idx="2">
                  <c:v>5.9772351628082871</c:v>
                </c:pt>
                <c:pt idx="3">
                  <c:v>5.6631509856934299</c:v>
                </c:pt>
                <c:pt idx="4">
                  <c:v>5.0702807689938432</c:v>
                </c:pt>
                <c:pt idx="5">
                  <c:v>4.8011933347794091</c:v>
                </c:pt>
                <c:pt idx="6">
                  <c:v>4.8094480130904822</c:v>
                </c:pt>
                <c:pt idx="7">
                  <c:v>4.3666253677207658</c:v>
                </c:pt>
                <c:pt idx="8">
                  <c:v>4.2695537029006623</c:v>
                </c:pt>
                <c:pt idx="9">
                  <c:v>3.892380756609807</c:v>
                </c:pt>
                <c:pt idx="10">
                  <c:v>3.4090462990584367</c:v>
                </c:pt>
                <c:pt idx="11">
                  <c:v>3.0268766213583471</c:v>
                </c:pt>
                <c:pt idx="12">
                  <c:v>2.9413108440125399</c:v>
                </c:pt>
                <c:pt idx="13">
                  <c:v>2.890048361854793</c:v>
                </c:pt>
                <c:pt idx="14">
                  <c:v>2.8576069830594313</c:v>
                </c:pt>
                <c:pt idx="15">
                  <c:v>2.6813009357194431</c:v>
                </c:pt>
                <c:pt idx="16">
                  <c:v>2.2468451775037961</c:v>
                </c:pt>
                <c:pt idx="17">
                  <c:v>2.4700676446938101</c:v>
                </c:pt>
                <c:pt idx="18">
                  <c:v>2.5650647654236116</c:v>
                </c:pt>
                <c:pt idx="19">
                  <c:v>2.4357961684995288</c:v>
                </c:pt>
                <c:pt idx="20">
                  <c:v>2.0459633496495342</c:v>
                </c:pt>
                <c:pt idx="21">
                  <c:v>2.8097346782288031</c:v>
                </c:pt>
                <c:pt idx="22">
                  <c:v>3.3694736693486269</c:v>
                </c:pt>
                <c:pt idx="23">
                  <c:v>3.896703472003217</c:v>
                </c:pt>
                <c:pt idx="24">
                  <c:v>4.164813253755848</c:v>
                </c:pt>
                <c:pt idx="25">
                  <c:v>3.8832174365814143</c:v>
                </c:pt>
                <c:pt idx="26">
                  <c:v>3.2690499477231647</c:v>
                </c:pt>
                <c:pt idx="27">
                  <c:v>2.7366479018977636</c:v>
                </c:pt>
                <c:pt idx="28">
                  <c:v>2.9979326140362121</c:v>
                </c:pt>
                <c:pt idx="29">
                  <c:v>3.2178208430883082</c:v>
                </c:pt>
                <c:pt idx="30">
                  <c:v>2.8884878962629599</c:v>
                </c:pt>
                <c:pt idx="31">
                  <c:v>2.8029929464934118</c:v>
                </c:pt>
                <c:pt idx="32">
                  <c:v>3.0338668507272146</c:v>
                </c:pt>
                <c:pt idx="33">
                  <c:v>3.182933910572165</c:v>
                </c:pt>
                <c:pt idx="34">
                  <c:v>3.2404905523388083</c:v>
                </c:pt>
              </c:numCache>
            </c:numRef>
          </c:val>
          <c:extLst>
            <c:ext xmlns:c16="http://schemas.microsoft.com/office/drawing/2014/chart" uri="{C3380CC4-5D6E-409C-BE32-E72D297353CC}">
              <c16:uniqueId val="{00000001-BE7D-418A-89BD-FF61E67F5466}"/>
            </c:ext>
          </c:extLst>
        </c:ser>
        <c:dLbls>
          <c:showLegendKey val="0"/>
          <c:showVal val="0"/>
          <c:showCatName val="0"/>
          <c:showSerName val="0"/>
          <c:showPercent val="0"/>
          <c:showBubbleSize val="0"/>
        </c:dLbls>
        <c:gapWidth val="68"/>
        <c:axId val="38419456"/>
        <c:axId val="38438016"/>
      </c:barChart>
      <c:lineChart>
        <c:grouping val="standard"/>
        <c:varyColors val="0"/>
        <c:ser>
          <c:idx val="4"/>
          <c:order val="2"/>
          <c:tx>
            <c:strRef>
              <c:f>'Trh práce-2b'!$A$36</c:f>
              <c:strCache>
                <c:ptCount val="1"/>
                <c:pt idx="0">
                  <c:v>Ekon. neaktivní chtějící pracovat</c:v>
                </c:pt>
              </c:strCache>
            </c:strRef>
          </c:tx>
          <c:spPr>
            <a:ln w="19050">
              <a:solidFill>
                <a:schemeClr val="bg2">
                  <a:lumMod val="75000"/>
                </a:schemeClr>
              </a:solidFill>
              <a:prstDash val="sysDash"/>
            </a:ln>
          </c:spPr>
          <c:marker>
            <c:symbol val="none"/>
          </c:marker>
          <c:cat>
            <c:multiLvlStrRef>
              <c:f>'Trh práce-2b'!$B$30:$AK$31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práce-2b'!$B$36:$AK$36</c:f>
              <c:numCache>
                <c:formatCode>0.0</c:formatCode>
                <c:ptCount val="36"/>
                <c:pt idx="0">
                  <c:v>138.5</c:v>
                </c:pt>
                <c:pt idx="1">
                  <c:v>141.4</c:v>
                </c:pt>
                <c:pt idx="2">
                  <c:v>137.1</c:v>
                </c:pt>
                <c:pt idx="3">
                  <c:v>130.4</c:v>
                </c:pt>
                <c:pt idx="4">
                  <c:v>141</c:v>
                </c:pt>
                <c:pt idx="5">
                  <c:v>126.4</c:v>
                </c:pt>
                <c:pt idx="6">
                  <c:v>129.69999999999999</c:v>
                </c:pt>
                <c:pt idx="7">
                  <c:v>127.1</c:v>
                </c:pt>
                <c:pt idx="8">
                  <c:v>133.1</c:v>
                </c:pt>
                <c:pt idx="9">
                  <c:v>120.1</c:v>
                </c:pt>
                <c:pt idx="10">
                  <c:v>121.3</c:v>
                </c:pt>
                <c:pt idx="11">
                  <c:v>119.1</c:v>
                </c:pt>
                <c:pt idx="12">
                  <c:v>113.5</c:v>
                </c:pt>
                <c:pt idx="13">
                  <c:v>108.4</c:v>
                </c:pt>
                <c:pt idx="14">
                  <c:v>110.3</c:v>
                </c:pt>
                <c:pt idx="15">
                  <c:v>101.7</c:v>
                </c:pt>
                <c:pt idx="16">
                  <c:v>104.6</c:v>
                </c:pt>
                <c:pt idx="17">
                  <c:v>104.6</c:v>
                </c:pt>
                <c:pt idx="18">
                  <c:v>97.6</c:v>
                </c:pt>
                <c:pt idx="19">
                  <c:v>99.9</c:v>
                </c:pt>
                <c:pt idx="20">
                  <c:v>93.4</c:v>
                </c:pt>
                <c:pt idx="21">
                  <c:v>109.3</c:v>
                </c:pt>
                <c:pt idx="22">
                  <c:v>98.8</c:v>
                </c:pt>
                <c:pt idx="23">
                  <c:v>95.7</c:v>
                </c:pt>
                <c:pt idx="24">
                  <c:v>108</c:v>
                </c:pt>
                <c:pt idx="25">
                  <c:v>113.7</c:v>
                </c:pt>
                <c:pt idx="26">
                  <c:v>64.599999999999994</c:v>
                </c:pt>
                <c:pt idx="27">
                  <c:v>63.3</c:v>
                </c:pt>
                <c:pt idx="28">
                  <c:v>67</c:v>
                </c:pt>
                <c:pt idx="29">
                  <c:v>54.1</c:v>
                </c:pt>
                <c:pt idx="30">
                  <c:v>53.9</c:v>
                </c:pt>
                <c:pt idx="31">
                  <c:v>50</c:v>
                </c:pt>
                <c:pt idx="32">
                  <c:v>74</c:v>
                </c:pt>
                <c:pt idx="33">
                  <c:v>87.4</c:v>
                </c:pt>
                <c:pt idx="34">
                  <c:v>79.400000000000006</c:v>
                </c:pt>
              </c:numCache>
            </c:numRef>
          </c:val>
          <c:smooth val="0"/>
          <c:extLst>
            <c:ext xmlns:c16="http://schemas.microsoft.com/office/drawing/2014/chart" uri="{C3380CC4-5D6E-409C-BE32-E72D297353CC}">
              <c16:uniqueId val="{00000002-BE7D-418A-89BD-FF61E67F5466}"/>
            </c:ext>
          </c:extLst>
        </c:ser>
        <c:ser>
          <c:idx val="5"/>
          <c:order val="3"/>
          <c:tx>
            <c:strRef>
              <c:f>'Trh práce-2b'!$A$37</c:f>
              <c:strCache>
                <c:ptCount val="1"/>
                <c:pt idx="0">
                  <c:v>Očekávání vývoje nezaměstnanosti</c:v>
                </c:pt>
              </c:strCache>
            </c:strRef>
          </c:tx>
          <c:spPr>
            <a:ln w="19050">
              <a:solidFill>
                <a:schemeClr val="accent6">
                  <a:lumMod val="75000"/>
                </a:schemeClr>
              </a:solidFill>
              <a:prstDash val="dash"/>
            </a:ln>
          </c:spPr>
          <c:marker>
            <c:symbol val="none"/>
          </c:marker>
          <c:cat>
            <c:multiLvlStrRef>
              <c:f>'Trh práce-2b'!$B$30:$AK$31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práce-2b'!$B$37:$AK$37</c:f>
              <c:numCache>
                <c:formatCode>0.0</c:formatCode>
                <c:ptCount val="36"/>
                <c:pt idx="0">
                  <c:v>6</c:v>
                </c:pt>
                <c:pt idx="1">
                  <c:v>9</c:v>
                </c:pt>
                <c:pt idx="2">
                  <c:v>10</c:v>
                </c:pt>
                <c:pt idx="3">
                  <c:v>4</c:v>
                </c:pt>
                <c:pt idx="4">
                  <c:v>2</c:v>
                </c:pt>
                <c:pt idx="5">
                  <c:v>10</c:v>
                </c:pt>
                <c:pt idx="6">
                  <c:v>5</c:v>
                </c:pt>
                <c:pt idx="7">
                  <c:v>4</c:v>
                </c:pt>
                <c:pt idx="8">
                  <c:v>1</c:v>
                </c:pt>
                <c:pt idx="9">
                  <c:v>-3</c:v>
                </c:pt>
                <c:pt idx="10">
                  <c:v>0</c:v>
                </c:pt>
                <c:pt idx="11">
                  <c:v>-1</c:v>
                </c:pt>
                <c:pt idx="12">
                  <c:v>-1</c:v>
                </c:pt>
                <c:pt idx="13">
                  <c:v>-2</c:v>
                </c:pt>
                <c:pt idx="14">
                  <c:v>-2</c:v>
                </c:pt>
                <c:pt idx="15">
                  <c:v>4</c:v>
                </c:pt>
                <c:pt idx="16">
                  <c:v>8</c:v>
                </c:pt>
                <c:pt idx="17">
                  <c:v>8</c:v>
                </c:pt>
                <c:pt idx="18">
                  <c:v>11</c:v>
                </c:pt>
                <c:pt idx="19">
                  <c:v>12</c:v>
                </c:pt>
                <c:pt idx="20">
                  <c:v>18</c:v>
                </c:pt>
                <c:pt idx="21">
                  <c:v>49</c:v>
                </c:pt>
                <c:pt idx="22">
                  <c:v>46</c:v>
                </c:pt>
                <c:pt idx="23">
                  <c:v>60</c:v>
                </c:pt>
                <c:pt idx="24">
                  <c:v>57</c:v>
                </c:pt>
                <c:pt idx="25">
                  <c:v>24</c:v>
                </c:pt>
                <c:pt idx="26">
                  <c:v>16</c:v>
                </c:pt>
                <c:pt idx="27">
                  <c:v>20</c:v>
                </c:pt>
                <c:pt idx="28">
                  <c:v>14</c:v>
                </c:pt>
                <c:pt idx="29">
                  <c:v>20</c:v>
                </c:pt>
                <c:pt idx="30">
                  <c:v>26</c:v>
                </c:pt>
                <c:pt idx="31">
                  <c:v>40</c:v>
                </c:pt>
                <c:pt idx="32">
                  <c:v>35</c:v>
                </c:pt>
                <c:pt idx="33">
                  <c:v>29</c:v>
                </c:pt>
                <c:pt idx="34">
                  <c:v>25</c:v>
                </c:pt>
                <c:pt idx="35">
                  <c:v>17</c:v>
                </c:pt>
              </c:numCache>
            </c:numRef>
          </c:val>
          <c:smooth val="0"/>
          <c:extLst>
            <c:ext xmlns:c16="http://schemas.microsoft.com/office/drawing/2014/chart" uri="{C3380CC4-5D6E-409C-BE32-E72D297353CC}">
              <c16:uniqueId val="{00000003-BE7D-418A-89BD-FF61E67F5466}"/>
            </c:ext>
          </c:extLst>
        </c:ser>
        <c:ser>
          <c:idx val="6"/>
          <c:order val="4"/>
          <c:tx>
            <c:strRef>
              <c:f>'Trh práce-2b'!$A$38</c:f>
              <c:strCache>
                <c:ptCount val="1"/>
                <c:pt idx="0">
                  <c:v>VPM pro vyučené a SŠ bez mat.</c:v>
                </c:pt>
              </c:strCache>
            </c:strRef>
          </c:tx>
          <c:spPr>
            <a:ln>
              <a:noFill/>
            </a:ln>
          </c:spPr>
          <c:marker>
            <c:symbol val="circle"/>
            <c:size val="4"/>
            <c:spPr>
              <a:solidFill>
                <a:srgbClr val="8EB149"/>
              </a:solidFill>
              <a:ln>
                <a:noFill/>
              </a:ln>
            </c:spPr>
          </c:marker>
          <c:cat>
            <c:multiLvlStrRef>
              <c:f>'Trh práce-2b'!$B$30:$AK$31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práce-2b'!$B$38:$AK$38</c:f>
              <c:numCache>
                <c:formatCode>0.0</c:formatCode>
                <c:ptCount val="36"/>
                <c:pt idx="0">
                  <c:v>31.7</c:v>
                </c:pt>
                <c:pt idx="1">
                  <c:v>39.700000000000003</c:v>
                </c:pt>
                <c:pt idx="2">
                  <c:v>44.4</c:v>
                </c:pt>
                <c:pt idx="3">
                  <c:v>41.2</c:v>
                </c:pt>
                <c:pt idx="4">
                  <c:v>45.3</c:v>
                </c:pt>
                <c:pt idx="5">
                  <c:v>51.4</c:v>
                </c:pt>
                <c:pt idx="6">
                  <c:v>52.8</c:v>
                </c:pt>
                <c:pt idx="7">
                  <c:v>47.2</c:v>
                </c:pt>
                <c:pt idx="8">
                  <c:v>51.5</c:v>
                </c:pt>
                <c:pt idx="9">
                  <c:v>59.1</c:v>
                </c:pt>
                <c:pt idx="10">
                  <c:v>63.1</c:v>
                </c:pt>
                <c:pt idx="11">
                  <c:v>60.9</c:v>
                </c:pt>
                <c:pt idx="12">
                  <c:v>65.3</c:v>
                </c:pt>
                <c:pt idx="13">
                  <c:v>73.3</c:v>
                </c:pt>
                <c:pt idx="14">
                  <c:v>74.2</c:v>
                </c:pt>
                <c:pt idx="15">
                  <c:v>70.400000000000006</c:v>
                </c:pt>
                <c:pt idx="16">
                  <c:v>70.2</c:v>
                </c:pt>
                <c:pt idx="17">
                  <c:v>68</c:v>
                </c:pt>
                <c:pt idx="18">
                  <c:v>65.8</c:v>
                </c:pt>
                <c:pt idx="19">
                  <c:v>59.1</c:v>
                </c:pt>
                <c:pt idx="20">
                  <c:v>57.7</c:v>
                </c:pt>
                <c:pt idx="21">
                  <c:v>54.3</c:v>
                </c:pt>
                <c:pt idx="22">
                  <c:v>49.1</c:v>
                </c:pt>
                <c:pt idx="23">
                  <c:v>46.6</c:v>
                </c:pt>
                <c:pt idx="24">
                  <c:v>47.9</c:v>
                </c:pt>
                <c:pt idx="25">
                  <c:v>53.9</c:v>
                </c:pt>
                <c:pt idx="26">
                  <c:v>55.5</c:v>
                </c:pt>
                <c:pt idx="27">
                  <c:v>48.9</c:v>
                </c:pt>
                <c:pt idx="28">
                  <c:v>53.7</c:v>
                </c:pt>
                <c:pt idx="29">
                  <c:v>51.3</c:v>
                </c:pt>
                <c:pt idx="30">
                  <c:v>48.2</c:v>
                </c:pt>
                <c:pt idx="31">
                  <c:v>43.886999999999993</c:v>
                </c:pt>
                <c:pt idx="32">
                  <c:v>43.122000000000028</c:v>
                </c:pt>
                <c:pt idx="33">
                  <c:v>42.853999999999999</c:v>
                </c:pt>
                <c:pt idx="34">
                  <c:v>41.186</c:v>
                </c:pt>
              </c:numCache>
            </c:numRef>
          </c:val>
          <c:smooth val="0"/>
          <c:extLst>
            <c:ext xmlns:c16="http://schemas.microsoft.com/office/drawing/2014/chart" uri="{C3380CC4-5D6E-409C-BE32-E72D297353CC}">
              <c16:uniqueId val="{00000004-BE7D-418A-89BD-FF61E67F5466}"/>
            </c:ext>
          </c:extLst>
        </c:ser>
        <c:ser>
          <c:idx val="7"/>
          <c:order val="5"/>
          <c:tx>
            <c:strRef>
              <c:f>'Trh práce-2b'!$A$39</c:f>
              <c:strCache>
                <c:ptCount val="1"/>
                <c:pt idx="0">
                  <c:v>VPM pro SŠ s mat., VOŠ a VŠ</c:v>
                </c:pt>
              </c:strCache>
            </c:strRef>
          </c:tx>
          <c:spPr>
            <a:ln>
              <a:noFill/>
            </a:ln>
          </c:spPr>
          <c:marker>
            <c:symbol val="diamond"/>
            <c:size val="5"/>
            <c:spPr>
              <a:solidFill>
                <a:srgbClr val="00B050"/>
              </a:solidFill>
              <a:ln>
                <a:noFill/>
              </a:ln>
            </c:spPr>
          </c:marker>
          <c:cat>
            <c:multiLvlStrRef>
              <c:f>'Trh práce-2b'!$B$30:$AK$31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práce-2b'!$B$39:$AK$39</c:f>
              <c:numCache>
                <c:formatCode>0.0</c:formatCode>
                <c:ptCount val="36"/>
                <c:pt idx="0">
                  <c:v>16.600000000000001</c:v>
                </c:pt>
                <c:pt idx="1">
                  <c:v>19.3</c:v>
                </c:pt>
                <c:pt idx="2">
                  <c:v>20</c:v>
                </c:pt>
                <c:pt idx="3">
                  <c:v>19.600000000000001</c:v>
                </c:pt>
                <c:pt idx="4">
                  <c:v>23.4</c:v>
                </c:pt>
                <c:pt idx="5">
                  <c:v>24.8</c:v>
                </c:pt>
                <c:pt idx="6">
                  <c:v>25.2</c:v>
                </c:pt>
                <c:pt idx="7">
                  <c:v>23.5</c:v>
                </c:pt>
                <c:pt idx="8">
                  <c:v>25.9</c:v>
                </c:pt>
                <c:pt idx="9">
                  <c:v>30.3</c:v>
                </c:pt>
                <c:pt idx="10">
                  <c:v>31.4</c:v>
                </c:pt>
                <c:pt idx="11">
                  <c:v>31.8</c:v>
                </c:pt>
                <c:pt idx="12">
                  <c:v>34.300000000000004</c:v>
                </c:pt>
                <c:pt idx="13">
                  <c:v>38</c:v>
                </c:pt>
                <c:pt idx="14">
                  <c:v>37.200000000000003</c:v>
                </c:pt>
                <c:pt idx="15">
                  <c:v>36.6</c:v>
                </c:pt>
                <c:pt idx="16">
                  <c:v>37.300000000000004</c:v>
                </c:pt>
                <c:pt idx="17">
                  <c:v>38.300000000000004</c:v>
                </c:pt>
                <c:pt idx="18">
                  <c:v>38.6</c:v>
                </c:pt>
                <c:pt idx="19">
                  <c:v>36.300000000000004</c:v>
                </c:pt>
                <c:pt idx="20">
                  <c:v>37.700000000000003</c:v>
                </c:pt>
                <c:pt idx="21">
                  <c:v>38.1</c:v>
                </c:pt>
                <c:pt idx="22">
                  <c:v>34.4</c:v>
                </c:pt>
                <c:pt idx="23">
                  <c:v>34.1</c:v>
                </c:pt>
                <c:pt idx="24">
                  <c:v>36.300000000000004</c:v>
                </c:pt>
                <c:pt idx="25">
                  <c:v>39.6</c:v>
                </c:pt>
                <c:pt idx="26">
                  <c:v>40.300000000000004</c:v>
                </c:pt>
                <c:pt idx="27">
                  <c:v>39.200000000000003</c:v>
                </c:pt>
                <c:pt idx="28">
                  <c:v>42.5</c:v>
                </c:pt>
                <c:pt idx="29">
                  <c:v>41</c:v>
                </c:pt>
                <c:pt idx="30">
                  <c:v>38.5</c:v>
                </c:pt>
                <c:pt idx="31">
                  <c:v>36.56</c:v>
                </c:pt>
                <c:pt idx="32">
                  <c:v>37.613</c:v>
                </c:pt>
                <c:pt idx="33">
                  <c:v>38.130000000000003</c:v>
                </c:pt>
                <c:pt idx="34">
                  <c:v>36.289000000000001</c:v>
                </c:pt>
              </c:numCache>
            </c:numRef>
          </c:val>
          <c:smooth val="0"/>
          <c:extLst>
            <c:ext xmlns:c16="http://schemas.microsoft.com/office/drawing/2014/chart" uri="{C3380CC4-5D6E-409C-BE32-E72D297353CC}">
              <c16:uniqueId val="{00000005-BE7D-418A-89BD-FF61E67F5466}"/>
            </c:ext>
          </c:extLst>
        </c:ser>
        <c:dLbls>
          <c:showLegendKey val="0"/>
          <c:showVal val="0"/>
          <c:showCatName val="0"/>
          <c:showSerName val="0"/>
          <c:showPercent val="0"/>
          <c:showBubbleSize val="0"/>
        </c:dLbls>
        <c:marker val="1"/>
        <c:smooth val="0"/>
        <c:axId val="38442112"/>
        <c:axId val="38439936"/>
      </c:lineChart>
      <c:catAx>
        <c:axId val="38419456"/>
        <c:scaling>
          <c:orientation val="minMax"/>
        </c:scaling>
        <c:delete val="0"/>
        <c:axPos val="b"/>
        <c:numFmt formatCode="General" sourceLinked="0"/>
        <c:majorTickMark val="out"/>
        <c:minorTickMark val="none"/>
        <c:tickLblPos val="low"/>
        <c:spPr>
          <a:ln>
            <a:solidFill>
              <a:schemeClr val="tx1"/>
            </a:solidFill>
          </a:ln>
        </c:spPr>
        <c:crossAx val="38438016"/>
        <c:crossesAt val="-50"/>
        <c:auto val="1"/>
        <c:lblAlgn val="ctr"/>
        <c:lblOffset val="0"/>
        <c:noMultiLvlLbl val="0"/>
      </c:catAx>
      <c:valAx>
        <c:axId val="38438016"/>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Míra nezaměstnanosti</a:t>
                </a:r>
              </a:p>
            </c:rich>
          </c:tx>
          <c:overlay val="0"/>
        </c:title>
        <c:numFmt formatCode="0.0" sourceLinked="0"/>
        <c:majorTickMark val="out"/>
        <c:minorTickMark val="none"/>
        <c:tickLblPos val="nextTo"/>
        <c:spPr>
          <a:ln>
            <a:solidFill>
              <a:schemeClr val="tx1"/>
            </a:solidFill>
          </a:ln>
        </c:spPr>
        <c:crossAx val="38419456"/>
        <c:crosses val="autoZero"/>
        <c:crossBetween val="between"/>
        <c:majorUnit val="0.5"/>
      </c:valAx>
      <c:valAx>
        <c:axId val="38439936"/>
        <c:scaling>
          <c:orientation val="minMax"/>
          <c:max val="142"/>
          <c:min val="-10"/>
        </c:scaling>
        <c:delete val="0"/>
        <c:axPos val="r"/>
        <c:title>
          <c:tx>
            <c:rich>
              <a:bodyPr/>
              <a:lstStyle/>
              <a:p>
                <a:pPr>
                  <a:defRPr sz="700" b="0" i="1"/>
                </a:pPr>
                <a:r>
                  <a:rPr lang="cs-CZ" sz="700" b="0" i="1"/>
                  <a:t>Míra</a:t>
                </a:r>
                <a:r>
                  <a:rPr lang="cs-CZ" sz="700" b="0" i="1" baseline="0"/>
                  <a:t> ekonomické aktivity, e</a:t>
                </a:r>
                <a:r>
                  <a:rPr lang="cs-CZ" sz="700" b="0" i="1"/>
                  <a:t>kon. neaktivní, očekávání nezam.</a:t>
                </a:r>
              </a:p>
            </c:rich>
          </c:tx>
          <c:overlay val="0"/>
        </c:title>
        <c:numFmt formatCode="#,##0" sourceLinked="0"/>
        <c:majorTickMark val="out"/>
        <c:minorTickMark val="none"/>
        <c:tickLblPos val="nextTo"/>
        <c:crossAx val="38442112"/>
        <c:crosses val="max"/>
        <c:crossBetween val="between"/>
        <c:majorUnit val="10"/>
      </c:valAx>
      <c:catAx>
        <c:axId val="38442112"/>
        <c:scaling>
          <c:orientation val="minMax"/>
        </c:scaling>
        <c:delete val="1"/>
        <c:axPos val="b"/>
        <c:numFmt formatCode="General" sourceLinked="1"/>
        <c:majorTickMark val="out"/>
        <c:minorTickMark val="none"/>
        <c:tickLblPos val="none"/>
        <c:crossAx val="38439936"/>
        <c:crosses val="autoZero"/>
        <c:auto val="1"/>
        <c:lblAlgn val="ctr"/>
        <c:lblOffset val="100"/>
        <c:noMultiLvlLbl val="0"/>
      </c:catAx>
      <c:spPr>
        <a:ln>
          <a:solidFill>
            <a:schemeClr val="tx1"/>
          </a:solidFill>
        </a:ln>
      </c:spPr>
    </c:plotArea>
    <c:legend>
      <c:legendPos val="b"/>
      <c:layout>
        <c:manualLayout>
          <c:xMode val="edge"/>
          <c:yMode val="edge"/>
          <c:x val="7.7707750087519983E-2"/>
          <c:y val="0.86344941601778269"/>
          <c:w val="0.87725909810586822"/>
          <c:h val="0.12604380165618714"/>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11162452186125E-2"/>
          <c:y val="2.0203894786331146E-2"/>
          <c:w val="0.94100987714831774"/>
          <c:h val="0.7639520975056695"/>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3'!$A$29:$B$63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3'!$D$29:$D$63</c:f>
              <c:numCache>
                <c:formatCode>#\ ##0.0</c:formatCode>
                <c:ptCount val="35"/>
                <c:pt idx="0">
                  <c:v>2.2000000000000042</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4.9000000000000083</c:v>
                </c:pt>
                <c:pt idx="10">
                  <c:v>4.0999999999999943</c:v>
                </c:pt>
                <c:pt idx="11">
                  <c:v>5.0999999999999943</c:v>
                </c:pt>
                <c:pt idx="12">
                  <c:v>6.5</c:v>
                </c:pt>
                <c:pt idx="13">
                  <c:v>6.2999999999999972</c:v>
                </c:pt>
                <c:pt idx="14">
                  <c:v>5.9000000000000083</c:v>
                </c:pt>
                <c:pt idx="15">
                  <c:v>4.9000000000000083</c:v>
                </c:pt>
                <c:pt idx="16">
                  <c:v>5.5</c:v>
                </c:pt>
                <c:pt idx="17">
                  <c:v>5.0999999999999943</c:v>
                </c:pt>
                <c:pt idx="18">
                  <c:v>4.7999999999999972</c:v>
                </c:pt>
                <c:pt idx="19">
                  <c:v>4.5</c:v>
                </c:pt>
                <c:pt idx="20">
                  <c:v>1.7999999999999956</c:v>
                </c:pt>
                <c:pt idx="21">
                  <c:v>-2.0999999999999943</c:v>
                </c:pt>
                <c:pt idx="22">
                  <c:v>2</c:v>
                </c:pt>
                <c:pt idx="23">
                  <c:v>4</c:v>
                </c:pt>
                <c:pt idx="24">
                  <c:v>0.7999999999999976</c:v>
                </c:pt>
                <c:pt idx="25">
                  <c:v>8.1000000000000014</c:v>
                </c:pt>
                <c:pt idx="26">
                  <c:v>1.2000000000000028</c:v>
                </c:pt>
                <c:pt idx="27">
                  <c:v>-2.0999999999999943</c:v>
                </c:pt>
                <c:pt idx="28">
                  <c:v>-4.5999999999999943</c:v>
                </c:pt>
                <c:pt idx="29">
                  <c:v>-10.700000000000003</c:v>
                </c:pt>
                <c:pt idx="30">
                  <c:v>-10.5</c:v>
                </c:pt>
                <c:pt idx="31">
                  <c:v>-7.9000000000000083</c:v>
                </c:pt>
                <c:pt idx="32">
                  <c:v>-6.5999999999999943</c:v>
                </c:pt>
                <c:pt idx="33">
                  <c:v>-2.7999999999999972</c:v>
                </c:pt>
                <c:pt idx="34">
                  <c:v>-0.7999999999999976</c:v>
                </c:pt>
              </c:numCache>
            </c:numRef>
          </c:val>
          <c:extLst>
            <c:ext xmlns:c16="http://schemas.microsoft.com/office/drawing/2014/chart" uri="{C3380CC4-5D6E-409C-BE32-E72D297353CC}">
              <c16:uniqueId val="{00000000-59F8-4536-9A6E-B53AC25CAAD5}"/>
            </c:ext>
          </c:extLst>
        </c:ser>
        <c:dLbls>
          <c:showLegendKey val="0"/>
          <c:showVal val="0"/>
          <c:showCatName val="0"/>
          <c:showSerName val="0"/>
          <c:showPercent val="0"/>
          <c:showBubbleSize val="0"/>
        </c:dLbls>
        <c:gapWidth val="37"/>
        <c:axId val="38464128"/>
        <c:axId val="38466304"/>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prstDash val="sysDash"/>
            </a:ln>
          </c:spPr>
          <c:marker>
            <c:symbol val="none"/>
          </c:marker>
          <c:cat>
            <c:multiLvlStrRef>
              <c:f>'Trh práce 3'!$A$29:$B$63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3'!$C$29:$C$63</c:f>
              <c:numCache>
                <c:formatCode>#\ ##0.0</c:formatCode>
                <c:ptCount val="35"/>
                <c:pt idx="0">
                  <c:v>2.2999999999999972</c:v>
                </c:pt>
                <c:pt idx="1">
                  <c:v>3.2999999999999972</c:v>
                </c:pt>
                <c:pt idx="2">
                  <c:v>3.5</c:v>
                </c:pt>
                <c:pt idx="3">
                  <c:v>3.7000000000000042</c:v>
                </c:pt>
                <c:pt idx="4">
                  <c:v>4.7000000000000028</c:v>
                </c:pt>
                <c:pt idx="5">
                  <c:v>4</c:v>
                </c:pt>
                <c:pt idx="6">
                  <c:v>4.7000000000000028</c:v>
                </c:pt>
                <c:pt idx="7">
                  <c:v>4.4000000000000083</c:v>
                </c:pt>
                <c:pt idx="8">
                  <c:v>5.0999999999999943</c:v>
                </c:pt>
                <c:pt idx="9">
                  <c:v>7.2000000000000028</c:v>
                </c:pt>
                <c:pt idx="10">
                  <c:v>6.7000000000000028</c:v>
                </c:pt>
                <c:pt idx="11">
                  <c:v>7.7999999999999972</c:v>
                </c:pt>
                <c:pt idx="12">
                  <c:v>8.5</c:v>
                </c:pt>
                <c:pt idx="13">
                  <c:v>8.7000000000000011</c:v>
                </c:pt>
                <c:pt idx="14">
                  <c:v>8.4000000000000057</c:v>
                </c:pt>
                <c:pt idx="15">
                  <c:v>7.0999999999999943</c:v>
                </c:pt>
                <c:pt idx="16">
                  <c:v>8.3000000000000025</c:v>
                </c:pt>
                <c:pt idx="17">
                  <c:v>8</c:v>
                </c:pt>
                <c:pt idx="18">
                  <c:v>7.7000000000000028</c:v>
                </c:pt>
                <c:pt idx="19">
                  <c:v>7.5999999999999943</c:v>
                </c:pt>
                <c:pt idx="20">
                  <c:v>5.5</c:v>
                </c:pt>
                <c:pt idx="21">
                  <c:v>0.90000000000000568</c:v>
                </c:pt>
                <c:pt idx="22">
                  <c:v>5.4000000000000083</c:v>
                </c:pt>
                <c:pt idx="23">
                  <c:v>6.7000000000000028</c:v>
                </c:pt>
                <c:pt idx="24">
                  <c:v>3</c:v>
                </c:pt>
                <c:pt idx="25">
                  <c:v>11.200000000000003</c:v>
                </c:pt>
                <c:pt idx="26">
                  <c:v>5.2999999999999972</c:v>
                </c:pt>
                <c:pt idx="27">
                  <c:v>3.9000000000000057</c:v>
                </c:pt>
                <c:pt idx="28">
                  <c:v>6.0999999999999943</c:v>
                </c:pt>
                <c:pt idx="29">
                  <c:v>3.4000000000000057</c:v>
                </c:pt>
                <c:pt idx="30">
                  <c:v>5.2000000000000028</c:v>
                </c:pt>
                <c:pt idx="31">
                  <c:v>6.5999999999999943</c:v>
                </c:pt>
                <c:pt idx="32">
                  <c:v>8.7000000000000011</c:v>
                </c:pt>
                <c:pt idx="33">
                  <c:v>8</c:v>
                </c:pt>
                <c:pt idx="34" formatCode="0.0">
                  <c:v>7.0999999999999943</c:v>
                </c:pt>
              </c:numCache>
            </c:numRef>
          </c:val>
          <c:smooth val="0"/>
          <c:extLst>
            <c:ext xmlns:c16="http://schemas.microsoft.com/office/drawing/2014/chart" uri="{C3380CC4-5D6E-409C-BE32-E72D297353CC}">
              <c16:uniqueId val="{00000001-59F8-4536-9A6E-B53AC25CAAD5}"/>
            </c:ext>
          </c:extLst>
        </c:ser>
        <c:ser>
          <c:idx val="5"/>
          <c:order val="2"/>
          <c:tx>
            <c:strRef>
              <c:f>'Trh práce 3'!$E$8</c:f>
              <c:strCache>
                <c:ptCount val="1"/>
                <c:pt idx="0">
                  <c:v>Prům. mzda v průmyslu (nominálně)</c:v>
                </c:pt>
              </c:strCache>
            </c:strRef>
          </c:tx>
          <c:spPr>
            <a:ln w="9525">
              <a:solidFill>
                <a:srgbClr val="C00000"/>
              </a:solidFill>
              <a:prstDash val="solid"/>
            </a:ln>
          </c:spPr>
          <c:marker>
            <c:symbol val="none"/>
          </c:marker>
          <c:cat>
            <c:multiLvlStrRef>
              <c:f>'Trh práce 3'!$A$29:$B$63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3'!$E$29:$E$63</c:f>
              <c:numCache>
                <c:formatCode>#\ ##0.0</c:formatCode>
                <c:ptCount val="35"/>
                <c:pt idx="0">
                  <c:v>1.6381118189372055</c:v>
                </c:pt>
                <c:pt idx="1">
                  <c:v>2.6920877025738719</c:v>
                </c:pt>
                <c:pt idx="2">
                  <c:v>3.0100597296447633</c:v>
                </c:pt>
                <c:pt idx="3">
                  <c:v>2.9788308269320822</c:v>
                </c:pt>
                <c:pt idx="4">
                  <c:v>4.6482656596722052</c:v>
                </c:pt>
                <c:pt idx="5">
                  <c:v>3.9508373250157827</c:v>
                </c:pt>
                <c:pt idx="6">
                  <c:v>4.6540016784924143</c:v>
                </c:pt>
                <c:pt idx="7">
                  <c:v>3.8977412011906836</c:v>
                </c:pt>
                <c:pt idx="8">
                  <c:v>5.1746586808526489</c:v>
                </c:pt>
                <c:pt idx="9">
                  <c:v>8.0728701553848907</c:v>
                </c:pt>
                <c:pt idx="10">
                  <c:v>6.8272945979441602</c:v>
                </c:pt>
                <c:pt idx="11">
                  <c:v>7.0884454631252503</c:v>
                </c:pt>
                <c:pt idx="12">
                  <c:v>7.9018109790605555</c:v>
                </c:pt>
                <c:pt idx="13">
                  <c:v>8.1936869938853292</c:v>
                </c:pt>
                <c:pt idx="14">
                  <c:v>7.3566042242467775</c:v>
                </c:pt>
                <c:pt idx="15">
                  <c:v>7.6170092222467041</c:v>
                </c:pt>
                <c:pt idx="16">
                  <c:v>7.1985838851373387</c:v>
                </c:pt>
                <c:pt idx="17">
                  <c:v>7.0904869554591556</c:v>
                </c:pt>
                <c:pt idx="18">
                  <c:v>6.7539649747322095</c:v>
                </c:pt>
                <c:pt idx="19">
                  <c:v>5.6242870930946793</c:v>
                </c:pt>
                <c:pt idx="20">
                  <c:v>4.8529141948504808</c:v>
                </c:pt>
                <c:pt idx="21">
                  <c:v>-3.483097988874635</c:v>
                </c:pt>
                <c:pt idx="22">
                  <c:v>2.9564130046445007</c:v>
                </c:pt>
                <c:pt idx="23">
                  <c:v>4.0067563825663104</c:v>
                </c:pt>
                <c:pt idx="24">
                  <c:v>1.8985680538948344</c:v>
                </c:pt>
                <c:pt idx="25">
                  <c:v>10.170242950877807</c:v>
                </c:pt>
                <c:pt idx="26">
                  <c:v>4.7656227408114233</c:v>
                </c:pt>
                <c:pt idx="27">
                  <c:v>3.7112962913660401</c:v>
                </c:pt>
                <c:pt idx="28">
                  <c:v>5.6439610761304886</c:v>
                </c:pt>
                <c:pt idx="29">
                  <c:v>6.6425217974513684</c:v>
                </c:pt>
                <c:pt idx="30">
                  <c:v>6.4616743492781978</c:v>
                </c:pt>
                <c:pt idx="31">
                  <c:v>8.1350275959440452</c:v>
                </c:pt>
                <c:pt idx="32">
                  <c:v>10.489813610749914</c:v>
                </c:pt>
                <c:pt idx="33">
                  <c:v>9.5695705768408228</c:v>
                </c:pt>
                <c:pt idx="34">
                  <c:v>8.4158672543427642</c:v>
                </c:pt>
              </c:numCache>
            </c:numRef>
          </c:val>
          <c:smooth val="0"/>
          <c:extLst>
            <c:ext xmlns:c16="http://schemas.microsoft.com/office/drawing/2014/chart" uri="{C3380CC4-5D6E-409C-BE32-E72D297353CC}">
              <c16:uniqueId val="{00000002-59F8-4536-9A6E-B53AC25CAAD5}"/>
            </c:ext>
          </c:extLst>
        </c:ser>
        <c:ser>
          <c:idx val="1"/>
          <c:order val="3"/>
          <c:tx>
            <c:strRef>
              <c:f>'Trh práce 3'!$F$8</c:f>
              <c:strCache>
                <c:ptCount val="1"/>
                <c:pt idx="0">
                  <c:v>Prům. mzda v obchodu (nominálně)</c:v>
                </c:pt>
              </c:strCache>
            </c:strRef>
          </c:tx>
          <c:spPr>
            <a:ln w="9525">
              <a:solidFill>
                <a:srgbClr val="0070C0"/>
              </a:solidFill>
              <a:prstDash val="solid"/>
            </a:ln>
          </c:spPr>
          <c:marker>
            <c:symbol val="none"/>
          </c:marker>
          <c:cat>
            <c:multiLvlStrRef>
              <c:f>'Trh práce 3'!$A$29:$B$63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3'!$F$29:$F$63</c:f>
              <c:numCache>
                <c:formatCode>#\ ##0.0</c:formatCode>
                <c:ptCount val="35"/>
                <c:pt idx="0">
                  <c:v>3.1055099144049194</c:v>
                </c:pt>
                <c:pt idx="1">
                  <c:v>3.9141414141414117</c:v>
                </c:pt>
                <c:pt idx="2">
                  <c:v>3.949146815340427</c:v>
                </c:pt>
                <c:pt idx="3">
                  <c:v>5.7916298497871423</c:v>
                </c:pt>
                <c:pt idx="4">
                  <c:v>5.644320220266148</c:v>
                </c:pt>
                <c:pt idx="5">
                  <c:v>3.9570676387201189</c:v>
                </c:pt>
                <c:pt idx="6">
                  <c:v>4.9977652269310475</c:v>
                </c:pt>
                <c:pt idx="7">
                  <c:v>4.4950645406226224</c:v>
                </c:pt>
                <c:pt idx="8">
                  <c:v>5.6231243089559149</c:v>
                </c:pt>
                <c:pt idx="9">
                  <c:v>7.9284684614485474</c:v>
                </c:pt>
                <c:pt idx="10">
                  <c:v>7.6932007275260155</c:v>
                </c:pt>
                <c:pt idx="11">
                  <c:v>8.3926754832146457</c:v>
                </c:pt>
                <c:pt idx="12">
                  <c:v>7.2416629280693918</c:v>
                </c:pt>
                <c:pt idx="13">
                  <c:v>7.0392029456356981</c:v>
                </c:pt>
                <c:pt idx="14">
                  <c:v>6.8381903769449055</c:v>
                </c:pt>
                <c:pt idx="15">
                  <c:v>6.6970570490044938</c:v>
                </c:pt>
                <c:pt idx="16">
                  <c:v>9.5345999651385682</c:v>
                </c:pt>
                <c:pt idx="17">
                  <c:v>7.4227708080399255</c:v>
                </c:pt>
                <c:pt idx="18">
                  <c:v>8.1629221041302316</c:v>
                </c:pt>
                <c:pt idx="19">
                  <c:v>6.3018346318170408</c:v>
                </c:pt>
                <c:pt idx="20">
                  <c:v>6.3685550604710466</c:v>
                </c:pt>
                <c:pt idx="21">
                  <c:v>0.91357172008916621</c:v>
                </c:pt>
                <c:pt idx="22">
                  <c:v>4.7389533256631236</c:v>
                </c:pt>
                <c:pt idx="23">
                  <c:v>2.4469531296175813</c:v>
                </c:pt>
                <c:pt idx="24">
                  <c:v>2.2321294994165282</c:v>
                </c:pt>
                <c:pt idx="25">
                  <c:v>9.8898705823792898</c:v>
                </c:pt>
                <c:pt idx="26">
                  <c:v>6.6146127126443588</c:v>
                </c:pt>
                <c:pt idx="27">
                  <c:v>8.7059366526279387</c:v>
                </c:pt>
                <c:pt idx="28">
                  <c:v>7.0565165217900265</c:v>
                </c:pt>
                <c:pt idx="29">
                  <c:v>6.2565467259292831</c:v>
                </c:pt>
                <c:pt idx="30">
                  <c:v>4.2800256188911314</c:v>
                </c:pt>
                <c:pt idx="31">
                  <c:v>5.4850865088631622</c:v>
                </c:pt>
                <c:pt idx="32">
                  <c:v>9.1475750451090789</c:v>
                </c:pt>
                <c:pt idx="33">
                  <c:v>7.5187168624943403</c:v>
                </c:pt>
                <c:pt idx="34">
                  <c:v>6.7106387524033444</c:v>
                </c:pt>
              </c:numCache>
            </c:numRef>
          </c:val>
          <c:smooth val="0"/>
          <c:extLst>
            <c:ext xmlns:c16="http://schemas.microsoft.com/office/drawing/2014/chart" uri="{C3380CC4-5D6E-409C-BE32-E72D297353CC}">
              <c16:uniqueId val="{00000003-59F8-4536-9A6E-B53AC25CAAD5}"/>
            </c:ext>
          </c:extLst>
        </c:ser>
        <c:ser>
          <c:idx val="2"/>
          <c:order val="4"/>
          <c:tx>
            <c:strRef>
              <c:f>'Trh práce 3'!$G$8</c:f>
              <c:strCache>
                <c:ptCount val="1"/>
                <c:pt idx="0">
                  <c:v>Prům. mzda ve veř. službách (nominálně)*</c:v>
                </c:pt>
              </c:strCache>
            </c:strRef>
          </c:tx>
          <c:spPr>
            <a:ln w="9525">
              <a:solidFill>
                <a:srgbClr val="00B050"/>
              </a:solidFill>
              <a:prstDash val="solid"/>
            </a:ln>
          </c:spPr>
          <c:marker>
            <c:symbol val="none"/>
          </c:marker>
          <c:cat>
            <c:multiLvlStrRef>
              <c:f>'Trh práce 3'!$A$29:$B$63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3'!$G$29:$G$63</c:f>
              <c:numCache>
                <c:formatCode>#\ ##0.0</c:formatCode>
                <c:ptCount val="35"/>
                <c:pt idx="0">
                  <c:v>3.2925091204842665</c:v>
                </c:pt>
                <c:pt idx="1">
                  <c:v>4.3135889286729521</c:v>
                </c:pt>
                <c:pt idx="2">
                  <c:v>3.8145419077079783</c:v>
                </c:pt>
                <c:pt idx="3">
                  <c:v>3.6381766938736737</c:v>
                </c:pt>
                <c:pt idx="4">
                  <c:v>4.64178325585614</c:v>
                </c:pt>
                <c:pt idx="5">
                  <c:v>3.8061258933532089</c:v>
                </c:pt>
                <c:pt idx="6">
                  <c:v>4.852637470425389</c:v>
                </c:pt>
                <c:pt idx="7">
                  <c:v>6.1351981806606295</c:v>
                </c:pt>
                <c:pt idx="8">
                  <c:v>5.4566112929362163</c:v>
                </c:pt>
                <c:pt idx="9">
                  <c:v>7.3192456135909234</c:v>
                </c:pt>
                <c:pt idx="10">
                  <c:v>7.9981713137873953</c:v>
                </c:pt>
                <c:pt idx="11">
                  <c:v>10.484072576559427</c:v>
                </c:pt>
                <c:pt idx="12">
                  <c:v>12.179699393983407</c:v>
                </c:pt>
                <c:pt idx="13">
                  <c:v>11.892177332541117</c:v>
                </c:pt>
                <c:pt idx="14">
                  <c:v>11.36132632162867</c:v>
                </c:pt>
                <c:pt idx="15">
                  <c:v>6.1282038917470629</c:v>
                </c:pt>
                <c:pt idx="16">
                  <c:v>9.4162908795776108</c:v>
                </c:pt>
                <c:pt idx="17">
                  <c:v>9.3022383570098626</c:v>
                </c:pt>
                <c:pt idx="18">
                  <c:v>8.3925247282538464</c:v>
                </c:pt>
                <c:pt idx="19">
                  <c:v>11.041060141001232</c:v>
                </c:pt>
                <c:pt idx="20">
                  <c:v>5.2296117021426518</c:v>
                </c:pt>
                <c:pt idx="21">
                  <c:v>4.9937922145909539</c:v>
                </c:pt>
                <c:pt idx="22">
                  <c:v>8.8109946466096662</c:v>
                </c:pt>
                <c:pt idx="23">
                  <c:v>13.948630451066606</c:v>
                </c:pt>
                <c:pt idx="24">
                  <c:v>4.5485385483402707</c:v>
                </c:pt>
                <c:pt idx="25">
                  <c:v>17.78568407931499</c:v>
                </c:pt>
                <c:pt idx="26">
                  <c:v>5.4643357321226631</c:v>
                </c:pt>
                <c:pt idx="27">
                  <c:v>-0.40508430459891542</c:v>
                </c:pt>
                <c:pt idx="28">
                  <c:v>2.33727131313033</c:v>
                </c:pt>
                <c:pt idx="29">
                  <c:v>-7.0559031696263999</c:v>
                </c:pt>
                <c:pt idx="30">
                  <c:v>0.39584457842951826</c:v>
                </c:pt>
                <c:pt idx="31">
                  <c:v>3.340290814336754</c:v>
                </c:pt>
                <c:pt idx="32">
                  <c:v>7.4211877354067042</c:v>
                </c:pt>
                <c:pt idx="33">
                  <c:v>6.1734536063637684</c:v>
                </c:pt>
                <c:pt idx="34">
                  <c:v>5.9358057226847514</c:v>
                </c:pt>
              </c:numCache>
            </c:numRef>
          </c:val>
          <c:smooth val="0"/>
          <c:extLst>
            <c:ext xmlns:c16="http://schemas.microsoft.com/office/drawing/2014/chart" uri="{C3380CC4-5D6E-409C-BE32-E72D297353CC}">
              <c16:uniqueId val="{00000004-59F8-4536-9A6E-B53AC25CAAD5}"/>
            </c:ext>
          </c:extLst>
        </c:ser>
        <c:ser>
          <c:idx val="3"/>
          <c:order val="5"/>
          <c:tx>
            <c:strRef>
              <c:f>'Trh práce 3'!$H$8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3'!$A$29:$B$63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3'!$H$29:$H$63</c:f>
              <c:numCache>
                <c:formatCode>#\ ##0.0</c:formatCode>
                <c:ptCount val="35"/>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4.9000000000000083</c:v>
                </c:pt>
                <c:pt idx="9">
                  <c:v>7.7000000000000028</c:v>
                </c:pt>
                <c:pt idx="10">
                  <c:v>7</c:v>
                </c:pt>
                <c:pt idx="11">
                  <c:v>8.9000000000000057</c:v>
                </c:pt>
                <c:pt idx="12">
                  <c:v>8.7000000000000011</c:v>
                </c:pt>
                <c:pt idx="13">
                  <c:v>9.7000000000000011</c:v>
                </c:pt>
                <c:pt idx="14">
                  <c:v>9.3000000000000025</c:v>
                </c:pt>
                <c:pt idx="15">
                  <c:v>6.7000000000000028</c:v>
                </c:pt>
                <c:pt idx="16">
                  <c:v>7.2000000000000028</c:v>
                </c:pt>
                <c:pt idx="17">
                  <c:v>6.4000000000000083</c:v>
                </c:pt>
                <c:pt idx="18">
                  <c:v>7.2999999999999972</c:v>
                </c:pt>
                <c:pt idx="19">
                  <c:v>6.4000000000000083</c:v>
                </c:pt>
                <c:pt idx="20">
                  <c:v>7</c:v>
                </c:pt>
                <c:pt idx="21">
                  <c:v>1.4000000000000057</c:v>
                </c:pt>
                <c:pt idx="22">
                  <c:v>6.7000000000000028</c:v>
                </c:pt>
                <c:pt idx="23">
                  <c:v>6.7000000000000028</c:v>
                </c:pt>
                <c:pt idx="24">
                  <c:v>2.2999999999999972</c:v>
                </c:pt>
                <c:pt idx="25">
                  <c:v>11.100000000000001</c:v>
                </c:pt>
                <c:pt idx="26">
                  <c:v>4.7000000000000028</c:v>
                </c:pt>
                <c:pt idx="27">
                  <c:v>4.5999999999999943</c:v>
                </c:pt>
                <c:pt idx="28">
                  <c:v>5</c:v>
                </c:pt>
                <c:pt idx="29">
                  <c:v>4.0999999999999943</c:v>
                </c:pt>
                <c:pt idx="30">
                  <c:v>5.5</c:v>
                </c:pt>
                <c:pt idx="31">
                  <c:v>7.4000000000000083</c:v>
                </c:pt>
                <c:pt idx="32">
                  <c:v>9</c:v>
                </c:pt>
                <c:pt idx="33">
                  <c:v>8.1000000000000014</c:v>
                </c:pt>
                <c:pt idx="34">
                  <c:v>7.0999999999999943</c:v>
                </c:pt>
              </c:numCache>
            </c:numRef>
          </c:val>
          <c:smooth val="0"/>
          <c:extLst>
            <c:ext xmlns:c16="http://schemas.microsoft.com/office/drawing/2014/chart" uri="{C3380CC4-5D6E-409C-BE32-E72D297353CC}">
              <c16:uniqueId val="{00000005-59F8-4536-9A6E-B53AC25CAAD5}"/>
            </c:ext>
          </c:extLst>
        </c:ser>
        <c:dLbls>
          <c:showLegendKey val="0"/>
          <c:showVal val="0"/>
          <c:showCatName val="0"/>
          <c:showSerName val="0"/>
          <c:showPercent val="0"/>
          <c:showBubbleSize val="0"/>
        </c:dLbls>
        <c:marker val="1"/>
        <c:smooth val="0"/>
        <c:axId val="38464128"/>
        <c:axId val="38466304"/>
      </c:lineChart>
      <c:catAx>
        <c:axId val="38464128"/>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38466304"/>
        <c:crosses val="autoZero"/>
        <c:auto val="1"/>
        <c:lblAlgn val="ctr"/>
        <c:lblOffset val="0"/>
        <c:tickMarkSkip val="4"/>
        <c:noMultiLvlLbl val="0"/>
      </c:catAx>
      <c:valAx>
        <c:axId val="38466304"/>
        <c:scaling>
          <c:orientation val="minMax"/>
          <c:max val="18"/>
          <c:min val="-12"/>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38464128"/>
        <c:crosses val="autoZero"/>
        <c:crossBetween val="between"/>
        <c:majorUnit val="2"/>
      </c:valAx>
      <c:spPr>
        <a:ln>
          <a:solidFill>
            <a:schemeClr val="tx1"/>
          </a:solidFill>
        </a:ln>
      </c:spPr>
    </c:plotArea>
    <c:legend>
      <c:legendPos val="b"/>
      <c:layout>
        <c:manualLayout>
          <c:xMode val="edge"/>
          <c:yMode val="edge"/>
          <c:x val="9.1292133366733495E-3"/>
          <c:y val="0.87578174603174652"/>
          <c:w val="0.97744446685490061"/>
          <c:h val="0.11341893424036273"/>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581433637284726E-2"/>
          <c:y val="2.1711264016309895E-2"/>
          <c:w val="0.93508633063154345"/>
          <c:h val="0.73130361364405039"/>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1'!$A$78:$B$146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2018</c:v>
                  </c:pt>
                  <c:pt idx="12">
                    <c:v>2019</c:v>
                  </c:pt>
                  <c:pt idx="24">
                    <c:v>2020</c:v>
                  </c:pt>
                  <c:pt idx="36">
                    <c:v>2021</c:v>
                  </c:pt>
                  <c:pt idx="48">
                    <c:v>2022</c:v>
                  </c:pt>
                  <c:pt idx="60">
                    <c:v>2023</c:v>
                  </c:pt>
                </c:lvl>
              </c:multiLvlStrCache>
            </c:multiLvlStrRef>
          </c:cat>
          <c:val>
            <c:numRef>
              <c:f>'Měnové podmínky 1'!$C$78:$C$146</c:f>
              <c:numCache>
                <c:formatCode>General</c:formatCode>
                <c:ptCount val="69"/>
                <c:pt idx="0">
                  <c:v>0.5</c:v>
                </c:pt>
                <c:pt idx="1">
                  <c:v>0.75000000000000022</c:v>
                </c:pt>
                <c:pt idx="2">
                  <c:v>0.75000000000000022</c:v>
                </c:pt>
                <c:pt idx="3">
                  <c:v>0.75000000000000022</c:v>
                </c:pt>
                <c:pt idx="4">
                  <c:v>0.75000000000000022</c:v>
                </c:pt>
                <c:pt idx="5">
                  <c:v>1</c:v>
                </c:pt>
                <c:pt idx="6">
                  <c:v>1</c:v>
                </c:pt>
                <c:pt idx="7">
                  <c:v>1.25</c:v>
                </c:pt>
                <c:pt idx="8">
                  <c:v>1.5</c:v>
                </c:pt>
                <c:pt idx="9">
                  <c:v>1.5</c:v>
                </c:pt>
                <c:pt idx="10">
                  <c:v>1.7500000000000002</c:v>
                </c:pt>
                <c:pt idx="11">
                  <c:v>1.7500000000000002</c:v>
                </c:pt>
                <c:pt idx="12">
                  <c:v>1.7500000000000002</c:v>
                </c:pt>
                <c:pt idx="13">
                  <c:v>1.7500000000000002</c:v>
                </c:pt>
                <c:pt idx="14">
                  <c:v>1.7500000000000002</c:v>
                </c:pt>
                <c:pt idx="15">
                  <c:v>1.7500000000000002</c:v>
                </c:pt>
                <c:pt idx="16">
                  <c:v>2</c:v>
                </c:pt>
                <c:pt idx="17">
                  <c:v>2</c:v>
                </c:pt>
                <c:pt idx="18">
                  <c:v>2</c:v>
                </c:pt>
                <c:pt idx="19">
                  <c:v>2</c:v>
                </c:pt>
                <c:pt idx="20">
                  <c:v>2</c:v>
                </c:pt>
                <c:pt idx="21">
                  <c:v>2</c:v>
                </c:pt>
                <c:pt idx="22">
                  <c:v>2</c:v>
                </c:pt>
                <c:pt idx="23">
                  <c:v>2</c:v>
                </c:pt>
                <c:pt idx="24">
                  <c:v>2</c:v>
                </c:pt>
                <c:pt idx="25">
                  <c:v>2.25</c:v>
                </c:pt>
                <c:pt idx="26">
                  <c:v>1</c:v>
                </c:pt>
                <c:pt idx="27">
                  <c:v>1</c:v>
                </c:pt>
                <c:pt idx="28">
                  <c:v>0.25</c:v>
                </c:pt>
                <c:pt idx="29">
                  <c:v>0.25</c:v>
                </c:pt>
                <c:pt idx="30">
                  <c:v>0.25</c:v>
                </c:pt>
                <c:pt idx="31">
                  <c:v>0.25</c:v>
                </c:pt>
                <c:pt idx="32">
                  <c:v>0.25</c:v>
                </c:pt>
                <c:pt idx="33">
                  <c:v>0.25</c:v>
                </c:pt>
                <c:pt idx="34">
                  <c:v>0.25</c:v>
                </c:pt>
                <c:pt idx="35">
                  <c:v>0.25</c:v>
                </c:pt>
                <c:pt idx="36">
                  <c:v>0.25</c:v>
                </c:pt>
                <c:pt idx="37">
                  <c:v>0.25</c:v>
                </c:pt>
                <c:pt idx="38">
                  <c:v>0.25</c:v>
                </c:pt>
                <c:pt idx="39">
                  <c:v>0.25</c:v>
                </c:pt>
                <c:pt idx="40">
                  <c:v>0.25</c:v>
                </c:pt>
                <c:pt idx="41">
                  <c:v>0.5</c:v>
                </c:pt>
                <c:pt idx="42">
                  <c:v>0.5</c:v>
                </c:pt>
                <c:pt idx="43">
                  <c:v>0.75000000000000022</c:v>
                </c:pt>
                <c:pt idx="44">
                  <c:v>0.75000000000000022</c:v>
                </c:pt>
                <c:pt idx="45">
                  <c:v>1.5</c:v>
                </c:pt>
                <c:pt idx="46">
                  <c:v>2.75</c:v>
                </c:pt>
                <c:pt idx="47">
                  <c:v>3.75</c:v>
                </c:pt>
                <c:pt idx="48">
                  <c:v>3.75</c:v>
                </c:pt>
                <c:pt idx="49">
                  <c:v>4.5</c:v>
                </c:pt>
                <c:pt idx="50">
                  <c:v>4.5</c:v>
                </c:pt>
                <c:pt idx="51">
                  <c:v>5</c:v>
                </c:pt>
                <c:pt idx="52">
                  <c:v>5.75</c:v>
                </c:pt>
                <c:pt idx="53">
                  <c:v>7</c:v>
                </c:pt>
                <c:pt idx="54">
                  <c:v>7</c:v>
                </c:pt>
                <c:pt idx="55">
                  <c:v>7</c:v>
                </c:pt>
                <c:pt idx="56">
                  <c:v>7</c:v>
                </c:pt>
                <c:pt idx="57">
                  <c:v>7</c:v>
                </c:pt>
                <c:pt idx="58">
                  <c:v>7</c:v>
                </c:pt>
                <c:pt idx="59">
                  <c:v>7</c:v>
                </c:pt>
                <c:pt idx="60">
                  <c:v>7</c:v>
                </c:pt>
                <c:pt idx="61">
                  <c:v>7</c:v>
                </c:pt>
                <c:pt idx="62">
                  <c:v>7</c:v>
                </c:pt>
                <c:pt idx="63" formatCode="###\ ###\ ###\ ###\ ##0.00;\-###\ ###\ ###\ ###\ ##0.00">
                  <c:v>7</c:v>
                </c:pt>
                <c:pt idx="64" formatCode="###\ ###\ ###\ ###\ ##0.00;\-###\ ###\ ###\ ###\ ##0.00">
                  <c:v>7</c:v>
                </c:pt>
                <c:pt idx="65" formatCode="###\ ###\ ###\ ###\ ##0.00;\-###\ ###\ ###\ ###\ ##0.00">
                  <c:v>7</c:v>
                </c:pt>
                <c:pt idx="66" formatCode="###\ ###\ ###\ ###\ ##0.00;\-###\ ###\ ###\ ###\ ##0.00">
                  <c:v>7</c:v>
                </c:pt>
                <c:pt idx="67" formatCode="###\ ###\ ###\ ###\ ##0.00;\-###\ ###\ ###\ ###\ ##0.00">
                  <c:v>7</c:v>
                </c:pt>
                <c:pt idx="68" formatCode="###\ ###\ ###\ ###\ ##0.00;\-###\ ###\ ###\ ###\ ##0.00">
                  <c:v>7</c:v>
                </c:pt>
              </c:numCache>
            </c:numRef>
          </c:val>
          <c:extLst>
            <c:ext xmlns:c16="http://schemas.microsoft.com/office/drawing/2014/chart" uri="{C3380CC4-5D6E-409C-BE32-E72D297353CC}">
              <c16:uniqueId val="{00000000-B6CA-43FC-9BFF-532C41CFA450}"/>
            </c:ext>
          </c:extLst>
        </c:ser>
        <c:dLbls>
          <c:showLegendKey val="0"/>
          <c:showVal val="0"/>
          <c:showCatName val="0"/>
          <c:showSerName val="0"/>
          <c:showPercent val="0"/>
          <c:showBubbleSize val="0"/>
        </c:dLbls>
        <c:gapWidth val="31"/>
        <c:axId val="40262272"/>
        <c:axId val="52261248"/>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1'!$A$78:$B$146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2018</c:v>
                  </c:pt>
                  <c:pt idx="12">
                    <c:v>2019</c:v>
                  </c:pt>
                  <c:pt idx="24">
                    <c:v>2020</c:v>
                  </c:pt>
                  <c:pt idx="36">
                    <c:v>2021</c:v>
                  </c:pt>
                  <c:pt idx="48">
                    <c:v>2022</c:v>
                  </c:pt>
                  <c:pt idx="60">
                    <c:v>2023</c:v>
                  </c:pt>
                </c:lvl>
              </c:multiLvlStrCache>
            </c:multiLvlStrRef>
          </c:cat>
          <c:val>
            <c:numRef>
              <c:f>'Měnové podmínky 1'!$F$78:$F$146</c:f>
              <c:numCache>
                <c:formatCode>General</c:formatCode>
                <c:ptCount val="69"/>
                <c:pt idx="0">
                  <c:v>0.46</c:v>
                </c:pt>
                <c:pt idx="1">
                  <c:v>0.55000000000000004</c:v>
                </c:pt>
                <c:pt idx="2">
                  <c:v>0.62000000000000022</c:v>
                </c:pt>
                <c:pt idx="3">
                  <c:v>0.6000000000000002</c:v>
                </c:pt>
                <c:pt idx="4">
                  <c:v>0.70000000000000018</c:v>
                </c:pt>
                <c:pt idx="5">
                  <c:v>0.89000000000000012</c:v>
                </c:pt>
                <c:pt idx="6">
                  <c:v>1.0900000000000001</c:v>
                </c:pt>
                <c:pt idx="7">
                  <c:v>1.26</c:v>
                </c:pt>
                <c:pt idx="8">
                  <c:v>1.34</c:v>
                </c:pt>
                <c:pt idx="9">
                  <c:v>1.44</c:v>
                </c:pt>
                <c:pt idx="10">
                  <c:v>1.49</c:v>
                </c:pt>
                <c:pt idx="11">
                  <c:v>1.52</c:v>
                </c:pt>
                <c:pt idx="12">
                  <c:v>1.6600000000000001</c:v>
                </c:pt>
                <c:pt idx="13">
                  <c:v>1.7400000000000002</c:v>
                </c:pt>
                <c:pt idx="14">
                  <c:v>1.7100000000000002</c:v>
                </c:pt>
                <c:pt idx="15">
                  <c:v>1.6300000000000001</c:v>
                </c:pt>
                <c:pt idx="16">
                  <c:v>1.62</c:v>
                </c:pt>
                <c:pt idx="17">
                  <c:v>1.52</c:v>
                </c:pt>
                <c:pt idx="18">
                  <c:v>1.35</c:v>
                </c:pt>
                <c:pt idx="19">
                  <c:v>0.8500000000000002</c:v>
                </c:pt>
                <c:pt idx="20">
                  <c:v>1.07</c:v>
                </c:pt>
                <c:pt idx="21">
                  <c:v>1.1700000000000004</c:v>
                </c:pt>
                <c:pt idx="22">
                  <c:v>1.33</c:v>
                </c:pt>
                <c:pt idx="23">
                  <c:v>1.36</c:v>
                </c:pt>
                <c:pt idx="24">
                  <c:v>1.55</c:v>
                </c:pt>
                <c:pt idx="25">
                  <c:v>1.57</c:v>
                </c:pt>
                <c:pt idx="26">
                  <c:v>1.27</c:v>
                </c:pt>
                <c:pt idx="27">
                  <c:v>0.71000000000000019</c:v>
                </c:pt>
                <c:pt idx="28">
                  <c:v>0.13</c:v>
                </c:pt>
                <c:pt idx="29">
                  <c:v>8.0000000000000029E-2</c:v>
                </c:pt>
                <c:pt idx="30">
                  <c:v>2.0000000000000007E-2</c:v>
                </c:pt>
                <c:pt idx="31">
                  <c:v>4.0000000000000015E-2</c:v>
                </c:pt>
                <c:pt idx="32">
                  <c:v>5.0000000000000017E-2</c:v>
                </c:pt>
                <c:pt idx="33">
                  <c:v>0</c:v>
                </c:pt>
                <c:pt idx="34">
                  <c:v>6.0000000000000019E-2</c:v>
                </c:pt>
                <c:pt idx="35">
                  <c:v>0.16000000000000003</c:v>
                </c:pt>
                <c:pt idx="36">
                  <c:v>0.26</c:v>
                </c:pt>
                <c:pt idx="37">
                  <c:v>0.45</c:v>
                </c:pt>
                <c:pt idx="38">
                  <c:v>0.75000000000000022</c:v>
                </c:pt>
                <c:pt idx="39">
                  <c:v>0.76000000000000023</c:v>
                </c:pt>
                <c:pt idx="40">
                  <c:v>0.76000000000000023</c:v>
                </c:pt>
                <c:pt idx="41">
                  <c:v>0.69000000000000028</c:v>
                </c:pt>
                <c:pt idx="42">
                  <c:v>0.84000000000000019</c:v>
                </c:pt>
                <c:pt idx="43">
                  <c:v>1.24</c:v>
                </c:pt>
                <c:pt idx="44">
                  <c:v>1.6</c:v>
                </c:pt>
                <c:pt idx="45">
                  <c:v>2.29</c:v>
                </c:pt>
                <c:pt idx="46">
                  <c:v>3</c:v>
                </c:pt>
                <c:pt idx="47">
                  <c:v>3.07</c:v>
                </c:pt>
                <c:pt idx="48">
                  <c:v>3.8099999999999992</c:v>
                </c:pt>
                <c:pt idx="49">
                  <c:v>3.77</c:v>
                </c:pt>
                <c:pt idx="50">
                  <c:v>4.54</c:v>
                </c:pt>
                <c:pt idx="51">
                  <c:v>5.13</c:v>
                </c:pt>
                <c:pt idx="52">
                  <c:v>5.6499999999999995</c:v>
                </c:pt>
                <c:pt idx="53">
                  <c:v>6.26</c:v>
                </c:pt>
                <c:pt idx="54">
                  <c:v>6.38</c:v>
                </c:pt>
                <c:pt idx="55">
                  <c:v>5.8599999999999985</c:v>
                </c:pt>
                <c:pt idx="56">
                  <c:v>5.9</c:v>
                </c:pt>
                <c:pt idx="57">
                  <c:v>6.18</c:v>
                </c:pt>
                <c:pt idx="58">
                  <c:v>5.68</c:v>
                </c:pt>
                <c:pt idx="59">
                  <c:v>5.1899999999999995</c:v>
                </c:pt>
                <c:pt idx="60" formatCode="###\ ###\ ###\ ###\ ##0.00;\-###\ ###\ ###\ ###\ ##0.00">
                  <c:v>5.3820143358172787</c:v>
                </c:pt>
                <c:pt idx="61" formatCode="###\ ###\ ###\ ###\ ##0.00;\-###\ ###\ ###\ ###\ ##0.00">
                  <c:v>5.5102623550618519</c:v>
                </c:pt>
                <c:pt idx="62" formatCode="###\ ###\ ###\ ###\ ##0.00;\-###\ ###\ ###\ ###\ ##0.00">
                  <c:v>5.2897725027112017</c:v>
                </c:pt>
                <c:pt idx="63" formatCode="###\ ###\ ###\ ###\ ##0.00;\-###\ ###\ ###\ ###\ ##0.00">
                  <c:v>5.4232360381175866</c:v>
                </c:pt>
                <c:pt idx="64" formatCode="###\ ###\ ###\ ###\ ##0.00;\-###\ ###\ ###\ ###\ ##0.00">
                  <c:v>5.4162815888395794</c:v>
                </c:pt>
                <c:pt idx="65" formatCode="###\ ###\ ###\ ###\ ##0.00;\-###\ ###\ ###\ ###\ ##0.00">
                  <c:v>5.3664752553650814</c:v>
                </c:pt>
                <c:pt idx="66" formatCode="###\ ###\ ###\ ###\ ##0.00;\-###\ ###\ ###\ ###\ ##0.00">
                  <c:v>5.2428078558777917</c:v>
                </c:pt>
                <c:pt idx="67" formatCode="###\ ###\ ###\ ###\ ##0.00;\-###\ ###\ ###\ ###\ ##0.00">
                  <c:v>5.1353490658602521</c:v>
                </c:pt>
                <c:pt idx="68" formatCode="###\ ###\ ###\ ###\ ##0.00;\-###\ ###\ ###\ ###\ ##0.00">
                  <c:v>5.0416686003519722</c:v>
                </c:pt>
              </c:numCache>
            </c:numRef>
          </c:val>
          <c:smooth val="0"/>
          <c:extLst>
            <c:ext xmlns:c16="http://schemas.microsoft.com/office/drawing/2014/chart" uri="{C3380CC4-5D6E-409C-BE32-E72D297353CC}">
              <c16:uniqueId val="{00000001-B6CA-43FC-9BFF-532C41CFA450}"/>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1'!$A$78:$B$146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2018</c:v>
                  </c:pt>
                  <c:pt idx="12">
                    <c:v>2019</c:v>
                  </c:pt>
                  <c:pt idx="24">
                    <c:v>2020</c:v>
                  </c:pt>
                  <c:pt idx="36">
                    <c:v>2021</c:v>
                  </c:pt>
                  <c:pt idx="48">
                    <c:v>2022</c:v>
                  </c:pt>
                  <c:pt idx="60">
                    <c:v>2023</c:v>
                  </c:pt>
                </c:lvl>
              </c:multiLvlStrCache>
            </c:multiLvlStrRef>
          </c:cat>
          <c:val>
            <c:numRef>
              <c:f>'Měnové podmínky 1'!$D$78:$D$146</c:f>
              <c:numCache>
                <c:formatCode>General</c:formatCode>
                <c:ptCount val="69"/>
                <c:pt idx="0">
                  <c:v>0.77000000000000013</c:v>
                </c:pt>
                <c:pt idx="1">
                  <c:v>0.9</c:v>
                </c:pt>
                <c:pt idx="2">
                  <c:v>0.9</c:v>
                </c:pt>
                <c:pt idx="3">
                  <c:v>0.9</c:v>
                </c:pt>
                <c:pt idx="4">
                  <c:v>0.9</c:v>
                </c:pt>
                <c:pt idx="5">
                  <c:v>0.93</c:v>
                </c:pt>
                <c:pt idx="6">
                  <c:v>1.1800000000000004</c:v>
                </c:pt>
                <c:pt idx="7">
                  <c:v>1.45</c:v>
                </c:pt>
                <c:pt idx="8">
                  <c:v>1.54</c:v>
                </c:pt>
                <c:pt idx="9">
                  <c:v>1.7600000000000002</c:v>
                </c:pt>
                <c:pt idx="10">
                  <c:v>1.9900000000000002</c:v>
                </c:pt>
                <c:pt idx="11">
                  <c:v>2.0099999999999998</c:v>
                </c:pt>
                <c:pt idx="12">
                  <c:v>2.0099999999999998</c:v>
                </c:pt>
                <c:pt idx="13">
                  <c:v>2.0099999999999998</c:v>
                </c:pt>
                <c:pt idx="14">
                  <c:v>2.0299999999999998</c:v>
                </c:pt>
                <c:pt idx="15">
                  <c:v>2.02</c:v>
                </c:pt>
                <c:pt idx="16">
                  <c:v>2.19</c:v>
                </c:pt>
                <c:pt idx="17">
                  <c:v>2.17</c:v>
                </c:pt>
                <c:pt idx="18">
                  <c:v>2.16</c:v>
                </c:pt>
                <c:pt idx="19">
                  <c:v>2.14</c:v>
                </c:pt>
                <c:pt idx="20">
                  <c:v>2.14</c:v>
                </c:pt>
                <c:pt idx="21">
                  <c:v>2.17</c:v>
                </c:pt>
                <c:pt idx="22">
                  <c:v>2.1800000000000002</c:v>
                </c:pt>
                <c:pt idx="23">
                  <c:v>2.1800000000000002</c:v>
                </c:pt>
                <c:pt idx="24">
                  <c:v>2.17</c:v>
                </c:pt>
                <c:pt idx="25">
                  <c:v>2.34</c:v>
                </c:pt>
                <c:pt idx="26">
                  <c:v>2</c:v>
                </c:pt>
                <c:pt idx="27">
                  <c:v>0.97000000000000008</c:v>
                </c:pt>
                <c:pt idx="28">
                  <c:v>0.46</c:v>
                </c:pt>
                <c:pt idx="29">
                  <c:v>0.34000000000000008</c:v>
                </c:pt>
                <c:pt idx="30">
                  <c:v>0.34000000000000008</c:v>
                </c:pt>
                <c:pt idx="31">
                  <c:v>0.34000000000000008</c:v>
                </c:pt>
                <c:pt idx="32">
                  <c:v>0.34000000000000008</c:v>
                </c:pt>
                <c:pt idx="33">
                  <c:v>0.35000000000000009</c:v>
                </c:pt>
                <c:pt idx="34">
                  <c:v>0.35000000000000009</c:v>
                </c:pt>
                <c:pt idx="35">
                  <c:v>0.35000000000000009</c:v>
                </c:pt>
                <c:pt idx="36">
                  <c:v>0.3600000000000001</c:v>
                </c:pt>
                <c:pt idx="37">
                  <c:v>0.3600000000000001</c:v>
                </c:pt>
                <c:pt idx="38">
                  <c:v>0.3600000000000001</c:v>
                </c:pt>
                <c:pt idx="39">
                  <c:v>0.3600000000000001</c:v>
                </c:pt>
                <c:pt idx="40">
                  <c:v>0.37000000000000011</c:v>
                </c:pt>
                <c:pt idx="41">
                  <c:v>0.48000000000000009</c:v>
                </c:pt>
                <c:pt idx="42">
                  <c:v>0.69000000000000028</c:v>
                </c:pt>
                <c:pt idx="43">
                  <c:v>0.94000000000000017</c:v>
                </c:pt>
                <c:pt idx="44">
                  <c:v>1.1100000000000001</c:v>
                </c:pt>
                <c:pt idx="45">
                  <c:v>2.02</c:v>
                </c:pt>
                <c:pt idx="46">
                  <c:v>2.9699999999999998</c:v>
                </c:pt>
                <c:pt idx="47">
                  <c:v>3.5</c:v>
                </c:pt>
                <c:pt idx="48">
                  <c:v>4.21</c:v>
                </c:pt>
                <c:pt idx="49">
                  <c:v>4.6899999999999995</c:v>
                </c:pt>
                <c:pt idx="50">
                  <c:v>4.8599999999999985</c:v>
                </c:pt>
                <c:pt idx="51">
                  <c:v>5.3599999999999985</c:v>
                </c:pt>
                <c:pt idx="52">
                  <c:v>5.9700000000000015</c:v>
                </c:pt>
                <c:pt idx="53">
                  <c:v>6.64</c:v>
                </c:pt>
                <c:pt idx="54">
                  <c:v>7.3</c:v>
                </c:pt>
                <c:pt idx="55">
                  <c:v>7.2700000000000014</c:v>
                </c:pt>
                <c:pt idx="56">
                  <c:v>7.25</c:v>
                </c:pt>
                <c:pt idx="57">
                  <c:v>7.28</c:v>
                </c:pt>
                <c:pt idx="58">
                  <c:v>7.2700000000000014</c:v>
                </c:pt>
                <c:pt idx="59">
                  <c:v>7.26</c:v>
                </c:pt>
                <c:pt idx="60" formatCode="###\ ###\ ###\ ###\ ##0.00;\-###\ ###\ ###\ ###\ ##0.00">
                  <c:v>7.2161904761904765</c:v>
                </c:pt>
                <c:pt idx="61" formatCode="###\ ###\ ###\ ###\ ##0.00;\-###\ ###\ ###\ ###\ ##0.00">
                  <c:v>7.2010526315789471</c:v>
                </c:pt>
                <c:pt idx="62" formatCode="###\ ###\ ###\ ###\ ##0.00;\-###\ ###\ ###\ ###\ ##0.00">
                  <c:v>7.1931818181818157</c:v>
                </c:pt>
                <c:pt idx="63" formatCode="###\ ###\ ###\ ###\ ##0.00;\-###\ ###\ ###\ ###\ ##0.00">
                  <c:v>7.1788888888888875</c:v>
                </c:pt>
                <c:pt idx="64" formatCode="###\ ###\ ###\ ###\ ##0.00;\-###\ ###\ ###\ ###\ ##0.00">
                  <c:v>7.1790476190476191</c:v>
                </c:pt>
                <c:pt idx="65" formatCode="###\ ###\ ###\ ###\ ##0.00;\-###\ ###\ ###\ ###\ ##0.00">
                  <c:v>7.1472727272727274</c:v>
                </c:pt>
                <c:pt idx="66" formatCode="###\ ###\ ###\ ###\ ##0.00;\-###\ ###\ ###\ ###\ ##0.00">
                  <c:v>7.1121052631578907</c:v>
                </c:pt>
                <c:pt idx="67" formatCode="###\ ###\ ###\ ###\ ##0.00;\-###\ ###\ ###\ ###\ ##0.00">
                  <c:v>7.1030434782608713</c:v>
                </c:pt>
                <c:pt idx="68" formatCode="###\ ###\ ###\ ###\ ##0.00;\-###\ ###\ ###\ ###\ ##0.00">
                  <c:v>7.0895000000000001</c:v>
                </c:pt>
              </c:numCache>
            </c:numRef>
          </c:val>
          <c:smooth val="0"/>
          <c:extLst>
            <c:ext xmlns:c16="http://schemas.microsoft.com/office/drawing/2014/chart" uri="{C3380CC4-5D6E-409C-BE32-E72D297353CC}">
              <c16:uniqueId val="{00000002-B6CA-43FC-9BFF-532C41CFA450}"/>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1'!$A$78:$B$146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2018</c:v>
                  </c:pt>
                  <c:pt idx="12">
                    <c:v>2019</c:v>
                  </c:pt>
                  <c:pt idx="24">
                    <c:v>2020</c:v>
                  </c:pt>
                  <c:pt idx="36">
                    <c:v>2021</c:v>
                  </c:pt>
                  <c:pt idx="48">
                    <c:v>2022</c:v>
                  </c:pt>
                  <c:pt idx="60">
                    <c:v>2023</c:v>
                  </c:pt>
                </c:lvl>
              </c:multiLvlStrCache>
            </c:multiLvlStrRef>
          </c:cat>
          <c:val>
            <c:numRef>
              <c:f>'Měnové podmínky 1'!$G$78:$G$146</c:f>
              <c:numCache>
                <c:formatCode>General</c:formatCode>
                <c:ptCount val="69"/>
                <c:pt idx="0">
                  <c:v>0.99</c:v>
                </c:pt>
                <c:pt idx="1">
                  <c:v>1.07</c:v>
                </c:pt>
                <c:pt idx="2">
                  <c:v>1.0900000000000001</c:v>
                </c:pt>
                <c:pt idx="3">
                  <c:v>1.05</c:v>
                </c:pt>
                <c:pt idx="4">
                  <c:v>1.21</c:v>
                </c:pt>
                <c:pt idx="5">
                  <c:v>1.41</c:v>
                </c:pt>
                <c:pt idx="6">
                  <c:v>1.44</c:v>
                </c:pt>
                <c:pt idx="7">
                  <c:v>1.55</c:v>
                </c:pt>
                <c:pt idx="8">
                  <c:v>1.7000000000000002</c:v>
                </c:pt>
                <c:pt idx="9">
                  <c:v>1.81</c:v>
                </c:pt>
                <c:pt idx="10">
                  <c:v>1.7900000000000003</c:v>
                </c:pt>
                <c:pt idx="11">
                  <c:v>1.7100000000000002</c:v>
                </c:pt>
                <c:pt idx="12">
                  <c:v>1.6</c:v>
                </c:pt>
                <c:pt idx="13">
                  <c:v>1.61</c:v>
                </c:pt>
                <c:pt idx="14">
                  <c:v>1.7000000000000002</c:v>
                </c:pt>
                <c:pt idx="15">
                  <c:v>1.6300000000000001</c:v>
                </c:pt>
                <c:pt idx="16">
                  <c:v>1.57</c:v>
                </c:pt>
                <c:pt idx="17">
                  <c:v>1.43</c:v>
                </c:pt>
                <c:pt idx="18">
                  <c:v>1.31</c:v>
                </c:pt>
                <c:pt idx="19">
                  <c:v>0.89000000000000012</c:v>
                </c:pt>
                <c:pt idx="20">
                  <c:v>1.1299999999999994</c:v>
                </c:pt>
                <c:pt idx="21">
                  <c:v>1.23</c:v>
                </c:pt>
                <c:pt idx="22">
                  <c:v>1.32</c:v>
                </c:pt>
                <c:pt idx="23">
                  <c:v>1.31</c:v>
                </c:pt>
                <c:pt idx="24">
                  <c:v>1.51</c:v>
                </c:pt>
                <c:pt idx="25">
                  <c:v>1.52</c:v>
                </c:pt>
                <c:pt idx="26">
                  <c:v>1.23</c:v>
                </c:pt>
                <c:pt idx="27">
                  <c:v>1.06</c:v>
                </c:pt>
                <c:pt idx="28">
                  <c:v>0.56999999999999995</c:v>
                </c:pt>
                <c:pt idx="29">
                  <c:v>0.52</c:v>
                </c:pt>
                <c:pt idx="30">
                  <c:v>0.52</c:v>
                </c:pt>
                <c:pt idx="31">
                  <c:v>0.58000000000000007</c:v>
                </c:pt>
                <c:pt idx="32">
                  <c:v>0.58000000000000007</c:v>
                </c:pt>
                <c:pt idx="33">
                  <c:v>0.54</c:v>
                </c:pt>
                <c:pt idx="34">
                  <c:v>0.66000000000000025</c:v>
                </c:pt>
                <c:pt idx="35">
                  <c:v>0.8</c:v>
                </c:pt>
                <c:pt idx="36">
                  <c:v>0.82000000000000017</c:v>
                </c:pt>
                <c:pt idx="37">
                  <c:v>1.06</c:v>
                </c:pt>
                <c:pt idx="38">
                  <c:v>1.4</c:v>
                </c:pt>
                <c:pt idx="39">
                  <c:v>1.43</c:v>
                </c:pt>
                <c:pt idx="40">
                  <c:v>1.47</c:v>
                </c:pt>
                <c:pt idx="41">
                  <c:v>1.55</c:v>
                </c:pt>
                <c:pt idx="42">
                  <c:v>1.6300000000000001</c:v>
                </c:pt>
                <c:pt idx="43">
                  <c:v>1.6800000000000004</c:v>
                </c:pt>
                <c:pt idx="44">
                  <c:v>1.87</c:v>
                </c:pt>
                <c:pt idx="45">
                  <c:v>2.3699999999999997</c:v>
                </c:pt>
                <c:pt idx="46">
                  <c:v>2.84</c:v>
                </c:pt>
                <c:pt idx="47">
                  <c:v>2.84</c:v>
                </c:pt>
                <c:pt idx="48">
                  <c:v>3.36</c:v>
                </c:pt>
                <c:pt idx="49">
                  <c:v>3.2</c:v>
                </c:pt>
                <c:pt idx="50">
                  <c:v>3.8499999999999992</c:v>
                </c:pt>
                <c:pt idx="51">
                  <c:v>4.54</c:v>
                </c:pt>
                <c:pt idx="52">
                  <c:v>4.99</c:v>
                </c:pt>
                <c:pt idx="53">
                  <c:v>5.49</c:v>
                </c:pt>
                <c:pt idx="54">
                  <c:v>5.1199999999999983</c:v>
                </c:pt>
                <c:pt idx="55">
                  <c:v>4.67</c:v>
                </c:pt>
                <c:pt idx="56">
                  <c:v>5.0599999999999996</c:v>
                </c:pt>
                <c:pt idx="57">
                  <c:v>5.6899999999999995</c:v>
                </c:pt>
                <c:pt idx="58">
                  <c:v>5.31</c:v>
                </c:pt>
                <c:pt idx="59">
                  <c:v>4.9000000000000004</c:v>
                </c:pt>
                <c:pt idx="60" formatCode="###\ ###\ ###\ ###\ ##0.00;\-###\ ###\ ###\ ###\ ##0.00">
                  <c:v>4.7307064721228889</c:v>
                </c:pt>
                <c:pt idx="61" formatCode="###\ ###\ ###\ ###\ ##0.00;\-###\ ###\ ###\ ###\ ##0.00">
                  <c:v>4.8692742672767633</c:v>
                </c:pt>
                <c:pt idx="62" formatCode="###\ ###\ ###\ ###\ ##0.00;\-###\ ###\ ###\ ###\ ##0.00">
                  <c:v>4.8901662581800371</c:v>
                </c:pt>
                <c:pt idx="63" formatCode="###\ ###\ ###\ ###\ ##0.00;\-###\ ###\ ###\ ###\ ##0.00">
                  <c:v>4.9165403661897455</c:v>
                </c:pt>
                <c:pt idx="64" formatCode="###\ ###\ ###\ ###\ ##0.00;\-###\ ###\ ###\ ###\ ##0.00">
                  <c:v>4.8278684891401031</c:v>
                </c:pt>
                <c:pt idx="65" formatCode="###\ ###\ ###\ ###\ ##0.00;\-###\ ###\ ###\ ###\ ##0.00">
                  <c:v>4.6412520736000777</c:v>
                </c:pt>
                <c:pt idx="66" formatCode="###\ ###\ ###\ ###\ ##0.00;\-###\ ###\ ###\ ###\ ##0.00">
                  <c:v>4.3712476122939821</c:v>
                </c:pt>
                <c:pt idx="67" formatCode="###\ ###\ ###\ ###\ ##0.00;\-###\ ###\ ###\ ###\ ##0.00">
                  <c:v>4.4394883944569496</c:v>
                </c:pt>
                <c:pt idx="68" formatCode="###\ ###\ ###\ ###\ ##0.00;\-###\ ###\ ###\ ###\ ##0.00">
                  <c:v>4.5697569170379646</c:v>
                </c:pt>
              </c:numCache>
            </c:numRef>
          </c:val>
          <c:smooth val="0"/>
          <c:extLst>
            <c:ext xmlns:c16="http://schemas.microsoft.com/office/drawing/2014/chart" uri="{C3380CC4-5D6E-409C-BE32-E72D297353CC}">
              <c16:uniqueId val="{00000003-B6CA-43FC-9BFF-532C41CFA450}"/>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1'!$A$78:$B$146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2018</c:v>
                  </c:pt>
                  <c:pt idx="12">
                    <c:v>2019</c:v>
                  </c:pt>
                  <c:pt idx="24">
                    <c:v>2020</c:v>
                  </c:pt>
                  <c:pt idx="36">
                    <c:v>2021</c:v>
                  </c:pt>
                  <c:pt idx="48">
                    <c:v>2022</c:v>
                  </c:pt>
                  <c:pt idx="60">
                    <c:v>2023</c:v>
                  </c:pt>
                </c:lvl>
              </c:multiLvlStrCache>
            </c:multiLvlStrRef>
          </c:cat>
          <c:val>
            <c:numRef>
              <c:f>'Měnové podmínky 1'!$E$78:$E$146</c:f>
              <c:numCache>
                <c:formatCode>General</c:formatCode>
                <c:ptCount val="69"/>
                <c:pt idx="0">
                  <c:v>0.98</c:v>
                </c:pt>
                <c:pt idx="1">
                  <c:v>1.1100000000000001</c:v>
                </c:pt>
                <c:pt idx="2">
                  <c:v>1.1200000000000001</c:v>
                </c:pt>
                <c:pt idx="3">
                  <c:v>1.1200000000000001</c:v>
                </c:pt>
                <c:pt idx="4">
                  <c:v>1.1200000000000001</c:v>
                </c:pt>
                <c:pt idx="5">
                  <c:v>1.1499999999999995</c:v>
                </c:pt>
                <c:pt idx="6">
                  <c:v>1.3900000000000001</c:v>
                </c:pt>
                <c:pt idx="7">
                  <c:v>1.6700000000000004</c:v>
                </c:pt>
                <c:pt idx="8">
                  <c:v>1.7900000000000003</c:v>
                </c:pt>
                <c:pt idx="9">
                  <c:v>1.9500000000000002</c:v>
                </c:pt>
                <c:pt idx="10">
                  <c:v>2.1800000000000002</c:v>
                </c:pt>
                <c:pt idx="11">
                  <c:v>2.21</c:v>
                </c:pt>
                <c:pt idx="12">
                  <c:v>2.21</c:v>
                </c:pt>
                <c:pt idx="13">
                  <c:v>2.2000000000000002</c:v>
                </c:pt>
                <c:pt idx="14">
                  <c:v>2.2000000000000002</c:v>
                </c:pt>
                <c:pt idx="15">
                  <c:v>2.21</c:v>
                </c:pt>
                <c:pt idx="16">
                  <c:v>2.319999999999999</c:v>
                </c:pt>
                <c:pt idx="17">
                  <c:v>2.29</c:v>
                </c:pt>
                <c:pt idx="18">
                  <c:v>2.2799999999999998</c:v>
                </c:pt>
                <c:pt idx="19">
                  <c:v>2.2200000000000002</c:v>
                </c:pt>
                <c:pt idx="20">
                  <c:v>2.2000000000000002</c:v>
                </c:pt>
                <c:pt idx="21">
                  <c:v>2.2799999999999998</c:v>
                </c:pt>
                <c:pt idx="22">
                  <c:v>2.2799999999999998</c:v>
                </c:pt>
                <c:pt idx="23">
                  <c:v>2.27</c:v>
                </c:pt>
                <c:pt idx="24">
                  <c:v>2.27</c:v>
                </c:pt>
                <c:pt idx="25">
                  <c:v>2.42</c:v>
                </c:pt>
                <c:pt idx="26">
                  <c:v>2.0099999999999998</c:v>
                </c:pt>
                <c:pt idx="27">
                  <c:v>0.92</c:v>
                </c:pt>
                <c:pt idx="28">
                  <c:v>0.51</c:v>
                </c:pt>
                <c:pt idx="29">
                  <c:v>0.4300000000000001</c:v>
                </c:pt>
                <c:pt idx="30">
                  <c:v>0.4300000000000001</c:v>
                </c:pt>
                <c:pt idx="31">
                  <c:v>0.4300000000000001</c:v>
                </c:pt>
                <c:pt idx="32">
                  <c:v>0.44000000000000006</c:v>
                </c:pt>
                <c:pt idx="33">
                  <c:v>0.4300000000000001</c:v>
                </c:pt>
                <c:pt idx="34">
                  <c:v>0.44000000000000006</c:v>
                </c:pt>
                <c:pt idx="35">
                  <c:v>0.4900000000000001</c:v>
                </c:pt>
                <c:pt idx="36">
                  <c:v>0.4900000000000001</c:v>
                </c:pt>
                <c:pt idx="37">
                  <c:v>0.54</c:v>
                </c:pt>
                <c:pt idx="38">
                  <c:v>0.56000000000000005</c:v>
                </c:pt>
                <c:pt idx="39">
                  <c:v>0.56000000000000005</c:v>
                </c:pt>
                <c:pt idx="40">
                  <c:v>0.67000000000000026</c:v>
                </c:pt>
                <c:pt idx="41">
                  <c:v>0.78</c:v>
                </c:pt>
                <c:pt idx="42">
                  <c:v>1</c:v>
                </c:pt>
                <c:pt idx="43">
                  <c:v>1.3</c:v>
                </c:pt>
                <c:pt idx="44">
                  <c:v>1.52</c:v>
                </c:pt>
                <c:pt idx="45">
                  <c:v>2.44</c:v>
                </c:pt>
                <c:pt idx="46">
                  <c:v>3.5</c:v>
                </c:pt>
                <c:pt idx="47">
                  <c:v>3.96</c:v>
                </c:pt>
                <c:pt idx="48">
                  <c:v>4.55</c:v>
                </c:pt>
                <c:pt idx="49">
                  <c:v>4.87</c:v>
                </c:pt>
                <c:pt idx="50">
                  <c:v>5.1199999999999983</c:v>
                </c:pt>
                <c:pt idx="51">
                  <c:v>5.74</c:v>
                </c:pt>
                <c:pt idx="52">
                  <c:v>6.33</c:v>
                </c:pt>
                <c:pt idx="53">
                  <c:v>7.02</c:v>
                </c:pt>
                <c:pt idx="54">
                  <c:v>7.55</c:v>
                </c:pt>
                <c:pt idx="55">
                  <c:v>7.48</c:v>
                </c:pt>
                <c:pt idx="56">
                  <c:v>7.44</c:v>
                </c:pt>
                <c:pt idx="57">
                  <c:v>7.45</c:v>
                </c:pt>
                <c:pt idx="58">
                  <c:v>7.39</c:v>
                </c:pt>
                <c:pt idx="59">
                  <c:v>7.28</c:v>
                </c:pt>
                <c:pt idx="60" formatCode="###\ ###\ ###\ ###\ ##0.00;\-###\ ###\ ###\ ###\ ##0.00">
                  <c:v>7.2480952380952361</c:v>
                </c:pt>
                <c:pt idx="61" formatCode="###\ ###\ ###\ ###\ ##0.00;\-###\ ###\ ###\ ###\ ##0.00">
                  <c:v>7.2326315789473687</c:v>
                </c:pt>
                <c:pt idx="62" formatCode="###\ ###\ ###\ ###\ ##0.00;\-###\ ###\ ###\ ###\ ##0.00">
                  <c:v>7.2263636363636392</c:v>
                </c:pt>
                <c:pt idx="63" formatCode="###\ ###\ ###\ ###\ ##0.00;\-###\ ###\ ###\ ###\ ##0.00">
                  <c:v>7.2088888888888887</c:v>
                </c:pt>
                <c:pt idx="64" formatCode="###\ ###\ ###\ ###\ ##0.00;\-###\ ###\ ###\ ###\ ##0.00">
                  <c:v>7.1961904761904743</c:v>
                </c:pt>
                <c:pt idx="65" formatCode="###\ ###\ ###\ ###\ ##0.00;\-###\ ###\ ###\ ###\ ##0.00">
                  <c:v>7.1377272727272709</c:v>
                </c:pt>
                <c:pt idx="66" formatCode="###\ ###\ ###\ ###\ ##0.00;\-###\ ###\ ###\ ###\ ##0.00">
                  <c:v>7.0289473684210497</c:v>
                </c:pt>
                <c:pt idx="67" formatCode="###\ ###\ ###\ ###\ ##0.00;\-###\ ###\ ###\ ###\ ##0.00">
                  <c:v>6.9473913043478293</c:v>
                </c:pt>
                <c:pt idx="68" formatCode="###\ ###\ ###\ ###\ ##0.00;\-###\ ###\ ###\ ###\ ##0.00">
                  <c:v>6.8469999999999995</c:v>
                </c:pt>
              </c:numCache>
            </c:numRef>
          </c:val>
          <c:smooth val="0"/>
          <c:extLst>
            <c:ext xmlns:c16="http://schemas.microsoft.com/office/drawing/2014/chart" uri="{C3380CC4-5D6E-409C-BE32-E72D297353CC}">
              <c16:uniqueId val="{00000004-B6CA-43FC-9BFF-532C41CFA450}"/>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1'!$A$78:$B$146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2018</c:v>
                  </c:pt>
                  <c:pt idx="12">
                    <c:v>2019</c:v>
                  </c:pt>
                  <c:pt idx="24">
                    <c:v>2020</c:v>
                  </c:pt>
                  <c:pt idx="36">
                    <c:v>2021</c:v>
                  </c:pt>
                  <c:pt idx="48">
                    <c:v>2022</c:v>
                  </c:pt>
                  <c:pt idx="60">
                    <c:v>2023</c:v>
                  </c:pt>
                </c:lvl>
              </c:multiLvlStrCache>
            </c:multiLvlStrRef>
          </c:cat>
          <c:val>
            <c:numRef>
              <c:f>'Měnové podmínky 1'!$H$78:$H$146</c:f>
              <c:numCache>
                <c:formatCode>General</c:formatCode>
                <c:ptCount val="69"/>
                <c:pt idx="0">
                  <c:v>1.7700000000000002</c:v>
                </c:pt>
                <c:pt idx="1">
                  <c:v>1.82</c:v>
                </c:pt>
                <c:pt idx="2">
                  <c:v>1.81</c:v>
                </c:pt>
                <c:pt idx="3">
                  <c:v>1.7400000000000002</c:v>
                </c:pt>
                <c:pt idx="4">
                  <c:v>1.8900000000000001</c:v>
                </c:pt>
                <c:pt idx="5">
                  <c:v>2.14</c:v>
                </c:pt>
                <c:pt idx="6">
                  <c:v>2.11</c:v>
                </c:pt>
                <c:pt idx="7">
                  <c:v>2.14</c:v>
                </c:pt>
                <c:pt idx="8">
                  <c:v>2.14</c:v>
                </c:pt>
                <c:pt idx="9">
                  <c:v>2.14</c:v>
                </c:pt>
                <c:pt idx="10">
                  <c:v>2.0699999999999998</c:v>
                </c:pt>
                <c:pt idx="11">
                  <c:v>2.0099999999999998</c:v>
                </c:pt>
                <c:pt idx="12">
                  <c:v>1.85</c:v>
                </c:pt>
                <c:pt idx="13">
                  <c:v>1.7600000000000002</c:v>
                </c:pt>
                <c:pt idx="14">
                  <c:v>1.82</c:v>
                </c:pt>
                <c:pt idx="15">
                  <c:v>1.82</c:v>
                </c:pt>
                <c:pt idx="16">
                  <c:v>1.86</c:v>
                </c:pt>
                <c:pt idx="17">
                  <c:v>1.58</c:v>
                </c:pt>
                <c:pt idx="18">
                  <c:v>1.36</c:v>
                </c:pt>
                <c:pt idx="19">
                  <c:v>0.99</c:v>
                </c:pt>
                <c:pt idx="20">
                  <c:v>1.24</c:v>
                </c:pt>
                <c:pt idx="21">
                  <c:v>1.32</c:v>
                </c:pt>
                <c:pt idx="22">
                  <c:v>1.47</c:v>
                </c:pt>
                <c:pt idx="23">
                  <c:v>1.51</c:v>
                </c:pt>
                <c:pt idx="24">
                  <c:v>1.62</c:v>
                </c:pt>
                <c:pt idx="25">
                  <c:v>1.47</c:v>
                </c:pt>
                <c:pt idx="26">
                  <c:v>1.28</c:v>
                </c:pt>
                <c:pt idx="27">
                  <c:v>1.28</c:v>
                </c:pt>
                <c:pt idx="28">
                  <c:v>0.92</c:v>
                </c:pt>
                <c:pt idx="29">
                  <c:v>0.86000000000000021</c:v>
                </c:pt>
                <c:pt idx="30">
                  <c:v>0.86000000000000021</c:v>
                </c:pt>
                <c:pt idx="31">
                  <c:v>0.95000000000000018</c:v>
                </c:pt>
                <c:pt idx="32">
                  <c:v>0.98</c:v>
                </c:pt>
                <c:pt idx="33">
                  <c:v>0.94000000000000017</c:v>
                </c:pt>
                <c:pt idx="34">
                  <c:v>1.1200000000000001</c:v>
                </c:pt>
                <c:pt idx="35">
                  <c:v>1.26</c:v>
                </c:pt>
                <c:pt idx="36">
                  <c:v>1.28</c:v>
                </c:pt>
                <c:pt idx="37">
                  <c:v>1.49</c:v>
                </c:pt>
                <c:pt idx="38">
                  <c:v>1.87</c:v>
                </c:pt>
                <c:pt idx="39">
                  <c:v>1.86</c:v>
                </c:pt>
                <c:pt idx="40">
                  <c:v>1.7400000000000002</c:v>
                </c:pt>
                <c:pt idx="41">
                  <c:v>1.6700000000000004</c:v>
                </c:pt>
                <c:pt idx="42">
                  <c:v>1.7200000000000002</c:v>
                </c:pt>
                <c:pt idx="43">
                  <c:v>1.7400000000000002</c:v>
                </c:pt>
                <c:pt idx="44">
                  <c:v>1.9000000000000001</c:v>
                </c:pt>
                <c:pt idx="45">
                  <c:v>2.34</c:v>
                </c:pt>
                <c:pt idx="46">
                  <c:v>2.62</c:v>
                </c:pt>
                <c:pt idx="47">
                  <c:v>2.62</c:v>
                </c:pt>
                <c:pt idx="48">
                  <c:v>3.12</c:v>
                </c:pt>
                <c:pt idx="49">
                  <c:v>3.03</c:v>
                </c:pt>
                <c:pt idx="50">
                  <c:v>3.53</c:v>
                </c:pt>
                <c:pt idx="51">
                  <c:v>4.01</c:v>
                </c:pt>
                <c:pt idx="52">
                  <c:v>4.6099999999999985</c:v>
                </c:pt>
                <c:pt idx="53">
                  <c:v>5.1199999999999983</c:v>
                </c:pt>
                <c:pt idx="54">
                  <c:v>4.4000000000000004</c:v>
                </c:pt>
                <c:pt idx="55">
                  <c:v>4.1099999999999985</c:v>
                </c:pt>
                <c:pt idx="56">
                  <c:v>4.72</c:v>
                </c:pt>
                <c:pt idx="57">
                  <c:v>5.52</c:v>
                </c:pt>
                <c:pt idx="58">
                  <c:v>5.1099999999999985</c:v>
                </c:pt>
                <c:pt idx="59">
                  <c:v>4.71</c:v>
                </c:pt>
                <c:pt idx="60" formatCode="###\ ###\ ###\ ###\ ##0.00;\-###\ ###\ ###\ ###\ ##0.00">
                  <c:v>4.4683071740930753</c:v>
                </c:pt>
                <c:pt idx="61" formatCode="###\ ###\ ###\ ###\ ##0.00;\-###\ ###\ ###\ ###\ ##0.00">
                  <c:v>4.6124456250457762</c:v>
                </c:pt>
                <c:pt idx="62" formatCode="###\ ###\ ###\ ###\ ##0.00;\-###\ ###\ ###\ ###\ ##0.00">
                  <c:v>4.6664316498532488</c:v>
                </c:pt>
                <c:pt idx="63" formatCode="###\ ###\ ###\ ###\ ##0.00;\-###\ ###\ ###\ ###\ ##0.00">
                  <c:v>4.6464031535593699</c:v>
                </c:pt>
                <c:pt idx="64" formatCode="###\ ###\ ###\ ###\ ##0.00;\-###\ ###\ ###\ ###\ ##0.00">
                  <c:v>4.4999821517871714</c:v>
                </c:pt>
                <c:pt idx="65" formatCode="###\ ###\ ###\ ###\ ##0.00;\-###\ ###\ ###\ ###\ ##0.00">
                  <c:v>4.3475817201909148</c:v>
                </c:pt>
                <c:pt idx="66" formatCode="###\ ###\ ###\ ###\ ##0.00;\-###\ ###\ ###\ ###\ ##0.00">
                  <c:v>4.1488922058727873</c:v>
                </c:pt>
                <c:pt idx="67" formatCode="###\ ###\ ###\ ###\ ##0.00;\-###\ ###\ ###\ ###\ ##0.00">
                  <c:v>4.2612326220421188</c:v>
                </c:pt>
                <c:pt idx="68" formatCode="###\ ###\ ###\ ###\ ##0.00;\-###\ ###\ ###\ ###\ ##0.00">
                  <c:v>4.4941452526073453</c:v>
                </c:pt>
              </c:numCache>
            </c:numRef>
          </c:val>
          <c:smooth val="0"/>
          <c:extLst>
            <c:ext xmlns:c16="http://schemas.microsoft.com/office/drawing/2014/chart" uri="{C3380CC4-5D6E-409C-BE32-E72D297353CC}">
              <c16:uniqueId val="{00000005-B6CA-43FC-9BFF-532C41CFA450}"/>
            </c:ext>
          </c:extLst>
        </c:ser>
        <c:dLbls>
          <c:showLegendKey val="0"/>
          <c:showVal val="0"/>
          <c:showCatName val="0"/>
          <c:showSerName val="0"/>
          <c:showPercent val="0"/>
          <c:showBubbleSize val="0"/>
        </c:dLbls>
        <c:marker val="1"/>
        <c:smooth val="0"/>
        <c:axId val="40262272"/>
        <c:axId val="52261248"/>
      </c:lineChart>
      <c:catAx>
        <c:axId val="40262272"/>
        <c:scaling>
          <c:orientation val="minMax"/>
        </c:scaling>
        <c:delete val="0"/>
        <c:axPos val="b"/>
        <c:numFmt formatCode="General" sourceLinked="0"/>
        <c:majorTickMark val="out"/>
        <c:minorTickMark val="none"/>
        <c:tickLblPos val="low"/>
        <c:spPr>
          <a:ln>
            <a:solidFill>
              <a:schemeClr val="tx1"/>
            </a:solidFill>
          </a:ln>
        </c:spPr>
        <c:crossAx val="52261248"/>
        <c:crosses val="autoZero"/>
        <c:auto val="1"/>
        <c:lblAlgn val="ctr"/>
        <c:lblOffset val="100"/>
        <c:noMultiLvlLbl val="0"/>
      </c:catAx>
      <c:valAx>
        <c:axId val="52261248"/>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40262272"/>
        <c:crosses val="autoZero"/>
        <c:crossBetween val="between"/>
        <c:majorUnit val="1"/>
      </c:valAx>
      <c:spPr>
        <a:ln>
          <a:solidFill>
            <a:schemeClr val="tx1"/>
          </a:solidFill>
        </a:ln>
      </c:spPr>
    </c:plotArea>
    <c:legend>
      <c:legendPos val="b"/>
      <c:layout>
        <c:manualLayout>
          <c:xMode val="edge"/>
          <c:yMode val="edge"/>
          <c:x val="4.7501055386693677E-2"/>
          <c:y val="0.87558269120103249"/>
          <c:w val="0.93350515028706516"/>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4180770150867E-2"/>
          <c:y val="1.7107238390107422E-2"/>
          <c:w val="0.83962774835667464"/>
          <c:h val="0.75194595942834008"/>
        </c:manualLayout>
      </c:layout>
      <c:barChart>
        <c:barDir val="col"/>
        <c:grouping val="stacked"/>
        <c:varyColors val="0"/>
        <c:ser>
          <c:idx val="1"/>
          <c:order val="1"/>
          <c:tx>
            <c:strRef>
              <c:f>'G1-SR-příjmy-příspěvky'!$A$30</c:f>
              <c:strCache>
                <c:ptCount val="1"/>
                <c:pt idx="0">
                  <c:v>Ostatní daně a poplatky</c:v>
                </c:pt>
              </c:strCache>
            </c:strRef>
          </c:tx>
          <c:spPr>
            <a:solidFill>
              <a:schemeClr val="bg1">
                <a:lumMod val="75000"/>
              </a:schemeClr>
            </a:solidFill>
            <a:ln w="12700">
              <a:noFill/>
              <a:prstDash val="solid"/>
            </a:ln>
          </c:spPr>
          <c:invertIfNegative val="0"/>
          <c:cat>
            <c:numRef>
              <c:f>'G1-SR-příjmy-příspěvky'!$E$28:$T$28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'G1-SR-příjmy-příspěvky'!$E$30:$T$30</c:f>
              <c:numCache>
                <c:formatCode>0.0</c:formatCode>
                <c:ptCount val="16"/>
                <c:pt idx="0">
                  <c:v>0.39922458302144492</c:v>
                </c:pt>
                <c:pt idx="1">
                  <c:v>-0.52138580751874442</c:v>
                </c:pt>
                <c:pt idx="2">
                  <c:v>0.38494174134398523</c:v>
                </c:pt>
                <c:pt idx="3">
                  <c:v>0.75782132576051064</c:v>
                </c:pt>
                <c:pt idx="4">
                  <c:v>0.20431008938392781</c:v>
                </c:pt>
                <c:pt idx="5">
                  <c:v>-0.31949620849206295</c:v>
                </c:pt>
                <c:pt idx="6">
                  <c:v>3.5798749491447214E-2</c:v>
                </c:pt>
                <c:pt idx="7">
                  <c:v>0.40823718281484206</c:v>
                </c:pt>
                <c:pt idx="8">
                  <c:v>0.44161079131733499</c:v>
                </c:pt>
                <c:pt idx="9">
                  <c:v>0.24214568841864642</c:v>
                </c:pt>
                <c:pt idx="10">
                  <c:v>0.18312368925754777</c:v>
                </c:pt>
                <c:pt idx="11">
                  <c:v>0.47861875769007417</c:v>
                </c:pt>
                <c:pt idx="12">
                  <c:v>-1.6740814890995943E-2</c:v>
                </c:pt>
                <c:pt idx="13">
                  <c:v>0.16236667714832509</c:v>
                </c:pt>
                <c:pt idx="14">
                  <c:v>0.62493574418475661</c:v>
                </c:pt>
                <c:pt idx="15">
                  <c:v>4.80075357686533</c:v>
                </c:pt>
              </c:numCache>
            </c:numRef>
          </c:val>
          <c:extLst>
            <c:ext xmlns:c16="http://schemas.microsoft.com/office/drawing/2014/chart" uri="{C3380CC4-5D6E-409C-BE32-E72D297353CC}">
              <c16:uniqueId val="{00000000-B3CC-469D-A4ED-7A1805BD04B7}"/>
            </c:ext>
          </c:extLst>
        </c:ser>
        <c:ser>
          <c:idx val="3"/>
          <c:order val="2"/>
          <c:tx>
            <c:strRef>
              <c:f>'G1-SR-příjmy-příspěvky'!$A$31</c:f>
              <c:strCache>
                <c:ptCount val="1"/>
                <c:pt idx="0">
                  <c:v>Daně z příjmů FO, placená plátci</c:v>
                </c:pt>
              </c:strCache>
            </c:strRef>
          </c:tx>
          <c:spPr>
            <a:solidFill>
              <a:srgbClr val="EA6C75"/>
            </a:solidFill>
            <a:ln w="19050">
              <a:noFill/>
              <a:prstDash val="sysDot"/>
            </a:ln>
          </c:spPr>
          <c:invertIfNegative val="0"/>
          <c:cat>
            <c:numRef>
              <c:f>'G1-SR-příjmy-příspěvky'!$E$28:$T$28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'G1-SR-příjmy-příspěvky'!$E$31:$T$31</c:f>
              <c:numCache>
                <c:formatCode>0.0</c:formatCode>
                <c:ptCount val="16"/>
                <c:pt idx="0">
                  <c:v>-1.3185927333448506</c:v>
                </c:pt>
                <c:pt idx="1">
                  <c:v>-0.68319519605904266</c:v>
                </c:pt>
                <c:pt idx="2">
                  <c:v>7.6574432417890484E-2</c:v>
                </c:pt>
                <c:pt idx="3">
                  <c:v>1.071734225472657</c:v>
                </c:pt>
                <c:pt idx="4">
                  <c:v>0.15294141391213345</c:v>
                </c:pt>
                <c:pt idx="5">
                  <c:v>0.91307934029997762</c:v>
                </c:pt>
                <c:pt idx="6">
                  <c:v>0.69459138201652215</c:v>
                </c:pt>
                <c:pt idx="7">
                  <c:v>0.42746917494716152</c:v>
                </c:pt>
                <c:pt idx="8">
                  <c:v>1.667004053346564</c:v>
                </c:pt>
                <c:pt idx="9">
                  <c:v>2.1330413189999535</c:v>
                </c:pt>
                <c:pt idx="10">
                  <c:v>2.6405684717277622</c:v>
                </c:pt>
                <c:pt idx="11">
                  <c:v>2.3517629294290758</c:v>
                </c:pt>
                <c:pt idx="12">
                  <c:v>-1.7215845900551048</c:v>
                </c:pt>
                <c:pt idx="13">
                  <c:v>-6.3858163065537834</c:v>
                </c:pt>
                <c:pt idx="14">
                  <c:v>1.0956944710211212</c:v>
                </c:pt>
                <c:pt idx="15">
                  <c:v>2.5094032821549859</c:v>
                </c:pt>
              </c:numCache>
            </c:numRef>
          </c:val>
          <c:extLst>
            <c:ext xmlns:c16="http://schemas.microsoft.com/office/drawing/2014/chart" uri="{C3380CC4-5D6E-409C-BE32-E72D297353CC}">
              <c16:uniqueId val="{00000001-B3CC-469D-A4ED-7A1805BD04B7}"/>
            </c:ext>
          </c:extLst>
        </c:ser>
        <c:ser>
          <c:idx val="4"/>
          <c:order val="3"/>
          <c:tx>
            <c:strRef>
              <c:f>'G1-SR-příjmy-příspěvky'!$A$32</c:f>
              <c:strCache>
                <c:ptCount val="1"/>
                <c:pt idx="0">
                  <c:v>Daně z příjmů FO, ostatní</c:v>
                </c:pt>
              </c:strCache>
            </c:strRef>
          </c:tx>
          <c:spPr>
            <a:solidFill>
              <a:srgbClr val="FFD757"/>
            </a:solidFill>
            <a:ln w="19050">
              <a:noFill/>
            </a:ln>
          </c:spPr>
          <c:invertIfNegative val="0"/>
          <c:cat>
            <c:numRef>
              <c:f>'G1-SR-příjmy-příspěvky'!$E$28:$T$28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'G1-SR-příjmy-příspěvky'!$E$32:$T$32</c:f>
              <c:numCache>
                <c:formatCode>0.0</c:formatCode>
                <c:ptCount val="16"/>
                <c:pt idx="0">
                  <c:v>0.4280148173739482</c:v>
                </c:pt>
                <c:pt idx="1">
                  <c:v>-1.707987990147606</c:v>
                </c:pt>
                <c:pt idx="2">
                  <c:v>0.38287216208944713</c:v>
                </c:pt>
                <c:pt idx="3">
                  <c:v>-0.7974791877382762</c:v>
                </c:pt>
                <c:pt idx="4">
                  <c:v>0.41294181756276077</c:v>
                </c:pt>
                <c:pt idx="5">
                  <c:v>-0.14654359782591991</c:v>
                </c:pt>
                <c:pt idx="6">
                  <c:v>0.47341886300599922</c:v>
                </c:pt>
                <c:pt idx="7">
                  <c:v>-0.17898099601446263</c:v>
                </c:pt>
                <c:pt idx="8">
                  <c:v>0.73529483924047812</c:v>
                </c:pt>
                <c:pt idx="9">
                  <c:v>3.8558230639912372E-2</c:v>
                </c:pt>
                <c:pt idx="10">
                  <c:v>0.20611424206171841</c:v>
                </c:pt>
                <c:pt idx="11">
                  <c:v>0.49062640424296267</c:v>
                </c:pt>
                <c:pt idx="12">
                  <c:v>-0.45179074828909926</c:v>
                </c:pt>
                <c:pt idx="13">
                  <c:v>0.7925110951814025</c:v>
                </c:pt>
                <c:pt idx="14">
                  <c:v>1.1435578174620293</c:v>
                </c:pt>
                <c:pt idx="15">
                  <c:v>1.1361613440504157</c:v>
                </c:pt>
              </c:numCache>
            </c:numRef>
          </c:val>
          <c:extLst>
            <c:ext xmlns:c16="http://schemas.microsoft.com/office/drawing/2014/chart" uri="{C3380CC4-5D6E-409C-BE32-E72D297353CC}">
              <c16:uniqueId val="{00000002-B3CC-469D-A4ED-7A1805BD04B7}"/>
            </c:ext>
          </c:extLst>
        </c:ser>
        <c:ser>
          <c:idx val="2"/>
          <c:order val="4"/>
          <c:tx>
            <c:strRef>
              <c:f>'G1-SR-příjmy-příspěvky'!$A$33</c:f>
              <c:strCache>
                <c:ptCount val="1"/>
                <c:pt idx="0">
                  <c:v>Daně z příjmů PO</c:v>
                </c:pt>
              </c:strCache>
            </c:strRef>
          </c:tx>
          <c:spPr>
            <a:solidFill>
              <a:srgbClr val="F9B073"/>
            </a:solidFill>
            <a:ln>
              <a:noFill/>
            </a:ln>
          </c:spPr>
          <c:invertIfNegative val="0"/>
          <c:cat>
            <c:numRef>
              <c:f>'G1-SR-příjmy-příspěvky'!$E$28:$T$28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'G1-SR-příjmy-příspěvky'!$E$33:$T$33</c:f>
              <c:numCache>
                <c:formatCode>0.0</c:formatCode>
                <c:ptCount val="16"/>
                <c:pt idx="0">
                  <c:v>4.0018425749985633</c:v>
                </c:pt>
                <c:pt idx="1">
                  <c:v>-9.4748386400819857</c:v>
                </c:pt>
                <c:pt idx="2">
                  <c:v>1.069972474595916</c:v>
                </c:pt>
                <c:pt idx="3">
                  <c:v>-1.1806582120905686</c:v>
                </c:pt>
                <c:pt idx="4">
                  <c:v>1.5944142400339956</c:v>
                </c:pt>
                <c:pt idx="5">
                  <c:v>-1.1178646244413311</c:v>
                </c:pt>
                <c:pt idx="6">
                  <c:v>1.5408961448419181</c:v>
                </c:pt>
                <c:pt idx="7">
                  <c:v>2.0070199067641155</c:v>
                </c:pt>
                <c:pt idx="8">
                  <c:v>2.4996667023494781</c:v>
                </c:pt>
                <c:pt idx="9">
                  <c:v>4.1642889091102545E-2</c:v>
                </c:pt>
                <c:pt idx="10">
                  <c:v>0.43384885916488108</c:v>
                </c:pt>
                <c:pt idx="11">
                  <c:v>1.5935221228717715</c:v>
                </c:pt>
                <c:pt idx="12">
                  <c:v>-3.6005022371045392</c:v>
                </c:pt>
                <c:pt idx="13">
                  <c:v>5.8351210797303867</c:v>
                </c:pt>
                <c:pt idx="14">
                  <c:v>3.5016495282490565</c:v>
                </c:pt>
                <c:pt idx="15">
                  <c:v>6.9319945761518396</c:v>
                </c:pt>
              </c:numCache>
            </c:numRef>
          </c:val>
          <c:extLst>
            <c:ext xmlns:c16="http://schemas.microsoft.com/office/drawing/2014/chart" uri="{C3380CC4-5D6E-409C-BE32-E72D297353CC}">
              <c16:uniqueId val="{00000003-B3CC-469D-A4ED-7A1805BD04B7}"/>
            </c:ext>
          </c:extLst>
        </c:ser>
        <c:ser>
          <c:idx val="5"/>
          <c:order val="5"/>
          <c:tx>
            <c:strRef>
              <c:f>'G1-SR-příjmy-příspěvky'!$A$34</c:f>
              <c:strCache>
                <c:ptCount val="1"/>
                <c:pt idx="0">
                  <c:v>Spotřební daň</c:v>
                </c:pt>
              </c:strCache>
            </c:strRef>
          </c:tx>
          <c:spPr>
            <a:solidFill>
              <a:srgbClr val="00B050"/>
            </a:solidFill>
            <a:ln>
              <a:noFill/>
            </a:ln>
          </c:spPr>
          <c:invertIfNegative val="0"/>
          <c:cat>
            <c:numRef>
              <c:f>'G1-SR-příjmy-příspěvky'!$E$28:$T$28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'G1-SR-příjmy-příspěvky'!$E$34:$T$34</c:f>
              <c:numCache>
                <c:formatCode>0.0</c:formatCode>
                <c:ptCount val="16"/>
                <c:pt idx="0">
                  <c:v>0.59883687453215728</c:v>
                </c:pt>
                <c:pt idx="1">
                  <c:v>-0.61307779435824561</c:v>
                </c:pt>
                <c:pt idx="2">
                  <c:v>1.3452265154494092</c:v>
                </c:pt>
                <c:pt idx="3">
                  <c:v>1.240955418968342</c:v>
                </c:pt>
                <c:pt idx="4">
                  <c:v>-0.30205929247646662</c:v>
                </c:pt>
                <c:pt idx="5">
                  <c:v>-0.71956664060677211</c:v>
                </c:pt>
                <c:pt idx="6">
                  <c:v>0.39847610863053273</c:v>
                </c:pt>
                <c:pt idx="7">
                  <c:v>0.80107028313269024</c:v>
                </c:pt>
                <c:pt idx="8">
                  <c:v>1.2070250899860806</c:v>
                </c:pt>
                <c:pt idx="9">
                  <c:v>0.53056125360519424</c:v>
                </c:pt>
                <c:pt idx="10">
                  <c:v>0.2623272171694625</c:v>
                </c:pt>
                <c:pt idx="11">
                  <c:v>-3.9196048823818816E-2</c:v>
                </c:pt>
                <c:pt idx="12">
                  <c:v>-0.40403836868730231</c:v>
                </c:pt>
                <c:pt idx="13">
                  <c:v>-0.90340003396451163</c:v>
                </c:pt>
                <c:pt idx="14">
                  <c:v>1.2017788865854611</c:v>
                </c:pt>
                <c:pt idx="15">
                  <c:v>-0.63224507912749772</c:v>
                </c:pt>
              </c:numCache>
            </c:numRef>
          </c:val>
          <c:extLst>
            <c:ext xmlns:c16="http://schemas.microsoft.com/office/drawing/2014/chart" uri="{C3380CC4-5D6E-409C-BE32-E72D297353CC}">
              <c16:uniqueId val="{00000004-B3CC-469D-A4ED-7A1805BD04B7}"/>
            </c:ext>
          </c:extLst>
        </c:ser>
        <c:ser>
          <c:idx val="6"/>
          <c:order val="6"/>
          <c:tx>
            <c:strRef>
              <c:f>'G1-SR-příjmy-příspěvky'!$A$35</c:f>
              <c:strCache>
                <c:ptCount val="1"/>
                <c:pt idx="0">
                  <c:v>DPH</c:v>
                </c:pt>
              </c:strCache>
            </c:strRef>
          </c:tx>
          <c:spPr>
            <a:solidFill>
              <a:schemeClr val="accent5">
                <a:lumMod val="60000"/>
                <a:lumOff val="40000"/>
              </a:schemeClr>
            </a:solidFill>
            <a:ln w="19050">
              <a:noFill/>
            </a:ln>
          </c:spPr>
          <c:invertIfNegative val="0"/>
          <c:cat>
            <c:numRef>
              <c:f>'G1-SR-příjmy-příspěvky'!$E$28:$T$28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'G1-SR-příjmy-příspěvky'!$E$35:$T$35</c:f>
              <c:numCache>
                <c:formatCode>0.0</c:formatCode>
                <c:ptCount val="16"/>
                <c:pt idx="0">
                  <c:v>2.6467822114738673</c:v>
                </c:pt>
                <c:pt idx="1">
                  <c:v>-0.12764962873734884</c:v>
                </c:pt>
                <c:pt idx="2">
                  <c:v>3.1416213083880091</c:v>
                </c:pt>
                <c:pt idx="3">
                  <c:v>0.64965377732825402</c:v>
                </c:pt>
                <c:pt idx="4">
                  <c:v>-0.30588282782426718</c:v>
                </c:pt>
                <c:pt idx="5">
                  <c:v>4.1746137739640954</c:v>
                </c:pt>
                <c:pt idx="6">
                  <c:v>2.047216704890801</c:v>
                </c:pt>
                <c:pt idx="7">
                  <c:v>4.5179668896857879E-2</c:v>
                </c:pt>
                <c:pt idx="8">
                  <c:v>2.2948585507802108</c:v>
                </c:pt>
                <c:pt idx="9">
                  <c:v>4.0193099619044688</c:v>
                </c:pt>
                <c:pt idx="10">
                  <c:v>2.915867913922086</c:v>
                </c:pt>
                <c:pt idx="11">
                  <c:v>1.9070905134623093</c:v>
                </c:pt>
                <c:pt idx="12">
                  <c:v>-0.75630542506162945</c:v>
                </c:pt>
                <c:pt idx="13">
                  <c:v>3.0448827044485789</c:v>
                </c:pt>
                <c:pt idx="14">
                  <c:v>7.9526056162271859</c:v>
                </c:pt>
                <c:pt idx="15">
                  <c:v>2.4123384484940424</c:v>
                </c:pt>
              </c:numCache>
            </c:numRef>
          </c:val>
          <c:extLst>
            <c:ext xmlns:c16="http://schemas.microsoft.com/office/drawing/2014/chart" uri="{C3380CC4-5D6E-409C-BE32-E72D297353CC}">
              <c16:uniqueId val="{00000005-B3CC-469D-A4ED-7A1805BD04B7}"/>
            </c:ext>
          </c:extLst>
        </c:ser>
        <c:dLbls>
          <c:showLegendKey val="0"/>
          <c:showVal val="0"/>
          <c:showCatName val="0"/>
          <c:showSerName val="0"/>
          <c:showPercent val="0"/>
          <c:showBubbleSize val="0"/>
        </c:dLbls>
        <c:gapWidth val="109"/>
        <c:overlap val="100"/>
        <c:axId val="117664384"/>
        <c:axId val="117678464"/>
      </c:barChart>
      <c:lineChart>
        <c:grouping val="standard"/>
        <c:varyColors val="0"/>
        <c:ser>
          <c:idx val="0"/>
          <c:order val="0"/>
          <c:tx>
            <c:strRef>
              <c:f>'G1-SR-příjmy-příspěvky'!$A$29</c:f>
              <c:strCache>
                <c:ptCount val="1"/>
                <c:pt idx="0">
                  <c:v>Celk. daňové příjmy (bez pojistného na SZ)</c:v>
                </c:pt>
              </c:strCache>
            </c:strRef>
          </c:tx>
          <c:spPr>
            <a:ln w="19050">
              <a:noFill/>
            </a:ln>
          </c:spPr>
          <c:marker>
            <c:symbol val="circle"/>
            <c:size val="6"/>
            <c:spPr>
              <a:solidFill>
                <a:schemeClr val="bg1"/>
              </a:solidFill>
              <a:ln>
                <a:solidFill>
                  <a:schemeClr val="tx1">
                    <a:lumMod val="95000"/>
                    <a:lumOff val="5000"/>
                  </a:schemeClr>
                </a:solidFill>
              </a:ln>
            </c:spPr>
          </c:marker>
          <c:cat>
            <c:numRef>
              <c:f>'G1-SR-příjmy-příspěvky'!$E$28:$T$28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'G1-SR-příjmy-příspěvky'!$E$29:$T$29</c:f>
              <c:numCache>
                <c:formatCode>0.0</c:formatCode>
                <c:ptCount val="16"/>
                <c:pt idx="0">
                  <c:v>6.7561083280551344</c:v>
                </c:pt>
                <c:pt idx="1">
                  <c:v>-13.128135056902977</c:v>
                </c:pt>
                <c:pt idx="2">
                  <c:v>6.4012086342846661</c:v>
                </c:pt>
                <c:pt idx="3">
                  <c:v>1.7420273477009258</c:v>
                </c:pt>
                <c:pt idx="4">
                  <c:v>1.7566654405920734</c:v>
                </c:pt>
                <c:pt idx="5">
                  <c:v>2.7842220428979987</c:v>
                </c:pt>
                <c:pt idx="6">
                  <c:v>5.1903979528772162</c:v>
                </c:pt>
                <c:pt idx="7">
                  <c:v>3.5099952205412142</c:v>
                </c:pt>
                <c:pt idx="8">
                  <c:v>8.8454600270201453</c:v>
                </c:pt>
                <c:pt idx="9">
                  <c:v>7.0052593426592722</c:v>
                </c:pt>
                <c:pt idx="10">
                  <c:v>6.6418503933034572</c:v>
                </c:pt>
                <c:pt idx="11">
                  <c:v>6.7824246788723741</c:v>
                </c:pt>
                <c:pt idx="12">
                  <c:v>-6.9509621840886746</c:v>
                </c:pt>
                <c:pt idx="13">
                  <c:v>2.5456652159903972</c:v>
                </c:pt>
                <c:pt idx="14">
                  <c:v>15.520222063729605</c:v>
                </c:pt>
                <c:pt idx="15">
                  <c:v>17.158406148589123</c:v>
                </c:pt>
              </c:numCache>
            </c:numRef>
          </c:val>
          <c:smooth val="0"/>
          <c:extLst>
            <c:ext xmlns:c16="http://schemas.microsoft.com/office/drawing/2014/chart" uri="{C3380CC4-5D6E-409C-BE32-E72D297353CC}">
              <c16:uniqueId val="{00000006-B3CC-469D-A4ED-7A1805BD04B7}"/>
            </c:ext>
          </c:extLst>
        </c:ser>
        <c:ser>
          <c:idx val="7"/>
          <c:order val="7"/>
          <c:tx>
            <c:strRef>
              <c:f>'G1-SR-příjmy-příspěvky'!$A$36</c:f>
              <c:strCache>
                <c:ptCount val="1"/>
              </c:strCache>
            </c:strRef>
          </c:tx>
          <c:spPr>
            <a:ln w="19050">
              <a:noFill/>
              <a:prstDash val="sysDash"/>
            </a:ln>
          </c:spPr>
          <c:marker>
            <c:symbol val="none"/>
          </c:marker>
          <c:cat>
            <c:numRef>
              <c:f>'G1-SR-příjmy-příspěvky'!$E$28:$T$28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'G1-SR-příjmy-příspěvky'!$E$36:$T$36</c:f>
              <c:numCache>
                <c:formatCode>General</c:formatCode>
                <c:ptCount val="16"/>
              </c:numCache>
            </c:numRef>
          </c:val>
          <c:smooth val="0"/>
          <c:extLst>
            <c:ext xmlns:c16="http://schemas.microsoft.com/office/drawing/2014/chart" uri="{C3380CC4-5D6E-409C-BE32-E72D297353CC}">
              <c16:uniqueId val="{00000007-B3CC-469D-A4ED-7A1805BD04B7}"/>
            </c:ext>
          </c:extLst>
        </c:ser>
        <c:dLbls>
          <c:showLegendKey val="0"/>
          <c:showVal val="0"/>
          <c:showCatName val="0"/>
          <c:showSerName val="0"/>
          <c:showPercent val="0"/>
          <c:showBubbleSize val="0"/>
        </c:dLbls>
        <c:marker val="1"/>
        <c:smooth val="0"/>
        <c:axId val="117664384"/>
        <c:axId val="117678464"/>
      </c:lineChart>
      <c:lineChart>
        <c:grouping val="standard"/>
        <c:varyColors val="0"/>
        <c:ser>
          <c:idx val="8"/>
          <c:order val="8"/>
          <c:tx>
            <c:strRef>
              <c:f>'G1-SR-příjmy-příspěvky'!$A$37</c:f>
              <c:strCache>
                <c:ptCount val="1"/>
                <c:pt idx="0">
                  <c:v>Saldo státního rozpočtu (pravá osa)</c:v>
                </c:pt>
              </c:strCache>
            </c:strRef>
          </c:tx>
          <c:spPr>
            <a:ln w="19050">
              <a:solidFill>
                <a:schemeClr val="bg2">
                  <a:lumMod val="50000"/>
                </a:schemeClr>
              </a:solidFill>
            </a:ln>
          </c:spPr>
          <c:marker>
            <c:symbol val="none"/>
          </c:marker>
          <c:cat>
            <c:numRef>
              <c:f>'G1-SR-příjmy-příspěvky'!$E$28:$T$28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'G1-SR-příjmy-příspěvky'!$E$37:$T$37</c:f>
              <c:numCache>
                <c:formatCode>#\ ##0.0</c:formatCode>
                <c:ptCount val="16"/>
                <c:pt idx="0">
                  <c:v>10.473000000000004</c:v>
                </c:pt>
                <c:pt idx="1">
                  <c:v>-87.296000000000006</c:v>
                </c:pt>
                <c:pt idx="2">
                  <c:v>-99.554999999999993</c:v>
                </c:pt>
                <c:pt idx="3">
                  <c:v>-105.13800000000001</c:v>
                </c:pt>
                <c:pt idx="4">
                  <c:v>-71.412000000000006</c:v>
                </c:pt>
                <c:pt idx="5">
                  <c:v>-38.241</c:v>
                </c:pt>
                <c:pt idx="6">
                  <c:v>-34.39</c:v>
                </c:pt>
                <c:pt idx="7">
                  <c:v>-2.77</c:v>
                </c:pt>
                <c:pt idx="8">
                  <c:v>82.27</c:v>
                </c:pt>
                <c:pt idx="9">
                  <c:v>17.399999999999999</c:v>
                </c:pt>
                <c:pt idx="10">
                  <c:v>16.77</c:v>
                </c:pt>
                <c:pt idx="11">
                  <c:v>-20.99</c:v>
                </c:pt>
                <c:pt idx="12">
                  <c:v>-252.66738666548997</c:v>
                </c:pt>
                <c:pt idx="13">
                  <c:v>-326.27150374008011</c:v>
                </c:pt>
                <c:pt idx="14">
                  <c:v>-270.87650309327927</c:v>
                </c:pt>
                <c:pt idx="15">
                  <c:v>-180.67727687644003</c:v>
                </c:pt>
              </c:numCache>
            </c:numRef>
          </c:val>
          <c:smooth val="0"/>
          <c:extLst>
            <c:ext xmlns:c16="http://schemas.microsoft.com/office/drawing/2014/chart" uri="{C3380CC4-5D6E-409C-BE32-E72D297353CC}">
              <c16:uniqueId val="{00000008-B3CC-469D-A4ED-7A1805BD04B7}"/>
            </c:ext>
          </c:extLst>
        </c:ser>
        <c:ser>
          <c:idx val="9"/>
          <c:order val="9"/>
          <c:tx>
            <c:strRef>
              <c:f>'G1-SR-příjmy-příspěvky'!$A$38</c:f>
              <c:strCache>
                <c:ptCount val="1"/>
                <c:pt idx="0">
                  <c:v>Saldo SR očišťěné o vliv EU a FM (pr. osa)</c:v>
                </c:pt>
              </c:strCache>
            </c:strRef>
          </c:tx>
          <c:spPr>
            <a:ln w="19050">
              <a:solidFill>
                <a:schemeClr val="bg2">
                  <a:lumMod val="50000"/>
                </a:schemeClr>
              </a:solidFill>
              <a:prstDash val="sysDash"/>
            </a:ln>
          </c:spPr>
          <c:marker>
            <c:symbol val="none"/>
          </c:marker>
          <c:cat>
            <c:numRef>
              <c:f>'G1-SR-příjmy-příspěvky'!$E$28:$T$28</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'G1-SR-příjmy-příspěvky'!$E$38:$T$38</c:f>
              <c:numCache>
                <c:formatCode>General</c:formatCode>
                <c:ptCount val="16"/>
                <c:pt idx="5" formatCode="#\ ##0.0">
                  <c:v>-65.2</c:v>
                </c:pt>
                <c:pt idx="6" formatCode="#\ ##0.0">
                  <c:v>-52.7</c:v>
                </c:pt>
                <c:pt idx="7" formatCode="#\ ##0.0">
                  <c:v>-40.5</c:v>
                </c:pt>
                <c:pt idx="8" formatCode="#\ ##0.0">
                  <c:v>-7.2</c:v>
                </c:pt>
                <c:pt idx="9" formatCode="#\ ##0.0">
                  <c:v>0.9</c:v>
                </c:pt>
                <c:pt idx="10" formatCode="#\ ##0.0">
                  <c:v>-4.8</c:v>
                </c:pt>
                <c:pt idx="11" formatCode="#\ ##0.0">
                  <c:v>-19</c:v>
                </c:pt>
                <c:pt idx="12" formatCode="#\ ##0.0">
                  <c:v>-256.58390719528029</c:v>
                </c:pt>
                <c:pt idx="13" formatCode="#\ ##0.0">
                  <c:v>-325.0604759008105</c:v>
                </c:pt>
                <c:pt idx="14" formatCode="#\ ##0.0">
                  <c:v>-255.36323320623961</c:v>
                </c:pt>
                <c:pt idx="15" formatCode="#\ ##0.0">
                  <c:v>-214.57060691952984</c:v>
                </c:pt>
              </c:numCache>
            </c:numRef>
          </c:val>
          <c:smooth val="0"/>
          <c:extLst>
            <c:ext xmlns:c16="http://schemas.microsoft.com/office/drawing/2014/chart" uri="{C3380CC4-5D6E-409C-BE32-E72D297353CC}">
              <c16:uniqueId val="{00000009-B3CC-469D-A4ED-7A1805BD04B7}"/>
            </c:ext>
          </c:extLst>
        </c:ser>
        <c:dLbls>
          <c:showLegendKey val="0"/>
          <c:showVal val="0"/>
          <c:showCatName val="0"/>
          <c:showSerName val="0"/>
          <c:showPercent val="0"/>
          <c:showBubbleSize val="0"/>
        </c:dLbls>
        <c:marker val="1"/>
        <c:smooth val="0"/>
        <c:axId val="117716096"/>
        <c:axId val="117680384"/>
      </c:lineChart>
      <c:catAx>
        <c:axId val="117664384"/>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117678464"/>
        <c:crosses val="autoZero"/>
        <c:auto val="1"/>
        <c:lblAlgn val="ctr"/>
        <c:lblOffset val="0"/>
        <c:noMultiLvlLbl val="0"/>
      </c:catAx>
      <c:valAx>
        <c:axId val="117678464"/>
        <c:scaling>
          <c:orientation val="minMax"/>
          <c:max val="20"/>
          <c:min val="-35"/>
        </c:scaling>
        <c:delete val="0"/>
        <c:axPos val="l"/>
        <c:majorGridlines>
          <c:spPr>
            <a:ln w="6350">
              <a:solidFill>
                <a:schemeClr val="bg1">
                  <a:lumMod val="75000"/>
                </a:schemeClr>
              </a:solidFill>
            </a:ln>
          </c:spPr>
        </c:majorGridlines>
        <c:title>
          <c:tx>
            <c:rich>
              <a:bodyPr/>
              <a:lstStyle/>
              <a:p>
                <a:pPr>
                  <a:defRPr b="0"/>
                </a:pPr>
                <a:r>
                  <a:rPr lang="cs-CZ" b="0"/>
                  <a:t>Příspěvek k růstu celkových daňových příjmů</a:t>
                </a:r>
              </a:p>
            </c:rich>
          </c:tx>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117664384"/>
        <c:crosses val="autoZero"/>
        <c:crossBetween val="between"/>
        <c:majorUnit val="5"/>
      </c:valAx>
      <c:valAx>
        <c:axId val="117680384"/>
        <c:scaling>
          <c:orientation val="minMax"/>
          <c:max val="200"/>
          <c:min val="-350"/>
        </c:scaling>
        <c:delete val="0"/>
        <c:axPos val="r"/>
        <c:title>
          <c:tx>
            <c:rich>
              <a:bodyPr/>
              <a:lstStyle/>
              <a:p>
                <a:pPr>
                  <a:defRPr b="0"/>
                </a:pPr>
                <a:r>
                  <a:rPr lang="cs-CZ" b="0"/>
                  <a:t>Saldo státního rozpočtu</a:t>
                </a:r>
              </a:p>
            </c:rich>
          </c:tx>
          <c:layout>
            <c:manualLayout>
              <c:xMode val="edge"/>
              <c:yMode val="edge"/>
              <c:x val="0.97036646544776517"/>
              <c:y val="0.20963215506367219"/>
            </c:manualLayout>
          </c:layout>
          <c:overlay val="0"/>
        </c:title>
        <c:numFmt formatCode="#,##0" sourceLinked="0"/>
        <c:majorTickMark val="out"/>
        <c:minorTickMark val="none"/>
        <c:tickLblPos val="nextTo"/>
        <c:txPr>
          <a:bodyPr/>
          <a:lstStyle/>
          <a:p>
            <a:pPr>
              <a:defRPr sz="800" b="0" i="0"/>
            </a:pPr>
            <a:endParaRPr lang="cs-CZ"/>
          </a:p>
        </c:txPr>
        <c:crossAx val="117716096"/>
        <c:crosses val="max"/>
        <c:crossBetween val="between"/>
        <c:majorUnit val="50"/>
      </c:valAx>
      <c:catAx>
        <c:axId val="117716096"/>
        <c:scaling>
          <c:orientation val="minMax"/>
        </c:scaling>
        <c:delete val="1"/>
        <c:axPos val="b"/>
        <c:numFmt formatCode="General" sourceLinked="1"/>
        <c:majorTickMark val="out"/>
        <c:minorTickMark val="none"/>
        <c:tickLblPos val="none"/>
        <c:crossAx val="117680384"/>
        <c:crosses val="autoZero"/>
        <c:auto val="1"/>
        <c:lblAlgn val="ctr"/>
        <c:lblOffset val="100"/>
        <c:noMultiLvlLbl val="0"/>
      </c:catAx>
      <c:spPr>
        <a:ln w="6350">
          <a:solidFill>
            <a:schemeClr val="tx1"/>
          </a:solidFill>
        </a:ln>
      </c:spPr>
    </c:plotArea>
    <c:legend>
      <c:legendPos val="b"/>
      <c:layout>
        <c:manualLayout>
          <c:xMode val="edge"/>
          <c:yMode val="edge"/>
          <c:x val="2.1425283226006599E-2"/>
          <c:y val="0.84262983201463793"/>
          <c:w val="0.95453769995788751"/>
          <c:h val="0.15368252151393277"/>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88575647382449E-2"/>
          <c:y val="2.1433051007174374E-2"/>
          <c:w val="0.8431399757009802"/>
          <c:h val="0.70569386992454641"/>
        </c:manualLayout>
      </c:layout>
      <c:barChart>
        <c:barDir val="col"/>
        <c:grouping val="clustered"/>
        <c:varyColors val="0"/>
        <c:ser>
          <c:idx val="0"/>
          <c:order val="0"/>
          <c:tx>
            <c:strRef>
              <c:f>'G2-St.rozpočet-výdaje'!$B$32</c:f>
              <c:strCache>
                <c:ptCount val="1"/>
                <c:pt idx="0">
                  <c:v>Běžné výdaje celkem (pravá osa)</c:v>
                </c:pt>
              </c:strCache>
            </c:strRef>
          </c:tx>
          <c:spPr>
            <a:solidFill>
              <a:schemeClr val="bg1">
                <a:lumMod val="95000"/>
              </a:schemeClr>
            </a:solidFill>
            <a:ln w="6350">
              <a:solidFill>
                <a:schemeClr val="bg1">
                  <a:lumMod val="75000"/>
                </a:schemeClr>
              </a:solidFill>
            </a:ln>
          </c:spPr>
          <c:invertIfNegative val="0"/>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'G2-St.rozpočet-výdaje'!$B$36:$B$51</c:f>
              <c:numCache>
                <c:formatCode>0.0</c:formatCode>
                <c:ptCount val="16"/>
                <c:pt idx="0">
                  <c:v>707.04</c:v>
                </c:pt>
                <c:pt idx="1">
                  <c:v>734.05</c:v>
                </c:pt>
                <c:pt idx="2">
                  <c:v>754.15</c:v>
                </c:pt>
                <c:pt idx="3">
                  <c:v>764.93</c:v>
                </c:pt>
                <c:pt idx="4">
                  <c:v>755.57</c:v>
                </c:pt>
                <c:pt idx="5">
                  <c:v>786.27000000000044</c:v>
                </c:pt>
                <c:pt idx="6">
                  <c:v>801.1</c:v>
                </c:pt>
                <c:pt idx="7">
                  <c:v>822.78000000000043</c:v>
                </c:pt>
                <c:pt idx="8">
                  <c:v>831.32999999999959</c:v>
                </c:pt>
                <c:pt idx="9">
                  <c:v>881.38</c:v>
                </c:pt>
                <c:pt idx="10">
                  <c:v>946.49</c:v>
                </c:pt>
                <c:pt idx="11">
                  <c:v>1039.0999999999999</c:v>
                </c:pt>
                <c:pt idx="12">
                  <c:v>1205.0999999999999</c:v>
                </c:pt>
                <c:pt idx="13">
                  <c:v>1305.6640510130499</c:v>
                </c:pt>
                <c:pt idx="14">
                  <c:v>1325.9629190346895</c:v>
                </c:pt>
                <c:pt idx="15">
                  <c:v>1483.253440900819</c:v>
                </c:pt>
              </c:numCache>
            </c:numRef>
          </c:val>
          <c:extLst>
            <c:ext xmlns:c16="http://schemas.microsoft.com/office/drawing/2014/chart" uri="{C3380CC4-5D6E-409C-BE32-E72D297353CC}">
              <c16:uniqueId val="{00000000-9C76-42B0-8460-AFCB792BADBF}"/>
            </c:ext>
          </c:extLst>
        </c:ser>
        <c:ser>
          <c:idx val="1"/>
          <c:order val="1"/>
          <c:tx>
            <c:strRef>
              <c:f>'G2-St.rozpočet-výdaje'!$C$32</c:f>
              <c:strCache>
                <c:ptCount val="1"/>
                <c:pt idx="0">
                  <c:v>z toho výdaje na důchody (pr. osa)</c:v>
                </c:pt>
              </c:strCache>
            </c:strRef>
          </c:tx>
          <c:spPr>
            <a:solidFill>
              <a:schemeClr val="bg1">
                <a:lumMod val="75000"/>
              </a:schemeClr>
            </a:solidFill>
            <a:ln w="6350">
              <a:solidFill>
                <a:schemeClr val="bg1">
                  <a:lumMod val="75000"/>
                </a:schemeClr>
              </a:solidFill>
            </a:ln>
          </c:spPr>
          <c:invertIfNegative val="0"/>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'G2-St.rozpočet-výdaje'!$C$36:$C$51</c:f>
              <c:numCache>
                <c:formatCode>0.0</c:formatCode>
                <c:ptCount val="16"/>
                <c:pt idx="0">
                  <c:v>231.07</c:v>
                </c:pt>
                <c:pt idx="1">
                  <c:v>252.57</c:v>
                </c:pt>
                <c:pt idx="2">
                  <c:v>259.05</c:v>
                </c:pt>
                <c:pt idx="3">
                  <c:v>275.47000000000003</c:v>
                </c:pt>
                <c:pt idx="4">
                  <c:v>280.8</c:v>
                </c:pt>
                <c:pt idx="5">
                  <c:v>279.36</c:v>
                </c:pt>
                <c:pt idx="6">
                  <c:v>281.19</c:v>
                </c:pt>
                <c:pt idx="7">
                  <c:v>288.64999999999998</c:v>
                </c:pt>
                <c:pt idx="8">
                  <c:v>297.27</c:v>
                </c:pt>
                <c:pt idx="9">
                  <c:v>309.5</c:v>
                </c:pt>
                <c:pt idx="10">
                  <c:v>323.53122860163978</c:v>
                </c:pt>
                <c:pt idx="11">
                  <c:v>351.63529293473022</c:v>
                </c:pt>
                <c:pt idx="12">
                  <c:v>378.3</c:v>
                </c:pt>
                <c:pt idx="13">
                  <c:v>399.18146849605995</c:v>
                </c:pt>
                <c:pt idx="14">
                  <c:v>435.85393680989</c:v>
                </c:pt>
                <c:pt idx="15">
                  <c:v>512.61056201408996</c:v>
                </c:pt>
              </c:numCache>
            </c:numRef>
          </c:val>
          <c:extLst>
            <c:ext xmlns:c16="http://schemas.microsoft.com/office/drawing/2014/chart" uri="{C3380CC4-5D6E-409C-BE32-E72D297353CC}">
              <c16:uniqueId val="{00000001-9C76-42B0-8460-AFCB792BADBF}"/>
            </c:ext>
          </c:extLst>
        </c:ser>
        <c:dLbls>
          <c:showLegendKey val="0"/>
          <c:showVal val="0"/>
          <c:showCatName val="0"/>
          <c:showSerName val="0"/>
          <c:showPercent val="0"/>
          <c:showBubbleSize val="0"/>
        </c:dLbls>
        <c:gapWidth val="82"/>
        <c:overlap val="100"/>
        <c:axId val="122283904"/>
        <c:axId val="121215232"/>
      </c:barChart>
      <c:lineChart>
        <c:grouping val="standard"/>
        <c:varyColors val="0"/>
        <c:ser>
          <c:idx val="6"/>
          <c:order val="2"/>
          <c:tx>
            <c:strRef>
              <c:f>'G2-St.rozpočet-výdaje'!$D$32</c:f>
              <c:strCache>
                <c:ptCount val="1"/>
                <c:pt idx="0">
                  <c:v>Platy státních zaměstnanců*</c:v>
                </c:pt>
              </c:strCache>
            </c:strRef>
          </c:tx>
          <c:spPr>
            <a:ln w="15875">
              <a:solidFill>
                <a:srgbClr val="D5D000"/>
              </a:solidFill>
            </a:ln>
          </c:spPr>
          <c:marker>
            <c:symbol val="none"/>
          </c:marker>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'G2-St.rozpočet-výdaje'!$D$36:$D$51</c:f>
              <c:numCache>
                <c:formatCode>0.0</c:formatCode>
                <c:ptCount val="16"/>
                <c:pt idx="0">
                  <c:v>61.44</c:v>
                </c:pt>
                <c:pt idx="1">
                  <c:v>63.790000000000013</c:v>
                </c:pt>
                <c:pt idx="2">
                  <c:v>63.5</c:v>
                </c:pt>
                <c:pt idx="3">
                  <c:v>57.88</c:v>
                </c:pt>
                <c:pt idx="4">
                  <c:v>58.77</c:v>
                </c:pt>
                <c:pt idx="5">
                  <c:v>60.04</c:v>
                </c:pt>
                <c:pt idx="6">
                  <c:v>61.89</c:v>
                </c:pt>
                <c:pt idx="7">
                  <c:v>67.66</c:v>
                </c:pt>
                <c:pt idx="8">
                  <c:v>70.25</c:v>
                </c:pt>
                <c:pt idx="9">
                  <c:v>76.149999999999991</c:v>
                </c:pt>
                <c:pt idx="10">
                  <c:v>86.54</c:v>
                </c:pt>
                <c:pt idx="11">
                  <c:v>93.2</c:v>
                </c:pt>
                <c:pt idx="12">
                  <c:v>97.9</c:v>
                </c:pt>
                <c:pt idx="13">
                  <c:v>99.897257290169975</c:v>
                </c:pt>
                <c:pt idx="14">
                  <c:v>99.259486878659871</c:v>
                </c:pt>
                <c:pt idx="15">
                  <c:v>108.29052414505006</c:v>
                </c:pt>
              </c:numCache>
            </c:numRef>
          </c:val>
          <c:smooth val="0"/>
          <c:extLst>
            <c:ext xmlns:c16="http://schemas.microsoft.com/office/drawing/2014/chart" uri="{C3380CC4-5D6E-409C-BE32-E72D297353CC}">
              <c16:uniqueId val="{00000002-9C76-42B0-8460-AFCB792BADBF}"/>
            </c:ext>
          </c:extLst>
        </c:ser>
        <c:ser>
          <c:idx val="7"/>
          <c:order val="3"/>
          <c:tx>
            <c:strRef>
              <c:f>'G2-St.rozpočet-výdaje'!$E$32</c:f>
              <c:strCache>
                <c:ptCount val="1"/>
                <c:pt idx="0">
                  <c:v>Podpora v nezaměstnanosti</c:v>
                </c:pt>
              </c:strCache>
            </c:strRef>
          </c:tx>
          <c:spPr>
            <a:ln w="15875">
              <a:solidFill>
                <a:srgbClr val="996633"/>
              </a:solidFill>
            </a:ln>
          </c:spPr>
          <c:marker>
            <c:symbol val="none"/>
          </c:marker>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'G2-St.rozpočet-výdaje'!$E$36:$E$51</c:f>
              <c:numCache>
                <c:formatCode>0.0</c:formatCode>
                <c:ptCount val="16"/>
                <c:pt idx="0">
                  <c:v>5.29</c:v>
                </c:pt>
                <c:pt idx="1">
                  <c:v>11.41</c:v>
                </c:pt>
                <c:pt idx="2">
                  <c:v>10.65</c:v>
                </c:pt>
                <c:pt idx="3">
                  <c:v>8.3600000000000048</c:v>
                </c:pt>
                <c:pt idx="4">
                  <c:v>6.78</c:v>
                </c:pt>
                <c:pt idx="5">
                  <c:v>7.53</c:v>
                </c:pt>
                <c:pt idx="6">
                  <c:v>7.33</c:v>
                </c:pt>
                <c:pt idx="7">
                  <c:v>6.46</c:v>
                </c:pt>
                <c:pt idx="8">
                  <c:v>6.39</c:v>
                </c:pt>
                <c:pt idx="9">
                  <c:v>6.1099999999999985</c:v>
                </c:pt>
                <c:pt idx="10">
                  <c:v>5.7700000000000014</c:v>
                </c:pt>
                <c:pt idx="11">
                  <c:v>6.1899999999999995</c:v>
                </c:pt>
                <c:pt idx="12">
                  <c:v>7.9929069491999947</c:v>
                </c:pt>
                <c:pt idx="13">
                  <c:v>7.7627423478799962</c:v>
                </c:pt>
                <c:pt idx="14">
                  <c:v>7.4629720642899962</c:v>
                </c:pt>
                <c:pt idx="15">
                  <c:v>7.9185739659299985</c:v>
                </c:pt>
              </c:numCache>
            </c:numRef>
          </c:val>
          <c:smooth val="0"/>
          <c:extLst>
            <c:ext xmlns:c16="http://schemas.microsoft.com/office/drawing/2014/chart" uri="{C3380CC4-5D6E-409C-BE32-E72D297353CC}">
              <c16:uniqueId val="{00000003-9C76-42B0-8460-AFCB792BADBF}"/>
            </c:ext>
          </c:extLst>
        </c:ser>
        <c:ser>
          <c:idx val="2"/>
          <c:order val="4"/>
          <c:tx>
            <c:strRef>
              <c:f>'G2-St.rozpočet-výdaje'!$F$32</c:f>
              <c:strCache>
                <c:ptCount val="1"/>
                <c:pt idx="0">
                  <c:v>Státní sociální podpora**</c:v>
                </c:pt>
              </c:strCache>
            </c:strRef>
          </c:tx>
          <c:spPr>
            <a:ln w="15875">
              <a:solidFill>
                <a:srgbClr val="FFC000"/>
              </a:solidFill>
            </a:ln>
          </c:spPr>
          <c:marker>
            <c:symbol val="none"/>
          </c:marker>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'G2-St.rozpočet-výdaje'!$F$36:$F$51</c:f>
              <c:numCache>
                <c:formatCode>0.0</c:formatCode>
                <c:ptCount val="16"/>
                <c:pt idx="0">
                  <c:v>31.979999999999986</c:v>
                </c:pt>
                <c:pt idx="1">
                  <c:v>30.95</c:v>
                </c:pt>
                <c:pt idx="2">
                  <c:v>30.85</c:v>
                </c:pt>
                <c:pt idx="3">
                  <c:v>27.32</c:v>
                </c:pt>
                <c:pt idx="4">
                  <c:v>26.77</c:v>
                </c:pt>
                <c:pt idx="5">
                  <c:v>28.04</c:v>
                </c:pt>
                <c:pt idx="6">
                  <c:v>28.22</c:v>
                </c:pt>
                <c:pt idx="7">
                  <c:v>28.27</c:v>
                </c:pt>
                <c:pt idx="8">
                  <c:v>28.38</c:v>
                </c:pt>
                <c:pt idx="9">
                  <c:v>28.02</c:v>
                </c:pt>
                <c:pt idx="10">
                  <c:v>29.32</c:v>
                </c:pt>
                <c:pt idx="11">
                  <c:v>28.279999999999987</c:v>
                </c:pt>
                <c:pt idx="12">
                  <c:v>38.692716178420063</c:v>
                </c:pt>
                <c:pt idx="13">
                  <c:v>36.585763589110002</c:v>
                </c:pt>
                <c:pt idx="14">
                  <c:v>42.228307252230003</c:v>
                </c:pt>
                <c:pt idx="15">
                  <c:v>44.922079480490005</c:v>
                </c:pt>
              </c:numCache>
            </c:numRef>
          </c:val>
          <c:smooth val="0"/>
          <c:extLst>
            <c:ext xmlns:c16="http://schemas.microsoft.com/office/drawing/2014/chart" uri="{C3380CC4-5D6E-409C-BE32-E72D297353CC}">
              <c16:uniqueId val="{00000004-9C76-42B0-8460-AFCB792BADBF}"/>
            </c:ext>
          </c:extLst>
        </c:ser>
        <c:ser>
          <c:idx val="3"/>
          <c:order val="5"/>
          <c:tx>
            <c:strRef>
              <c:f>'G2-St.rozpočet-výdaje'!$G$32</c:f>
              <c:strCache>
                <c:ptCount val="1"/>
                <c:pt idx="0">
                  <c:v>Dávky nemocenského pojištění</c:v>
                </c:pt>
              </c:strCache>
            </c:strRef>
          </c:tx>
          <c:spPr>
            <a:ln w="15875">
              <a:solidFill>
                <a:srgbClr val="00B0F0"/>
              </a:solidFill>
            </a:ln>
          </c:spPr>
          <c:marker>
            <c:symbol val="none"/>
          </c:marker>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'G2-St.rozpočet-výdaje'!$G$36:$G$51</c:f>
              <c:numCache>
                <c:formatCode>0.0</c:formatCode>
                <c:ptCount val="16"/>
                <c:pt idx="0">
                  <c:v>24.12</c:v>
                </c:pt>
                <c:pt idx="1">
                  <c:v>20.07</c:v>
                </c:pt>
                <c:pt idx="2">
                  <c:v>16.8</c:v>
                </c:pt>
                <c:pt idx="3">
                  <c:v>16.82</c:v>
                </c:pt>
                <c:pt idx="4">
                  <c:v>14.84</c:v>
                </c:pt>
                <c:pt idx="5">
                  <c:v>15.44</c:v>
                </c:pt>
                <c:pt idx="6">
                  <c:v>16.649999999999999</c:v>
                </c:pt>
                <c:pt idx="7">
                  <c:v>18.23</c:v>
                </c:pt>
                <c:pt idx="8">
                  <c:v>19.88</c:v>
                </c:pt>
                <c:pt idx="9">
                  <c:v>21.43</c:v>
                </c:pt>
                <c:pt idx="10">
                  <c:v>25.479999999999986</c:v>
                </c:pt>
                <c:pt idx="11">
                  <c:v>29.3</c:v>
                </c:pt>
                <c:pt idx="12">
                  <c:v>43.2</c:v>
                </c:pt>
                <c:pt idx="13">
                  <c:v>39.6</c:v>
                </c:pt>
                <c:pt idx="14">
                  <c:v>36.6</c:v>
                </c:pt>
                <c:pt idx="15" formatCode="#,##0.00">
                  <c:v>34.916400000000003</c:v>
                </c:pt>
              </c:numCache>
            </c:numRef>
          </c:val>
          <c:smooth val="0"/>
          <c:extLst>
            <c:ext xmlns:c16="http://schemas.microsoft.com/office/drawing/2014/chart" uri="{C3380CC4-5D6E-409C-BE32-E72D297353CC}">
              <c16:uniqueId val="{00000005-9C76-42B0-8460-AFCB792BADBF}"/>
            </c:ext>
          </c:extLst>
        </c:ser>
        <c:ser>
          <c:idx val="4"/>
          <c:order val="6"/>
          <c:tx>
            <c:strRef>
              <c:f>'G2-St.rozpočet-výdaje'!$H$32</c:f>
              <c:strCache>
                <c:ptCount val="1"/>
                <c:pt idx="0">
                  <c:v>Dávky sociální péče***</c:v>
                </c:pt>
              </c:strCache>
            </c:strRef>
          </c:tx>
          <c:spPr>
            <a:ln w="15875">
              <a:solidFill>
                <a:srgbClr val="00B050"/>
              </a:solidFill>
              <a:prstDash val="solid"/>
            </a:ln>
          </c:spPr>
          <c:marker>
            <c:symbol val="none"/>
          </c:marker>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'G2-St.rozpočet-výdaje'!$H$36:$H$51</c:f>
              <c:numCache>
                <c:formatCode>0.0</c:formatCode>
                <c:ptCount val="16"/>
                <c:pt idx="0">
                  <c:v>18.600000000000001</c:v>
                </c:pt>
                <c:pt idx="1">
                  <c:v>18.899999999999999</c:v>
                </c:pt>
                <c:pt idx="2">
                  <c:v>19.600000000000001</c:v>
                </c:pt>
                <c:pt idx="3">
                  <c:v>19.100000000000001</c:v>
                </c:pt>
                <c:pt idx="4">
                  <c:v>20.309999999999999</c:v>
                </c:pt>
                <c:pt idx="5">
                  <c:v>23.73</c:v>
                </c:pt>
                <c:pt idx="6">
                  <c:v>25.18</c:v>
                </c:pt>
                <c:pt idx="7">
                  <c:v>25.259999999999987</c:v>
                </c:pt>
                <c:pt idx="8">
                  <c:v>25.4</c:v>
                </c:pt>
                <c:pt idx="9">
                  <c:v>25.959999999999987</c:v>
                </c:pt>
                <c:pt idx="10">
                  <c:v>25.547999999999988</c:v>
                </c:pt>
                <c:pt idx="11">
                  <c:v>27.04</c:v>
                </c:pt>
                <c:pt idx="12">
                  <c:v>30.3</c:v>
                </c:pt>
                <c:pt idx="13">
                  <c:v>30.5</c:v>
                </c:pt>
                <c:pt idx="14">
                  <c:v>40</c:v>
                </c:pt>
                <c:pt idx="15" formatCode="#,##0.00">
                  <c:v>40.565244210172153</c:v>
                </c:pt>
              </c:numCache>
            </c:numRef>
          </c:val>
          <c:smooth val="0"/>
          <c:extLst>
            <c:ext xmlns:c16="http://schemas.microsoft.com/office/drawing/2014/chart" uri="{C3380CC4-5D6E-409C-BE32-E72D297353CC}">
              <c16:uniqueId val="{00000006-9C76-42B0-8460-AFCB792BADBF}"/>
            </c:ext>
          </c:extLst>
        </c:ser>
        <c:ser>
          <c:idx val="5"/>
          <c:order val="7"/>
          <c:tx>
            <c:strRef>
              <c:f>'G2-St.rozpočet-výdaje'!$I$32</c:f>
              <c:strCache>
                <c:ptCount val="1"/>
                <c:pt idx="0">
                  <c:v>Neinvestič. nákupy a souvis. výdaje****</c:v>
                </c:pt>
              </c:strCache>
            </c:strRef>
          </c:tx>
          <c:spPr>
            <a:ln w="15875">
              <a:solidFill>
                <a:srgbClr val="EA6C75"/>
              </a:solidFill>
              <a:prstDash val="solid"/>
            </a:ln>
          </c:spPr>
          <c:marker>
            <c:symbol val="none"/>
          </c:marker>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'G2-St.rozpočet-výdaje'!$I$36:$I$51</c:f>
              <c:numCache>
                <c:formatCode>0.0</c:formatCode>
                <c:ptCount val="16"/>
                <c:pt idx="0">
                  <c:v>46.384999999999998</c:v>
                </c:pt>
                <c:pt idx="1">
                  <c:v>46.423000000000002</c:v>
                </c:pt>
                <c:pt idx="2">
                  <c:v>43.067</c:v>
                </c:pt>
                <c:pt idx="3">
                  <c:v>38.64</c:v>
                </c:pt>
                <c:pt idx="4">
                  <c:v>34.99</c:v>
                </c:pt>
                <c:pt idx="5">
                  <c:v>33.93</c:v>
                </c:pt>
                <c:pt idx="6">
                  <c:v>33.94</c:v>
                </c:pt>
                <c:pt idx="7">
                  <c:v>38.31</c:v>
                </c:pt>
                <c:pt idx="8">
                  <c:v>36.660000000000011</c:v>
                </c:pt>
                <c:pt idx="9">
                  <c:v>41.17</c:v>
                </c:pt>
                <c:pt idx="10">
                  <c:v>42.379999999999995</c:v>
                </c:pt>
                <c:pt idx="11">
                  <c:v>43.46</c:v>
                </c:pt>
                <c:pt idx="12">
                  <c:v>50.548159175920013</c:v>
                </c:pt>
                <c:pt idx="13">
                  <c:v>49.815340486699995</c:v>
                </c:pt>
                <c:pt idx="14">
                  <c:v>63.430957576870021</c:v>
                </c:pt>
                <c:pt idx="15">
                  <c:v>51.989205345160009</c:v>
                </c:pt>
              </c:numCache>
            </c:numRef>
          </c:val>
          <c:smooth val="0"/>
          <c:extLst>
            <c:ext xmlns:c16="http://schemas.microsoft.com/office/drawing/2014/chart" uri="{C3380CC4-5D6E-409C-BE32-E72D297353CC}">
              <c16:uniqueId val="{00000007-9C76-42B0-8460-AFCB792BADBF}"/>
            </c:ext>
          </c:extLst>
        </c:ser>
        <c:ser>
          <c:idx val="9"/>
          <c:order val="8"/>
          <c:tx>
            <c:strRef>
              <c:f>'G2-St.rozpočet-výdaje'!$J$32</c:f>
              <c:strCache>
                <c:ptCount val="1"/>
                <c:pt idx="0">
                  <c:v>Státní dluh (čisté výdaje)*****</c:v>
                </c:pt>
              </c:strCache>
            </c:strRef>
          </c:tx>
          <c:spPr>
            <a:ln w="3175">
              <a:solidFill>
                <a:srgbClr val="7030A0"/>
              </a:solidFill>
              <a:prstDash val="dash"/>
            </a:ln>
          </c:spPr>
          <c:marker>
            <c:symbol val="square"/>
            <c:size val="5"/>
            <c:spPr>
              <a:solidFill>
                <a:schemeClr val="bg1"/>
              </a:solidFill>
              <a:ln>
                <a:solidFill>
                  <a:srgbClr val="7030A0"/>
                </a:solidFill>
              </a:ln>
            </c:spPr>
          </c:marker>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'G2-St.rozpočet-výdaje'!$J$36:$J$51</c:f>
              <c:numCache>
                <c:formatCode>0.0</c:formatCode>
                <c:ptCount val="16"/>
                <c:pt idx="0">
                  <c:v>24.459999999999987</c:v>
                </c:pt>
                <c:pt idx="1">
                  <c:v>33.33</c:v>
                </c:pt>
                <c:pt idx="2">
                  <c:v>24.919999999999987</c:v>
                </c:pt>
                <c:pt idx="3">
                  <c:v>35.89</c:v>
                </c:pt>
                <c:pt idx="4">
                  <c:v>35.86</c:v>
                </c:pt>
                <c:pt idx="5">
                  <c:v>44.55</c:v>
                </c:pt>
                <c:pt idx="6">
                  <c:v>43.160000000000011</c:v>
                </c:pt>
                <c:pt idx="7">
                  <c:v>41.03</c:v>
                </c:pt>
                <c:pt idx="8">
                  <c:v>38.1</c:v>
                </c:pt>
                <c:pt idx="9">
                  <c:v>33.849999999999994</c:v>
                </c:pt>
                <c:pt idx="10">
                  <c:v>32.617000000000004</c:v>
                </c:pt>
                <c:pt idx="11">
                  <c:v>33.350999999999999</c:v>
                </c:pt>
                <c:pt idx="12">
                  <c:v>32.136847667729974</c:v>
                </c:pt>
                <c:pt idx="13">
                  <c:v>34.590381461649955</c:v>
                </c:pt>
                <c:pt idx="14">
                  <c:v>32.168013688010035</c:v>
                </c:pt>
                <c:pt idx="15">
                  <c:v>40.345882075609964</c:v>
                </c:pt>
              </c:numCache>
            </c:numRef>
          </c:val>
          <c:smooth val="0"/>
          <c:extLst>
            <c:ext xmlns:c16="http://schemas.microsoft.com/office/drawing/2014/chart" uri="{C3380CC4-5D6E-409C-BE32-E72D297353CC}">
              <c16:uniqueId val="{00000008-9C76-42B0-8460-AFCB792BADBF}"/>
            </c:ext>
          </c:extLst>
        </c:ser>
        <c:ser>
          <c:idx val="8"/>
          <c:order val="9"/>
          <c:tx>
            <c:strRef>
              <c:f>'G2-St.rozpočet-výdaje'!$K$32</c:f>
              <c:strCache>
                <c:ptCount val="1"/>
                <c:pt idx="0">
                  <c:v>Neinvestič. transfery podnikatelům</c:v>
                </c:pt>
              </c:strCache>
            </c:strRef>
          </c:tx>
          <c:spPr>
            <a:ln w="6350">
              <a:solidFill>
                <a:schemeClr val="accent6">
                  <a:lumMod val="75000"/>
                </a:schemeClr>
              </a:solidFill>
              <a:prstDash val="sysDot"/>
            </a:ln>
          </c:spPr>
          <c:marker>
            <c:symbol val="circle"/>
            <c:size val="4"/>
            <c:spPr>
              <a:solidFill>
                <a:schemeClr val="accent6">
                  <a:lumMod val="75000"/>
                </a:schemeClr>
              </a:solidFill>
              <a:ln>
                <a:noFill/>
              </a:ln>
            </c:spPr>
          </c:marker>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'G2-St.rozpočet-výdaje'!$K$36:$K$51</c:f>
              <c:numCache>
                <c:formatCode>0.0</c:formatCode>
                <c:ptCount val="16"/>
                <c:pt idx="0" formatCode="General">
                  <c:v>11.3</c:v>
                </c:pt>
                <c:pt idx="1">
                  <c:v>11.452000000000007</c:v>
                </c:pt>
                <c:pt idx="2">
                  <c:v>11.497</c:v>
                </c:pt>
                <c:pt idx="3">
                  <c:v>15.079000000000002</c:v>
                </c:pt>
                <c:pt idx="4">
                  <c:v>25.56</c:v>
                </c:pt>
                <c:pt idx="5">
                  <c:v>24.34</c:v>
                </c:pt>
                <c:pt idx="6">
                  <c:v>27.89</c:v>
                </c:pt>
                <c:pt idx="7">
                  <c:v>27.62</c:v>
                </c:pt>
                <c:pt idx="8">
                  <c:v>26.25</c:v>
                </c:pt>
                <c:pt idx="9">
                  <c:v>33.24</c:v>
                </c:pt>
                <c:pt idx="10">
                  <c:v>40.24</c:v>
                </c:pt>
                <c:pt idx="11">
                  <c:v>40.870000000000005</c:v>
                </c:pt>
                <c:pt idx="12">
                  <c:v>73.104724736179989</c:v>
                </c:pt>
                <c:pt idx="13">
                  <c:v>106.18042459115</c:v>
                </c:pt>
                <c:pt idx="14">
                  <c:v>64.917558656219995</c:v>
                </c:pt>
                <c:pt idx="15">
                  <c:v>100.53284432674992</c:v>
                </c:pt>
              </c:numCache>
            </c:numRef>
          </c:val>
          <c:smooth val="0"/>
          <c:extLst>
            <c:ext xmlns:c16="http://schemas.microsoft.com/office/drawing/2014/chart" uri="{C3380CC4-5D6E-409C-BE32-E72D297353CC}">
              <c16:uniqueId val="{00000009-9C76-42B0-8460-AFCB792BADBF}"/>
            </c:ext>
          </c:extLst>
        </c:ser>
        <c:ser>
          <c:idx val="10"/>
          <c:order val="10"/>
          <c:tx>
            <c:strRef>
              <c:f>'G2-St.rozpočet-výdaje'!$L$32</c:f>
              <c:strCache>
                <c:ptCount val="1"/>
                <c:pt idx="0">
                  <c:v>Kapitálové výdaje</c:v>
                </c:pt>
              </c:strCache>
            </c:strRef>
          </c:tx>
          <c:spPr>
            <a:ln w="15875">
              <a:solidFill>
                <a:srgbClr val="706840"/>
              </a:solidFill>
              <a:prstDash val="sysDash"/>
            </a:ln>
          </c:spPr>
          <c:marker>
            <c:symbol val="none"/>
          </c:marker>
          <c:cat>
            <c:numRef>
              <c:f>'G2-St.rozpočet-výdaje'!$A$36:$A$51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'G2-St.rozpočet-výdaje'!$L$36:$L$51</c:f>
              <c:numCache>
                <c:formatCode>0.0</c:formatCode>
                <c:ptCount val="16"/>
                <c:pt idx="0">
                  <c:v>76.95</c:v>
                </c:pt>
                <c:pt idx="1">
                  <c:v>80.024000000000001</c:v>
                </c:pt>
                <c:pt idx="2">
                  <c:v>91.36</c:v>
                </c:pt>
                <c:pt idx="3">
                  <c:v>82.07</c:v>
                </c:pt>
                <c:pt idx="4">
                  <c:v>72.98</c:v>
                </c:pt>
                <c:pt idx="5">
                  <c:v>58.39</c:v>
                </c:pt>
                <c:pt idx="6">
                  <c:v>59.67</c:v>
                </c:pt>
                <c:pt idx="7">
                  <c:v>88.53</c:v>
                </c:pt>
                <c:pt idx="8">
                  <c:v>51.6</c:v>
                </c:pt>
                <c:pt idx="9">
                  <c:v>41.37</c:v>
                </c:pt>
                <c:pt idx="10">
                  <c:v>60.93</c:v>
                </c:pt>
                <c:pt idx="11">
                  <c:v>85.1</c:v>
                </c:pt>
                <c:pt idx="12">
                  <c:v>105.9</c:v>
                </c:pt>
                <c:pt idx="13">
                  <c:v>99.658233900700012</c:v>
                </c:pt>
                <c:pt idx="14">
                  <c:v>112.84501467701006</c:v>
                </c:pt>
                <c:pt idx="15">
                  <c:v>134.13392106134984</c:v>
                </c:pt>
              </c:numCache>
            </c:numRef>
          </c:val>
          <c:smooth val="0"/>
          <c:extLst>
            <c:ext xmlns:c16="http://schemas.microsoft.com/office/drawing/2014/chart" uri="{C3380CC4-5D6E-409C-BE32-E72D297353CC}">
              <c16:uniqueId val="{0000000A-9C76-42B0-8460-AFCB792BADBF}"/>
            </c:ext>
          </c:extLst>
        </c:ser>
        <c:dLbls>
          <c:showLegendKey val="0"/>
          <c:showVal val="0"/>
          <c:showCatName val="0"/>
          <c:showSerName val="0"/>
          <c:showPercent val="0"/>
          <c:showBubbleSize val="0"/>
        </c:dLbls>
        <c:marker val="1"/>
        <c:smooth val="0"/>
        <c:axId val="121166464"/>
        <c:axId val="121213312"/>
      </c:lineChart>
      <c:catAx>
        <c:axId val="121166464"/>
        <c:scaling>
          <c:orientation val="minMax"/>
        </c:scaling>
        <c:delete val="0"/>
        <c:axPos val="b"/>
        <c:numFmt formatCode="General" sourceLinked="1"/>
        <c:majorTickMark val="out"/>
        <c:minorTickMark val="none"/>
        <c:tickLblPos val="low"/>
        <c:spPr>
          <a:ln w="6350">
            <a:solidFill>
              <a:schemeClr val="bg1">
                <a:lumMod val="50000"/>
              </a:schemeClr>
            </a:solidFill>
          </a:ln>
        </c:spPr>
        <c:txPr>
          <a:bodyPr rot="-2220000"/>
          <a:lstStyle/>
          <a:p>
            <a:pPr>
              <a:defRPr/>
            </a:pPr>
            <a:endParaRPr lang="cs-CZ"/>
          </a:p>
        </c:txPr>
        <c:crossAx val="121213312"/>
        <c:crosses val="autoZero"/>
        <c:auto val="1"/>
        <c:lblAlgn val="ctr"/>
        <c:lblOffset val="0"/>
        <c:noMultiLvlLbl val="0"/>
      </c:catAx>
      <c:valAx>
        <c:axId val="121213312"/>
        <c:scaling>
          <c:orientation val="minMax"/>
          <c:max val="150"/>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overlay val="0"/>
        </c:title>
        <c:numFmt formatCode="0" sourceLinked="0"/>
        <c:majorTickMark val="out"/>
        <c:minorTickMark val="none"/>
        <c:tickLblPos val="nextTo"/>
        <c:spPr>
          <a:ln w="6350">
            <a:solidFill>
              <a:schemeClr val="tx1"/>
            </a:solidFill>
          </a:ln>
        </c:spPr>
        <c:crossAx val="121166464"/>
        <c:crosses val="autoZero"/>
        <c:crossBetween val="between"/>
        <c:majorUnit val="10"/>
      </c:valAx>
      <c:valAx>
        <c:axId val="121215232"/>
        <c:scaling>
          <c:orientation val="minMax"/>
          <c:max val="1500"/>
          <c:min val="0"/>
        </c:scaling>
        <c:delete val="0"/>
        <c:axPos val="r"/>
        <c:title>
          <c:tx>
            <c:rich>
              <a:bodyPr/>
              <a:lstStyle/>
              <a:p>
                <a:pPr>
                  <a:defRPr sz="700" b="0" i="1"/>
                </a:pPr>
                <a:r>
                  <a:rPr lang="cs-CZ" sz="700" b="0" i="1"/>
                  <a:t>Běžné výdaje celkem, důchody</a:t>
                </a:r>
              </a:p>
            </c:rich>
          </c:tx>
          <c:layout>
            <c:manualLayout>
              <c:xMode val="edge"/>
              <c:yMode val="edge"/>
              <c:x val="0.96904913646362589"/>
              <c:y val="0.25018610067154745"/>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122283904"/>
        <c:crosses val="max"/>
        <c:crossBetween val="between"/>
        <c:majorUnit val="100"/>
        <c:minorUnit val="10"/>
      </c:valAx>
      <c:catAx>
        <c:axId val="122283904"/>
        <c:scaling>
          <c:orientation val="minMax"/>
        </c:scaling>
        <c:delete val="1"/>
        <c:axPos val="b"/>
        <c:numFmt formatCode="General" sourceLinked="1"/>
        <c:majorTickMark val="out"/>
        <c:minorTickMark val="none"/>
        <c:tickLblPos val="none"/>
        <c:crossAx val="121215232"/>
        <c:crosses val="autoZero"/>
        <c:auto val="1"/>
        <c:lblAlgn val="ctr"/>
        <c:lblOffset val="100"/>
        <c:noMultiLvlLbl val="0"/>
      </c:catAx>
      <c:spPr>
        <a:ln w="6350">
          <a:solidFill>
            <a:schemeClr val="tx1"/>
          </a:solidFill>
        </a:ln>
      </c:spPr>
    </c:plotArea>
    <c:legend>
      <c:legendPos val="b"/>
      <c:layout>
        <c:manualLayout>
          <c:xMode val="edge"/>
          <c:yMode val="edge"/>
          <c:x val="2.8258891545233381E-2"/>
          <c:y val="0.80081760605019114"/>
          <c:w val="0.93171212758362454"/>
          <c:h val="0.1954483617154087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411681567156092E-2"/>
          <c:y val="1.6748499743327646E-2"/>
          <c:w val="0.83821331748300665"/>
          <c:h val="0.70835041064478366"/>
        </c:manualLayout>
      </c:layout>
      <c:barChart>
        <c:barDir val="col"/>
        <c:grouping val="clustered"/>
        <c:varyColors val="0"/>
        <c:ser>
          <c:idx val="0"/>
          <c:order val="0"/>
          <c:tx>
            <c:strRef>
              <c:f>'G3-EU-sektor 13'!$A$235</c:f>
              <c:strCache>
                <c:ptCount val="1"/>
                <c:pt idx="0">
                  <c:v>Saldo hospodaření (Česko)</c:v>
                </c:pt>
              </c:strCache>
            </c:strRef>
          </c:tx>
          <c:spPr>
            <a:solidFill>
              <a:schemeClr val="accent6">
                <a:lumMod val="75000"/>
              </a:schemeClr>
            </a:solidFill>
            <a:ln w="19050">
              <a:noFill/>
              <a:prstDash val="solid"/>
            </a:ln>
            <a:effectLst/>
          </c:spPr>
          <c:invertIfNegative val="0"/>
          <c:cat>
            <c:multiLvlStrRef>
              <c:f>'G3-EU-sektor 13'!$B$233:$AI$234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'G3-EU-sektor 13'!$B$235:$AI$235</c:f>
              <c:numCache>
                <c:formatCode>#\ ##0.##########</c:formatCode>
                <c:ptCount val="34"/>
                <c:pt idx="0">
                  <c:v>0.2</c:v>
                </c:pt>
                <c:pt idx="1">
                  <c:v>-0.4</c:v>
                </c:pt>
                <c:pt idx="2">
                  <c:v>-0.5</c:v>
                </c:pt>
                <c:pt idx="3">
                  <c:v>-1.9000000000000001</c:v>
                </c:pt>
                <c:pt idx="4">
                  <c:v>0.7000000000000004</c:v>
                </c:pt>
                <c:pt idx="5">
                  <c:v>0.8</c:v>
                </c:pt>
                <c:pt idx="6" formatCode="#\ ##0.0">
                  <c:v>1</c:v>
                </c:pt>
                <c:pt idx="7">
                  <c:v>0.4</c:v>
                </c:pt>
                <c:pt idx="8">
                  <c:v>0.9</c:v>
                </c:pt>
                <c:pt idx="9">
                  <c:v>1.6</c:v>
                </c:pt>
                <c:pt idx="10">
                  <c:v>1.7</c:v>
                </c:pt>
                <c:pt idx="11">
                  <c:v>1.7</c:v>
                </c:pt>
                <c:pt idx="12">
                  <c:v>1.1000000000000001</c:v>
                </c:pt>
                <c:pt idx="13">
                  <c:v>1.6</c:v>
                </c:pt>
                <c:pt idx="14">
                  <c:v>0.30000000000000021</c:v>
                </c:pt>
                <c:pt idx="15">
                  <c:v>0.60000000000000042</c:v>
                </c:pt>
                <c:pt idx="16">
                  <c:v>0.9</c:v>
                </c:pt>
                <c:pt idx="17">
                  <c:v>1.1000000000000001</c:v>
                </c:pt>
                <c:pt idx="18">
                  <c:v>-0.1</c:v>
                </c:pt>
                <c:pt idx="19">
                  <c:v>-0.7000000000000004</c:v>
                </c:pt>
                <c:pt idx="20">
                  <c:v>-2.6</c:v>
                </c:pt>
                <c:pt idx="21">
                  <c:v>-8.6</c:v>
                </c:pt>
                <c:pt idx="22">
                  <c:v>-4.9000000000000004</c:v>
                </c:pt>
                <c:pt idx="23">
                  <c:v>-7.1</c:v>
                </c:pt>
                <c:pt idx="24">
                  <c:v>-7.4</c:v>
                </c:pt>
                <c:pt idx="25">
                  <c:v>-5.0999999999999996</c:v>
                </c:pt>
                <c:pt idx="26" formatCode="#\ ##0.0">
                  <c:v>-4</c:v>
                </c:pt>
                <c:pt idx="27">
                  <c:v>-3.9</c:v>
                </c:pt>
                <c:pt idx="28">
                  <c:v>-2.5</c:v>
                </c:pt>
                <c:pt idx="29">
                  <c:v>-2.9</c:v>
                </c:pt>
                <c:pt idx="30">
                  <c:v>-3.9</c:v>
                </c:pt>
                <c:pt idx="31">
                  <c:v>-3.5</c:v>
                </c:pt>
                <c:pt idx="32">
                  <c:v>-3.7</c:v>
                </c:pt>
                <c:pt idx="33">
                  <c:v>-3.3</c:v>
                </c:pt>
              </c:numCache>
            </c:numRef>
          </c:val>
          <c:extLst>
            <c:ext xmlns:c16="http://schemas.microsoft.com/office/drawing/2014/chart" uri="{C3380CC4-5D6E-409C-BE32-E72D297353CC}">
              <c16:uniqueId val="{00000000-DB24-41DF-8B38-630DF586F12B}"/>
            </c:ext>
          </c:extLst>
        </c:ser>
        <c:ser>
          <c:idx val="1"/>
          <c:order val="1"/>
          <c:tx>
            <c:strRef>
              <c:f>'G3-EU-sektor 13'!$A$236</c:f>
              <c:strCache>
                <c:ptCount val="1"/>
                <c:pt idx="0">
                  <c:v>Saldo hospodaření (Německo)</c:v>
                </c:pt>
              </c:strCache>
            </c:strRef>
          </c:tx>
          <c:spPr>
            <a:solidFill>
              <a:srgbClr val="92D050"/>
            </a:solidFill>
            <a:ln w="19050">
              <a:noFill/>
            </a:ln>
            <a:effectLst/>
          </c:spPr>
          <c:invertIfNegative val="0"/>
          <c:cat>
            <c:multiLvlStrRef>
              <c:f>'G3-EU-sektor 13'!$B$233:$AI$234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'G3-EU-sektor 13'!$B$236:$AI$236</c:f>
              <c:numCache>
                <c:formatCode>#\ ##0.##########</c:formatCode>
                <c:ptCount val="34"/>
                <c:pt idx="0">
                  <c:v>0.8</c:v>
                </c:pt>
                <c:pt idx="1">
                  <c:v>0.7000000000000004</c:v>
                </c:pt>
                <c:pt idx="2">
                  <c:v>1.7</c:v>
                </c:pt>
                <c:pt idx="3">
                  <c:v>0.60000000000000042</c:v>
                </c:pt>
                <c:pt idx="4" formatCode="#\ ##0.0">
                  <c:v>1</c:v>
                </c:pt>
                <c:pt idx="5" formatCode="#\ ##0.0">
                  <c:v>1</c:v>
                </c:pt>
                <c:pt idx="6">
                  <c:v>0.8</c:v>
                </c:pt>
                <c:pt idx="7">
                  <c:v>1.9000000000000001</c:v>
                </c:pt>
                <c:pt idx="8">
                  <c:v>1.6</c:v>
                </c:pt>
                <c:pt idx="9">
                  <c:v>0.4</c:v>
                </c:pt>
                <c:pt idx="10">
                  <c:v>1.9000000000000001</c:v>
                </c:pt>
                <c:pt idx="11">
                  <c:v>1.5</c:v>
                </c:pt>
                <c:pt idx="12">
                  <c:v>2.5</c:v>
                </c:pt>
                <c:pt idx="13">
                  <c:v>2.6</c:v>
                </c:pt>
                <c:pt idx="14">
                  <c:v>2.1</c:v>
                </c:pt>
                <c:pt idx="15">
                  <c:v>0.60000000000000042</c:v>
                </c:pt>
                <c:pt idx="16">
                  <c:v>2.4</c:v>
                </c:pt>
                <c:pt idx="17" formatCode="#\ ##0.0">
                  <c:v>2</c:v>
                </c:pt>
                <c:pt idx="18">
                  <c:v>1.3</c:v>
                </c:pt>
                <c:pt idx="19">
                  <c:v>0.4</c:v>
                </c:pt>
                <c:pt idx="20">
                  <c:v>0.8</c:v>
                </c:pt>
                <c:pt idx="21">
                  <c:v>-8.5</c:v>
                </c:pt>
                <c:pt idx="22" formatCode="#\ ##0.0">
                  <c:v>-5</c:v>
                </c:pt>
                <c:pt idx="23">
                  <c:v>-5.0999999999999996</c:v>
                </c:pt>
                <c:pt idx="24">
                  <c:v>-4.4000000000000004</c:v>
                </c:pt>
                <c:pt idx="25">
                  <c:v>-5.6</c:v>
                </c:pt>
                <c:pt idx="26">
                  <c:v>-1.4</c:v>
                </c:pt>
                <c:pt idx="27">
                  <c:v>-3.1</c:v>
                </c:pt>
                <c:pt idx="28">
                  <c:v>-0.4</c:v>
                </c:pt>
                <c:pt idx="29">
                  <c:v>-1.4</c:v>
                </c:pt>
                <c:pt idx="30">
                  <c:v>-2.2000000000000002</c:v>
                </c:pt>
                <c:pt idx="31">
                  <c:v>-5.8</c:v>
                </c:pt>
                <c:pt idx="32">
                  <c:v>-2.9</c:v>
                </c:pt>
                <c:pt idx="33">
                  <c:v>-2.6</c:v>
                </c:pt>
              </c:numCache>
            </c:numRef>
          </c:val>
          <c:extLst>
            <c:ext xmlns:c16="http://schemas.microsoft.com/office/drawing/2014/chart" uri="{C3380CC4-5D6E-409C-BE32-E72D297353CC}">
              <c16:uniqueId val="{00000001-DB24-41DF-8B38-630DF586F12B}"/>
            </c:ext>
          </c:extLst>
        </c:ser>
        <c:ser>
          <c:idx val="2"/>
          <c:order val="2"/>
          <c:tx>
            <c:strRef>
              <c:f>'G3-EU-sektor 13'!$A$237</c:f>
              <c:strCache>
                <c:ptCount val="1"/>
                <c:pt idx="0">
                  <c:v>Saldo hospodaření (EU27)</c:v>
                </c:pt>
              </c:strCache>
            </c:strRef>
          </c:tx>
          <c:spPr>
            <a:solidFill>
              <a:schemeClr val="accent1">
                <a:lumMod val="60000"/>
                <a:lumOff val="40000"/>
              </a:schemeClr>
            </a:solidFill>
            <a:ln w="19050">
              <a:noFill/>
              <a:prstDash val="solid"/>
            </a:ln>
            <a:effectLst/>
          </c:spPr>
          <c:invertIfNegative val="0"/>
          <c:cat>
            <c:multiLvlStrRef>
              <c:f>'G3-EU-sektor 13'!$B$233:$AI$234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'G3-EU-sektor 13'!$B$237:$AI$237</c:f>
              <c:numCache>
                <c:formatCode>#\ ##0.0</c:formatCode>
                <c:ptCount val="34"/>
                <c:pt idx="0" formatCode="#\ ##0.##########">
                  <c:v>-2.2000000000000002</c:v>
                </c:pt>
                <c:pt idx="1">
                  <c:v>-2</c:v>
                </c:pt>
                <c:pt idx="2" formatCode="#\ ##0.##########">
                  <c:v>-1.6</c:v>
                </c:pt>
                <c:pt idx="3" formatCode="#\ ##0.##########">
                  <c:v>-1.8</c:v>
                </c:pt>
                <c:pt idx="4" formatCode="#\ ##0.##########">
                  <c:v>-1.6</c:v>
                </c:pt>
                <c:pt idx="5" formatCode="#\ ##0.##########">
                  <c:v>-1.4</c:v>
                </c:pt>
                <c:pt idx="6" formatCode="#\ ##0.##########">
                  <c:v>-1.5</c:v>
                </c:pt>
                <c:pt idx="7" formatCode="#\ ##0.##########">
                  <c:v>-0.9</c:v>
                </c:pt>
                <c:pt idx="8" formatCode="#\ ##0.##########">
                  <c:v>-0.9</c:v>
                </c:pt>
                <c:pt idx="9" formatCode="#\ ##0.##########">
                  <c:v>-1.2</c:v>
                </c:pt>
                <c:pt idx="10" formatCode="#\ ##0.##########">
                  <c:v>-0.60000000000000042</c:v>
                </c:pt>
                <c:pt idx="11" formatCode="#\ ##0.##########">
                  <c:v>-0.4</c:v>
                </c:pt>
                <c:pt idx="12" formatCode="#\ ##0.##########">
                  <c:v>-0.2</c:v>
                </c:pt>
                <c:pt idx="13" formatCode="#\ ##0.##########">
                  <c:v>-0.1</c:v>
                </c:pt>
                <c:pt idx="14" formatCode="#\ ##0.##########">
                  <c:v>-0.4</c:v>
                </c:pt>
                <c:pt idx="15" formatCode="#\ ##0.##########">
                  <c:v>-0.8</c:v>
                </c:pt>
                <c:pt idx="16" formatCode="#\ ##0.##########">
                  <c:v>-0.2</c:v>
                </c:pt>
                <c:pt idx="17" formatCode="#\ ##0.##########">
                  <c:v>-0.30000000000000021</c:v>
                </c:pt>
                <c:pt idx="18" formatCode="#\ ##0.##########">
                  <c:v>-0.8</c:v>
                </c:pt>
                <c:pt idx="19" formatCode="#\ ##0.##########">
                  <c:v>-0.9</c:v>
                </c:pt>
                <c:pt idx="20" formatCode="#\ ##0.##########">
                  <c:v>-2.7</c:v>
                </c:pt>
                <c:pt idx="21" formatCode="#\ ##0.##########">
                  <c:v>-11.7</c:v>
                </c:pt>
                <c:pt idx="22">
                  <c:v>-6</c:v>
                </c:pt>
                <c:pt idx="23" formatCode="#\ ##0.##########">
                  <c:v>-6.9</c:v>
                </c:pt>
                <c:pt idx="24" formatCode="#\ ##0.##########">
                  <c:v>-6.3</c:v>
                </c:pt>
                <c:pt idx="25">
                  <c:v>-6</c:v>
                </c:pt>
                <c:pt idx="26" formatCode="#\ ##0.##########">
                  <c:v>-3.4</c:v>
                </c:pt>
                <c:pt idx="27" formatCode="#\ ##0.##########">
                  <c:v>-3.3</c:v>
                </c:pt>
                <c:pt idx="28" formatCode="#\ ##0.##########">
                  <c:v>-2.4</c:v>
                </c:pt>
                <c:pt idx="29" formatCode="#\ ##0.##########">
                  <c:v>-2.2999999999999998</c:v>
                </c:pt>
                <c:pt idx="30" formatCode="#\ ##0.##########">
                  <c:v>-3.7</c:v>
                </c:pt>
                <c:pt idx="31" formatCode="#\ ##0.##########">
                  <c:v>-4.8</c:v>
                </c:pt>
                <c:pt idx="32" formatCode="#\ ##0.##########">
                  <c:v>-3.1</c:v>
                </c:pt>
                <c:pt idx="33" formatCode="#\ ##0.##########">
                  <c:v>-3.2</c:v>
                </c:pt>
              </c:numCache>
            </c:numRef>
          </c:val>
          <c:extLst>
            <c:ext xmlns:c16="http://schemas.microsoft.com/office/drawing/2014/chart" uri="{C3380CC4-5D6E-409C-BE32-E72D297353CC}">
              <c16:uniqueId val="{00000002-DB24-41DF-8B38-630DF586F12B}"/>
            </c:ext>
          </c:extLst>
        </c:ser>
        <c:dLbls>
          <c:showLegendKey val="0"/>
          <c:showVal val="0"/>
          <c:showCatName val="0"/>
          <c:showSerName val="0"/>
          <c:showPercent val="0"/>
          <c:showBubbleSize val="0"/>
        </c:dLbls>
        <c:gapWidth val="150"/>
        <c:axId val="77947648"/>
        <c:axId val="77949184"/>
      </c:barChart>
      <c:lineChart>
        <c:grouping val="standard"/>
        <c:varyColors val="0"/>
        <c:ser>
          <c:idx val="3"/>
          <c:order val="3"/>
          <c:tx>
            <c:strRef>
              <c:f>'G3-EU-sektor 13'!$A$238</c:f>
              <c:strCache>
                <c:ptCount val="1"/>
                <c:pt idx="0">
                  <c:v>Míra zadlužení (Česko)</c:v>
                </c:pt>
              </c:strCache>
            </c:strRef>
          </c:tx>
          <c:spPr>
            <a:ln w="19050" cap="rnd">
              <a:solidFill>
                <a:schemeClr val="bg2">
                  <a:lumMod val="25000"/>
                </a:schemeClr>
              </a:solidFill>
              <a:prstDash val="solid"/>
              <a:round/>
            </a:ln>
            <a:effectLst/>
          </c:spPr>
          <c:marker>
            <c:symbol val="none"/>
          </c:marker>
          <c:cat>
            <c:multiLvlStrRef>
              <c:f>'G3-EU-sektor 13'!$B$233:$AI$234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'G3-EU-sektor 13'!$B$238:$AI$238</c:f>
              <c:numCache>
                <c:formatCode>#\ ##0.##########</c:formatCode>
                <c:ptCount val="34"/>
                <c:pt idx="0">
                  <c:v>41.6</c:v>
                </c:pt>
                <c:pt idx="1">
                  <c:v>40.700000000000003</c:v>
                </c:pt>
                <c:pt idx="2">
                  <c:v>40.1</c:v>
                </c:pt>
                <c:pt idx="3">
                  <c:v>39.700000000000003</c:v>
                </c:pt>
                <c:pt idx="4">
                  <c:v>39.700000000000003</c:v>
                </c:pt>
                <c:pt idx="5">
                  <c:v>39.200000000000003</c:v>
                </c:pt>
                <c:pt idx="6">
                  <c:v>38.1</c:v>
                </c:pt>
                <c:pt idx="7">
                  <c:v>36.6</c:v>
                </c:pt>
                <c:pt idx="8">
                  <c:v>39.700000000000003</c:v>
                </c:pt>
                <c:pt idx="9">
                  <c:v>39.1</c:v>
                </c:pt>
                <c:pt idx="10">
                  <c:v>34.700000000000003</c:v>
                </c:pt>
                <c:pt idx="11">
                  <c:v>34.200000000000003</c:v>
                </c:pt>
                <c:pt idx="12">
                  <c:v>35.300000000000004</c:v>
                </c:pt>
                <c:pt idx="13">
                  <c:v>34.800000000000004</c:v>
                </c:pt>
                <c:pt idx="14">
                  <c:v>33.4</c:v>
                </c:pt>
                <c:pt idx="15">
                  <c:v>32.1</c:v>
                </c:pt>
                <c:pt idx="16">
                  <c:v>33.4</c:v>
                </c:pt>
                <c:pt idx="17">
                  <c:v>32.5</c:v>
                </c:pt>
                <c:pt idx="18">
                  <c:v>31.3</c:v>
                </c:pt>
                <c:pt idx="19" formatCode="#\ ##0.0">
                  <c:v>30</c:v>
                </c:pt>
                <c:pt idx="20">
                  <c:v>32.4</c:v>
                </c:pt>
                <c:pt idx="21">
                  <c:v>39.6</c:v>
                </c:pt>
                <c:pt idx="22">
                  <c:v>38.1</c:v>
                </c:pt>
                <c:pt idx="23">
                  <c:v>37.700000000000003</c:v>
                </c:pt>
                <c:pt idx="24">
                  <c:v>43.9</c:v>
                </c:pt>
                <c:pt idx="25">
                  <c:v>42.6</c:v>
                </c:pt>
                <c:pt idx="26">
                  <c:v>40.4</c:v>
                </c:pt>
                <c:pt idx="27" formatCode="#\ ##0.0">
                  <c:v>42</c:v>
                </c:pt>
                <c:pt idx="28">
                  <c:v>42.8</c:v>
                </c:pt>
                <c:pt idx="29">
                  <c:v>43.5</c:v>
                </c:pt>
                <c:pt idx="30">
                  <c:v>45.2</c:v>
                </c:pt>
                <c:pt idx="31">
                  <c:v>44.2</c:v>
                </c:pt>
                <c:pt idx="32">
                  <c:v>44.5</c:v>
                </c:pt>
                <c:pt idx="33">
                  <c:v>44.3</c:v>
                </c:pt>
              </c:numCache>
            </c:numRef>
          </c:val>
          <c:smooth val="0"/>
          <c:extLst>
            <c:ext xmlns:c16="http://schemas.microsoft.com/office/drawing/2014/chart" uri="{C3380CC4-5D6E-409C-BE32-E72D297353CC}">
              <c16:uniqueId val="{00000003-DB24-41DF-8B38-630DF586F12B}"/>
            </c:ext>
          </c:extLst>
        </c:ser>
        <c:ser>
          <c:idx val="4"/>
          <c:order val="4"/>
          <c:tx>
            <c:strRef>
              <c:f>'G3-EU-sektor 13'!$A$239</c:f>
              <c:strCache>
                <c:ptCount val="1"/>
                <c:pt idx="0">
                  <c:v>Míra zadlužení (Německo)</c:v>
                </c:pt>
              </c:strCache>
            </c:strRef>
          </c:tx>
          <c:spPr>
            <a:ln w="15875" cap="rnd">
              <a:solidFill>
                <a:srgbClr val="00B050"/>
              </a:solidFill>
              <a:prstDash val="sysDash"/>
              <a:round/>
            </a:ln>
            <a:effectLst/>
          </c:spPr>
          <c:marker>
            <c:symbol val="none"/>
          </c:marker>
          <c:cat>
            <c:multiLvlStrRef>
              <c:f>'G3-EU-sektor 13'!$B$233:$AI$234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'G3-EU-sektor 13'!$B$239:$AI$239</c:f>
              <c:numCache>
                <c:formatCode>#\ ##0.##########</c:formatCode>
                <c:ptCount val="34"/>
                <c:pt idx="0" formatCode="#\ ##0.0">
                  <c:v>75</c:v>
                </c:pt>
                <c:pt idx="1">
                  <c:v>73.2</c:v>
                </c:pt>
                <c:pt idx="2">
                  <c:v>72.599999999999994</c:v>
                </c:pt>
                <c:pt idx="3">
                  <c:v>71.900000000000006</c:v>
                </c:pt>
                <c:pt idx="4">
                  <c:v>71.599999999999994</c:v>
                </c:pt>
                <c:pt idx="5">
                  <c:v>70.900000000000006</c:v>
                </c:pt>
                <c:pt idx="6">
                  <c:v>70.2</c:v>
                </c:pt>
                <c:pt idx="7" formatCode="#\ ##0.0">
                  <c:v>69</c:v>
                </c:pt>
                <c:pt idx="8">
                  <c:v>67.400000000000006</c:v>
                </c:pt>
                <c:pt idx="9">
                  <c:v>66.8</c:v>
                </c:pt>
                <c:pt idx="10">
                  <c:v>65.900000000000006</c:v>
                </c:pt>
                <c:pt idx="11">
                  <c:v>65.2</c:v>
                </c:pt>
                <c:pt idx="12">
                  <c:v>64.099999999999994</c:v>
                </c:pt>
                <c:pt idx="13" formatCode="#\ ##0.0">
                  <c:v>63</c:v>
                </c:pt>
                <c:pt idx="14">
                  <c:v>62.7</c:v>
                </c:pt>
                <c:pt idx="15">
                  <c:v>61.9</c:v>
                </c:pt>
                <c:pt idx="16">
                  <c:v>61.7</c:v>
                </c:pt>
                <c:pt idx="17">
                  <c:v>61.1</c:v>
                </c:pt>
                <c:pt idx="18" formatCode="#\ ##0.0">
                  <c:v>61</c:v>
                </c:pt>
                <c:pt idx="19">
                  <c:v>59.6</c:v>
                </c:pt>
                <c:pt idx="20">
                  <c:v>60.6</c:v>
                </c:pt>
                <c:pt idx="21">
                  <c:v>66.8</c:v>
                </c:pt>
                <c:pt idx="22">
                  <c:v>69.3</c:v>
                </c:pt>
                <c:pt idx="23">
                  <c:v>68.8</c:v>
                </c:pt>
                <c:pt idx="24">
                  <c:v>69.599999999999994</c:v>
                </c:pt>
                <c:pt idx="25">
                  <c:v>69.099999999999994</c:v>
                </c:pt>
                <c:pt idx="26">
                  <c:v>68.900000000000006</c:v>
                </c:pt>
                <c:pt idx="27" formatCode="#\ ##0.0">
                  <c:v>69</c:v>
                </c:pt>
                <c:pt idx="28">
                  <c:v>67.599999999999994</c:v>
                </c:pt>
                <c:pt idx="29">
                  <c:v>67.400000000000006</c:v>
                </c:pt>
                <c:pt idx="30">
                  <c:v>66.8</c:v>
                </c:pt>
                <c:pt idx="31">
                  <c:v>66.099999999999994</c:v>
                </c:pt>
                <c:pt idx="32">
                  <c:v>65.7</c:v>
                </c:pt>
                <c:pt idx="33">
                  <c:v>64.599999999999994</c:v>
                </c:pt>
              </c:numCache>
            </c:numRef>
          </c:val>
          <c:smooth val="0"/>
          <c:extLst>
            <c:ext xmlns:c16="http://schemas.microsoft.com/office/drawing/2014/chart" uri="{C3380CC4-5D6E-409C-BE32-E72D297353CC}">
              <c16:uniqueId val="{00000004-DB24-41DF-8B38-630DF586F12B}"/>
            </c:ext>
          </c:extLst>
        </c:ser>
        <c:ser>
          <c:idx val="5"/>
          <c:order val="5"/>
          <c:tx>
            <c:strRef>
              <c:f>'G3-EU-sektor 13'!$A$240</c:f>
              <c:strCache>
                <c:ptCount val="1"/>
                <c:pt idx="0">
                  <c:v>Míra zadlužení (EU27)</c:v>
                </c:pt>
              </c:strCache>
            </c:strRef>
          </c:tx>
          <c:spPr>
            <a:ln w="15875" cap="rnd">
              <a:solidFill>
                <a:srgbClr val="00B0F0"/>
              </a:solidFill>
              <a:prstDash val="sysDash"/>
              <a:round/>
            </a:ln>
            <a:effectLst/>
          </c:spPr>
          <c:marker>
            <c:symbol val="none"/>
          </c:marker>
          <c:cat>
            <c:multiLvlStrRef>
              <c:f>'G3-EU-sektor 13'!$B$233:$AI$234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'G3-EU-sektor 13'!$B$240:$AI$240</c:f>
              <c:numCache>
                <c:formatCode>#\ ##0.##########</c:formatCode>
                <c:ptCount val="34"/>
                <c:pt idx="0">
                  <c:v>87.7</c:v>
                </c:pt>
                <c:pt idx="1">
                  <c:v>86.9</c:v>
                </c:pt>
                <c:pt idx="2">
                  <c:v>86.2</c:v>
                </c:pt>
                <c:pt idx="3">
                  <c:v>85.1</c:v>
                </c:pt>
                <c:pt idx="4">
                  <c:v>86.1</c:v>
                </c:pt>
                <c:pt idx="5" formatCode="#\ ##0.0">
                  <c:v>86</c:v>
                </c:pt>
                <c:pt idx="6" formatCode="#\ ##0.0">
                  <c:v>85</c:v>
                </c:pt>
                <c:pt idx="7">
                  <c:v>84.3</c:v>
                </c:pt>
                <c:pt idx="8">
                  <c:v>84.6</c:v>
                </c:pt>
                <c:pt idx="9">
                  <c:v>84.3</c:v>
                </c:pt>
                <c:pt idx="10">
                  <c:v>83.2</c:v>
                </c:pt>
                <c:pt idx="11">
                  <c:v>81.900000000000006</c:v>
                </c:pt>
                <c:pt idx="12">
                  <c:v>81.7</c:v>
                </c:pt>
                <c:pt idx="13">
                  <c:v>81.099999999999994</c:v>
                </c:pt>
                <c:pt idx="14" formatCode="#\ ##0.0">
                  <c:v>81</c:v>
                </c:pt>
                <c:pt idx="15">
                  <c:v>79.8</c:v>
                </c:pt>
                <c:pt idx="16">
                  <c:v>80.099999999999994</c:v>
                </c:pt>
                <c:pt idx="17">
                  <c:v>79.900000000000006</c:v>
                </c:pt>
                <c:pt idx="18">
                  <c:v>79.3</c:v>
                </c:pt>
                <c:pt idx="19">
                  <c:v>77.7</c:v>
                </c:pt>
                <c:pt idx="20">
                  <c:v>79.400000000000006</c:v>
                </c:pt>
                <c:pt idx="21">
                  <c:v>87.5</c:v>
                </c:pt>
                <c:pt idx="22">
                  <c:v>89.4</c:v>
                </c:pt>
                <c:pt idx="23" formatCode="#\ ##0.0">
                  <c:v>90</c:v>
                </c:pt>
                <c:pt idx="24" formatCode="#\ ##0.0">
                  <c:v>92</c:v>
                </c:pt>
                <c:pt idx="25">
                  <c:v>90.3</c:v>
                </c:pt>
                <c:pt idx="26">
                  <c:v>89.3</c:v>
                </c:pt>
                <c:pt idx="27">
                  <c:v>87.4</c:v>
                </c:pt>
                <c:pt idx="28" formatCode="#\ ##0.0">
                  <c:v>87</c:v>
                </c:pt>
                <c:pt idx="29">
                  <c:v>85.9</c:v>
                </c:pt>
                <c:pt idx="30">
                  <c:v>84.6</c:v>
                </c:pt>
                <c:pt idx="31">
                  <c:v>83.5</c:v>
                </c:pt>
                <c:pt idx="32">
                  <c:v>83.4</c:v>
                </c:pt>
                <c:pt idx="33">
                  <c:v>83.1</c:v>
                </c:pt>
              </c:numCache>
            </c:numRef>
          </c:val>
          <c:smooth val="0"/>
          <c:extLst>
            <c:ext xmlns:c16="http://schemas.microsoft.com/office/drawing/2014/chart" uri="{C3380CC4-5D6E-409C-BE32-E72D297353CC}">
              <c16:uniqueId val="{00000005-DB24-41DF-8B38-630DF586F12B}"/>
            </c:ext>
          </c:extLst>
        </c:ser>
        <c:ser>
          <c:idx val="6"/>
          <c:order val="6"/>
          <c:tx>
            <c:strRef>
              <c:f>'G3-EU-sektor 13'!$A$241</c:f>
              <c:strCache>
                <c:ptCount val="1"/>
                <c:pt idx="0">
                  <c:v>Míra zadlužení (Polsko)</c:v>
                </c:pt>
              </c:strCache>
            </c:strRef>
          </c:tx>
          <c:spPr>
            <a:ln w="15875" cap="rnd">
              <a:solidFill>
                <a:schemeClr val="accent6">
                  <a:lumMod val="75000"/>
                </a:schemeClr>
              </a:solidFill>
              <a:prstDash val="sysDash"/>
              <a:round/>
            </a:ln>
            <a:effectLst/>
          </c:spPr>
          <c:marker>
            <c:symbol val="none"/>
          </c:marker>
          <c:cat>
            <c:multiLvlStrRef>
              <c:f>'G3-EU-sektor 13'!$B$233:$AI$234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'G3-EU-sektor 13'!$B$241:$AI$241</c:f>
              <c:numCache>
                <c:formatCode>#\ ##0.##########</c:formatCode>
                <c:ptCount val="34"/>
                <c:pt idx="0" formatCode="#\ ##0.0">
                  <c:v>52</c:v>
                </c:pt>
                <c:pt idx="1">
                  <c:v>51.7</c:v>
                </c:pt>
                <c:pt idx="2" formatCode="#\ ##0.0">
                  <c:v>52</c:v>
                </c:pt>
                <c:pt idx="3">
                  <c:v>51.3</c:v>
                </c:pt>
                <c:pt idx="4" formatCode="#\ ##0.0">
                  <c:v>52</c:v>
                </c:pt>
                <c:pt idx="5">
                  <c:v>53.7</c:v>
                </c:pt>
                <c:pt idx="6">
                  <c:v>53.4</c:v>
                </c:pt>
                <c:pt idx="7">
                  <c:v>54.5</c:v>
                </c:pt>
                <c:pt idx="8" formatCode="#\ ##0.0">
                  <c:v>54</c:v>
                </c:pt>
                <c:pt idx="9">
                  <c:v>53.3</c:v>
                </c:pt>
                <c:pt idx="10">
                  <c:v>52.1</c:v>
                </c:pt>
                <c:pt idx="11">
                  <c:v>50.8</c:v>
                </c:pt>
                <c:pt idx="12">
                  <c:v>51.3</c:v>
                </c:pt>
                <c:pt idx="13">
                  <c:v>50.5</c:v>
                </c:pt>
                <c:pt idx="14">
                  <c:v>49.4</c:v>
                </c:pt>
                <c:pt idx="15">
                  <c:v>48.7</c:v>
                </c:pt>
                <c:pt idx="16">
                  <c:v>48.8</c:v>
                </c:pt>
                <c:pt idx="17">
                  <c:v>47.7</c:v>
                </c:pt>
                <c:pt idx="18" formatCode="#\ ##0.0">
                  <c:v>47</c:v>
                </c:pt>
                <c:pt idx="19">
                  <c:v>45.7</c:v>
                </c:pt>
                <c:pt idx="20">
                  <c:v>47.6</c:v>
                </c:pt>
                <c:pt idx="21">
                  <c:v>54.7</c:v>
                </c:pt>
                <c:pt idx="22">
                  <c:v>56.4</c:v>
                </c:pt>
                <c:pt idx="23">
                  <c:v>57.2</c:v>
                </c:pt>
                <c:pt idx="24">
                  <c:v>58.6</c:v>
                </c:pt>
                <c:pt idx="25">
                  <c:v>56.9</c:v>
                </c:pt>
                <c:pt idx="26">
                  <c:v>55.8</c:v>
                </c:pt>
                <c:pt idx="27">
                  <c:v>53.6</c:v>
                </c:pt>
                <c:pt idx="28">
                  <c:v>51.9</c:v>
                </c:pt>
                <c:pt idx="29">
                  <c:v>51.3</c:v>
                </c:pt>
                <c:pt idx="30">
                  <c:v>50.1</c:v>
                </c:pt>
                <c:pt idx="31">
                  <c:v>49.1</c:v>
                </c:pt>
                <c:pt idx="32">
                  <c:v>48.1</c:v>
                </c:pt>
                <c:pt idx="33">
                  <c:v>48.4</c:v>
                </c:pt>
              </c:numCache>
            </c:numRef>
          </c:val>
          <c:smooth val="0"/>
          <c:extLst>
            <c:ext xmlns:c16="http://schemas.microsoft.com/office/drawing/2014/chart" uri="{C3380CC4-5D6E-409C-BE32-E72D297353CC}">
              <c16:uniqueId val="{00000006-DB24-41DF-8B38-630DF586F12B}"/>
            </c:ext>
          </c:extLst>
        </c:ser>
        <c:ser>
          <c:idx val="7"/>
          <c:order val="7"/>
          <c:tx>
            <c:strRef>
              <c:f>'G3-EU-sektor 13'!$A$242</c:f>
              <c:strCache>
                <c:ptCount val="1"/>
                <c:pt idx="0">
                  <c:v>Míra zadlužení (Slovensko)</c:v>
                </c:pt>
              </c:strCache>
            </c:strRef>
          </c:tx>
          <c:spPr>
            <a:ln w="15875" cap="rnd">
              <a:solidFill>
                <a:srgbClr val="C00000"/>
              </a:solidFill>
              <a:prstDash val="sysDash"/>
              <a:round/>
            </a:ln>
            <a:effectLst/>
          </c:spPr>
          <c:marker>
            <c:symbol val="none"/>
          </c:marker>
          <c:cat>
            <c:multiLvlStrRef>
              <c:f>'G3-EU-sektor 13'!$B$233:$AI$234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'G3-EU-sektor 13'!$B$242:$AI$242</c:f>
              <c:numCache>
                <c:formatCode>#\ ##0.##########</c:formatCode>
                <c:ptCount val="34"/>
                <c:pt idx="0">
                  <c:v>53.8</c:v>
                </c:pt>
                <c:pt idx="1">
                  <c:v>53.9</c:v>
                </c:pt>
                <c:pt idx="2">
                  <c:v>52.9</c:v>
                </c:pt>
                <c:pt idx="3">
                  <c:v>51.7</c:v>
                </c:pt>
                <c:pt idx="4">
                  <c:v>51.4</c:v>
                </c:pt>
                <c:pt idx="5">
                  <c:v>52.7</c:v>
                </c:pt>
                <c:pt idx="6">
                  <c:v>52.8</c:v>
                </c:pt>
                <c:pt idx="7">
                  <c:v>52.3</c:v>
                </c:pt>
                <c:pt idx="8">
                  <c:v>53.9</c:v>
                </c:pt>
                <c:pt idx="9">
                  <c:v>52.2</c:v>
                </c:pt>
                <c:pt idx="10">
                  <c:v>51.8</c:v>
                </c:pt>
                <c:pt idx="11">
                  <c:v>51.5</c:v>
                </c:pt>
                <c:pt idx="12">
                  <c:v>51.4</c:v>
                </c:pt>
                <c:pt idx="13">
                  <c:v>52.4</c:v>
                </c:pt>
                <c:pt idx="14" formatCode="#\ ##0.0">
                  <c:v>52</c:v>
                </c:pt>
                <c:pt idx="15">
                  <c:v>49.4</c:v>
                </c:pt>
                <c:pt idx="16">
                  <c:v>49.3</c:v>
                </c:pt>
                <c:pt idx="17">
                  <c:v>48.7</c:v>
                </c:pt>
                <c:pt idx="18">
                  <c:v>48.4</c:v>
                </c:pt>
                <c:pt idx="19" formatCode="#\ ##0.0">
                  <c:v>48</c:v>
                </c:pt>
                <c:pt idx="20" formatCode="#\ ##0.0">
                  <c:v>49</c:v>
                </c:pt>
                <c:pt idx="21">
                  <c:v>59.1</c:v>
                </c:pt>
                <c:pt idx="22">
                  <c:v>59.2</c:v>
                </c:pt>
                <c:pt idx="23">
                  <c:v>58.9</c:v>
                </c:pt>
                <c:pt idx="24">
                  <c:v>58.7</c:v>
                </c:pt>
                <c:pt idx="25">
                  <c:v>59.7</c:v>
                </c:pt>
                <c:pt idx="26">
                  <c:v>59.6</c:v>
                </c:pt>
                <c:pt idx="27">
                  <c:v>61.1</c:v>
                </c:pt>
                <c:pt idx="28">
                  <c:v>60.4</c:v>
                </c:pt>
                <c:pt idx="29">
                  <c:v>59.2</c:v>
                </c:pt>
                <c:pt idx="30">
                  <c:v>57.5</c:v>
                </c:pt>
                <c:pt idx="31">
                  <c:v>57.8</c:v>
                </c:pt>
                <c:pt idx="32" formatCode="#\ ##0.0">
                  <c:v>58</c:v>
                </c:pt>
                <c:pt idx="33">
                  <c:v>59.6</c:v>
                </c:pt>
              </c:numCache>
            </c:numRef>
          </c:val>
          <c:smooth val="0"/>
          <c:extLst>
            <c:ext xmlns:c16="http://schemas.microsoft.com/office/drawing/2014/chart" uri="{C3380CC4-5D6E-409C-BE32-E72D297353CC}">
              <c16:uniqueId val="{00000007-DB24-41DF-8B38-630DF586F12B}"/>
            </c:ext>
          </c:extLst>
        </c:ser>
        <c:ser>
          <c:idx val="8"/>
          <c:order val="8"/>
          <c:tx>
            <c:strRef>
              <c:f>'G3-EU-sektor 13'!$A$243</c:f>
              <c:strCache>
                <c:ptCount val="1"/>
                <c:pt idx="0">
                  <c:v>Míra zadlužení (Maďarsko)</c:v>
                </c:pt>
              </c:strCache>
            </c:strRef>
          </c:tx>
          <c:spPr>
            <a:ln w="15875" cap="rnd">
              <a:solidFill>
                <a:srgbClr val="7030A0"/>
              </a:solidFill>
              <a:prstDash val="sysDash"/>
              <a:round/>
            </a:ln>
            <a:effectLst/>
          </c:spPr>
          <c:marker>
            <c:symbol val="none"/>
          </c:marker>
          <c:cat>
            <c:multiLvlStrRef>
              <c:f>'G3-EU-sektor 13'!$B$233:$AI$234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'G3-EU-sektor 13'!$B$243:$AI$243</c:f>
              <c:numCache>
                <c:formatCode>#\ ##0.##########</c:formatCode>
                <c:ptCount val="34"/>
                <c:pt idx="0">
                  <c:v>77.5</c:v>
                </c:pt>
                <c:pt idx="1">
                  <c:v>79.2</c:v>
                </c:pt>
                <c:pt idx="2">
                  <c:v>78.5</c:v>
                </c:pt>
                <c:pt idx="3">
                  <c:v>75.8</c:v>
                </c:pt>
                <c:pt idx="4">
                  <c:v>77.3</c:v>
                </c:pt>
                <c:pt idx="5">
                  <c:v>75.8</c:v>
                </c:pt>
                <c:pt idx="6" formatCode="#\ ##0.0">
                  <c:v>75</c:v>
                </c:pt>
                <c:pt idx="7">
                  <c:v>74.900000000000006</c:v>
                </c:pt>
                <c:pt idx="8">
                  <c:v>75.099999999999994</c:v>
                </c:pt>
                <c:pt idx="9">
                  <c:v>74.400000000000006</c:v>
                </c:pt>
                <c:pt idx="10">
                  <c:v>73.099999999999994</c:v>
                </c:pt>
                <c:pt idx="11">
                  <c:v>72.099999999999994</c:v>
                </c:pt>
                <c:pt idx="12">
                  <c:v>72.3</c:v>
                </c:pt>
                <c:pt idx="13">
                  <c:v>72.5</c:v>
                </c:pt>
                <c:pt idx="14">
                  <c:v>70.900000000000006</c:v>
                </c:pt>
                <c:pt idx="15">
                  <c:v>69.099999999999994</c:v>
                </c:pt>
                <c:pt idx="16">
                  <c:v>68.400000000000006</c:v>
                </c:pt>
                <c:pt idx="17">
                  <c:v>67.099999999999994</c:v>
                </c:pt>
                <c:pt idx="18" formatCode="#\ ##0.0">
                  <c:v>67</c:v>
                </c:pt>
                <c:pt idx="19">
                  <c:v>65.3</c:v>
                </c:pt>
                <c:pt idx="20">
                  <c:v>65.5</c:v>
                </c:pt>
                <c:pt idx="21">
                  <c:v>69.900000000000006</c:v>
                </c:pt>
                <c:pt idx="22">
                  <c:v>73.3</c:v>
                </c:pt>
                <c:pt idx="23">
                  <c:v>79.3</c:v>
                </c:pt>
                <c:pt idx="24">
                  <c:v>80.2</c:v>
                </c:pt>
                <c:pt idx="25">
                  <c:v>76.8</c:v>
                </c:pt>
                <c:pt idx="26">
                  <c:v>79.5</c:v>
                </c:pt>
                <c:pt idx="27">
                  <c:v>76.7</c:v>
                </c:pt>
                <c:pt idx="28" formatCode="#\ ##0.0">
                  <c:v>77</c:v>
                </c:pt>
                <c:pt idx="29">
                  <c:v>76.7</c:v>
                </c:pt>
                <c:pt idx="30">
                  <c:v>75.5</c:v>
                </c:pt>
                <c:pt idx="31">
                  <c:v>73.900000000000006</c:v>
                </c:pt>
                <c:pt idx="32">
                  <c:v>75.400000000000006</c:v>
                </c:pt>
                <c:pt idx="33">
                  <c:v>75.2</c:v>
                </c:pt>
              </c:numCache>
            </c:numRef>
          </c:val>
          <c:smooth val="0"/>
          <c:extLst>
            <c:ext xmlns:c16="http://schemas.microsoft.com/office/drawing/2014/chart" uri="{C3380CC4-5D6E-409C-BE32-E72D297353CC}">
              <c16:uniqueId val="{00000008-DB24-41DF-8B38-630DF586F12B}"/>
            </c:ext>
          </c:extLst>
        </c:ser>
        <c:dLbls>
          <c:showLegendKey val="0"/>
          <c:showVal val="0"/>
          <c:showCatName val="0"/>
          <c:showSerName val="0"/>
          <c:showPercent val="0"/>
          <c:showBubbleSize val="0"/>
        </c:dLbls>
        <c:marker val="1"/>
        <c:smooth val="0"/>
        <c:axId val="77957376"/>
        <c:axId val="77955456"/>
      </c:lineChart>
      <c:catAx>
        <c:axId val="77947648"/>
        <c:scaling>
          <c:orientation val="minMax"/>
        </c:scaling>
        <c:delete val="0"/>
        <c:axPos val="b"/>
        <c:numFmt formatCode="General" sourceLinked="1"/>
        <c:majorTickMark val="none"/>
        <c:minorTickMark val="none"/>
        <c:tickLblPos val="low"/>
        <c:spPr>
          <a:noFill/>
          <a:ln w="6350" cap="flat" cmpd="sng" algn="ctr">
            <a:solidFill>
              <a:schemeClr val="bg1">
                <a:lumMod val="50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77949184"/>
        <c:crosses val="autoZero"/>
        <c:auto val="1"/>
        <c:lblAlgn val="ctr"/>
        <c:lblOffset val="0"/>
        <c:noMultiLvlLbl val="0"/>
      </c:catAx>
      <c:valAx>
        <c:axId val="77949184"/>
        <c:scaling>
          <c:orientation val="minMax"/>
          <c:max val="16"/>
          <c:min val="-12"/>
        </c:scaling>
        <c:delete val="0"/>
        <c:axPos val="l"/>
        <c:majorGridlines>
          <c:spPr>
            <a:ln w="6350" cap="flat" cmpd="sng" algn="ctr">
              <a:solidFill>
                <a:schemeClr val="bg1">
                  <a:lumMod val="75000"/>
                </a:schemeClr>
              </a:solidFill>
              <a:round/>
            </a:ln>
            <a:effectLst/>
          </c:spPr>
        </c:majorGridlines>
        <c:title>
          <c:tx>
            <c:rich>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700" i="1">
                    <a:latin typeface="Arial" panose="020B0604020202020204" pitchFamily="34" charset="0"/>
                    <a:cs typeface="Arial" panose="020B0604020202020204" pitchFamily="34" charset="0"/>
                  </a:rPr>
                  <a:t>Saldo</a:t>
                </a:r>
                <a:r>
                  <a:rPr lang="cs-CZ" sz="700" i="1" baseline="0">
                    <a:latin typeface="Arial" panose="020B0604020202020204" pitchFamily="34" charset="0"/>
                    <a:cs typeface="Arial" panose="020B0604020202020204" pitchFamily="34" charset="0"/>
                  </a:rPr>
                  <a:t> hospodaření</a:t>
                </a:r>
                <a:endParaRPr lang="cs-CZ" sz="700" i="1">
                  <a:latin typeface="Arial" panose="020B0604020202020204" pitchFamily="34" charset="0"/>
                  <a:cs typeface="Arial" panose="020B0604020202020204" pitchFamily="34" charset="0"/>
                </a:endParaRPr>
              </a:p>
            </c:rich>
          </c:tx>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77947648"/>
        <c:crosses val="autoZero"/>
        <c:crossBetween val="between"/>
        <c:majorUnit val="2"/>
      </c:valAx>
      <c:valAx>
        <c:axId val="77955456"/>
        <c:scaling>
          <c:orientation val="minMax"/>
          <c:max val="98"/>
          <c:min val="0"/>
        </c:scaling>
        <c:delete val="0"/>
        <c:axPos val="r"/>
        <c:title>
          <c:tx>
            <c:rich>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700" i="1">
                    <a:latin typeface="Arial" panose="020B0604020202020204" pitchFamily="34" charset="0"/>
                    <a:cs typeface="Arial" panose="020B0604020202020204" pitchFamily="34" charset="0"/>
                  </a:rPr>
                  <a:t>Míra</a:t>
                </a:r>
                <a:r>
                  <a:rPr lang="cs-CZ" sz="700" i="1" baseline="0">
                    <a:latin typeface="Arial" panose="020B0604020202020204" pitchFamily="34" charset="0"/>
                    <a:cs typeface="Arial" panose="020B0604020202020204" pitchFamily="34" charset="0"/>
                  </a:rPr>
                  <a:t> zadlužení</a:t>
                </a:r>
                <a:endParaRPr lang="cs-CZ" sz="700" i="1">
                  <a:latin typeface="Arial" panose="020B0604020202020204" pitchFamily="34" charset="0"/>
                  <a:cs typeface="Arial" panose="020B0604020202020204" pitchFamily="34" charset="0"/>
                </a:endParaRPr>
              </a:p>
            </c:rich>
          </c:tx>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77957376"/>
        <c:crosses val="max"/>
        <c:crossBetween val="between"/>
        <c:majorUnit val="7"/>
      </c:valAx>
      <c:catAx>
        <c:axId val="77957376"/>
        <c:scaling>
          <c:orientation val="minMax"/>
        </c:scaling>
        <c:delete val="1"/>
        <c:axPos val="b"/>
        <c:numFmt formatCode="General" sourceLinked="1"/>
        <c:majorTickMark val="out"/>
        <c:minorTickMark val="none"/>
        <c:tickLblPos val="none"/>
        <c:crossAx val="77955456"/>
        <c:crosses val="autoZero"/>
        <c:auto val="1"/>
        <c:lblAlgn val="ctr"/>
        <c:lblOffset val="100"/>
        <c:noMultiLvlLbl val="0"/>
      </c:catAx>
      <c:spPr>
        <a:noFill/>
        <a:ln w="6350">
          <a:solidFill>
            <a:schemeClr val="tx1"/>
          </a:solidFill>
        </a:ln>
        <a:effectLst/>
      </c:spPr>
    </c:plotArea>
    <c:legend>
      <c:legendPos val="b"/>
      <c:layout>
        <c:manualLayout>
          <c:xMode val="edge"/>
          <c:yMode val="edge"/>
          <c:x val="6.8597693541019952E-2"/>
          <c:y val="0.8252723551020571"/>
          <c:w val="0.84451496226400768"/>
          <c:h val="0.17101503561236595"/>
        </c:manualLayout>
      </c:layout>
      <c:overlay val="0"/>
      <c:spPr>
        <a:noFill/>
        <a:ln w="6350">
          <a:solidFill>
            <a:schemeClr val="tx1"/>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93E-2"/>
          <c:y val="2.8458510079622041E-2"/>
          <c:w val="0.93688386524822698"/>
          <c:h val="0.67476668918158345"/>
        </c:manualLayout>
      </c:layout>
      <c:barChart>
        <c:barDir val="col"/>
        <c:grouping val="stacked"/>
        <c:varyColors val="0"/>
        <c:ser>
          <c:idx val="1"/>
          <c:order val="1"/>
          <c:tx>
            <c:strRef>
              <c:f>'souhrnná výkonnost 3'!$F$5</c:f>
              <c:strCache>
                <c:ptCount val="1"/>
                <c:pt idx="0">
                  <c:v>Bilance zahraničního obchodu</c:v>
                </c:pt>
              </c:strCache>
            </c:strRef>
          </c:tx>
          <c:spPr>
            <a:solidFill>
              <a:srgbClr val="7DBB2D"/>
            </a:solidFill>
            <a:ln>
              <a:noFill/>
            </a:ln>
          </c:spPr>
          <c:invertIfNegative val="0"/>
          <c:cat>
            <c:multiLvlStrRef>
              <c:f>'souhrnná výkonnost 3'!$A$30:$B$52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3'!$F$30:$F$52</c:f>
              <c:numCache>
                <c:formatCode>#\ ##0.0</c:formatCode>
                <c:ptCount val="23"/>
                <c:pt idx="0">
                  <c:v>-0.45416719953824236</c:v>
                </c:pt>
                <c:pt idx="1">
                  <c:v>-0.74378891592524266</c:v>
                </c:pt>
                <c:pt idx="2">
                  <c:v>-1.1266373010786321</c:v>
                </c:pt>
                <c:pt idx="3">
                  <c:v>0.26399371013949136</c:v>
                </c:pt>
                <c:pt idx="4">
                  <c:v>-0.10063574701283935</c:v>
                </c:pt>
                <c:pt idx="5">
                  <c:v>1.3529610725744305</c:v>
                </c:pt>
                <c:pt idx="6">
                  <c:v>1.4268251487477539</c:v>
                </c:pt>
                <c:pt idx="7">
                  <c:v>-1.1473798908006598</c:v>
                </c:pt>
                <c:pt idx="8">
                  <c:v>-2.0624772509655744</c:v>
                </c:pt>
                <c:pt idx="9">
                  <c:v>-9.064274960248131</c:v>
                </c:pt>
                <c:pt idx="10">
                  <c:v>-1.0204260219992571</c:v>
                </c:pt>
                <c:pt idx="11">
                  <c:v>2.0095740720498352</c:v>
                </c:pt>
                <c:pt idx="12">
                  <c:v>-0.28507028363562364</c:v>
                </c:pt>
                <c:pt idx="13">
                  <c:v>4.4273326570028857</c:v>
                </c:pt>
                <c:pt idx="14">
                  <c:v>-5.8942461279131582</c:v>
                </c:pt>
                <c:pt idx="15">
                  <c:v>-6.4422946124320806</c:v>
                </c:pt>
                <c:pt idx="16">
                  <c:v>-1.839110198464498</c:v>
                </c:pt>
                <c:pt idx="17">
                  <c:v>0.40419610251387095</c:v>
                </c:pt>
                <c:pt idx="18">
                  <c:v>4.1503989386715165</c:v>
                </c:pt>
                <c:pt idx="19">
                  <c:v>2.8839143571693686</c:v>
                </c:pt>
                <c:pt idx="20">
                  <c:v>2.6828416916448656</c:v>
                </c:pt>
                <c:pt idx="21">
                  <c:v>2.1305493058318561</c:v>
                </c:pt>
                <c:pt idx="22">
                  <c:v>0.26928370236368848</c:v>
                </c:pt>
              </c:numCache>
            </c:numRef>
          </c:val>
          <c:extLst>
            <c:ext xmlns:c16="http://schemas.microsoft.com/office/drawing/2014/chart" uri="{C3380CC4-5D6E-409C-BE32-E72D297353CC}">
              <c16:uniqueId val="{00000000-817A-4912-A3C2-754102600CCF}"/>
            </c:ext>
          </c:extLst>
        </c:ser>
        <c:ser>
          <c:idx val="2"/>
          <c:order val="2"/>
          <c:tx>
            <c:strRef>
              <c:f>'souhrnná výkonnost 3'!$H$5</c:f>
              <c:strCache>
                <c:ptCount val="1"/>
                <c:pt idx="0">
                  <c:v>Změna zásob</c:v>
                </c:pt>
              </c:strCache>
            </c:strRef>
          </c:tx>
          <c:spPr>
            <a:solidFill>
              <a:srgbClr val="E8AFB2"/>
            </a:solidFill>
            <a:ln>
              <a:noFill/>
            </a:ln>
          </c:spPr>
          <c:invertIfNegative val="0"/>
          <c:cat>
            <c:multiLvlStrRef>
              <c:f>'souhrnná výkonnost 3'!$A$30:$B$52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3'!$H$30:$H$52</c:f>
              <c:numCache>
                <c:formatCode>#\ ##0.0</c:formatCode>
                <c:ptCount val="23"/>
                <c:pt idx="0">
                  <c:v>1.0524813582033086</c:v>
                </c:pt>
                <c:pt idx="1">
                  <c:v>-0.47777606515227167</c:v>
                </c:pt>
                <c:pt idx="2">
                  <c:v>-0.35555734821242635</c:v>
                </c:pt>
                <c:pt idx="3">
                  <c:v>-1.4481535119733133</c:v>
                </c:pt>
                <c:pt idx="4">
                  <c:v>2.9922981882277922E-2</c:v>
                </c:pt>
                <c:pt idx="5">
                  <c:v>-1.2537553229299498</c:v>
                </c:pt>
                <c:pt idx="6">
                  <c:v>-0.57463433558824872</c:v>
                </c:pt>
                <c:pt idx="7">
                  <c:v>1.8085807340728106</c:v>
                </c:pt>
                <c:pt idx="8">
                  <c:v>0.91584880445412986</c:v>
                </c:pt>
                <c:pt idx="9">
                  <c:v>0.66860369572466505</c:v>
                </c:pt>
                <c:pt idx="10">
                  <c:v>-1.5736478906912501</c:v>
                </c:pt>
                <c:pt idx="11">
                  <c:v>-2.0771500306216089</c:v>
                </c:pt>
                <c:pt idx="12">
                  <c:v>2.4159623458993353</c:v>
                </c:pt>
                <c:pt idx="13">
                  <c:v>4.4035123965182708</c:v>
                </c:pt>
                <c:pt idx="14">
                  <c:v>6.5480200971506584</c:v>
                </c:pt>
                <c:pt idx="15">
                  <c:v>5.6378094597142576</c:v>
                </c:pt>
                <c:pt idx="16">
                  <c:v>1.7599138045171958</c:v>
                </c:pt>
                <c:pt idx="17">
                  <c:v>1.6830617792805977</c:v>
                </c:pt>
                <c:pt idx="18">
                  <c:v>-0.13522737694425827</c:v>
                </c:pt>
                <c:pt idx="19">
                  <c:v>6.8011691232444382E-2</c:v>
                </c:pt>
                <c:pt idx="20">
                  <c:v>-0.9797345539072041</c:v>
                </c:pt>
                <c:pt idx="21">
                  <c:v>-2.4398319170718548</c:v>
                </c:pt>
                <c:pt idx="22">
                  <c:v>-2.2521821876331547</c:v>
                </c:pt>
              </c:numCache>
            </c:numRef>
          </c:val>
          <c:extLst>
            <c:ext xmlns:c16="http://schemas.microsoft.com/office/drawing/2014/chart" uri="{C3380CC4-5D6E-409C-BE32-E72D297353CC}">
              <c16:uniqueId val="{00000001-817A-4912-A3C2-754102600CCF}"/>
            </c:ext>
          </c:extLst>
        </c:ser>
        <c:ser>
          <c:idx val="3"/>
          <c:order val="3"/>
          <c:tx>
            <c:strRef>
              <c:f>'souhrnná výkonnost 3'!$G$5</c:f>
              <c:strCache>
                <c:ptCount val="1"/>
                <c:pt idx="0">
                  <c:v>Tvorba hrubého fixního kapitálu</c:v>
                </c:pt>
              </c:strCache>
            </c:strRef>
          </c:tx>
          <c:spPr>
            <a:solidFill>
              <a:srgbClr val="BD1B21"/>
            </a:solidFill>
            <a:ln>
              <a:noFill/>
            </a:ln>
          </c:spPr>
          <c:invertIfNegative val="0"/>
          <c:cat>
            <c:multiLvlStrRef>
              <c:f>'souhrnná výkonnost 3'!$A$30:$B$52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3'!$G$30:$G$52</c:f>
              <c:numCache>
                <c:formatCode>#\ ##0.0</c:formatCode>
                <c:ptCount val="23"/>
                <c:pt idx="0">
                  <c:v>1.884854699569958</c:v>
                </c:pt>
                <c:pt idx="1">
                  <c:v>2.053547364624257</c:v>
                </c:pt>
                <c:pt idx="2">
                  <c:v>2.2324390876929563</c:v>
                </c:pt>
                <c:pt idx="3">
                  <c:v>1.9592291913679716</c:v>
                </c:pt>
                <c:pt idx="4">
                  <c:v>1.6664742572861304</c:v>
                </c:pt>
                <c:pt idx="5">
                  <c:v>1.1031620490038367</c:v>
                </c:pt>
                <c:pt idx="6">
                  <c:v>0.60351051109238796</c:v>
                </c:pt>
                <c:pt idx="7">
                  <c:v>0.61015699901503451</c:v>
                </c:pt>
                <c:pt idx="8">
                  <c:v>-0.18505385313730408</c:v>
                </c:pt>
                <c:pt idx="9">
                  <c:v>0.26545371936590584</c:v>
                </c:pt>
                <c:pt idx="10">
                  <c:v>-1.1365453004257866</c:v>
                </c:pt>
                <c:pt idx="11">
                  <c:v>-1.5484962788918575</c:v>
                </c:pt>
                <c:pt idx="12">
                  <c:v>-1.1386301164844839</c:v>
                </c:pt>
                <c:pt idx="13">
                  <c:v>-1.6478950671691945</c:v>
                </c:pt>
                <c:pt idx="14">
                  <c:v>0.35561087195381641</c:v>
                </c:pt>
                <c:pt idx="15">
                  <c:v>0.78646457641002898</c:v>
                </c:pt>
                <c:pt idx="16">
                  <c:v>1.2056425074201875</c:v>
                </c:pt>
                <c:pt idx="17">
                  <c:v>0.94551509887167851</c:v>
                </c:pt>
                <c:pt idx="18">
                  <c:v>0.23606202143119698</c:v>
                </c:pt>
                <c:pt idx="19">
                  <c:v>-0.12541596439909741</c:v>
                </c:pt>
                <c:pt idx="20">
                  <c:v>-0.23031184488118941</c:v>
                </c:pt>
                <c:pt idx="21">
                  <c:v>0.99503881966024421</c:v>
                </c:pt>
                <c:pt idx="22">
                  <c:v>1.2000495062693335</c:v>
                </c:pt>
              </c:numCache>
            </c:numRef>
          </c:val>
          <c:extLst>
            <c:ext xmlns:c16="http://schemas.microsoft.com/office/drawing/2014/chart" uri="{C3380CC4-5D6E-409C-BE32-E72D297353CC}">
              <c16:uniqueId val="{00000002-817A-4912-A3C2-754102600CCF}"/>
            </c:ext>
          </c:extLst>
        </c:ser>
        <c:ser>
          <c:idx val="5"/>
          <c:order val="4"/>
          <c:tx>
            <c:strRef>
              <c:f>'souhrnná výkonnost 3'!$D$5</c:f>
              <c:strCache>
                <c:ptCount val="1"/>
                <c:pt idx="0">
                  <c:v>Výdaje na konečnou spotřebu domácností (vč. nezisk. inst.)</c:v>
                </c:pt>
              </c:strCache>
            </c:strRef>
          </c:tx>
          <c:spPr>
            <a:solidFill>
              <a:srgbClr val="0071BC"/>
            </a:solidFill>
            <a:ln>
              <a:noFill/>
            </a:ln>
          </c:spPr>
          <c:invertIfNegative val="0"/>
          <c:cat>
            <c:multiLvlStrRef>
              <c:f>'souhrnná výkonnost 3'!$A$30:$B$52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3'!$D$30:$D$52</c:f>
              <c:numCache>
                <c:formatCode>#\ ##0.0</c:formatCode>
                <c:ptCount val="23"/>
                <c:pt idx="0">
                  <c:v>1.540080312662943</c:v>
                </c:pt>
                <c:pt idx="1">
                  <c:v>1.2364606818393462</c:v>
                </c:pt>
                <c:pt idx="2">
                  <c:v>0.93963380194395907</c:v>
                </c:pt>
                <c:pt idx="3">
                  <c:v>0.9479187361797885</c:v>
                </c:pt>
                <c:pt idx="4">
                  <c:v>0.89975778114159266</c:v>
                </c:pt>
                <c:pt idx="5">
                  <c:v>1.2410325032352101</c:v>
                </c:pt>
                <c:pt idx="6">
                  <c:v>0.94788645941574889</c:v>
                </c:pt>
                <c:pt idx="7">
                  <c:v>1.3125840520821423</c:v>
                </c:pt>
                <c:pt idx="8">
                  <c:v>-1.0446704916645397</c:v>
                </c:pt>
                <c:pt idx="9">
                  <c:v>-3.3401453756905828</c:v>
                </c:pt>
                <c:pt idx="10">
                  <c:v>-1.8238505965980329</c:v>
                </c:pt>
                <c:pt idx="11">
                  <c:v>-4.3451439574225965</c:v>
                </c:pt>
                <c:pt idx="12">
                  <c:v>-2.8838668819945754</c:v>
                </c:pt>
                <c:pt idx="13">
                  <c:v>1.9930858902923905</c:v>
                </c:pt>
                <c:pt idx="14">
                  <c:v>1.7335129439561141</c:v>
                </c:pt>
                <c:pt idx="15">
                  <c:v>3.2860285615183655</c:v>
                </c:pt>
                <c:pt idx="16">
                  <c:v>3.1132919265413141</c:v>
                </c:pt>
                <c:pt idx="17">
                  <c:v>-0.20478152182535223</c:v>
                </c:pt>
                <c:pt idx="18">
                  <c:v>-2.6249574056935399</c:v>
                </c:pt>
                <c:pt idx="19">
                  <c:v>-2.9076885203083829</c:v>
                </c:pt>
                <c:pt idx="20">
                  <c:v>-2.5131763644201941</c:v>
                </c:pt>
                <c:pt idx="21">
                  <c:v>-1.8012784518924818</c:v>
                </c:pt>
                <c:pt idx="22">
                  <c:v>-0.70873240759317913</c:v>
                </c:pt>
              </c:numCache>
            </c:numRef>
          </c:val>
          <c:extLst>
            <c:ext xmlns:c16="http://schemas.microsoft.com/office/drawing/2014/chart" uri="{C3380CC4-5D6E-409C-BE32-E72D297353CC}">
              <c16:uniqueId val="{00000003-817A-4912-A3C2-754102600CCF}"/>
            </c:ext>
          </c:extLst>
        </c:ser>
        <c:ser>
          <c:idx val="4"/>
          <c:order val="5"/>
          <c:tx>
            <c:strRef>
              <c:f>'souhrnná výkonnost 3'!$E$5</c:f>
              <c:strCache>
                <c:ptCount val="1"/>
                <c:pt idx="0">
                  <c:v>Výdaje na konečnou spotřebu vládních institucí</c:v>
                </c:pt>
              </c:strCache>
            </c:strRef>
          </c:tx>
          <c:spPr>
            <a:solidFill>
              <a:srgbClr val="A6CDE8"/>
            </a:solidFill>
            <a:ln>
              <a:noFill/>
            </a:ln>
          </c:spPr>
          <c:invertIfNegative val="0"/>
          <c:cat>
            <c:multiLvlStrRef>
              <c:f>'souhrnná výkonnost 3'!$A$30:$B$52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3'!$E$30:$E$52</c:f>
              <c:numCache>
                <c:formatCode>#\ ##0.0</c:formatCode>
                <c:ptCount val="23"/>
                <c:pt idx="0">
                  <c:v>0.59778499254771711</c:v>
                </c:pt>
                <c:pt idx="1">
                  <c:v>0.60746684411638396</c:v>
                </c:pt>
                <c:pt idx="2">
                  <c:v>0.8711455590227708</c:v>
                </c:pt>
                <c:pt idx="3">
                  <c:v>0.78687144586984825</c:v>
                </c:pt>
                <c:pt idx="4">
                  <c:v>0.42281243223978354</c:v>
                </c:pt>
                <c:pt idx="5">
                  <c:v>0.54406400829840962</c:v>
                </c:pt>
                <c:pt idx="6">
                  <c:v>0.5678128516426465</c:v>
                </c:pt>
                <c:pt idx="7">
                  <c:v>0.18039196202538721</c:v>
                </c:pt>
                <c:pt idx="8">
                  <c:v>0.86345208967516851</c:v>
                </c:pt>
                <c:pt idx="9">
                  <c:v>0.63518061172427265</c:v>
                </c:pt>
                <c:pt idx="10">
                  <c:v>0.30945908783825116</c:v>
                </c:pt>
                <c:pt idx="11">
                  <c:v>1.3407546216216222</c:v>
                </c:pt>
                <c:pt idx="12">
                  <c:v>-8.5095004004240526E-2</c:v>
                </c:pt>
                <c:pt idx="13">
                  <c:v>-5.3280721089043984E-2</c:v>
                </c:pt>
                <c:pt idx="14">
                  <c:v>0.99915273207784439</c:v>
                </c:pt>
                <c:pt idx="15">
                  <c:v>6.8585362783250656E-2</c:v>
                </c:pt>
                <c:pt idx="16">
                  <c:v>0.32383662791128426</c:v>
                </c:pt>
                <c:pt idx="17">
                  <c:v>0.37450810976545357</c:v>
                </c:pt>
                <c:pt idx="18">
                  <c:v>-0.41396996520400398</c:v>
                </c:pt>
                <c:pt idx="19">
                  <c:v>8.6105307469658346E-2</c:v>
                </c:pt>
                <c:pt idx="20">
                  <c:v>0.64466139861584093</c:v>
                </c:pt>
                <c:pt idx="21">
                  <c:v>0.71465230902957433</c:v>
                </c:pt>
                <c:pt idx="22">
                  <c:v>0.79678792056436354</c:v>
                </c:pt>
              </c:numCache>
            </c:numRef>
          </c:val>
          <c:extLst>
            <c:ext xmlns:c16="http://schemas.microsoft.com/office/drawing/2014/chart" uri="{C3380CC4-5D6E-409C-BE32-E72D297353CC}">
              <c16:uniqueId val="{00000004-817A-4912-A3C2-754102600CCF}"/>
            </c:ext>
          </c:extLst>
        </c:ser>
        <c:dLbls>
          <c:showLegendKey val="0"/>
          <c:showVal val="0"/>
          <c:showCatName val="0"/>
          <c:showSerName val="0"/>
          <c:showPercent val="0"/>
          <c:showBubbleSize val="0"/>
        </c:dLbls>
        <c:gapWidth val="90"/>
        <c:overlap val="100"/>
        <c:axId val="121489280"/>
        <c:axId val="121791232"/>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3'!$C$30:$C$52</c:f>
              <c:numCache>
                <c:formatCode>#\ ##0.0</c:formatCode>
                <c:ptCount val="23"/>
                <c:pt idx="0">
                  <c:v>4.7410158709829009</c:v>
                </c:pt>
                <c:pt idx="1">
                  <c:v>2.8085121382809888</c:v>
                </c:pt>
                <c:pt idx="2">
                  <c:v>2.6946747602240042</c:v>
                </c:pt>
                <c:pt idx="3">
                  <c:v>2.632738011287671</c:v>
                </c:pt>
                <c:pt idx="4">
                  <c:v>2.9925808638806188</c:v>
                </c:pt>
                <c:pt idx="5">
                  <c:v>3.0577465249692581</c:v>
                </c:pt>
                <c:pt idx="6">
                  <c:v>3.0222812889930282</c:v>
                </c:pt>
                <c:pt idx="7">
                  <c:v>2.7919056462255591</c:v>
                </c:pt>
                <c:pt idx="8">
                  <c:v>-1.4738194413261558</c:v>
                </c:pt>
                <c:pt idx="9">
                  <c:v>-10.802865399708754</c:v>
                </c:pt>
                <c:pt idx="10">
                  <c:v>-5.2167494638705918</c:v>
                </c:pt>
                <c:pt idx="11">
                  <c:v>-4.5664750245340713</c:v>
                </c:pt>
                <c:pt idx="12">
                  <c:v>-1.9186323159540564</c:v>
                </c:pt>
                <c:pt idx="13">
                  <c:v>9.17929312195146</c:v>
                </c:pt>
                <c:pt idx="14">
                  <c:v>3.8209037046074203</c:v>
                </c:pt>
                <c:pt idx="15">
                  <c:v>3.4133373401856804</c:v>
                </c:pt>
                <c:pt idx="16">
                  <c:v>4.6828065809266475</c:v>
                </c:pt>
                <c:pt idx="17">
                  <c:v>3.3595998605536987</c:v>
                </c:pt>
                <c:pt idx="18">
                  <c:v>1.3500706587594058</c:v>
                </c:pt>
                <c:pt idx="19">
                  <c:v>0.1200974401158704</c:v>
                </c:pt>
                <c:pt idx="20">
                  <c:v>-0.37782437260615653</c:v>
                </c:pt>
                <c:pt idx="21">
                  <c:v>-0.41984013172869117</c:v>
                </c:pt>
                <c:pt idx="22">
                  <c:v>-0.71931017296120059</c:v>
                </c:pt>
              </c:numCache>
            </c:numRef>
          </c:val>
          <c:smooth val="0"/>
          <c:extLst>
            <c:ext xmlns:c16="http://schemas.microsoft.com/office/drawing/2014/chart" uri="{C3380CC4-5D6E-409C-BE32-E72D297353CC}">
              <c16:uniqueId val="{00000005-817A-4912-A3C2-754102600CCF}"/>
            </c:ext>
          </c:extLst>
        </c:ser>
        <c:dLbls>
          <c:showLegendKey val="0"/>
          <c:showVal val="0"/>
          <c:showCatName val="0"/>
          <c:showSerName val="0"/>
          <c:showPercent val="0"/>
          <c:showBubbleSize val="0"/>
        </c:dLbls>
        <c:marker val="1"/>
        <c:smooth val="0"/>
        <c:axId val="121489280"/>
        <c:axId val="121791232"/>
      </c:lineChart>
      <c:catAx>
        <c:axId val="12148928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21791232"/>
        <c:crosses val="autoZero"/>
        <c:auto val="1"/>
        <c:lblAlgn val="ctr"/>
        <c:lblOffset val="100"/>
        <c:noMultiLvlLbl val="0"/>
      </c:catAx>
      <c:valAx>
        <c:axId val="121791232"/>
        <c:scaling>
          <c:orientation val="minMax"/>
          <c:max val="12"/>
          <c:min val="-1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21489280"/>
        <c:crosses val="autoZero"/>
        <c:crossBetween val="between"/>
        <c:majorUnit val="2"/>
      </c:valAx>
      <c:spPr>
        <a:ln>
          <a:solidFill>
            <a:schemeClr val="tx1"/>
          </a:solidFill>
        </a:ln>
      </c:spPr>
    </c:plotArea>
    <c:legend>
      <c:legendPos val="b"/>
      <c:layout>
        <c:manualLayout>
          <c:xMode val="edge"/>
          <c:yMode val="edge"/>
          <c:x val="4.7571766295170556E-2"/>
          <c:y val="0.81445992344928564"/>
          <c:w val="0.9443262411347515"/>
          <c:h val="0.1748173477428799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75E-2"/>
          <c:y val="2.9499886988623578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4'!$C$30:$C$52</c:f>
              <c:numCache>
                <c:formatCode>#\ ##0.0</c:formatCode>
                <c:ptCount val="23"/>
                <c:pt idx="0">
                  <c:v>3.2678809349882994E-2</c:v>
                </c:pt>
                <c:pt idx="1">
                  <c:v>7.1043352951455641E-2</c:v>
                </c:pt>
                <c:pt idx="2">
                  <c:v>0.13147416955081714</c:v>
                </c:pt>
                <c:pt idx="3">
                  <c:v>0.1355750838589089</c:v>
                </c:pt>
                <c:pt idx="4">
                  <c:v>7.3815312527439711E-2</c:v>
                </c:pt>
                <c:pt idx="5">
                  <c:v>8.6198359198018548E-2</c:v>
                </c:pt>
                <c:pt idx="6">
                  <c:v>0.10932770534860808</c:v>
                </c:pt>
                <c:pt idx="7">
                  <c:v>0.13255154938774669</c:v>
                </c:pt>
                <c:pt idx="8">
                  <c:v>0.21545052259669276</c:v>
                </c:pt>
                <c:pt idx="9">
                  <c:v>0.23619938628539758</c:v>
                </c:pt>
                <c:pt idx="10">
                  <c:v>0.24181149955858294</c:v>
                </c:pt>
                <c:pt idx="11">
                  <c:v>0.21681429221385648</c:v>
                </c:pt>
                <c:pt idx="12">
                  <c:v>-0.19657363835640351</c:v>
                </c:pt>
                <c:pt idx="13">
                  <c:v>-0.34178536991297342</c:v>
                </c:pt>
                <c:pt idx="14">
                  <c:v>-0.37570182006417735</c:v>
                </c:pt>
                <c:pt idx="15">
                  <c:v>-0.37221295215760858</c:v>
                </c:pt>
                <c:pt idx="16">
                  <c:v>-0.16234638940102447</c:v>
                </c:pt>
                <c:pt idx="17">
                  <c:v>-0.13442866084554098</c:v>
                </c:pt>
                <c:pt idx="18">
                  <c:v>-0.14434356404006071</c:v>
                </c:pt>
                <c:pt idx="19">
                  <c:v>-0.23576011287971271</c:v>
                </c:pt>
                <c:pt idx="20">
                  <c:v>-5.1737137498792121E-2</c:v>
                </c:pt>
                <c:pt idx="21">
                  <c:v>-3.8669417225782141E-2</c:v>
                </c:pt>
                <c:pt idx="22">
                  <c:v>-2.5235995276039119E-2</c:v>
                </c:pt>
              </c:numCache>
            </c:numRef>
          </c:val>
          <c:extLst>
            <c:ext xmlns:c16="http://schemas.microsoft.com/office/drawing/2014/chart" uri="{C3380CC4-5D6E-409C-BE32-E72D297353CC}">
              <c16:uniqueId val="{00000000-B104-44DC-AA6D-5A2206400528}"/>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4'!$D$30:$D$52</c:f>
              <c:numCache>
                <c:formatCode>#\ ##0.0</c:formatCode>
                <c:ptCount val="23"/>
                <c:pt idx="0">
                  <c:v>1.49104591482017</c:v>
                </c:pt>
                <c:pt idx="1">
                  <c:v>0.13833830178262282</c:v>
                </c:pt>
                <c:pt idx="2">
                  <c:v>1.1371114606629321E-2</c:v>
                </c:pt>
                <c:pt idx="3">
                  <c:v>0.33553515446267096</c:v>
                </c:pt>
                <c:pt idx="4">
                  <c:v>0.79394406110374971</c:v>
                </c:pt>
                <c:pt idx="5">
                  <c:v>1.3559231668786855</c:v>
                </c:pt>
                <c:pt idx="6">
                  <c:v>1.3631060989469754</c:v>
                </c:pt>
                <c:pt idx="7">
                  <c:v>0.99560862159706953</c:v>
                </c:pt>
                <c:pt idx="8">
                  <c:v>-1.168057523172517</c:v>
                </c:pt>
                <c:pt idx="9">
                  <c:v>-5.8896682937773726</c:v>
                </c:pt>
                <c:pt idx="10">
                  <c:v>-2.5137505183360016</c:v>
                </c:pt>
                <c:pt idx="11">
                  <c:v>-1.8978845716379917</c:v>
                </c:pt>
                <c:pt idx="12">
                  <c:v>0.17537901886028953</c:v>
                </c:pt>
                <c:pt idx="13">
                  <c:v>4.9740222929440359</c:v>
                </c:pt>
                <c:pt idx="14">
                  <c:v>0.20509799209873486</c:v>
                </c:pt>
                <c:pt idx="15">
                  <c:v>-0.48173040936348782</c:v>
                </c:pt>
                <c:pt idx="16">
                  <c:v>0.83288419096617161</c:v>
                </c:pt>
                <c:pt idx="17">
                  <c:v>1.2132518080186516</c:v>
                </c:pt>
                <c:pt idx="18">
                  <c:v>2.1267494750096785</c:v>
                </c:pt>
                <c:pt idx="19">
                  <c:v>2.7466658745830967</c:v>
                </c:pt>
                <c:pt idx="20">
                  <c:v>0.90544085285447806</c:v>
                </c:pt>
                <c:pt idx="21">
                  <c:v>0.57526517926545317</c:v>
                </c:pt>
                <c:pt idx="22">
                  <c:v>-6.9011142227570085E-2</c:v>
                </c:pt>
              </c:numCache>
            </c:numRef>
          </c:val>
          <c:extLst>
            <c:ext xmlns:c16="http://schemas.microsoft.com/office/drawing/2014/chart" uri="{C3380CC4-5D6E-409C-BE32-E72D297353CC}">
              <c16:uniqueId val="{00000001-B104-44DC-AA6D-5A2206400528}"/>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4'!$E$30:$E$52</c:f>
              <c:numCache>
                <c:formatCode>#\ ##0.0</c:formatCode>
                <c:ptCount val="23"/>
                <c:pt idx="0">
                  <c:v>-8.4827402194146473E-2</c:v>
                </c:pt>
                <c:pt idx="1">
                  <c:v>-2.6313910996506903E-3</c:v>
                </c:pt>
                <c:pt idx="2" formatCode="General">
                  <c:v>9.1594113054016754E-2</c:v>
                </c:pt>
                <c:pt idx="3" formatCode="General">
                  <c:v>-2.3532244840282983E-2</c:v>
                </c:pt>
                <c:pt idx="4" formatCode="General">
                  <c:v>-0.22319978862492373</c:v>
                </c:pt>
                <c:pt idx="5" formatCode="General">
                  <c:v>-0.42608130827198082</c:v>
                </c:pt>
                <c:pt idx="6" formatCode="General">
                  <c:v>-0.63322416622310196</c:v>
                </c:pt>
                <c:pt idx="7" formatCode="General">
                  <c:v>-0.47005936665406084</c:v>
                </c:pt>
                <c:pt idx="8" formatCode="General">
                  <c:v>-0.39879519059346102</c:v>
                </c:pt>
                <c:pt idx="9" formatCode="General">
                  <c:v>-0.29594961815162701</c:v>
                </c:pt>
                <c:pt idx="10" formatCode="General">
                  <c:v>3.6558427102720191E-2</c:v>
                </c:pt>
                <c:pt idx="11" formatCode="General">
                  <c:v>0.49474509851361503</c:v>
                </c:pt>
                <c:pt idx="12" formatCode="General">
                  <c:v>0.10268524637411176</c:v>
                </c:pt>
                <c:pt idx="13" formatCode="General">
                  <c:v>0.15208374901925303</c:v>
                </c:pt>
                <c:pt idx="14" formatCode="General">
                  <c:v>-8.3157118283756312E-2</c:v>
                </c:pt>
                <c:pt idx="15" formatCode="General">
                  <c:v>-0.23038326613496624</c:v>
                </c:pt>
                <c:pt idx="16" formatCode="General">
                  <c:v>-0.96496939035385765</c:v>
                </c:pt>
                <c:pt idx="17" formatCode="General">
                  <c:v>-1.0281885364300396</c:v>
                </c:pt>
                <c:pt idx="18" formatCode="General">
                  <c:v>-1.0754299799558713</c:v>
                </c:pt>
                <c:pt idx="19" formatCode="General">
                  <c:v>-1.8164022619582592</c:v>
                </c:pt>
                <c:pt idx="20" formatCode="General">
                  <c:v>-0.45507855968465266</c:v>
                </c:pt>
                <c:pt idx="21" formatCode="General">
                  <c:v>-0.55947298291534953</c:v>
                </c:pt>
                <c:pt idx="22" formatCode="General">
                  <c:v>-0.38250746569803906</c:v>
                </c:pt>
              </c:numCache>
            </c:numRef>
          </c:val>
          <c:extLst>
            <c:ext xmlns:c16="http://schemas.microsoft.com/office/drawing/2014/chart" uri="{C3380CC4-5D6E-409C-BE32-E72D297353CC}">
              <c16:uniqueId val="{00000002-B104-44DC-AA6D-5A2206400528}"/>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4'!$F$30:$F$52</c:f>
              <c:numCache>
                <c:formatCode>#\ ##0.0</c:formatCode>
                <c:ptCount val="23"/>
                <c:pt idx="0">
                  <c:v>0.12203771789133691</c:v>
                </c:pt>
                <c:pt idx="1">
                  <c:v>2.721405326342801E-3</c:v>
                </c:pt>
                <c:pt idx="2">
                  <c:v>-1.6093365386526861E-2</c:v>
                </c:pt>
                <c:pt idx="3">
                  <c:v>-0.11938213609361673</c:v>
                </c:pt>
                <c:pt idx="4">
                  <c:v>-0.15414075128507621</c:v>
                </c:pt>
                <c:pt idx="5">
                  <c:v>-4.3532590886408554E-2</c:v>
                </c:pt>
                <c:pt idx="6">
                  <c:v>-0.10941238277351652</c:v>
                </c:pt>
                <c:pt idx="7">
                  <c:v>-9.8598207180954411E-2</c:v>
                </c:pt>
                <c:pt idx="8">
                  <c:v>-0.33875372028708373</c:v>
                </c:pt>
                <c:pt idx="9">
                  <c:v>-0.70304287917967145</c:v>
                </c:pt>
                <c:pt idx="10">
                  <c:v>-0.63194153032185796</c:v>
                </c:pt>
                <c:pt idx="11">
                  <c:v>-0.61557506939559248</c:v>
                </c:pt>
                <c:pt idx="12">
                  <c:v>-0.50618553672420052</c:v>
                </c:pt>
                <c:pt idx="13">
                  <c:v>-8.0324212744330645E-2</c:v>
                </c:pt>
                <c:pt idx="14">
                  <c:v>-5.5314929764280884E-3</c:v>
                </c:pt>
                <c:pt idx="15">
                  <c:v>-4.5147882953895054E-2</c:v>
                </c:pt>
                <c:pt idx="16">
                  <c:v>-7.9624117393123084E-2</c:v>
                </c:pt>
                <c:pt idx="17">
                  <c:v>-0.2752367782299015</c:v>
                </c:pt>
                <c:pt idx="18">
                  <c:v>-0.50021356452078947</c:v>
                </c:pt>
                <c:pt idx="19">
                  <c:v>-0.5002872032383201</c:v>
                </c:pt>
                <c:pt idx="20">
                  <c:v>-0.2897511679957343</c:v>
                </c:pt>
                <c:pt idx="21">
                  <c:v>-0.13433431811417004</c:v>
                </c:pt>
                <c:pt idx="22">
                  <c:v>-3.3110379011137933E-2</c:v>
                </c:pt>
              </c:numCache>
            </c:numRef>
          </c:val>
          <c:extLst>
            <c:ext xmlns:c16="http://schemas.microsoft.com/office/drawing/2014/chart" uri="{C3380CC4-5D6E-409C-BE32-E72D297353CC}">
              <c16:uniqueId val="{00000003-B104-44DC-AA6D-5A2206400528}"/>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4'!$G$30:$G$52</c:f>
              <c:numCache>
                <c:formatCode>#\ ##0.0</c:formatCode>
                <c:ptCount val="23"/>
                <c:pt idx="0">
                  <c:v>3.1237068943138597</c:v>
                </c:pt>
                <c:pt idx="1">
                  <c:v>2.7517321166092374</c:v>
                </c:pt>
                <c:pt idx="2" formatCode="General">
                  <c:v>2.7131816334348331</c:v>
                </c:pt>
                <c:pt idx="3" formatCode="General">
                  <c:v>2.6018048024583842</c:v>
                </c:pt>
                <c:pt idx="4" formatCode="General">
                  <c:v>2.4822220084523612</c:v>
                </c:pt>
                <c:pt idx="5" formatCode="General">
                  <c:v>2.1921234953504332</c:v>
                </c:pt>
                <c:pt idx="6" formatCode="General">
                  <c:v>2.1636986023312041</c:v>
                </c:pt>
                <c:pt idx="7" formatCode="General">
                  <c:v>2.1557420268059597</c:v>
                </c:pt>
                <c:pt idx="8" formatCode="General">
                  <c:v>0.58107492482466483</c:v>
                </c:pt>
                <c:pt idx="9" formatCode="General">
                  <c:v>-4.3400754756564135</c:v>
                </c:pt>
                <c:pt idx="10" formatCode="General">
                  <c:v>-1.9966606979356536</c:v>
                </c:pt>
                <c:pt idx="11" formatCode="General">
                  <c:v>-2.3417286799070345</c:v>
                </c:pt>
                <c:pt idx="12" formatCode="General">
                  <c:v>-1.4413683522936211</c:v>
                </c:pt>
                <c:pt idx="13" formatCode="General">
                  <c:v>4.6756952859719902</c:v>
                </c:pt>
                <c:pt idx="14" formatCode="General">
                  <c:v>3.758749287293734</c:v>
                </c:pt>
                <c:pt idx="15" formatCode="General">
                  <c:v>4.1104404660252181</c:v>
                </c:pt>
                <c:pt idx="16" formatCode="General">
                  <c:v>4.4078314303948014</c:v>
                </c:pt>
                <c:pt idx="17" formatCode="General">
                  <c:v>3.4337768421922812</c:v>
                </c:pt>
                <c:pt idx="18" formatCode="General">
                  <c:v>0.99886480410734668</c:v>
                </c:pt>
                <c:pt idx="19" formatCode="General">
                  <c:v>0.62822985446220803</c:v>
                </c:pt>
                <c:pt idx="20" formatCode="General">
                  <c:v>0.91937198855582269</c:v>
                </c:pt>
                <c:pt idx="21" formatCode="General">
                  <c:v>0.44322330876594335</c:v>
                </c:pt>
                <c:pt idx="22" formatCode="General">
                  <c:v>0.40041202931675934</c:v>
                </c:pt>
              </c:numCache>
            </c:numRef>
          </c:val>
          <c:extLst>
            <c:ext xmlns:c16="http://schemas.microsoft.com/office/drawing/2014/chart" uri="{C3380CC4-5D6E-409C-BE32-E72D297353CC}">
              <c16:uniqueId val="{00000004-B104-44DC-AA6D-5A2206400528}"/>
            </c:ext>
          </c:extLst>
        </c:ser>
        <c:dLbls>
          <c:showLegendKey val="0"/>
          <c:showVal val="0"/>
          <c:showCatName val="0"/>
          <c:showSerName val="0"/>
          <c:showPercent val="0"/>
          <c:showBubbleSize val="0"/>
        </c:dLbls>
        <c:gapWidth val="90"/>
        <c:overlap val="100"/>
        <c:axId val="39276544"/>
        <c:axId val="39278080"/>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4'!$A$30:$B$52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2018</c:v>
                  </c:pt>
                  <c:pt idx="4">
                    <c:v>2019</c:v>
                  </c:pt>
                  <c:pt idx="8">
                    <c:v>2020</c:v>
                  </c:pt>
                  <c:pt idx="12">
                    <c:v>2021</c:v>
                  </c:pt>
                  <c:pt idx="16">
                    <c:v>2022</c:v>
                  </c:pt>
                  <c:pt idx="20">
                    <c:v>2023</c:v>
                  </c:pt>
                </c:lvl>
              </c:multiLvlStrCache>
            </c:multiLvlStrRef>
          </c:cat>
          <c:val>
            <c:numRef>
              <c:f>'souhrnná výkonnost 4'!$H$30:$H$52</c:f>
              <c:numCache>
                <c:formatCode>#\ ##0.0</c:formatCode>
                <c:ptCount val="23"/>
                <c:pt idx="0">
                  <c:v>4.7958884315215471</c:v>
                </c:pt>
                <c:pt idx="1">
                  <c:v>2.9611349370848932</c:v>
                </c:pt>
                <c:pt idx="2">
                  <c:v>2.9313757908427505</c:v>
                </c:pt>
                <c:pt idx="3">
                  <c:v>2.9300970074841501</c:v>
                </c:pt>
                <c:pt idx="4">
                  <c:v>2.9726357886500532</c:v>
                </c:pt>
                <c:pt idx="5">
                  <c:v>3.1648414337946034</c:v>
                </c:pt>
                <c:pt idx="6">
                  <c:v>2.8935535187896448</c:v>
                </c:pt>
                <c:pt idx="7">
                  <c:v>2.7150260301270781</c:v>
                </c:pt>
                <c:pt idx="8">
                  <c:v>-1.1091532796304051</c:v>
                </c:pt>
                <c:pt idx="9">
                  <c:v>-10.992463627261657</c:v>
                </c:pt>
                <c:pt idx="10">
                  <c:v>-4.863890979571984</c:v>
                </c:pt>
                <c:pt idx="11">
                  <c:v>-4.1436644792680095</c:v>
                </c:pt>
                <c:pt idx="12">
                  <c:v>-1.8659927600573798</c:v>
                </c:pt>
                <c:pt idx="13">
                  <c:v>9.3795330142279862</c:v>
                </c:pt>
                <c:pt idx="14">
                  <c:v>3.4995046714904281</c:v>
                </c:pt>
                <c:pt idx="15">
                  <c:v>2.9809101848340589</c:v>
                </c:pt>
                <c:pt idx="16">
                  <c:v>4.0336725177132324</c:v>
                </c:pt>
                <c:pt idx="17">
                  <c:v>3.2093274629342154</c:v>
                </c:pt>
                <c:pt idx="18">
                  <c:v>1.4055555931354875</c:v>
                </c:pt>
                <c:pt idx="19">
                  <c:v>0.82246982529750312</c:v>
                </c:pt>
                <c:pt idx="20">
                  <c:v>1.0281922882651444</c:v>
                </c:pt>
                <c:pt idx="21">
                  <c:v>0.28592155293176802</c:v>
                </c:pt>
                <c:pt idx="22">
                  <c:v>-0.10931495130023458</c:v>
                </c:pt>
              </c:numCache>
            </c:numRef>
          </c:val>
          <c:smooth val="0"/>
          <c:extLst>
            <c:ext xmlns:c16="http://schemas.microsoft.com/office/drawing/2014/chart" uri="{C3380CC4-5D6E-409C-BE32-E72D297353CC}">
              <c16:uniqueId val="{00000005-B104-44DC-AA6D-5A2206400528}"/>
            </c:ext>
          </c:extLst>
        </c:ser>
        <c:dLbls>
          <c:showLegendKey val="0"/>
          <c:showVal val="0"/>
          <c:showCatName val="0"/>
          <c:showSerName val="0"/>
          <c:showPercent val="0"/>
          <c:showBubbleSize val="0"/>
        </c:dLbls>
        <c:marker val="1"/>
        <c:smooth val="0"/>
        <c:axId val="39276544"/>
        <c:axId val="39278080"/>
      </c:lineChart>
      <c:catAx>
        <c:axId val="3927654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39278080"/>
        <c:crosses val="autoZero"/>
        <c:auto val="1"/>
        <c:lblAlgn val="ctr"/>
        <c:lblOffset val="100"/>
        <c:noMultiLvlLbl val="0"/>
      </c:catAx>
      <c:valAx>
        <c:axId val="39278080"/>
        <c:scaling>
          <c:orientation val="minMax"/>
          <c:max val="10"/>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39276544"/>
        <c:crosses val="autoZero"/>
        <c:crossBetween val="between"/>
        <c:majorUnit val="2"/>
      </c:valAx>
      <c:spPr>
        <a:ln>
          <a:solidFill>
            <a:schemeClr val="tx1"/>
          </a:solidFill>
        </a:ln>
      </c:spPr>
    </c:plotArea>
    <c:legend>
      <c:legendPos val="b"/>
      <c:layout>
        <c:manualLayout>
          <c:xMode val="edge"/>
          <c:yMode val="edge"/>
          <c:x val="5.4144292468760548E-2"/>
          <c:y val="0.79016604750647301"/>
          <c:w val="0.92386482607227283"/>
          <c:h val="0.1946248452099492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10992424025123E-2"/>
          <c:y val="1.58047770054799E-2"/>
          <c:w val="0.84419102795189693"/>
          <c:h val="0.69135712481071743"/>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IPP'!$R$27:$AZ$27</c:f>
              <c:numCache>
                <c:formatCode>0.0</c:formatCode>
                <c:ptCount val="35"/>
                <c:pt idx="0">
                  <c:v>1.5414336001551816</c:v>
                </c:pt>
                <c:pt idx="1">
                  <c:v>2.1741500812415602</c:v>
                </c:pt>
                <c:pt idx="2">
                  <c:v>2.380745128523166</c:v>
                </c:pt>
                <c:pt idx="3">
                  <c:v>2.8689756615217954</c:v>
                </c:pt>
                <c:pt idx="4">
                  <c:v>3.3341210196737827</c:v>
                </c:pt>
                <c:pt idx="5">
                  <c:v>2.686672264317759</c:v>
                </c:pt>
                <c:pt idx="6">
                  <c:v>1.4809491976121258</c:v>
                </c:pt>
                <c:pt idx="7">
                  <c:v>1.0295786410238899</c:v>
                </c:pt>
                <c:pt idx="8">
                  <c:v>1.7176851530772053</c:v>
                </c:pt>
                <c:pt idx="9">
                  <c:v>2.162430036953364</c:v>
                </c:pt>
                <c:pt idx="10">
                  <c:v>1.6010808371876544</c:v>
                </c:pt>
                <c:pt idx="11">
                  <c:v>1.6765308689366063</c:v>
                </c:pt>
                <c:pt idx="12">
                  <c:v>0.76463369901420963</c:v>
                </c:pt>
                <c:pt idx="13">
                  <c:v>0.53745054525373026</c:v>
                </c:pt>
                <c:pt idx="14">
                  <c:v>0.24390176608722394</c:v>
                </c:pt>
                <c:pt idx="15">
                  <c:v>0.97145099568383753</c:v>
                </c:pt>
                <c:pt idx="16">
                  <c:v>-0.22653642884122807</c:v>
                </c:pt>
                <c:pt idx="17">
                  <c:v>0.48861091853368632</c:v>
                </c:pt>
                <c:pt idx="18">
                  <c:v>0.8085591774608738</c:v>
                </c:pt>
                <c:pt idx="19">
                  <c:v>-1.0897983527427586</c:v>
                </c:pt>
                <c:pt idx="20">
                  <c:v>-1.5435543851935798</c:v>
                </c:pt>
                <c:pt idx="21">
                  <c:v>-9.4039632081130193</c:v>
                </c:pt>
                <c:pt idx="22">
                  <c:v>-0.18743733484121622</c:v>
                </c:pt>
                <c:pt idx="23">
                  <c:v>2.045187558556735</c:v>
                </c:pt>
                <c:pt idx="24">
                  <c:v>1.8998981300154258</c:v>
                </c:pt>
                <c:pt idx="25">
                  <c:v>10.981696435394754</c:v>
                </c:pt>
                <c:pt idx="26">
                  <c:v>-3.7777447309199412</c:v>
                </c:pt>
                <c:pt idx="27">
                  <c:v>-3.2745552925864558</c:v>
                </c:pt>
                <c:pt idx="28">
                  <c:v>-1.9139060121680713</c:v>
                </c:pt>
                <c:pt idx="29">
                  <c:v>7.480589744544669E-2</c:v>
                </c:pt>
                <c:pt idx="30">
                  <c:v>5.6188837456000496</c:v>
                </c:pt>
                <c:pt idx="31">
                  <c:v>4.0478655888897555</c:v>
                </c:pt>
                <c:pt idx="32">
                  <c:v>4.8745958455854446</c:v>
                </c:pt>
                <c:pt idx="33">
                  <c:v>4.8352759001832073</c:v>
                </c:pt>
                <c:pt idx="34">
                  <c:v>1.0562788090489621</c:v>
                </c:pt>
              </c:numCache>
            </c:numRef>
          </c:val>
          <c:extLst>
            <c:ext xmlns:c16="http://schemas.microsoft.com/office/drawing/2014/chart" uri="{C3380CC4-5D6E-409C-BE32-E72D297353CC}">
              <c16:uniqueId val="{00000000-114F-41FB-8286-9620C4091079}"/>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IPP'!$R$28:$AZ$28</c:f>
              <c:numCache>
                <c:formatCode>0.0</c:formatCode>
                <c:ptCount val="35"/>
                <c:pt idx="0">
                  <c:v>1.0327842576995594</c:v>
                </c:pt>
                <c:pt idx="1">
                  <c:v>1.2398193770878783</c:v>
                </c:pt>
                <c:pt idx="2">
                  <c:v>1.4194520754584399</c:v>
                </c:pt>
                <c:pt idx="3">
                  <c:v>0.62945179373892213</c:v>
                </c:pt>
                <c:pt idx="4">
                  <c:v>0.81066950070394839</c:v>
                </c:pt>
                <c:pt idx="5">
                  <c:v>0.15910929112689351</c:v>
                </c:pt>
                <c:pt idx="6">
                  <c:v>0.27430884251769222</c:v>
                </c:pt>
                <c:pt idx="7">
                  <c:v>0.42966812397126097</c:v>
                </c:pt>
                <c:pt idx="8">
                  <c:v>0.81190885185629913</c:v>
                </c:pt>
                <c:pt idx="9">
                  <c:v>1.4478162783570201</c:v>
                </c:pt>
                <c:pt idx="10">
                  <c:v>0.86831270392558868</c:v>
                </c:pt>
                <c:pt idx="11">
                  <c:v>1.6467937182997419</c:v>
                </c:pt>
                <c:pt idx="12">
                  <c:v>0.99355825089751959</c:v>
                </c:pt>
                <c:pt idx="13">
                  <c:v>0.32981714268582246</c:v>
                </c:pt>
                <c:pt idx="14">
                  <c:v>0.43066392508053108</c:v>
                </c:pt>
                <c:pt idx="15">
                  <c:v>-5.4042637097958736E-2</c:v>
                </c:pt>
                <c:pt idx="16">
                  <c:v>0.52511448325990218</c:v>
                </c:pt>
                <c:pt idx="17">
                  <c:v>0.41827161057405132</c:v>
                </c:pt>
                <c:pt idx="18">
                  <c:v>0.20321919004157427</c:v>
                </c:pt>
                <c:pt idx="19">
                  <c:v>0.40664545615593123</c:v>
                </c:pt>
                <c:pt idx="20">
                  <c:v>-0.54518803499189361</c:v>
                </c:pt>
                <c:pt idx="21">
                  <c:v>-4.0594843067760982</c:v>
                </c:pt>
                <c:pt idx="22">
                  <c:v>-0.42308415860457282</c:v>
                </c:pt>
                <c:pt idx="23">
                  <c:v>0.57531703991443739</c:v>
                </c:pt>
                <c:pt idx="24">
                  <c:v>0.72127374997619453</c:v>
                </c:pt>
                <c:pt idx="25">
                  <c:v>5.5133080211538514</c:v>
                </c:pt>
                <c:pt idx="26">
                  <c:v>0.63109141066247676</c:v>
                </c:pt>
                <c:pt idx="27">
                  <c:v>-0.40575686667122407</c:v>
                </c:pt>
                <c:pt idx="28">
                  <c:v>9.4219437714530618E-2</c:v>
                </c:pt>
                <c:pt idx="29">
                  <c:v>0.14447578235561789</c:v>
                </c:pt>
                <c:pt idx="30">
                  <c:v>0.53281688283887163</c:v>
                </c:pt>
                <c:pt idx="31">
                  <c:v>0.60923547078383744</c:v>
                </c:pt>
                <c:pt idx="32">
                  <c:v>0.18287937071872643</c:v>
                </c:pt>
                <c:pt idx="33">
                  <c:v>7.6122768626164086E-2</c:v>
                </c:pt>
                <c:pt idx="34">
                  <c:v>-0.47116105704636763</c:v>
                </c:pt>
              </c:numCache>
            </c:numRef>
          </c:val>
          <c:extLst>
            <c:ext xmlns:c16="http://schemas.microsoft.com/office/drawing/2014/chart" uri="{C3380CC4-5D6E-409C-BE32-E72D297353CC}">
              <c16:uniqueId val="{00000001-114F-41FB-8286-9620C4091079}"/>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IPP'!$R$29:$AZ$29</c:f>
              <c:numCache>
                <c:formatCode>0.0</c:formatCode>
                <c:ptCount val="35"/>
                <c:pt idx="0">
                  <c:v>0.27352741322260565</c:v>
                </c:pt>
                <c:pt idx="1">
                  <c:v>0.29435778863230189</c:v>
                </c:pt>
                <c:pt idx="2">
                  <c:v>0.38381901893821596</c:v>
                </c:pt>
                <c:pt idx="3">
                  <c:v>1.9907538862099942E-2</c:v>
                </c:pt>
                <c:pt idx="4">
                  <c:v>0.36213267281302258</c:v>
                </c:pt>
                <c:pt idx="5">
                  <c:v>-6.5064708510287728E-2</c:v>
                </c:pt>
                <c:pt idx="6">
                  <c:v>0.19502661099256188</c:v>
                </c:pt>
                <c:pt idx="7">
                  <c:v>0.31976595271137093</c:v>
                </c:pt>
                <c:pt idx="8">
                  <c:v>0.36260721751312475</c:v>
                </c:pt>
                <c:pt idx="9">
                  <c:v>1.0676230430151568</c:v>
                </c:pt>
                <c:pt idx="10">
                  <c:v>0.84856622097502821</c:v>
                </c:pt>
                <c:pt idx="11">
                  <c:v>0.8011679796708624</c:v>
                </c:pt>
                <c:pt idx="12">
                  <c:v>0.47154480134890747</c:v>
                </c:pt>
                <c:pt idx="13">
                  <c:v>0.14539794495792627</c:v>
                </c:pt>
                <c:pt idx="14">
                  <c:v>0.18518957990291937</c:v>
                </c:pt>
                <c:pt idx="15">
                  <c:v>-0.19190856298894718</c:v>
                </c:pt>
                <c:pt idx="16">
                  <c:v>0.14248219231403395</c:v>
                </c:pt>
                <c:pt idx="17">
                  <c:v>-2.1421773901395616E-2</c:v>
                </c:pt>
                <c:pt idx="18">
                  <c:v>-0.25698546548398382</c:v>
                </c:pt>
                <c:pt idx="19">
                  <c:v>-0.1385976419695116</c:v>
                </c:pt>
                <c:pt idx="20">
                  <c:v>-0.6967773072729575</c:v>
                </c:pt>
                <c:pt idx="21">
                  <c:v>-2.1434069100206701</c:v>
                </c:pt>
                <c:pt idx="22">
                  <c:v>-0.80071965285565583</c:v>
                </c:pt>
                <c:pt idx="23">
                  <c:v>-0.53337369043417704</c:v>
                </c:pt>
                <c:pt idx="24">
                  <c:v>7.0388429332234839E-2</c:v>
                </c:pt>
                <c:pt idx="25">
                  <c:v>2.1082132332125232</c:v>
                </c:pt>
                <c:pt idx="26">
                  <c:v>0.54002718228061808</c:v>
                </c:pt>
                <c:pt idx="27">
                  <c:v>0.28651169955913558</c:v>
                </c:pt>
                <c:pt idx="28">
                  <c:v>0.3811241584272419</c:v>
                </c:pt>
                <c:pt idx="29">
                  <c:v>0.10272667009912308</c:v>
                </c:pt>
                <c:pt idx="30">
                  <c:v>0.49907693226871236</c:v>
                </c:pt>
                <c:pt idx="31">
                  <c:v>0.65938727063841174</c:v>
                </c:pt>
                <c:pt idx="32">
                  <c:v>0.33129337288367133</c:v>
                </c:pt>
                <c:pt idx="33">
                  <c:v>0.34863477692369732</c:v>
                </c:pt>
                <c:pt idx="34">
                  <c:v>-0.61404044787316225</c:v>
                </c:pt>
              </c:numCache>
            </c:numRef>
          </c:val>
          <c:extLst>
            <c:ext xmlns:c16="http://schemas.microsoft.com/office/drawing/2014/chart" uri="{C3380CC4-5D6E-409C-BE32-E72D297353CC}">
              <c16:uniqueId val="{00000002-114F-41FB-8286-9620C4091079}"/>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IPP'!$R$30:$AZ$30</c:f>
              <c:numCache>
                <c:formatCode>0.0</c:formatCode>
                <c:ptCount val="35"/>
                <c:pt idx="0">
                  <c:v>0.69497691812608775</c:v>
                </c:pt>
                <c:pt idx="1">
                  <c:v>0.78508725997594342</c:v>
                </c:pt>
                <c:pt idx="2">
                  <c:v>0.99073344247385264</c:v>
                </c:pt>
                <c:pt idx="3">
                  <c:v>0.60112803930591463</c:v>
                </c:pt>
                <c:pt idx="4">
                  <c:v>0.8056510855242317</c:v>
                </c:pt>
                <c:pt idx="5">
                  <c:v>0.37292975928366701</c:v>
                </c:pt>
                <c:pt idx="6">
                  <c:v>0.2287440311870737</c:v>
                </c:pt>
                <c:pt idx="7">
                  <c:v>0.25105221227274938</c:v>
                </c:pt>
                <c:pt idx="8">
                  <c:v>0.39859566543955655</c:v>
                </c:pt>
                <c:pt idx="9">
                  <c:v>0.93860836876068798</c:v>
                </c:pt>
                <c:pt idx="10">
                  <c:v>0.85733344200421968</c:v>
                </c:pt>
                <c:pt idx="11">
                  <c:v>0.96180148351524564</c:v>
                </c:pt>
                <c:pt idx="12">
                  <c:v>0.66382399405022563</c:v>
                </c:pt>
                <c:pt idx="13">
                  <c:v>0.46639173271760581</c:v>
                </c:pt>
                <c:pt idx="14">
                  <c:v>0.40419840691742392</c:v>
                </c:pt>
                <c:pt idx="15">
                  <c:v>0.14440932883616353</c:v>
                </c:pt>
                <c:pt idx="16">
                  <c:v>0.25807569584954537</c:v>
                </c:pt>
                <c:pt idx="17">
                  <c:v>1.4459010693799896E-2</c:v>
                </c:pt>
                <c:pt idx="18">
                  <c:v>-0.25651049213587473</c:v>
                </c:pt>
                <c:pt idx="19">
                  <c:v>-0.34928328908715511</c:v>
                </c:pt>
                <c:pt idx="20">
                  <c:v>-0.60808014688232759</c:v>
                </c:pt>
                <c:pt idx="21">
                  <c:v>-2.0880437771647515</c:v>
                </c:pt>
                <c:pt idx="22">
                  <c:v>-0.5397213489370003</c:v>
                </c:pt>
                <c:pt idx="23">
                  <c:v>0.14511452076092651</c:v>
                </c:pt>
                <c:pt idx="24">
                  <c:v>0.49633095542560152</c:v>
                </c:pt>
                <c:pt idx="25">
                  <c:v>3.0129249260537665</c:v>
                </c:pt>
                <c:pt idx="26">
                  <c:v>0.7364847818203093</c:v>
                </c:pt>
                <c:pt idx="27">
                  <c:v>-5.6080447887036575E-2</c:v>
                </c:pt>
                <c:pt idx="28">
                  <c:v>0.14951375880960249</c:v>
                </c:pt>
                <c:pt idx="29">
                  <c:v>-0.43703762786363681</c:v>
                </c:pt>
                <c:pt idx="30">
                  <c:v>-0.39225525137063932</c:v>
                </c:pt>
                <c:pt idx="31">
                  <c:v>-0.25495163136202598</c:v>
                </c:pt>
                <c:pt idx="32">
                  <c:v>-0.35282146304192297</c:v>
                </c:pt>
                <c:pt idx="33">
                  <c:v>-0.15021143576781981</c:v>
                </c:pt>
                <c:pt idx="34">
                  <c:v>-8.092410297917596E-2</c:v>
                </c:pt>
              </c:numCache>
            </c:numRef>
          </c:val>
          <c:extLst>
            <c:ext xmlns:c16="http://schemas.microsoft.com/office/drawing/2014/chart" uri="{C3380CC4-5D6E-409C-BE32-E72D297353CC}">
              <c16:uniqueId val="{00000003-114F-41FB-8286-9620C4091079}"/>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IPP'!$R$31:$AZ$31</c:f>
              <c:numCache>
                <c:formatCode>0.0</c:formatCode>
                <c:ptCount val="35"/>
                <c:pt idx="0">
                  <c:v>0.1027327576526751</c:v>
                </c:pt>
                <c:pt idx="1">
                  <c:v>1.7022273503113729E-2</c:v>
                </c:pt>
                <c:pt idx="2">
                  <c:v>3.1451678515105025E-2</c:v>
                </c:pt>
                <c:pt idx="3">
                  <c:v>-6.714829981087185E-2</c:v>
                </c:pt>
                <c:pt idx="4">
                  <c:v>-1.2685476667277868E-2</c:v>
                </c:pt>
                <c:pt idx="5">
                  <c:v>7.6588175669582884E-2</c:v>
                </c:pt>
                <c:pt idx="6">
                  <c:v>4.5204856094121497E-2</c:v>
                </c:pt>
                <c:pt idx="7">
                  <c:v>0.16194666355811363</c:v>
                </c:pt>
                <c:pt idx="8">
                  <c:v>0.1616957318596623</c:v>
                </c:pt>
                <c:pt idx="9">
                  <c:v>0.34034954986554128</c:v>
                </c:pt>
                <c:pt idx="10">
                  <c:v>0.22387493834902875</c:v>
                </c:pt>
                <c:pt idx="11">
                  <c:v>0.23474883574173114</c:v>
                </c:pt>
                <c:pt idx="12">
                  <c:v>0.37691682805498339</c:v>
                </c:pt>
                <c:pt idx="13">
                  <c:v>0.16170745152429125</c:v>
                </c:pt>
                <c:pt idx="14">
                  <c:v>0.63541368560223788</c:v>
                </c:pt>
                <c:pt idx="15">
                  <c:v>0.32151776055716974</c:v>
                </c:pt>
                <c:pt idx="16">
                  <c:v>-0.11432204894408456</c:v>
                </c:pt>
                <c:pt idx="17">
                  <c:v>-5.1757146500390386E-2</c:v>
                </c:pt>
                <c:pt idx="18">
                  <c:v>-0.58706510968263592</c:v>
                </c:pt>
                <c:pt idx="19">
                  <c:v>-0.3548718823744117</c:v>
                </c:pt>
                <c:pt idx="20">
                  <c:v>-8.5397778834990529E-2</c:v>
                </c:pt>
                <c:pt idx="21">
                  <c:v>-0.27817734072291866</c:v>
                </c:pt>
                <c:pt idx="22">
                  <c:v>-2.9065624151318067E-3</c:v>
                </c:pt>
                <c:pt idx="23">
                  <c:v>-5.9498285904227904E-3</c:v>
                </c:pt>
                <c:pt idx="24">
                  <c:v>0.12344573775217332</c:v>
                </c:pt>
                <c:pt idx="25">
                  <c:v>0.16503598968244673</c:v>
                </c:pt>
                <c:pt idx="26">
                  <c:v>0.21876908691427976</c:v>
                </c:pt>
                <c:pt idx="27">
                  <c:v>-0.21769009003115014</c:v>
                </c:pt>
                <c:pt idx="28">
                  <c:v>1.6809689420158321E-2</c:v>
                </c:pt>
                <c:pt idx="29">
                  <c:v>-1.2858202239140653E-2</c:v>
                </c:pt>
                <c:pt idx="30">
                  <c:v>6.771202933633047E-2</c:v>
                </c:pt>
                <c:pt idx="31">
                  <c:v>0.43638301343145697</c:v>
                </c:pt>
                <c:pt idx="32">
                  <c:v>0.15567912415874877</c:v>
                </c:pt>
                <c:pt idx="33">
                  <c:v>6.4166927197121471E-2</c:v>
                </c:pt>
                <c:pt idx="34">
                  <c:v>-0.12404251915592207</c:v>
                </c:pt>
              </c:numCache>
            </c:numRef>
          </c:val>
          <c:extLst>
            <c:ext xmlns:c16="http://schemas.microsoft.com/office/drawing/2014/chart" uri="{C3380CC4-5D6E-409C-BE32-E72D297353CC}">
              <c16:uniqueId val="{00000004-114F-41FB-8286-9620C4091079}"/>
            </c:ext>
          </c:extLst>
        </c:ser>
        <c:ser>
          <c:idx val="5"/>
          <c:order val="5"/>
          <c:tx>
            <c:strRef>
              <c:f>'GRAF příspěvky IPP'!$A$32</c:f>
              <c:strCache>
                <c:ptCount val="1"/>
                <c:pt idx="0">
                  <c:v>Chemický a farmaceutický pr. (20, 21)</c:v>
                </c:pt>
              </c:strCache>
            </c:strRef>
          </c:tx>
          <c:spPr>
            <a:solidFill>
              <a:srgbClr val="F8A124"/>
            </a:solidFill>
            <a:ln>
              <a:noFill/>
            </a:ln>
          </c:spPr>
          <c:invertIfNegative val="0"/>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IPP'!$R$32:$AZ$32</c:f>
              <c:numCache>
                <c:formatCode>0.0</c:formatCode>
                <c:ptCount val="35"/>
                <c:pt idx="0">
                  <c:v>7.7208317080078359E-2</c:v>
                </c:pt>
                <c:pt idx="1">
                  <c:v>0.23592866818826699</c:v>
                </c:pt>
                <c:pt idx="2">
                  <c:v>-0.16336143877828879</c:v>
                </c:pt>
                <c:pt idx="3">
                  <c:v>-0.33439989501658057</c:v>
                </c:pt>
                <c:pt idx="4">
                  <c:v>-0.41779515285163188</c:v>
                </c:pt>
                <c:pt idx="5">
                  <c:v>-0.4256981935976209</c:v>
                </c:pt>
                <c:pt idx="6">
                  <c:v>-0.10788089066016879</c:v>
                </c:pt>
                <c:pt idx="7">
                  <c:v>0.23743965472329776</c:v>
                </c:pt>
                <c:pt idx="8">
                  <c:v>0.52311070740015453</c:v>
                </c:pt>
                <c:pt idx="9">
                  <c:v>0.82341422334347336</c:v>
                </c:pt>
                <c:pt idx="10">
                  <c:v>0.65076836480306144</c:v>
                </c:pt>
                <c:pt idx="11">
                  <c:v>0.50493978173151732</c:v>
                </c:pt>
                <c:pt idx="12">
                  <c:v>0.40295639892988178</c:v>
                </c:pt>
                <c:pt idx="13">
                  <c:v>8.0557374992047487E-2</c:v>
                </c:pt>
                <c:pt idx="14">
                  <c:v>-5.3154805616806716E-2</c:v>
                </c:pt>
                <c:pt idx="15">
                  <c:v>-6.7994611415210474E-2</c:v>
                </c:pt>
                <c:pt idx="16">
                  <c:v>0.10386183133359356</c:v>
                </c:pt>
                <c:pt idx="17">
                  <c:v>4.7610492592970503E-2</c:v>
                </c:pt>
                <c:pt idx="18">
                  <c:v>0.23071819932128174</c:v>
                </c:pt>
                <c:pt idx="19">
                  <c:v>3.0462943071166721E-2</c:v>
                </c:pt>
                <c:pt idx="20">
                  <c:v>-3.1218778316377309E-2</c:v>
                </c:pt>
                <c:pt idx="21">
                  <c:v>-0.54858975903434926</c:v>
                </c:pt>
                <c:pt idx="22">
                  <c:v>-0.21411469460909971</c:v>
                </c:pt>
                <c:pt idx="23">
                  <c:v>0.43233148897113949</c:v>
                </c:pt>
                <c:pt idx="24">
                  <c:v>0.28829426971776562</c:v>
                </c:pt>
                <c:pt idx="25">
                  <c:v>0.79933281321603367</c:v>
                </c:pt>
                <c:pt idx="26">
                  <c:v>0.31192170113272616</c:v>
                </c:pt>
                <c:pt idx="27">
                  <c:v>7.2471498351694724E-2</c:v>
                </c:pt>
                <c:pt idx="28">
                  <c:v>0.25166918121745457</c:v>
                </c:pt>
                <c:pt idx="29">
                  <c:v>0.17196461710718774</c:v>
                </c:pt>
                <c:pt idx="30">
                  <c:v>-8.828884317687026E-2</c:v>
                </c:pt>
                <c:pt idx="31">
                  <c:v>-0.2680061496566824</c:v>
                </c:pt>
                <c:pt idx="32">
                  <c:v>-0.57163115833368494</c:v>
                </c:pt>
                <c:pt idx="33">
                  <c:v>-0.14506972624295028</c:v>
                </c:pt>
                <c:pt idx="34">
                  <c:v>0.10963875454666763</c:v>
                </c:pt>
              </c:numCache>
            </c:numRef>
          </c:val>
          <c:extLst>
            <c:ext xmlns:c16="http://schemas.microsoft.com/office/drawing/2014/chart" uri="{C3380CC4-5D6E-409C-BE32-E72D297353CC}">
              <c16:uniqueId val="{00000005-114F-41FB-8286-9620C4091079}"/>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IPP'!$R$33:$AZ$33</c:f>
              <c:numCache>
                <c:formatCode>0.0</c:formatCode>
                <c:ptCount val="35"/>
                <c:pt idx="0">
                  <c:v>0.98358746940884156</c:v>
                </c:pt>
                <c:pt idx="1">
                  <c:v>0.89923246363091258</c:v>
                </c:pt>
                <c:pt idx="2">
                  <c:v>1.0053837817799156</c:v>
                </c:pt>
                <c:pt idx="3">
                  <c:v>-0.19974639261353117</c:v>
                </c:pt>
                <c:pt idx="4">
                  <c:v>0.24329990001743812</c:v>
                </c:pt>
                <c:pt idx="5">
                  <c:v>-0.35930073634948229</c:v>
                </c:pt>
                <c:pt idx="6">
                  <c:v>5.4611870755816527E-2</c:v>
                </c:pt>
                <c:pt idx="7">
                  <c:v>0.57938738739231088</c:v>
                </c:pt>
                <c:pt idx="8">
                  <c:v>0.10796722998385985</c:v>
                </c:pt>
                <c:pt idx="9">
                  <c:v>1.4849667962274007</c:v>
                </c:pt>
                <c:pt idx="10">
                  <c:v>0.76494329225869107</c:v>
                </c:pt>
                <c:pt idx="11">
                  <c:v>0.92981101776031461</c:v>
                </c:pt>
                <c:pt idx="12">
                  <c:v>1.1595945228996418</c:v>
                </c:pt>
                <c:pt idx="13">
                  <c:v>0.67905455733759912</c:v>
                </c:pt>
                <c:pt idx="14">
                  <c:v>1.1071544502276778</c:v>
                </c:pt>
                <c:pt idx="15">
                  <c:v>0.4584448107077343</c:v>
                </c:pt>
                <c:pt idx="16">
                  <c:v>-4.2034374602744368E-2</c:v>
                </c:pt>
                <c:pt idx="17">
                  <c:v>4.7080538912346835E-2</c:v>
                </c:pt>
                <c:pt idx="18">
                  <c:v>-0.67715517865173591</c:v>
                </c:pt>
                <c:pt idx="19">
                  <c:v>-0.19783909206023606</c:v>
                </c:pt>
                <c:pt idx="20">
                  <c:v>7.5330777097787807E-2</c:v>
                </c:pt>
                <c:pt idx="21">
                  <c:v>-2.8438492263065771</c:v>
                </c:pt>
                <c:pt idx="22">
                  <c:v>8.8873578450227766E-2</c:v>
                </c:pt>
                <c:pt idx="23">
                  <c:v>0.13876281570830271</c:v>
                </c:pt>
                <c:pt idx="24">
                  <c:v>0.21014615403228629</c:v>
                </c:pt>
                <c:pt idx="25">
                  <c:v>5.1936386612240097</c:v>
                </c:pt>
                <c:pt idx="26">
                  <c:v>1.032185936230807</c:v>
                </c:pt>
                <c:pt idx="27">
                  <c:v>0.89862515479967531</c:v>
                </c:pt>
                <c:pt idx="28">
                  <c:v>1.4477648866266317</c:v>
                </c:pt>
                <c:pt idx="29">
                  <c:v>0.42788335133009942</c:v>
                </c:pt>
                <c:pt idx="30">
                  <c:v>-0.56015275001888865</c:v>
                </c:pt>
                <c:pt idx="31">
                  <c:v>-0.6789527878498256</c:v>
                </c:pt>
                <c:pt idx="32">
                  <c:v>-2.2526970875163612</c:v>
                </c:pt>
                <c:pt idx="33">
                  <c:v>-2.426512521968597</c:v>
                </c:pt>
                <c:pt idx="34">
                  <c:v>-1.763267198409129</c:v>
                </c:pt>
              </c:numCache>
            </c:numRef>
          </c:val>
          <c:extLst>
            <c:ext xmlns:c16="http://schemas.microsoft.com/office/drawing/2014/chart" uri="{C3380CC4-5D6E-409C-BE32-E72D297353CC}">
              <c16:uniqueId val="{00000006-114F-41FB-8286-9620C4091079}"/>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IPP'!$R$34:$AZ$34</c:f>
              <c:numCache>
                <c:formatCode>0.0</c:formatCode>
                <c:ptCount val="35"/>
                <c:pt idx="0">
                  <c:v>0.1453689780549717</c:v>
                </c:pt>
                <c:pt idx="1">
                  <c:v>-0.33983324755997341</c:v>
                </c:pt>
                <c:pt idx="2">
                  <c:v>-0.39725135811041795</c:v>
                </c:pt>
                <c:pt idx="3">
                  <c:v>-1.114644115487744</c:v>
                </c:pt>
                <c:pt idx="4">
                  <c:v>-0.64587487131351395</c:v>
                </c:pt>
                <c:pt idx="5">
                  <c:v>9.8834575359488558E-2</c:v>
                </c:pt>
                <c:pt idx="6">
                  <c:v>-0.47676721369922492</c:v>
                </c:pt>
                <c:pt idx="7">
                  <c:v>0.50385695934700236</c:v>
                </c:pt>
                <c:pt idx="8">
                  <c:v>0.66227118757014225</c:v>
                </c:pt>
                <c:pt idx="9">
                  <c:v>-0.18254891472265244</c:v>
                </c:pt>
                <c:pt idx="10">
                  <c:v>0.77170124339672419</c:v>
                </c:pt>
                <c:pt idx="11">
                  <c:v>0.73276064564398036</c:v>
                </c:pt>
                <c:pt idx="12">
                  <c:v>-0.53888499639537213</c:v>
                </c:pt>
                <c:pt idx="13">
                  <c:v>4.2147847309763065E-3</c:v>
                </c:pt>
                <c:pt idx="14">
                  <c:v>0.78783573859879275</c:v>
                </c:pt>
                <c:pt idx="15">
                  <c:v>0.33124933161720838</c:v>
                </c:pt>
                <c:pt idx="16">
                  <c:v>0.21326825173098632</c:v>
                </c:pt>
                <c:pt idx="17">
                  <c:v>4.589162719492975E-2</c:v>
                </c:pt>
                <c:pt idx="18">
                  <c:v>-0.66559651426950106</c:v>
                </c:pt>
                <c:pt idx="19">
                  <c:v>-0.33090808889302442</c:v>
                </c:pt>
                <c:pt idx="20">
                  <c:v>-0.9734250681056652</c:v>
                </c:pt>
                <c:pt idx="21">
                  <c:v>-1.5875613971615914</c:v>
                </c:pt>
                <c:pt idx="22">
                  <c:v>-0.71564578738754991</c:v>
                </c:pt>
                <c:pt idx="23">
                  <c:v>-0.69506985368693941</c:v>
                </c:pt>
                <c:pt idx="24">
                  <c:v>0.48072477574831834</c:v>
                </c:pt>
                <c:pt idx="25">
                  <c:v>0.46331760076263367</c:v>
                </c:pt>
                <c:pt idx="26">
                  <c:v>0.22196846067872966</c:v>
                </c:pt>
                <c:pt idx="27">
                  <c:v>0.81349879426535543</c:v>
                </c:pt>
                <c:pt idx="28">
                  <c:v>-0.17518261564754817</c:v>
                </c:pt>
                <c:pt idx="29">
                  <c:v>0.27450121496530167</c:v>
                </c:pt>
                <c:pt idx="30">
                  <c:v>0.37994694442243832</c:v>
                </c:pt>
                <c:pt idx="31">
                  <c:v>-1.372950167074922</c:v>
                </c:pt>
                <c:pt idx="32">
                  <c:v>-1.2156909681546337</c:v>
                </c:pt>
                <c:pt idx="33">
                  <c:v>-1.5181995910508179</c:v>
                </c:pt>
                <c:pt idx="34">
                  <c:v>-1.5826988729318689</c:v>
                </c:pt>
              </c:numCache>
            </c:numRef>
          </c:val>
          <c:extLst>
            <c:ext xmlns:c16="http://schemas.microsoft.com/office/drawing/2014/chart" uri="{C3380CC4-5D6E-409C-BE32-E72D297353CC}">
              <c16:uniqueId val="{00000007-114F-41FB-8286-9620C4091079}"/>
            </c:ext>
          </c:extLst>
        </c:ser>
        <c:dLbls>
          <c:showLegendKey val="0"/>
          <c:showVal val="0"/>
          <c:showCatName val="0"/>
          <c:showSerName val="0"/>
          <c:showPercent val="0"/>
          <c:showBubbleSize val="0"/>
        </c:dLbls>
        <c:gapWidth val="15"/>
        <c:overlap val="100"/>
        <c:axId val="39546880"/>
        <c:axId val="39548416"/>
      </c:barChart>
      <c:lineChart>
        <c:grouping val="standard"/>
        <c:varyColors val="0"/>
        <c:ser>
          <c:idx val="8"/>
          <c:order val="8"/>
          <c:tx>
            <c:strRef>
              <c:f>'GRAF příspěvky IPP'!$A$35</c:f>
              <c:strCache>
                <c:ptCount val="1"/>
                <c:pt idx="0">
                  <c:v>Průmysl celkem (NACE B až D)</c:v>
                </c:pt>
              </c:strCache>
            </c:strRef>
          </c:tx>
          <c:spPr>
            <a:ln w="19050">
              <a:noFill/>
            </a:ln>
          </c:spPr>
          <c:marker>
            <c:symbol val="circle"/>
            <c:size val="4"/>
            <c:spPr>
              <a:solidFill>
                <a:srgbClr val="FFFF00"/>
              </a:solidFill>
              <a:ln>
                <a:solidFill>
                  <a:schemeClr val="tx1">
                    <a:lumMod val="95000"/>
                    <a:lumOff val="5000"/>
                  </a:schemeClr>
                </a:solidFill>
              </a:ln>
            </c:spPr>
          </c:marker>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IPP'!$R$35:$AZ$35</c:f>
              <c:numCache>
                <c:formatCode>0.0</c:formatCode>
                <c:ptCount val="35"/>
                <c:pt idx="0">
                  <c:v>4.8516197114000104</c:v>
                </c:pt>
                <c:pt idx="1">
                  <c:v>5.305764664700007</c:v>
                </c:pt>
                <c:pt idx="2">
                  <c:v>5.6509723287999831</c:v>
                </c:pt>
                <c:pt idx="3">
                  <c:v>2.4035243305000051</c:v>
                </c:pt>
                <c:pt idx="4">
                  <c:v>4.4795186779000025</c:v>
                </c:pt>
                <c:pt idx="5">
                  <c:v>2.5440704272999994</c:v>
                </c:pt>
                <c:pt idx="6">
                  <c:v>1.6941973048000023</c:v>
                </c:pt>
                <c:pt idx="7">
                  <c:v>3.5126955949999967</c:v>
                </c:pt>
                <c:pt idx="8">
                  <c:v>4.7458417447000034</c:v>
                </c:pt>
                <c:pt idx="9">
                  <c:v>8.0826593818000028</c:v>
                </c:pt>
                <c:pt idx="10">
                  <c:v>6.5865810428999865</c:v>
                </c:pt>
                <c:pt idx="11">
                  <c:v>7.4885543312999845</c:v>
                </c:pt>
                <c:pt idx="12">
                  <c:v>4.2941434987999969</c:v>
                </c:pt>
                <c:pt idx="13">
                  <c:v>2.4045915341999988</c:v>
                </c:pt>
                <c:pt idx="14">
                  <c:v>3.7412027468000035</c:v>
                </c:pt>
                <c:pt idx="15">
                  <c:v>1.9131264158999917</c:v>
                </c:pt>
                <c:pt idx="16">
                  <c:v>0.859909602100006</c:v>
                </c:pt>
                <c:pt idx="17">
                  <c:v>0.98874527809999913</c:v>
                </c:pt>
                <c:pt idx="18">
                  <c:v>-1.2008161934000015</c:v>
                </c:pt>
                <c:pt idx="19">
                  <c:v>-2.0241899479000036</c:v>
                </c:pt>
                <c:pt idx="20">
                  <c:v>-4.4083107225000084</c:v>
                </c:pt>
                <c:pt idx="21">
                  <c:v>-22.95307592530003</c:v>
                </c:pt>
                <c:pt idx="22">
                  <c:v>-2.7947559611999981</c:v>
                </c:pt>
                <c:pt idx="23">
                  <c:v>2.1023200512000022</c:v>
                </c:pt>
                <c:pt idx="24">
                  <c:v>4.2905022019999945</c:v>
                </c:pt>
                <c:pt idx="25">
                  <c:v>28.237467680700007</c:v>
                </c:pt>
                <c:pt idx="26">
                  <c:v>-8.5296171199999812E-2</c:v>
                </c:pt>
                <c:pt idx="27">
                  <c:v>-1.8829755502000021</c:v>
                </c:pt>
                <c:pt idx="28">
                  <c:v>0.25201248439999874</c:v>
                </c:pt>
                <c:pt idx="29">
                  <c:v>0.74646170319999783</c:v>
                </c:pt>
                <c:pt idx="30">
                  <c:v>6.0577396899000036</c:v>
                </c:pt>
                <c:pt idx="31">
                  <c:v>3.1780106078000045</c:v>
                </c:pt>
                <c:pt idx="32">
                  <c:v>1.151607036300009</c:v>
                </c:pt>
                <c:pt idx="33">
                  <c:v>1.084207097900006</c:v>
                </c:pt>
                <c:pt idx="34">
                  <c:v>-3.4702166347999963</c:v>
                </c:pt>
              </c:numCache>
            </c:numRef>
          </c:val>
          <c:smooth val="0"/>
          <c:extLst>
            <c:ext xmlns:c16="http://schemas.microsoft.com/office/drawing/2014/chart" uri="{C3380CC4-5D6E-409C-BE32-E72D297353CC}">
              <c16:uniqueId val="{00000008-114F-41FB-8286-9620C4091079}"/>
            </c:ext>
          </c:extLst>
        </c:ser>
        <c:dLbls>
          <c:showLegendKey val="0"/>
          <c:showVal val="0"/>
          <c:showCatName val="0"/>
          <c:showSerName val="0"/>
          <c:showPercent val="0"/>
          <c:showBubbleSize val="0"/>
        </c:dLbls>
        <c:marker val="1"/>
        <c:smooth val="0"/>
        <c:axId val="39546880"/>
        <c:axId val="39548416"/>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IPP'!$R$36:$AZ$36</c:f>
              <c:numCache>
                <c:formatCode>General</c:formatCode>
                <c:ptCount val="35"/>
              </c:numCache>
            </c:numRef>
          </c:val>
          <c:smooth val="0"/>
          <c:extLst>
            <c:ext xmlns:c16="http://schemas.microsoft.com/office/drawing/2014/chart" uri="{C3380CC4-5D6E-409C-BE32-E72D297353CC}">
              <c16:uniqueId val="{00000009-114F-41FB-8286-9620C4091079}"/>
            </c:ext>
          </c:extLst>
        </c:ser>
        <c:ser>
          <c:idx val="10"/>
          <c:order val="10"/>
          <c:tx>
            <c:strRef>
              <c:f>'GRAF příspěvky IPP'!$A$37</c:f>
              <c:strCache>
                <c:ptCount val="1"/>
                <c:pt idx="0">
                  <c:v>Produkce, prům. v ČR celkem (2015=100)</c:v>
                </c:pt>
              </c:strCache>
            </c:strRef>
          </c:tx>
          <c:spPr>
            <a:ln w="15875">
              <a:solidFill>
                <a:schemeClr val="tx1">
                  <a:lumMod val="95000"/>
                  <a:lumOff val="5000"/>
                </a:schemeClr>
              </a:solidFill>
            </a:ln>
          </c:spPr>
          <c:marker>
            <c:symbol val="none"/>
          </c:marker>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IPP'!$R$37:$AZ$37</c:f>
              <c:numCache>
                <c:formatCode>##0.0</c:formatCode>
                <c:ptCount val="35"/>
                <c:pt idx="0">
                  <c:v>98.64560247999998</c:v>
                </c:pt>
                <c:pt idx="1">
                  <c:v>100.18242374</c:v>
                </c:pt>
                <c:pt idx="2">
                  <c:v>101.2850845633</c:v>
                </c:pt>
                <c:pt idx="3">
                  <c:v>100.52111345000014</c:v>
                </c:pt>
                <c:pt idx="4">
                  <c:v>103.0563593</c:v>
                </c:pt>
                <c:pt idx="5">
                  <c:v>102.59927942330019</c:v>
                </c:pt>
                <c:pt idx="6">
                  <c:v>102.83954233669968</c:v>
                </c:pt>
                <c:pt idx="7">
                  <c:v>104.07328304329998</c:v>
                </c:pt>
                <c:pt idx="8">
                  <c:v>107.56794223670001</c:v>
                </c:pt>
                <c:pt idx="9">
                  <c:v>110.67653847999976</c:v>
                </c:pt>
                <c:pt idx="10">
                  <c:v>109.9586102967</c:v>
                </c:pt>
                <c:pt idx="11">
                  <c:v>112.16043972999998</c:v>
                </c:pt>
                <c:pt idx="12">
                  <c:v>112.4788675433</c:v>
                </c:pt>
                <c:pt idx="13">
                  <c:v>113.50775882669973</c:v>
                </c:pt>
                <c:pt idx="14">
                  <c:v>114.25384011329973</c:v>
                </c:pt>
                <c:pt idx="15">
                  <c:v>113.88130123669973</c:v>
                </c:pt>
                <c:pt idx="16">
                  <c:v>113.38844283329968</c:v>
                </c:pt>
                <c:pt idx="17">
                  <c:v>115.08486213330001</c:v>
                </c:pt>
                <c:pt idx="18">
                  <c:v>112.53550211669962</c:v>
                </c:pt>
                <c:pt idx="19">
                  <c:v>111.44039929330019</c:v>
                </c:pt>
                <c:pt idx="20">
                  <c:v>108.6749157867</c:v>
                </c:pt>
                <c:pt idx="21">
                  <c:v>88.9758235133</c:v>
                </c:pt>
                <c:pt idx="22">
                  <c:v>109.4050159767</c:v>
                </c:pt>
                <c:pt idx="23">
                  <c:v>113.95534516999986</c:v>
                </c:pt>
                <c:pt idx="24">
                  <c:v>112.29207821329975</c:v>
                </c:pt>
                <c:pt idx="25">
                  <c:v>113.25779428000014</c:v>
                </c:pt>
                <c:pt idx="26">
                  <c:v>110.35191377330014</c:v>
                </c:pt>
                <c:pt idx="27">
                  <c:v>111.22766090330023</c:v>
                </c:pt>
                <c:pt idx="28">
                  <c:v>113.38530769330001</c:v>
                </c:pt>
                <c:pt idx="29">
                  <c:v>114.3539904333</c:v>
                </c:pt>
                <c:pt idx="30">
                  <c:v>116.68890733669959</c:v>
                </c:pt>
                <c:pt idx="31">
                  <c:v>115.11272288999986</c:v>
                </c:pt>
                <c:pt idx="32">
                  <c:v>114.37685481669968</c:v>
                </c:pt>
                <c:pt idx="33">
                  <c:v>115.24190149000017</c:v>
                </c:pt>
                <c:pt idx="34">
                  <c:v>112.63826002330002</c:v>
                </c:pt>
              </c:numCache>
            </c:numRef>
          </c:val>
          <c:smooth val="0"/>
          <c:extLst>
            <c:ext xmlns:c16="http://schemas.microsoft.com/office/drawing/2014/chart" uri="{C3380CC4-5D6E-409C-BE32-E72D297353CC}">
              <c16:uniqueId val="{0000000A-114F-41FB-8286-9620C4091079}"/>
            </c:ext>
          </c:extLst>
        </c:ser>
        <c:ser>
          <c:idx val="11"/>
          <c:order val="11"/>
          <c:tx>
            <c:strRef>
              <c:f>'GRAF příspěvky IPP'!$A$38</c:f>
              <c:strCache>
                <c:ptCount val="1"/>
                <c:pt idx="0">
                  <c:v>Produkce, prům. v EU27 celkem (2015=100)</c:v>
                </c:pt>
              </c:strCache>
            </c:strRef>
          </c:tx>
          <c:spPr>
            <a:ln w="15875">
              <a:solidFill>
                <a:schemeClr val="tx1">
                  <a:lumMod val="50000"/>
                  <a:lumOff val="50000"/>
                </a:schemeClr>
              </a:solidFill>
              <a:prstDash val="sysDash"/>
            </a:ln>
          </c:spPr>
          <c:marker>
            <c:symbol val="none"/>
          </c:marker>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IPP'!$R$38:$AZ$38</c:f>
              <c:numCache>
                <c:formatCode>##0.0</c:formatCode>
                <c:ptCount val="35"/>
                <c:pt idx="0">
                  <c:v>99.1</c:v>
                </c:pt>
                <c:pt idx="1">
                  <c:v>100.1</c:v>
                </c:pt>
                <c:pt idx="2">
                  <c:v>100.4</c:v>
                </c:pt>
                <c:pt idx="3">
                  <c:v>100.3</c:v>
                </c:pt>
                <c:pt idx="4">
                  <c:v>101.4</c:v>
                </c:pt>
                <c:pt idx="5">
                  <c:v>101.4</c:v>
                </c:pt>
                <c:pt idx="6">
                  <c:v>101.5</c:v>
                </c:pt>
                <c:pt idx="7">
                  <c:v>102.8</c:v>
                </c:pt>
                <c:pt idx="8">
                  <c:v>102.9</c:v>
                </c:pt>
                <c:pt idx="9">
                  <c:v>104.2</c:v>
                </c:pt>
                <c:pt idx="10">
                  <c:v>105.7</c:v>
                </c:pt>
                <c:pt idx="11">
                  <c:v>107.6</c:v>
                </c:pt>
                <c:pt idx="12">
                  <c:v>106.2</c:v>
                </c:pt>
                <c:pt idx="13">
                  <c:v>106.8</c:v>
                </c:pt>
                <c:pt idx="14">
                  <c:v>106.6</c:v>
                </c:pt>
                <c:pt idx="15">
                  <c:v>106.3</c:v>
                </c:pt>
                <c:pt idx="16">
                  <c:v>107</c:v>
                </c:pt>
                <c:pt idx="17">
                  <c:v>106.8</c:v>
                </c:pt>
                <c:pt idx="18">
                  <c:v>106</c:v>
                </c:pt>
                <c:pt idx="19">
                  <c:v>105.1</c:v>
                </c:pt>
                <c:pt idx="20">
                  <c:v>102.2</c:v>
                </c:pt>
                <c:pt idx="21">
                  <c:v>86.5</c:v>
                </c:pt>
                <c:pt idx="22">
                  <c:v>100.6</c:v>
                </c:pt>
                <c:pt idx="23">
                  <c:v>105.5</c:v>
                </c:pt>
                <c:pt idx="24">
                  <c:v>106.9</c:v>
                </c:pt>
                <c:pt idx="25">
                  <c:v>107</c:v>
                </c:pt>
                <c:pt idx="26">
                  <c:v>107.3</c:v>
                </c:pt>
                <c:pt idx="27">
                  <c:v>109.1</c:v>
                </c:pt>
                <c:pt idx="28">
                  <c:v>109.8</c:v>
                </c:pt>
                <c:pt idx="29">
                  <c:v>110.1</c:v>
                </c:pt>
                <c:pt idx="30">
                  <c:v>112.3</c:v>
                </c:pt>
                <c:pt idx="31">
                  <c:v>111.2</c:v>
                </c:pt>
                <c:pt idx="32">
                  <c:v>110</c:v>
                </c:pt>
                <c:pt idx="33">
                  <c:v>108.8</c:v>
                </c:pt>
                <c:pt idx="34">
                  <c:v>107.6</c:v>
                </c:pt>
              </c:numCache>
            </c:numRef>
          </c:val>
          <c:smooth val="0"/>
          <c:extLst>
            <c:ext xmlns:c16="http://schemas.microsoft.com/office/drawing/2014/chart" uri="{C3380CC4-5D6E-409C-BE32-E72D297353CC}">
              <c16:uniqueId val="{0000000B-114F-41FB-8286-9620C4091079}"/>
            </c:ext>
          </c:extLst>
        </c:ser>
        <c:ser>
          <c:idx val="12"/>
          <c:order val="12"/>
          <c:tx>
            <c:strRef>
              <c:f>'GRAF příspěvky IPP'!$A$39</c:f>
              <c:strCache>
                <c:ptCount val="1"/>
                <c:pt idx="0">
                  <c:v>Produkce, prům. v Německu (2015=100)</c:v>
                </c:pt>
              </c:strCache>
            </c:strRef>
          </c:tx>
          <c:spPr>
            <a:ln w="15875">
              <a:solidFill>
                <a:srgbClr val="996633"/>
              </a:solidFill>
              <a:prstDash val="dash"/>
            </a:ln>
          </c:spPr>
          <c:marker>
            <c:symbol val="none"/>
          </c:marker>
          <c:cat>
            <c:multiLvlStrRef>
              <c:f>'GRAF příspěvky IPP'!$R$25:$AZ$26</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IPP'!$R$39:$AZ$39</c:f>
              <c:numCache>
                <c:formatCode>##0.0</c:formatCode>
                <c:ptCount val="35"/>
                <c:pt idx="0">
                  <c:v>99.1</c:v>
                </c:pt>
                <c:pt idx="1">
                  <c:v>100.3</c:v>
                </c:pt>
                <c:pt idx="2">
                  <c:v>100.1</c:v>
                </c:pt>
                <c:pt idx="3">
                  <c:v>99.6</c:v>
                </c:pt>
                <c:pt idx="4">
                  <c:v>100.7</c:v>
                </c:pt>
                <c:pt idx="5">
                  <c:v>100.3</c:v>
                </c:pt>
                <c:pt idx="6">
                  <c:v>100.6</c:v>
                </c:pt>
                <c:pt idx="7">
                  <c:v>100.7</c:v>
                </c:pt>
                <c:pt idx="8">
                  <c:v>101.2</c:v>
                </c:pt>
                <c:pt idx="9">
                  <c:v>103.2</c:v>
                </c:pt>
                <c:pt idx="10">
                  <c:v>104.9</c:v>
                </c:pt>
                <c:pt idx="11">
                  <c:v>105.7</c:v>
                </c:pt>
                <c:pt idx="12">
                  <c:v>105.1</c:v>
                </c:pt>
                <c:pt idx="13">
                  <c:v>105.9</c:v>
                </c:pt>
                <c:pt idx="14">
                  <c:v>104.8</c:v>
                </c:pt>
                <c:pt idx="15">
                  <c:v>103.3</c:v>
                </c:pt>
                <c:pt idx="16">
                  <c:v>103.2</c:v>
                </c:pt>
                <c:pt idx="17">
                  <c:v>102</c:v>
                </c:pt>
                <c:pt idx="18">
                  <c:v>100.8</c:v>
                </c:pt>
                <c:pt idx="19">
                  <c:v>99.2</c:v>
                </c:pt>
                <c:pt idx="20">
                  <c:v>97.7</c:v>
                </c:pt>
                <c:pt idx="21">
                  <c:v>80</c:v>
                </c:pt>
                <c:pt idx="22">
                  <c:v>91.4</c:v>
                </c:pt>
                <c:pt idx="23">
                  <c:v>97.3</c:v>
                </c:pt>
                <c:pt idx="24">
                  <c:v>97</c:v>
                </c:pt>
                <c:pt idx="25">
                  <c:v>96.4</c:v>
                </c:pt>
                <c:pt idx="26">
                  <c:v>93.8</c:v>
                </c:pt>
                <c:pt idx="27">
                  <c:v>96.1</c:v>
                </c:pt>
                <c:pt idx="28">
                  <c:v>95.8</c:v>
                </c:pt>
                <c:pt idx="29">
                  <c:v>95.2</c:v>
                </c:pt>
                <c:pt idx="30">
                  <c:v>95.7</c:v>
                </c:pt>
                <c:pt idx="31">
                  <c:v>95.3</c:v>
                </c:pt>
                <c:pt idx="32">
                  <c:v>96.2</c:v>
                </c:pt>
                <c:pt idx="33">
                  <c:v>95</c:v>
                </c:pt>
                <c:pt idx="34">
                  <c:v>92.8</c:v>
                </c:pt>
              </c:numCache>
            </c:numRef>
          </c:val>
          <c:smooth val="0"/>
          <c:extLst>
            <c:ext xmlns:c16="http://schemas.microsoft.com/office/drawing/2014/chart" uri="{C3380CC4-5D6E-409C-BE32-E72D297353CC}">
              <c16:uniqueId val="{0000000C-114F-41FB-8286-9620C4091079}"/>
            </c:ext>
          </c:extLst>
        </c:ser>
        <c:dLbls>
          <c:showLegendKey val="0"/>
          <c:showVal val="0"/>
          <c:showCatName val="0"/>
          <c:showSerName val="0"/>
          <c:showPercent val="0"/>
          <c:showBubbleSize val="0"/>
        </c:dLbls>
        <c:marker val="1"/>
        <c:smooth val="0"/>
        <c:axId val="39564800"/>
        <c:axId val="39550336"/>
      </c:lineChart>
      <c:catAx>
        <c:axId val="39546880"/>
        <c:scaling>
          <c:orientation val="minMax"/>
        </c:scaling>
        <c:delete val="0"/>
        <c:axPos val="b"/>
        <c:numFmt formatCode="General" sourceLinked="1"/>
        <c:majorTickMark val="none"/>
        <c:minorTickMark val="none"/>
        <c:tickLblPos val="low"/>
        <c:txPr>
          <a:bodyPr/>
          <a:lstStyle/>
          <a:p>
            <a:pPr>
              <a:defRPr sz="800">
                <a:latin typeface="Arial" pitchFamily="34" charset="0"/>
                <a:cs typeface="Arial" pitchFamily="34" charset="0"/>
              </a:defRPr>
            </a:pPr>
            <a:endParaRPr lang="cs-CZ"/>
          </a:p>
        </c:txPr>
        <c:crossAx val="39548416"/>
        <c:crosses val="autoZero"/>
        <c:auto val="1"/>
        <c:lblAlgn val="ctr"/>
        <c:lblOffset val="0"/>
        <c:noMultiLvlLbl val="0"/>
      </c:catAx>
      <c:valAx>
        <c:axId val="39548416"/>
        <c:scaling>
          <c:orientation val="minMax"/>
          <c:max val="30"/>
          <c:min val="-25"/>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u="none" strike="noStrike" baseline="0">
                    <a:effectLst/>
                  </a:rPr>
                  <a:t>Prům. produkce (příspěvky  k meziroč. změně)</a:t>
                </a:r>
                <a:endParaRPr lang="cs-CZ" sz="700" b="0" i="1">
                  <a:latin typeface="Arial" panose="020B0604020202020204" pitchFamily="34" charset="0"/>
                  <a:cs typeface="Arial" panose="020B0604020202020204" pitchFamily="34" charset="0"/>
                </a:endParaRPr>
              </a:p>
            </c:rich>
          </c:tx>
          <c:layout>
            <c:manualLayout>
              <c:xMode val="edge"/>
              <c:yMode val="edge"/>
              <c:x val="0"/>
              <c:y val="0.11651980043186927"/>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39546880"/>
        <c:crosses val="autoZero"/>
        <c:crossBetween val="between"/>
        <c:majorUnit val="5"/>
      </c:valAx>
      <c:valAx>
        <c:axId val="39550336"/>
        <c:scaling>
          <c:orientation val="minMax"/>
          <c:max val="118"/>
          <c:min val="52"/>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Produkce</a:t>
                </a:r>
                <a:r>
                  <a:rPr lang="cs-CZ" sz="700" b="0" i="1" baseline="0">
                    <a:latin typeface="Arial" panose="020B0604020202020204" pitchFamily="34" charset="0"/>
                    <a:cs typeface="Arial" panose="020B0604020202020204" pitchFamily="34" charset="0"/>
                  </a:rPr>
                  <a:t> </a:t>
                </a:r>
                <a:r>
                  <a:rPr lang="cs-CZ" sz="700" b="0" i="1">
                    <a:latin typeface="Arial" panose="020B0604020202020204" pitchFamily="34" charset="0"/>
                    <a:cs typeface="Arial" panose="020B0604020202020204" pitchFamily="34" charset="0"/>
                  </a:rPr>
                  <a:t>v průmyslu (báze 2015=100)</a:t>
                </a:r>
              </a:p>
            </c:rich>
          </c:tx>
          <c:layout>
            <c:manualLayout>
              <c:xMode val="edge"/>
              <c:yMode val="edge"/>
              <c:x val="0.97040158454025194"/>
              <c:y val="0.1664992231222949"/>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39564800"/>
        <c:crosses val="max"/>
        <c:crossBetween val="between"/>
        <c:majorUnit val="6"/>
      </c:valAx>
      <c:catAx>
        <c:axId val="39564800"/>
        <c:scaling>
          <c:orientation val="minMax"/>
        </c:scaling>
        <c:delete val="1"/>
        <c:axPos val="b"/>
        <c:numFmt formatCode="General" sourceLinked="1"/>
        <c:majorTickMark val="out"/>
        <c:minorTickMark val="none"/>
        <c:tickLblPos val="none"/>
        <c:crossAx val="39550336"/>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576650680252303E-3"/>
          <c:y val="0.78956533796177808"/>
          <c:w val="0.98866589538224858"/>
          <c:h val="0.20327688625655532"/>
        </c:manualLayout>
      </c:layout>
      <c:overlay val="0"/>
      <c:spPr>
        <a:ln w="6350">
          <a:solidFill>
            <a:prstClr val="black">
              <a:lumMod val="95000"/>
              <a:lumOff val="5000"/>
            </a:prstClr>
          </a:solidFill>
        </a:ln>
      </c:spPr>
      <c:txPr>
        <a:bodyPr/>
        <a:lstStyle/>
        <a:p>
          <a:pPr>
            <a:defRPr sz="72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62E-2"/>
          <c:w val="0.84974974879787624"/>
          <c:h val="0.75063602214308733"/>
        </c:manualLayout>
      </c:layout>
      <c:barChart>
        <c:barDir val="col"/>
        <c:grouping val="clustered"/>
        <c:varyColors val="0"/>
        <c:ser>
          <c:idx val="0"/>
          <c:order val="0"/>
          <c:tx>
            <c:strRef>
              <c:f>'výkonnost odvětví 2'!$A$36</c:f>
              <c:strCache>
                <c:ptCount val="1"/>
                <c:pt idx="0">
                  <c:v>Průmyslové zakázky celkem</c:v>
                </c:pt>
              </c:strCache>
            </c:strRef>
          </c:tx>
          <c:spPr>
            <a:solidFill>
              <a:schemeClr val="bg1">
                <a:lumMod val="75000"/>
              </a:schemeClr>
            </a:solidFill>
            <a:ln>
              <a:noFill/>
            </a:ln>
          </c:spPr>
          <c:invertIfNegative val="0"/>
          <c:cat>
            <c:multiLvlStrRef>
              <c:f>'výkonnost odvětví 2'!$R$34:$BA$35</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2'!$R$36:$BA$36</c:f>
              <c:numCache>
                <c:formatCode>##0.0</c:formatCode>
                <c:ptCount val="36"/>
                <c:pt idx="0">
                  <c:v>8.5353894548000024</c:v>
                </c:pt>
                <c:pt idx="1">
                  <c:v>6.3740032441999945</c:v>
                </c:pt>
                <c:pt idx="2">
                  <c:v>6.0540271236999956</c:v>
                </c:pt>
                <c:pt idx="3">
                  <c:v>5.261086897299994</c:v>
                </c:pt>
                <c:pt idx="4">
                  <c:v>2.6398924800999977</c:v>
                </c:pt>
                <c:pt idx="5">
                  <c:v>7.5233833736999909</c:v>
                </c:pt>
                <c:pt idx="6">
                  <c:v>2.3667401951999927</c:v>
                </c:pt>
                <c:pt idx="7">
                  <c:v>6.6372980220999978</c:v>
                </c:pt>
                <c:pt idx="8">
                  <c:v>7.2642637417000104</c:v>
                </c:pt>
                <c:pt idx="9">
                  <c:v>8.2151073244999964</c:v>
                </c:pt>
                <c:pt idx="10">
                  <c:v>7.9541665196999851</c:v>
                </c:pt>
                <c:pt idx="11">
                  <c:v>7.3518853409999858</c:v>
                </c:pt>
                <c:pt idx="12">
                  <c:v>3.4479253911000001</c:v>
                </c:pt>
                <c:pt idx="13">
                  <c:v>3.7095478141000058</c:v>
                </c:pt>
                <c:pt idx="14">
                  <c:v>3.8047927777000012</c:v>
                </c:pt>
                <c:pt idx="15">
                  <c:v>3.0958525625999997</c:v>
                </c:pt>
                <c:pt idx="16">
                  <c:v>3.2186335616000012</c:v>
                </c:pt>
                <c:pt idx="17">
                  <c:v>1.4218114762000056</c:v>
                </c:pt>
                <c:pt idx="18">
                  <c:v>-0.2532203712000019</c:v>
                </c:pt>
                <c:pt idx="19">
                  <c:v>-3.8029715272000004</c:v>
                </c:pt>
                <c:pt idx="20">
                  <c:v>-2.0918519482000022</c:v>
                </c:pt>
                <c:pt idx="21">
                  <c:v>-27.667187618300005</c:v>
                </c:pt>
                <c:pt idx="22">
                  <c:v>-1.310591588500003</c:v>
                </c:pt>
                <c:pt idx="23">
                  <c:v>7.1560873368999847</c:v>
                </c:pt>
                <c:pt idx="24">
                  <c:v>8.4043556738999996</c:v>
                </c:pt>
                <c:pt idx="25">
                  <c:v>47.896596400900002</c:v>
                </c:pt>
                <c:pt idx="26">
                  <c:v>7.3132490553000133</c:v>
                </c:pt>
                <c:pt idx="27">
                  <c:v>3.5534586679000029</c:v>
                </c:pt>
                <c:pt idx="28">
                  <c:v>6.0307372501000005</c:v>
                </c:pt>
                <c:pt idx="29">
                  <c:v>9.7720289173000054</c:v>
                </c:pt>
                <c:pt idx="30">
                  <c:v>14.5753226291</c:v>
                </c:pt>
                <c:pt idx="31">
                  <c:v>12.207556942300002</c:v>
                </c:pt>
                <c:pt idx="32">
                  <c:v>1.8053514363000005</c:v>
                </c:pt>
                <c:pt idx="33">
                  <c:v>-2.7735772471000035</c:v>
                </c:pt>
                <c:pt idx="34">
                  <c:v>-4.7115919059999953</c:v>
                </c:pt>
              </c:numCache>
            </c:numRef>
          </c:val>
          <c:extLst>
            <c:ext xmlns:c16="http://schemas.microsoft.com/office/drawing/2014/chart" uri="{C3380CC4-5D6E-409C-BE32-E72D297353CC}">
              <c16:uniqueId val="{00000000-97D4-4D11-8F68-0162548D7793}"/>
            </c:ext>
          </c:extLst>
        </c:ser>
        <c:dLbls>
          <c:showLegendKey val="0"/>
          <c:showVal val="0"/>
          <c:showCatName val="0"/>
          <c:showSerName val="0"/>
          <c:showPercent val="0"/>
          <c:showBubbleSize val="0"/>
        </c:dLbls>
        <c:gapWidth val="30"/>
        <c:axId val="39631488"/>
        <c:axId val="39637760"/>
      </c:barChart>
      <c:lineChart>
        <c:grouping val="standard"/>
        <c:varyColors val="0"/>
        <c:ser>
          <c:idx val="1"/>
          <c:order val="1"/>
          <c:tx>
            <c:strRef>
              <c:f>'výkonnost odvětví 2'!$A$37</c:f>
              <c:strCache>
                <c:ptCount val="1"/>
                <c:pt idx="0">
                  <c:v>z toho: zakázky z tuzemska</c:v>
                </c:pt>
              </c:strCache>
            </c:strRef>
          </c:tx>
          <c:spPr>
            <a:ln w="15875">
              <a:noFill/>
              <a:prstDash val="sysDot"/>
            </a:ln>
          </c:spPr>
          <c:marker>
            <c:symbol val="diamond"/>
            <c:size val="5"/>
            <c:spPr>
              <a:solidFill>
                <a:srgbClr val="984807"/>
              </a:solidFill>
              <a:ln>
                <a:noFill/>
              </a:ln>
            </c:spPr>
          </c:marker>
          <c:cat>
            <c:multiLvlStrRef>
              <c:f>'výkonnost odvětví 2'!$R$34:$BA$35</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2'!$R$37:$BA$37</c:f>
              <c:numCache>
                <c:formatCode>#\ ##0.0</c:formatCode>
                <c:ptCount val="36"/>
                <c:pt idx="0">
                  <c:v>4.3680291455000031</c:v>
                </c:pt>
                <c:pt idx="1">
                  <c:v>9.9337675293000007</c:v>
                </c:pt>
                <c:pt idx="2">
                  <c:v>-2.8164715103000004</c:v>
                </c:pt>
                <c:pt idx="3">
                  <c:v>-0.26717379199999497</c:v>
                </c:pt>
                <c:pt idx="4">
                  <c:v>1.5962247260000026</c:v>
                </c:pt>
                <c:pt idx="5">
                  <c:v>1.3728557044999981</c:v>
                </c:pt>
                <c:pt idx="6">
                  <c:v>0.22425600770000642</c:v>
                </c:pt>
                <c:pt idx="7">
                  <c:v>2.8114611785999983</c:v>
                </c:pt>
                <c:pt idx="8">
                  <c:v>12.524366763299993</c:v>
                </c:pt>
                <c:pt idx="9">
                  <c:v>15.845604900100017</c:v>
                </c:pt>
                <c:pt idx="10">
                  <c:v>15.906017294300018</c:v>
                </c:pt>
                <c:pt idx="11">
                  <c:v>15.434615524600005</c:v>
                </c:pt>
                <c:pt idx="12">
                  <c:v>1.4469604142999914</c:v>
                </c:pt>
                <c:pt idx="13">
                  <c:v>2.4870435246999989</c:v>
                </c:pt>
                <c:pt idx="14">
                  <c:v>4.7255448689999833</c:v>
                </c:pt>
                <c:pt idx="15">
                  <c:v>3.4943150181999982</c:v>
                </c:pt>
                <c:pt idx="16">
                  <c:v>8.0495745223000057</c:v>
                </c:pt>
                <c:pt idx="17">
                  <c:v>5.3160296459000023</c:v>
                </c:pt>
                <c:pt idx="18">
                  <c:v>0.34661811540000542</c:v>
                </c:pt>
                <c:pt idx="19">
                  <c:v>-1.3207332955000033</c:v>
                </c:pt>
                <c:pt idx="20">
                  <c:v>5.5377026294000018</c:v>
                </c:pt>
                <c:pt idx="21">
                  <c:v>-25.895568979299988</c:v>
                </c:pt>
                <c:pt idx="22">
                  <c:v>-3.0276470073000041</c:v>
                </c:pt>
                <c:pt idx="23">
                  <c:v>6.9204263800999968</c:v>
                </c:pt>
                <c:pt idx="24">
                  <c:v>-2.8106372719999952</c:v>
                </c:pt>
                <c:pt idx="25">
                  <c:v>43.420786243100011</c:v>
                </c:pt>
                <c:pt idx="26">
                  <c:v>9.3034312720000258</c:v>
                </c:pt>
                <c:pt idx="27">
                  <c:v>5.3772359177000055</c:v>
                </c:pt>
                <c:pt idx="28">
                  <c:v>8.297580932200006</c:v>
                </c:pt>
                <c:pt idx="29">
                  <c:v>15.103763284899999</c:v>
                </c:pt>
                <c:pt idx="30">
                  <c:v>25.942190999799962</c:v>
                </c:pt>
                <c:pt idx="31">
                  <c:v>19.224583544299989</c:v>
                </c:pt>
                <c:pt idx="32">
                  <c:v>11.599248715900004</c:v>
                </c:pt>
                <c:pt idx="33">
                  <c:v>2.098843408999997</c:v>
                </c:pt>
                <c:pt idx="34">
                  <c:v>-7.2061625373000027</c:v>
                </c:pt>
              </c:numCache>
            </c:numRef>
          </c:val>
          <c:smooth val="0"/>
          <c:extLst>
            <c:ext xmlns:c16="http://schemas.microsoft.com/office/drawing/2014/chart" uri="{C3380CC4-5D6E-409C-BE32-E72D297353CC}">
              <c16:uniqueId val="{00000001-97D4-4D11-8F68-0162548D7793}"/>
            </c:ext>
          </c:extLst>
        </c:ser>
        <c:dLbls>
          <c:showLegendKey val="0"/>
          <c:showVal val="0"/>
          <c:showCatName val="0"/>
          <c:showSerName val="0"/>
          <c:showPercent val="0"/>
          <c:showBubbleSize val="0"/>
        </c:dLbls>
        <c:marker val="1"/>
        <c:smooth val="0"/>
        <c:axId val="39631488"/>
        <c:axId val="39637760"/>
      </c:lineChart>
      <c:lineChart>
        <c:grouping val="standard"/>
        <c:varyColors val="0"/>
        <c:ser>
          <c:idx val="2"/>
          <c:order val="2"/>
          <c:tx>
            <c:strRef>
              <c:f>'výkonnost odvětví 2'!$A$38</c:f>
              <c:strCache>
                <c:ptCount val="1"/>
                <c:pt idx="0">
                  <c:v>Využití výrob. kapacit v průmyslu celkem</c:v>
                </c:pt>
              </c:strCache>
            </c:strRef>
          </c:tx>
          <c:spPr>
            <a:ln w="15875">
              <a:solidFill>
                <a:schemeClr val="accent6">
                  <a:lumMod val="75000"/>
                </a:schemeClr>
              </a:solidFill>
            </a:ln>
          </c:spPr>
          <c:marker>
            <c:symbol val="none"/>
          </c:marker>
          <c:cat>
            <c:multiLvlStrRef>
              <c:f>'výkonnost odvětví 2'!$R$34:$BA$35</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2'!$R$38:$BA$38</c:f>
              <c:numCache>
                <c:formatCode>##0.0</c:formatCode>
                <c:ptCount val="36"/>
                <c:pt idx="0">
                  <c:v>85.6</c:v>
                </c:pt>
                <c:pt idx="1">
                  <c:v>85.1</c:v>
                </c:pt>
                <c:pt idx="2">
                  <c:v>84.9</c:v>
                </c:pt>
                <c:pt idx="3">
                  <c:v>84.3</c:v>
                </c:pt>
                <c:pt idx="4">
                  <c:v>84</c:v>
                </c:pt>
                <c:pt idx="5">
                  <c:v>85.2</c:v>
                </c:pt>
                <c:pt idx="6">
                  <c:v>84</c:v>
                </c:pt>
                <c:pt idx="7">
                  <c:v>84.8</c:v>
                </c:pt>
                <c:pt idx="8">
                  <c:v>84.7</c:v>
                </c:pt>
                <c:pt idx="9">
                  <c:v>83.7</c:v>
                </c:pt>
                <c:pt idx="10">
                  <c:v>83.8</c:v>
                </c:pt>
                <c:pt idx="11">
                  <c:v>84.4</c:v>
                </c:pt>
                <c:pt idx="12">
                  <c:v>85.33</c:v>
                </c:pt>
                <c:pt idx="13">
                  <c:v>84.89</c:v>
                </c:pt>
                <c:pt idx="14">
                  <c:v>85.13</c:v>
                </c:pt>
                <c:pt idx="15">
                  <c:v>84.76</c:v>
                </c:pt>
                <c:pt idx="16">
                  <c:v>84.93</c:v>
                </c:pt>
                <c:pt idx="17">
                  <c:v>85.19</c:v>
                </c:pt>
                <c:pt idx="18">
                  <c:v>83.6</c:v>
                </c:pt>
                <c:pt idx="19">
                  <c:v>83.7</c:v>
                </c:pt>
                <c:pt idx="20">
                  <c:v>84.2</c:v>
                </c:pt>
                <c:pt idx="21">
                  <c:v>70.400000000000006</c:v>
                </c:pt>
                <c:pt idx="22">
                  <c:v>76.3</c:v>
                </c:pt>
                <c:pt idx="23">
                  <c:v>82.7</c:v>
                </c:pt>
                <c:pt idx="24">
                  <c:v>85.8</c:v>
                </c:pt>
                <c:pt idx="25">
                  <c:v>84.4</c:v>
                </c:pt>
                <c:pt idx="26">
                  <c:v>86.410000000000025</c:v>
                </c:pt>
                <c:pt idx="27">
                  <c:v>77.599999999999994</c:v>
                </c:pt>
                <c:pt idx="28">
                  <c:v>83.6</c:v>
                </c:pt>
                <c:pt idx="29">
                  <c:v>82.169999999999987</c:v>
                </c:pt>
                <c:pt idx="30">
                  <c:v>83.5</c:v>
                </c:pt>
                <c:pt idx="31">
                  <c:v>81.099999999999994</c:v>
                </c:pt>
                <c:pt idx="32">
                  <c:v>81.400000000000006</c:v>
                </c:pt>
                <c:pt idx="33">
                  <c:v>83.7</c:v>
                </c:pt>
                <c:pt idx="34">
                  <c:v>83.5</c:v>
                </c:pt>
                <c:pt idx="35">
                  <c:v>83.6</c:v>
                </c:pt>
              </c:numCache>
            </c:numRef>
          </c:val>
          <c:smooth val="0"/>
          <c:extLst>
            <c:ext xmlns:c16="http://schemas.microsoft.com/office/drawing/2014/chart" uri="{C3380CC4-5D6E-409C-BE32-E72D297353CC}">
              <c16:uniqueId val="{00000002-97D4-4D11-8F68-0162548D7793}"/>
            </c:ext>
          </c:extLst>
        </c:ser>
        <c:ser>
          <c:idx val="3"/>
          <c:order val="3"/>
          <c:tx>
            <c:strRef>
              <c:f>'výkonnost odvětví 2'!$A$39</c:f>
              <c:strCache>
                <c:ptCount val="1"/>
                <c:pt idx="0">
                  <c:v>Využití výrob. kapacit v automobil. prům.</c:v>
                </c:pt>
              </c:strCache>
            </c:strRef>
          </c:tx>
          <c:spPr>
            <a:ln w="15875">
              <a:solidFill>
                <a:schemeClr val="accent6">
                  <a:lumMod val="75000"/>
                </a:schemeClr>
              </a:solidFill>
              <a:prstDash val="sysDash"/>
            </a:ln>
          </c:spPr>
          <c:marker>
            <c:symbol val="none"/>
          </c:marker>
          <c:cat>
            <c:multiLvlStrRef>
              <c:f>'výkonnost odvětví 2'!$R$34:$BA$35</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2'!$R$39:$BA$39</c:f>
              <c:numCache>
                <c:formatCode>##0.0</c:formatCode>
                <c:ptCount val="36"/>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pt idx="31">
                  <c:v>74.099999999999994</c:v>
                </c:pt>
                <c:pt idx="32">
                  <c:v>79.400000000000006</c:v>
                </c:pt>
                <c:pt idx="33">
                  <c:v>92.7</c:v>
                </c:pt>
                <c:pt idx="34">
                  <c:v>92.2</c:v>
                </c:pt>
                <c:pt idx="35">
                  <c:v>92.2</c:v>
                </c:pt>
              </c:numCache>
            </c:numRef>
          </c:val>
          <c:smooth val="0"/>
          <c:extLst>
            <c:ext xmlns:c16="http://schemas.microsoft.com/office/drawing/2014/chart" uri="{C3380CC4-5D6E-409C-BE32-E72D297353CC}">
              <c16:uniqueId val="{00000003-97D4-4D11-8F68-0162548D7793}"/>
            </c:ext>
          </c:extLst>
        </c:ser>
        <c:ser>
          <c:idx val="4"/>
          <c:order val="4"/>
          <c:tx>
            <c:strRef>
              <c:f>'výkonnost odvětví 2'!$A$40</c:f>
              <c:strCache>
                <c:ptCount val="1"/>
                <c:pt idx="0">
                  <c:v>Bariéra růstu: nedostatečná poptávka</c:v>
                </c:pt>
              </c:strCache>
            </c:strRef>
          </c:tx>
          <c:spPr>
            <a:ln w="15875">
              <a:solidFill>
                <a:srgbClr val="00B050"/>
              </a:solidFill>
              <a:prstDash val="solid"/>
            </a:ln>
          </c:spPr>
          <c:marker>
            <c:symbol val="none"/>
          </c:marker>
          <c:cat>
            <c:multiLvlStrRef>
              <c:f>'výkonnost odvětví 2'!$R$34:$BA$35</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2'!$R$40:$BA$40</c:f>
              <c:numCache>
                <c:formatCode>#\ ##0.0</c:formatCode>
                <c:ptCount val="36"/>
                <c:pt idx="0">
                  <c:v>45.3</c:v>
                </c:pt>
                <c:pt idx="1">
                  <c:v>49.6</c:v>
                </c:pt>
                <c:pt idx="2">
                  <c:v>49.7</c:v>
                </c:pt>
                <c:pt idx="3">
                  <c:v>46.4</c:v>
                </c:pt>
                <c:pt idx="4">
                  <c:v>45.9</c:v>
                </c:pt>
                <c:pt idx="5">
                  <c:v>44.6</c:v>
                </c:pt>
                <c:pt idx="6">
                  <c:v>43.8</c:v>
                </c:pt>
                <c:pt idx="7">
                  <c:v>42.9</c:v>
                </c:pt>
                <c:pt idx="8">
                  <c:v>42.7</c:v>
                </c:pt>
                <c:pt idx="9">
                  <c:v>41</c:v>
                </c:pt>
                <c:pt idx="10">
                  <c:v>41.2</c:v>
                </c:pt>
                <c:pt idx="11">
                  <c:v>35.800000000000004</c:v>
                </c:pt>
                <c:pt idx="12">
                  <c:v>35.4</c:v>
                </c:pt>
                <c:pt idx="13">
                  <c:v>36.300000000000004</c:v>
                </c:pt>
                <c:pt idx="14">
                  <c:v>32.4</c:v>
                </c:pt>
                <c:pt idx="15">
                  <c:v>32.9</c:v>
                </c:pt>
                <c:pt idx="16">
                  <c:v>33.800000000000004</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pt idx="31">
                  <c:v>29.4</c:v>
                </c:pt>
                <c:pt idx="32">
                  <c:v>42.5</c:v>
                </c:pt>
                <c:pt idx="33">
                  <c:v>42</c:v>
                </c:pt>
                <c:pt idx="34">
                  <c:v>44.3</c:v>
                </c:pt>
                <c:pt idx="35">
                  <c:v>46.2</c:v>
                </c:pt>
              </c:numCache>
            </c:numRef>
          </c:val>
          <c:smooth val="0"/>
          <c:extLst>
            <c:ext xmlns:c16="http://schemas.microsoft.com/office/drawing/2014/chart" uri="{C3380CC4-5D6E-409C-BE32-E72D297353CC}">
              <c16:uniqueId val="{00000004-97D4-4D11-8F68-0162548D7793}"/>
            </c:ext>
          </c:extLst>
        </c:ser>
        <c:ser>
          <c:idx val="5"/>
          <c:order val="5"/>
          <c:tx>
            <c:strRef>
              <c:f>'výkonnost odvětví 2'!$A$41</c:f>
              <c:strCache>
                <c:ptCount val="1"/>
                <c:pt idx="0">
                  <c:v>Bariéra růstu: nedostatek pracovníků</c:v>
                </c:pt>
              </c:strCache>
            </c:strRef>
          </c:tx>
          <c:spPr>
            <a:ln w="15875">
              <a:solidFill>
                <a:schemeClr val="accent3">
                  <a:lumMod val="75000"/>
                </a:schemeClr>
              </a:solidFill>
              <a:prstDash val="sysDash"/>
            </a:ln>
          </c:spPr>
          <c:marker>
            <c:symbol val="none"/>
          </c:marker>
          <c:cat>
            <c:multiLvlStrRef>
              <c:f>'výkonnost odvětví 2'!$R$34:$BA$35</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2'!$R$41:$BA$41</c:f>
              <c:numCache>
                <c:formatCode>#\ ##0.0</c:formatCode>
                <c:ptCount val="36"/>
                <c:pt idx="0">
                  <c:v>6.1</c:v>
                </c:pt>
                <c:pt idx="1">
                  <c:v>6.9</c:v>
                </c:pt>
                <c:pt idx="2">
                  <c:v>8.7000000000000011</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pt idx="31">
                  <c:v>24.9</c:v>
                </c:pt>
                <c:pt idx="32">
                  <c:v>16.600000000000001</c:v>
                </c:pt>
                <c:pt idx="33">
                  <c:v>20.6</c:v>
                </c:pt>
                <c:pt idx="34">
                  <c:v>18.899999999999999</c:v>
                </c:pt>
                <c:pt idx="35">
                  <c:v>22.5</c:v>
                </c:pt>
              </c:numCache>
            </c:numRef>
          </c:val>
          <c:smooth val="0"/>
          <c:extLst>
            <c:ext xmlns:c16="http://schemas.microsoft.com/office/drawing/2014/chart" uri="{C3380CC4-5D6E-409C-BE32-E72D297353CC}">
              <c16:uniqueId val="{00000005-97D4-4D11-8F68-0162548D7793}"/>
            </c:ext>
          </c:extLst>
        </c:ser>
        <c:ser>
          <c:idx val="6"/>
          <c:order val="6"/>
          <c:tx>
            <c:strRef>
              <c:f>'výkonnost odvětví 2'!$A$42</c:f>
              <c:strCache>
                <c:ptCount val="1"/>
                <c:pt idx="0">
                  <c:v>Bariéra růstu: nedost. materiálu a zařízení</c:v>
                </c:pt>
              </c:strCache>
            </c:strRef>
          </c:tx>
          <c:spPr>
            <a:ln w="15875">
              <a:solidFill>
                <a:srgbClr val="1EB222"/>
              </a:solidFill>
              <a:prstDash val="dashDot"/>
            </a:ln>
          </c:spPr>
          <c:marker>
            <c:symbol val="none"/>
          </c:marker>
          <c:cat>
            <c:multiLvlStrRef>
              <c:f>'výkonnost odvětví 2'!$R$34:$BA$35</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2'!$R$42:$BA$42</c:f>
              <c:numCache>
                <c:formatCode>#\ ##0.0</c:formatCode>
                <c:ptCount val="36"/>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10.200000000000001</c:v>
                </c:pt>
                <c:pt idx="22">
                  <c:v>6.7</c:v>
                </c:pt>
                <c:pt idx="23">
                  <c:v>10.9</c:v>
                </c:pt>
                <c:pt idx="24">
                  <c:v>23.1</c:v>
                </c:pt>
                <c:pt idx="25">
                  <c:v>32.1</c:v>
                </c:pt>
                <c:pt idx="26">
                  <c:v>45.9</c:v>
                </c:pt>
                <c:pt idx="27">
                  <c:v>41.2</c:v>
                </c:pt>
                <c:pt idx="28">
                  <c:v>39.300000000000004</c:v>
                </c:pt>
                <c:pt idx="29">
                  <c:v>47.8</c:v>
                </c:pt>
                <c:pt idx="30">
                  <c:v>53.4</c:v>
                </c:pt>
                <c:pt idx="31">
                  <c:v>46.4</c:v>
                </c:pt>
                <c:pt idx="32">
                  <c:v>37.4</c:v>
                </c:pt>
                <c:pt idx="33">
                  <c:v>32.5</c:v>
                </c:pt>
                <c:pt idx="34">
                  <c:v>20.6</c:v>
                </c:pt>
                <c:pt idx="35">
                  <c:v>17.100000000000001</c:v>
                </c:pt>
              </c:numCache>
            </c:numRef>
          </c:val>
          <c:smooth val="0"/>
          <c:extLst>
            <c:ext xmlns:c16="http://schemas.microsoft.com/office/drawing/2014/chart" uri="{C3380CC4-5D6E-409C-BE32-E72D297353CC}">
              <c16:uniqueId val="{00000006-97D4-4D11-8F68-0162548D7793}"/>
            </c:ext>
          </c:extLst>
        </c:ser>
        <c:ser>
          <c:idx val="7"/>
          <c:order val="7"/>
          <c:tx>
            <c:strRef>
              <c:f>'výkonnost odvětví 2'!$A$43</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2'!$R$34:$BA$35</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2'!$R$43:$BA$43</c:f>
              <c:numCache>
                <c:formatCode>#\ ##0.0</c:formatCode>
                <c:ptCount val="36"/>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0.30000000000000032</c:v>
                </c:pt>
                <c:pt idx="17">
                  <c:v>-2</c:v>
                </c:pt>
                <c:pt idx="18">
                  <c:v>-3</c:v>
                </c:pt>
                <c:pt idx="19">
                  <c:v>-6.7</c:v>
                </c:pt>
                <c:pt idx="20">
                  <c:v>-5</c:v>
                </c:pt>
                <c:pt idx="21">
                  <c:v>-25</c:v>
                </c:pt>
                <c:pt idx="22">
                  <c:v>-6.3</c:v>
                </c:pt>
                <c:pt idx="23">
                  <c:v>-10</c:v>
                </c:pt>
                <c:pt idx="24">
                  <c:v>-1.3</c:v>
                </c:pt>
                <c:pt idx="25">
                  <c:v>5.3</c:v>
                </c:pt>
                <c:pt idx="26">
                  <c:v>-1.3</c:v>
                </c:pt>
                <c:pt idx="27">
                  <c:v>-5.3</c:v>
                </c:pt>
                <c:pt idx="28">
                  <c:v>-0.30000000000000032</c:v>
                </c:pt>
                <c:pt idx="29">
                  <c:v>8.3000000000000007</c:v>
                </c:pt>
                <c:pt idx="30">
                  <c:v>-1.7</c:v>
                </c:pt>
                <c:pt idx="31">
                  <c:v>-8.3000000000000007</c:v>
                </c:pt>
                <c:pt idx="32">
                  <c:v>-10.1</c:v>
                </c:pt>
                <c:pt idx="33">
                  <c:v>-7</c:v>
                </c:pt>
                <c:pt idx="34">
                  <c:v>-7</c:v>
                </c:pt>
                <c:pt idx="35">
                  <c:v>-6</c:v>
                </c:pt>
              </c:numCache>
            </c:numRef>
          </c:val>
          <c:smooth val="0"/>
          <c:extLst>
            <c:ext xmlns:c16="http://schemas.microsoft.com/office/drawing/2014/chart" uri="{C3380CC4-5D6E-409C-BE32-E72D297353CC}">
              <c16:uniqueId val="{00000007-97D4-4D11-8F68-0162548D7793}"/>
            </c:ext>
          </c:extLst>
        </c:ser>
        <c:dLbls>
          <c:showLegendKey val="0"/>
          <c:showVal val="0"/>
          <c:showCatName val="0"/>
          <c:showSerName val="0"/>
          <c:showPercent val="0"/>
          <c:showBubbleSize val="0"/>
        </c:dLbls>
        <c:marker val="1"/>
        <c:smooth val="0"/>
        <c:axId val="39645952"/>
        <c:axId val="39639680"/>
      </c:lineChart>
      <c:catAx>
        <c:axId val="39631488"/>
        <c:scaling>
          <c:orientation val="minMax"/>
        </c:scaling>
        <c:delete val="0"/>
        <c:axPos val="b"/>
        <c:numFmt formatCode="General" sourceLinked="1"/>
        <c:majorTickMark val="out"/>
        <c:minorTickMark val="none"/>
        <c:tickLblPos val="low"/>
        <c:crossAx val="39637760"/>
        <c:crosses val="autoZero"/>
        <c:auto val="1"/>
        <c:lblAlgn val="ctr"/>
        <c:lblOffset val="0"/>
        <c:noMultiLvlLbl val="0"/>
      </c:catAx>
      <c:valAx>
        <c:axId val="39637760"/>
        <c:scaling>
          <c:orientation val="minMax"/>
          <c:max val="90"/>
          <c:min val="-40"/>
        </c:scaling>
        <c:delete val="0"/>
        <c:axPos val="l"/>
        <c:majorGridlines>
          <c:spPr>
            <a:ln>
              <a:solidFill>
                <a:srgbClr val="BEBEBE"/>
              </a:solidFill>
            </a:ln>
          </c:spPr>
        </c:majorGridlines>
        <c:title>
          <c:tx>
            <c:rich>
              <a:bodyPr/>
              <a:lstStyle/>
              <a:p>
                <a:pPr>
                  <a:defRPr sz="700" b="0" i="1"/>
                </a:pPr>
                <a:r>
                  <a:rPr lang="cs-CZ" sz="700" b="0" i="1"/>
                  <a:t>Zakázky</a:t>
                </a:r>
              </a:p>
            </c:rich>
          </c:tx>
          <c:overlay val="0"/>
        </c:title>
        <c:numFmt formatCode="0" sourceLinked="0"/>
        <c:majorTickMark val="out"/>
        <c:minorTickMark val="none"/>
        <c:tickLblPos val="nextTo"/>
        <c:crossAx val="39631488"/>
        <c:crosses val="autoZero"/>
        <c:crossBetween val="between"/>
        <c:majorUnit val="10"/>
      </c:valAx>
      <c:valAx>
        <c:axId val="39639680"/>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a:t>Využití výrob.</a:t>
                </a:r>
                <a:r>
                  <a:rPr lang="cs-CZ" sz="700" b="0" i="1" baseline="0"/>
                  <a:t> </a:t>
                </a:r>
                <a:r>
                  <a:rPr lang="cs-CZ" sz="700" b="0" i="1"/>
                  <a:t>kapacit, bariéry růstu, </a:t>
                </a:r>
                <a:r>
                  <a:rPr lang="cs-CZ" sz="700" b="0" i="1" baseline="0">
                    <a:effectLst/>
                  </a:rPr>
                  <a:t>saldo důvěry</a:t>
                </a:r>
                <a:endParaRPr lang="cs-CZ" sz="700" i="1">
                  <a:effectLst/>
                </a:endParaRPr>
              </a:p>
            </c:rich>
          </c:tx>
          <c:overlay val="0"/>
        </c:title>
        <c:numFmt formatCode="#,##0" sourceLinked="0"/>
        <c:majorTickMark val="out"/>
        <c:minorTickMark val="none"/>
        <c:tickLblPos val="nextTo"/>
        <c:crossAx val="39645952"/>
        <c:crosses val="max"/>
        <c:crossBetween val="between"/>
        <c:majorUnit val="10"/>
      </c:valAx>
      <c:catAx>
        <c:axId val="39645952"/>
        <c:scaling>
          <c:orientation val="minMax"/>
        </c:scaling>
        <c:delete val="1"/>
        <c:axPos val="b"/>
        <c:numFmt formatCode="General" sourceLinked="1"/>
        <c:majorTickMark val="out"/>
        <c:minorTickMark val="none"/>
        <c:tickLblPos val="none"/>
        <c:crossAx val="39639680"/>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7.9116116386739391E-3"/>
          <c:y val="0.85586448957034"/>
          <c:w val="0.97022088641816906"/>
          <c:h val="0.14063307954958187"/>
        </c:manualLayout>
      </c:layout>
      <c:overlay val="0"/>
      <c:spPr>
        <a:ln w="6350">
          <a:solidFill>
            <a:prstClr val="black">
              <a:lumMod val="95000"/>
              <a:lumOff val="5000"/>
            </a:prstClr>
          </a:solidFill>
        </a:ln>
      </c:spPr>
      <c:txPr>
        <a:bodyPr/>
        <a:lstStyle/>
        <a:p>
          <a:pPr>
            <a:defRPr sz="78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299E-2"/>
          <c:y val="1.5663550999370314E-2"/>
          <c:w val="0.85237839893753009"/>
          <c:h val="0.75413191483370479"/>
        </c:manualLayout>
      </c:layout>
      <c:barChart>
        <c:barDir val="col"/>
        <c:grouping val="stacked"/>
        <c:varyColors val="0"/>
        <c:ser>
          <c:idx val="1"/>
          <c:order val="1"/>
          <c:tx>
            <c:strRef>
              <c:f>'výkonnost odvětví 3'!$Y$10</c:f>
              <c:strCache>
                <c:ptCount val="1"/>
                <c:pt idx="0">
                  <c:v>Pozemní stavitelství (příspěvek v p. b.)</c:v>
                </c:pt>
              </c:strCache>
            </c:strRef>
          </c:tx>
          <c:spPr>
            <a:solidFill>
              <a:schemeClr val="accent5">
                <a:lumMod val="60000"/>
                <a:lumOff val="40000"/>
              </a:schemeClr>
            </a:solidFill>
            <a:ln>
              <a:noFill/>
            </a:ln>
          </c:spPr>
          <c:invertIfNegative val="0"/>
          <c:cat>
            <c:multiLvlStrRef>
              <c:f>'výkonnost odvětví 3'!$V$31:$W$66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3'!$Y$31:$Y$66</c:f>
              <c:numCache>
                <c:formatCode>0.0</c:formatCode>
                <c:ptCount val="36"/>
                <c:pt idx="0">
                  <c:v>6.1608280021117059</c:v>
                </c:pt>
                <c:pt idx="1">
                  <c:v>5.233145758167141</c:v>
                </c:pt>
                <c:pt idx="2">
                  <c:v>0.80759607612224849</c:v>
                </c:pt>
                <c:pt idx="3">
                  <c:v>-1.7801931736017587</c:v>
                </c:pt>
                <c:pt idx="4">
                  <c:v>-4.9260426394610803</c:v>
                </c:pt>
                <c:pt idx="5">
                  <c:v>-5.3893761554105328</c:v>
                </c:pt>
                <c:pt idx="6">
                  <c:v>0.86353074351830095</c:v>
                </c:pt>
                <c:pt idx="7">
                  <c:v>4.0249196212832734</c:v>
                </c:pt>
                <c:pt idx="8">
                  <c:v>1.9522274027606881</c:v>
                </c:pt>
                <c:pt idx="9">
                  <c:v>10.53618103638459</c:v>
                </c:pt>
                <c:pt idx="10">
                  <c:v>3.6081127397870412</c:v>
                </c:pt>
                <c:pt idx="11">
                  <c:v>2.5440603272321791</c:v>
                </c:pt>
                <c:pt idx="12">
                  <c:v>13.904954514953626</c:v>
                </c:pt>
                <c:pt idx="13">
                  <c:v>6.2181132474761052</c:v>
                </c:pt>
                <c:pt idx="14">
                  <c:v>7.7210558178298472</c:v>
                </c:pt>
                <c:pt idx="15">
                  <c:v>2.6259550657116648</c:v>
                </c:pt>
                <c:pt idx="16">
                  <c:v>2.9182336777181717</c:v>
                </c:pt>
                <c:pt idx="17">
                  <c:v>2.536405656593042</c:v>
                </c:pt>
                <c:pt idx="18">
                  <c:v>-0.98563922125675008</c:v>
                </c:pt>
                <c:pt idx="19">
                  <c:v>2.5504281086949971</c:v>
                </c:pt>
                <c:pt idx="20">
                  <c:v>-0.49220764984023602</c:v>
                </c:pt>
                <c:pt idx="21">
                  <c:v>-7.4230457928670921</c:v>
                </c:pt>
                <c:pt idx="22">
                  <c:v>-7.0813271193038192</c:v>
                </c:pt>
                <c:pt idx="23">
                  <c:v>-8.6028814784154495</c:v>
                </c:pt>
                <c:pt idx="24">
                  <c:v>-5.1009695388914045</c:v>
                </c:pt>
                <c:pt idx="25">
                  <c:v>3.0560581093700709</c:v>
                </c:pt>
                <c:pt idx="26">
                  <c:v>3.0719025371360345</c:v>
                </c:pt>
                <c:pt idx="27">
                  <c:v>5.9460478744023453</c:v>
                </c:pt>
                <c:pt idx="28">
                  <c:v>7.6819685361320653</c:v>
                </c:pt>
                <c:pt idx="29">
                  <c:v>3.7814576445833752</c:v>
                </c:pt>
                <c:pt idx="30">
                  <c:v>-0.85327142935784861</c:v>
                </c:pt>
                <c:pt idx="31">
                  <c:v>-1.045570786292479</c:v>
                </c:pt>
                <c:pt idx="32">
                  <c:v>1.2156493079857984</c:v>
                </c:pt>
                <c:pt idx="33">
                  <c:v>-1.4351150690193593</c:v>
                </c:pt>
                <c:pt idx="34">
                  <c:v>-1.4393009285632181</c:v>
                </c:pt>
              </c:numCache>
            </c:numRef>
          </c:val>
          <c:extLst>
            <c:ext xmlns:c16="http://schemas.microsoft.com/office/drawing/2014/chart" uri="{C3380CC4-5D6E-409C-BE32-E72D297353CC}">
              <c16:uniqueId val="{00000000-141D-4D89-B085-6684AE1A107A}"/>
            </c:ext>
          </c:extLst>
        </c:ser>
        <c:ser>
          <c:idx val="2"/>
          <c:order val="2"/>
          <c:tx>
            <c:strRef>
              <c:f>'výkonnost odvětví 3'!$Z$10</c:f>
              <c:strCache>
                <c:ptCount val="1"/>
                <c:pt idx="0">
                  <c:v>Inženýrské stavitelství (příspěvek v p. b.)</c:v>
                </c:pt>
              </c:strCache>
            </c:strRef>
          </c:tx>
          <c:spPr>
            <a:solidFill>
              <a:schemeClr val="accent2">
                <a:lumMod val="60000"/>
                <a:lumOff val="40000"/>
              </a:schemeClr>
            </a:solidFill>
            <a:ln>
              <a:noFill/>
            </a:ln>
          </c:spPr>
          <c:invertIfNegative val="0"/>
          <c:cat>
            <c:multiLvlStrRef>
              <c:f>'výkonnost odvětví 3'!$V$31:$W$66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3'!$Z$31:$Z$66</c:f>
              <c:numCache>
                <c:formatCode>0.0</c:formatCode>
                <c:ptCount val="36"/>
                <c:pt idx="0">
                  <c:v>3.0705403267337976</c:v>
                </c:pt>
                <c:pt idx="1">
                  <c:v>6.8741631874170324</c:v>
                </c:pt>
                <c:pt idx="2">
                  <c:v>6.9999177914089774</c:v>
                </c:pt>
                <c:pt idx="3">
                  <c:v>2.7886022034567057</c:v>
                </c:pt>
                <c:pt idx="4">
                  <c:v>-1.1526078736731116</c:v>
                </c:pt>
                <c:pt idx="5">
                  <c:v>-5.3513808653344856</c:v>
                </c:pt>
                <c:pt idx="6">
                  <c:v>-6.6686113975825858</c:v>
                </c:pt>
                <c:pt idx="7">
                  <c:v>-5.6971134882260275</c:v>
                </c:pt>
                <c:pt idx="8">
                  <c:v>-3.3555905673646342</c:v>
                </c:pt>
                <c:pt idx="9">
                  <c:v>-0.90415176747402504</c:v>
                </c:pt>
                <c:pt idx="10">
                  <c:v>-1.376901288471623</c:v>
                </c:pt>
                <c:pt idx="11">
                  <c:v>0.14984865454421994</c:v>
                </c:pt>
                <c:pt idx="12">
                  <c:v>1.8661234617319313</c:v>
                </c:pt>
                <c:pt idx="13">
                  <c:v>1.1653457222281625</c:v>
                </c:pt>
                <c:pt idx="14">
                  <c:v>4.7441915436444759</c:v>
                </c:pt>
                <c:pt idx="15">
                  <c:v>1.6256258958971155</c:v>
                </c:pt>
                <c:pt idx="16">
                  <c:v>0.7389500886517838</c:v>
                </c:pt>
                <c:pt idx="17">
                  <c:v>1.9508614834308369</c:v>
                </c:pt>
                <c:pt idx="18">
                  <c:v>0.52155296100802839</c:v>
                </c:pt>
                <c:pt idx="19">
                  <c:v>0.95967685432478789</c:v>
                </c:pt>
                <c:pt idx="20">
                  <c:v>3.1388269340693769</c:v>
                </c:pt>
                <c:pt idx="21">
                  <c:v>1.2056036060568238</c:v>
                </c:pt>
                <c:pt idx="22">
                  <c:v>-1.7953878786263262</c:v>
                </c:pt>
                <c:pt idx="23">
                  <c:v>0.41205027286168183</c:v>
                </c:pt>
                <c:pt idx="24">
                  <c:v>-3.6947321791003282E-2</c:v>
                </c:pt>
                <c:pt idx="25">
                  <c:v>0.86454694955435607</c:v>
                </c:pt>
                <c:pt idx="26">
                  <c:v>-0.16377223085432258</c:v>
                </c:pt>
                <c:pt idx="27">
                  <c:v>-0.95395400670827979</c:v>
                </c:pt>
                <c:pt idx="28">
                  <c:v>3.6238163873298972</c:v>
                </c:pt>
                <c:pt idx="29">
                  <c:v>0.20346823864492619</c:v>
                </c:pt>
                <c:pt idx="30">
                  <c:v>2.9020734708543466E-2</c:v>
                </c:pt>
                <c:pt idx="31">
                  <c:v>0.93743664957589101</c:v>
                </c:pt>
                <c:pt idx="32">
                  <c:v>-2.3811244207622342</c:v>
                </c:pt>
                <c:pt idx="33">
                  <c:v>-1.5563607813037221</c:v>
                </c:pt>
                <c:pt idx="34">
                  <c:v>-0.24782902608100521</c:v>
                </c:pt>
              </c:numCache>
            </c:numRef>
          </c:val>
          <c:extLst>
            <c:ext xmlns:c16="http://schemas.microsoft.com/office/drawing/2014/chart" uri="{C3380CC4-5D6E-409C-BE32-E72D297353CC}">
              <c16:uniqueId val="{00000001-141D-4D89-B085-6684AE1A107A}"/>
            </c:ext>
          </c:extLst>
        </c:ser>
        <c:dLbls>
          <c:showLegendKey val="0"/>
          <c:showVal val="0"/>
          <c:showCatName val="0"/>
          <c:showSerName val="0"/>
          <c:showPercent val="0"/>
          <c:showBubbleSize val="0"/>
        </c:dLbls>
        <c:gapWidth val="30"/>
        <c:overlap val="100"/>
        <c:axId val="39704448"/>
        <c:axId val="39718912"/>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5"/>
            <c:spPr>
              <a:solidFill>
                <a:schemeClr val="bg1"/>
              </a:solidFill>
              <a:ln>
                <a:solidFill>
                  <a:schemeClr val="tx1">
                    <a:lumMod val="95000"/>
                    <a:lumOff val="5000"/>
                  </a:schemeClr>
                </a:solidFill>
              </a:ln>
            </c:spPr>
          </c:marker>
          <c:cat>
            <c:multiLvlStrRef>
              <c:f>'výkonnost odvětví 3'!$V$31:$W$66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3'!$X$31:$X$66</c:f>
              <c:numCache>
                <c:formatCode>0.0</c:formatCode>
                <c:ptCount val="36"/>
                <c:pt idx="0">
                  <c:v>9.2313683288454751</c:v>
                </c:pt>
                <c:pt idx="1">
                  <c:v>12.107308945584148</c:v>
                </c:pt>
                <c:pt idx="2">
                  <c:v>7.8075138675311848</c:v>
                </c:pt>
                <c:pt idx="3">
                  <c:v>1.0084090298549313</c:v>
                </c:pt>
                <c:pt idx="4">
                  <c:v>-6.0786505131342015</c:v>
                </c:pt>
                <c:pt idx="5">
                  <c:v>-10.740757020745008</c:v>
                </c:pt>
                <c:pt idx="6">
                  <c:v>-5.8050806540642697</c:v>
                </c:pt>
                <c:pt idx="7">
                  <c:v>-1.6721938669427381</c:v>
                </c:pt>
                <c:pt idx="8">
                  <c:v>-1.4033631646039169</c:v>
                </c:pt>
                <c:pt idx="9">
                  <c:v>9.6320292689105482</c:v>
                </c:pt>
                <c:pt idx="10">
                  <c:v>2.2312114513154202</c:v>
                </c:pt>
                <c:pt idx="11">
                  <c:v>2.6939089817763788</c:v>
                </c:pt>
                <c:pt idx="12">
                  <c:v>15.771077976685531</c:v>
                </c:pt>
                <c:pt idx="13">
                  <c:v>7.3834589697042885</c:v>
                </c:pt>
                <c:pt idx="14">
                  <c:v>12.465247361474326</c:v>
                </c:pt>
                <c:pt idx="15">
                  <c:v>4.2515809616087745</c:v>
                </c:pt>
                <c:pt idx="16">
                  <c:v>3.657183766369934</c:v>
                </c:pt>
                <c:pt idx="17">
                  <c:v>4.4872671400238913</c:v>
                </c:pt>
                <c:pt idx="18">
                  <c:v>-0.46408626024870697</c:v>
                </c:pt>
                <c:pt idx="19">
                  <c:v>3.5101049630197987</c:v>
                </c:pt>
                <c:pt idx="20">
                  <c:v>2.6466192842291587</c:v>
                </c:pt>
                <c:pt idx="21">
                  <c:v>-6.2174421868102794</c:v>
                </c:pt>
                <c:pt idx="22">
                  <c:v>-8.8767149979301365</c:v>
                </c:pt>
                <c:pt idx="23">
                  <c:v>-8.1908312055537706</c:v>
                </c:pt>
                <c:pt idx="24">
                  <c:v>-5.1379168606823908</c:v>
                </c:pt>
                <c:pt idx="25">
                  <c:v>3.9206050589244392</c:v>
                </c:pt>
                <c:pt idx="26">
                  <c:v>2.9081303062816972</c:v>
                </c:pt>
                <c:pt idx="27">
                  <c:v>4.9920938676940505</c:v>
                </c:pt>
                <c:pt idx="28">
                  <c:v>11.305784923462006</c:v>
                </c:pt>
                <c:pt idx="29">
                  <c:v>3.9849258832282977</c:v>
                </c:pt>
                <c:pt idx="30">
                  <c:v>-0.82425069464929501</c:v>
                </c:pt>
                <c:pt idx="31">
                  <c:v>-0.10813413671660077</c:v>
                </c:pt>
                <c:pt idx="32">
                  <c:v>-1.16547511277642</c:v>
                </c:pt>
                <c:pt idx="33">
                  <c:v>-2.9914758503230794</c:v>
                </c:pt>
                <c:pt idx="34">
                  <c:v>-1.6871299546442202</c:v>
                </c:pt>
              </c:numCache>
            </c:numRef>
          </c:val>
          <c:smooth val="0"/>
          <c:extLst>
            <c:ext xmlns:c16="http://schemas.microsoft.com/office/drawing/2014/chart" uri="{C3380CC4-5D6E-409C-BE32-E72D297353CC}">
              <c16:uniqueId val="{00000002-141D-4D89-B085-6684AE1A107A}"/>
            </c:ext>
          </c:extLst>
        </c:ser>
        <c:ser>
          <c:idx val="3"/>
          <c:order val="3"/>
          <c:tx>
            <c:strRef>
              <c:f>'výkonnost odvětví 3'!$AA$10</c:f>
              <c:strCache>
                <c:ptCount val="1"/>
                <c:pt idx="0">
                  <c:v>Nové stavební zakázky v tuzemsku</c:v>
                </c:pt>
              </c:strCache>
            </c:strRef>
          </c:tx>
          <c:spPr>
            <a:ln w="9525">
              <a:solidFill>
                <a:srgbClr val="984807"/>
              </a:solidFill>
              <a:prstDash val="sysDot"/>
            </a:ln>
          </c:spPr>
          <c:marker>
            <c:symbol val="diamond"/>
            <c:size val="4"/>
            <c:spPr>
              <a:solidFill>
                <a:srgbClr val="996633"/>
              </a:solidFill>
              <a:ln>
                <a:solidFill>
                  <a:srgbClr val="984807"/>
                </a:solidFill>
              </a:ln>
            </c:spPr>
          </c:marker>
          <c:cat>
            <c:multiLvlStrRef>
              <c:f>'výkonnost odvětví 3'!$V$31:$W$66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3'!$AA$31:$AA$66</c:f>
              <c:numCache>
                <c:formatCode>0.0</c:formatCode>
                <c:ptCount val="36"/>
                <c:pt idx="0">
                  <c:v>-3.1547956675580053</c:v>
                </c:pt>
                <c:pt idx="1">
                  <c:v>9.7504961091663418</c:v>
                </c:pt>
                <c:pt idx="2">
                  <c:v>-1.0976060227612561</c:v>
                </c:pt>
                <c:pt idx="3">
                  <c:v>-2.3987783410040464</c:v>
                </c:pt>
                <c:pt idx="4">
                  <c:v>-6.6406358945753805</c:v>
                </c:pt>
                <c:pt idx="5">
                  <c:v>-0.49977652269311085</c:v>
                </c:pt>
                <c:pt idx="6">
                  <c:v>-7.0322087253454839</c:v>
                </c:pt>
                <c:pt idx="7">
                  <c:v>10.122126124559955</c:v>
                </c:pt>
                <c:pt idx="8">
                  <c:v>16.177217458847483</c:v>
                </c:pt>
                <c:pt idx="9">
                  <c:v>9.5350878984013274</c:v>
                </c:pt>
                <c:pt idx="10">
                  <c:v>-1.2817324431350698</c:v>
                </c:pt>
                <c:pt idx="11">
                  <c:v>15.620806693503823</c:v>
                </c:pt>
                <c:pt idx="12">
                  <c:v>30.106973873688595</c:v>
                </c:pt>
                <c:pt idx="13">
                  <c:v>32.836878110611956</c:v>
                </c:pt>
                <c:pt idx="14">
                  <c:v>5.2768249907951299</c:v>
                </c:pt>
                <c:pt idx="15">
                  <c:v>1.8944565811032315</c:v>
                </c:pt>
                <c:pt idx="16">
                  <c:v>14.157245632065782</c:v>
                </c:pt>
                <c:pt idx="17">
                  <c:v>-9.3849543241233224</c:v>
                </c:pt>
                <c:pt idx="18">
                  <c:v>17.407871000993993</c:v>
                </c:pt>
                <c:pt idx="19">
                  <c:v>5.8323004254463804</c:v>
                </c:pt>
                <c:pt idx="20">
                  <c:v>-12.441635069859252</c:v>
                </c:pt>
                <c:pt idx="21">
                  <c:v>7.4973457220286734</c:v>
                </c:pt>
                <c:pt idx="22">
                  <c:v>2.059973660693283</c:v>
                </c:pt>
                <c:pt idx="23">
                  <c:v>7.5507850088630155</c:v>
                </c:pt>
                <c:pt idx="24">
                  <c:v>28.856340981154403</c:v>
                </c:pt>
                <c:pt idx="25">
                  <c:v>22.047871359987191</c:v>
                </c:pt>
                <c:pt idx="26">
                  <c:v>10.015015612184278</c:v>
                </c:pt>
                <c:pt idx="27">
                  <c:v>1.0053213537781114</c:v>
                </c:pt>
                <c:pt idx="28">
                  <c:v>13.067478460417851</c:v>
                </c:pt>
                <c:pt idx="29">
                  <c:v>17.619163607261132</c:v>
                </c:pt>
                <c:pt idx="30">
                  <c:v>12.421954480552513</c:v>
                </c:pt>
                <c:pt idx="31">
                  <c:v>13.031852753748723</c:v>
                </c:pt>
                <c:pt idx="32">
                  <c:v>-11.830812069596632</c:v>
                </c:pt>
                <c:pt idx="33">
                  <c:v>-18.746380023175043</c:v>
                </c:pt>
                <c:pt idx="34">
                  <c:v>27.856886579385087</c:v>
                </c:pt>
              </c:numCache>
            </c:numRef>
          </c:val>
          <c:smooth val="0"/>
          <c:extLst>
            <c:ext xmlns:c16="http://schemas.microsoft.com/office/drawing/2014/chart" uri="{C3380CC4-5D6E-409C-BE32-E72D297353CC}">
              <c16:uniqueId val="{00000003-141D-4D89-B085-6684AE1A107A}"/>
            </c:ext>
          </c:extLst>
        </c:ser>
        <c:dLbls>
          <c:showLegendKey val="0"/>
          <c:showVal val="0"/>
          <c:showCatName val="0"/>
          <c:showSerName val="0"/>
          <c:showPercent val="0"/>
          <c:showBubbleSize val="0"/>
        </c:dLbls>
        <c:marker val="1"/>
        <c:smooth val="0"/>
        <c:axId val="39704448"/>
        <c:axId val="39718912"/>
      </c:lineChart>
      <c:lineChart>
        <c:grouping val="standard"/>
        <c:varyColors val="0"/>
        <c:ser>
          <c:idx val="4"/>
          <c:order val="4"/>
          <c:tx>
            <c:strRef>
              <c:f>'výkonnost odvětví 3'!$AB$10</c:f>
              <c:strCache>
                <c:ptCount val="1"/>
                <c:pt idx="0">
                  <c:v>Bariéra růstu: nedostatečná poptávka</c:v>
                </c:pt>
              </c:strCache>
            </c:strRef>
          </c:tx>
          <c:spPr>
            <a:ln w="15875">
              <a:solidFill>
                <a:srgbClr val="00B050"/>
              </a:solidFill>
              <a:prstDash val="solid"/>
            </a:ln>
          </c:spPr>
          <c:marker>
            <c:symbol val="none"/>
          </c:marker>
          <c:cat>
            <c:multiLvlStrRef>
              <c:f>'výkonnost odvětví 3'!$V$31:$W$66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3'!$AB$31:$AB$66</c:f>
              <c:numCache>
                <c:formatCode>#\ ##0.0</c:formatCode>
                <c:ptCount val="36"/>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pt idx="31">
                  <c:v>20.6</c:v>
                </c:pt>
                <c:pt idx="32">
                  <c:v>31.9</c:v>
                </c:pt>
                <c:pt idx="33">
                  <c:v>32.300000000000004</c:v>
                </c:pt>
                <c:pt idx="34">
                  <c:v>36.300000000000004</c:v>
                </c:pt>
                <c:pt idx="35" formatCode="0.0">
                  <c:v>29.2</c:v>
                </c:pt>
              </c:numCache>
            </c:numRef>
          </c:val>
          <c:smooth val="0"/>
          <c:extLst>
            <c:ext xmlns:c16="http://schemas.microsoft.com/office/drawing/2014/chart" uri="{C3380CC4-5D6E-409C-BE32-E72D297353CC}">
              <c16:uniqueId val="{00000004-141D-4D89-B085-6684AE1A107A}"/>
            </c:ext>
          </c:extLst>
        </c:ser>
        <c:ser>
          <c:idx val="5"/>
          <c:order val="5"/>
          <c:tx>
            <c:strRef>
              <c:f>'výkonnost odvětví 3'!$AC$10</c:f>
              <c:strCache>
                <c:ptCount val="1"/>
                <c:pt idx="0">
                  <c:v>Bariéra růstu: nedostatek pracovníků</c:v>
                </c:pt>
              </c:strCache>
            </c:strRef>
          </c:tx>
          <c:spPr>
            <a:ln w="15875">
              <a:solidFill>
                <a:schemeClr val="accent3">
                  <a:lumMod val="75000"/>
                </a:schemeClr>
              </a:solidFill>
              <a:prstDash val="dash"/>
            </a:ln>
          </c:spPr>
          <c:marker>
            <c:symbol val="none"/>
          </c:marker>
          <c:cat>
            <c:multiLvlStrRef>
              <c:f>'výkonnost odvětví 3'!$V$31:$W$66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3'!$AC$31:$AC$66</c:f>
              <c:numCache>
                <c:formatCode>#\ ##0.0</c:formatCode>
                <c:ptCount val="36"/>
                <c:pt idx="0">
                  <c:v>8.3000000000000007</c:v>
                </c:pt>
                <c:pt idx="1">
                  <c:v>8.1</c:v>
                </c:pt>
                <c:pt idx="2">
                  <c:v>6.1</c:v>
                </c:pt>
                <c:pt idx="3">
                  <c:v>6</c:v>
                </c:pt>
                <c:pt idx="4">
                  <c:v>6.5</c:v>
                </c:pt>
                <c:pt idx="5">
                  <c:v>7.2</c:v>
                </c:pt>
                <c:pt idx="6">
                  <c:v>7</c:v>
                </c:pt>
                <c:pt idx="7">
                  <c:v>10.4</c:v>
                </c:pt>
                <c:pt idx="8">
                  <c:v>14</c:v>
                </c:pt>
                <c:pt idx="9">
                  <c:v>14.8</c:v>
                </c:pt>
                <c:pt idx="10">
                  <c:v>21.4</c:v>
                </c:pt>
                <c:pt idx="11">
                  <c:v>21.1</c:v>
                </c:pt>
                <c:pt idx="12">
                  <c:v>27.3</c:v>
                </c:pt>
                <c:pt idx="13">
                  <c:v>30.1</c:v>
                </c:pt>
                <c:pt idx="14">
                  <c:v>28.1</c:v>
                </c:pt>
                <c:pt idx="15">
                  <c:v>38.200000000000003</c:v>
                </c:pt>
                <c:pt idx="16">
                  <c:v>36.9</c:v>
                </c:pt>
                <c:pt idx="17">
                  <c:v>43.4</c:v>
                </c:pt>
                <c:pt idx="18">
                  <c:v>49.6</c:v>
                </c:pt>
                <c:pt idx="19">
                  <c:v>46.2</c:v>
                </c:pt>
                <c:pt idx="20">
                  <c:v>52.5</c:v>
                </c:pt>
                <c:pt idx="21">
                  <c:v>46</c:v>
                </c:pt>
                <c:pt idx="22">
                  <c:v>35.300000000000004</c:v>
                </c:pt>
                <c:pt idx="23" formatCode="0.0">
                  <c:v>31.9</c:v>
                </c:pt>
                <c:pt idx="24">
                  <c:v>48.6</c:v>
                </c:pt>
                <c:pt idx="25">
                  <c:v>31.6</c:v>
                </c:pt>
                <c:pt idx="26">
                  <c:v>40.700000000000003</c:v>
                </c:pt>
                <c:pt idx="27">
                  <c:v>42</c:v>
                </c:pt>
                <c:pt idx="28">
                  <c:v>57.7</c:v>
                </c:pt>
                <c:pt idx="29">
                  <c:v>44.4</c:v>
                </c:pt>
                <c:pt idx="30">
                  <c:v>39.1</c:v>
                </c:pt>
                <c:pt idx="31">
                  <c:v>46.7</c:v>
                </c:pt>
                <c:pt idx="32">
                  <c:v>39.9</c:v>
                </c:pt>
                <c:pt idx="33">
                  <c:v>35.6</c:v>
                </c:pt>
                <c:pt idx="34">
                  <c:v>30.2</c:v>
                </c:pt>
                <c:pt idx="35" formatCode="0.0">
                  <c:v>30.6</c:v>
                </c:pt>
              </c:numCache>
            </c:numRef>
          </c:val>
          <c:smooth val="0"/>
          <c:extLst>
            <c:ext xmlns:c16="http://schemas.microsoft.com/office/drawing/2014/chart" uri="{C3380CC4-5D6E-409C-BE32-E72D297353CC}">
              <c16:uniqueId val="{00000005-141D-4D89-B085-6684AE1A107A}"/>
            </c:ext>
          </c:extLst>
        </c:ser>
        <c:ser>
          <c:idx val="6"/>
          <c:order val="6"/>
          <c:tx>
            <c:strRef>
              <c:f>'výkonnost odvětví 3'!$AD$10</c:f>
              <c:strCache>
                <c:ptCount val="1"/>
                <c:pt idx="0">
                  <c:v>Bariéra růstu: nedost. materiálu a vybavení</c:v>
                </c:pt>
              </c:strCache>
            </c:strRef>
          </c:tx>
          <c:spPr>
            <a:ln w="15875">
              <a:solidFill>
                <a:srgbClr val="37DD3B"/>
              </a:solidFill>
              <a:prstDash val="sysDash"/>
            </a:ln>
          </c:spPr>
          <c:marker>
            <c:symbol val="none"/>
          </c:marker>
          <c:cat>
            <c:multiLvlStrRef>
              <c:f>'výkonnost odvětví 3'!$V$31:$W$66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3'!$AD$31:$AD$66</c:f>
              <c:numCache>
                <c:formatCode>#\ ##0.0</c:formatCode>
                <c:ptCount val="36"/>
                <c:pt idx="0">
                  <c:v>0.1</c:v>
                </c:pt>
                <c:pt idx="1">
                  <c:v>0.4</c:v>
                </c:pt>
                <c:pt idx="2">
                  <c:v>4</c:v>
                </c:pt>
                <c:pt idx="3">
                  <c:v>0.5</c:v>
                </c:pt>
                <c:pt idx="4">
                  <c:v>0.4</c:v>
                </c:pt>
                <c:pt idx="5">
                  <c:v>0.5</c:v>
                </c:pt>
                <c:pt idx="6">
                  <c:v>0.5</c:v>
                </c:pt>
                <c:pt idx="7">
                  <c:v>1.5</c:v>
                </c:pt>
                <c:pt idx="8">
                  <c:v>0.30000000000000032</c:v>
                </c:pt>
                <c:pt idx="9">
                  <c:v>0.30000000000000032</c:v>
                </c:pt>
                <c:pt idx="10">
                  <c:v>3.3</c:v>
                </c:pt>
                <c:pt idx="11">
                  <c:v>4.2</c:v>
                </c:pt>
                <c:pt idx="12">
                  <c:v>5.5</c:v>
                </c:pt>
                <c:pt idx="13">
                  <c:v>1.2</c:v>
                </c:pt>
                <c:pt idx="14">
                  <c:v>6.8</c:v>
                </c:pt>
                <c:pt idx="15">
                  <c:v>3.5</c:v>
                </c:pt>
                <c:pt idx="16">
                  <c:v>4.3</c:v>
                </c:pt>
                <c:pt idx="17">
                  <c:v>5.7</c:v>
                </c:pt>
                <c:pt idx="18">
                  <c:v>5.3</c:v>
                </c:pt>
                <c:pt idx="19">
                  <c:v>4</c:v>
                </c:pt>
                <c:pt idx="20">
                  <c:v>1.9000000000000001</c:v>
                </c:pt>
                <c:pt idx="21">
                  <c:v>3.4</c:v>
                </c:pt>
                <c:pt idx="22">
                  <c:v>1.3</c:v>
                </c:pt>
                <c:pt idx="23">
                  <c:v>0.8</c:v>
                </c:pt>
                <c:pt idx="24">
                  <c:v>1.3</c:v>
                </c:pt>
                <c:pt idx="25">
                  <c:v>4.3</c:v>
                </c:pt>
                <c:pt idx="26">
                  <c:v>16.3</c:v>
                </c:pt>
                <c:pt idx="27">
                  <c:v>22.8</c:v>
                </c:pt>
                <c:pt idx="28">
                  <c:v>24.7</c:v>
                </c:pt>
                <c:pt idx="29">
                  <c:v>41.3</c:v>
                </c:pt>
                <c:pt idx="30">
                  <c:v>38.6</c:v>
                </c:pt>
                <c:pt idx="31">
                  <c:v>23.4</c:v>
                </c:pt>
                <c:pt idx="32">
                  <c:v>19.5</c:v>
                </c:pt>
                <c:pt idx="33">
                  <c:v>17</c:v>
                </c:pt>
                <c:pt idx="34">
                  <c:v>13</c:v>
                </c:pt>
                <c:pt idx="35" formatCode="0.0">
                  <c:v>13.9</c:v>
                </c:pt>
              </c:numCache>
            </c:numRef>
          </c:val>
          <c:smooth val="0"/>
          <c:extLst>
            <c:ext xmlns:c16="http://schemas.microsoft.com/office/drawing/2014/chart" uri="{C3380CC4-5D6E-409C-BE32-E72D297353CC}">
              <c16:uniqueId val="{00000006-141D-4D89-B085-6684AE1A107A}"/>
            </c:ext>
          </c:extLst>
        </c:ser>
        <c:ser>
          <c:idx val="7"/>
          <c:order val="7"/>
          <c:tx>
            <c:strRef>
              <c:f>'výkonnost odvětví 3'!$AE$10</c:f>
              <c:strCache>
                <c:ptCount val="1"/>
                <c:pt idx="0">
                  <c:v>Saldo indikátoru důvěry ve stavebnictví</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3'!$AE$31:$AE$66</c:f>
              <c:numCache>
                <c:formatCode>0.0</c:formatCode>
                <c:ptCount val="36"/>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pt idx="31">
                  <c:v>-4.5</c:v>
                </c:pt>
                <c:pt idx="32">
                  <c:v>-11.5</c:v>
                </c:pt>
                <c:pt idx="33">
                  <c:v>-15.5</c:v>
                </c:pt>
                <c:pt idx="34">
                  <c:v>-16.5</c:v>
                </c:pt>
                <c:pt idx="35">
                  <c:v>-11</c:v>
                </c:pt>
              </c:numCache>
            </c:numRef>
          </c:val>
          <c:smooth val="0"/>
          <c:extLst>
            <c:ext xmlns:c16="http://schemas.microsoft.com/office/drawing/2014/chart" uri="{C3380CC4-5D6E-409C-BE32-E72D297353CC}">
              <c16:uniqueId val="{00000007-141D-4D89-B085-6684AE1A107A}"/>
            </c:ext>
          </c:extLst>
        </c:ser>
        <c:dLbls>
          <c:showLegendKey val="0"/>
          <c:showVal val="0"/>
          <c:showCatName val="0"/>
          <c:showSerName val="0"/>
          <c:showPercent val="0"/>
          <c:showBubbleSize val="0"/>
        </c:dLbls>
        <c:marker val="1"/>
        <c:smooth val="0"/>
        <c:axId val="39723008"/>
        <c:axId val="39720832"/>
      </c:lineChart>
      <c:catAx>
        <c:axId val="3970444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39718912"/>
        <c:crosses val="autoZero"/>
        <c:auto val="1"/>
        <c:lblAlgn val="ctr"/>
        <c:lblOffset val="0"/>
        <c:noMultiLvlLbl val="0"/>
      </c:catAx>
      <c:valAx>
        <c:axId val="39718912"/>
        <c:scaling>
          <c:orientation val="minMax"/>
          <c:max val="80"/>
          <c:min val="-2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Zakázky, příspěvky k změně stavební produkce</a:t>
                </a:r>
              </a:p>
            </c:rich>
          </c:tx>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39704448"/>
        <c:crosses val="autoZero"/>
        <c:crossBetween val="between"/>
        <c:majorUnit val="10"/>
      </c:valAx>
      <c:valAx>
        <c:axId val="39720832"/>
        <c:scaling>
          <c:orientation val="minMax"/>
          <c:max val="10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 důvěry, bariéry růstu</a:t>
                </a:r>
              </a:p>
            </c:rich>
          </c:tx>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39723008"/>
        <c:crosses val="max"/>
        <c:crossBetween val="between"/>
        <c:majorUnit val="20"/>
      </c:valAx>
      <c:catAx>
        <c:axId val="39723008"/>
        <c:scaling>
          <c:orientation val="minMax"/>
        </c:scaling>
        <c:delete val="1"/>
        <c:axPos val="b"/>
        <c:numFmt formatCode="General" sourceLinked="1"/>
        <c:majorTickMark val="out"/>
        <c:minorTickMark val="none"/>
        <c:tickLblPos val="none"/>
        <c:crossAx val="39720832"/>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8499319708759499E-2"/>
          <c:y val="0.85936703322638663"/>
          <c:w val="0.96925714241885463"/>
          <c:h val="0.13362821778942571"/>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85677352723629E-2"/>
          <c:y val="1.580332867898751E-2"/>
          <c:w val="0.83979584077703062"/>
          <c:h val="0.69902590308489643"/>
        </c:manualLayout>
      </c:layout>
      <c:barChart>
        <c:barDir val="col"/>
        <c:grouping val="stacked"/>
        <c:varyColors val="0"/>
        <c:ser>
          <c:idx val="0"/>
          <c:order val="1"/>
          <c:tx>
            <c:strRef>
              <c:f>'Služby-příspěvkyk růstu-4'!$D$33</c:f>
              <c:strCache>
                <c:ptCount val="1"/>
                <c:pt idx="0">
                  <c:v>Doprava a skladování (p. b.)</c:v>
                </c:pt>
              </c:strCache>
            </c:strRef>
          </c:tx>
          <c:spPr>
            <a:solidFill>
              <a:srgbClr val="92D050"/>
            </a:solidFill>
            <a:ln>
              <a:noFill/>
            </a:ln>
          </c:spPr>
          <c:invertIfNegative val="0"/>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růstu-4'!$D$46:$D$81</c:f>
              <c:numCache>
                <c:formatCode>0.0</c:formatCode>
                <c:ptCount val="36"/>
                <c:pt idx="0">
                  <c:v>0.17627373165999941</c:v>
                </c:pt>
                <c:pt idx="1">
                  <c:v>-4.1398260783598463E-2</c:v>
                </c:pt>
                <c:pt idx="2">
                  <c:v>0.20127676583260184</c:v>
                </c:pt>
                <c:pt idx="3">
                  <c:v>4.2331882175001882E-2</c:v>
                </c:pt>
                <c:pt idx="4">
                  <c:v>0.2604828945619988</c:v>
                </c:pt>
                <c:pt idx="5">
                  <c:v>0.20044719477909875</c:v>
                </c:pt>
                <c:pt idx="6">
                  <c:v>0.14004615678000074</c:v>
                </c:pt>
                <c:pt idx="7">
                  <c:v>0.86059283114800222</c:v>
                </c:pt>
                <c:pt idx="8">
                  <c:v>1.6559965627289979</c:v>
                </c:pt>
                <c:pt idx="9">
                  <c:v>1.0934548874629966</c:v>
                </c:pt>
                <c:pt idx="10">
                  <c:v>1.1374484601479997</c:v>
                </c:pt>
                <c:pt idx="11">
                  <c:v>0.60470809717900142</c:v>
                </c:pt>
                <c:pt idx="12">
                  <c:v>1.7518533558899987</c:v>
                </c:pt>
                <c:pt idx="13">
                  <c:v>1.9191714775479998</c:v>
                </c:pt>
                <c:pt idx="14">
                  <c:v>1.4689069805629964</c:v>
                </c:pt>
                <c:pt idx="15">
                  <c:v>0.49822211685500106</c:v>
                </c:pt>
                <c:pt idx="16">
                  <c:v>0.75210969494300284</c:v>
                </c:pt>
                <c:pt idx="17">
                  <c:v>-7.8943058121998602E-2</c:v>
                </c:pt>
                <c:pt idx="18">
                  <c:v>-0.6761559609970017</c:v>
                </c:pt>
                <c:pt idx="19">
                  <c:v>-0.53883087511920003</c:v>
                </c:pt>
                <c:pt idx="20">
                  <c:v>-1.7873099078691967</c:v>
                </c:pt>
                <c:pt idx="21">
                  <c:v>-6.8790162520431002</c:v>
                </c:pt>
                <c:pt idx="22">
                  <c:v>-4.2156758486249908</c:v>
                </c:pt>
                <c:pt idx="23">
                  <c:v>-1.7596921701599968</c:v>
                </c:pt>
                <c:pt idx="24">
                  <c:v>-0.15017138784059991</c:v>
                </c:pt>
                <c:pt idx="25">
                  <c:v>6.9506599035744099</c:v>
                </c:pt>
                <c:pt idx="26">
                  <c:v>4.0996709945155994</c:v>
                </c:pt>
                <c:pt idx="27">
                  <c:v>4.5444705336066278</c:v>
                </c:pt>
                <c:pt idx="28">
                  <c:v>4.6413485285034968</c:v>
                </c:pt>
                <c:pt idx="29">
                  <c:v>4.7978183130189764</c:v>
                </c:pt>
                <c:pt idx="30">
                  <c:v>3.771511945530476</c:v>
                </c:pt>
                <c:pt idx="31">
                  <c:v>-0.1026052754759994</c:v>
                </c:pt>
                <c:pt idx="32">
                  <c:v>-1.3478319744959979</c:v>
                </c:pt>
                <c:pt idx="33">
                  <c:v>-3.6318517020952465</c:v>
                </c:pt>
                <c:pt idx="34" formatCode="0.00">
                  <c:v>-4.1078189900823796</c:v>
                </c:pt>
              </c:numCache>
            </c:numRef>
          </c:val>
          <c:extLst>
            <c:ext xmlns:c16="http://schemas.microsoft.com/office/drawing/2014/chart" uri="{C3380CC4-5D6E-409C-BE32-E72D297353CC}">
              <c16:uniqueId val="{00000000-8B1B-4980-9223-E9848A64A0E4}"/>
            </c:ext>
          </c:extLst>
        </c:ser>
        <c:ser>
          <c:idx val="1"/>
          <c:order val="2"/>
          <c:tx>
            <c:strRef>
              <c:f>'Služby-příspěvkyk růstu-4'!$E$33</c:f>
              <c:strCache>
                <c:ptCount val="1"/>
                <c:pt idx="0">
                  <c:v>Ubytování, stravování a pohostinství (p. b.)</c:v>
                </c:pt>
              </c:strCache>
            </c:strRef>
          </c:tx>
          <c:spPr>
            <a:solidFill>
              <a:srgbClr val="00B0F0"/>
            </a:solidFill>
            <a:ln>
              <a:noFill/>
            </a:ln>
          </c:spPr>
          <c:invertIfNegative val="0"/>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růstu-4'!$E$46:$E$81</c:f>
              <c:numCache>
                <c:formatCode>0.0</c:formatCode>
                <c:ptCount val="36"/>
                <c:pt idx="0">
                  <c:v>0.23064326026020021</c:v>
                </c:pt>
                <c:pt idx="1">
                  <c:v>0.65490030172000013</c:v>
                </c:pt>
                <c:pt idx="2">
                  <c:v>0.65615704203699965</c:v>
                </c:pt>
                <c:pt idx="3">
                  <c:v>0.40198126828160097</c:v>
                </c:pt>
                <c:pt idx="4">
                  <c:v>0.47264498177679992</c:v>
                </c:pt>
                <c:pt idx="5">
                  <c:v>0.16809598308500007</c:v>
                </c:pt>
                <c:pt idx="6">
                  <c:v>0.5678502803826001</c:v>
                </c:pt>
                <c:pt idx="7">
                  <c:v>0.60026021753880243</c:v>
                </c:pt>
                <c:pt idx="8">
                  <c:v>0.90716175756749962</c:v>
                </c:pt>
                <c:pt idx="9">
                  <c:v>1.2351843183735998</c:v>
                </c:pt>
                <c:pt idx="10">
                  <c:v>0.55372633890920031</c:v>
                </c:pt>
                <c:pt idx="11">
                  <c:v>0.45414701226059923</c:v>
                </c:pt>
                <c:pt idx="12">
                  <c:v>0.20562277238639989</c:v>
                </c:pt>
                <c:pt idx="13">
                  <c:v>4.6481198053399876E-2</c:v>
                </c:pt>
                <c:pt idx="14">
                  <c:v>5.8790755202600173E-2</c:v>
                </c:pt>
                <c:pt idx="15">
                  <c:v>-3.8611122396599751E-2</c:v>
                </c:pt>
                <c:pt idx="16">
                  <c:v>0.19877668230760023</c:v>
                </c:pt>
                <c:pt idx="17">
                  <c:v>0.19106550885020049</c:v>
                </c:pt>
                <c:pt idx="18">
                  <c:v>-2.1031638824599998E-2</c:v>
                </c:pt>
                <c:pt idx="19">
                  <c:v>-1.8881872245599868E-2</c:v>
                </c:pt>
                <c:pt idx="20">
                  <c:v>-1.1578648579121578</c:v>
                </c:pt>
                <c:pt idx="21">
                  <c:v>-4.9674966649835008</c:v>
                </c:pt>
                <c:pt idx="22">
                  <c:v>-1.9520417393251053</c:v>
                </c:pt>
                <c:pt idx="23">
                  <c:v>-4.5017067627894294</c:v>
                </c:pt>
                <c:pt idx="24">
                  <c:v>-3.6933845036437498</c:v>
                </c:pt>
                <c:pt idx="25">
                  <c:v>1.3724082127149826</c:v>
                </c:pt>
                <c:pt idx="26">
                  <c:v>0.63617916285750065</c:v>
                </c:pt>
                <c:pt idx="27">
                  <c:v>2.8391165022808131</c:v>
                </c:pt>
                <c:pt idx="28">
                  <c:v>2.9561078391668967</c:v>
                </c:pt>
                <c:pt idx="29">
                  <c:v>2.6813701390722935</c:v>
                </c:pt>
                <c:pt idx="30">
                  <c:v>-0.42126370124067886</c:v>
                </c:pt>
                <c:pt idx="31">
                  <c:v>0.60066614945780028</c:v>
                </c:pt>
                <c:pt idx="32">
                  <c:v>0.54106440281159984</c:v>
                </c:pt>
                <c:pt idx="33">
                  <c:v>3.7104883741050136E-2</c:v>
                </c:pt>
                <c:pt idx="34" formatCode="0.00">
                  <c:v>0.18122303121970221</c:v>
                </c:pt>
              </c:numCache>
            </c:numRef>
          </c:val>
          <c:extLst>
            <c:ext xmlns:c16="http://schemas.microsoft.com/office/drawing/2014/chart" uri="{C3380CC4-5D6E-409C-BE32-E72D297353CC}">
              <c16:uniqueId val="{00000001-8B1B-4980-9223-E9848A64A0E4}"/>
            </c:ext>
          </c:extLst>
        </c:ser>
        <c:ser>
          <c:idx val="2"/>
          <c:order val="3"/>
          <c:tx>
            <c:strRef>
              <c:f>'Služby-příspěvkyk růstu-4'!$F$33</c:f>
              <c:strCache>
                <c:ptCount val="1"/>
                <c:pt idx="0">
                  <c:v>Informační a komunikační činnosti (p. b.)</c:v>
                </c:pt>
              </c:strCache>
            </c:strRef>
          </c:tx>
          <c:spPr>
            <a:solidFill>
              <a:srgbClr val="E6E100"/>
            </a:solidFill>
            <a:ln>
              <a:noFill/>
            </a:ln>
          </c:spPr>
          <c:invertIfNegative val="0"/>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růstu-4'!$F$46:$F$81</c:f>
              <c:numCache>
                <c:formatCode>0.0</c:formatCode>
                <c:ptCount val="36"/>
                <c:pt idx="0">
                  <c:v>1.4083798915137009</c:v>
                </c:pt>
                <c:pt idx="1">
                  <c:v>0.82540650715499952</c:v>
                </c:pt>
                <c:pt idx="2">
                  <c:v>0.80424272675400077</c:v>
                </c:pt>
                <c:pt idx="3">
                  <c:v>1.3174140502479967</c:v>
                </c:pt>
                <c:pt idx="4">
                  <c:v>0.35985664064800132</c:v>
                </c:pt>
                <c:pt idx="5">
                  <c:v>0.15751383681999925</c:v>
                </c:pt>
                <c:pt idx="6">
                  <c:v>0.32598498922400143</c:v>
                </c:pt>
                <c:pt idx="7">
                  <c:v>0.17761340848900098</c:v>
                </c:pt>
                <c:pt idx="8">
                  <c:v>0.76438636704000096</c:v>
                </c:pt>
                <c:pt idx="9">
                  <c:v>0.98207704425299858</c:v>
                </c:pt>
                <c:pt idx="10">
                  <c:v>0.77093881661000407</c:v>
                </c:pt>
                <c:pt idx="11">
                  <c:v>0.58294315828299859</c:v>
                </c:pt>
                <c:pt idx="12">
                  <c:v>1.4398200028309958</c:v>
                </c:pt>
                <c:pt idx="13">
                  <c:v>0.76531943813199965</c:v>
                </c:pt>
                <c:pt idx="14">
                  <c:v>1.415831001736001</c:v>
                </c:pt>
                <c:pt idx="15">
                  <c:v>0.98684323348800285</c:v>
                </c:pt>
                <c:pt idx="16">
                  <c:v>1.234847424680001</c:v>
                </c:pt>
                <c:pt idx="17">
                  <c:v>1.1603884990620001</c:v>
                </c:pt>
                <c:pt idx="18">
                  <c:v>0.91591834325400012</c:v>
                </c:pt>
                <c:pt idx="19">
                  <c:v>1.1621880049516053</c:v>
                </c:pt>
                <c:pt idx="20">
                  <c:v>0.8191341781949999</c:v>
                </c:pt>
                <c:pt idx="21">
                  <c:v>1.3223529237600423E-2</c:v>
                </c:pt>
                <c:pt idx="22">
                  <c:v>-0.20840783961800019</c:v>
                </c:pt>
                <c:pt idx="23">
                  <c:v>-0.54142483054800306</c:v>
                </c:pt>
                <c:pt idx="24">
                  <c:v>0.71316924858200104</c:v>
                </c:pt>
                <c:pt idx="25">
                  <c:v>1.5486406955901628</c:v>
                </c:pt>
                <c:pt idx="26">
                  <c:v>1.4405780988855996</c:v>
                </c:pt>
                <c:pt idx="27">
                  <c:v>1.9065499671602741</c:v>
                </c:pt>
                <c:pt idx="28">
                  <c:v>1.4241015860772992</c:v>
                </c:pt>
                <c:pt idx="29">
                  <c:v>0.86579080876800196</c:v>
                </c:pt>
                <c:pt idx="30">
                  <c:v>0.69569690090645042</c:v>
                </c:pt>
                <c:pt idx="31">
                  <c:v>0.23551368312941137</c:v>
                </c:pt>
                <c:pt idx="32">
                  <c:v>0.50979013389719985</c:v>
                </c:pt>
                <c:pt idx="33">
                  <c:v>-0.21067253915528883</c:v>
                </c:pt>
                <c:pt idx="34" formatCode="0.00">
                  <c:v>-0.76555228787772456</c:v>
                </c:pt>
              </c:numCache>
            </c:numRef>
          </c:val>
          <c:extLst>
            <c:ext xmlns:c16="http://schemas.microsoft.com/office/drawing/2014/chart" uri="{C3380CC4-5D6E-409C-BE32-E72D297353CC}">
              <c16:uniqueId val="{00000002-8B1B-4980-9223-E9848A64A0E4}"/>
            </c:ext>
          </c:extLst>
        </c:ser>
        <c:ser>
          <c:idx val="4"/>
          <c:order val="4"/>
          <c:tx>
            <c:strRef>
              <c:f>'Služby-příspěvkyk růstu-4'!$G$33</c:f>
              <c:strCache>
                <c:ptCount val="1"/>
                <c:pt idx="0">
                  <c:v>Činnosti v oblasti nemovitostí (p. b.)</c:v>
                </c:pt>
              </c:strCache>
            </c:strRef>
          </c:tx>
          <c:spPr>
            <a:solidFill>
              <a:schemeClr val="accent5">
                <a:lumMod val="60000"/>
                <a:lumOff val="40000"/>
              </a:schemeClr>
            </a:solidFill>
            <a:ln>
              <a:noFill/>
              <a:prstDash val="sysDash"/>
            </a:ln>
          </c:spPr>
          <c:invertIfNegative val="0"/>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růstu-4'!$G$46:$G$81</c:f>
              <c:numCache>
                <c:formatCode>0.0</c:formatCode>
                <c:ptCount val="36"/>
                <c:pt idx="0">
                  <c:v>4.7588818498199945E-2</c:v>
                </c:pt>
                <c:pt idx="1">
                  <c:v>-7.3007550905993899E-3</c:v>
                </c:pt>
                <c:pt idx="2">
                  <c:v>0.12810762983039936</c:v>
                </c:pt>
                <c:pt idx="3">
                  <c:v>2.4617916117599527E-2</c:v>
                </c:pt>
                <c:pt idx="4">
                  <c:v>0.25752090895740087</c:v>
                </c:pt>
                <c:pt idx="5">
                  <c:v>-4.2228184845005514E-3</c:v>
                </c:pt>
                <c:pt idx="6">
                  <c:v>0.14993183101380098</c:v>
                </c:pt>
                <c:pt idx="7">
                  <c:v>-6.6530028186599505E-2</c:v>
                </c:pt>
                <c:pt idx="8">
                  <c:v>0.20977398058900057</c:v>
                </c:pt>
                <c:pt idx="9">
                  <c:v>0.44953617213779962</c:v>
                </c:pt>
                <c:pt idx="10">
                  <c:v>-2.2338348474500586E-2</c:v>
                </c:pt>
                <c:pt idx="11">
                  <c:v>0.13984723093740045</c:v>
                </c:pt>
                <c:pt idx="12">
                  <c:v>2.6966101253399585E-2</c:v>
                </c:pt>
                <c:pt idx="13">
                  <c:v>-0.24884766500040006</c:v>
                </c:pt>
                <c:pt idx="14">
                  <c:v>-0.12645184379759991</c:v>
                </c:pt>
                <c:pt idx="15">
                  <c:v>-0.2237880164220008</c:v>
                </c:pt>
                <c:pt idx="16">
                  <c:v>0.14753986907940056</c:v>
                </c:pt>
                <c:pt idx="17">
                  <c:v>-7.3797086292003832E-3</c:v>
                </c:pt>
                <c:pt idx="18">
                  <c:v>-0.23287434101939941</c:v>
                </c:pt>
                <c:pt idx="19">
                  <c:v>-0.10147037326200042</c:v>
                </c:pt>
                <c:pt idx="20">
                  <c:v>0.4243189076208021</c:v>
                </c:pt>
                <c:pt idx="21">
                  <c:v>-0.29919163957060046</c:v>
                </c:pt>
                <c:pt idx="22">
                  <c:v>-0.26426338474666694</c:v>
                </c:pt>
                <c:pt idx="23">
                  <c:v>-0.23118426949069976</c:v>
                </c:pt>
                <c:pt idx="24">
                  <c:v>-0.20085438476490097</c:v>
                </c:pt>
                <c:pt idx="25">
                  <c:v>0.43434705815385088</c:v>
                </c:pt>
                <c:pt idx="26">
                  <c:v>2.9423998310004213E-3</c:v>
                </c:pt>
                <c:pt idx="27">
                  <c:v>0.23837123738399993</c:v>
                </c:pt>
                <c:pt idx="28">
                  <c:v>0.9317798842872006</c:v>
                </c:pt>
                <c:pt idx="29">
                  <c:v>0.47103938028000031</c:v>
                </c:pt>
                <c:pt idx="30">
                  <c:v>0.24148183282894781</c:v>
                </c:pt>
                <c:pt idx="31">
                  <c:v>0.36276827915000093</c:v>
                </c:pt>
                <c:pt idx="32">
                  <c:v>-2.9053651535999966E-2</c:v>
                </c:pt>
                <c:pt idx="33">
                  <c:v>-0.21207411126600276</c:v>
                </c:pt>
                <c:pt idx="34" formatCode="0.00">
                  <c:v>-0.19342736972878588</c:v>
                </c:pt>
              </c:numCache>
            </c:numRef>
          </c:val>
          <c:extLst>
            <c:ext xmlns:c16="http://schemas.microsoft.com/office/drawing/2014/chart" uri="{C3380CC4-5D6E-409C-BE32-E72D297353CC}">
              <c16:uniqueId val="{00000003-8B1B-4980-9223-E9848A64A0E4}"/>
            </c:ext>
          </c:extLst>
        </c:ser>
        <c:ser>
          <c:idx val="5"/>
          <c:order val="5"/>
          <c:tx>
            <c:strRef>
              <c:f>'Služby-příspěvkyk růstu-4'!$H$33</c:f>
              <c:strCache>
                <c:ptCount val="1"/>
                <c:pt idx="0">
                  <c:v>Profesní, vědecké a technické činnosti (p. b.)</c:v>
                </c:pt>
              </c:strCache>
            </c:strRef>
          </c:tx>
          <c:spPr>
            <a:solidFill>
              <a:schemeClr val="accent6">
                <a:lumMod val="60000"/>
                <a:lumOff val="40000"/>
              </a:schemeClr>
            </a:solidFill>
            <a:ln>
              <a:noFill/>
            </a:ln>
          </c:spPr>
          <c:invertIfNegative val="0"/>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růstu-4'!$H$46:$H$81</c:f>
              <c:numCache>
                <c:formatCode>0.0</c:formatCode>
                <c:ptCount val="36"/>
                <c:pt idx="0">
                  <c:v>1.0468505532869989</c:v>
                </c:pt>
                <c:pt idx="1">
                  <c:v>0.72007462620000118</c:v>
                </c:pt>
                <c:pt idx="2">
                  <c:v>1.0906393004399977</c:v>
                </c:pt>
                <c:pt idx="3">
                  <c:v>-4.2990021238901562E-2</c:v>
                </c:pt>
                <c:pt idx="4">
                  <c:v>-0.43098075353700194</c:v>
                </c:pt>
                <c:pt idx="5">
                  <c:v>-1.3389465804999978</c:v>
                </c:pt>
                <c:pt idx="6">
                  <c:v>3.0728374200130306E-4</c:v>
                </c:pt>
                <c:pt idx="7">
                  <c:v>-0.31210716654949938</c:v>
                </c:pt>
                <c:pt idx="8">
                  <c:v>0.95807798756000062</c:v>
                </c:pt>
                <c:pt idx="9">
                  <c:v>0.59447839488779852</c:v>
                </c:pt>
                <c:pt idx="10">
                  <c:v>0.30863690562090063</c:v>
                </c:pt>
                <c:pt idx="11">
                  <c:v>0.42814590144940146</c:v>
                </c:pt>
                <c:pt idx="12">
                  <c:v>1.052162927426501</c:v>
                </c:pt>
                <c:pt idx="13">
                  <c:v>0.5501113250554992</c:v>
                </c:pt>
                <c:pt idx="14">
                  <c:v>0.3596254694963989</c:v>
                </c:pt>
                <c:pt idx="15">
                  <c:v>-0.26680052765060214</c:v>
                </c:pt>
                <c:pt idx="16">
                  <c:v>0.7098884861869007</c:v>
                </c:pt>
                <c:pt idx="17">
                  <c:v>0.59156625867139956</c:v>
                </c:pt>
                <c:pt idx="18">
                  <c:v>-0.77754044718210158</c:v>
                </c:pt>
                <c:pt idx="19">
                  <c:v>-0.568891623520002</c:v>
                </c:pt>
                <c:pt idx="20">
                  <c:v>-0.86298756252779962</c:v>
                </c:pt>
                <c:pt idx="21">
                  <c:v>-3.1826786933129987</c:v>
                </c:pt>
                <c:pt idx="22">
                  <c:v>-1.4951268594295057</c:v>
                </c:pt>
                <c:pt idx="23">
                  <c:v>-1.5495215129057978</c:v>
                </c:pt>
                <c:pt idx="24">
                  <c:v>-1.5897570854689647</c:v>
                </c:pt>
                <c:pt idx="25">
                  <c:v>2.7177633580318052</c:v>
                </c:pt>
                <c:pt idx="26">
                  <c:v>1.7630975025485993</c:v>
                </c:pt>
                <c:pt idx="27">
                  <c:v>2.0930310136979418</c:v>
                </c:pt>
                <c:pt idx="28">
                  <c:v>2.2703464324547977</c:v>
                </c:pt>
                <c:pt idx="29">
                  <c:v>1.2338620529777742</c:v>
                </c:pt>
                <c:pt idx="30">
                  <c:v>1.0045707012391294</c:v>
                </c:pt>
                <c:pt idx="31">
                  <c:v>3.1260807364285555E-2</c:v>
                </c:pt>
                <c:pt idx="32">
                  <c:v>0.4985359538535003</c:v>
                </c:pt>
                <c:pt idx="33">
                  <c:v>0.80402607013840188</c:v>
                </c:pt>
                <c:pt idx="34" formatCode="0.00">
                  <c:v>3.1253019301214012E-2</c:v>
                </c:pt>
              </c:numCache>
            </c:numRef>
          </c:val>
          <c:extLst>
            <c:ext xmlns:c16="http://schemas.microsoft.com/office/drawing/2014/chart" uri="{C3380CC4-5D6E-409C-BE32-E72D297353CC}">
              <c16:uniqueId val="{00000004-8B1B-4980-9223-E9848A64A0E4}"/>
            </c:ext>
          </c:extLst>
        </c:ser>
        <c:ser>
          <c:idx val="6"/>
          <c:order val="6"/>
          <c:tx>
            <c:strRef>
              <c:f>'Služby-příspěvkyk růstu-4'!$I$33</c:f>
              <c:strCache>
                <c:ptCount val="1"/>
                <c:pt idx="0">
                  <c:v>Administr. a podpůrné čin. (příspěvek v p. b.)</c:v>
                </c:pt>
              </c:strCache>
            </c:strRef>
          </c:tx>
          <c:spPr>
            <a:solidFill>
              <a:schemeClr val="accent1">
                <a:lumMod val="20000"/>
                <a:lumOff val="80000"/>
              </a:schemeClr>
            </a:solidFill>
            <a:ln>
              <a:noFill/>
            </a:ln>
          </c:spPr>
          <c:invertIfNegative val="0"/>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růstu-4'!$I$46:$I$81</c:f>
              <c:numCache>
                <c:formatCode>0.0</c:formatCode>
                <c:ptCount val="36"/>
                <c:pt idx="0">
                  <c:v>0.51550370389649958</c:v>
                </c:pt>
                <c:pt idx="1">
                  <c:v>0.62101310773750029</c:v>
                </c:pt>
                <c:pt idx="2">
                  <c:v>0.43506961802500088</c:v>
                </c:pt>
                <c:pt idx="3">
                  <c:v>0.50168865387910055</c:v>
                </c:pt>
                <c:pt idx="4">
                  <c:v>0.4550707532813994</c:v>
                </c:pt>
                <c:pt idx="5">
                  <c:v>0.16398578688570103</c:v>
                </c:pt>
                <c:pt idx="6">
                  <c:v>0.26977885261849965</c:v>
                </c:pt>
                <c:pt idx="7">
                  <c:v>0.51378188366290034</c:v>
                </c:pt>
                <c:pt idx="8">
                  <c:v>1.320133173034</c:v>
                </c:pt>
                <c:pt idx="9">
                  <c:v>1.0879288678140984</c:v>
                </c:pt>
                <c:pt idx="10">
                  <c:v>0.64134107873250112</c:v>
                </c:pt>
                <c:pt idx="11">
                  <c:v>0.30531118010650082</c:v>
                </c:pt>
                <c:pt idx="12">
                  <c:v>0.53332072309840062</c:v>
                </c:pt>
                <c:pt idx="13">
                  <c:v>0.37840292387820168</c:v>
                </c:pt>
                <c:pt idx="14">
                  <c:v>0.43569101400389965</c:v>
                </c:pt>
                <c:pt idx="15">
                  <c:v>-1.3079338160200678E-2</c:v>
                </c:pt>
                <c:pt idx="16">
                  <c:v>0.47288540072630031</c:v>
                </c:pt>
                <c:pt idx="17">
                  <c:v>0.12968213694649991</c:v>
                </c:pt>
                <c:pt idx="18">
                  <c:v>-0.12322397481160005</c:v>
                </c:pt>
                <c:pt idx="19">
                  <c:v>-0.21537552647130034</c:v>
                </c:pt>
                <c:pt idx="20">
                  <c:v>-1.1051686942919998</c:v>
                </c:pt>
                <c:pt idx="21">
                  <c:v>-4.3129281059486004</c:v>
                </c:pt>
                <c:pt idx="22">
                  <c:v>-4.4460675231578994</c:v>
                </c:pt>
                <c:pt idx="23">
                  <c:v>-2.3716048373777987</c:v>
                </c:pt>
                <c:pt idx="24">
                  <c:v>-1.4732703403763998</c:v>
                </c:pt>
                <c:pt idx="25">
                  <c:v>1.7697809683939403</c:v>
                </c:pt>
                <c:pt idx="26">
                  <c:v>1.8505450464600026</c:v>
                </c:pt>
                <c:pt idx="27">
                  <c:v>1.0498709638992363</c:v>
                </c:pt>
                <c:pt idx="28">
                  <c:v>1.8422319047019384</c:v>
                </c:pt>
                <c:pt idx="29">
                  <c:v>2.1447223452546771</c:v>
                </c:pt>
                <c:pt idx="30">
                  <c:v>1.8858572291093003</c:v>
                </c:pt>
                <c:pt idx="31">
                  <c:v>0.46980802110480063</c:v>
                </c:pt>
                <c:pt idx="32">
                  <c:v>-0.41208206934960218</c:v>
                </c:pt>
                <c:pt idx="33">
                  <c:v>-0.12512264228690917</c:v>
                </c:pt>
                <c:pt idx="34" formatCode="0.00">
                  <c:v>-0.23074839842521269</c:v>
                </c:pt>
              </c:numCache>
            </c:numRef>
          </c:val>
          <c:extLst>
            <c:ext xmlns:c16="http://schemas.microsoft.com/office/drawing/2014/chart" uri="{C3380CC4-5D6E-409C-BE32-E72D297353CC}">
              <c16:uniqueId val="{00000005-8B1B-4980-9223-E9848A64A0E4}"/>
            </c:ext>
          </c:extLst>
        </c:ser>
        <c:dLbls>
          <c:showLegendKey val="0"/>
          <c:showVal val="0"/>
          <c:showCatName val="0"/>
          <c:showSerName val="0"/>
          <c:showPercent val="0"/>
          <c:showBubbleSize val="0"/>
        </c:dLbls>
        <c:gapWidth val="20"/>
        <c:overlap val="100"/>
        <c:axId val="73058560"/>
        <c:axId val="74846208"/>
      </c:barChart>
      <c:lineChart>
        <c:grouping val="standard"/>
        <c:varyColors val="0"/>
        <c:ser>
          <c:idx val="3"/>
          <c:order val="0"/>
          <c:tx>
            <c:strRef>
              <c:f>'Služby-příspěvkyk růstu-4'!$C$33</c:f>
              <c:strCache>
                <c:ptCount val="1"/>
                <c:pt idx="0">
                  <c:v>Služby celkem (meziroční růst v %)</c:v>
                </c:pt>
              </c:strCache>
            </c:strRef>
          </c:tx>
          <c:spPr>
            <a:ln>
              <a:noFill/>
            </a:ln>
          </c:spPr>
          <c:marker>
            <c:symbol val="dot"/>
            <c:size val="7"/>
            <c:spPr>
              <a:solidFill>
                <a:schemeClr val="tx1">
                  <a:lumMod val="95000"/>
                  <a:lumOff val="5000"/>
                </a:schemeClr>
              </a:solidFill>
              <a:ln>
                <a:noFill/>
              </a:ln>
            </c:spPr>
          </c:marker>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růstu-4'!$C$46:$C$81</c:f>
              <c:numCache>
                <c:formatCode>0.0</c:formatCode>
                <c:ptCount val="36"/>
                <c:pt idx="0">
                  <c:v>3.3389757055000047</c:v>
                </c:pt>
                <c:pt idx="1">
                  <c:v>2.7067050277999982</c:v>
                </c:pt>
                <c:pt idx="2">
                  <c:v>3.2709178656000026</c:v>
                </c:pt>
                <c:pt idx="3">
                  <c:v>2.2089354800999956</c:v>
                </c:pt>
                <c:pt idx="4">
                  <c:v>1.3188134916999978</c:v>
                </c:pt>
                <c:pt idx="5">
                  <c:v>-0.871847359200005</c:v>
                </c:pt>
                <c:pt idx="6">
                  <c:v>1.432916322599991</c:v>
                </c:pt>
                <c:pt idx="7">
                  <c:v>1.6231078297000079</c:v>
                </c:pt>
                <c:pt idx="8">
                  <c:v>5.6612801194000042</c:v>
                </c:pt>
                <c:pt idx="9">
                  <c:v>5.4428853814000036</c:v>
                </c:pt>
                <c:pt idx="10">
                  <c:v>3.3993920882000026</c:v>
                </c:pt>
                <c:pt idx="11">
                  <c:v>2.5070727970000082</c:v>
                </c:pt>
                <c:pt idx="12">
                  <c:v>5.0684890596999859</c:v>
                </c:pt>
                <c:pt idx="13">
                  <c:v>3.4835722001000002</c:v>
                </c:pt>
                <c:pt idx="14">
                  <c:v>3.6922427452000037</c:v>
                </c:pt>
                <c:pt idx="15">
                  <c:v>1.0703178197999961</c:v>
                </c:pt>
                <c:pt idx="16">
                  <c:v>3.5773888026000011</c:v>
                </c:pt>
                <c:pt idx="17">
                  <c:v>1.9755475901000081</c:v>
                </c:pt>
                <c:pt idx="18">
                  <c:v>-0.81246141469999711</c:v>
                </c:pt>
                <c:pt idx="19">
                  <c:v>-0.15760277260000066</c:v>
                </c:pt>
                <c:pt idx="20">
                  <c:v>-3.7058485394999963</c:v>
                </c:pt>
                <c:pt idx="21">
                  <c:v>-19.646669998500002</c:v>
                </c:pt>
                <c:pt idx="22">
                  <c:v>-12.602196924200006</c:v>
                </c:pt>
                <c:pt idx="23">
                  <c:v>-10.913780029100016</c:v>
                </c:pt>
                <c:pt idx="24">
                  <c:v>-6.4008194153999938</c:v>
                </c:pt>
                <c:pt idx="25">
                  <c:v>14.785941922700005</c:v>
                </c:pt>
                <c:pt idx="26">
                  <c:v>9.8363909518000003</c:v>
                </c:pt>
                <c:pt idx="27">
                  <c:v>12.659313517100006</c:v>
                </c:pt>
                <c:pt idx="28">
                  <c:v>14.074786841800027</c:v>
                </c:pt>
                <c:pt idx="29">
                  <c:v>12.264455162999994</c:v>
                </c:pt>
                <c:pt idx="30">
                  <c:v>7.1886391511999905</c:v>
                </c:pt>
                <c:pt idx="31">
                  <c:v>1.6026476221999957</c:v>
                </c:pt>
                <c:pt idx="32">
                  <c:v>-0.25746849710000747</c:v>
                </c:pt>
                <c:pt idx="33">
                  <c:v>-3.3419688576999982</c:v>
                </c:pt>
                <c:pt idx="34">
                  <c:v>-5.0850664621000021</c:v>
                </c:pt>
              </c:numCache>
            </c:numRef>
          </c:val>
          <c:smooth val="0"/>
          <c:extLst>
            <c:ext xmlns:c16="http://schemas.microsoft.com/office/drawing/2014/chart" uri="{C3380CC4-5D6E-409C-BE32-E72D297353CC}">
              <c16:uniqueId val="{00000006-8B1B-4980-9223-E9848A64A0E4}"/>
            </c:ext>
          </c:extLst>
        </c:ser>
        <c:dLbls>
          <c:showLegendKey val="0"/>
          <c:showVal val="0"/>
          <c:showCatName val="0"/>
          <c:showSerName val="0"/>
          <c:showPercent val="0"/>
          <c:showBubbleSize val="0"/>
        </c:dLbls>
        <c:marker val="1"/>
        <c:smooth val="0"/>
        <c:axId val="73058560"/>
        <c:axId val="74846208"/>
      </c:lineChart>
      <c:lineChart>
        <c:grouping val="standard"/>
        <c:varyColors val="0"/>
        <c:ser>
          <c:idx val="7"/>
          <c:order val="7"/>
          <c:tx>
            <c:strRef>
              <c:f>'Služby-příspěvkyk růstu-4'!$J$33</c:f>
              <c:strCache>
                <c:ptCount val="1"/>
                <c:pt idx="0">
                  <c:v>Saldo indikátoru důvěry ve službách</c:v>
                </c:pt>
              </c:strCache>
            </c:strRef>
          </c:tx>
          <c:spPr>
            <a:ln w="3175">
              <a:solidFill>
                <a:schemeClr val="bg1">
                  <a:lumMod val="50000"/>
                </a:schemeClr>
              </a:solidFill>
              <a:prstDash val="sysDash"/>
            </a:ln>
          </c:spPr>
          <c:marker>
            <c:symbol val="diamond"/>
            <c:size val="5"/>
            <c:spPr>
              <a:solidFill>
                <a:srgbClr val="FFFF00"/>
              </a:solidFill>
              <a:ln w="6350">
                <a:solidFill>
                  <a:schemeClr val="tx1">
                    <a:lumMod val="85000"/>
                    <a:lumOff val="15000"/>
                  </a:schemeClr>
                </a:solidFill>
              </a:ln>
            </c:spPr>
          </c:marker>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růstu-4'!$J$46:$J$81</c:f>
              <c:numCache>
                <c:formatCode>#\ ##0.0</c:formatCode>
                <c:ptCount val="36"/>
                <c:pt idx="0">
                  <c:v>29.7</c:v>
                </c:pt>
                <c:pt idx="1">
                  <c:v>28.7</c:v>
                </c:pt>
                <c:pt idx="2">
                  <c:v>31.3</c:v>
                </c:pt>
                <c:pt idx="3">
                  <c:v>32.700000000000003</c:v>
                </c:pt>
                <c:pt idx="4">
                  <c:v>32.300000000000004</c:v>
                </c:pt>
                <c:pt idx="5">
                  <c:v>33</c:v>
                </c:pt>
                <c:pt idx="6">
                  <c:v>33</c:v>
                </c:pt>
                <c:pt idx="7">
                  <c:v>37.700000000000003</c:v>
                </c:pt>
                <c:pt idx="8">
                  <c:v>35.300000000000004</c:v>
                </c:pt>
                <c:pt idx="9">
                  <c:v>37.700000000000003</c:v>
                </c:pt>
                <c:pt idx="10">
                  <c:v>37.300000000000004</c:v>
                </c:pt>
                <c:pt idx="11">
                  <c:v>35.700000000000003</c:v>
                </c:pt>
                <c:pt idx="12">
                  <c:v>38.300000000000004</c:v>
                </c:pt>
                <c:pt idx="13">
                  <c:v>37</c:v>
                </c:pt>
                <c:pt idx="14">
                  <c:v>38.300000000000004</c:v>
                </c:pt>
                <c:pt idx="15">
                  <c:v>40.700000000000003</c:v>
                </c:pt>
                <c:pt idx="16">
                  <c:v>39.300000000000004</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pt idx="31">
                  <c:v>21.3</c:v>
                </c:pt>
                <c:pt idx="32">
                  <c:v>24</c:v>
                </c:pt>
                <c:pt idx="33" formatCode="0.0">
                  <c:v>28</c:v>
                </c:pt>
                <c:pt idx="34" formatCode="0.0">
                  <c:v>25.7</c:v>
                </c:pt>
                <c:pt idx="35" formatCode="0.0">
                  <c:v>22.7</c:v>
                </c:pt>
              </c:numCache>
            </c:numRef>
          </c:val>
          <c:smooth val="0"/>
          <c:extLst>
            <c:ext xmlns:c16="http://schemas.microsoft.com/office/drawing/2014/chart" uri="{C3380CC4-5D6E-409C-BE32-E72D297353CC}">
              <c16:uniqueId val="{00000007-8B1B-4980-9223-E9848A64A0E4}"/>
            </c:ext>
          </c:extLst>
        </c:ser>
        <c:ser>
          <c:idx val="8"/>
          <c:order val="8"/>
          <c:tx>
            <c:strRef>
              <c:f>'Služby-příspěvkyk růstu-4'!$K$33</c:f>
              <c:strCache>
                <c:ptCount val="1"/>
                <c:pt idx="0">
                  <c:v>Bariéra růstu: nedostatečná poptávka</c:v>
                </c:pt>
              </c:strCache>
            </c:strRef>
          </c:tx>
          <c:spPr>
            <a:ln w="15875">
              <a:solidFill>
                <a:srgbClr val="CA945E"/>
              </a:solidFill>
              <a:prstDash val="solid"/>
            </a:ln>
          </c:spPr>
          <c:marker>
            <c:symbol val="none"/>
          </c:marker>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růstu-4'!$K$46:$K$81</c:f>
              <c:numCache>
                <c:formatCode>#\ ##0.0</c:formatCode>
                <c:ptCount val="36"/>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34.800000000000004</c:v>
                </c:pt>
                <c:pt idx="25">
                  <c:v>36.800000000000004</c:v>
                </c:pt>
                <c:pt idx="26">
                  <c:v>28.9</c:v>
                </c:pt>
                <c:pt idx="27">
                  <c:v>26.3</c:v>
                </c:pt>
                <c:pt idx="28">
                  <c:v>31.6</c:v>
                </c:pt>
                <c:pt idx="29">
                  <c:v>15</c:v>
                </c:pt>
                <c:pt idx="30">
                  <c:v>30.2</c:v>
                </c:pt>
                <c:pt idx="31">
                  <c:v>17.600000000000001</c:v>
                </c:pt>
                <c:pt idx="32">
                  <c:v>25.4</c:v>
                </c:pt>
                <c:pt idx="33">
                  <c:v>19.100000000000001</c:v>
                </c:pt>
                <c:pt idx="34">
                  <c:v>26</c:v>
                </c:pt>
              </c:numCache>
            </c:numRef>
          </c:val>
          <c:smooth val="0"/>
          <c:extLst>
            <c:ext xmlns:c16="http://schemas.microsoft.com/office/drawing/2014/chart" uri="{C3380CC4-5D6E-409C-BE32-E72D297353CC}">
              <c16:uniqueId val="{00000008-8B1B-4980-9223-E9848A64A0E4}"/>
            </c:ext>
          </c:extLst>
        </c:ser>
        <c:ser>
          <c:idx val="9"/>
          <c:order val="9"/>
          <c:tx>
            <c:strRef>
              <c:f>'Služby-příspěvkyk růstu-4'!$L$33</c:f>
              <c:strCache>
                <c:ptCount val="1"/>
                <c:pt idx="0">
                  <c:v>Bariéra růstu: nedostatek pracovníků</c:v>
                </c:pt>
              </c:strCache>
            </c:strRef>
          </c:tx>
          <c:spPr>
            <a:ln w="15875">
              <a:solidFill>
                <a:srgbClr val="CA945E"/>
              </a:solidFill>
              <a:prstDash val="sysDash"/>
            </a:ln>
          </c:spPr>
          <c:marker>
            <c:symbol val="none"/>
          </c:marker>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růstu-4'!$L$46:$L$81</c:f>
              <c:numCache>
                <c:formatCode>#\ ##0.0</c:formatCode>
                <c:ptCount val="36"/>
                <c:pt idx="0">
                  <c:v>1.3</c:v>
                </c:pt>
                <c:pt idx="1">
                  <c:v>6</c:v>
                </c:pt>
                <c:pt idx="2">
                  <c:v>7.2</c:v>
                </c:pt>
                <c:pt idx="3">
                  <c:v>5.6</c:v>
                </c:pt>
                <c:pt idx="4">
                  <c:v>7.5</c:v>
                </c:pt>
                <c:pt idx="5">
                  <c:v>4.5</c:v>
                </c:pt>
                <c:pt idx="6">
                  <c:v>7.9</c:v>
                </c:pt>
                <c:pt idx="7">
                  <c:v>9.5</c:v>
                </c:pt>
                <c:pt idx="8">
                  <c:v>9.4</c:v>
                </c:pt>
                <c:pt idx="9">
                  <c:v>9.7000000000000011</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pt idx="31">
                  <c:v>6.6</c:v>
                </c:pt>
                <c:pt idx="32">
                  <c:v>9.3000000000000007</c:v>
                </c:pt>
                <c:pt idx="33">
                  <c:v>9.7000000000000011</c:v>
                </c:pt>
                <c:pt idx="34">
                  <c:v>9.2000000000000011</c:v>
                </c:pt>
              </c:numCache>
            </c:numRef>
          </c:val>
          <c:smooth val="0"/>
          <c:extLst>
            <c:ext xmlns:c16="http://schemas.microsoft.com/office/drawing/2014/chart" uri="{C3380CC4-5D6E-409C-BE32-E72D297353CC}">
              <c16:uniqueId val="{00000009-8B1B-4980-9223-E9848A64A0E4}"/>
            </c:ext>
          </c:extLst>
        </c:ser>
        <c:ser>
          <c:idx val="10"/>
          <c:order val="10"/>
          <c:tx>
            <c:strRef>
              <c:f>'Služby-příspěvkyk růstu-4'!$M$33</c:f>
              <c:strCache>
                <c:ptCount val="1"/>
                <c:pt idx="0">
                  <c:v>Tržby celkem (báze 2015=100, stálé ceny)</c:v>
                </c:pt>
              </c:strCache>
            </c:strRef>
          </c:tx>
          <c:spPr>
            <a:ln w="15875">
              <a:solidFill>
                <a:schemeClr val="tx1"/>
              </a:solidFill>
            </a:ln>
          </c:spPr>
          <c:marker>
            <c:symbol val="none"/>
          </c:marker>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růstu-4'!$M$46:$M$81</c:f>
              <c:numCache>
                <c:formatCode>0.0</c:formatCode>
                <c:ptCount val="36"/>
                <c:pt idx="0">
                  <c:v>98.905869400000142</c:v>
                </c:pt>
                <c:pt idx="1">
                  <c:v>99.939744966700005</c:v>
                </c:pt>
                <c:pt idx="2">
                  <c:v>100.46069412999999</c:v>
                </c:pt>
                <c:pt idx="3">
                  <c:v>100.69369150670001</c:v>
                </c:pt>
                <c:pt idx="4">
                  <c:v>99.506269490000221</c:v>
                </c:pt>
                <c:pt idx="5">
                  <c:v>99.882932769999798</c:v>
                </c:pt>
                <c:pt idx="6">
                  <c:v>101.6454132667</c:v>
                </c:pt>
                <c:pt idx="7">
                  <c:v>103.1425757933</c:v>
                </c:pt>
                <c:pt idx="8">
                  <c:v>103.7536856167</c:v>
                </c:pt>
                <c:pt idx="9">
                  <c:v>105.19867788669973</c:v>
                </c:pt>
                <c:pt idx="10">
                  <c:v>105.3356622867</c:v>
                </c:pt>
                <c:pt idx="11">
                  <c:v>106.72097377670001</c:v>
                </c:pt>
                <c:pt idx="12">
                  <c:v>107.91535113669973</c:v>
                </c:pt>
                <c:pt idx="13">
                  <c:v>108.70616911330002</c:v>
                </c:pt>
                <c:pt idx="14">
                  <c:v>109.37278169669965</c:v>
                </c:pt>
                <c:pt idx="15">
                  <c:v>108.88805681669959</c:v>
                </c:pt>
                <c:pt idx="16">
                  <c:v>110.44627128330025</c:v>
                </c:pt>
                <c:pt idx="17">
                  <c:v>110.87756216</c:v>
                </c:pt>
                <c:pt idx="18">
                  <c:v>109.16473103669968</c:v>
                </c:pt>
                <c:pt idx="19">
                  <c:v>108.93584104999998</c:v>
                </c:pt>
                <c:pt idx="20">
                  <c:v>105.36793023669976</c:v>
                </c:pt>
                <c:pt idx="21">
                  <c:v>90.203880829999989</c:v>
                </c:pt>
                <c:pt idx="22">
                  <c:v>97.528267896699774</c:v>
                </c:pt>
                <c:pt idx="23">
                  <c:v>95.952761640000006</c:v>
                </c:pt>
                <c:pt idx="24">
                  <c:v>97.5220549533</c:v>
                </c:pt>
                <c:pt idx="25">
                  <c:v>102.23534626670001</c:v>
                </c:pt>
                <c:pt idx="26">
                  <c:v>106.43087342000014</c:v>
                </c:pt>
                <c:pt idx="27">
                  <c:v>109.46740578000025</c:v>
                </c:pt>
                <c:pt idx="28">
                  <c:v>111.4959124467</c:v>
                </c:pt>
                <c:pt idx="29">
                  <c:v>114.00099968000025</c:v>
                </c:pt>
                <c:pt idx="30">
                  <c:v>113.70761105000012</c:v>
                </c:pt>
                <c:pt idx="31">
                  <c:v>112.18084996669982</c:v>
                </c:pt>
                <c:pt idx="32">
                  <c:v>111.19764715669973</c:v>
                </c:pt>
                <c:pt idx="33">
                  <c:v>109.4840081433</c:v>
                </c:pt>
                <c:pt idx="34">
                  <c:v>108.08110653999998</c:v>
                </c:pt>
              </c:numCache>
            </c:numRef>
          </c:val>
          <c:smooth val="0"/>
          <c:extLst>
            <c:ext xmlns:c16="http://schemas.microsoft.com/office/drawing/2014/chart" uri="{C3380CC4-5D6E-409C-BE32-E72D297353CC}">
              <c16:uniqueId val="{0000000A-8B1B-4980-9223-E9848A64A0E4}"/>
            </c:ext>
          </c:extLst>
        </c:ser>
        <c:ser>
          <c:idx val="11"/>
          <c:order val="11"/>
          <c:tx>
            <c:strRef>
              <c:f>'Služby-příspěvkyk růstu-4'!$N$33</c:f>
              <c:strCache>
                <c:ptCount val="1"/>
                <c:pt idx="0">
                  <c:v>Tržby celkem (báze 2015=100, běžné ceny)</c:v>
                </c:pt>
              </c:strCache>
            </c:strRef>
          </c:tx>
          <c:spPr>
            <a:ln w="15875">
              <a:solidFill>
                <a:schemeClr val="bg2">
                  <a:lumMod val="25000"/>
                </a:schemeClr>
              </a:solidFill>
              <a:prstDash val="sysDash"/>
            </a:ln>
          </c:spPr>
          <c:marker>
            <c:symbol val="none"/>
          </c:marker>
          <c:cat>
            <c:multiLvlStrRef>
              <c:f>'Služby-příspěvkyk růstu-4'!$A$46:$B$81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růstu-4'!$N$46:$N$81</c:f>
              <c:numCache>
                <c:formatCode>0.0</c:formatCode>
                <c:ptCount val="36"/>
                <c:pt idx="0">
                  <c:v>98.878809526699655</c:v>
                </c:pt>
                <c:pt idx="1">
                  <c:v>99.932801119999738</c:v>
                </c:pt>
                <c:pt idx="2">
                  <c:v>100.47612456000014</c:v>
                </c:pt>
                <c:pt idx="3">
                  <c:v>100.71226479000025</c:v>
                </c:pt>
                <c:pt idx="4">
                  <c:v>99.601623460000241</c:v>
                </c:pt>
                <c:pt idx="5">
                  <c:v>100.2234790433</c:v>
                </c:pt>
                <c:pt idx="6">
                  <c:v>102.13593757999976</c:v>
                </c:pt>
                <c:pt idx="7">
                  <c:v>103.95381924330017</c:v>
                </c:pt>
                <c:pt idx="8">
                  <c:v>105.28339829999986</c:v>
                </c:pt>
                <c:pt idx="9">
                  <c:v>107.13280340670001</c:v>
                </c:pt>
                <c:pt idx="10">
                  <c:v>107.78245525</c:v>
                </c:pt>
                <c:pt idx="11">
                  <c:v>109.74135017</c:v>
                </c:pt>
                <c:pt idx="12">
                  <c:v>111.4458726133</c:v>
                </c:pt>
                <c:pt idx="13">
                  <c:v>112.96754313330014</c:v>
                </c:pt>
                <c:pt idx="14">
                  <c:v>114.32754983669973</c:v>
                </c:pt>
                <c:pt idx="15">
                  <c:v>114.67629783669962</c:v>
                </c:pt>
                <c:pt idx="16">
                  <c:v>116.72200621330001</c:v>
                </c:pt>
                <c:pt idx="17">
                  <c:v>118.4237964933</c:v>
                </c:pt>
                <c:pt idx="18">
                  <c:v>117.19000776670001</c:v>
                </c:pt>
                <c:pt idx="19">
                  <c:v>117.1905607767</c:v>
                </c:pt>
                <c:pt idx="20">
                  <c:v>113.2309142367</c:v>
                </c:pt>
                <c:pt idx="21">
                  <c:v>96.647774276699764</c:v>
                </c:pt>
                <c:pt idx="22">
                  <c:v>105.48850793</c:v>
                </c:pt>
                <c:pt idx="23">
                  <c:v>103.67207354999977</c:v>
                </c:pt>
                <c:pt idx="24">
                  <c:v>105.5127988666997</c:v>
                </c:pt>
                <c:pt idx="25">
                  <c:v>111.35872837999975</c:v>
                </c:pt>
                <c:pt idx="26">
                  <c:v>117.05419338670002</c:v>
                </c:pt>
                <c:pt idx="27">
                  <c:v>121.5423597267</c:v>
                </c:pt>
                <c:pt idx="28">
                  <c:v>126.65151452329998</c:v>
                </c:pt>
                <c:pt idx="29">
                  <c:v>132.02599443670002</c:v>
                </c:pt>
                <c:pt idx="30">
                  <c:v>134.7672243067</c:v>
                </c:pt>
                <c:pt idx="31">
                  <c:v>135.14911649329997</c:v>
                </c:pt>
                <c:pt idx="32">
                  <c:v>136.84704194330001</c:v>
                </c:pt>
                <c:pt idx="33">
                  <c:v>136.96280904330001</c:v>
                </c:pt>
                <c:pt idx="34">
                  <c:v>136.95675109000001</c:v>
                </c:pt>
              </c:numCache>
            </c:numRef>
          </c:val>
          <c:smooth val="0"/>
          <c:extLst>
            <c:ext xmlns:c16="http://schemas.microsoft.com/office/drawing/2014/chart" uri="{C3380CC4-5D6E-409C-BE32-E72D297353CC}">
              <c16:uniqueId val="{0000000B-8B1B-4980-9223-E9848A64A0E4}"/>
            </c:ext>
          </c:extLst>
        </c:ser>
        <c:dLbls>
          <c:showLegendKey val="0"/>
          <c:showVal val="0"/>
          <c:showCatName val="0"/>
          <c:showSerName val="0"/>
          <c:showPercent val="0"/>
          <c:showBubbleSize val="0"/>
        </c:dLbls>
        <c:marker val="1"/>
        <c:smooth val="0"/>
        <c:axId val="74850304"/>
        <c:axId val="74848128"/>
      </c:lineChart>
      <c:catAx>
        <c:axId val="73058560"/>
        <c:scaling>
          <c:orientation val="minMax"/>
        </c:scaling>
        <c:delete val="0"/>
        <c:axPos val="b"/>
        <c:numFmt formatCode="General" sourceLinked="0"/>
        <c:majorTickMark val="out"/>
        <c:minorTickMark val="none"/>
        <c:tickLblPos val="low"/>
        <c:txPr>
          <a:bodyPr/>
          <a:lstStyle/>
          <a:p>
            <a:pPr>
              <a:defRPr sz="800"/>
            </a:pPr>
            <a:endParaRPr lang="cs-CZ"/>
          </a:p>
        </c:txPr>
        <c:crossAx val="74846208"/>
        <c:crosses val="autoZero"/>
        <c:auto val="1"/>
        <c:lblAlgn val="ctr"/>
        <c:lblOffset val="0"/>
        <c:noMultiLvlLbl val="0"/>
      </c:catAx>
      <c:valAx>
        <c:axId val="74846208"/>
        <c:scaling>
          <c:orientation val="minMax"/>
          <c:max val="15"/>
          <c:min val="-30"/>
        </c:scaling>
        <c:delete val="0"/>
        <c:axPos val="l"/>
        <c:majorGridlines>
          <c:spPr>
            <a:ln w="6350">
              <a:solidFill>
                <a:schemeClr val="bg1">
                  <a:lumMod val="75000"/>
                </a:schemeClr>
              </a:solidFill>
            </a:ln>
          </c:spPr>
        </c:majorGridlines>
        <c:title>
          <c:tx>
            <c:rich>
              <a:bodyPr/>
              <a:lstStyle/>
              <a:p>
                <a:pPr>
                  <a:defRPr sz="700" b="0" i="1"/>
                </a:pPr>
                <a:r>
                  <a:rPr lang="cs-CZ" sz="700" b="0" i="1"/>
                  <a:t>Tržby (příspěvky k</a:t>
                </a:r>
                <a:r>
                  <a:rPr lang="cs-CZ" sz="700" b="0" i="1" baseline="0"/>
                  <a:t> meziroč. změně)</a:t>
                </a:r>
                <a:endParaRPr lang="cs-CZ" sz="700" b="0" i="1"/>
              </a:p>
            </c:rich>
          </c:tx>
          <c:layout>
            <c:manualLayout>
              <c:xMode val="edge"/>
              <c:yMode val="edge"/>
              <c:x val="0"/>
              <c:y val="0.13649265511219577"/>
            </c:manualLayout>
          </c:layout>
          <c:overlay val="0"/>
        </c:title>
        <c:numFmt formatCode="0" sourceLinked="0"/>
        <c:majorTickMark val="out"/>
        <c:minorTickMark val="none"/>
        <c:tickLblPos val="nextTo"/>
        <c:txPr>
          <a:bodyPr/>
          <a:lstStyle/>
          <a:p>
            <a:pPr>
              <a:defRPr sz="800"/>
            </a:pPr>
            <a:endParaRPr lang="cs-CZ"/>
          </a:p>
        </c:txPr>
        <c:crossAx val="73058560"/>
        <c:crosses val="autoZero"/>
        <c:crossBetween val="between"/>
        <c:majorUnit val="5"/>
      </c:valAx>
      <c:valAx>
        <c:axId val="74848128"/>
        <c:scaling>
          <c:orientation val="minMax"/>
          <c:max val="15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cs-CZ" sz="700" b="0" i="1" baseline="0">
                    <a:effectLst/>
                  </a:rPr>
                  <a:t>Tržby (báze 2015=100)</a:t>
                </a:r>
                <a:r>
                  <a:rPr lang="cs-CZ" sz="700" b="0" i="1"/>
                  <a:t>,Saldo důvěry, bariéry růstu</a:t>
                </a:r>
              </a:p>
            </c:rich>
          </c:tx>
          <c:layout>
            <c:manualLayout>
              <c:xMode val="edge"/>
              <c:yMode val="edge"/>
              <c:x val="0.97059962406015143"/>
              <c:y val="7.2968499427262412E-2"/>
            </c:manualLayout>
          </c:layout>
          <c:overlay val="0"/>
        </c:title>
        <c:numFmt formatCode="0" sourceLinked="0"/>
        <c:majorTickMark val="out"/>
        <c:minorTickMark val="none"/>
        <c:tickLblPos val="nextTo"/>
        <c:txPr>
          <a:bodyPr/>
          <a:lstStyle/>
          <a:p>
            <a:pPr>
              <a:defRPr sz="800"/>
            </a:pPr>
            <a:endParaRPr lang="cs-CZ"/>
          </a:p>
        </c:txPr>
        <c:crossAx val="74850304"/>
        <c:crosses val="max"/>
        <c:crossBetween val="between"/>
        <c:majorUnit val="20"/>
      </c:valAx>
      <c:catAx>
        <c:axId val="74850304"/>
        <c:scaling>
          <c:orientation val="minMax"/>
        </c:scaling>
        <c:delete val="1"/>
        <c:axPos val="b"/>
        <c:numFmt formatCode="General" sourceLinked="1"/>
        <c:majorTickMark val="out"/>
        <c:minorTickMark val="none"/>
        <c:tickLblPos val="none"/>
        <c:crossAx val="74848128"/>
        <c:crosses val="autoZero"/>
        <c:auto val="1"/>
        <c:lblAlgn val="ctr"/>
        <c:lblOffset val="100"/>
        <c:noMultiLvlLbl val="0"/>
      </c:catAx>
      <c:spPr>
        <a:ln>
          <a:solidFill>
            <a:schemeClr val="tx1"/>
          </a:solidFill>
        </a:ln>
      </c:spPr>
    </c:plotArea>
    <c:legend>
      <c:legendPos val="r"/>
      <c:layout>
        <c:manualLayout>
          <c:xMode val="edge"/>
          <c:yMode val="edge"/>
          <c:x val="2.7894149438737292E-3"/>
          <c:y val="0.80683901693256233"/>
          <c:w val="0.99229354112782886"/>
          <c:h val="0.18952404020147068"/>
        </c:manualLayout>
      </c:layout>
      <c:overlay val="0"/>
      <c:spPr>
        <a:ln w="6350">
          <a:solidFill>
            <a:schemeClr val="tx1"/>
          </a:solidFill>
        </a:ln>
      </c:spPr>
      <c:txPr>
        <a:bodyPr/>
        <a:lstStyle/>
        <a:p>
          <a:pPr>
            <a:defRPr sz="72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61666861125885E-2"/>
          <c:y val="1.580332867898751E-2"/>
          <c:w val="0.85082109029523223"/>
          <c:h val="0.73450542783153383"/>
        </c:manualLayout>
      </c:layout>
      <c:barChart>
        <c:barDir val="col"/>
        <c:grouping val="stacked"/>
        <c:varyColors val="0"/>
        <c:ser>
          <c:idx val="0"/>
          <c:order val="1"/>
          <c:tx>
            <c:strRef>
              <c:f>'výkonnost odvětví 5a'!$E$66</c:f>
              <c:strCache>
                <c:ptCount val="1"/>
                <c:pt idx="0">
                  <c:v>Maloobchod s potravinami (příspěvek)</c:v>
                </c:pt>
              </c:strCache>
            </c:strRef>
          </c:tx>
          <c:spPr>
            <a:solidFill>
              <a:srgbClr val="92D050"/>
            </a:solidFill>
            <a:ln w="15875">
              <a:noFill/>
            </a:ln>
          </c:spPr>
          <c:invertIfNegative val="0"/>
          <c:cat>
            <c:multiLvlStrRef>
              <c:f>'výkonnost odvětví 5a'!$B$67:$C$102</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5a'!$E$67:$E$102</c:f>
              <c:numCache>
                <c:formatCode>#\ ##0.0</c:formatCode>
                <c:ptCount val="36"/>
                <c:pt idx="0">
                  <c:v>1.7968525782652047</c:v>
                </c:pt>
                <c:pt idx="1">
                  <c:v>1.1791224568789191</c:v>
                </c:pt>
                <c:pt idx="2">
                  <c:v>1.9051719303199939</c:v>
                </c:pt>
                <c:pt idx="3">
                  <c:v>1.4451215295824826</c:v>
                </c:pt>
                <c:pt idx="4">
                  <c:v>1.7447279503492539</c:v>
                </c:pt>
                <c:pt idx="5">
                  <c:v>1.4640451669330634</c:v>
                </c:pt>
                <c:pt idx="6">
                  <c:v>0.97147083630208475</c:v>
                </c:pt>
                <c:pt idx="7">
                  <c:v>-7.5069133018737355E-2</c:v>
                </c:pt>
                <c:pt idx="8">
                  <c:v>0.73425778243231121</c:v>
                </c:pt>
                <c:pt idx="9">
                  <c:v>1.3336221651849498</c:v>
                </c:pt>
                <c:pt idx="10">
                  <c:v>1.148264067935566</c:v>
                </c:pt>
                <c:pt idx="11">
                  <c:v>0.8954293037390092</c:v>
                </c:pt>
                <c:pt idx="12">
                  <c:v>1.5129556035207505</c:v>
                </c:pt>
                <c:pt idx="13">
                  <c:v>0.53724684179172832</c:v>
                </c:pt>
                <c:pt idx="14">
                  <c:v>0.98097838613194444</c:v>
                </c:pt>
                <c:pt idx="15">
                  <c:v>0.45895493544282689</c:v>
                </c:pt>
                <c:pt idx="16">
                  <c:v>0.67460527770247913</c:v>
                </c:pt>
                <c:pt idx="17">
                  <c:v>1.1938610134109717</c:v>
                </c:pt>
                <c:pt idx="18">
                  <c:v>0.63015847733735963</c:v>
                </c:pt>
                <c:pt idx="19">
                  <c:v>0.62923634699872177</c:v>
                </c:pt>
                <c:pt idx="20">
                  <c:v>0.94695941255828553</c:v>
                </c:pt>
                <c:pt idx="21">
                  <c:v>-1.1878021201060347</c:v>
                </c:pt>
                <c:pt idx="22">
                  <c:v>-0.3983694607476902</c:v>
                </c:pt>
                <c:pt idx="23">
                  <c:v>0.24484515142503194</c:v>
                </c:pt>
                <c:pt idx="24">
                  <c:v>-0.44870069660916562</c:v>
                </c:pt>
                <c:pt idx="25">
                  <c:v>0.43470456459783902</c:v>
                </c:pt>
                <c:pt idx="26">
                  <c:v>-0.30638524812564916</c:v>
                </c:pt>
                <c:pt idx="27">
                  <c:v>-0.18456896753972343</c:v>
                </c:pt>
                <c:pt idx="28">
                  <c:v>-0.2644332124970542</c:v>
                </c:pt>
                <c:pt idx="29">
                  <c:v>-1.298273733857183</c:v>
                </c:pt>
                <c:pt idx="30">
                  <c:v>-2.2978022374091576</c:v>
                </c:pt>
                <c:pt idx="31">
                  <c:v>-3.2170485582896302</c:v>
                </c:pt>
                <c:pt idx="32">
                  <c:v>-3.0583403638996027</c:v>
                </c:pt>
                <c:pt idx="33">
                  <c:v>-2.6836694341765037</c:v>
                </c:pt>
                <c:pt idx="34">
                  <c:v>-1.4597855506262141</c:v>
                </c:pt>
              </c:numCache>
            </c:numRef>
          </c:val>
          <c:extLst>
            <c:ext xmlns:c16="http://schemas.microsoft.com/office/drawing/2014/chart" uri="{C3380CC4-5D6E-409C-BE32-E72D297353CC}">
              <c16:uniqueId val="{00000000-BCC9-4655-9695-1D377C3AC754}"/>
            </c:ext>
          </c:extLst>
        </c:ser>
        <c:ser>
          <c:idx val="1"/>
          <c:order val="2"/>
          <c:tx>
            <c:strRef>
              <c:f>'výkonnost odvětví 5a'!$F$66</c:f>
              <c:strCache>
                <c:ptCount val="1"/>
                <c:pt idx="0">
                  <c:v>Mal. s nepotravinářským zbož. (příspěvek)</c:v>
                </c:pt>
              </c:strCache>
            </c:strRef>
          </c:tx>
          <c:spPr>
            <a:solidFill>
              <a:schemeClr val="accent1">
                <a:lumMod val="40000"/>
                <a:lumOff val="60000"/>
              </a:schemeClr>
            </a:solidFill>
            <a:ln w="15875">
              <a:noFill/>
            </a:ln>
          </c:spPr>
          <c:invertIfNegative val="0"/>
          <c:cat>
            <c:multiLvlStrRef>
              <c:f>'výkonnost odvětví 5a'!$B$67:$C$102</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5a'!$F$67:$F$102</c:f>
              <c:numCache>
                <c:formatCode>#\ ##0.0</c:formatCode>
                <c:ptCount val="36"/>
                <c:pt idx="0">
                  <c:v>3.5337647628605269</c:v>
                </c:pt>
                <c:pt idx="1">
                  <c:v>4.0403269648807054</c:v>
                </c:pt>
                <c:pt idx="2">
                  <c:v>2.8414781046087576</c:v>
                </c:pt>
                <c:pt idx="3">
                  <c:v>3.7696029154089437</c:v>
                </c:pt>
                <c:pt idx="4">
                  <c:v>2.8247932220754692</c:v>
                </c:pt>
                <c:pt idx="5">
                  <c:v>2.6799731375621909</c:v>
                </c:pt>
                <c:pt idx="6">
                  <c:v>3.347941642924769</c:v>
                </c:pt>
                <c:pt idx="7">
                  <c:v>3.6402362968460422</c:v>
                </c:pt>
                <c:pt idx="8">
                  <c:v>4.3767111447936307</c:v>
                </c:pt>
                <c:pt idx="9">
                  <c:v>4.6063896710500005</c:v>
                </c:pt>
                <c:pt idx="10">
                  <c:v>4.1933467197549064</c:v>
                </c:pt>
                <c:pt idx="11">
                  <c:v>4.8248475939610485</c:v>
                </c:pt>
                <c:pt idx="12">
                  <c:v>4.1828625238720027</c:v>
                </c:pt>
                <c:pt idx="13">
                  <c:v>3.5054484803167845</c:v>
                </c:pt>
                <c:pt idx="14">
                  <c:v>2.8194389746795347</c:v>
                </c:pt>
                <c:pt idx="15">
                  <c:v>3.9553867638573252</c:v>
                </c:pt>
                <c:pt idx="16">
                  <c:v>4.4354535369958406</c:v>
                </c:pt>
                <c:pt idx="17">
                  <c:v>3.3723462442148189</c:v>
                </c:pt>
                <c:pt idx="18">
                  <c:v>3.7256703958918869</c:v>
                </c:pt>
                <c:pt idx="19">
                  <c:v>3.4440592495195479</c:v>
                </c:pt>
                <c:pt idx="20">
                  <c:v>-2.8251709833996521E-2</c:v>
                </c:pt>
                <c:pt idx="21">
                  <c:v>0.37120321946990481</c:v>
                </c:pt>
                <c:pt idx="22">
                  <c:v>1.7529788946207687</c:v>
                </c:pt>
                <c:pt idx="23">
                  <c:v>-1.0606589154268844</c:v>
                </c:pt>
                <c:pt idx="24">
                  <c:v>1.1032352547156199</c:v>
                </c:pt>
                <c:pt idx="25">
                  <c:v>5.7270426184807475</c:v>
                </c:pt>
                <c:pt idx="26">
                  <c:v>3.8044410655375258</c:v>
                </c:pt>
                <c:pt idx="27">
                  <c:v>5.2471277682417368</c:v>
                </c:pt>
                <c:pt idx="28">
                  <c:v>5.410120611589333</c:v>
                </c:pt>
                <c:pt idx="29">
                  <c:v>-1.1295059503721878</c:v>
                </c:pt>
                <c:pt idx="30">
                  <c:v>-3.8961561368469937</c:v>
                </c:pt>
                <c:pt idx="31">
                  <c:v>-5.6072512750233061</c:v>
                </c:pt>
                <c:pt idx="32">
                  <c:v>-4.821794966215549</c:v>
                </c:pt>
                <c:pt idx="33">
                  <c:v>-4.4671466167491065</c:v>
                </c:pt>
                <c:pt idx="34">
                  <c:v>-2.5375974678224229</c:v>
                </c:pt>
              </c:numCache>
            </c:numRef>
          </c:val>
          <c:extLst>
            <c:ext xmlns:c16="http://schemas.microsoft.com/office/drawing/2014/chart" uri="{C3380CC4-5D6E-409C-BE32-E72D297353CC}">
              <c16:uniqueId val="{00000001-BCC9-4655-9695-1D377C3AC754}"/>
            </c:ext>
          </c:extLst>
        </c:ser>
        <c:ser>
          <c:idx val="4"/>
          <c:order val="3"/>
          <c:tx>
            <c:strRef>
              <c:f>'výkonnost odvětví 5a'!$G$66</c:f>
              <c:strCache>
                <c:ptCount val="1"/>
                <c:pt idx="0">
                  <c:v>Maloobchodní prodej PHM (příspěvek)</c:v>
                </c:pt>
              </c:strCache>
            </c:strRef>
          </c:tx>
          <c:spPr>
            <a:solidFill>
              <a:schemeClr val="accent6">
                <a:lumMod val="40000"/>
                <a:lumOff val="60000"/>
              </a:schemeClr>
            </a:solidFill>
            <a:ln w="15875">
              <a:noFill/>
            </a:ln>
          </c:spPr>
          <c:invertIfNegative val="0"/>
          <c:cat>
            <c:multiLvlStrRef>
              <c:f>'výkonnost odvětví 5a'!$B$67:$C$102</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5a'!$G$67:$G$102</c:f>
              <c:numCache>
                <c:formatCode>#\ ##0.0</c:formatCode>
                <c:ptCount val="36"/>
                <c:pt idx="0">
                  <c:v>0.75359194510045113</c:v>
                </c:pt>
                <c:pt idx="1">
                  <c:v>0.58821183102713259</c:v>
                </c:pt>
                <c:pt idx="2">
                  <c:v>0.79399459687356122</c:v>
                </c:pt>
                <c:pt idx="3">
                  <c:v>0.93961068819571214</c:v>
                </c:pt>
                <c:pt idx="4">
                  <c:v>0.69214098521927592</c:v>
                </c:pt>
                <c:pt idx="5">
                  <c:v>0.70440464135882064</c:v>
                </c:pt>
                <c:pt idx="6">
                  <c:v>0.62814320050368844</c:v>
                </c:pt>
                <c:pt idx="7">
                  <c:v>0.6256127692880088</c:v>
                </c:pt>
                <c:pt idx="8">
                  <c:v>0.51956983975724524</c:v>
                </c:pt>
                <c:pt idx="9">
                  <c:v>0.77336135806484263</c:v>
                </c:pt>
                <c:pt idx="10">
                  <c:v>0.84841829183324158</c:v>
                </c:pt>
                <c:pt idx="11">
                  <c:v>0.68454565742255302</c:v>
                </c:pt>
                <c:pt idx="12">
                  <c:v>0.6756119584809922</c:v>
                </c:pt>
                <c:pt idx="13">
                  <c:v>0.59075079613408432</c:v>
                </c:pt>
                <c:pt idx="14">
                  <c:v>0.37399713498271248</c:v>
                </c:pt>
                <c:pt idx="15">
                  <c:v>0.42674113172704531</c:v>
                </c:pt>
                <c:pt idx="16">
                  <c:v>0.55629349987096333</c:v>
                </c:pt>
                <c:pt idx="17">
                  <c:v>0.26295616202476996</c:v>
                </c:pt>
                <c:pt idx="18">
                  <c:v>0.19423130649799975</c:v>
                </c:pt>
                <c:pt idx="19">
                  <c:v>5.5904565164944207E-2</c:v>
                </c:pt>
                <c:pt idx="20">
                  <c:v>-0.75350296737444378</c:v>
                </c:pt>
                <c:pt idx="21">
                  <c:v>-2.0525680822481127</c:v>
                </c:pt>
                <c:pt idx="22">
                  <c:v>-4.8140542119499433E-2</c:v>
                </c:pt>
                <c:pt idx="23">
                  <c:v>-1.2048671034914455</c:v>
                </c:pt>
                <c:pt idx="24">
                  <c:v>-0.81267731005197164</c:v>
                </c:pt>
                <c:pt idx="25">
                  <c:v>1.0340829352131842</c:v>
                </c:pt>
                <c:pt idx="26">
                  <c:v>0.39031023614333382</c:v>
                </c:pt>
                <c:pt idx="27">
                  <c:v>0.99584083683099589</c:v>
                </c:pt>
                <c:pt idx="28">
                  <c:v>1.3779403028643198</c:v>
                </c:pt>
                <c:pt idx="29">
                  <c:v>-0.54234422696138462</c:v>
                </c:pt>
                <c:pt idx="30">
                  <c:v>-1.2771841004606979</c:v>
                </c:pt>
                <c:pt idx="31">
                  <c:v>-0.33380431462007554</c:v>
                </c:pt>
                <c:pt idx="32">
                  <c:v>0.10899603083301324</c:v>
                </c:pt>
                <c:pt idx="33">
                  <c:v>0.99048639120450221</c:v>
                </c:pt>
                <c:pt idx="34">
                  <c:v>0.93576240072162853</c:v>
                </c:pt>
              </c:numCache>
            </c:numRef>
          </c:val>
          <c:extLst>
            <c:ext xmlns:c16="http://schemas.microsoft.com/office/drawing/2014/chart" uri="{C3380CC4-5D6E-409C-BE32-E72D297353CC}">
              <c16:uniqueId val="{00000002-BCC9-4655-9695-1D377C3AC754}"/>
            </c:ext>
          </c:extLst>
        </c:ser>
        <c:dLbls>
          <c:showLegendKey val="0"/>
          <c:showVal val="0"/>
          <c:showCatName val="0"/>
          <c:showSerName val="0"/>
          <c:showPercent val="0"/>
          <c:showBubbleSize val="0"/>
        </c:dLbls>
        <c:gapWidth val="31"/>
        <c:overlap val="100"/>
        <c:axId val="74902912"/>
        <c:axId val="74950144"/>
      </c:barChart>
      <c:lineChart>
        <c:grouping val="standard"/>
        <c:varyColors val="0"/>
        <c:ser>
          <c:idx val="3"/>
          <c:order val="0"/>
          <c:tx>
            <c:strRef>
              <c:f>'výkonnost odvětví 5a'!$D$66</c:f>
              <c:strCache>
                <c:ptCount val="1"/>
                <c:pt idx="0">
                  <c:v>Maloobchod celkem (meziroční růst)</c:v>
                </c:pt>
              </c:strCache>
            </c:strRef>
          </c:tx>
          <c:spPr>
            <a:ln>
              <a:noFill/>
            </a:ln>
          </c:spPr>
          <c:marker>
            <c:symbol val="dash"/>
            <c:size val="7"/>
            <c:spPr>
              <a:solidFill>
                <a:schemeClr val="tx1">
                  <a:lumMod val="85000"/>
                  <a:lumOff val="15000"/>
                </a:schemeClr>
              </a:solidFill>
              <a:ln w="6350">
                <a:noFill/>
              </a:ln>
            </c:spPr>
          </c:marker>
          <c:cat>
            <c:multiLvlStrRef>
              <c:f>'výkonnost odvětví 5a'!$B$67:$C$102</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5a'!$D$67:$D$102</c:f>
              <c:numCache>
                <c:formatCode>#\ ##0.0</c:formatCode>
                <c:ptCount val="36"/>
                <c:pt idx="0">
                  <c:v>5.9636205444000012</c:v>
                </c:pt>
                <c:pt idx="1">
                  <c:v>5.5921884395999815</c:v>
                </c:pt>
                <c:pt idx="2">
                  <c:v>5.5022460545000094</c:v>
                </c:pt>
                <c:pt idx="3">
                  <c:v>6.0250321769999848</c:v>
                </c:pt>
                <c:pt idx="4">
                  <c:v>5.2059376710999903</c:v>
                </c:pt>
                <c:pt idx="5">
                  <c:v>4.7779836855000104</c:v>
                </c:pt>
                <c:pt idx="6">
                  <c:v>4.7634220096000064</c:v>
                </c:pt>
                <c:pt idx="7">
                  <c:v>3.906217172500007</c:v>
                </c:pt>
                <c:pt idx="8">
                  <c:v>5.3191682382000067</c:v>
                </c:pt>
                <c:pt idx="9">
                  <c:v>6.4643894589999942</c:v>
                </c:pt>
                <c:pt idx="10">
                  <c:v>5.9751578491999933</c:v>
                </c:pt>
                <c:pt idx="11">
                  <c:v>6.1621326275999806</c:v>
                </c:pt>
                <c:pt idx="12">
                  <c:v>6.3390670470000003</c:v>
                </c:pt>
                <c:pt idx="13">
                  <c:v>4.6648962080999832</c:v>
                </c:pt>
                <c:pt idx="14">
                  <c:v>4.1971443662999723</c:v>
                </c:pt>
                <c:pt idx="15">
                  <c:v>4.8161135707999838</c:v>
                </c:pt>
                <c:pt idx="16">
                  <c:v>5.6537188417999857</c:v>
                </c:pt>
                <c:pt idx="17">
                  <c:v>4.8265636037999968</c:v>
                </c:pt>
                <c:pt idx="18">
                  <c:v>4.5452014837000103</c:v>
                </c:pt>
                <c:pt idx="19">
                  <c:v>4.1996486233999963</c:v>
                </c:pt>
                <c:pt idx="20">
                  <c:v>6.0491738300001513E-2</c:v>
                </c:pt>
                <c:pt idx="21">
                  <c:v>-2.8962995720000038</c:v>
                </c:pt>
                <c:pt idx="22">
                  <c:v>1.3291675252000061</c:v>
                </c:pt>
                <c:pt idx="23">
                  <c:v>-2.0263752827000019</c:v>
                </c:pt>
                <c:pt idx="24">
                  <c:v>-0.18412703469999794</c:v>
                </c:pt>
                <c:pt idx="25">
                  <c:v>7.280183678199994</c:v>
                </c:pt>
                <c:pt idx="26">
                  <c:v>3.9051822130000033</c:v>
                </c:pt>
                <c:pt idx="27">
                  <c:v>6.1717528727999955</c:v>
                </c:pt>
                <c:pt idx="28">
                  <c:v>6.5192475478000063</c:v>
                </c:pt>
                <c:pt idx="29">
                  <c:v>-2.9733049896999972</c:v>
                </c:pt>
                <c:pt idx="30">
                  <c:v>-7.4738450340000124</c:v>
                </c:pt>
                <c:pt idx="31">
                  <c:v>-9.1627770370000068</c:v>
                </c:pt>
                <c:pt idx="32">
                  <c:v>-7.7732172534999915</c:v>
                </c:pt>
                <c:pt idx="33">
                  <c:v>-6.1604638825999976</c:v>
                </c:pt>
                <c:pt idx="34">
                  <c:v>-3.0584799500999935</c:v>
                </c:pt>
              </c:numCache>
            </c:numRef>
          </c:val>
          <c:smooth val="0"/>
          <c:extLst>
            <c:ext xmlns:c16="http://schemas.microsoft.com/office/drawing/2014/chart" uri="{C3380CC4-5D6E-409C-BE32-E72D297353CC}">
              <c16:uniqueId val="{00000003-BCC9-4655-9695-1D377C3AC754}"/>
            </c:ext>
          </c:extLst>
        </c:ser>
        <c:dLbls>
          <c:showLegendKey val="0"/>
          <c:showVal val="0"/>
          <c:showCatName val="0"/>
          <c:showSerName val="0"/>
          <c:showPercent val="0"/>
          <c:showBubbleSize val="0"/>
        </c:dLbls>
        <c:marker val="1"/>
        <c:smooth val="0"/>
        <c:axId val="74902912"/>
        <c:axId val="74950144"/>
      </c:lineChart>
      <c:lineChart>
        <c:grouping val="standard"/>
        <c:varyColors val="0"/>
        <c:ser>
          <c:idx val="5"/>
          <c:order val="4"/>
          <c:tx>
            <c:strRef>
              <c:f>'výkonnost odvětví 5a'!$H$66</c:f>
              <c:strCache>
                <c:ptCount val="1"/>
                <c:pt idx="0">
                  <c:v>Maloobchod, bez motor. segm. (2015=100)</c:v>
                </c:pt>
              </c:strCache>
            </c:strRef>
          </c:tx>
          <c:spPr>
            <a:ln w="15875">
              <a:solidFill>
                <a:schemeClr val="tx1">
                  <a:lumMod val="95000"/>
                  <a:lumOff val="5000"/>
                </a:schemeClr>
              </a:solidFill>
              <a:prstDash val="solid"/>
            </a:ln>
          </c:spPr>
          <c:marker>
            <c:symbol val="none"/>
          </c:marker>
          <c:cat>
            <c:multiLvlStrRef>
              <c:f>'výkonnost odvětví 5a'!$B$67:$C$102</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5a'!$H$67:$H$102</c:f>
              <c:numCache>
                <c:formatCode>#\ ##0.0</c:formatCode>
                <c:ptCount val="36"/>
                <c:pt idx="0">
                  <c:v>98.108903473300003</c:v>
                </c:pt>
                <c:pt idx="1">
                  <c:v>99.176423353299754</c:v>
                </c:pt>
                <c:pt idx="2">
                  <c:v>100.24040488000014</c:v>
                </c:pt>
                <c:pt idx="3">
                  <c:v>102.4742682967</c:v>
                </c:pt>
                <c:pt idx="4">
                  <c:v>103.00654075999998</c:v>
                </c:pt>
                <c:pt idx="5">
                  <c:v>104.00728415330002</c:v>
                </c:pt>
                <c:pt idx="6">
                  <c:v>105.24950234329998</c:v>
                </c:pt>
                <c:pt idx="7">
                  <c:v>106.61154646670002</c:v>
                </c:pt>
                <c:pt idx="8">
                  <c:v>108.19528997</c:v>
                </c:pt>
                <c:pt idx="9">
                  <c:v>110.67867867999976</c:v>
                </c:pt>
                <c:pt idx="10">
                  <c:v>111.78129380670002</c:v>
                </c:pt>
                <c:pt idx="11">
                  <c:v>113.06724078329999</c:v>
                </c:pt>
                <c:pt idx="12">
                  <c:v>114.63997826000001</c:v>
                </c:pt>
                <c:pt idx="13">
                  <c:v>116.12165418330002</c:v>
                </c:pt>
                <c:pt idx="14">
                  <c:v>116.8100051867</c:v>
                </c:pt>
                <c:pt idx="15">
                  <c:v>118.44840057330002</c:v>
                </c:pt>
                <c:pt idx="16">
                  <c:v>120.62811213669958</c:v>
                </c:pt>
                <c:pt idx="17">
                  <c:v>122.01406147330017</c:v>
                </c:pt>
                <c:pt idx="18">
                  <c:v>122.34251458330014</c:v>
                </c:pt>
                <c:pt idx="19">
                  <c:v>123.45318212669973</c:v>
                </c:pt>
                <c:pt idx="20">
                  <c:v>120.2493864533</c:v>
                </c:pt>
                <c:pt idx="21">
                  <c:v>118.9229640667</c:v>
                </c:pt>
                <c:pt idx="22">
                  <c:v>124.49863366330028</c:v>
                </c:pt>
                <c:pt idx="23">
                  <c:v>120.66876724669973</c:v>
                </c:pt>
                <c:pt idx="24">
                  <c:v>118.25474940330002</c:v>
                </c:pt>
                <c:pt idx="25">
                  <c:v>127.38867849330001</c:v>
                </c:pt>
                <c:pt idx="26">
                  <c:v>129.80928313329997</c:v>
                </c:pt>
                <c:pt idx="27">
                  <c:v>128.80356586329995</c:v>
                </c:pt>
                <c:pt idx="28">
                  <c:v>126.72139851329975</c:v>
                </c:pt>
                <c:pt idx="29">
                  <c:v>123.45271964000014</c:v>
                </c:pt>
                <c:pt idx="30">
                  <c:v>119.7811458533</c:v>
                </c:pt>
                <c:pt idx="31">
                  <c:v>117.71938768330014</c:v>
                </c:pt>
                <c:pt idx="32">
                  <c:v>117.2660458</c:v>
                </c:pt>
                <c:pt idx="33">
                  <c:v>115.98201987669979</c:v>
                </c:pt>
                <c:pt idx="34">
                  <c:v>115.78445365000017</c:v>
                </c:pt>
              </c:numCache>
            </c:numRef>
          </c:val>
          <c:smooth val="0"/>
          <c:extLst>
            <c:ext xmlns:c16="http://schemas.microsoft.com/office/drawing/2014/chart" uri="{C3380CC4-5D6E-409C-BE32-E72D297353CC}">
              <c16:uniqueId val="{00000004-BCC9-4655-9695-1D377C3AC754}"/>
            </c:ext>
          </c:extLst>
        </c:ser>
        <c:ser>
          <c:idx val="2"/>
          <c:order val="5"/>
          <c:tx>
            <c:strRef>
              <c:f>'výkonnost odvětví 5a'!$I$66</c:f>
              <c:strCache>
                <c:ptCount val="1"/>
                <c:pt idx="0">
                  <c:v>z toho: maloobchod.prodej PHM (2015=100)</c:v>
                </c:pt>
              </c:strCache>
            </c:strRef>
          </c:tx>
          <c:spPr>
            <a:ln w="15875">
              <a:solidFill>
                <a:schemeClr val="bg2">
                  <a:lumMod val="50000"/>
                </a:schemeClr>
              </a:solidFill>
              <a:prstDash val="sysDash"/>
            </a:ln>
          </c:spPr>
          <c:marker>
            <c:symbol val="none"/>
          </c:marker>
          <c:cat>
            <c:multiLvlStrRef>
              <c:f>'výkonnost odvětví 5a'!$B$67:$C$102</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5a'!$I$67:$I$102</c:f>
              <c:numCache>
                <c:formatCode>#\ ##0.0</c:formatCode>
                <c:ptCount val="36"/>
                <c:pt idx="0">
                  <c:v>98.902861683300159</c:v>
                </c:pt>
                <c:pt idx="1">
                  <c:v>98.641762076699749</c:v>
                </c:pt>
                <c:pt idx="2">
                  <c:v>99.862770576699617</c:v>
                </c:pt>
                <c:pt idx="3">
                  <c:v>102.59260566000017</c:v>
                </c:pt>
                <c:pt idx="4">
                  <c:v>103.82853170329973</c:v>
                </c:pt>
                <c:pt idx="5">
                  <c:v>104.32379246999986</c:v>
                </c:pt>
                <c:pt idx="6">
                  <c:v>104.52213576669976</c:v>
                </c:pt>
                <c:pt idx="7">
                  <c:v>107.60230518329976</c:v>
                </c:pt>
                <c:pt idx="8">
                  <c:v>108.05029219669973</c:v>
                </c:pt>
                <c:pt idx="9">
                  <c:v>110.9173406033002</c:v>
                </c:pt>
                <c:pt idx="10">
                  <c:v>110.9835808433</c:v>
                </c:pt>
                <c:pt idx="11">
                  <c:v>114.18133894999986</c:v>
                </c:pt>
                <c:pt idx="12">
                  <c:v>114.0189565133</c:v>
                </c:pt>
                <c:pt idx="13">
                  <c:v>116.6800979633</c:v>
                </c:pt>
                <c:pt idx="14">
                  <c:v>114.09303906000002</c:v>
                </c:pt>
                <c:pt idx="15">
                  <c:v>117.57587906329977</c:v>
                </c:pt>
                <c:pt idx="16">
                  <c:v>119.19948671329976</c:v>
                </c:pt>
                <c:pt idx="17">
                  <c:v>120.02304511669968</c:v>
                </c:pt>
                <c:pt idx="18">
                  <c:v>115.19566012999998</c:v>
                </c:pt>
                <c:pt idx="19">
                  <c:v>118.16034126999998</c:v>
                </c:pt>
                <c:pt idx="20">
                  <c:v>111.22961624330014</c:v>
                </c:pt>
                <c:pt idx="21">
                  <c:v>100.07614873329975</c:v>
                </c:pt>
                <c:pt idx="22">
                  <c:v>114.00860915</c:v>
                </c:pt>
                <c:pt idx="23">
                  <c:v>104.65409344000012</c:v>
                </c:pt>
                <c:pt idx="24">
                  <c:v>102.30890399</c:v>
                </c:pt>
                <c:pt idx="25">
                  <c:v>111.00930954330002</c:v>
                </c:pt>
                <c:pt idx="26">
                  <c:v>117.89445022000002</c:v>
                </c:pt>
                <c:pt idx="27">
                  <c:v>114.65352857329979</c:v>
                </c:pt>
                <c:pt idx="28">
                  <c:v>114.9526703933</c:v>
                </c:pt>
                <c:pt idx="29">
                  <c:v>105.71574932999998</c:v>
                </c:pt>
                <c:pt idx="30">
                  <c:v>106.0811875333</c:v>
                </c:pt>
                <c:pt idx="31">
                  <c:v>111.2812069167</c:v>
                </c:pt>
                <c:pt idx="32">
                  <c:v>115.69816998330022</c:v>
                </c:pt>
                <c:pt idx="33">
                  <c:v>115.34606420000014</c:v>
                </c:pt>
                <c:pt idx="34">
                  <c:v>114.40771664670002</c:v>
                </c:pt>
              </c:numCache>
            </c:numRef>
          </c:val>
          <c:smooth val="0"/>
          <c:extLst>
            <c:ext xmlns:c16="http://schemas.microsoft.com/office/drawing/2014/chart" uri="{C3380CC4-5D6E-409C-BE32-E72D297353CC}">
              <c16:uniqueId val="{00000005-BCC9-4655-9695-1D377C3AC754}"/>
            </c:ext>
          </c:extLst>
        </c:ser>
        <c:ser>
          <c:idx val="6"/>
          <c:order val="6"/>
          <c:tx>
            <c:strRef>
              <c:f>'výkonnost odvětví 5a'!$J$66</c:f>
              <c:strCache>
                <c:ptCount val="1"/>
                <c:pt idx="0">
                  <c:v>Obchod a opravy motor. vozidel (2015=100)</c:v>
                </c:pt>
              </c:strCache>
            </c:strRef>
          </c:tx>
          <c:spPr>
            <a:ln w="15875">
              <a:solidFill>
                <a:srgbClr val="984807"/>
              </a:solidFill>
              <a:prstDash val="solid"/>
            </a:ln>
          </c:spPr>
          <c:marker>
            <c:symbol val="none"/>
          </c:marker>
          <c:cat>
            <c:multiLvlStrRef>
              <c:f>'výkonnost odvětví 5a'!$B$67:$C$102</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5a'!$J$67:$J$102</c:f>
              <c:numCache>
                <c:formatCode>#\ ##0.0</c:formatCode>
                <c:ptCount val="36"/>
                <c:pt idx="0">
                  <c:v>95.674913026699826</c:v>
                </c:pt>
                <c:pt idx="1">
                  <c:v>98.560016843300005</c:v>
                </c:pt>
                <c:pt idx="2">
                  <c:v>101.31104914330002</c:v>
                </c:pt>
                <c:pt idx="3">
                  <c:v>104.45402098330028</c:v>
                </c:pt>
                <c:pt idx="4">
                  <c:v>105.0998844667</c:v>
                </c:pt>
                <c:pt idx="5">
                  <c:v>106.74665345330028</c:v>
                </c:pt>
                <c:pt idx="6">
                  <c:v>108.98378878</c:v>
                </c:pt>
                <c:pt idx="7">
                  <c:v>109.86758091</c:v>
                </c:pt>
                <c:pt idx="8">
                  <c:v>110.82769768000014</c:v>
                </c:pt>
                <c:pt idx="9">
                  <c:v>111.38559074669976</c:v>
                </c:pt>
                <c:pt idx="10">
                  <c:v>109.70167963000014</c:v>
                </c:pt>
                <c:pt idx="11">
                  <c:v>112.16470216999986</c:v>
                </c:pt>
                <c:pt idx="12">
                  <c:v>110.27402299000002</c:v>
                </c:pt>
                <c:pt idx="13">
                  <c:v>109.89581527670001</c:v>
                </c:pt>
                <c:pt idx="14">
                  <c:v>109.13033198669973</c:v>
                </c:pt>
                <c:pt idx="15">
                  <c:v>106.65518173999976</c:v>
                </c:pt>
                <c:pt idx="16">
                  <c:v>109.01463176999999</c:v>
                </c:pt>
                <c:pt idx="17">
                  <c:v>110.7507360833</c:v>
                </c:pt>
                <c:pt idx="18">
                  <c:v>109.87685177329976</c:v>
                </c:pt>
                <c:pt idx="19">
                  <c:v>110.48031871000001</c:v>
                </c:pt>
                <c:pt idx="20">
                  <c:v>95.676395003299774</c:v>
                </c:pt>
                <c:pt idx="21">
                  <c:v>77.407445156699765</c:v>
                </c:pt>
                <c:pt idx="22">
                  <c:v>101.0189567533</c:v>
                </c:pt>
                <c:pt idx="23">
                  <c:v>102.6341597167</c:v>
                </c:pt>
                <c:pt idx="24">
                  <c:v>101.92430179</c:v>
                </c:pt>
                <c:pt idx="25">
                  <c:v>104.87521292999998</c:v>
                </c:pt>
                <c:pt idx="26">
                  <c:v>99.9690871233</c:v>
                </c:pt>
                <c:pt idx="27">
                  <c:v>98.537373770000002</c:v>
                </c:pt>
                <c:pt idx="28">
                  <c:v>98.516458040000003</c:v>
                </c:pt>
                <c:pt idx="29">
                  <c:v>98.052811506699655</c:v>
                </c:pt>
                <c:pt idx="30">
                  <c:v>96.4447745067</c:v>
                </c:pt>
                <c:pt idx="31">
                  <c:v>97.573239676699842</c:v>
                </c:pt>
                <c:pt idx="32">
                  <c:v>102.52663213329973</c:v>
                </c:pt>
                <c:pt idx="33">
                  <c:v>99.808796793299749</c:v>
                </c:pt>
                <c:pt idx="34">
                  <c:v>101.5356874033</c:v>
                </c:pt>
              </c:numCache>
            </c:numRef>
          </c:val>
          <c:smooth val="0"/>
          <c:extLst>
            <c:ext xmlns:c16="http://schemas.microsoft.com/office/drawing/2014/chart" uri="{C3380CC4-5D6E-409C-BE32-E72D297353CC}">
              <c16:uniqueId val="{00000006-BCC9-4655-9695-1D377C3AC754}"/>
            </c:ext>
          </c:extLst>
        </c:ser>
        <c:ser>
          <c:idx val="7"/>
          <c:order val="7"/>
          <c:tx>
            <c:strRef>
              <c:f>'výkonnost odvětví 5a'!$K$66</c:f>
              <c:strCache>
                <c:ptCount val="1"/>
              </c:strCache>
            </c:strRef>
          </c:tx>
          <c:spPr>
            <a:ln w="3175">
              <a:noFill/>
              <a:prstDash val="sysDash"/>
            </a:ln>
          </c:spPr>
          <c:marker>
            <c:symbol val="none"/>
          </c:marker>
          <c:cat>
            <c:multiLvlStrRef>
              <c:f>'výkonnost odvětví 5a'!$B$67:$C$102</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5a'!$K$67:$K$102</c:f>
              <c:numCache>
                <c:formatCode>General</c:formatCode>
                <c:ptCount val="36"/>
              </c:numCache>
            </c:numRef>
          </c:val>
          <c:smooth val="0"/>
          <c:extLst>
            <c:ext xmlns:c16="http://schemas.microsoft.com/office/drawing/2014/chart" uri="{C3380CC4-5D6E-409C-BE32-E72D297353CC}">
              <c16:uniqueId val="{00000007-BCC9-4655-9695-1D377C3AC754}"/>
            </c:ext>
          </c:extLst>
        </c:ser>
        <c:ser>
          <c:idx val="8"/>
          <c:order val="8"/>
          <c:tx>
            <c:strRef>
              <c:f>'výkonnost odvětví 5a'!$L$66</c:f>
              <c:strCache>
                <c:ptCount val="1"/>
                <c:pt idx="0">
                  <c:v>Saldo indikátoru důvěry spotřebitelů</c:v>
                </c:pt>
              </c:strCache>
            </c:strRef>
          </c:tx>
          <c:spPr>
            <a:ln w="12700">
              <a:solidFill>
                <a:schemeClr val="bg1">
                  <a:lumMod val="50000"/>
                </a:schemeClr>
              </a:solidFill>
              <a:prstDash val="sysDot"/>
            </a:ln>
          </c:spPr>
          <c:marker>
            <c:symbol val="circle"/>
            <c:size val="5"/>
            <c:spPr>
              <a:solidFill>
                <a:srgbClr val="FFFF00"/>
              </a:solidFill>
              <a:ln>
                <a:solidFill>
                  <a:schemeClr val="bg1">
                    <a:lumMod val="50000"/>
                  </a:schemeClr>
                </a:solidFill>
              </a:ln>
            </c:spPr>
          </c:marker>
          <c:cat>
            <c:multiLvlStrRef>
              <c:f>'výkonnost odvětví 5a'!$B$67:$C$102</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5a'!$L$67:$L$102</c:f>
              <c:numCache>
                <c:formatCode>0.0</c:formatCode>
                <c:ptCount val="36"/>
                <c:pt idx="0">
                  <c:v>-1.75</c:v>
                </c:pt>
                <c:pt idx="1">
                  <c:v>0.25</c:v>
                </c:pt>
                <c:pt idx="2">
                  <c:v>-3.75</c:v>
                </c:pt>
                <c:pt idx="3">
                  <c:v>-0.25</c:v>
                </c:pt>
                <c:pt idx="4">
                  <c:v>-1.5</c:v>
                </c:pt>
                <c:pt idx="5">
                  <c:v>0</c:v>
                </c:pt>
                <c:pt idx="6">
                  <c:v>-2.25</c:v>
                </c:pt>
                <c:pt idx="7">
                  <c:v>0.75000000000000122</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pt idx="31">
                  <c:v>-30.8</c:v>
                </c:pt>
                <c:pt idx="32">
                  <c:v>-21</c:v>
                </c:pt>
                <c:pt idx="33">
                  <c:v>-20.3</c:v>
                </c:pt>
                <c:pt idx="34">
                  <c:v>-18</c:v>
                </c:pt>
                <c:pt idx="35">
                  <c:v>-18.3</c:v>
                </c:pt>
              </c:numCache>
            </c:numRef>
          </c:val>
          <c:smooth val="0"/>
          <c:extLst>
            <c:ext xmlns:c16="http://schemas.microsoft.com/office/drawing/2014/chart" uri="{C3380CC4-5D6E-409C-BE32-E72D297353CC}">
              <c16:uniqueId val="{00000008-BCC9-4655-9695-1D377C3AC754}"/>
            </c:ext>
          </c:extLst>
        </c:ser>
        <c:ser>
          <c:idx val="9"/>
          <c:order val="9"/>
          <c:tx>
            <c:strRef>
              <c:f>'výkonnost odvětví 5a'!$M$66</c:f>
              <c:strCache>
                <c:ptCount val="1"/>
                <c:pt idx="0">
                  <c:v>Saldo indikátoru důvěry obchodníků</c:v>
                </c:pt>
              </c:strCache>
            </c:strRef>
          </c:tx>
          <c:spPr>
            <a:ln w="6350">
              <a:solidFill>
                <a:schemeClr val="bg1">
                  <a:lumMod val="50000"/>
                </a:schemeClr>
              </a:solidFill>
              <a:prstDash val="sysDash"/>
            </a:ln>
          </c:spPr>
          <c:marker>
            <c:symbol val="triangle"/>
            <c:size val="5"/>
            <c:spPr>
              <a:solidFill>
                <a:schemeClr val="accent6">
                  <a:lumMod val="40000"/>
                  <a:lumOff val="60000"/>
                </a:schemeClr>
              </a:solidFill>
              <a:ln>
                <a:solidFill>
                  <a:schemeClr val="bg1">
                    <a:lumMod val="50000"/>
                  </a:schemeClr>
                </a:solidFill>
              </a:ln>
            </c:spPr>
          </c:marker>
          <c:cat>
            <c:multiLvlStrRef>
              <c:f>'výkonnost odvětví 5a'!$B$67:$C$102</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5a'!$M$67:$M$102</c:f>
              <c:numCache>
                <c:formatCode>0.0</c:formatCode>
                <c:ptCount val="36"/>
                <c:pt idx="0">
                  <c:v>20</c:v>
                </c:pt>
                <c:pt idx="1">
                  <c:v>20.7</c:v>
                </c:pt>
                <c:pt idx="2">
                  <c:v>17.600000000000001</c:v>
                </c:pt>
                <c:pt idx="3">
                  <c:v>19.7</c:v>
                </c:pt>
                <c:pt idx="4">
                  <c:v>22.7</c:v>
                </c:pt>
                <c:pt idx="5">
                  <c:v>17.7</c:v>
                </c:pt>
                <c:pt idx="6">
                  <c:v>17.7</c:v>
                </c:pt>
                <c:pt idx="7">
                  <c:v>21</c:v>
                </c:pt>
                <c:pt idx="8">
                  <c:v>24.3</c:v>
                </c:pt>
                <c:pt idx="9">
                  <c:v>17.3</c:v>
                </c:pt>
                <c:pt idx="10">
                  <c:v>22.7</c:v>
                </c:pt>
                <c:pt idx="11">
                  <c:v>21.7</c:v>
                </c:pt>
                <c:pt idx="12">
                  <c:v>23.3</c:v>
                </c:pt>
                <c:pt idx="13">
                  <c:v>17.3</c:v>
                </c:pt>
                <c:pt idx="14">
                  <c:v>15.6</c:v>
                </c:pt>
                <c:pt idx="15">
                  <c:v>15</c:v>
                </c:pt>
                <c:pt idx="16">
                  <c:v>12.7</c:v>
                </c:pt>
                <c:pt idx="17">
                  <c:v>12.3</c:v>
                </c:pt>
                <c:pt idx="18">
                  <c:v>14.7</c:v>
                </c:pt>
                <c:pt idx="19">
                  <c:v>14.7</c:v>
                </c:pt>
                <c:pt idx="20">
                  <c:v>18.7</c:v>
                </c:pt>
                <c:pt idx="21">
                  <c:v>-1</c:v>
                </c:pt>
                <c:pt idx="22">
                  <c:v>12</c:v>
                </c:pt>
                <c:pt idx="23">
                  <c:v>7</c:v>
                </c:pt>
                <c:pt idx="24">
                  <c:v>1.3</c:v>
                </c:pt>
                <c:pt idx="25">
                  <c:v>15</c:v>
                </c:pt>
                <c:pt idx="26">
                  <c:v>18.3</c:v>
                </c:pt>
                <c:pt idx="27">
                  <c:v>21.3</c:v>
                </c:pt>
                <c:pt idx="28">
                  <c:v>19.7</c:v>
                </c:pt>
                <c:pt idx="29">
                  <c:v>19.600000000000001</c:v>
                </c:pt>
                <c:pt idx="30">
                  <c:v>10.3</c:v>
                </c:pt>
                <c:pt idx="31">
                  <c:v>14.7</c:v>
                </c:pt>
                <c:pt idx="32">
                  <c:v>9.3000000000000007</c:v>
                </c:pt>
                <c:pt idx="33">
                  <c:v>13.3</c:v>
                </c:pt>
                <c:pt idx="34">
                  <c:v>5.7</c:v>
                </c:pt>
                <c:pt idx="35">
                  <c:v>3.3</c:v>
                </c:pt>
              </c:numCache>
            </c:numRef>
          </c:val>
          <c:smooth val="0"/>
          <c:extLst>
            <c:ext xmlns:c16="http://schemas.microsoft.com/office/drawing/2014/chart" uri="{C3380CC4-5D6E-409C-BE32-E72D297353CC}">
              <c16:uniqueId val="{00000009-BCC9-4655-9695-1D377C3AC754}"/>
            </c:ext>
          </c:extLst>
        </c:ser>
        <c:dLbls>
          <c:showLegendKey val="0"/>
          <c:showVal val="0"/>
          <c:showCatName val="0"/>
          <c:showSerName val="0"/>
          <c:showPercent val="0"/>
          <c:showBubbleSize val="0"/>
        </c:dLbls>
        <c:marker val="1"/>
        <c:smooth val="0"/>
        <c:axId val="74958336"/>
        <c:axId val="74952064"/>
      </c:lineChart>
      <c:catAx>
        <c:axId val="74902912"/>
        <c:scaling>
          <c:orientation val="minMax"/>
        </c:scaling>
        <c:delete val="0"/>
        <c:axPos val="b"/>
        <c:numFmt formatCode="General" sourceLinked="0"/>
        <c:majorTickMark val="out"/>
        <c:minorTickMark val="none"/>
        <c:tickLblPos val="low"/>
        <c:txPr>
          <a:bodyPr/>
          <a:lstStyle/>
          <a:p>
            <a:pPr>
              <a:defRPr sz="800"/>
            </a:pPr>
            <a:endParaRPr lang="cs-CZ"/>
          </a:p>
        </c:txPr>
        <c:crossAx val="74950144"/>
        <c:crosses val="autoZero"/>
        <c:auto val="1"/>
        <c:lblAlgn val="ctr"/>
        <c:lblOffset val="0"/>
        <c:noMultiLvlLbl val="0"/>
      </c:catAx>
      <c:valAx>
        <c:axId val="74950144"/>
        <c:scaling>
          <c:orientation val="minMax"/>
          <c:max val="12"/>
          <c:min val="-10"/>
        </c:scaling>
        <c:delete val="0"/>
        <c:axPos val="l"/>
        <c:majorGridlines>
          <c:spPr>
            <a:ln w="6350">
              <a:solidFill>
                <a:schemeClr val="bg1">
                  <a:lumMod val="75000"/>
                </a:schemeClr>
              </a:solidFill>
            </a:ln>
          </c:spPr>
        </c:majorGridlines>
        <c:title>
          <c:tx>
            <c:rich>
              <a:bodyPr/>
              <a:lstStyle/>
              <a:p>
                <a:pPr>
                  <a:defRPr sz="750" b="0" i="1"/>
                </a:pPr>
                <a:r>
                  <a:rPr lang="cs-CZ" sz="750" b="0" i="1"/>
                  <a:t>Tržby</a:t>
                </a:r>
                <a:r>
                  <a:rPr lang="cs-CZ" sz="750" b="0" i="1" baseline="0"/>
                  <a:t> (příspěvky k meziroč. změně)</a:t>
                </a:r>
                <a:endParaRPr lang="cs-CZ" sz="750" b="0" i="1"/>
              </a:p>
            </c:rich>
          </c:tx>
          <c:layout>
            <c:manualLayout>
              <c:xMode val="edge"/>
              <c:yMode val="edge"/>
              <c:x val="2.6086947381477299E-3"/>
              <c:y val="0.16393316671713398"/>
            </c:manualLayout>
          </c:layout>
          <c:overlay val="0"/>
        </c:title>
        <c:numFmt formatCode="0" sourceLinked="0"/>
        <c:majorTickMark val="out"/>
        <c:minorTickMark val="none"/>
        <c:tickLblPos val="nextTo"/>
        <c:txPr>
          <a:bodyPr/>
          <a:lstStyle/>
          <a:p>
            <a:pPr>
              <a:defRPr sz="800"/>
            </a:pPr>
            <a:endParaRPr lang="cs-CZ"/>
          </a:p>
        </c:txPr>
        <c:crossAx val="74902912"/>
        <c:crosses val="autoZero"/>
        <c:crossBetween val="between"/>
        <c:majorUnit val="2"/>
      </c:valAx>
      <c:valAx>
        <c:axId val="74952064"/>
        <c:scaling>
          <c:orientation val="minMax"/>
          <c:max val="140"/>
          <c:min val="-40"/>
        </c:scaling>
        <c:delete val="0"/>
        <c:axPos val="r"/>
        <c:title>
          <c:tx>
            <c:rich>
              <a:bodyPr/>
              <a:lstStyle/>
              <a:p>
                <a:pPr>
                  <a:defRPr sz="750" b="0" i="1"/>
                </a:pPr>
                <a:r>
                  <a:rPr lang="cs-CZ" sz="750" b="0" i="1">
                    <a:latin typeface="Arial" panose="020B0604020202020204" pitchFamily="34" charset="0"/>
                    <a:cs typeface="Arial" panose="020B0604020202020204" pitchFamily="34" charset="0"/>
                  </a:rPr>
                  <a:t>Tržby</a:t>
                </a:r>
                <a:r>
                  <a:rPr lang="cs-CZ" sz="750" b="0" i="1" baseline="0">
                    <a:latin typeface="Arial" panose="020B0604020202020204" pitchFamily="34" charset="0"/>
                    <a:cs typeface="Arial" panose="020B0604020202020204" pitchFamily="34" charset="0"/>
                  </a:rPr>
                  <a:t> (rok 2015=100), </a:t>
                </a:r>
                <a:r>
                  <a:rPr lang="cs-CZ" sz="750" b="0" i="1" u="none" strike="noStrike" baseline="0">
                    <a:effectLst/>
                    <a:latin typeface="Arial" panose="020B0604020202020204" pitchFamily="34" charset="0"/>
                    <a:cs typeface="Arial" panose="020B0604020202020204" pitchFamily="34" charset="0"/>
                  </a:rPr>
                  <a:t>Saldo důvěry</a:t>
                </a:r>
                <a:endParaRPr lang="cs-CZ" sz="750" b="0" i="1">
                  <a:latin typeface="Arial" panose="020B0604020202020204" pitchFamily="34" charset="0"/>
                  <a:cs typeface="Arial" panose="020B0604020202020204" pitchFamily="34" charset="0"/>
                </a:endParaRPr>
              </a:p>
            </c:rich>
          </c:tx>
          <c:layout>
            <c:manualLayout>
              <c:xMode val="edge"/>
              <c:yMode val="edge"/>
              <c:x val="0.9689626501933557"/>
              <c:y val="0.17433971175096177"/>
            </c:manualLayout>
          </c:layout>
          <c:overlay val="0"/>
        </c:title>
        <c:numFmt formatCode="#,##0" sourceLinked="0"/>
        <c:majorTickMark val="out"/>
        <c:minorTickMark val="none"/>
        <c:tickLblPos val="nextTo"/>
        <c:txPr>
          <a:bodyPr/>
          <a:lstStyle/>
          <a:p>
            <a:pPr>
              <a:defRPr sz="800"/>
            </a:pPr>
            <a:endParaRPr lang="cs-CZ"/>
          </a:p>
        </c:txPr>
        <c:crossAx val="74958336"/>
        <c:crosses val="max"/>
        <c:crossBetween val="between"/>
        <c:majorUnit val="10"/>
      </c:valAx>
      <c:catAx>
        <c:axId val="74958336"/>
        <c:scaling>
          <c:orientation val="minMax"/>
        </c:scaling>
        <c:delete val="1"/>
        <c:axPos val="b"/>
        <c:numFmt formatCode="General" sourceLinked="1"/>
        <c:majorTickMark val="out"/>
        <c:minorTickMark val="none"/>
        <c:tickLblPos val="none"/>
        <c:crossAx val="74952064"/>
        <c:crosses val="autoZero"/>
        <c:auto val="1"/>
        <c:lblAlgn val="ctr"/>
        <c:lblOffset val="100"/>
        <c:noMultiLvlLbl val="0"/>
      </c:catAx>
      <c:spPr>
        <a:ln>
          <a:solidFill>
            <a:schemeClr val="tx1"/>
          </a:solidFill>
        </a:ln>
      </c:spPr>
    </c:plotArea>
    <c:legend>
      <c:legendPos val="r"/>
      <c:layout>
        <c:manualLayout>
          <c:xMode val="edge"/>
          <c:yMode val="edge"/>
          <c:x val="5.1202223649082492E-3"/>
          <c:y val="0.83721607601948422"/>
          <c:w val="0.98426992159778259"/>
          <c:h val="0.15565653623547093"/>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511717884667392E-2"/>
          <c:y val="2.3304908251716782E-2"/>
          <c:w val="0.92378402700888496"/>
          <c:h val="0.69508533791523508"/>
        </c:manualLayout>
      </c:layout>
      <c:barChart>
        <c:barDir val="col"/>
        <c:grouping val="clustered"/>
        <c:varyColors val="0"/>
        <c:ser>
          <c:idx val="1"/>
          <c:order val="1"/>
          <c:tx>
            <c:strRef>
              <c:f>'Vnější vztahy 2'!$A$7</c:f>
              <c:strCache>
                <c:ptCount val="1"/>
                <c:pt idx="0">
                  <c:v>2022</c:v>
                </c:pt>
              </c:strCache>
            </c:strRef>
          </c:tx>
          <c:spPr>
            <a:solidFill>
              <a:schemeClr val="bg1">
                <a:lumMod val="65000"/>
              </a:schemeClr>
            </a:solidFill>
          </c:spPr>
          <c:invertIfNegative val="0"/>
          <c:cat>
            <c:strRef>
              <c:f>'Vnější vztahy 2'!$B$5:$O$5</c:f>
              <c:strCache>
                <c:ptCount val="14"/>
                <c:pt idx="0">
                  <c:v>Ropa a zemní plyn</c:v>
                </c:pt>
                <c:pt idx="1">
                  <c:v>Potravinářské výrobky</c:v>
                </c:pt>
                <c:pt idx="2">
                  <c:v>Oděvy</c:v>
                </c:pt>
                <c:pt idx="3">
                  <c:v>Koks a rafinované                                                                                  ropné produkty</c:v>
                </c:pt>
                <c:pt idx="4">
                  <c:v>Chemické látky                                                                       a přípravky</c:v>
                </c:pt>
                <c:pt idx="5">
                  <c:v>Základní farmaceutické                                                                                            výrobky a přípravky</c:v>
                </c:pt>
                <c:pt idx="6">
                  <c:v>Ostatní nekovové                                                                                   minerální výrobky</c:v>
                </c:pt>
                <c:pt idx="7">
                  <c:v>Základní kovy</c:v>
                </c:pt>
                <c:pt idx="8">
                  <c:v>Kovodělné výrobky</c:v>
                </c:pt>
                <c:pt idx="9">
                  <c:v>Počítače, elektron.                                                                                   a opt. přístroje a zařízení</c:v>
                </c:pt>
                <c:pt idx="10">
                  <c:v>Stroje a zařízení j. n.</c:v>
                </c:pt>
                <c:pt idx="11">
                  <c:v>Motorová vozidla</c:v>
                </c:pt>
                <c:pt idx="12">
                  <c:v>Elektřina, plyn,                                                                                                  pára a klim. vzduch</c:v>
                </c:pt>
                <c:pt idx="13">
                  <c:v>Služby související                                                                                    s odpady (CPA 38)</c:v>
                </c:pt>
              </c:strCache>
            </c:strRef>
          </c:cat>
          <c:val>
            <c:numRef>
              <c:f>'Vnější vztahy 2'!$B$7:$O$7</c:f>
              <c:numCache>
                <c:formatCode>General</c:formatCode>
                <c:ptCount val="14"/>
                <c:pt idx="0">
                  <c:v>-251.68538707700012</c:v>
                </c:pt>
                <c:pt idx="1">
                  <c:v>-44.629506995000028</c:v>
                </c:pt>
                <c:pt idx="2">
                  <c:v>-32.073255110000012</c:v>
                </c:pt>
                <c:pt idx="3">
                  <c:v>-37.432356117000012</c:v>
                </c:pt>
                <c:pt idx="4">
                  <c:v>-119.837534198</c:v>
                </c:pt>
                <c:pt idx="5">
                  <c:v>-52.516837150999997</c:v>
                </c:pt>
                <c:pt idx="6">
                  <c:v>22.454945151000015</c:v>
                </c:pt>
                <c:pt idx="7">
                  <c:v>-144.18972572999988</c:v>
                </c:pt>
                <c:pt idx="8">
                  <c:v>59.572274304000011</c:v>
                </c:pt>
                <c:pt idx="9">
                  <c:v>-57.553488521999995</c:v>
                </c:pt>
                <c:pt idx="10">
                  <c:v>69.787420724000057</c:v>
                </c:pt>
                <c:pt idx="11">
                  <c:v>340.74929593200005</c:v>
                </c:pt>
                <c:pt idx="12">
                  <c:v>61.389279852999998</c:v>
                </c:pt>
                <c:pt idx="13">
                  <c:v>23.756856279000001</c:v>
                </c:pt>
              </c:numCache>
            </c:numRef>
          </c:val>
          <c:extLst>
            <c:ext xmlns:c16="http://schemas.microsoft.com/office/drawing/2014/chart" uri="{C3380CC4-5D6E-409C-BE32-E72D297353CC}">
              <c16:uniqueId val="{00000000-2752-424C-AAF7-A4CA33CB1B5D}"/>
            </c:ext>
          </c:extLst>
        </c:ser>
        <c:ser>
          <c:idx val="2"/>
          <c:order val="2"/>
          <c:tx>
            <c:strRef>
              <c:f>'Vnější vztahy 2'!$A$8</c:f>
              <c:strCache>
                <c:ptCount val="1"/>
                <c:pt idx="0">
                  <c:v>2023</c:v>
                </c:pt>
              </c:strCache>
            </c:strRef>
          </c:tx>
          <c:spPr>
            <a:solidFill>
              <a:srgbClr val="C00000"/>
            </a:solidFill>
          </c:spPr>
          <c:invertIfNegative val="0"/>
          <c:cat>
            <c:strRef>
              <c:f>'Vnější vztahy 2'!$B$5:$O$5</c:f>
              <c:strCache>
                <c:ptCount val="14"/>
                <c:pt idx="0">
                  <c:v>Ropa a zemní plyn</c:v>
                </c:pt>
                <c:pt idx="1">
                  <c:v>Potravinářské výrobky</c:v>
                </c:pt>
                <c:pt idx="2">
                  <c:v>Oděvy</c:v>
                </c:pt>
                <c:pt idx="3">
                  <c:v>Koks a rafinované                                                                                  ropné produkty</c:v>
                </c:pt>
                <c:pt idx="4">
                  <c:v>Chemické látky                                                                       a přípravky</c:v>
                </c:pt>
                <c:pt idx="5">
                  <c:v>Základní farmaceutické                                                                                            výrobky a přípravky</c:v>
                </c:pt>
                <c:pt idx="6">
                  <c:v>Ostatní nekovové                                                                                   minerální výrobky</c:v>
                </c:pt>
                <c:pt idx="7">
                  <c:v>Základní kovy</c:v>
                </c:pt>
                <c:pt idx="8">
                  <c:v>Kovodělné výrobky</c:v>
                </c:pt>
                <c:pt idx="9">
                  <c:v>Počítače, elektron.                                                                                   a opt. přístroje a zařízení</c:v>
                </c:pt>
                <c:pt idx="10">
                  <c:v>Stroje a zařízení j. n.</c:v>
                </c:pt>
                <c:pt idx="11">
                  <c:v>Motorová vozidla</c:v>
                </c:pt>
                <c:pt idx="12">
                  <c:v>Elektřina, plyn,                                                                                                  pára a klim. vzduch</c:v>
                </c:pt>
                <c:pt idx="13">
                  <c:v>Služby související                                                                                    s odpady (CPA 38)</c:v>
                </c:pt>
              </c:strCache>
            </c:strRef>
          </c:cat>
          <c:val>
            <c:numRef>
              <c:f>'Vnější vztahy 2'!$B$8:$O$8</c:f>
              <c:numCache>
                <c:formatCode>General</c:formatCode>
                <c:ptCount val="14"/>
                <c:pt idx="0">
                  <c:v>-129.93843548200022</c:v>
                </c:pt>
                <c:pt idx="1">
                  <c:v>-39.586523468999999</c:v>
                </c:pt>
                <c:pt idx="2">
                  <c:v>-29.070311498000017</c:v>
                </c:pt>
                <c:pt idx="3">
                  <c:v>-29.444593404999985</c:v>
                </c:pt>
                <c:pt idx="4">
                  <c:v>-107.36596441100002</c:v>
                </c:pt>
                <c:pt idx="5">
                  <c:v>-48.695487485000001</c:v>
                </c:pt>
                <c:pt idx="6">
                  <c:v>23.069668609000001</c:v>
                </c:pt>
                <c:pt idx="7">
                  <c:v>-116.36623394500008</c:v>
                </c:pt>
                <c:pt idx="8">
                  <c:v>52.750454689999998</c:v>
                </c:pt>
                <c:pt idx="9">
                  <c:v>-60.772454057000004</c:v>
                </c:pt>
                <c:pt idx="10">
                  <c:v>85.776093686999999</c:v>
                </c:pt>
                <c:pt idx="11">
                  <c:v>419.83168776599979</c:v>
                </c:pt>
                <c:pt idx="12">
                  <c:v>21.709649802999969</c:v>
                </c:pt>
                <c:pt idx="13">
                  <c:v>19.0524284</c:v>
                </c:pt>
              </c:numCache>
            </c:numRef>
          </c:val>
          <c:extLst>
            <c:ext xmlns:c16="http://schemas.microsoft.com/office/drawing/2014/chart" uri="{C3380CC4-5D6E-409C-BE32-E72D297353CC}">
              <c16:uniqueId val="{00000001-2752-424C-AAF7-A4CA33CB1B5D}"/>
            </c:ext>
          </c:extLst>
        </c:ser>
        <c:dLbls>
          <c:showLegendKey val="0"/>
          <c:showVal val="0"/>
          <c:showCatName val="0"/>
          <c:showSerName val="0"/>
          <c:showPercent val="0"/>
          <c:showBubbleSize val="0"/>
        </c:dLbls>
        <c:gapWidth val="97"/>
        <c:axId val="113699840"/>
        <c:axId val="113719552"/>
        <c:extLst>
          <c:ext xmlns:c15="http://schemas.microsoft.com/office/drawing/2012/chart" uri="{02D57815-91ED-43cb-92C2-25804820EDAC}">
            <c15:filteredBarSeries>
              <c15:ser>
                <c:idx val="0"/>
                <c:order val="0"/>
                <c:tx>
                  <c:strRef>
                    <c:extLst>
                      <c:ext uri="{02D57815-91ED-43cb-92C2-25804820EDAC}">
                        <c15:formulaRef>
                          <c15:sqref>'Vnější vztahy 2'!$A$6</c15:sqref>
                        </c15:formulaRef>
                      </c:ext>
                    </c:extLst>
                    <c:strCache>
                      <c:ptCount val="1"/>
                      <c:pt idx="0">
                        <c:v>2021</c:v>
                      </c:pt>
                    </c:strCache>
                  </c:strRef>
                </c:tx>
                <c:spPr>
                  <a:solidFill>
                    <a:schemeClr val="tx1">
                      <a:lumMod val="50000"/>
                      <a:lumOff val="50000"/>
                    </a:schemeClr>
                  </a:solidFill>
                  <a:ln>
                    <a:noFill/>
                  </a:ln>
                </c:spPr>
                <c:invertIfNegative val="0"/>
                <c:cat>
                  <c:strRef>
                    <c:extLst>
                      <c:ext uri="{02D57815-91ED-43cb-92C2-25804820EDAC}">
                        <c15:formulaRef>
                          <c15:sqref>'Vnější vztahy 2'!$B$5:$O$5</c15:sqref>
                        </c15:formulaRef>
                      </c:ext>
                    </c:extLst>
                    <c:strCache>
                      <c:ptCount val="14"/>
                      <c:pt idx="0">
                        <c:v>Ropa a zemní plyn</c:v>
                      </c:pt>
                      <c:pt idx="1">
                        <c:v>Potravinářské výrobky</c:v>
                      </c:pt>
                      <c:pt idx="2">
                        <c:v>Oděvy</c:v>
                      </c:pt>
                      <c:pt idx="3">
                        <c:v>Koks a rafinované                                                                                  ropné produkty</c:v>
                      </c:pt>
                      <c:pt idx="4">
                        <c:v>Chemické látky                                                                       a přípravky</c:v>
                      </c:pt>
                      <c:pt idx="5">
                        <c:v>Základní farmaceutické                                                                                            výrobky a přípravky</c:v>
                      </c:pt>
                      <c:pt idx="6">
                        <c:v>Ostatní nekovové                                                                                   minerální výrobky</c:v>
                      </c:pt>
                      <c:pt idx="7">
                        <c:v>Základní kovy</c:v>
                      </c:pt>
                      <c:pt idx="8">
                        <c:v>Kovodělné výrobky</c:v>
                      </c:pt>
                      <c:pt idx="9">
                        <c:v>Počítače, elektron.                                                                                   a opt. přístroje a zařízení</c:v>
                      </c:pt>
                      <c:pt idx="10">
                        <c:v>Stroje a zařízení j. n.</c:v>
                      </c:pt>
                      <c:pt idx="11">
                        <c:v>Motorová vozidla</c:v>
                      </c:pt>
                      <c:pt idx="12">
                        <c:v>Elektřina, plyn,                                                                                                  pára a klim. vzduch</c:v>
                      </c:pt>
                      <c:pt idx="13">
                        <c:v>Služby související                                                                                    s odpady (CPA 38)</c:v>
                      </c:pt>
                    </c:strCache>
                  </c:strRef>
                </c:cat>
                <c:val>
                  <c:numRef>
                    <c:extLst>
                      <c:ext uri="{02D57815-91ED-43cb-92C2-25804820EDAC}">
                        <c15:formulaRef>
                          <c15:sqref>'Vnější vztahy 2'!$B$6:$O$6</c15:sqref>
                        </c15:formulaRef>
                      </c:ext>
                    </c:extLst>
                    <c:numCache>
                      <c:formatCode>General</c:formatCode>
                      <c:ptCount val="14"/>
                      <c:pt idx="0">
                        <c:v>-99.297163006999995</c:v>
                      </c:pt>
                      <c:pt idx="1">
                        <c:v>-38.366158949999999</c:v>
                      </c:pt>
                      <c:pt idx="2">
                        <c:v>-24.487024361</c:v>
                      </c:pt>
                      <c:pt idx="3">
                        <c:v>-18.527939442000001</c:v>
                      </c:pt>
                      <c:pt idx="4">
                        <c:v>-105.82094543199999</c:v>
                      </c:pt>
                      <c:pt idx="5">
                        <c:v>-55.976044516000002</c:v>
                      </c:pt>
                      <c:pt idx="6">
                        <c:v>19.749765879999998</c:v>
                      </c:pt>
                      <c:pt idx="7">
                        <c:v>-112.17262740300001</c:v>
                      </c:pt>
                      <c:pt idx="8">
                        <c:v>48.831151310999992</c:v>
                      </c:pt>
                      <c:pt idx="9">
                        <c:v>-38.894889063000001</c:v>
                      </c:pt>
                      <c:pt idx="10">
                        <c:v>73.073658284000004</c:v>
                      </c:pt>
                      <c:pt idx="11">
                        <c:v>317.68322245799999</c:v>
                      </c:pt>
                      <c:pt idx="12">
                        <c:v>12.225155367999999</c:v>
                      </c:pt>
                      <c:pt idx="13">
                        <c:v>23.450014836999998</c:v>
                      </c:pt>
                    </c:numCache>
                  </c:numRef>
                </c:val>
                <c:extLst>
                  <c:ext xmlns:c16="http://schemas.microsoft.com/office/drawing/2014/chart" uri="{C3380CC4-5D6E-409C-BE32-E72D297353CC}">
                    <c16:uniqueId val="{00000002-2752-424C-AAF7-A4CA33CB1B5D}"/>
                  </c:ext>
                </c:extLst>
              </c15:ser>
            </c15:filteredBarSeries>
          </c:ext>
        </c:extLst>
      </c:barChart>
      <c:catAx>
        <c:axId val="113699840"/>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113719552"/>
        <c:crosses val="autoZero"/>
        <c:auto val="1"/>
        <c:lblAlgn val="ctr"/>
        <c:lblOffset val="100"/>
        <c:noMultiLvlLbl val="0"/>
      </c:catAx>
      <c:valAx>
        <c:axId val="113719552"/>
        <c:scaling>
          <c:orientation val="minMax"/>
          <c:max val="450"/>
          <c:min val="-27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113699840"/>
        <c:crosses val="autoZero"/>
        <c:crossBetween val="between"/>
        <c:majorUnit val="90"/>
      </c:valAx>
      <c:spPr>
        <a:ln>
          <a:solidFill>
            <a:schemeClr val="tx1"/>
          </a:solidFill>
        </a:ln>
      </c:spPr>
    </c:plotArea>
    <c:legend>
      <c:legendPos val="t"/>
      <c:layout>
        <c:manualLayout>
          <c:xMode val="edge"/>
          <c:yMode val="edge"/>
          <c:x val="0.13000383320266073"/>
          <c:y val="3.6368843069874028E-2"/>
          <c:w val="0.26887915184156158"/>
          <c:h val="5.3991695303550982E-2"/>
        </c:manualLayout>
      </c:layout>
      <c:overlay val="0"/>
      <c:spPr>
        <a:ln w="6350">
          <a:no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5" ma:contentTypeDescription="Vytvoří nový dokument" ma:contentTypeScope="" ma:versionID="ba9ac22ffeb23664e7e881489bfb3a01">
  <xsd:schema xmlns:xsd="http://www.w3.org/2001/XMLSchema" xmlns:xs="http://www.w3.org/2001/XMLSchema" xmlns:p="http://schemas.microsoft.com/office/2006/metadata/properties" xmlns:ns2="eabc42bd-08fe-4a27-9645-04f6ad96d74a" xmlns:ns3="ea86e659-3cf4-4ff9-8d76-72c2490bfb13" targetNamespace="http://schemas.microsoft.com/office/2006/metadata/properties" ma:root="true" ma:fieldsID="452515690196c05a9ccc85c20d106231" ns2:_="" ns3:_="">
    <xsd:import namespace="eabc42bd-08fe-4a27-9645-04f6ad96d74a"/>
    <xsd:import namespace="ea86e659-3cf4-4ff9-8d76-72c2490bfb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6e659-3cf4-4ff9-8d76-72c2490bfb13"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D7845-9EC0-4146-9549-159178297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ea86e659-3cf4-4ff9-8d76-72c2490bf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4.xml><?xml version="1.0" encoding="utf-8"?>
<ds:datastoreItem xmlns:ds="http://schemas.openxmlformats.org/officeDocument/2006/customXml" ds:itemID="{140A2C68-BF61-4610-A5D8-AE15525CD8C7}">
  <ds:schemaRefs>
    <ds:schemaRef ds:uri="http://schemas.openxmlformats.org/officeDocument/2006/bibliography"/>
  </ds:schemaRefs>
</ds:datastoreItem>
</file>

<file path=customXml/itemProps5.xml><?xml version="1.0" encoding="utf-8"?>
<ds:datastoreItem xmlns:ds="http://schemas.openxmlformats.org/officeDocument/2006/customXml" ds:itemID="{44924F2C-6675-4BFA-AEBB-2806AA37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7</TotalTime>
  <Pages>44</Pages>
  <Words>16972</Words>
  <Characters>100136</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Karolína Súkupová</dc:creator>
  <cp:keywords/>
  <dc:description/>
  <cp:lastModifiedBy>Zábojníková Karolína</cp:lastModifiedBy>
  <cp:revision>6</cp:revision>
  <cp:lastPrinted>2023-06-09T17:23:00Z</cp:lastPrinted>
  <dcterms:created xsi:type="dcterms:W3CDTF">2023-12-15T10:09:00Z</dcterms:created>
  <dcterms:modified xsi:type="dcterms:W3CDTF">2023-12-15T10:25:00Z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ies>
</file>