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4E68" w14:textId="77777777" w:rsidR="0087722C" w:rsidRPr="009110F7" w:rsidRDefault="0087722C" w:rsidP="0087722C">
      <w:pPr>
        <w:pStyle w:val="Nadpis11"/>
      </w:pPr>
      <w:bookmarkStart w:id="0" w:name="_Toc130286020"/>
      <w:bookmarkStart w:id="1" w:name="_Toc114134050"/>
      <w:r w:rsidRPr="009110F7">
        <w:t>5</w:t>
      </w:r>
      <w:r>
        <w:t>. </w:t>
      </w:r>
      <w:r w:rsidRPr="009110F7">
        <w:t>Ceny</w:t>
      </w:r>
      <w:bookmarkEnd w:id="0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4"/>
        <w:gridCol w:w="224"/>
        <w:gridCol w:w="7611"/>
      </w:tblGrid>
      <w:tr w:rsidR="0087722C" w:rsidRPr="009110F7" w14:paraId="4E5D24DA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24B2AFD1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Celková cenová hladina v ekonomice loni prudce vzrostla.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60FBC10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54AEBB88" w14:textId="77777777" w:rsidR="0087722C" w:rsidRPr="00793D78" w:rsidRDefault="0087722C" w:rsidP="00163868">
            <w:pPr>
              <w:rPr>
                <w:szCs w:val="20"/>
              </w:rPr>
            </w:pPr>
            <w:r>
              <w:rPr>
                <w:szCs w:val="20"/>
              </w:rPr>
              <w:t xml:space="preserve">Celková cenová hladina v české ekonomice měřená deflátorem HDP v roce 2022 vzrostla o 8,4 %. To je největší nárůst od roku 1998. Ceny spotřebních statků byly vyšší o 11,9 %, přičemž panovaly výrazné rozdíly mezi spotřebou domácností (navýšení cenové hladiny o 16,3 %) a vládních institucí (3,3 %). Ceny kapitálových statků byly loni vyšší o 12,0 %. Směnné relace byly záporné a dosáhly 95,8 %. Směnné relace obchodu se zbožím činily 94,8 %, zatímco u služeb byly kladné a dosáhly 102,4 %. V průběhu roku meziroční růst cenové hladiny posiloval a ve 4. čtvrtletí meziroční přírůstek cenové hladiny dosáhl 10,7 %. Z toho ceny spotřeby vzrostly o 12,7 % (u spotřeby domácností to bylo 18,0 %, u spotřeby vládních institucí 3,8 %). Ceny kapitálových statků se meziročně navýšily o 14,0 %. Směnné relace byly ve 4. čtvrtletí záporné (97,3 %) – směnné relace obchodu se zbožím dosáhly 96,9 % a v případě služeb to bylo 99,1 %. Mezičtvrtletně se cenová hladina snížila o 0,5 %. Ceny spotřeby byly oproti 3. čtvrtletí nižší o 0,9 %, ceny kapitálových statků stagnovaly (0,1 %) a mezičtvrtletní směnné relace byly mírně kladné (100,1 %).    </w:t>
            </w:r>
          </w:p>
        </w:tc>
      </w:tr>
      <w:tr w:rsidR="0087722C" w:rsidRPr="009110F7" w14:paraId="08869291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665B8DDE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Spotřebitelské ceny rostly loni nejvíce od roku 1993.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15E7336" w14:textId="77777777" w:rsidR="0087722C" w:rsidRPr="00793D78" w:rsidRDefault="0087722C" w:rsidP="00163868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7F76B83A" w14:textId="77777777" w:rsidR="0087722C" w:rsidRPr="000316FC" w:rsidRDefault="0087722C" w:rsidP="00163868">
            <w:r>
              <w:t xml:space="preserve">Index spotřebitelských cen v roce 2022 celkově vzrostl o 15,1 % a ve srovnání s rokem 2021 (3,8 %) jeho růst prudce zrychlil. Šlo o největší přírůstek od roku 1993. Růst cen byl loni plošný a v 7 ze 12 oddílů spotřebního koše byl dvouciferný. Největší vliv na cenový vývoj v loňském roce mělo zvyšování nákladů na bydlení, vodu, energie a paliva (bydlení a energie), které k celkovému přírůstku přispělo z třetiny. Druhý nejvyšší příspěvek měly potraviny a nealkoholické nápoje. U těch cenový růst akceleroval hlavně ve druhé polovině roku a soustředil se do oblasti nejzákladnějších potravin. Výrazný vliv mělo i silné navyšování cen dopravy a stravování a ubytování. Ceny zboží se loni úhrnem zvýšily o 16,8 % a služeb o 12,3 %. </w:t>
            </w:r>
          </w:p>
        </w:tc>
      </w:tr>
      <w:tr w:rsidR="0087722C" w:rsidRPr="009110F7" w14:paraId="4C5A2CCE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2DB18424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Meziroční přírůstek spotřebitelských cen ve 4. čtvrtletí zmírnil.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E272D27" w14:textId="77777777" w:rsidR="0087722C" w:rsidRPr="00793D78" w:rsidRDefault="0087722C" w:rsidP="00163868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0FFBDD01" w14:textId="0507327E" w:rsidR="0087722C" w:rsidRDefault="0087722C" w:rsidP="00163868">
            <w:r>
              <w:t xml:space="preserve">Meziroční růst spotřebitelských cen od 1. do 3. kvartálu zrychloval (11,2 %, 15,8 % a 17,6 %) a mírně zpomalil až v závěru roku. V samotném 4. čtvrtletí 2022 se spotřebitelské ceny meziročně zvýšily o 15,7 %. Ve srovnání se 3. kvartálem ale celkově stagnovaly. K meziročnímu růstu nejvíce přispělo prudké zvýšení cen potravin a nealkoholických nápojů. Výrazný vliv měly i ceny bydlení a energií, stravování a ubytování a dopravy. Zpomalení meziročního přírůstku oproti 3. čtvrtletí bylo výsledkem zmírnění růstu cen dopravy a také zahrnutím </w:t>
            </w:r>
            <w:r w:rsidR="00D95E7F">
              <w:t>úsporného tarifu a odpuštění poplatku za podporované zdroje energie</w:t>
            </w:r>
            <w:r>
              <w:t xml:space="preserve"> do nákladů na bydlení a energie. Většímu zvolnění cenového růstu bránilo výrazné posilování dynamiky cen potravin a nealkoholických nápojů. Ceny zboží ve 4. čtvrtletí úhrnem meziročně vzrostly o 17,4 % a ceny služeb o 12,9 %.   </w:t>
            </w:r>
          </w:p>
        </w:tc>
      </w:tr>
      <w:tr w:rsidR="0087722C" w:rsidRPr="009110F7" w14:paraId="19DF254E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3A75B294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Meziroční růst cen energií i imputovaného nájemného v závěru roku zmírnil.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050A624" w14:textId="77777777" w:rsidR="0087722C" w:rsidRPr="00793D78" w:rsidRDefault="0087722C" w:rsidP="00163868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41028CC4" w14:textId="11B33DC7" w:rsidR="0087722C" w:rsidRDefault="0087722C" w:rsidP="00163868">
            <w:r>
              <w:t>Ceny bydlení a energií se v roce 2022 zvýšily o 19,0 %. Z toho nejvíce rostly ceny elektrické a tepelné energie, plynu a ostatních paliv (30,9 %). Prudce se zvyšovaly i náklady na běžnou údržbu a drobné opravy bytu (19,4 %) a příliš pozadu nezůstalo ani imputované nájemné</w:t>
            </w:r>
            <w:r>
              <w:rPr>
                <w:rStyle w:val="Znakapoznpodarou"/>
              </w:rPr>
              <w:footnoteReference w:id="1"/>
            </w:r>
            <w:r>
              <w:t xml:space="preserve"> (16,1 %). Nájemné z bytu se loni zvýšilo o 4,9 %, stejně jako ostatní služby související s bydlením. Meziroční růst cen v tomto oddílu vyvrcholil ve 3. čtvrtletí a ve 4. kvartálu oslabil na 14,9 %. Mezičtvrtletně se zde ceny snížily </w:t>
            </w:r>
            <w:r>
              <w:br/>
              <w:t xml:space="preserve">o 5,6 %. Po zahrnutí efektu </w:t>
            </w:r>
            <w:r w:rsidR="00D95E7F">
              <w:t xml:space="preserve">úsporného tarifu a odpuštění poplatku za podporované zdroje energie </w:t>
            </w:r>
            <w:r>
              <w:t>zpomalil meziroční růst cen elektrické a tepelné energie, plynu a</w:t>
            </w:r>
            <w:r w:rsidR="00EB6DA6">
              <w:t> </w:t>
            </w:r>
            <w:r>
              <w:t xml:space="preserve">ostatních paliv na 23,8 %. Imputované nájemné také rostlo pomaleji než v předchozím kvartálu (12,3 %). Běžná údržba a drobné opravy bytu meziročně zdražily </w:t>
            </w:r>
            <w:r>
              <w:lastRenderedPageBreak/>
              <w:t xml:space="preserve">o 20,8 %, růst nájemného z bytu mírně posílil na 5,7 % a ceny ostatních služeb související s bydlením byly vyšší o 5,1 %.  </w:t>
            </w:r>
          </w:p>
        </w:tc>
      </w:tr>
      <w:tr w:rsidR="0087722C" w:rsidRPr="009110F7" w14:paraId="4E2278C0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20A6DC9B" w14:textId="7870B503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V průběhu celého roku výrazně posiloval meziroční růst cen potravin a </w:t>
            </w:r>
            <w:r w:rsidR="00D95E7F">
              <w:rPr>
                <w:spacing w:val="0"/>
              </w:rPr>
              <w:t xml:space="preserve">tento </w:t>
            </w:r>
            <w:r>
              <w:rPr>
                <w:spacing w:val="0"/>
              </w:rPr>
              <w:t>oddíl také nejvíce přispíval k celkovému růstu spotřebitelských cen ve 4. kvartálu.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C69F3C9" w14:textId="77777777" w:rsidR="0087722C" w:rsidRPr="00793D78" w:rsidRDefault="0087722C" w:rsidP="00163868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47BA38D1" w14:textId="297A00F7" w:rsidR="0087722C" w:rsidRDefault="0087722C" w:rsidP="00163868">
            <w:r>
              <w:t xml:space="preserve">Potraviny a nealkoholické nápoje loni celkově zdražily o 16,7 %. Během celého roku se do jejich vývoje totiž citlivě promítal prudký růst cen v zemědělské výrobě. K celkovému přírůstku spotřebitelských cen tak nejvíce přispívala trojice maso (růst o 16,7 %), pekárenské výrobky a obiloviny (21,7 %) a mléko, sýry a vejce (20,8 %). Prudce zdražily také oleje a tuky (38,6 %). V průběhu celého roku docházelo </w:t>
            </w:r>
            <w:r>
              <w:br/>
              <w:t>u potravin a nealkoholických nápojů k výraznému zrychlování meziročního tempa cenového růstu (6,7 %, 14,6 % a 20,0 % v 1., 2. a 3. čtvrtletí). Ve 4. kvartálu pak meziroční přírůstek dosáhl 25,5 %. Mezičtvrtletně se ceny potravin a nealkoholických nápojů zvýšily o 4,7 %. Ke zrychlení meziročního růstu</w:t>
            </w:r>
            <w:r w:rsidR="00D95E7F">
              <w:t xml:space="preserve"> ve 4. čtvrtletí</w:t>
            </w:r>
            <w:r>
              <w:t xml:space="preserve"> přispěl zejména vývoj cen mléka, sýrů a vajec (růst o 32,9 %), pekárenských výrobků a obilovin (30,5</w:t>
            </w:r>
            <w:r w:rsidR="00EB6DA6">
              <w:t> </w:t>
            </w:r>
            <w:r>
              <w:t xml:space="preserve">%) a masa (27,4 %). Zrychlovala ale cenová dynamika většiny druhů potravin. Podobně jako v celoročním pohledu ve 4. kvartálu prudce meziročně rostly i ceny olejů a tuků </w:t>
            </w:r>
            <w:r>
              <w:br/>
              <w:t xml:space="preserve">(43,0 %). </w:t>
            </w:r>
          </w:p>
        </w:tc>
      </w:tr>
      <w:tr w:rsidR="0087722C" w:rsidRPr="009110F7" w14:paraId="39AA128C" w14:textId="77777777" w:rsidTr="52944939">
        <w:trPr>
          <w:trHeight w:val="170"/>
        </w:trPr>
        <w:tc>
          <w:tcPr>
            <w:tcW w:w="1804" w:type="dxa"/>
            <w:vMerge w:val="restart"/>
            <w:shd w:val="clear" w:color="auto" w:fill="auto"/>
            <w:tcMar>
              <w:left w:w="0" w:type="dxa"/>
            </w:tcMar>
          </w:tcPr>
          <w:p w14:paraId="1B7F3AE3" w14:textId="77777777" w:rsidR="0087722C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7B02E7D5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984E09F" w14:textId="00786F7E" w:rsidR="0087722C" w:rsidRDefault="0087722C" w:rsidP="00163868">
            <w:pPr>
              <w:spacing w:after="0"/>
            </w:pP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</w:t>
            </w:r>
            <w:r w:rsidR="008F525A">
              <w:rPr>
                <w:rFonts w:cs="Arial"/>
                <w:b/>
                <w:bCs/>
                <w:color w:val="000000"/>
                <w:sz w:val="18"/>
                <w:szCs w:val="18"/>
              </w:rPr>
              <w:t>č. 11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Ceny ve vybraných oddílech indexu spotřebitelských cen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9067EA">
              <w:rPr>
                <w:rFonts w:cs="Arial"/>
                <w:color w:val="000000"/>
                <w:sz w:val="18"/>
                <w:szCs w:val="18"/>
              </w:rPr>
              <w:t>(meziročně v %)</w:t>
            </w:r>
          </w:p>
        </w:tc>
      </w:tr>
      <w:tr w:rsidR="0087722C" w:rsidRPr="009110F7" w14:paraId="4559E5C7" w14:textId="77777777" w:rsidTr="529449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4" w:type="dxa"/>
            <w:vMerge/>
          </w:tcPr>
          <w:p w14:paraId="4C965615" w14:textId="77777777" w:rsidR="0087722C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</w:tcPr>
          <w:p w14:paraId="3E713992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</w:tcPr>
          <w:p w14:paraId="18BA7CFE" w14:textId="77777777" w:rsidR="0087722C" w:rsidRDefault="0087722C" w:rsidP="0016386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40A67C3" wp14:editId="1E3B5AD7">
                  <wp:extent cx="4737600" cy="3553200"/>
                  <wp:effectExtent l="0" t="0" r="6350" b="0"/>
                  <wp:docPr id="26" name="Graf 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87722C" w:rsidRPr="009110F7" w14:paraId="55F48115" w14:textId="77777777" w:rsidTr="52944939">
        <w:trPr>
          <w:trHeight w:val="170"/>
        </w:trPr>
        <w:tc>
          <w:tcPr>
            <w:tcW w:w="1804" w:type="dxa"/>
            <w:vMerge/>
            <w:tcMar>
              <w:left w:w="0" w:type="dxa"/>
            </w:tcMar>
          </w:tcPr>
          <w:p w14:paraId="24D0E467" w14:textId="77777777" w:rsidR="0087722C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tcMar>
              <w:left w:w="0" w:type="dxa"/>
            </w:tcMar>
          </w:tcPr>
          <w:p w14:paraId="7CD7067A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602065F6" w14:textId="77777777" w:rsidR="0087722C" w:rsidRDefault="0087722C" w:rsidP="00163868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87722C" w:rsidRPr="009110F7" w14:paraId="54820379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2008DFFE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Zmírnění růstu cen pohonných hmot utlumilo meziroční přírůstek cen dopravy.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F85D331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C03AFF5" w14:textId="77777777" w:rsidR="0087722C" w:rsidRDefault="0087722C" w:rsidP="00163868">
            <w:r>
              <w:t>Ceny dopravy se loni zvýšily o 18,1 %. Pod vlivem cen pohonných hmot nejvíce rostly náklady na provoz osobních dopravních prostředků (23,9 %). Silně se ale zvyšovaly i ceny nákupu automobilů, motocyklů a jízdních kol (12,9 %) a zrušení slev na jízdném stimulovalo přírůstek cen dopravních služeb (14,2 %). Ceny dopravy loni nejvíce meziročně rostly ve 2. čtvrtletí a pak začala dynamika zpomalovat. Postupně v jednotlivých kvartálech jejich meziroční přírůstek dosáhl 17,2 %, 22,7 % a 19,7 %. Ve 4. čtvrtletí 2022 byly meziročně vyšší o 13,1 %. Oproti předchozímu čtvrtletí se ceny dopravy snížily o 1,2 %. V závěru roku společně s pohonnými hmotami značně zpomalil i meziroční růst cen provozu osobních dopravních prostředků (13,6 %). Mírnější byl i přírůstek cen nákupů automobilů, motocyklů a jízdních kol (11,7 %). Nejvýrazněji tak meziročně vzrostly ceny dopravních služeb (16,6 %).</w:t>
            </w:r>
          </w:p>
        </w:tc>
      </w:tr>
      <w:tr w:rsidR="0087722C" w:rsidRPr="009110F7" w14:paraId="72940AA2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1ACC1F03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Růst cen byl plošný.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3CE78B4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42F95739" w14:textId="77777777" w:rsidR="0087722C" w:rsidRDefault="0087722C" w:rsidP="00163868">
            <w:r>
              <w:t>Z hlediska příspěvku k celkovému růstu spotřebitelských cen se do popředí dostaly i ceny stravování a ubytování, které se loni zvýšily o 21,0 %. Jejich meziroční růst prudce zrychlil ve 2. čtvrtletí a po zbytek roku dál posiloval. Ve 4. čtvrtletí se ceny stravování a ubytování meziročně zvýšily o 25,6 %. Z toho ceny stravování byly vyšší o 26,2 % a ubytování o 20,7 %. Po celý rok byla meziroční dynamika cen stravování vyšší než ubytování. Zrychloval i růst cen rekreací a kultury, které byly celkově vyšší o 11,4 %. Za posílením tempa přitom stály hlavně dovolené s komplexními službami (12,1 %). Po celý rok nejvíce rostly ceny ostatních předmětů pro rekreaci a volný čas včetně zahradnictví a domácích zvířat (16,7 %). V samotném 4. čtvrtletí se ceny rekreací a kultury meziročně zvýšily o 13,2 %. Mezičtvrtletně ale ceny klesly o 1,1 %.</w:t>
            </w:r>
          </w:p>
        </w:tc>
      </w:tr>
      <w:tr w:rsidR="0087722C" w:rsidRPr="009110F7" w14:paraId="40029A63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3468DC64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Dál se silně zvyšovaly ceny u oděvů, obuvi </w:t>
            </w:r>
            <w:r>
              <w:rPr>
                <w:spacing w:val="0"/>
              </w:rPr>
              <w:br/>
              <w:t>a vybavení domácnosti.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5DBC5C4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4B3EB716" w14:textId="77777777" w:rsidR="0087722C" w:rsidRDefault="0087722C" w:rsidP="00163868">
            <w:r>
              <w:t xml:space="preserve">V loňském roce pokračoval i silný růst cen odívání a obuvi, jehož posílení je zřetelné od postpandemického oživení poptávky kombinovaného s narušením dodavatelských řetězců v roce 2021. Odívání a obuv loni celkově zdražily o 18,6 %. V samotném 4. čtvrtletí byly ceny meziročně vyšší o 18,2 %. Mezičtvrtletně ceny odívání a obuvi zdražily o 7,1 %, nejvíce ze všech oddílů spotřebního koše. Podobná byla loni situace u bytového vybavení, zařízení domácnosti a oprav. Narušení dodavatelských řetězců ovlivnilo zrychlení růstu cen už v roce 2021 a loni se zde ceny celkově zvýšily </w:t>
            </w:r>
            <w:r>
              <w:br/>
              <w:t xml:space="preserve">o 12,0 %. Hlavní podíl na celkovém růstu měl nábytek, bytové zařízení a výzdoba, koberce a ostatní podlahové krytiny (přírůstek 13,4 %), silně rostly i ceny bytového textilu (16,0 %). Ve 4. čtvrtletí 2022 ceny bytového vybavení, zařízení domácnosti </w:t>
            </w:r>
            <w:r>
              <w:br/>
              <w:t>a oprav meziročně vzrostly o 13,3 % a mezičtvrtletně o 2,4 %.</w:t>
            </w:r>
          </w:p>
        </w:tc>
      </w:tr>
      <w:tr w:rsidR="0087722C" w:rsidRPr="009110F7" w14:paraId="3446F5DC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3EE9A82C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Poprvé od roku 2006 loni vzrostly ceny pošt a telekomunikací.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4E58284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3CCD653" w14:textId="05BE1CE1" w:rsidR="0087722C" w:rsidRDefault="0087722C" w:rsidP="00163868">
            <w:r>
              <w:t>Po celý rok pod vlivem finančních a osobních služeb zrychloval růst cen ostatního zboží a služeb</w:t>
            </w:r>
            <w:r>
              <w:rPr>
                <w:rStyle w:val="Znakapoznpodarou"/>
              </w:rPr>
              <w:footnoteReference w:id="2"/>
            </w:r>
            <w:r>
              <w:t xml:space="preserve">. Za celý rok se zde ceny zvýšily o 10,1 % a v samotném 4. čtvrtletí to bylo meziročně o 12,7 %. V loňském roce se zmírnil růst cen alkoholických nápojů </w:t>
            </w:r>
            <w:r>
              <w:br/>
              <w:t xml:space="preserve">a tabáku. Ty byly celkově vyšší o 6,2 %. Alkohol zdražil o 3,2 % a tabák o 8,2 %. Ve 4. čtvrtletí byly ceny alkoholických nápojů a tabáku meziročně vyšší o 6,0 % </w:t>
            </w:r>
            <w:r>
              <w:br/>
              <w:t xml:space="preserve">a mezičtvrtletně o 0,9 %. V průběhu roku se ale jejich ceny vyvíjely různě. Meziroční dynamika u alkoholu </w:t>
            </w:r>
            <w:r w:rsidR="00D95E7F">
              <w:t xml:space="preserve">měla tendenci </w:t>
            </w:r>
            <w:r>
              <w:t>zrychlova</w:t>
            </w:r>
            <w:r w:rsidR="00D95E7F">
              <w:t>t</w:t>
            </w:r>
            <w:r>
              <w:t xml:space="preserve"> až na 5,4 %, zatímco u tabáku se zmír</w:t>
            </w:r>
            <w:r w:rsidR="00D95E7F">
              <w:t>nila</w:t>
            </w:r>
            <w:r>
              <w:t xml:space="preserve"> na 6,5 %. Výrazně loni rostly ceny zdraví (8,5 %), které vzhledem ke své váze obvykle nemají významnější vliv na celkový index. Jejich meziroční růst zrychloval až na 9,</w:t>
            </w:r>
            <w:r w:rsidR="00D95E7F">
              <w:t>6</w:t>
            </w:r>
            <w:r>
              <w:t xml:space="preserve"> % ve 4. kvartálu. Ceny vzdělávání se loni celkově zvýšily o 3,8 %, z toho ve 4.</w:t>
            </w:r>
            <w:r w:rsidR="00EB6DA6">
              <w:t> </w:t>
            </w:r>
            <w:r>
              <w:t>čtvrtletí meziročně vzrostly o 7,5 %. Nejmírněji se</w:t>
            </w:r>
            <w:r w:rsidR="00D95E7F">
              <w:t xml:space="preserve"> loni meziročně</w:t>
            </w:r>
            <w:r>
              <w:t xml:space="preserve"> zvyšovaly ceny pošt a telekomunikací (0,7 %). Šlo u nich ale o první růst od roku 2006. Ceny v tomto oddíle totiž tradičně mírně klesají. Za zdražením stál vývoj cen telefonních a faxových zařízení (9,3 %). Ve 4. čtvrtletí ceny pošt a telekomunikací meziročně rostly o 2,1 %, nejvíce od 1. čtvrtletí 2007. Ceny telefonních a faxových zařízení byly vyšší o 8,6 %, telefonních a faxových služeb o 1,4 % a poštovních služeb o 2,7 %.      </w:t>
            </w:r>
          </w:p>
        </w:tc>
      </w:tr>
      <w:tr w:rsidR="0087722C" w:rsidRPr="009110F7" w14:paraId="6D3D6FC4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2152CC3F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Meziroční růst spotřebitelských cen </w:t>
            </w:r>
            <w:r>
              <w:rPr>
                <w:spacing w:val="0"/>
              </w:rPr>
              <w:br/>
              <w:t xml:space="preserve">v EU po celý rok zrychloval.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0723FC4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A05027E" w14:textId="77777777" w:rsidR="0087722C" w:rsidRDefault="0087722C" w:rsidP="00163868">
            <w:r>
              <w:t>Harmonizovaný index spotřebitelských cen (HICP)</w:t>
            </w:r>
            <w:r>
              <w:rPr>
                <w:rStyle w:val="Znakapoznpodarou"/>
              </w:rPr>
              <w:footnoteReference w:id="3"/>
            </w:r>
            <w:r>
              <w:t xml:space="preserve"> v Evropské unii loni vzrostl celkem o 9,2 %. To je rekordní navýšení (předchozí maximum z roku 2008 činilo </w:t>
            </w:r>
            <w:r>
              <w:br/>
              <w:t xml:space="preserve">3,7 %). Cenový růst posiloval napříč celým spotřebitelským košem, ale nejvýraznější bylo zrychlení dynamiky u cen potravin a nealkoholických nápojů, bydlení a energií, dopravy a stravování a ubytování. V loňském roce nejvíce rostl HICP v Estonsku (19,4 %), Litvě (18,9 %) a Lotyšsku (17,2 %). Česko se s přírůstkem 14,8 % umístilo na páté pozici. Také v případě zemí s nejmírnější dynamikou cen byly přírůstky velmi vysoké. Ve Francii HICP vzrostl o 5,9 %, na Maltě o 6,1 % a ve Finsku o 7,2 %. Meziroční dynamika spotřebitelských cen v EU v průběhu roku zrychlovala a ve </w:t>
            </w:r>
            <w:r>
              <w:br/>
              <w:t xml:space="preserve">4. kvartálu tak byl HICP meziročně vyšší o 11,0 %. Ve 4. čtvrtletí nejvíce meziročně rostly spotřebitelské ceny v Maďarsku (23,3 %), Lotyšsku (21,4 %) a Litvě (21,2 %). </w:t>
            </w:r>
            <w:r>
              <w:lastRenderedPageBreak/>
              <w:t>Dvacetiprocentní úroveň překonalo i Estonsko (20,4 %) a až s odstupem se za něj zařadilo Česko (16,5 %). Nejmírnější meziroční navýšení vykázaly Španělsko (6,5 %), Francie (7,0 %) a Malta (7,3 %). Oproti 3. čtvrtletí se spotřebitelské ceny v EU zvýšily o 2,5 %. Nejvíce přitom rostly v Maďarsku (6,5 %), Itálii (5,8 %) a Litvě (3,7 %). Naopak mezičtvrtletní poklesy byly zaznamenány na Maltě (−2,4 %), Kypru (−0,5 %), ve Španělsku (−0,2 %) a v Estonsku (−0,1 %).</w:t>
            </w:r>
          </w:p>
        </w:tc>
      </w:tr>
      <w:tr w:rsidR="0087722C" w:rsidRPr="009110F7" w14:paraId="25D43902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68F5AF42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Růst nabídkových cen bytů v závěru roku zpomalil…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45156F6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2F81E8FF" w14:textId="35D9E3AF" w:rsidR="0087722C" w:rsidRDefault="0087722C" w:rsidP="00163868">
            <w:r>
              <w:t>V roce 2022 vyvrcholil prudký meziroční růst cen bytů. Index nabídkových cen bytů v ČR se za celý rok zvýšil o 20,</w:t>
            </w:r>
            <w:r w:rsidR="00D95E7F">
              <w:t>7</w:t>
            </w:r>
            <w:r>
              <w:t xml:space="preserve"> %. Ceny bytů mimo Prahu takto zdražily o 25,2 %, zatímco v Praze přírůstek dosáhl 16,9 %. Meziroční i mezičtvrtletní dynamika dosáhla vrcholu ve 2. kvartálu a dál přírůstky oslabovaly. Ve 4. čtvrtletí nabídkové ceny bytů v ČR meziročně vzrostly o 18,3 %, ceny mimo Prahu o 19,9 % a v Praze o 16,9 %. Mezičtvrtletní přírůstek nabídkových cen v ČR ve 4. čtvrtletí oslabil na 0,5 %. Stál za tím výlučně propad nabídkových cen mimo Prahu o 1,2 %, první mezičtvrtletní pokles od 1. kvartálu 2017. Nabídkové ceny bytů v Praze mezičtvrtletně vzrostly o 2,1 %. V případě realizovaných cen starších bytů byl propad tempa v závěru roku výraznější. Realizované ceny starších bytů vzrostly v</w:t>
            </w:r>
            <w:r w:rsidR="00D95E7F">
              <w:t> </w:t>
            </w:r>
            <w:r>
              <w:t>ČR</w:t>
            </w:r>
            <w:r w:rsidR="00D95E7F">
              <w:t xml:space="preserve"> meziročně</w:t>
            </w:r>
            <w:r>
              <w:t xml:space="preserve"> za celý rok o 22,6 %, a to hlavně vlivem prudkého navýšení cen mimo Prahu (24,9 %). </w:t>
            </w:r>
          </w:p>
        </w:tc>
      </w:tr>
      <w:tr w:rsidR="0087722C" w:rsidRPr="009110F7" w14:paraId="4EA84952" w14:textId="77777777" w:rsidTr="52944939">
        <w:trPr>
          <w:trHeight w:val="170"/>
        </w:trPr>
        <w:tc>
          <w:tcPr>
            <w:tcW w:w="1804" w:type="dxa"/>
            <w:vMerge w:val="restart"/>
            <w:shd w:val="clear" w:color="auto" w:fill="auto"/>
            <w:tcMar>
              <w:left w:w="0" w:type="dxa"/>
            </w:tcMar>
          </w:tcPr>
          <w:p w14:paraId="599BC84F" w14:textId="77777777" w:rsidR="0087722C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48605C96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3CCB0D2" w14:textId="1F0D2E2C" w:rsidR="0087722C" w:rsidRDefault="008F525A" w:rsidP="00163868">
            <w:pPr>
              <w:spacing w:after="0"/>
            </w:pPr>
            <w:r>
              <w:rPr>
                <w:b/>
                <w:sz w:val="18"/>
                <w:szCs w:val="18"/>
                <w:lang w:eastAsia="en-US"/>
              </w:rPr>
              <w:t>Graf č. 12</w:t>
            </w:r>
            <w:r w:rsidR="0087722C" w:rsidRPr="00793D78">
              <w:rPr>
                <w:b/>
                <w:sz w:val="18"/>
                <w:szCs w:val="18"/>
                <w:lang w:eastAsia="en-US"/>
              </w:rPr>
              <w:t xml:space="preserve"> Ceny nemovitostí </w:t>
            </w:r>
            <w:r w:rsidR="0087722C" w:rsidRPr="009067EA">
              <w:rPr>
                <w:sz w:val="18"/>
                <w:szCs w:val="18"/>
                <w:lang w:eastAsia="en-US"/>
              </w:rPr>
              <w:t>(meziroční změna, v %)</w:t>
            </w:r>
          </w:p>
        </w:tc>
      </w:tr>
      <w:tr w:rsidR="0087722C" w:rsidRPr="009110F7" w14:paraId="733E560F" w14:textId="77777777" w:rsidTr="529449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4" w:type="dxa"/>
            <w:vMerge/>
          </w:tcPr>
          <w:p w14:paraId="2911B13F" w14:textId="77777777" w:rsidR="0087722C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</w:tcPr>
          <w:p w14:paraId="26C98B4A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</w:tcPr>
          <w:p w14:paraId="1CF161B6" w14:textId="77777777" w:rsidR="0087722C" w:rsidRDefault="0087722C" w:rsidP="0016386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618AA04" wp14:editId="5B3F5955">
                  <wp:extent cx="4737600" cy="3553200"/>
                  <wp:effectExtent l="0" t="0" r="6350" b="0"/>
                  <wp:docPr id="27" name="Graf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87722C" w:rsidRPr="009110F7" w14:paraId="5984338D" w14:textId="77777777" w:rsidTr="52944939">
        <w:trPr>
          <w:trHeight w:val="170"/>
        </w:trPr>
        <w:tc>
          <w:tcPr>
            <w:tcW w:w="1804" w:type="dxa"/>
            <w:vMerge/>
            <w:tcMar>
              <w:left w:w="0" w:type="dxa"/>
            </w:tcMar>
          </w:tcPr>
          <w:p w14:paraId="39788093" w14:textId="77777777" w:rsidR="0087722C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tcMar>
              <w:left w:w="0" w:type="dxa"/>
            </w:tcMar>
          </w:tcPr>
          <w:p w14:paraId="5EE95C72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98C6179" w14:textId="77777777" w:rsidR="0087722C" w:rsidRDefault="0087722C" w:rsidP="00163868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87722C" w:rsidRPr="009110F7" w14:paraId="37A5DD91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3FBA84D6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…výrazněji se ale propadly meziroční přírůstky realizovaných cen starších bytů, což ukazuje na ochlazení nemovitostního trhu.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186CCB2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5B67C964" w14:textId="05945414" w:rsidR="0087722C" w:rsidRDefault="0087722C" w:rsidP="00163868">
            <w:r>
              <w:t>Realizované ceny starších bytů v Praze byly loni</w:t>
            </w:r>
            <w:r w:rsidR="00EB6DA6">
              <w:t xml:space="preserve"> meziročně</w:t>
            </w:r>
            <w:r>
              <w:t xml:space="preserve"> vyšší o 14,7 %. Hlavně v první polovině roku ale meziroční dynamika u bytů mimo Prahu atakovala 30 % a</w:t>
            </w:r>
            <w:r w:rsidR="00EB6DA6">
              <w:t> </w:t>
            </w:r>
            <w:r>
              <w:t>ještě ve 3. čtvrtletí se přírůstek držel vysoko nad 20 %. V samotném 4. čtvrtletí ale realizované ceny starších bytů v ČR meziročně vzrostly o 13,8 %, mimo Prahu o 15,3</w:t>
            </w:r>
            <w:r w:rsidR="00EB6DA6">
              <w:t> </w:t>
            </w:r>
            <w:r>
              <w:t>% a v Praze o 8,4 %. Mezičtvrtletně došlo u bytů v ČR k poklesu o 1,0 %, prvnímu od 4.</w:t>
            </w:r>
            <w:r w:rsidR="00EB6DA6">
              <w:t> </w:t>
            </w:r>
            <w:r>
              <w:t xml:space="preserve">kvartálu 2013. Realizované ceny starších bytů mimo Prahu byly oproti 3. čtvrtletí nižší o 1,4 % (první pokles od 3. čtvrtletí 2013). Jen v případě Prahy došlo k mírnému růstu o 0,4 %. Realizované ceny nových bytů, které jsou dostupné pouze za Prahu, popisují podobný průběh – ve 4. čtvrtletí se jejich meziroční přírůstek propadl na 2,9 % a mezičtvrtletně se ceny </w:t>
            </w:r>
            <w:r w:rsidR="00EB6DA6">
              <w:t>snížily</w:t>
            </w:r>
            <w:r>
              <w:t xml:space="preserve"> o 4,3 %. Z výše popsaného vývoje lze vidět prudký propad poptávky, který souvisel s prudkým zdražením hypotečního financování. Tato </w:t>
            </w:r>
            <w:r>
              <w:lastRenderedPageBreak/>
              <w:t xml:space="preserve">situace po letech opět umožňuje kupujícím vyjednávat o ceně. Růst nabídkových cen sice zpomalil, ale tržní realitu odráží spíše propad realizovaných cen. Také je vidět, že prudký růst cen bytů mimo Prahu, který byl patrný v posledních dvou letech, výrazněji narazil na strop finančních možností kupujících i zájmu případných investorů.    </w:t>
            </w:r>
          </w:p>
        </w:tc>
      </w:tr>
      <w:tr w:rsidR="0087722C" w:rsidRPr="009110F7" w14:paraId="20E8557C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7131CE27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Na ceny průmyslových výrobců působil prudký růst cen surovin i energií.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1EBE9D24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19F2202" w14:textId="1173352B" w:rsidR="0087722C" w:rsidRDefault="0087722C" w:rsidP="00163868">
            <w:r>
              <w:t>Ceny průmyslových výrobců se loni zvýšily o 24,3 %. Velmi silný přírůstek byl ovlivněn vývojem cen surovin a energií, který zasáhl prakticky celé spektrum průmyslu. Meziroční růst cen průmyslových výrobců vrcholil ve 2. čtvrtletí roku a pak oslaboval. V jednotlivých čtvrtletích přírůstky postupně dosáhly 21,8 %, 27,7 % a 25,9 %.</w:t>
            </w:r>
            <w:r w:rsidR="00741F2A">
              <w:t xml:space="preserve"> </w:t>
            </w:r>
            <w:r>
              <w:t xml:space="preserve">V samotném 4. čtvrtletí se ceny zvýšily meziročně o 21,8 %. </w:t>
            </w:r>
          </w:p>
        </w:tc>
      </w:tr>
      <w:tr w:rsidR="0087722C" w:rsidRPr="009110F7" w14:paraId="193BDEE8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0C2436B7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V závěru roku měl největší vliv na ceny výrobků a služeb zpracovatelského průmyslu přírůstek u cen potravinářských výrobků.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453B497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7A43E1D7" w14:textId="1F141703" w:rsidR="0087722C" w:rsidRDefault="0087722C" w:rsidP="00163868">
            <w:r>
              <w:t xml:space="preserve">Nejvíce k celkovému růstu loni přispívaly ceny výrobků a služeb zpracovatelského průmyslu (19,5 %). Ty byly ovlivněny hlavně prudkým růstem cen koksu </w:t>
            </w:r>
            <w:r>
              <w:br/>
              <w:t>a rafinovaných ropných produktů</w:t>
            </w:r>
            <w:r>
              <w:rPr>
                <w:rStyle w:val="Znakapoznpodarou"/>
              </w:rPr>
              <w:footnoteReference w:id="4"/>
            </w:r>
            <w:r>
              <w:t>. Druhý největší vliv na růst cen průmyslových výrobců měly potravinářské výrobky</w:t>
            </w:r>
            <w:r w:rsidR="003A5295">
              <w:t>, nápoje a tabák</w:t>
            </w:r>
            <w:r>
              <w:t xml:space="preserve"> (19,2 %) a silně přispěly i ceny obecných kovů a kovodělných výrobků (22,3 %), pryžových a plastových výrobků</w:t>
            </w:r>
            <w:r w:rsidR="003A5295">
              <w:t>, ostatních nekovových minerálních výrobků</w:t>
            </w:r>
            <w:r>
              <w:t xml:space="preserve"> (19,7</w:t>
            </w:r>
            <w:r w:rsidR="003A5295">
              <w:t> </w:t>
            </w:r>
            <w:r>
              <w:t>%)</w:t>
            </w:r>
            <w:r w:rsidR="00EB6DA6">
              <w:t xml:space="preserve"> </w:t>
            </w:r>
            <w:r>
              <w:t>a</w:t>
            </w:r>
            <w:r w:rsidR="00EB6DA6">
              <w:t> </w:t>
            </w:r>
            <w:r>
              <w:t>chemických látek a výrobků</w:t>
            </w:r>
            <w:r w:rsidR="003A5295">
              <w:t xml:space="preserve"> </w:t>
            </w:r>
            <w:r>
              <w:t>(35,2 %). Loni silně rostly i ceny dřeva, papíru a tisku (24,8 %), textilu, oděvů a usní (13,1 %) a strojů a zařízení (11,6 %). Relativně mírnější bylo navýšení cen nábytku a</w:t>
            </w:r>
            <w:r w:rsidR="003A5295">
              <w:t> </w:t>
            </w:r>
            <w:r>
              <w:t>ostatních výrobků zpracovatelského průmyslu (8,9 %), počítačů, elektronických a</w:t>
            </w:r>
            <w:r w:rsidR="003A5295">
              <w:t> </w:t>
            </w:r>
            <w:r>
              <w:t>optických přístrojů (6,9 %), elektrických zařízení (6,3 %), základních farmaceutických výrobků (6,0 %). Ve 4. čtvrtletí 2022 se ceny výrobků a služeb zpracovatelského průmyslu meziročně zvýšily o 16,0 %, což byl v rámci loňského roku nejslabší přírůstek. Vliv na oslabení měla zčásti i silná základna konce roku 2021, kdy už bylo patrné prudké posílení cen surovin. Nejvíce k růstu přispívalo nadále posilující navýšení cen potravinářských výrobků, nápojů a tabáku (25,7 %). Naopak výrazně oslabil vliv koksu a rafinovaných ropných produktů. Silný vliv si udržovaly pryžové a plastové výrobky</w:t>
            </w:r>
            <w:r w:rsidR="003A5295">
              <w:t>, ostatní nekovové minerální výrobky</w:t>
            </w:r>
            <w:r>
              <w:t xml:space="preserve"> (20,1 %). Podobně jako u cen ropy oslabil meziroční růst cen obecných kovů a</w:t>
            </w:r>
            <w:r w:rsidR="003A5295">
              <w:t> </w:t>
            </w:r>
            <w:r>
              <w:t>kovodělných výrobků (13,1 %).</w:t>
            </w:r>
          </w:p>
        </w:tc>
      </w:tr>
      <w:tr w:rsidR="0087722C" w:rsidRPr="009110F7" w14:paraId="557ED1DD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28E3300B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Meziroční přírůstek cen elektřiny v závěru roku mírně zpomalil.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EB6CD98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5FA1184" w14:textId="77777777" w:rsidR="0087722C" w:rsidRDefault="0087722C" w:rsidP="00163868">
            <w:r>
              <w:t xml:space="preserve">Elektřina, plyn, pára a klimatizovaný vzduch loni zdražily o 50,7 %. Meziroční růst cen zde po celý rok až do 3. kvartálu zrychloval. Ve 4. čtvrtletí meziroční přírůstek mírně zpomalil na 54,3 %, zčásti šlo ale o vliv srovnávací základny předchozího roku, když už bylo zrychlení dynamiky cen elektřiny silně patrné. Ceny těžby a dobývání byly loni vyšší celkem o 27,5 %. Největší vliv na to mělo prudké zdražení ropy a zemního plynu (70,4 %), ale silně se zvyšovaly i ceny ostatních surovin, například těch stavebních, které byly zahrnuty do ostatní těžby a dobývání (17,9 %). Také u cen těžby a dobývání ve 4. čtvrtletí meziroční přírůstek oslabil (23,3 %).  </w:t>
            </w:r>
          </w:p>
        </w:tc>
      </w:tr>
      <w:tr w:rsidR="0087722C" w:rsidRPr="009110F7" w14:paraId="48B70D60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7D45EE1D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průmyslových výrobců v EU prudce rostly.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ECCBEC6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0FBFB608" w14:textId="291413FD" w:rsidR="0087722C" w:rsidRDefault="0087722C" w:rsidP="00EB6DA6">
            <w:r>
              <w:t>Ceny průmyslových výrobců</w:t>
            </w:r>
            <w:r>
              <w:rPr>
                <w:rStyle w:val="Znakapoznpodarou"/>
              </w:rPr>
              <w:footnoteReference w:id="5"/>
            </w:r>
            <w:r>
              <w:t xml:space="preserve"> v EU loni vzrostly o 34,3 %, přičemž navázaly na velmi vysoký 12,4% přírůstek z roku 2021. Ceny těžby a dobývání byly vyšší o 69,7 %, výrobků a služeb zpracovatelského průmyslu o 17,6 % a elektřiny, plynu, páry a klimatizovaného vzduchu o 94,9 %. Ceny průmyslových výrobců loni nejvíce vzrostly v Rumunsku (58,1 %), v Maďarsku (53,1 %) a Lotyšsku (49,5 %). Nejnižší přírůstek měly ceny na Maltě (</w:t>
            </w:r>
            <w:r w:rsidR="003A5295">
              <w:t>8,8</w:t>
            </w:r>
            <w:r>
              <w:t xml:space="preserve"> %), ve Švédsku (20,4 %) a v Portugalsku (20,6 %). Až do 3. kvartálu meziroční dynamika cen průmyslových výrobců v EU posilovala a až ve 4. čtvrtletí oslabil přírůstek na 27,9 %. Zároveň poprvé od 2. čtvrtletí 2020 ceny mezičtvrtletně klesly (−0,3 %). Zpomalení meziročního přírůstku se týkalo všech sekcí. Ceny těžby a dobývání byly meziročně vyšší o 39,9 %, výrobků a služeb zpracovatelského průmyslu o 15,3 % a elektřiny, plynu, páry a klimatizovaného vzduchu o 64,0 %. V závěru roku rostly meziročně nejsilněji ceny průmyslových </w:t>
            </w:r>
            <w:r>
              <w:lastRenderedPageBreak/>
              <w:t>výrobců v Maďarsku (64,7 %), Lotyšsku (53,1 %) a Rumunsku (46,6 %). Naopak meziročně klesly ceny v Irsku (−6,1 %) a nejmírnější přírůstky byly zaznamenány na Maltě (8,</w:t>
            </w:r>
            <w:r w:rsidR="003A5295">
              <w:t>1</w:t>
            </w:r>
            <w:r>
              <w:t xml:space="preserve"> %) a v Portugalsku (10,8 %).</w:t>
            </w:r>
          </w:p>
        </w:tc>
      </w:tr>
      <w:tr w:rsidR="0087722C" w:rsidRPr="009110F7" w14:paraId="292744FD" w14:textId="77777777" w:rsidTr="52944939">
        <w:trPr>
          <w:trHeight w:val="170"/>
        </w:trPr>
        <w:tc>
          <w:tcPr>
            <w:tcW w:w="1804" w:type="dxa"/>
            <w:vMerge w:val="restart"/>
            <w:shd w:val="clear" w:color="auto" w:fill="auto"/>
            <w:tcMar>
              <w:left w:w="0" w:type="dxa"/>
            </w:tcMar>
          </w:tcPr>
          <w:p w14:paraId="3188E5C1" w14:textId="77777777" w:rsidR="0087722C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6BE2FAB2" w14:textId="77777777" w:rsidR="0087722C" w:rsidRPr="00793D78" w:rsidRDefault="0087722C" w:rsidP="00163868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7DB879D8" w14:textId="2D110E40" w:rsidR="0087722C" w:rsidRPr="00D75AC1" w:rsidRDefault="008F525A" w:rsidP="00163868">
            <w:pPr>
              <w:spacing w:after="0"/>
              <w:rPr>
                <w:b/>
                <w:szCs w:val="20"/>
              </w:rPr>
            </w:pPr>
            <w:r>
              <w:rPr>
                <w:b/>
                <w:sz w:val="18"/>
                <w:szCs w:val="18"/>
              </w:rPr>
              <w:t>Graf č. 1</w:t>
            </w:r>
            <w:r w:rsidR="00D95CBE">
              <w:rPr>
                <w:b/>
                <w:sz w:val="18"/>
                <w:szCs w:val="18"/>
              </w:rPr>
              <w:t>3</w:t>
            </w:r>
            <w:r w:rsidR="0087722C" w:rsidRPr="00793D78">
              <w:rPr>
                <w:b/>
                <w:sz w:val="18"/>
                <w:szCs w:val="18"/>
              </w:rPr>
              <w:t xml:space="preserve"> </w:t>
            </w:r>
            <w:r w:rsidR="0087722C" w:rsidRPr="00793D78">
              <w:rPr>
                <w:b/>
                <w:sz w:val="18"/>
                <w:szCs w:val="18"/>
                <w:lang w:eastAsia="en-US"/>
              </w:rPr>
              <w:t xml:space="preserve">Ceny hlavních skupin průmyslových výrobců </w:t>
            </w:r>
            <w:r w:rsidR="0087722C" w:rsidRPr="009067EA">
              <w:rPr>
                <w:sz w:val="18"/>
                <w:szCs w:val="18"/>
                <w:lang w:eastAsia="en-US"/>
              </w:rPr>
              <w:t>(meziroční změna, v %, podle klasifikace CPA)</w:t>
            </w:r>
          </w:p>
        </w:tc>
      </w:tr>
      <w:tr w:rsidR="0087722C" w:rsidRPr="009110F7" w14:paraId="67C13DFF" w14:textId="77777777" w:rsidTr="52944939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4" w:type="dxa"/>
            <w:vMerge/>
          </w:tcPr>
          <w:p w14:paraId="628E5894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</w:tcPr>
          <w:p w14:paraId="09E9083A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</w:tcPr>
          <w:p w14:paraId="4BED401C" w14:textId="77777777" w:rsidR="0087722C" w:rsidRPr="00793D78" w:rsidRDefault="0087722C" w:rsidP="0016386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852F1B7" wp14:editId="110FB92C">
                  <wp:extent cx="4737600" cy="3553200"/>
                  <wp:effectExtent l="0" t="0" r="6350" b="0"/>
                  <wp:docPr id="43" name="Graf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7722C" w:rsidRPr="009110F7" w14:paraId="0D20FFE4" w14:textId="77777777" w:rsidTr="52944939">
        <w:trPr>
          <w:trHeight w:val="170"/>
        </w:trPr>
        <w:tc>
          <w:tcPr>
            <w:tcW w:w="1804" w:type="dxa"/>
            <w:vMerge/>
            <w:tcMar>
              <w:left w:w="0" w:type="dxa"/>
            </w:tcMar>
          </w:tcPr>
          <w:p w14:paraId="7B7458F1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tcMar>
              <w:left w:w="0" w:type="dxa"/>
            </w:tcMar>
          </w:tcPr>
          <w:p w14:paraId="398518AD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421079E4" w14:textId="77777777" w:rsidR="0087722C" w:rsidRPr="00793D78" w:rsidRDefault="0087722C" w:rsidP="00163868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87722C" w:rsidRPr="009110F7" w14:paraId="55B9C3EE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46057C0F" w14:textId="77777777" w:rsidR="0087722C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Loni se silně zvyšovaly ceny stavebních prací.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B75280F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88EB4C5" w14:textId="77777777" w:rsidR="0087722C" w:rsidRPr="00793D78" w:rsidRDefault="0087722C" w:rsidP="00163868">
            <w:r>
              <w:t xml:space="preserve">Ceny stavebních prací loni celkově vzrostly o 12,3 %. Z toho se ceny materiálů </w:t>
            </w:r>
            <w:r w:rsidRPr="002F305B">
              <w:t>a</w:t>
            </w:r>
            <w:r>
              <w:t> </w:t>
            </w:r>
            <w:r w:rsidRPr="002F305B">
              <w:t>výrobků</w:t>
            </w:r>
            <w:r>
              <w:t xml:space="preserve"> spotřebovaných ve stavebnictví zvýšily o 20,7 %. Meziroční růst cen stavebních prací dosáhl vrcholu ve 2. kvartálu a pak mírně oslaboval. Ve 4. čtvrtletí se ceny stavebních prací zvýšily meziročně o 12,0 % a mezičtvrtletně o 1,2 %. Ceny materiálů a výrobků spotřebovaných ve stavebnictví byly meziročně vyšší o 16,7 % a mezičtvrtletně stagnovaly. </w:t>
            </w:r>
          </w:p>
        </w:tc>
      </w:tr>
      <w:tr w:rsidR="0087722C" w:rsidRPr="009110F7" w14:paraId="6A01922F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529E5D8C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Ceny tržních služeb silně rostly pod vlivem pozemní a potrubní dopravy a skladování </w:t>
            </w:r>
            <w:r>
              <w:rPr>
                <w:spacing w:val="0"/>
              </w:rPr>
              <w:br/>
              <w:t>a podpůrných služeb.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077A6C4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29457E0D" w14:textId="77777777" w:rsidR="0087722C" w:rsidRPr="00793D78" w:rsidRDefault="0087722C" w:rsidP="00163868">
            <w:r>
              <w:t xml:space="preserve">Ceny tržních služeb loni celkově vzrostly o 5,8 %. Přírůstek výrazně zrychlil oproti předchozímu roku, k čemuž nejvíce přispívaly skladování a podpůrné služby v dopravě, v pozemní a potrubní dopravě, a pak reklamní služby a průzkum trhu. Navýšení cen skladování a podpůrných služeb v dopravě (15,1 %) nejvíce přispívalo k celkovému přírůstku cen tržních služeb. Významné bylo také zdražení cen reklamních služeb a průzkumu trhu o 17,4 % a pozemní a potrubní dopravy o 6,2 %. Vliv měl i přírůstek cen služeb v oblasti programování a souvisejícího poradenství (5,1 %), služeb v oblasti zaměstnání (15,1 %), služeb v oblasti nemovitostí (3,1 %), architektonických a inženýrských služeb a technických zkoušek a analýz (4,2 %), služeb v oblasti pronájmu a operativního leasingu (8,7 %) nebo právních a účetnických služeb (5,5 %). Posiloval růst cen téměř ve všech oblastech a klesly jen ceny telekomunikačních služeb (−0,7 %). </w:t>
            </w:r>
          </w:p>
        </w:tc>
      </w:tr>
      <w:tr w:rsidR="0087722C" w:rsidRPr="009110F7" w14:paraId="4670B16A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595210A1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U cen tržních služeb ve 4. čtvrtletí pokračovalo zrychlování cenové dynamiky.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C54DE7C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EE80767" w14:textId="77777777" w:rsidR="0087722C" w:rsidRDefault="0087722C" w:rsidP="00163868">
            <w:r>
              <w:t xml:space="preserve">V průběhu roku meziroční přírůstky cen tržních služeb zrychlovaly a ve 4. kvartálu navýšení dosáhlo 6,7 %. Největší vliv na celkový meziroční růst měly ceny pozemní a potrubní dopravy (7,7 %) a skladování a podpůrných služeb v dopravě (15,2 %), reklamních služeb a průzkumu trhu (15,0 %) a služeb v oblasti programování a souvisejícího poradenství (7,7 %). Z dalších oblastí významně přispěly i ceny služeb </w:t>
            </w:r>
            <w:r>
              <w:lastRenderedPageBreak/>
              <w:t>v oblasti zaměstnání (18,5 %), architektonických a inženýrských služeb a technických zkoušek a analýz (5,6 %) nebo služeb v oblasti nemovitostí (3,2 %).</w:t>
            </w:r>
          </w:p>
        </w:tc>
      </w:tr>
      <w:tr w:rsidR="0087722C" w:rsidRPr="009110F7" w14:paraId="56F0F3FF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6C5315C8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Ceny zemědělské výroby loni prudce rostly.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A779789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68FD429A" w14:textId="77777777" w:rsidR="0087722C" w:rsidRPr="00CB64E1" w:rsidRDefault="0087722C" w:rsidP="00163868">
            <w:pPr>
              <w:rPr>
                <w:spacing w:val="-2"/>
              </w:rPr>
            </w:pPr>
            <w:r>
              <w:rPr>
                <w:spacing w:val="-2"/>
              </w:rPr>
              <w:t>Ceny zemědělské výroby včetně ryb loni vzrostly o 31,8 %. Velmi silný nárůst byl výsledkem prudkého zvýšení nákladů na energie, paliva nebo také cen hnojiv. Vlivem geopolitické situace došlo také k výraznému růstu cen některých zemědělských komodit na světových trzích. I v případě zemědělské výroby meziroční růst cen dosáhl vrcholu ve 2. čtvrtletí a pak zvolňoval. Ve 4. kvartálu zde ceny meziročně rostly o 28,0 %.</w:t>
            </w:r>
          </w:p>
        </w:tc>
      </w:tr>
      <w:tr w:rsidR="0087722C" w:rsidRPr="009110F7" w14:paraId="764C89F0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74CD669C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U rostlinné výroby v závěru roku došlo ke zmírnění meziroční dynamiky.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6E65ADF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4E38DB94" w14:textId="77777777" w:rsidR="0087722C" w:rsidRDefault="0087722C" w:rsidP="00163868">
            <w:pPr>
              <w:rPr>
                <w:spacing w:val="-2"/>
              </w:rPr>
            </w:pPr>
            <w:r>
              <w:rPr>
                <w:spacing w:val="-2"/>
              </w:rPr>
              <w:t>Ceny rostlinné výroby byly loni vyšší o 37,1 %. Obiloviny zdražily o 48,9 %, z toho pšenice o 50,8 %, žito o 67,8 %, ječmen o 46,7 % a kukuřice na zrno o 38,8 %. Také ceny průmyslových plodin prudce rostly (33,0 %), zejména pod vlivem cen olejnin (40,2 %). Ceny krmných plodin se zvýšily o 7,7 %, zeleniny a zahradnických produktů o 19,0 % a brambor o 28,4 %. Naopak klesly ceny ovoce (−2,4 %) i vína (−1,0 %). U rostlinné výroby meziroční cenový růst dosáhl nejvyšší úrovně ve 2. kvartálu a pak zmírňoval. Ve 4. čtvrtletí se zde ceny meziročně zvýšily o 23,5 %. Ceny obilovin vzrostly o 41,8 %, z toho pšenice o 41,6 %, žita o 61,1 %, ječmene o 43,6 % a kukuřice o 36,0 %. K výraznému zmírnění meziroční dynamiky došlo u průmyslových plodin (11,4 %), hlavně pod vlivem vývoje u cen olejnin (17,4 %). Růst cen krmných plodin zpomalil na 3,1 %. Ceny zeleniny a zahradnických produktů byly meziročně vyšší o 18,6 % a brambor o 30,6 %. Výrazně se naopak propadaly ceny ovoce (−12,8 %) a nižší byly i ceny vína (−4,3 %).</w:t>
            </w:r>
          </w:p>
        </w:tc>
      </w:tr>
      <w:tr w:rsidR="0087722C" w:rsidRPr="009110F7" w14:paraId="3C6EBCA4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7154BFD5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cen živočišné výroby v průběhu roku zrychloval.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B505420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33B8324E" w14:textId="77777777" w:rsidR="0087722C" w:rsidRDefault="0087722C" w:rsidP="00163868">
            <w:pPr>
              <w:rPr>
                <w:spacing w:val="-2"/>
              </w:rPr>
            </w:pPr>
            <w:r>
              <w:rPr>
                <w:spacing w:val="-2"/>
              </w:rPr>
              <w:t xml:space="preserve">Ceny živočišné výroby byly loni vyšší o 24,4 %. Silný růst zasáhl celou kategorii. Ceny hospodářských zvířat vzrostly o 22,8 %, z toho u skotu vzrostly o 23,5 %, u prasat </w:t>
            </w:r>
            <w:r>
              <w:rPr>
                <w:spacing w:val="-2"/>
              </w:rPr>
              <w:br/>
              <w:t xml:space="preserve">a selat o 24,4 % a ceny drůbeže byly vyšší o 19,5 %. Živočišné výrobky zdražily loni </w:t>
            </w:r>
            <w:r>
              <w:rPr>
                <w:spacing w:val="-2"/>
              </w:rPr>
              <w:br/>
              <w:t xml:space="preserve">o 25,7 %. Ceny mléka vzrostly o 25,4 % a vajec o 28,2 %. Meziroční růst cen živočišné výroby po celý rok zrychloval až na 36,6 % ve 4. čtvrtletí. V závěru roku byly ceny hospodářských zvířat meziročně vyšší o 35,8 %, z toho skotu o 21,7 %, prasat a selat </w:t>
            </w:r>
            <w:r>
              <w:rPr>
                <w:spacing w:val="-2"/>
              </w:rPr>
              <w:br/>
              <w:t>o 49,4 % a drůbeže o 33,7 %. Ceny živočišných výrobků ve 4. čtvrtletí vzrostly meziročně o 37,3 %. Mléko zdražilo o 35,5 % a vejce o 58,1 %.</w:t>
            </w:r>
          </w:p>
        </w:tc>
      </w:tr>
      <w:tr w:rsidR="0087722C" w:rsidRPr="009110F7" w14:paraId="425852F3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7F47C567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exportu po celý rok silně meziročně rostly.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F6CFAD9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12E04F8B" w14:textId="678AE369" w:rsidR="0087722C" w:rsidRPr="00793D78" w:rsidRDefault="0087722C" w:rsidP="00163868">
            <w:r>
              <w:t>V loňském roce se ceny vývozu zboží zvýšily celkově o 12,7 %. Kurzové vlivy po celý rok tlumily meziroční růst cen exportu, protože kurz koruny vůči euru meziročně posiloval</w:t>
            </w:r>
            <w:r>
              <w:rPr>
                <w:rStyle w:val="Znakapoznpodarou"/>
              </w:rPr>
              <w:footnoteReference w:id="6"/>
            </w:r>
            <w:r>
              <w:t xml:space="preserve">. Nejvíce </w:t>
            </w:r>
            <w:r w:rsidR="00D95E7F">
              <w:t xml:space="preserve">v průměru za celý rok 2022 </w:t>
            </w:r>
            <w:r>
              <w:t>posilovaly ceny minerálních paliv a</w:t>
            </w:r>
            <w:r w:rsidR="00EB6DA6">
              <w:t> </w:t>
            </w:r>
            <w:r>
              <w:t>maziv (120,1 %) následované potravinami a živými zvířaty (21,3 %), polotovary</w:t>
            </w:r>
            <w:r>
              <w:rPr>
                <w:rStyle w:val="Znakapoznpodarou"/>
              </w:rPr>
              <w:footnoteReference w:id="7"/>
            </w:r>
            <w:r>
              <w:t xml:space="preserve"> (18,9 %) a ostatními surovinami</w:t>
            </w:r>
            <w:r>
              <w:rPr>
                <w:rStyle w:val="Znakapoznpodarou"/>
              </w:rPr>
              <w:footnoteReference w:id="8"/>
            </w:r>
            <w:r>
              <w:t xml:space="preserve"> (18,</w:t>
            </w:r>
            <w:r w:rsidR="00D95E7F">
              <w:t>0</w:t>
            </w:r>
            <w:r>
              <w:t xml:space="preserve"> %). Meziroční dynamika cen exportu vyvrcholila ve 2. kvartálu a ve 4. čtvrtletí přírůstek oslabil na 9,8 %. Nejvíce se </w:t>
            </w:r>
            <w:r w:rsidR="00D95E7F">
              <w:t>ve 4. kvartálu</w:t>
            </w:r>
            <w:r>
              <w:t xml:space="preserve"> zvyšovaly ceny minerálních paliv (64,3 %), silný byl přírůstek u potravin a živých zvířat (20,8 %), polotovarů (14,0 %), chemikálií (12,1 %) a nápojů a tabáku (11,3 %). Vyšší byly ceny průmyslového spotřebního zboží (4,3 %) a strojů a dopravních prostředků (2,3 %). Meziročně klesly ceny ostatních surovin (−1,6 %).  </w:t>
            </w:r>
          </w:p>
        </w:tc>
      </w:tr>
      <w:tr w:rsidR="0087722C" w:rsidRPr="009110F7" w14:paraId="46C3D910" w14:textId="77777777" w:rsidTr="52944939">
        <w:trPr>
          <w:trHeight w:val="145"/>
        </w:trPr>
        <w:tc>
          <w:tcPr>
            <w:tcW w:w="1804" w:type="dxa"/>
            <w:shd w:val="clear" w:color="auto" w:fill="auto"/>
            <w:tcMar>
              <w:left w:w="0" w:type="dxa"/>
            </w:tcMar>
          </w:tcPr>
          <w:p w14:paraId="51730ABE" w14:textId="77777777" w:rsidR="0087722C" w:rsidRPr="00793D78" w:rsidRDefault="0087722C" w:rsidP="00163868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Směnné relace byly celý rok záporné.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5700C64" w14:textId="77777777" w:rsidR="0087722C" w:rsidRPr="00793D78" w:rsidRDefault="0087722C" w:rsidP="00163868">
            <w:pPr>
              <w:pStyle w:val="Textpoznpodarou1"/>
              <w:jc w:val="both"/>
            </w:pPr>
          </w:p>
        </w:tc>
        <w:tc>
          <w:tcPr>
            <w:tcW w:w="7611" w:type="dxa"/>
            <w:shd w:val="clear" w:color="auto" w:fill="auto"/>
            <w:tcMar>
              <w:left w:w="0" w:type="dxa"/>
            </w:tcMar>
          </w:tcPr>
          <w:p w14:paraId="76982B58" w14:textId="2637CF75" w:rsidR="0087722C" w:rsidRDefault="0087722C" w:rsidP="00163868">
            <w:r>
              <w:t xml:space="preserve">Ceny dovozu loni vzrostly o 17,2 %. Nejsilněji se zvyšovaly ceny dovozu minerálních paliv a maziv (104,4 %) následované nápoji a tabákem (16,6 %) a polotovary </w:t>
            </w:r>
            <w:r>
              <w:br/>
              <w:t>(16,6 %). Dvouciferný přírůstek měly také ceny potravin a živých zvířat (14,7 %), chemikálií (12,3 %) a ostatních surovin (10,8 %). Meziroční dynamika cen importu posilovala až do 3. kvartálu. Přírůstek pak ve 4. čtvrtletí zmírnil na 11,8 %. Nejvíce meziročně</w:t>
            </w:r>
            <w:r w:rsidR="00D95E7F">
              <w:t xml:space="preserve"> ve 4. kvartálu</w:t>
            </w:r>
            <w:r>
              <w:t xml:space="preserve"> rostly ceny minerálních paliv (46,8 %) a dále potravin a živých </w:t>
            </w:r>
            <w:r>
              <w:lastRenderedPageBreak/>
              <w:t xml:space="preserve">zvířat (21,5 %), nápojů a tabáku (20,6 %), průmyslového spotřebního zboží (11,6 %) </w:t>
            </w:r>
            <w:r>
              <w:br/>
              <w:t xml:space="preserve">a polotovarů (10,0 %). Výrazné bylo i navýšení u ostatních surovin (6,6 %) a chemikálií (5,9 %) a mírně vyšší byly ceny strojů a dopravních prostředků (2,4 %). Směnné relace zahraničního obchodu se zbožím byly loni výrazně záporné a dosáhly 96,2 %. Výrazně záporné byly loni směnné relace obchodu s nápoji a tabákem (91,0 %) a průmyslovým spotřebním zbožím (96,7 %). Naopak silně kladné byly směnné relace u minerálních paliv (107,7 %), ostatních surovin (106,5 %) a potravin a živých zvířat (105,8 %). V samotném 4. čtvrtletí směnné relace dosáhly 98,2 %. Záporné byly relace obchodu s nápoji a tabákem (92,3 %), ostatními surovinami (92,3 %), průmyslovým spotřebním zbožím (93,5 %), potravinami a živými zvířaty (99,4 %) a stroji a dopravními prostředky (99,9 %). Naopak kladné byly směnné relace v případě minerálních paliv (111,9 %), chemikálií (105,9 %) a polotovarů (103,6 %).   </w:t>
            </w:r>
          </w:p>
        </w:tc>
      </w:tr>
    </w:tbl>
    <w:p w14:paraId="626B0BA9" w14:textId="77777777" w:rsidR="0087722C" w:rsidRPr="00E42054" w:rsidRDefault="0087722C" w:rsidP="0087722C">
      <w:pPr>
        <w:pStyle w:val="Nadpis11"/>
        <w:rPr>
          <w:b w:val="0"/>
          <w:sz w:val="2"/>
          <w:szCs w:val="2"/>
        </w:rPr>
      </w:pPr>
    </w:p>
    <w:p w14:paraId="3FAB2BDC" w14:textId="77777777" w:rsidR="0087722C" w:rsidRDefault="0087722C" w:rsidP="0087722C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</w:rPr>
      </w:pPr>
    </w:p>
    <w:p w14:paraId="24BE6C1E" w14:textId="77777777" w:rsidR="0087722C" w:rsidRPr="000F45E7" w:rsidRDefault="0087722C" w:rsidP="0087722C">
      <w:pPr>
        <w:pStyle w:val="Nadpis11"/>
        <w:spacing w:after="0"/>
        <w:rPr>
          <w:b w:val="0"/>
          <w:sz w:val="2"/>
          <w:szCs w:val="2"/>
        </w:rPr>
      </w:pPr>
    </w:p>
    <w:p w14:paraId="38468288" w14:textId="77777777" w:rsidR="0087722C" w:rsidRPr="00E42054" w:rsidRDefault="0087722C" w:rsidP="0087722C">
      <w:pPr>
        <w:pStyle w:val="Nadpis11"/>
        <w:rPr>
          <w:b w:val="0"/>
          <w:sz w:val="2"/>
          <w:szCs w:val="2"/>
        </w:rPr>
      </w:pPr>
    </w:p>
    <w:bookmarkEnd w:id="1"/>
    <w:p w14:paraId="6D687C14" w14:textId="31BFB2FA" w:rsidR="001C3855" w:rsidRPr="001C3855" w:rsidRDefault="001C3855" w:rsidP="00C15537">
      <w:pPr>
        <w:pStyle w:val="Nadpis11"/>
        <w:rPr>
          <w:sz w:val="2"/>
          <w:szCs w:val="2"/>
        </w:rPr>
      </w:pPr>
    </w:p>
    <w:sectPr w:rsidR="001C3855" w:rsidRPr="001C3855" w:rsidSect="00C51560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1134" w:bottom="1418" w:left="1134" w:header="680" w:footer="73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FBA8" w14:textId="77777777" w:rsidR="00C8019E" w:rsidRDefault="00C8019E" w:rsidP="00E71A58">
      <w:r>
        <w:separator/>
      </w:r>
    </w:p>
  </w:endnote>
  <w:endnote w:type="continuationSeparator" w:id="0">
    <w:p w14:paraId="3BF26E2A" w14:textId="77777777" w:rsidR="00C8019E" w:rsidRDefault="00C8019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6C8" w14:textId="60535B1F" w:rsidR="00C8019E" w:rsidRPr="00932443" w:rsidRDefault="00C8019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E3627">
      <w:rPr>
        <w:szCs w:val="16"/>
      </w:rPr>
      <w:t>26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FAF" w14:textId="2720A469" w:rsidR="00C8019E" w:rsidRPr="00932443" w:rsidRDefault="00C8019E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E3627">
      <w:rPr>
        <w:rStyle w:val="ZpatChar"/>
        <w:szCs w:val="16"/>
      </w:rPr>
      <w:t>25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19C3" w14:textId="77777777" w:rsidR="00C8019E" w:rsidRDefault="00C8019E" w:rsidP="00A21B4D">
      <w:pPr>
        <w:spacing w:after="0"/>
      </w:pPr>
      <w:r>
        <w:separator/>
      </w:r>
    </w:p>
  </w:footnote>
  <w:footnote w:type="continuationSeparator" w:id="0">
    <w:p w14:paraId="4094B28B" w14:textId="77777777" w:rsidR="00C8019E" w:rsidRDefault="00C8019E" w:rsidP="00E71A58">
      <w:r>
        <w:continuationSeparator/>
      </w:r>
    </w:p>
  </w:footnote>
  <w:footnote w:id="1">
    <w:p w14:paraId="233F8F99" w14:textId="77777777" w:rsidR="00C8019E" w:rsidRPr="00114669" w:rsidRDefault="00C8019E" w:rsidP="0087722C">
      <w:pPr>
        <w:pStyle w:val="Textpoznpodarou"/>
        <w:rPr>
          <w:sz w:val="16"/>
          <w:szCs w:val="16"/>
        </w:rPr>
      </w:pPr>
      <w:r w:rsidRPr="000A4298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I</w:t>
      </w:r>
      <w:r w:rsidRPr="000A4298">
        <w:rPr>
          <w:sz w:val="16"/>
          <w:szCs w:val="16"/>
        </w:rPr>
        <w:t>mputované nájemné vyjadřuje náklady vlastnického bydlení.</w:t>
      </w:r>
      <w:r>
        <w:rPr>
          <w:sz w:val="16"/>
          <w:szCs w:val="16"/>
        </w:rPr>
        <w:t xml:space="preserve"> Kromě samotných cen bydlení zahrnuje i náklady na výstavbu a renovace a další poplatky. Více na:</w:t>
      </w:r>
      <w:r w:rsidRPr="000A4298">
        <w:rPr>
          <w:sz w:val="16"/>
          <w:szCs w:val="16"/>
        </w:rPr>
        <w:t xml:space="preserve"> </w:t>
      </w:r>
      <w:hyperlink r:id="rId1" w:history="1">
        <w:r w:rsidRPr="000A4298">
          <w:rPr>
            <w:rStyle w:val="Hypertextovodkaz"/>
            <w:sz w:val="16"/>
            <w:szCs w:val="16"/>
          </w:rPr>
          <w:t>https://www.czso.cz/csu/czso/metodicka-poznamka-k-indexu-spotrebitelskych-cen-imputovane-najemne</w:t>
        </w:r>
      </w:hyperlink>
      <w:r>
        <w:rPr>
          <w:rStyle w:val="Hypertextovodkaz"/>
          <w:sz w:val="16"/>
          <w:szCs w:val="16"/>
          <w:u w:val="none"/>
        </w:rPr>
        <w:t>.</w:t>
      </w:r>
    </w:p>
  </w:footnote>
  <w:footnote w:id="2">
    <w:p w14:paraId="5874A66A" w14:textId="77777777" w:rsidR="00C8019E" w:rsidRPr="00720921" w:rsidRDefault="00C8019E" w:rsidP="0087722C">
      <w:pPr>
        <w:pStyle w:val="Textpoznpodarou"/>
        <w:rPr>
          <w:sz w:val="16"/>
          <w:szCs w:val="16"/>
        </w:rPr>
      </w:pPr>
      <w:r w:rsidRPr="00720921">
        <w:rPr>
          <w:rStyle w:val="Znakapoznpodarou"/>
          <w:sz w:val="16"/>
          <w:szCs w:val="16"/>
        </w:rPr>
        <w:footnoteRef/>
      </w:r>
      <w:r w:rsidRPr="00720921">
        <w:rPr>
          <w:sz w:val="16"/>
          <w:szCs w:val="16"/>
        </w:rPr>
        <w:t xml:space="preserve"> Zahrnuje služby osobní péče</w:t>
      </w:r>
      <w:r>
        <w:rPr>
          <w:sz w:val="16"/>
          <w:szCs w:val="16"/>
        </w:rPr>
        <w:t xml:space="preserve"> a osobní potřeby a doplňky</w:t>
      </w:r>
      <w:r w:rsidRPr="00720921">
        <w:rPr>
          <w:sz w:val="16"/>
          <w:szCs w:val="16"/>
        </w:rPr>
        <w:t xml:space="preserve">, sociální péči, pojištění a další finanční </w:t>
      </w:r>
      <w:proofErr w:type="gramStart"/>
      <w:r w:rsidRPr="00720921">
        <w:rPr>
          <w:sz w:val="16"/>
          <w:szCs w:val="16"/>
        </w:rPr>
        <w:t>služby,</w:t>
      </w:r>
      <w:proofErr w:type="gramEnd"/>
      <w:r w:rsidRPr="00720921">
        <w:rPr>
          <w:sz w:val="16"/>
          <w:szCs w:val="16"/>
        </w:rPr>
        <w:t xml:space="preserve"> apod.</w:t>
      </w:r>
    </w:p>
  </w:footnote>
  <w:footnote w:id="3">
    <w:p w14:paraId="0E211571" w14:textId="77777777" w:rsidR="00C8019E" w:rsidRPr="00C055FA" w:rsidRDefault="00C8019E" w:rsidP="0087722C">
      <w:pPr>
        <w:pStyle w:val="Textpoznpodarou"/>
        <w:rPr>
          <w:sz w:val="16"/>
          <w:szCs w:val="16"/>
        </w:rPr>
      </w:pPr>
      <w:r w:rsidRPr="00C055FA">
        <w:rPr>
          <w:rStyle w:val="Znakapoznpodarou"/>
          <w:sz w:val="16"/>
          <w:szCs w:val="16"/>
        </w:rPr>
        <w:footnoteRef/>
      </w:r>
      <w:r w:rsidRPr="00C055F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Oproti indexu spotřebitelských cen, který ČSÚ pro českou ekonomiku sestavuje, </w:t>
      </w:r>
      <w:r w:rsidRPr="00C055FA">
        <w:rPr>
          <w:sz w:val="16"/>
          <w:szCs w:val="16"/>
        </w:rPr>
        <w:t>HICP neobsahuje imputované nájemné</w:t>
      </w:r>
      <w:r>
        <w:rPr>
          <w:sz w:val="16"/>
          <w:szCs w:val="16"/>
        </w:rPr>
        <w:t>, což bývá zdrojem rozdílů mezi HICP a Indexem spotřebitelských cen</w:t>
      </w:r>
      <w:r w:rsidRPr="00C055FA">
        <w:rPr>
          <w:sz w:val="16"/>
          <w:szCs w:val="16"/>
        </w:rPr>
        <w:t>.</w:t>
      </w:r>
    </w:p>
  </w:footnote>
  <w:footnote w:id="4">
    <w:p w14:paraId="264036DE" w14:textId="77777777" w:rsidR="00C8019E" w:rsidRPr="005F66A4" w:rsidRDefault="00C8019E" w:rsidP="0087722C">
      <w:pPr>
        <w:pStyle w:val="Textpoznpodarou"/>
        <w:rPr>
          <w:sz w:val="16"/>
          <w:szCs w:val="16"/>
        </w:rPr>
      </w:pPr>
      <w:r w:rsidRPr="005F66A4">
        <w:rPr>
          <w:rStyle w:val="Znakapoznpodarou"/>
          <w:sz w:val="16"/>
          <w:szCs w:val="16"/>
        </w:rPr>
        <w:footnoteRef/>
      </w:r>
      <w:r w:rsidRPr="005F66A4">
        <w:rPr>
          <w:sz w:val="16"/>
          <w:szCs w:val="16"/>
        </w:rPr>
        <w:t xml:space="preserve"> </w:t>
      </w:r>
      <w:r>
        <w:rPr>
          <w:sz w:val="16"/>
          <w:szCs w:val="16"/>
        </w:rPr>
        <w:t>Přesné hodnoty ukazatele nejsou uvedeny kvůli ochraně i</w:t>
      </w:r>
      <w:r w:rsidRPr="005F66A4">
        <w:rPr>
          <w:sz w:val="16"/>
          <w:szCs w:val="16"/>
        </w:rPr>
        <w:t>ndividuální</w:t>
      </w:r>
      <w:r>
        <w:rPr>
          <w:sz w:val="16"/>
          <w:szCs w:val="16"/>
        </w:rPr>
        <w:t>ch</w:t>
      </w:r>
      <w:r w:rsidRPr="005F66A4">
        <w:rPr>
          <w:sz w:val="16"/>
          <w:szCs w:val="16"/>
        </w:rPr>
        <w:t xml:space="preserve"> dat.</w:t>
      </w:r>
    </w:p>
  </w:footnote>
  <w:footnote w:id="5">
    <w:p w14:paraId="08859993" w14:textId="77777777" w:rsidR="00C8019E" w:rsidRPr="000C5F73" w:rsidRDefault="00C8019E" w:rsidP="0087722C">
      <w:pPr>
        <w:pStyle w:val="Textpoznpodarou"/>
        <w:rPr>
          <w:sz w:val="16"/>
          <w:szCs w:val="16"/>
        </w:rPr>
      </w:pPr>
      <w:r w:rsidRPr="000C5F73">
        <w:rPr>
          <w:rStyle w:val="Znakapoznpodarou"/>
          <w:sz w:val="16"/>
          <w:szCs w:val="16"/>
        </w:rPr>
        <w:footnoteRef/>
      </w:r>
      <w:r w:rsidRPr="000C5F73">
        <w:rPr>
          <w:sz w:val="16"/>
          <w:szCs w:val="16"/>
        </w:rPr>
        <w:t xml:space="preserve"> Bez cen zásobování vodou a</w:t>
      </w:r>
      <w:r>
        <w:rPr>
          <w:sz w:val="16"/>
          <w:szCs w:val="16"/>
        </w:rPr>
        <w:t> </w:t>
      </w:r>
      <w:r w:rsidRPr="000C5F73">
        <w:rPr>
          <w:sz w:val="16"/>
          <w:szCs w:val="16"/>
        </w:rPr>
        <w:t>služeb souvisejících s odpadními vodami.</w:t>
      </w:r>
    </w:p>
  </w:footnote>
  <w:footnote w:id="6">
    <w:p w14:paraId="0861555A" w14:textId="77777777" w:rsidR="00C8019E" w:rsidRPr="00C11C5A" w:rsidRDefault="00C8019E" w:rsidP="0087722C">
      <w:pPr>
        <w:pStyle w:val="Textpoznpodarou"/>
        <w:rPr>
          <w:sz w:val="16"/>
          <w:szCs w:val="16"/>
        </w:rPr>
      </w:pPr>
      <w:r w:rsidRPr="00C11C5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údajů ČNB byl ve 4. čtvrtletí 2022 </w:t>
      </w:r>
      <w:r w:rsidRPr="00C11C5A">
        <w:rPr>
          <w:sz w:val="16"/>
          <w:szCs w:val="16"/>
        </w:rPr>
        <w:t xml:space="preserve">průměrný kurz koruny vůči euru </w:t>
      </w:r>
      <w:r>
        <w:rPr>
          <w:sz w:val="16"/>
          <w:szCs w:val="16"/>
        </w:rPr>
        <w:t>24,387 </w:t>
      </w:r>
      <w:r w:rsidRPr="00C11C5A">
        <w:rPr>
          <w:sz w:val="16"/>
          <w:szCs w:val="16"/>
        </w:rPr>
        <w:t xml:space="preserve">CZK/EUR. </w:t>
      </w:r>
      <w:r>
        <w:rPr>
          <w:sz w:val="16"/>
          <w:szCs w:val="16"/>
        </w:rPr>
        <w:t>V roce 2021</w:t>
      </w:r>
      <w:r w:rsidRPr="00C11C5A">
        <w:rPr>
          <w:sz w:val="16"/>
          <w:szCs w:val="16"/>
        </w:rPr>
        <w:t xml:space="preserve"> to bylo </w:t>
      </w:r>
      <w:r>
        <w:rPr>
          <w:sz w:val="16"/>
          <w:szCs w:val="16"/>
        </w:rPr>
        <w:t>25,377 </w:t>
      </w:r>
      <w:r w:rsidRPr="00C11C5A">
        <w:rPr>
          <w:sz w:val="16"/>
          <w:szCs w:val="16"/>
        </w:rPr>
        <w:t xml:space="preserve">CZK/EUR. </w:t>
      </w:r>
      <w:r>
        <w:rPr>
          <w:sz w:val="16"/>
          <w:szCs w:val="16"/>
        </w:rPr>
        <w:t>Za celý rok 2022 průměr činil 24,565 CZK/EUR (25,645 CZK/EUR v předchozím roce). Kurz dolaru meziročně oslaboval</w:t>
      </w:r>
      <w:r w:rsidRPr="00C11C5A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Ve 4. čtvrtletí 2021 </w:t>
      </w:r>
      <w:r w:rsidRPr="00C11C5A">
        <w:rPr>
          <w:sz w:val="16"/>
          <w:szCs w:val="16"/>
        </w:rPr>
        <w:t xml:space="preserve">činil </w:t>
      </w:r>
      <w:r>
        <w:rPr>
          <w:sz w:val="16"/>
          <w:szCs w:val="16"/>
        </w:rPr>
        <w:t>průměr 22,192 </w:t>
      </w:r>
      <w:r w:rsidRPr="00C11C5A">
        <w:rPr>
          <w:sz w:val="16"/>
          <w:szCs w:val="16"/>
        </w:rPr>
        <w:t>CZK/USD</w:t>
      </w:r>
      <w:r>
        <w:rPr>
          <w:sz w:val="16"/>
          <w:szCs w:val="16"/>
        </w:rPr>
        <w:t xml:space="preserve"> a letos</w:t>
      </w:r>
      <w:r w:rsidRPr="00C11C5A">
        <w:rPr>
          <w:sz w:val="16"/>
          <w:szCs w:val="16"/>
        </w:rPr>
        <w:t xml:space="preserve"> 2</w:t>
      </w:r>
      <w:r>
        <w:rPr>
          <w:sz w:val="16"/>
          <w:szCs w:val="16"/>
        </w:rPr>
        <w:t>3,923 </w:t>
      </w:r>
      <w:r w:rsidRPr="00C11C5A">
        <w:rPr>
          <w:sz w:val="16"/>
          <w:szCs w:val="16"/>
        </w:rPr>
        <w:t>CZK/U</w:t>
      </w:r>
      <w:r>
        <w:rPr>
          <w:sz w:val="16"/>
          <w:szCs w:val="16"/>
        </w:rPr>
        <w:t>SD</w:t>
      </w:r>
      <w:r w:rsidRPr="00C11C5A">
        <w:rPr>
          <w:sz w:val="16"/>
          <w:szCs w:val="16"/>
        </w:rPr>
        <w:t>.</w:t>
      </w:r>
      <w:r>
        <w:rPr>
          <w:sz w:val="16"/>
          <w:szCs w:val="16"/>
        </w:rPr>
        <w:t xml:space="preserve"> Loňský celkový průměr dosáhl 23,360 CZK/USD a v roce 2021 to bylo 21,682 CZK/USD.</w:t>
      </w:r>
    </w:p>
  </w:footnote>
  <w:footnote w:id="7">
    <w:p w14:paraId="191412F9" w14:textId="77777777" w:rsidR="00C8019E" w:rsidRPr="00940B11" w:rsidRDefault="00C8019E" w:rsidP="0087722C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6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tržní výrobky tříděné hlavně podle materiálu</w:t>
      </w:r>
      <w:r>
        <w:rPr>
          <w:sz w:val="16"/>
          <w:szCs w:val="16"/>
        </w:rPr>
        <w:t>.</w:t>
      </w:r>
    </w:p>
  </w:footnote>
  <w:footnote w:id="8">
    <w:p w14:paraId="3228938E" w14:textId="77777777" w:rsidR="00C8019E" w:rsidRPr="00940B11" w:rsidRDefault="00C8019E" w:rsidP="0087722C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2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suroviny nepoživatelné s výjimkou paliv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A67" w14:textId="77777777" w:rsidR="00C8019E" w:rsidRDefault="00C8019E" w:rsidP="00937AE2">
    <w:pPr>
      <w:pStyle w:val="Zhlav"/>
    </w:pPr>
    <w:r>
      <w:t>Vývoj ekonomiky České republiky</w:t>
    </w:r>
  </w:p>
  <w:p w14:paraId="3E881AB3" w14:textId="77777777" w:rsidR="00C8019E" w:rsidRPr="006F5416" w:rsidRDefault="00C8019E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3DB" w14:textId="77777777" w:rsidR="00C8019E" w:rsidRDefault="00C8019E" w:rsidP="00937AE2">
    <w:pPr>
      <w:pStyle w:val="Zhlav"/>
    </w:pPr>
    <w:r>
      <w:t>Vývoj ekonomiky České republiky</w:t>
    </w:r>
  </w:p>
  <w:p w14:paraId="57266714" w14:textId="77777777" w:rsidR="00C8019E" w:rsidRPr="006F5416" w:rsidRDefault="00C8019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675651">
    <w:abstractNumId w:val="25"/>
  </w:num>
  <w:num w:numId="2" w16cid:durableId="42993069">
    <w:abstractNumId w:val="8"/>
  </w:num>
  <w:num w:numId="3" w16cid:durableId="1188448633">
    <w:abstractNumId w:val="3"/>
  </w:num>
  <w:num w:numId="4" w16cid:durableId="178853939">
    <w:abstractNumId w:val="2"/>
  </w:num>
  <w:num w:numId="5" w16cid:durableId="467431360">
    <w:abstractNumId w:val="1"/>
  </w:num>
  <w:num w:numId="6" w16cid:durableId="1323971648">
    <w:abstractNumId w:val="0"/>
  </w:num>
  <w:num w:numId="7" w16cid:durableId="1319113600">
    <w:abstractNumId w:val="9"/>
  </w:num>
  <w:num w:numId="8" w16cid:durableId="1380520353">
    <w:abstractNumId w:val="7"/>
  </w:num>
  <w:num w:numId="9" w16cid:durableId="1491631085">
    <w:abstractNumId w:val="6"/>
  </w:num>
  <w:num w:numId="10" w16cid:durableId="1311446643">
    <w:abstractNumId w:val="5"/>
  </w:num>
  <w:num w:numId="11" w16cid:durableId="1993364951">
    <w:abstractNumId w:val="4"/>
  </w:num>
  <w:num w:numId="12" w16cid:durableId="231276771">
    <w:abstractNumId w:val="15"/>
  </w:num>
  <w:num w:numId="13" w16cid:durableId="207644179">
    <w:abstractNumId w:val="27"/>
  </w:num>
  <w:num w:numId="14" w16cid:durableId="1218779089">
    <w:abstractNumId w:val="14"/>
  </w:num>
  <w:num w:numId="15" w16cid:durableId="1609242427">
    <w:abstractNumId w:val="20"/>
  </w:num>
  <w:num w:numId="16" w16cid:durableId="375545102">
    <w:abstractNumId w:val="16"/>
  </w:num>
  <w:num w:numId="17" w16cid:durableId="1211458968">
    <w:abstractNumId w:val="28"/>
  </w:num>
  <w:num w:numId="18" w16cid:durableId="482963397">
    <w:abstractNumId w:val="21"/>
  </w:num>
  <w:num w:numId="19" w16cid:durableId="836001720">
    <w:abstractNumId w:val="29"/>
  </w:num>
  <w:num w:numId="20" w16cid:durableId="979767753">
    <w:abstractNumId w:val="30"/>
  </w:num>
  <w:num w:numId="21" w16cid:durableId="862285838">
    <w:abstractNumId w:val="26"/>
  </w:num>
  <w:num w:numId="22" w16cid:durableId="582881778">
    <w:abstractNumId w:val="19"/>
  </w:num>
  <w:num w:numId="23" w16cid:durableId="526522376">
    <w:abstractNumId w:val="17"/>
  </w:num>
  <w:num w:numId="24" w16cid:durableId="386228362">
    <w:abstractNumId w:val="18"/>
  </w:num>
  <w:num w:numId="25" w16cid:durableId="1287664625">
    <w:abstractNumId w:val="13"/>
  </w:num>
  <w:num w:numId="26" w16cid:durableId="907227532">
    <w:abstractNumId w:val="23"/>
  </w:num>
  <w:num w:numId="27" w16cid:durableId="1723559017">
    <w:abstractNumId w:val="22"/>
  </w:num>
  <w:num w:numId="28" w16cid:durableId="1931085482">
    <w:abstractNumId w:val="10"/>
  </w:num>
  <w:num w:numId="29" w16cid:durableId="612982388">
    <w:abstractNumId w:val="30"/>
  </w:num>
  <w:num w:numId="30" w16cid:durableId="189496072">
    <w:abstractNumId w:val="24"/>
  </w:num>
  <w:num w:numId="31" w16cid:durableId="611744734">
    <w:abstractNumId w:val="12"/>
  </w:num>
  <w:num w:numId="32" w16cid:durableId="1852186949">
    <w:abstractNumId w:val="31"/>
  </w:num>
  <w:num w:numId="33" w16cid:durableId="698824509">
    <w:abstractNumId w:val="30"/>
  </w:num>
  <w:num w:numId="34" w16cid:durableId="699744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4779E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C6C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1B1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71A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1850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560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5CBE"/>
    <w:rsid w:val="00D95E7F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3E22"/>
    <w:rsid w:val="00DE3E5D"/>
    <w:rsid w:val="00DE450F"/>
    <w:rsid w:val="00DE4865"/>
    <w:rsid w:val="00DE5CA6"/>
    <w:rsid w:val="00DE5E55"/>
    <w:rsid w:val="00DE63AE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DA6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730A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  <w:rsid w:val="0523CDF2"/>
    <w:rsid w:val="06B1A837"/>
    <w:rsid w:val="12650F4E"/>
    <w:rsid w:val="1394E51D"/>
    <w:rsid w:val="2A0E9F3A"/>
    <w:rsid w:val="2A2A6298"/>
    <w:rsid w:val="38C72AFC"/>
    <w:rsid w:val="3E4A9713"/>
    <w:rsid w:val="48038D4B"/>
    <w:rsid w:val="49E8263C"/>
    <w:rsid w:val="50A35788"/>
    <w:rsid w:val="52944939"/>
    <w:rsid w:val="5CF587E8"/>
    <w:rsid w:val="6AEA4E8B"/>
    <w:rsid w:val="75B5B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-poznamka-k-indexu-spotrebitelskych-cen-imputovane-najem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4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4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68840579710145E-2"/>
          <c:y val="2.1811315924220361E-2"/>
          <c:w val="0.92237743255066085"/>
          <c:h val="0.71471575213004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2'!$A$26:$B$49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2'!$C$26:$C$49</c:f>
              <c:numCache>
                <c:formatCode>General</c:formatCode>
                <c:ptCount val="24"/>
                <c:pt idx="0">
                  <c:v>2.4000000000000057</c:v>
                </c:pt>
                <c:pt idx="1">
                  <c:v>2.2000000000000042</c:v>
                </c:pt>
                <c:pt idx="2" formatCode="0.0">
                  <c:v>2.5</c:v>
                </c:pt>
                <c:pt idx="3" formatCode="0.0">
                  <c:v>2.6</c:v>
                </c:pt>
                <c:pt idx="4" formatCode="0.0">
                  <c:v>1.9000000000000001</c:v>
                </c:pt>
                <c:pt idx="5" formatCode="0.0">
                  <c:v>2.2999999999999998</c:v>
                </c:pt>
                <c:pt idx="6" formatCode="0.0">
                  <c:v>2.4</c:v>
                </c:pt>
                <c:pt idx="7" formatCode="0.0">
                  <c:v>2.1</c:v>
                </c:pt>
                <c:pt idx="8" formatCode="0.0">
                  <c:v>2.7</c:v>
                </c:pt>
                <c:pt idx="9" formatCode="0.0">
                  <c:v>2.8</c:v>
                </c:pt>
                <c:pt idx="10" formatCode="0.0">
                  <c:v>2.8</c:v>
                </c:pt>
                <c:pt idx="11" formatCode="0.0">
                  <c:v>3</c:v>
                </c:pt>
                <c:pt idx="12" formatCode="0.0">
                  <c:v>3.6</c:v>
                </c:pt>
                <c:pt idx="13" formatCode="0.0">
                  <c:v>3.1</c:v>
                </c:pt>
                <c:pt idx="14" formatCode="0.0">
                  <c:v>3.3</c:v>
                </c:pt>
                <c:pt idx="15" formatCode="0.0">
                  <c:v>2.6</c:v>
                </c:pt>
                <c:pt idx="16" formatCode="0.0">
                  <c:v>2.2000000000000002</c:v>
                </c:pt>
                <c:pt idx="17" formatCode="0.0">
                  <c:v>2.9</c:v>
                </c:pt>
                <c:pt idx="18" formatCode="0.0">
                  <c:v>4.0999999999999996</c:v>
                </c:pt>
                <c:pt idx="19" formatCode="0.0">
                  <c:v>6.1</c:v>
                </c:pt>
                <c:pt idx="20" formatCode="0.0">
                  <c:v>11.2</c:v>
                </c:pt>
                <c:pt idx="21" formatCode="0.0">
                  <c:v>15.8</c:v>
                </c:pt>
                <c:pt idx="22" formatCode="0.0">
                  <c:v>17.600000000000001</c:v>
                </c:pt>
                <c:pt idx="23" formatCode="0.0">
                  <c:v>15.7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F9-43C0-822E-32D52D1B7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21723520"/>
        <c:axId val="128812928"/>
      </c:barChart>
      <c:lineChart>
        <c:grouping val="standard"/>
        <c:varyColors val="0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 a nealkoholické nápoje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2'!$D$26:$D$49</c:f>
              <c:numCache>
                <c:formatCode>General</c:formatCode>
                <c:ptCount val="24"/>
                <c:pt idx="0">
                  <c:v>4.2000000000000028</c:v>
                </c:pt>
                <c:pt idx="1">
                  <c:v>4.5</c:v>
                </c:pt>
                <c:pt idx="2" formatCode="0.0">
                  <c:v>5.7</c:v>
                </c:pt>
                <c:pt idx="3" formatCode="0.0">
                  <c:v>6.3</c:v>
                </c:pt>
                <c:pt idx="4" formatCode="0.0">
                  <c:v>2.9</c:v>
                </c:pt>
                <c:pt idx="5" formatCode="#\ ##0.0_ ;\-#\ ##0.0\ ">
                  <c:v>2.2999999999999998</c:v>
                </c:pt>
                <c:pt idx="6" formatCode="0.0">
                  <c:v>0.60000000000000042</c:v>
                </c:pt>
                <c:pt idx="7" formatCode="0.0">
                  <c:v>-0.5</c:v>
                </c:pt>
                <c:pt idx="8" formatCode="0.0">
                  <c:v>1</c:v>
                </c:pt>
                <c:pt idx="9" formatCode="0.0">
                  <c:v>2.5</c:v>
                </c:pt>
                <c:pt idx="10" formatCode="0.0">
                  <c:v>3.5</c:v>
                </c:pt>
                <c:pt idx="11" formatCode="0.0">
                  <c:v>4.3</c:v>
                </c:pt>
                <c:pt idx="12" formatCode="0.0">
                  <c:v>6.1</c:v>
                </c:pt>
                <c:pt idx="13" formatCode="0.0">
                  <c:v>6.5</c:v>
                </c:pt>
                <c:pt idx="14" formatCode="0.0">
                  <c:v>4</c:v>
                </c:pt>
                <c:pt idx="15" formatCode="0.0">
                  <c:v>1.7000000000000004</c:v>
                </c:pt>
                <c:pt idx="16" formatCode="0.0">
                  <c:v>0.30000000000000021</c:v>
                </c:pt>
                <c:pt idx="17" formatCode="0.0">
                  <c:v>-0.8</c:v>
                </c:pt>
                <c:pt idx="18" formatCode="0.0">
                  <c:v>1.4</c:v>
                </c:pt>
                <c:pt idx="19" formatCode="0.0">
                  <c:v>2.2999999999999998</c:v>
                </c:pt>
                <c:pt idx="20" formatCode="0.0">
                  <c:v>6.7</c:v>
                </c:pt>
                <c:pt idx="21" formatCode="0.0">
                  <c:v>14.6</c:v>
                </c:pt>
                <c:pt idx="22" formatCode="0.0">
                  <c:v>20</c:v>
                </c:pt>
                <c:pt idx="23" formatCode="0.0">
                  <c:v>25.5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7F9-43C0-822E-32D52D1B7BA2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2'!$F$26:$F$49</c:f>
              <c:numCache>
                <c:formatCode>General</c:formatCode>
                <c:ptCount val="24"/>
                <c:pt idx="0">
                  <c:v>0.7999999999999976</c:v>
                </c:pt>
                <c:pt idx="1">
                  <c:v>1.5</c:v>
                </c:pt>
                <c:pt idx="2" formatCode="0.0">
                  <c:v>2.1</c:v>
                </c:pt>
                <c:pt idx="3" formatCode="0.0">
                  <c:v>2.2000000000000002</c:v>
                </c:pt>
                <c:pt idx="4" formatCode="0.0">
                  <c:v>2.2999999999999998</c:v>
                </c:pt>
                <c:pt idx="5" formatCode="0.0">
                  <c:v>2.6</c:v>
                </c:pt>
                <c:pt idx="6" formatCode="0.0">
                  <c:v>3.2</c:v>
                </c:pt>
                <c:pt idx="7" formatCode="0.0">
                  <c:v>3.8</c:v>
                </c:pt>
                <c:pt idx="8" formatCode="0.0">
                  <c:v>5.4</c:v>
                </c:pt>
                <c:pt idx="9" formatCode="0.0">
                  <c:v>5.7</c:v>
                </c:pt>
                <c:pt idx="10" formatCode="0.0">
                  <c:v>5.2</c:v>
                </c:pt>
                <c:pt idx="11" formatCode="0.0">
                  <c:v>5</c:v>
                </c:pt>
                <c:pt idx="12" formatCode="0.0">
                  <c:v>4.2</c:v>
                </c:pt>
                <c:pt idx="13" formatCode="0.0">
                  <c:v>3.2</c:v>
                </c:pt>
                <c:pt idx="14" formatCode="0.0">
                  <c:v>2.7</c:v>
                </c:pt>
                <c:pt idx="15" formatCode="0.0">
                  <c:v>1.4</c:v>
                </c:pt>
                <c:pt idx="16" formatCode="0.0">
                  <c:v>0.60000000000000042</c:v>
                </c:pt>
                <c:pt idx="17" formatCode="0.0">
                  <c:v>1.3</c:v>
                </c:pt>
                <c:pt idx="18" formatCode="0.0">
                  <c:v>3.6</c:v>
                </c:pt>
                <c:pt idx="19" formatCode="0.0">
                  <c:v>5.6</c:v>
                </c:pt>
                <c:pt idx="20" formatCode="0.0">
                  <c:v>16</c:v>
                </c:pt>
                <c:pt idx="21" formatCode="0.0">
                  <c:v>21.4</c:v>
                </c:pt>
                <c:pt idx="22" formatCode="0.0">
                  <c:v>23.6</c:v>
                </c:pt>
                <c:pt idx="23" formatCode="0.0">
                  <c:v>14.9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7F9-43C0-822E-32D52D1B7BA2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'Ceny 2'!$A$26:$B$49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2'!$G$26:$G$49</c:f>
              <c:numCache>
                <c:formatCode>General</c:formatCode>
                <c:ptCount val="24"/>
                <c:pt idx="0">
                  <c:v>6</c:v>
                </c:pt>
                <c:pt idx="1">
                  <c:v>3.9000000000000057</c:v>
                </c:pt>
                <c:pt idx="2" formatCode="0.0">
                  <c:v>2.5</c:v>
                </c:pt>
                <c:pt idx="3" formatCode="0.0">
                  <c:v>2.5</c:v>
                </c:pt>
                <c:pt idx="4" formatCode="0.0">
                  <c:v>1</c:v>
                </c:pt>
                <c:pt idx="5" formatCode="0.0">
                  <c:v>3</c:v>
                </c:pt>
                <c:pt idx="6" formatCode="0.0">
                  <c:v>4.5</c:v>
                </c:pt>
                <c:pt idx="7" formatCode="0.0">
                  <c:v>2.6</c:v>
                </c:pt>
                <c:pt idx="8" formatCode="0.0">
                  <c:v>0.60000000000000042</c:v>
                </c:pt>
                <c:pt idx="9" formatCode="0.0">
                  <c:v>0.8</c:v>
                </c:pt>
                <c:pt idx="10" formatCode="0.0">
                  <c:v>-0.2</c:v>
                </c:pt>
                <c:pt idx="11" formatCode="0.0">
                  <c:v>0.5</c:v>
                </c:pt>
                <c:pt idx="12">
                  <c:v>1.7000000000000004</c:v>
                </c:pt>
                <c:pt idx="13" formatCode="0.0">
                  <c:v>-3.4</c:v>
                </c:pt>
                <c:pt idx="14" formatCode="0.0">
                  <c:v>-0.2</c:v>
                </c:pt>
                <c:pt idx="15" formatCode="0.0">
                  <c:v>0.60000000000000042</c:v>
                </c:pt>
                <c:pt idx="16" formatCode="0.0">
                  <c:v>2.4</c:v>
                </c:pt>
                <c:pt idx="17" formatCode="0.0">
                  <c:v>9.1</c:v>
                </c:pt>
                <c:pt idx="18" formatCode="0.0">
                  <c:v>8.8000000000000007</c:v>
                </c:pt>
                <c:pt idx="19" formatCode="0.0">
                  <c:v>13.1</c:v>
                </c:pt>
                <c:pt idx="20" formatCode="0.0">
                  <c:v>17.2</c:v>
                </c:pt>
                <c:pt idx="21" formatCode="0.0">
                  <c:v>22.7</c:v>
                </c:pt>
                <c:pt idx="22" formatCode="0.0">
                  <c:v>19.7</c:v>
                </c:pt>
                <c:pt idx="23" formatCode="0.0">
                  <c:v>13.1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7F9-43C0-822E-32D52D1B7BA2}"/>
            </c:ext>
          </c:extLst>
        </c:ser>
        <c:ser>
          <c:idx val="5"/>
          <c:order val="5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'Ceny 2'!$A$26:$B$49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2'!$H$26:$H$49</c:f>
              <c:numCache>
                <c:formatCode>###\ ###\ ##0.0</c:formatCode>
                <c:ptCount val="24"/>
                <c:pt idx="0">
                  <c:v>5.2000000000000028</c:v>
                </c:pt>
                <c:pt idx="1">
                  <c:v>5.7999999999999972</c:v>
                </c:pt>
                <c:pt idx="2">
                  <c:v>6.2999999999999972</c:v>
                </c:pt>
                <c:pt idx="3" formatCode="0.0">
                  <c:v>5.6</c:v>
                </c:pt>
                <c:pt idx="4" formatCode="0.0">
                  <c:v>3.5</c:v>
                </c:pt>
                <c:pt idx="5" formatCode="0.0">
                  <c:v>3.6</c:v>
                </c:pt>
                <c:pt idx="6" formatCode="0.0">
                  <c:v>3.5</c:v>
                </c:pt>
                <c:pt idx="7" formatCode="0.0">
                  <c:v>3.7</c:v>
                </c:pt>
                <c:pt idx="8" formatCode="0.0">
                  <c:v>3.8</c:v>
                </c:pt>
                <c:pt idx="9" formatCode="0.0">
                  <c:v>4</c:v>
                </c:pt>
                <c:pt idx="10" formatCode="0.0">
                  <c:v>4.5</c:v>
                </c:pt>
                <c:pt idx="11" formatCode="0.0">
                  <c:v>4.5999999999999996</c:v>
                </c:pt>
                <c:pt idx="12" formatCode="0.0">
                  <c:v>5.5</c:v>
                </c:pt>
                <c:pt idx="13" formatCode="0.0">
                  <c:v>5.0999999999999996</c:v>
                </c:pt>
                <c:pt idx="14" formatCode="0.0">
                  <c:v>4.9000000000000004</c:v>
                </c:pt>
                <c:pt idx="15" formatCode="0.0">
                  <c:v>4.3</c:v>
                </c:pt>
                <c:pt idx="16" formatCode="0.0">
                  <c:v>3</c:v>
                </c:pt>
                <c:pt idx="17" formatCode="0.0">
                  <c:v>2.9</c:v>
                </c:pt>
                <c:pt idx="18" formatCode="0.0">
                  <c:v>4.5999999999999996</c:v>
                </c:pt>
                <c:pt idx="19" formatCode="0.0">
                  <c:v>6.8</c:v>
                </c:pt>
                <c:pt idx="20" formatCode="0.0">
                  <c:v>12.3</c:v>
                </c:pt>
                <c:pt idx="21" formatCode="0.0">
                  <c:v>21.4</c:v>
                </c:pt>
                <c:pt idx="22" formatCode="0.0">
                  <c:v>24.3</c:v>
                </c:pt>
                <c:pt idx="23" formatCode="0.0">
                  <c:v>25.6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7F9-43C0-822E-32D52D1B7BA2}"/>
            </c:ext>
          </c:extLst>
        </c:ser>
        <c:ser>
          <c:idx val="6"/>
          <c:order val="6"/>
          <c:tx>
            <c:strRef>
              <c:f>'Ceny 2'!$I$5</c:f>
              <c:strCache>
                <c:ptCount val="1"/>
                <c:pt idx="0">
                  <c:v>Rekreace a kultura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'Ceny 2'!$A$26:$B$49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2'!$I$26:$I$49</c:f>
              <c:numCache>
                <c:formatCode>###\ ###\ ##0.0</c:formatCode>
                <c:ptCount val="24"/>
                <c:pt idx="0">
                  <c:v>0.7000000000000004</c:v>
                </c:pt>
                <c:pt idx="1">
                  <c:v>1.1000000000000001</c:v>
                </c:pt>
                <c:pt idx="2">
                  <c:v>1.3</c:v>
                </c:pt>
                <c:pt idx="3">
                  <c:v>0.9</c:v>
                </c:pt>
                <c:pt idx="4" formatCode="General">
                  <c:v>0.5</c:v>
                </c:pt>
                <c:pt idx="5" formatCode="General">
                  <c:v>0.59999999999999454</c:v>
                </c:pt>
                <c:pt idx="6" formatCode="General">
                  <c:v>2.2000000000000042</c:v>
                </c:pt>
                <c:pt idx="7" formatCode="General">
                  <c:v>0.5</c:v>
                </c:pt>
                <c:pt idx="8" formatCode="General">
                  <c:v>1.7000000000000033</c:v>
                </c:pt>
                <c:pt idx="9" formatCode="General">
                  <c:v>1</c:v>
                </c:pt>
                <c:pt idx="10" formatCode="General">
                  <c:v>1.7000000000000033</c:v>
                </c:pt>
                <c:pt idx="11" formatCode="General">
                  <c:v>2.0999999999999943</c:v>
                </c:pt>
                <c:pt idx="12" formatCode="General">
                  <c:v>2.0999999999999943</c:v>
                </c:pt>
                <c:pt idx="13" formatCode="General">
                  <c:v>2</c:v>
                </c:pt>
                <c:pt idx="14" formatCode="General">
                  <c:v>2.2000000000000042</c:v>
                </c:pt>
                <c:pt idx="15" formatCode="General">
                  <c:v>2.5</c:v>
                </c:pt>
                <c:pt idx="16" formatCode="General">
                  <c:v>1.4000000000000057</c:v>
                </c:pt>
                <c:pt idx="17" formatCode="General">
                  <c:v>2</c:v>
                </c:pt>
                <c:pt idx="18" formatCode="General">
                  <c:v>3.0999999999999943</c:v>
                </c:pt>
                <c:pt idx="19" formatCode="General">
                  <c:v>5.2999999999999972</c:v>
                </c:pt>
                <c:pt idx="20" formatCode="General">
                  <c:v>8.5</c:v>
                </c:pt>
                <c:pt idx="21" formatCode="General">
                  <c:v>11.3</c:v>
                </c:pt>
                <c:pt idx="22" formatCode="General">
                  <c:v>12.600000000000001</c:v>
                </c:pt>
                <c:pt idx="23" formatCode="0.0">
                  <c:v>13.2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7F9-43C0-822E-32D52D1B7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723520"/>
        <c:axId val="128812928"/>
        <c:extLst>
          <c:ext xmlns:c15="http://schemas.microsoft.com/office/drawing/2012/chart" uri="{02D57815-91ED-43cb-92C2-25804820EDAC}">
            <c15:filteredLineSeries>
              <c15:ser>
                <c:idx val="2"/>
                <c:order val="4"/>
                <c:tx>
                  <c:strRef>
                    <c:extLst>
                      <c:ext uri="{02D57815-91ED-43cb-92C2-25804820EDAC}">
                        <c15:formulaRef>
                          <c15:sqref>'Ceny 2'!$E$5</c15:sqref>
                        </c15:formulaRef>
                      </c:ext>
                    </c:extLst>
                    <c:strCache>
                      <c:ptCount val="1"/>
                      <c:pt idx="0">
                        <c:v>Alkoholické nápoje a tabák</c:v>
                      </c:pt>
                    </c:strCache>
                  </c:strRef>
                </c:tx>
                <c:spPr>
                  <a:ln w="19050">
                    <a:solidFill>
                      <a:schemeClr val="accent2"/>
                    </a:solidFill>
                  </a:ln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'Ceny 2'!$A$26:$B$49</c15:sqref>
                        </c15:formulaRef>
                      </c:ext>
                    </c:extLst>
                    <c:multiLvlStrCache>
                      <c:ptCount val="24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  <c:pt idx="23">
                          <c:v>4</c:v>
                        </c:pt>
                      </c:lvl>
                      <c:lvl>
                        <c:pt idx="0">
                          <c:v>2017</c:v>
                        </c:pt>
                        <c:pt idx="4">
                          <c:v>2018</c:v>
                        </c:pt>
                        <c:pt idx="8">
                          <c:v>2019</c:v>
                        </c:pt>
                        <c:pt idx="12">
                          <c:v>2020</c:v>
                        </c:pt>
                        <c:pt idx="16">
                          <c:v>2021</c:v>
                        </c:pt>
                        <c:pt idx="20">
                          <c:v>2022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'Ceny 2'!$E$26:$E$48</c15:sqref>
                        </c15:formulaRef>
                      </c:ext>
                    </c:extLst>
                    <c:numCache>
                      <c:formatCode>General</c:formatCode>
                      <c:ptCount val="23"/>
                      <c:pt idx="0">
                        <c:v>3.4000000000000057</c:v>
                      </c:pt>
                      <c:pt idx="1">
                        <c:v>0.79999999999999716</c:v>
                      </c:pt>
                      <c:pt idx="2" formatCode="0.0">
                        <c:v>1.3</c:v>
                      </c:pt>
                      <c:pt idx="3" formatCode="0.0">
                        <c:v>1.5</c:v>
                      </c:pt>
                      <c:pt idx="4" formatCode="0.0">
                        <c:v>2.5</c:v>
                      </c:pt>
                      <c:pt idx="5" formatCode="0.0">
                        <c:v>3.6</c:v>
                      </c:pt>
                      <c:pt idx="6" formatCode="0.0">
                        <c:v>2.8</c:v>
                      </c:pt>
                      <c:pt idx="7" formatCode="0.0">
                        <c:v>3.1</c:v>
                      </c:pt>
                      <c:pt idx="8" formatCode="0.0">
                        <c:v>3.3</c:v>
                      </c:pt>
                      <c:pt idx="9" formatCode="0.0">
                        <c:v>1.7</c:v>
                      </c:pt>
                      <c:pt idx="10" formatCode="0.0">
                        <c:v>1.9</c:v>
                      </c:pt>
                      <c:pt idx="11" formatCode="0.0">
                        <c:v>1.8</c:v>
                      </c:pt>
                      <c:pt idx="12">
                        <c:v>3.5</c:v>
                      </c:pt>
                      <c:pt idx="13" formatCode="0.0">
                        <c:v>6.6</c:v>
                      </c:pt>
                      <c:pt idx="14" formatCode="0.0">
                        <c:v>10.3</c:v>
                      </c:pt>
                      <c:pt idx="15" formatCode="0.0">
                        <c:v>9.9</c:v>
                      </c:pt>
                      <c:pt idx="16" formatCode="0.0">
                        <c:v>9.9</c:v>
                      </c:pt>
                      <c:pt idx="17" formatCode="0.0">
                        <c:v>9.8000000000000007</c:v>
                      </c:pt>
                      <c:pt idx="18" formatCode="0.0">
                        <c:v>6.5</c:v>
                      </c:pt>
                      <c:pt idx="19" formatCode="0.0">
                        <c:v>7.7</c:v>
                      </c:pt>
                      <c:pt idx="20" formatCode="0.0">
                        <c:v>7.1</c:v>
                      </c:pt>
                      <c:pt idx="21" formatCode="0.0">
                        <c:v>5.6</c:v>
                      </c:pt>
                      <c:pt idx="22" formatCode="0.0">
                        <c:v>6.3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17F9-43C0-822E-32D52D1B7BA2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2'!$J$5</c15:sqref>
                        </c15:formulaRef>
                      </c:ext>
                    </c:extLst>
                    <c:strCache>
                      <c:ptCount val="1"/>
                      <c:pt idx="0">
                        <c:v>Odívání a obuv</c:v>
                      </c:pt>
                    </c:strCache>
                  </c:strRef>
                </c:tx>
                <c:spPr>
                  <a:ln w="19050">
                    <a:solidFill>
                      <a:srgbClr val="E8AFB2"/>
                    </a:solidFill>
                  </a:ln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2'!$A$26:$B$49</c15:sqref>
                        </c15:formulaRef>
                      </c:ext>
                    </c:extLst>
                    <c:multiLvlStrCache>
                      <c:ptCount val="24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  <c:pt idx="23">
                          <c:v>4</c:v>
                        </c:pt>
                      </c:lvl>
                      <c:lvl>
                        <c:pt idx="0">
                          <c:v>2017</c:v>
                        </c:pt>
                        <c:pt idx="4">
                          <c:v>2018</c:v>
                        </c:pt>
                        <c:pt idx="8">
                          <c:v>2019</c:v>
                        </c:pt>
                        <c:pt idx="12">
                          <c:v>2020</c:v>
                        </c:pt>
                        <c:pt idx="16">
                          <c:v>2021</c:v>
                        </c:pt>
                        <c:pt idx="20">
                          <c:v>2022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2'!$J$26:$J$48</c15:sqref>
                        </c15:formulaRef>
                      </c:ext>
                    </c:extLst>
                    <c:numCache>
                      <c:formatCode>General</c:formatCode>
                      <c:ptCount val="23"/>
                      <c:pt idx="0">
                        <c:v>0.5</c:v>
                      </c:pt>
                      <c:pt idx="1">
                        <c:v>1</c:v>
                      </c:pt>
                      <c:pt idx="2" formatCode="0.0">
                        <c:v>0.5</c:v>
                      </c:pt>
                      <c:pt idx="3" formatCode="0.0">
                        <c:v>-0.8</c:v>
                      </c:pt>
                      <c:pt idx="4">
                        <c:v>-0.29999999999999716</c:v>
                      </c:pt>
                      <c:pt idx="5">
                        <c:v>-1</c:v>
                      </c:pt>
                      <c:pt idx="6">
                        <c:v>-1.4000000000000057</c:v>
                      </c:pt>
                      <c:pt idx="7">
                        <c:v>-1.7000000000000028</c:v>
                      </c:pt>
                      <c:pt idx="8">
                        <c:v>-1.0999999999999943</c:v>
                      </c:pt>
                      <c:pt idx="9">
                        <c:v>-1.9000000000000057</c:v>
                      </c:pt>
                      <c:pt idx="10">
                        <c:v>-1.5</c:v>
                      </c:pt>
                      <c:pt idx="11">
                        <c:v>-0.29999999999999716</c:v>
                      </c:pt>
                      <c:pt idx="12">
                        <c:v>3.5</c:v>
                      </c:pt>
                      <c:pt idx="13">
                        <c:v>3.4000000000000057</c:v>
                      </c:pt>
                      <c:pt idx="14">
                        <c:v>4.5</c:v>
                      </c:pt>
                      <c:pt idx="15">
                        <c:v>3.4000000000000057</c:v>
                      </c:pt>
                      <c:pt idx="16">
                        <c:v>2.7000000000000028</c:v>
                      </c:pt>
                      <c:pt idx="17">
                        <c:v>2.9000000000000057</c:v>
                      </c:pt>
                      <c:pt idx="18">
                        <c:v>7.7999999999999972</c:v>
                      </c:pt>
                      <c:pt idx="19">
                        <c:v>12.599999999999994</c:v>
                      </c:pt>
                      <c:pt idx="20">
                        <c:v>16.900000000000006</c:v>
                      </c:pt>
                      <c:pt idx="21">
                        <c:v>20</c:v>
                      </c:pt>
                      <c:pt idx="22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17F9-43C0-822E-32D52D1B7BA2}"/>
                  </c:ext>
                </c:extLst>
              </c15:ser>
            </c15:filteredLineSeries>
          </c:ext>
        </c:extLst>
      </c:lineChart>
      <c:catAx>
        <c:axId val="12172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8812928"/>
        <c:crosses val="autoZero"/>
        <c:auto val="1"/>
        <c:lblAlgn val="ctr"/>
        <c:lblOffset val="100"/>
        <c:noMultiLvlLbl val="0"/>
      </c:catAx>
      <c:valAx>
        <c:axId val="12881292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21723520"/>
        <c:crosses val="autoZero"/>
        <c:crossBetween val="between"/>
        <c:majorUnit val="4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3882134414049376E-2"/>
          <c:y val="0.85802375323651991"/>
          <c:w val="0.92470364741641364"/>
          <c:h val="0.13125351795564549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703731847348988E-2"/>
          <c:y val="2.9569886214146503E-2"/>
          <c:w val="0.90493308848362042"/>
          <c:h val="0.73556653157716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1'!$A$26:$B$49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1'!$C$26:$C$49</c:f>
              <c:numCache>
                <c:formatCode>General</c:formatCode>
                <c:ptCount val="24"/>
                <c:pt idx="0">
                  <c:v>17.200000000000003</c:v>
                </c:pt>
                <c:pt idx="1">
                  <c:v>18.700000000000003</c:v>
                </c:pt>
                <c:pt idx="2">
                  <c:v>15.8</c:v>
                </c:pt>
                <c:pt idx="3">
                  <c:v>12</c:v>
                </c:pt>
                <c:pt idx="4">
                  <c:v>9.2000000000000011</c:v>
                </c:pt>
                <c:pt idx="5">
                  <c:v>8</c:v>
                </c:pt>
                <c:pt idx="6">
                  <c:v>9.4000000000000057</c:v>
                </c:pt>
                <c:pt idx="7">
                  <c:v>11.400000000000006</c:v>
                </c:pt>
                <c:pt idx="8">
                  <c:v>11.3</c:v>
                </c:pt>
                <c:pt idx="9">
                  <c:v>10.600000000000001</c:v>
                </c:pt>
                <c:pt idx="10">
                  <c:v>9.5</c:v>
                </c:pt>
                <c:pt idx="11">
                  <c:v>9.4000000000000057</c:v>
                </c:pt>
                <c:pt idx="12">
                  <c:v>10.600000000000001</c:v>
                </c:pt>
                <c:pt idx="13">
                  <c:v>10.200000000000003</c:v>
                </c:pt>
                <c:pt idx="14">
                  <c:v>11.200000000000003</c:v>
                </c:pt>
                <c:pt idx="15">
                  <c:v>13.3</c:v>
                </c:pt>
                <c:pt idx="16">
                  <c:v>15.200000000000003</c:v>
                </c:pt>
                <c:pt idx="17">
                  <c:v>17.900000000000006</c:v>
                </c:pt>
                <c:pt idx="18">
                  <c:v>21.299999999999986</c:v>
                </c:pt>
                <c:pt idx="19">
                  <c:v>25.200000000000003</c:v>
                </c:pt>
                <c:pt idx="20">
                  <c:v>27.299999999999986</c:v>
                </c:pt>
                <c:pt idx="21">
                  <c:v>27.599999999999987</c:v>
                </c:pt>
                <c:pt idx="22">
                  <c:v>23.400000000000006</c:v>
                </c:pt>
                <c:pt idx="23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0F-4557-8993-AC00859C5E2E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invertIfNegative val="0"/>
          <c:cat>
            <c:multiLvlStrRef>
              <c:f>'Ceny 1'!$A$26:$B$49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1'!$D$26:$D$49</c:f>
              <c:numCache>
                <c:formatCode>General</c:formatCode>
                <c:ptCount val="24"/>
                <c:pt idx="0">
                  <c:v>16.200000000000003</c:v>
                </c:pt>
                <c:pt idx="1">
                  <c:v>19</c:v>
                </c:pt>
                <c:pt idx="2">
                  <c:v>16.400000000000006</c:v>
                </c:pt>
                <c:pt idx="3">
                  <c:v>11.100000000000001</c:v>
                </c:pt>
                <c:pt idx="4">
                  <c:v>8.3000000000000025</c:v>
                </c:pt>
                <c:pt idx="5">
                  <c:v>4</c:v>
                </c:pt>
                <c:pt idx="6">
                  <c:v>6</c:v>
                </c:pt>
                <c:pt idx="7">
                  <c:v>8.7000000000000011</c:v>
                </c:pt>
                <c:pt idx="8">
                  <c:v>9.4000000000000057</c:v>
                </c:pt>
                <c:pt idx="9">
                  <c:v>8.7000000000000011</c:v>
                </c:pt>
                <c:pt idx="10">
                  <c:v>6.5</c:v>
                </c:pt>
                <c:pt idx="11">
                  <c:v>7.0999999999999943</c:v>
                </c:pt>
                <c:pt idx="12">
                  <c:v>6.2000000000000028</c:v>
                </c:pt>
                <c:pt idx="13">
                  <c:v>8</c:v>
                </c:pt>
                <c:pt idx="14">
                  <c:v>9.4000000000000057</c:v>
                </c:pt>
                <c:pt idx="15">
                  <c:v>10.600000000000001</c:v>
                </c:pt>
                <c:pt idx="16">
                  <c:v>14.3</c:v>
                </c:pt>
                <c:pt idx="17">
                  <c:v>15.8</c:v>
                </c:pt>
                <c:pt idx="18">
                  <c:v>16.599999999999987</c:v>
                </c:pt>
                <c:pt idx="19">
                  <c:v>20</c:v>
                </c:pt>
                <c:pt idx="20">
                  <c:v>19</c:v>
                </c:pt>
                <c:pt idx="21">
                  <c:v>16.700000000000003</c:v>
                </c:pt>
                <c:pt idx="22">
                  <c:v>15.600000000000001</c:v>
                </c:pt>
                <c:pt idx="23">
                  <c:v>8.4000000000000057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0F-4557-8993-AC00859C5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58140544"/>
        <c:axId val="58142080"/>
      </c:barChart>
      <c:lineChart>
        <c:grouping val="standard"/>
        <c:varyColors val="0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1'!$E$26:$E$49</c:f>
              <c:numCache>
                <c:formatCode>General</c:formatCode>
                <c:ptCount val="24"/>
                <c:pt idx="0" formatCode="0.0">
                  <c:v>9.5238095238095202</c:v>
                </c:pt>
                <c:pt idx="1">
                  <c:v>9.5278969957081507</c:v>
                </c:pt>
                <c:pt idx="2">
                  <c:v>12.54208754208755</c:v>
                </c:pt>
                <c:pt idx="3">
                  <c:v>12.469237079573427</c:v>
                </c:pt>
                <c:pt idx="4">
                  <c:v>12.801932367149755</c:v>
                </c:pt>
                <c:pt idx="5">
                  <c:v>12.225705329153577</c:v>
                </c:pt>
                <c:pt idx="6">
                  <c:v>9.4988780852655186</c:v>
                </c:pt>
                <c:pt idx="7">
                  <c:v>8.4609773887673203</c:v>
                </c:pt>
                <c:pt idx="8">
                  <c:v>7.4232690935046541</c:v>
                </c:pt>
                <c:pt idx="9">
                  <c:v>5.726256983240237</c:v>
                </c:pt>
                <c:pt idx="10">
                  <c:v>5.1912568306010876</c:v>
                </c:pt>
                <c:pt idx="11">
                  <c:v>5.5144586415601955</c:v>
                </c:pt>
                <c:pt idx="12">
                  <c:v>6.0465116279069626</c:v>
                </c:pt>
                <c:pt idx="13">
                  <c:v>7.1334214002641883</c:v>
                </c:pt>
                <c:pt idx="14">
                  <c:v>7.9870129870129887</c:v>
                </c:pt>
                <c:pt idx="15">
                  <c:v>7.6481835564053489</c:v>
                </c:pt>
                <c:pt idx="16">
                  <c:v>7.6441102756892239</c:v>
                </c:pt>
                <c:pt idx="17">
                  <c:v>7.953144266337854</c:v>
                </c:pt>
                <c:pt idx="18">
                  <c:v>9.320505111244751</c:v>
                </c:pt>
                <c:pt idx="19">
                  <c:v>12.433392539964474</c:v>
                </c:pt>
                <c:pt idx="20">
                  <c:v>16.880093131548293</c:v>
                </c:pt>
                <c:pt idx="21">
                  <c:v>24.67161621930326</c:v>
                </c:pt>
                <c:pt idx="22">
                  <c:v>22.937293729372925</c:v>
                </c:pt>
                <c:pt idx="23">
                  <c:v>18.325434439178494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60F-4557-8993-AC00859C5E2E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1'!$A$26:$B$49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1'!$F$26:$F$49</c:f>
              <c:numCache>
                <c:formatCode>General</c:formatCode>
                <c:ptCount val="24"/>
                <c:pt idx="0" formatCode="0.0">
                  <c:v>13.636363636363621</c:v>
                </c:pt>
                <c:pt idx="1">
                  <c:v>14.589905362776051</c:v>
                </c:pt>
                <c:pt idx="2">
                  <c:v>18.266253869969024</c:v>
                </c:pt>
                <c:pt idx="3">
                  <c:v>18.773373223635019</c:v>
                </c:pt>
                <c:pt idx="4">
                  <c:v>15.071428571428555</c:v>
                </c:pt>
                <c:pt idx="5">
                  <c:v>14.246386785960068</c:v>
                </c:pt>
                <c:pt idx="6">
                  <c:v>10.732984293193702</c:v>
                </c:pt>
                <c:pt idx="7">
                  <c:v>8.7531486146095574</c:v>
                </c:pt>
                <c:pt idx="8">
                  <c:v>8.3178150217256377</c:v>
                </c:pt>
                <c:pt idx="9">
                  <c:v>4.9397590361445722</c:v>
                </c:pt>
                <c:pt idx="10">
                  <c:v>3.3096926713947976</c:v>
                </c:pt>
                <c:pt idx="11">
                  <c:v>2.9530978575564606</c:v>
                </c:pt>
                <c:pt idx="12">
                  <c:v>3.553008595988528</c:v>
                </c:pt>
                <c:pt idx="13">
                  <c:v>5.2812858783008068</c:v>
                </c:pt>
                <c:pt idx="14">
                  <c:v>6.2356979405034316</c:v>
                </c:pt>
                <c:pt idx="15">
                  <c:v>5.1743532058492718</c:v>
                </c:pt>
                <c:pt idx="16">
                  <c:v>4.7592695074709646</c:v>
                </c:pt>
                <c:pt idx="17">
                  <c:v>4.5256270447110012</c:v>
                </c:pt>
                <c:pt idx="18">
                  <c:v>6.246634356488979</c:v>
                </c:pt>
                <c:pt idx="19">
                  <c:v>9.1443850267379485</c:v>
                </c:pt>
                <c:pt idx="20">
                  <c:v>12.255678816693077</c:v>
                </c:pt>
                <c:pt idx="21">
                  <c:v>19.718309859154925</c:v>
                </c:pt>
                <c:pt idx="22">
                  <c:v>18.499746578813966</c:v>
                </c:pt>
                <c:pt idx="23">
                  <c:v>16.903478686918177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60F-4557-8993-AC00859C5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140544"/>
        <c:axId val="58142080"/>
      </c:lineChart>
      <c:catAx>
        <c:axId val="5814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8142080"/>
        <c:crosses val="autoZero"/>
        <c:auto val="1"/>
        <c:lblAlgn val="ctr"/>
        <c:lblOffset val="100"/>
        <c:noMultiLvlLbl val="0"/>
      </c:catAx>
      <c:valAx>
        <c:axId val="58142080"/>
        <c:scaling>
          <c:orientation val="minMax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58140544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3334810874704504E-2"/>
          <c:y val="0.88817854328492629"/>
          <c:w val="0.89999282337048336"/>
          <c:h val="9.8380614657210319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510469436001407E-2"/>
          <c:y val="2.1811315924220472E-2"/>
          <c:w val="0.90860161263086892"/>
          <c:h val="0.71663233141956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4'!$A$54:$B$125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4'!$C$54:$C$125</c:f>
              <c:numCache>
                <c:formatCode>General</c:formatCode>
                <c:ptCount val="72"/>
                <c:pt idx="0">
                  <c:v>2.0999999999999943</c:v>
                </c:pt>
                <c:pt idx="1">
                  <c:v>3.0999999999999943</c:v>
                </c:pt>
                <c:pt idx="2" formatCode="0.0">
                  <c:v>3</c:v>
                </c:pt>
                <c:pt idx="3" formatCode="0.0">
                  <c:v>3.2000000000000042</c:v>
                </c:pt>
                <c:pt idx="4">
                  <c:v>2.2999999999999972</c:v>
                </c:pt>
                <c:pt idx="5">
                  <c:v>1.2999999999999956</c:v>
                </c:pt>
                <c:pt idx="6">
                  <c:v>1.1000000000000001</c:v>
                </c:pt>
                <c:pt idx="7">
                  <c:v>1.4</c:v>
                </c:pt>
                <c:pt idx="8">
                  <c:v>1.7</c:v>
                </c:pt>
                <c:pt idx="9">
                  <c:v>1.1000000000000001</c:v>
                </c:pt>
                <c:pt idx="10">
                  <c:v>0.9</c:v>
                </c:pt>
                <c:pt idx="11">
                  <c:v>0.7000000000000004</c:v>
                </c:pt>
                <c:pt idx="12">
                  <c:v>0.5</c:v>
                </c:pt>
                <c:pt idx="13">
                  <c:v>-0.30000000000000021</c:v>
                </c:pt>
                <c:pt idx="14">
                  <c:v>0.1</c:v>
                </c:pt>
                <c:pt idx="15">
                  <c:v>0</c:v>
                </c:pt>
                <c:pt idx="16">
                  <c:v>1.5</c:v>
                </c:pt>
                <c:pt idx="17">
                  <c:v>2.9</c:v>
                </c:pt>
                <c:pt idx="18">
                  <c:v>3.4</c:v>
                </c:pt>
                <c:pt idx="19">
                  <c:v>3.3</c:v>
                </c:pt>
                <c:pt idx="20">
                  <c:v>3.2</c:v>
                </c:pt>
                <c:pt idx="21">
                  <c:v>3.9</c:v>
                </c:pt>
                <c:pt idx="22">
                  <c:v>3.9</c:v>
                </c:pt>
                <c:pt idx="23">
                  <c:v>2.4</c:v>
                </c:pt>
                <c:pt idx="24">
                  <c:v>2.9</c:v>
                </c:pt>
                <c:pt idx="25">
                  <c:v>3.6</c:v>
                </c:pt>
                <c:pt idx="26">
                  <c:v>3.8</c:v>
                </c:pt>
                <c:pt idx="27">
                  <c:v>4.3</c:v>
                </c:pt>
                <c:pt idx="28">
                  <c:v>3.8</c:v>
                </c:pt>
                <c:pt idx="29">
                  <c:v>2.5</c:v>
                </c:pt>
                <c:pt idx="30">
                  <c:v>2.1</c:v>
                </c:pt>
                <c:pt idx="31">
                  <c:v>2.1</c:v>
                </c:pt>
                <c:pt idx="32">
                  <c:v>1.9000000000000001</c:v>
                </c:pt>
                <c:pt idx="33">
                  <c:v>0.9</c:v>
                </c:pt>
                <c:pt idx="34">
                  <c:v>0.9</c:v>
                </c:pt>
                <c:pt idx="35">
                  <c:v>2.1</c:v>
                </c:pt>
                <c:pt idx="36">
                  <c:v>2.4</c:v>
                </c:pt>
                <c:pt idx="37">
                  <c:v>1.4</c:v>
                </c:pt>
                <c:pt idx="38">
                  <c:v>0.4</c:v>
                </c:pt>
                <c:pt idx="39">
                  <c:v>-0.8</c:v>
                </c:pt>
                <c:pt idx="40">
                  <c:v>-0.9</c:v>
                </c:pt>
                <c:pt idx="41">
                  <c:v>-0.30000000000000021</c:v>
                </c:pt>
                <c:pt idx="42">
                  <c:v>-0.1</c:v>
                </c:pt>
                <c:pt idx="43">
                  <c:v>-0.5</c:v>
                </c:pt>
                <c:pt idx="44">
                  <c:v>-0.4</c:v>
                </c:pt>
                <c:pt idx="45">
                  <c:v>0.30000000000000021</c:v>
                </c:pt>
                <c:pt idx="46">
                  <c:v>-0.1</c:v>
                </c:pt>
                <c:pt idx="47">
                  <c:v>0</c:v>
                </c:pt>
                <c:pt idx="48">
                  <c:v>0</c:v>
                </c:pt>
                <c:pt idx="49">
                  <c:v>1.4</c:v>
                </c:pt>
                <c:pt idx="50">
                  <c:v>3.3</c:v>
                </c:pt>
                <c:pt idx="51">
                  <c:v>4.5999999999999996</c:v>
                </c:pt>
                <c:pt idx="52">
                  <c:v>5.0999999999999996</c:v>
                </c:pt>
                <c:pt idx="53">
                  <c:v>6.1</c:v>
                </c:pt>
                <c:pt idx="54">
                  <c:v>7.8</c:v>
                </c:pt>
                <c:pt idx="55">
                  <c:v>9.3000000000000007</c:v>
                </c:pt>
                <c:pt idx="56">
                  <c:v>9.9</c:v>
                </c:pt>
                <c:pt idx="57">
                  <c:v>11.6</c:v>
                </c:pt>
                <c:pt idx="58">
                  <c:v>13.5</c:v>
                </c:pt>
                <c:pt idx="59">
                  <c:v>13.2</c:v>
                </c:pt>
                <c:pt idx="60">
                  <c:v>19.399999999999999</c:v>
                </c:pt>
                <c:pt idx="61">
                  <c:v>21.3</c:v>
                </c:pt>
                <c:pt idx="62">
                  <c:v>24.7</c:v>
                </c:pt>
                <c:pt idx="63">
                  <c:v>26.6</c:v>
                </c:pt>
                <c:pt idx="64">
                  <c:v>27.9</c:v>
                </c:pt>
                <c:pt idx="65">
                  <c:v>28.5</c:v>
                </c:pt>
                <c:pt idx="66">
                  <c:v>26.8</c:v>
                </c:pt>
                <c:pt idx="67">
                  <c:v>25.2</c:v>
                </c:pt>
                <c:pt idx="68">
                  <c:v>25.8</c:v>
                </c:pt>
                <c:pt idx="69">
                  <c:v>24.1</c:v>
                </c:pt>
                <c:pt idx="70">
                  <c:v>21.3</c:v>
                </c:pt>
                <c:pt idx="71">
                  <c:v>20.100000000000001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74-4D92-90F2-49E6EC0C0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58178176"/>
        <c:axId val="58192256"/>
      </c:barChart>
      <c:lineChart>
        <c:grouping val="standard"/>
        <c:varyColors val="0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4'!$D$54:$D$125</c:f>
              <c:numCache>
                <c:formatCode>General</c:formatCode>
                <c:ptCount val="72"/>
                <c:pt idx="0">
                  <c:v>2.2999999999999972</c:v>
                </c:pt>
                <c:pt idx="1">
                  <c:v>5.7999999999999972</c:v>
                </c:pt>
                <c:pt idx="2" formatCode="0.0">
                  <c:v>6.2000000000000028</c:v>
                </c:pt>
                <c:pt idx="3" formatCode="0.0">
                  <c:v>6.4000000000000083</c:v>
                </c:pt>
                <c:pt idx="4">
                  <c:v>4.2999999999999972</c:v>
                </c:pt>
                <c:pt idx="5">
                  <c:v>4.0999999999999943</c:v>
                </c:pt>
                <c:pt idx="6">
                  <c:v>2.9</c:v>
                </c:pt>
                <c:pt idx="7">
                  <c:v>1.7</c:v>
                </c:pt>
                <c:pt idx="8">
                  <c:v>1.9000000000000001</c:v>
                </c:pt>
                <c:pt idx="9">
                  <c:v>3.4</c:v>
                </c:pt>
                <c:pt idx="10">
                  <c:v>3.3</c:v>
                </c:pt>
                <c:pt idx="11">
                  <c:v>3.6</c:v>
                </c:pt>
                <c:pt idx="12">
                  <c:v>6.7</c:v>
                </c:pt>
                <c:pt idx="13">
                  <c:v>5</c:v>
                </c:pt>
                <c:pt idx="14">
                  <c:v>4.3</c:v>
                </c:pt>
                <c:pt idx="15">
                  <c:v>4.5999999999999996</c:v>
                </c:pt>
                <c:pt idx="16">
                  <c:v>7.4</c:v>
                </c:pt>
                <c:pt idx="17">
                  <c:v>8</c:v>
                </c:pt>
                <c:pt idx="18">
                  <c:v>8.4</c:v>
                </c:pt>
                <c:pt idx="19">
                  <c:v>10.1</c:v>
                </c:pt>
                <c:pt idx="20">
                  <c:v>9.9</c:v>
                </c:pt>
                <c:pt idx="21">
                  <c:v>9</c:v>
                </c:pt>
                <c:pt idx="22">
                  <c:v>9.2000000000000011</c:v>
                </c:pt>
                <c:pt idx="23">
                  <c:v>8.3000000000000007</c:v>
                </c:pt>
                <c:pt idx="24">
                  <c:v>7.9</c:v>
                </c:pt>
                <c:pt idx="25">
                  <c:v>7.4</c:v>
                </c:pt>
                <c:pt idx="26">
                  <c:v>8</c:v>
                </c:pt>
                <c:pt idx="27">
                  <c:v>8.4</c:v>
                </c:pt>
                <c:pt idx="28">
                  <c:v>7.5</c:v>
                </c:pt>
                <c:pt idx="29">
                  <c:v>7.1</c:v>
                </c:pt>
                <c:pt idx="30">
                  <c:v>6.9</c:v>
                </c:pt>
                <c:pt idx="31">
                  <c:v>6.8</c:v>
                </c:pt>
                <c:pt idx="32">
                  <c:v>6.6</c:v>
                </c:pt>
                <c:pt idx="33">
                  <c:v>3.6</c:v>
                </c:pt>
                <c:pt idx="34">
                  <c:v>3.2</c:v>
                </c:pt>
                <c:pt idx="35">
                  <c:v>4.3</c:v>
                </c:pt>
                <c:pt idx="36">
                  <c:v>-2.1</c:v>
                </c:pt>
                <c:pt idx="37">
                  <c:v>-1.8</c:v>
                </c:pt>
                <c:pt idx="38">
                  <c:v>-2.6</c:v>
                </c:pt>
                <c:pt idx="39">
                  <c:v>-3.7</c:v>
                </c:pt>
                <c:pt idx="40">
                  <c:v>-3.1</c:v>
                </c:pt>
                <c:pt idx="41">
                  <c:v>-3.6</c:v>
                </c:pt>
                <c:pt idx="42">
                  <c:v>-3.5</c:v>
                </c:pt>
                <c:pt idx="43">
                  <c:v>-3.5</c:v>
                </c:pt>
                <c:pt idx="44">
                  <c:v>-3.7</c:v>
                </c:pt>
                <c:pt idx="45">
                  <c:v>-1.9000000000000001</c:v>
                </c:pt>
                <c:pt idx="46">
                  <c:v>-1.8</c:v>
                </c:pt>
                <c:pt idx="47">
                  <c:v>-2.2000000000000002</c:v>
                </c:pt>
                <c:pt idx="48">
                  <c:v>-0.30000000000000021</c:v>
                </c:pt>
                <c:pt idx="49">
                  <c:v>-0.8</c:v>
                </c:pt>
                <c:pt idx="50">
                  <c:v>-0.30000000000000021</c:v>
                </c:pt>
                <c:pt idx="51">
                  <c:v>1</c:v>
                </c:pt>
                <c:pt idx="52">
                  <c:v>0.30000000000000021</c:v>
                </c:pt>
                <c:pt idx="53">
                  <c:v>1.1000000000000001</c:v>
                </c:pt>
                <c:pt idx="54">
                  <c:v>2</c:v>
                </c:pt>
                <c:pt idx="55">
                  <c:v>3.6</c:v>
                </c:pt>
                <c:pt idx="56">
                  <c:v>4.3</c:v>
                </c:pt>
                <c:pt idx="57">
                  <c:v>12.7</c:v>
                </c:pt>
                <c:pt idx="58">
                  <c:v>14</c:v>
                </c:pt>
                <c:pt idx="59">
                  <c:v>14.6</c:v>
                </c:pt>
                <c:pt idx="60">
                  <c:v>24.2</c:v>
                </c:pt>
                <c:pt idx="61">
                  <c:v>25.1</c:v>
                </c:pt>
                <c:pt idx="62">
                  <c:v>26.3</c:v>
                </c:pt>
                <c:pt idx="63">
                  <c:v>28.3</c:v>
                </c:pt>
                <c:pt idx="64">
                  <c:v>34</c:v>
                </c:pt>
                <c:pt idx="65">
                  <c:v>33.300000000000004</c:v>
                </c:pt>
                <c:pt idx="66">
                  <c:v>30.4</c:v>
                </c:pt>
                <c:pt idx="67">
                  <c:v>28.8</c:v>
                </c:pt>
                <c:pt idx="68">
                  <c:v>31.3</c:v>
                </c:pt>
                <c:pt idx="69">
                  <c:v>24.5</c:v>
                </c:pt>
                <c:pt idx="70">
                  <c:v>23.5</c:v>
                </c:pt>
                <c:pt idx="71">
                  <c:v>21.9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74-4D92-90F2-49E6EC0C0AC8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4'!$E$54:$E$125</c:f>
              <c:numCache>
                <c:formatCode>General</c:formatCode>
                <c:ptCount val="72"/>
                <c:pt idx="0">
                  <c:v>2.5999999999999943</c:v>
                </c:pt>
                <c:pt idx="1">
                  <c:v>4</c:v>
                </c:pt>
                <c:pt idx="2" formatCode="0.0">
                  <c:v>3.7999999999999972</c:v>
                </c:pt>
                <c:pt idx="3" formatCode="0.0">
                  <c:v>4</c:v>
                </c:pt>
                <c:pt idx="4">
                  <c:v>2.7999999999999972</c:v>
                </c:pt>
                <c:pt idx="5">
                  <c:v>1.5</c:v>
                </c:pt>
                <c:pt idx="6">
                  <c:v>1.4</c:v>
                </c:pt>
                <c:pt idx="7">
                  <c:v>2</c:v>
                </c:pt>
                <c:pt idx="8">
                  <c:v>2.1</c:v>
                </c:pt>
                <c:pt idx="9">
                  <c:v>1.4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0.2</c:v>
                </c:pt>
                <c:pt idx="13">
                  <c:v>-0.9</c:v>
                </c:pt>
                <c:pt idx="14">
                  <c:v>-0.5</c:v>
                </c:pt>
                <c:pt idx="15">
                  <c:v>-0.5</c:v>
                </c:pt>
                <c:pt idx="16">
                  <c:v>1.3</c:v>
                </c:pt>
                <c:pt idx="17">
                  <c:v>2.8</c:v>
                </c:pt>
                <c:pt idx="18">
                  <c:v>3.4</c:v>
                </c:pt>
                <c:pt idx="19">
                  <c:v>3.2</c:v>
                </c:pt>
                <c:pt idx="20">
                  <c:v>3</c:v>
                </c:pt>
                <c:pt idx="21">
                  <c:v>3.8</c:v>
                </c:pt>
                <c:pt idx="22">
                  <c:v>3.9</c:v>
                </c:pt>
                <c:pt idx="23">
                  <c:v>2.2000000000000002</c:v>
                </c:pt>
                <c:pt idx="24">
                  <c:v>1.9000000000000001</c:v>
                </c:pt>
                <c:pt idx="25">
                  <c:v>2.9</c:v>
                </c:pt>
                <c:pt idx="26">
                  <c:v>3</c:v>
                </c:pt>
                <c:pt idx="27">
                  <c:v>3.5</c:v>
                </c:pt>
                <c:pt idx="28">
                  <c:v>2.9</c:v>
                </c:pt>
                <c:pt idx="29">
                  <c:v>1.4</c:v>
                </c:pt>
                <c:pt idx="30">
                  <c:v>0.9</c:v>
                </c:pt>
                <c:pt idx="31">
                  <c:v>0.8</c:v>
                </c:pt>
                <c:pt idx="32">
                  <c:v>0.7000000000000004</c:v>
                </c:pt>
                <c:pt idx="33">
                  <c:v>-0.4</c:v>
                </c:pt>
                <c:pt idx="34">
                  <c:v>-0.7000000000000004</c:v>
                </c:pt>
                <c:pt idx="35">
                  <c:v>0.8</c:v>
                </c:pt>
                <c:pt idx="36">
                  <c:v>1.2</c:v>
                </c:pt>
                <c:pt idx="37">
                  <c:v>-0.1</c:v>
                </c:pt>
                <c:pt idx="38">
                  <c:v>-1.2</c:v>
                </c:pt>
                <c:pt idx="39">
                  <c:v>-2.5</c:v>
                </c:pt>
                <c:pt idx="40">
                  <c:v>-2.6</c:v>
                </c:pt>
                <c:pt idx="41">
                  <c:v>-1.9000000000000001</c:v>
                </c:pt>
                <c:pt idx="42">
                  <c:v>-1.6</c:v>
                </c:pt>
                <c:pt idx="43">
                  <c:v>-2</c:v>
                </c:pt>
                <c:pt idx="44">
                  <c:v>-1.9000000000000001</c:v>
                </c:pt>
                <c:pt idx="45">
                  <c:v>-1.1000000000000001</c:v>
                </c:pt>
                <c:pt idx="46">
                  <c:v>-1.4</c:v>
                </c:pt>
                <c:pt idx="47">
                  <c:v>-1.2</c:v>
                </c:pt>
                <c:pt idx="48">
                  <c:v>-0.30000000000000021</c:v>
                </c:pt>
                <c:pt idx="49">
                  <c:v>1.6</c:v>
                </c:pt>
                <c:pt idx="50">
                  <c:v>4.0999999999999996</c:v>
                </c:pt>
                <c:pt idx="51">
                  <c:v>5.6</c:v>
                </c:pt>
                <c:pt idx="52">
                  <c:v>6.3</c:v>
                </c:pt>
                <c:pt idx="53">
                  <c:v>7.4</c:v>
                </c:pt>
                <c:pt idx="54">
                  <c:v>9.5</c:v>
                </c:pt>
                <c:pt idx="55">
                  <c:v>11.4</c:v>
                </c:pt>
                <c:pt idx="56">
                  <c:v>12</c:v>
                </c:pt>
                <c:pt idx="57">
                  <c:v>13.4</c:v>
                </c:pt>
                <c:pt idx="58">
                  <c:v>15.4</c:v>
                </c:pt>
                <c:pt idx="59">
                  <c:v>14.7</c:v>
                </c:pt>
                <c:pt idx="60">
                  <c:v>15.5</c:v>
                </c:pt>
                <c:pt idx="61">
                  <c:v>16.600000000000001</c:v>
                </c:pt>
                <c:pt idx="62">
                  <c:v>20.3</c:v>
                </c:pt>
                <c:pt idx="63">
                  <c:v>22.3</c:v>
                </c:pt>
                <c:pt idx="64">
                  <c:v>24.6</c:v>
                </c:pt>
                <c:pt idx="65">
                  <c:v>25.8</c:v>
                </c:pt>
                <c:pt idx="66">
                  <c:v>22.7</c:v>
                </c:pt>
                <c:pt idx="67">
                  <c:v>20</c:v>
                </c:pt>
                <c:pt idx="68">
                  <c:v>18.899999999999999</c:v>
                </c:pt>
                <c:pt idx="69">
                  <c:v>18.399999999999999</c:v>
                </c:pt>
                <c:pt idx="70">
                  <c:v>15.7</c:v>
                </c:pt>
                <c:pt idx="71">
                  <c:v>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A74-4D92-90F2-49E6EC0C0AC8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4'!$F$54:$F$125</c:f>
              <c:numCache>
                <c:formatCode>General</c:formatCode>
                <c:ptCount val="72"/>
                <c:pt idx="0">
                  <c:v>-1.0999999999999932</c:v>
                </c:pt>
                <c:pt idx="1">
                  <c:v>-1.2000000000000028</c:v>
                </c:pt>
                <c:pt idx="2" formatCode="0.0">
                  <c:v>-1.2000000000000028</c:v>
                </c:pt>
                <c:pt idx="3" formatCode="0.0">
                  <c:v>-1.4000000000000057</c:v>
                </c:pt>
                <c:pt idx="4">
                  <c:v>-1.2999999999999956</c:v>
                </c:pt>
                <c:pt idx="5">
                  <c:v>-1.0999999999999932</c:v>
                </c:pt>
                <c:pt idx="6">
                  <c:v>-1.1000000000000001</c:v>
                </c:pt>
                <c:pt idx="7">
                  <c:v>-1.3</c:v>
                </c:pt>
                <c:pt idx="8">
                  <c:v>-1.1000000000000001</c:v>
                </c:pt>
                <c:pt idx="9">
                  <c:v>-1.1000000000000001</c:v>
                </c:pt>
                <c:pt idx="10">
                  <c:v>-1.1000000000000001</c:v>
                </c:pt>
                <c:pt idx="11">
                  <c:v>-1.1000000000000001</c:v>
                </c:pt>
                <c:pt idx="12">
                  <c:v>1.5</c:v>
                </c:pt>
                <c:pt idx="13">
                  <c:v>1.6</c:v>
                </c:pt>
                <c:pt idx="14">
                  <c:v>1.6</c:v>
                </c:pt>
                <c:pt idx="15">
                  <c:v>1.7</c:v>
                </c:pt>
                <c:pt idx="16">
                  <c:v>1.7</c:v>
                </c:pt>
                <c:pt idx="17">
                  <c:v>2.2999999999999998</c:v>
                </c:pt>
                <c:pt idx="18">
                  <c:v>2.2999999999999998</c:v>
                </c:pt>
                <c:pt idx="19">
                  <c:v>2.6</c:v>
                </c:pt>
                <c:pt idx="20">
                  <c:v>2.7</c:v>
                </c:pt>
                <c:pt idx="21">
                  <c:v>2.8</c:v>
                </c:pt>
                <c:pt idx="22">
                  <c:v>2.8</c:v>
                </c:pt>
                <c:pt idx="23">
                  <c:v>2.8</c:v>
                </c:pt>
                <c:pt idx="24">
                  <c:v>7.2</c:v>
                </c:pt>
                <c:pt idx="25">
                  <c:v>7.5</c:v>
                </c:pt>
                <c:pt idx="26">
                  <c:v>8.4</c:v>
                </c:pt>
                <c:pt idx="27">
                  <c:v>8.2000000000000011</c:v>
                </c:pt>
                <c:pt idx="28">
                  <c:v>8.6</c:v>
                </c:pt>
                <c:pt idx="29">
                  <c:v>7.9</c:v>
                </c:pt>
                <c:pt idx="30">
                  <c:v>8</c:v>
                </c:pt>
                <c:pt idx="31">
                  <c:v>7.7</c:v>
                </c:pt>
                <c:pt idx="32">
                  <c:v>7.7</c:v>
                </c:pt>
                <c:pt idx="33">
                  <c:v>7.5</c:v>
                </c:pt>
                <c:pt idx="34">
                  <c:v>8.7000000000000011</c:v>
                </c:pt>
                <c:pt idx="35">
                  <c:v>8.8000000000000007</c:v>
                </c:pt>
                <c:pt idx="36">
                  <c:v>9.3000000000000007</c:v>
                </c:pt>
                <c:pt idx="37">
                  <c:v>9</c:v>
                </c:pt>
                <c:pt idx="38">
                  <c:v>8.3000000000000007</c:v>
                </c:pt>
                <c:pt idx="39">
                  <c:v>8.6</c:v>
                </c:pt>
                <c:pt idx="40">
                  <c:v>8</c:v>
                </c:pt>
                <c:pt idx="41">
                  <c:v>8</c:v>
                </c:pt>
                <c:pt idx="42">
                  <c:v>7.7</c:v>
                </c:pt>
                <c:pt idx="43">
                  <c:v>7.9</c:v>
                </c:pt>
                <c:pt idx="44">
                  <c:v>7.7</c:v>
                </c:pt>
                <c:pt idx="45">
                  <c:v>7</c:v>
                </c:pt>
                <c:pt idx="46">
                  <c:v>5.8</c:v>
                </c:pt>
                <c:pt idx="47">
                  <c:v>5.6</c:v>
                </c:pt>
                <c:pt idx="48">
                  <c:v>0.4</c:v>
                </c:pt>
                <c:pt idx="49">
                  <c:v>0.4</c:v>
                </c:pt>
                <c:pt idx="50">
                  <c:v>0.1</c:v>
                </c:pt>
                <c:pt idx="51">
                  <c:v>-0.1</c:v>
                </c:pt>
                <c:pt idx="52">
                  <c:v>0.2</c:v>
                </c:pt>
                <c:pt idx="53">
                  <c:v>0.2</c:v>
                </c:pt>
                <c:pt idx="54">
                  <c:v>0.5</c:v>
                </c:pt>
                <c:pt idx="55">
                  <c:v>0.7000000000000004</c:v>
                </c:pt>
                <c:pt idx="56">
                  <c:v>1.2</c:v>
                </c:pt>
                <c:pt idx="57">
                  <c:v>3.7</c:v>
                </c:pt>
                <c:pt idx="58">
                  <c:v>5.6</c:v>
                </c:pt>
                <c:pt idx="59">
                  <c:v>7.1</c:v>
                </c:pt>
                <c:pt idx="60">
                  <c:v>40.6</c:v>
                </c:pt>
                <c:pt idx="61">
                  <c:v>45.5</c:v>
                </c:pt>
                <c:pt idx="62">
                  <c:v>48.9</c:v>
                </c:pt>
                <c:pt idx="63">
                  <c:v>51.4</c:v>
                </c:pt>
                <c:pt idx="64">
                  <c:v>45.8</c:v>
                </c:pt>
                <c:pt idx="65">
                  <c:v>44.6</c:v>
                </c:pt>
                <c:pt idx="66">
                  <c:v>49.8</c:v>
                </c:pt>
                <c:pt idx="67">
                  <c:v>54.3</c:v>
                </c:pt>
                <c:pt idx="68">
                  <c:v>64</c:v>
                </c:pt>
                <c:pt idx="69">
                  <c:v>56.8</c:v>
                </c:pt>
                <c:pt idx="70">
                  <c:v>52.6</c:v>
                </c:pt>
                <c:pt idx="71">
                  <c:v>53.5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A74-4D92-90F2-49E6EC0C0AC8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4'!$A$54:$B$125</c:f>
              <c:multiLvlStrCache>
                <c:ptCount val="72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  <c:pt idx="69">
                    <c:v>10</c:v>
                  </c:pt>
                  <c:pt idx="70">
                    <c:v>11</c:v>
                  </c:pt>
                  <c:pt idx="71">
                    <c:v>12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4'!$G$54:$G$125</c:f>
              <c:numCache>
                <c:formatCode>General</c:formatCode>
                <c:ptCount val="72"/>
                <c:pt idx="0">
                  <c:v>2.0999999999999943</c:v>
                </c:pt>
                <c:pt idx="1">
                  <c:v>2.0999999999999943</c:v>
                </c:pt>
                <c:pt idx="2" formatCode="0.0">
                  <c:v>2.0999999999999943</c:v>
                </c:pt>
                <c:pt idx="3" formatCode="0.0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1.9000000000000001</c:v>
                </c:pt>
                <c:pt idx="13">
                  <c:v>1.9000000000000001</c:v>
                </c:pt>
                <c:pt idx="14">
                  <c:v>1.9000000000000001</c:v>
                </c:pt>
                <c:pt idx="15">
                  <c:v>1.9000000000000001</c:v>
                </c:pt>
                <c:pt idx="16">
                  <c:v>1.9000000000000001</c:v>
                </c:pt>
                <c:pt idx="17">
                  <c:v>1.9000000000000001</c:v>
                </c:pt>
                <c:pt idx="18">
                  <c:v>1.9000000000000001</c:v>
                </c:pt>
                <c:pt idx="19">
                  <c:v>1.9000000000000001</c:v>
                </c:pt>
                <c:pt idx="20">
                  <c:v>1.9000000000000001</c:v>
                </c:pt>
                <c:pt idx="21">
                  <c:v>1.9000000000000001</c:v>
                </c:pt>
                <c:pt idx="22">
                  <c:v>1.9000000000000001</c:v>
                </c:pt>
                <c:pt idx="23">
                  <c:v>1.9000000000000001</c:v>
                </c:pt>
                <c:pt idx="24">
                  <c:v>2.9</c:v>
                </c:pt>
                <c:pt idx="25">
                  <c:v>2.9</c:v>
                </c:pt>
                <c:pt idx="26">
                  <c:v>2.9</c:v>
                </c:pt>
                <c:pt idx="27">
                  <c:v>2.9</c:v>
                </c:pt>
                <c:pt idx="28">
                  <c:v>2.9</c:v>
                </c:pt>
                <c:pt idx="29">
                  <c:v>2.9</c:v>
                </c:pt>
                <c:pt idx="30">
                  <c:v>2.9</c:v>
                </c:pt>
                <c:pt idx="31">
                  <c:v>2.9</c:v>
                </c:pt>
                <c:pt idx="32">
                  <c:v>2.9</c:v>
                </c:pt>
                <c:pt idx="33">
                  <c:v>2.9</c:v>
                </c:pt>
                <c:pt idx="34">
                  <c:v>2.9</c:v>
                </c:pt>
                <c:pt idx="35">
                  <c:v>2.9</c:v>
                </c:pt>
                <c:pt idx="36">
                  <c:v>5.4</c:v>
                </c:pt>
                <c:pt idx="37">
                  <c:v>5.4</c:v>
                </c:pt>
                <c:pt idx="38">
                  <c:v>5.4</c:v>
                </c:pt>
                <c:pt idx="39">
                  <c:v>5.4</c:v>
                </c:pt>
                <c:pt idx="40">
                  <c:v>6.4</c:v>
                </c:pt>
                <c:pt idx="41">
                  <c:v>6.4</c:v>
                </c:pt>
                <c:pt idx="42">
                  <c:v>6.4</c:v>
                </c:pt>
                <c:pt idx="43">
                  <c:v>6.4</c:v>
                </c:pt>
                <c:pt idx="44">
                  <c:v>6.4</c:v>
                </c:pt>
                <c:pt idx="45">
                  <c:v>6.4</c:v>
                </c:pt>
                <c:pt idx="46">
                  <c:v>6.4</c:v>
                </c:pt>
                <c:pt idx="47">
                  <c:v>6.4</c:v>
                </c:pt>
                <c:pt idx="48">
                  <c:v>6.9</c:v>
                </c:pt>
                <c:pt idx="49">
                  <c:v>6.9</c:v>
                </c:pt>
                <c:pt idx="50">
                  <c:v>6.9</c:v>
                </c:pt>
                <c:pt idx="51">
                  <c:v>6.9</c:v>
                </c:pt>
                <c:pt idx="52">
                  <c:v>5.9</c:v>
                </c:pt>
                <c:pt idx="53">
                  <c:v>5.9</c:v>
                </c:pt>
                <c:pt idx="54">
                  <c:v>5.9</c:v>
                </c:pt>
                <c:pt idx="55">
                  <c:v>5.9</c:v>
                </c:pt>
                <c:pt idx="56">
                  <c:v>5.9</c:v>
                </c:pt>
                <c:pt idx="57">
                  <c:v>5.9</c:v>
                </c:pt>
                <c:pt idx="58">
                  <c:v>5.9</c:v>
                </c:pt>
                <c:pt idx="59">
                  <c:v>5.9</c:v>
                </c:pt>
                <c:pt idx="60">
                  <c:v>5.3</c:v>
                </c:pt>
                <c:pt idx="61">
                  <c:v>5.3</c:v>
                </c:pt>
                <c:pt idx="62">
                  <c:v>5.3</c:v>
                </c:pt>
                <c:pt idx="63">
                  <c:v>5.3</c:v>
                </c:pt>
                <c:pt idx="64">
                  <c:v>5.3</c:v>
                </c:pt>
                <c:pt idx="65">
                  <c:v>5.3</c:v>
                </c:pt>
                <c:pt idx="66">
                  <c:v>5.3</c:v>
                </c:pt>
                <c:pt idx="67">
                  <c:v>5.3</c:v>
                </c:pt>
                <c:pt idx="68">
                  <c:v>5.3</c:v>
                </c:pt>
                <c:pt idx="69">
                  <c:v>5.3</c:v>
                </c:pt>
                <c:pt idx="70">
                  <c:v>5.3</c:v>
                </c:pt>
                <c:pt idx="71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A74-4D92-90F2-49E6EC0C0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178176"/>
        <c:axId val="58192256"/>
      </c:lineChart>
      <c:catAx>
        <c:axId val="5817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58192256"/>
        <c:crosses val="autoZero"/>
        <c:auto val="1"/>
        <c:lblAlgn val="ctr"/>
        <c:lblOffset val="100"/>
        <c:noMultiLvlLbl val="0"/>
      </c:catAx>
      <c:valAx>
        <c:axId val="58192256"/>
        <c:scaling>
          <c:orientation val="minMax"/>
          <c:max val="65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58178176"/>
        <c:crosses val="autoZero"/>
        <c:crossBetween val="between"/>
        <c:majorUnit val="5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1319022289766968E-2"/>
          <c:y val="0.86223931272106069"/>
          <c:w val="0.90901046943600139"/>
          <c:h val="0.12109402425765239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0C5A8-E1D4-45B9-A6FC-B1B245DA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abc42bd-08fe-4a27-9645-04f6ad96d74a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D090CF-62AF-4131-9322-2E648D49B2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075E46-B04D-41F5-8C6A-84D308B1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2</TotalTime>
  <Pages>8</Pages>
  <Words>3500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4</cp:revision>
  <cp:lastPrinted>2019-04-08T10:52:00Z</cp:lastPrinted>
  <dcterms:created xsi:type="dcterms:W3CDTF">2023-03-21T09:13:00Z</dcterms:created>
  <dcterms:modified xsi:type="dcterms:W3CDTF">2023-03-21T09:22:00Z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