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A3E" w:rsidRPr="0075057A" w:rsidRDefault="00576A3E" w:rsidP="00EA26FA">
      <w:pPr>
        <w:pStyle w:val="Nadpis1"/>
        <w:numPr>
          <w:ilvl w:val="0"/>
          <w:numId w:val="6"/>
        </w:numPr>
        <w:jc w:val="both"/>
      </w:pPr>
      <w:bookmarkStart w:id="0" w:name="_Toc437874300"/>
      <w:r>
        <w:t>Měnové podmínky</w:t>
      </w:r>
      <w:bookmarkEnd w:id="0"/>
    </w:p>
    <w:tbl>
      <w:tblPr>
        <w:tblW w:w="5000" w:type="pct"/>
        <w:tblLayout w:type="fixed"/>
        <w:tblLook w:val="00A0"/>
      </w:tblPr>
      <w:tblGrid>
        <w:gridCol w:w="37"/>
        <w:gridCol w:w="790"/>
        <w:gridCol w:w="280"/>
        <w:gridCol w:w="976"/>
        <w:gridCol w:w="282"/>
        <w:gridCol w:w="2599"/>
        <w:gridCol w:w="788"/>
        <w:gridCol w:w="154"/>
        <w:gridCol w:w="3914"/>
        <w:gridCol w:w="34"/>
      </w:tblGrid>
      <w:tr w:rsidR="00485230" w:rsidRPr="00C75C7E" w:rsidTr="003C3686">
        <w:tc>
          <w:tcPr>
            <w:tcW w:w="1057" w:type="pct"/>
            <w:gridSpan w:val="4"/>
          </w:tcPr>
          <w:p w:rsidR="00485230" w:rsidRPr="00160CF3" w:rsidRDefault="00485230" w:rsidP="00125326">
            <w:pPr>
              <w:spacing w:line="240" w:lineRule="auto"/>
              <w:rPr>
                <w:sz w:val="16"/>
                <w:szCs w:val="16"/>
              </w:rPr>
            </w:pPr>
            <w:r>
              <w:rPr>
                <w:color w:val="000000"/>
                <w:spacing w:val="-2"/>
                <w:sz w:val="16"/>
                <w:szCs w:val="16"/>
              </w:rPr>
              <w:t>Peně</w:t>
            </w:r>
            <w:r w:rsidR="00125326">
              <w:rPr>
                <w:color w:val="000000"/>
                <w:spacing w:val="-2"/>
                <w:sz w:val="16"/>
                <w:szCs w:val="16"/>
              </w:rPr>
              <w:t>z v ekonomice přibylo meziročně</w:t>
            </w:r>
            <w:r>
              <w:rPr>
                <w:color w:val="000000"/>
                <w:spacing w:val="-2"/>
                <w:sz w:val="16"/>
                <w:szCs w:val="16"/>
              </w:rPr>
              <w:t xml:space="preserve"> nejvíce od</w:t>
            </w:r>
            <w:r w:rsidR="00125326">
              <w:rPr>
                <w:color w:val="000000"/>
                <w:spacing w:val="-2"/>
                <w:sz w:val="16"/>
                <w:szCs w:val="16"/>
              </w:rPr>
              <w:t> </w:t>
            </w:r>
            <w:r>
              <w:rPr>
                <w:color w:val="000000"/>
                <w:spacing w:val="-2"/>
                <w:sz w:val="16"/>
                <w:szCs w:val="16"/>
              </w:rPr>
              <w:t>konce konjunktury české ekonomiky z předchozí dekády</w:t>
            </w:r>
            <w:r w:rsidRPr="00160CF3">
              <w:rPr>
                <w:color w:val="000000"/>
                <w:spacing w:val="-2"/>
                <w:sz w:val="16"/>
                <w:szCs w:val="16"/>
              </w:rPr>
              <w:t xml:space="preserve"> </w:t>
            </w:r>
          </w:p>
        </w:tc>
        <w:tc>
          <w:tcPr>
            <w:tcW w:w="143" w:type="pct"/>
          </w:tcPr>
          <w:p w:rsidR="00485230" w:rsidRDefault="00485230" w:rsidP="003C3686">
            <w:pPr>
              <w:pStyle w:val="Textpoznpodarou"/>
              <w:jc w:val="both"/>
            </w:pPr>
          </w:p>
        </w:tc>
        <w:tc>
          <w:tcPr>
            <w:tcW w:w="3800" w:type="pct"/>
            <w:gridSpan w:val="5"/>
          </w:tcPr>
          <w:p w:rsidR="00485230" w:rsidRDefault="00485230" w:rsidP="003C3686">
            <w:pPr>
              <w:pStyle w:val="Zhlav"/>
              <w:spacing w:line="240" w:lineRule="auto"/>
              <w:jc w:val="both"/>
              <w:rPr>
                <w:rFonts w:ascii="Arial" w:hAnsi="Arial" w:cs="Arial"/>
                <w:sz w:val="20"/>
                <w:szCs w:val="20"/>
              </w:rPr>
            </w:pPr>
            <w:r>
              <w:rPr>
                <w:rFonts w:ascii="Arial" w:hAnsi="Arial" w:cs="Arial"/>
                <w:sz w:val="20"/>
                <w:szCs w:val="20"/>
              </w:rPr>
              <w:t>Měnové podmínky charakterizoval bě</w:t>
            </w:r>
            <w:r w:rsidR="004005C1">
              <w:rPr>
                <w:rFonts w:ascii="Arial" w:hAnsi="Arial" w:cs="Arial"/>
                <w:sz w:val="20"/>
                <w:szCs w:val="20"/>
              </w:rPr>
              <w:t>hem prvních devíti měsíců 2015 – zejména však ve 3. čtvrtletí –</w:t>
            </w:r>
            <w:r>
              <w:rPr>
                <w:rFonts w:ascii="Arial" w:hAnsi="Arial" w:cs="Arial"/>
                <w:sz w:val="20"/>
                <w:szCs w:val="20"/>
              </w:rPr>
              <w:t xml:space="preserve"> velmi rychlý růst zásoby peněz, další prudké posílení všech typů firemních depozit a zrychlení jim poskytovaných úvěrů (především dlouhodobých). Směnný kurz koruny držený ČNB nad 27 CZK/EUR, základní úrokové sazby na technické nule a rychlejší růst peněžního agregátu M2 (+7,7 % y/y) oproti růstu nominálního H</w:t>
            </w:r>
            <w:r w:rsidR="003C3686">
              <w:rPr>
                <w:rFonts w:ascii="Arial" w:hAnsi="Arial" w:cs="Arial"/>
                <w:sz w:val="20"/>
                <w:szCs w:val="20"/>
              </w:rPr>
              <w:t xml:space="preserve">DP (+4,4 %) v úhrnu dokreslují </w:t>
            </w:r>
            <w:r>
              <w:rPr>
                <w:rFonts w:ascii="Arial" w:hAnsi="Arial" w:cs="Arial"/>
                <w:sz w:val="20"/>
                <w:szCs w:val="20"/>
              </w:rPr>
              <w:t xml:space="preserve">přetrvávající expanzivitu měnových podmínek v ČR a rámují robustní růst české ekonomiky.  </w:t>
            </w:r>
          </w:p>
          <w:p w:rsidR="00485230" w:rsidRPr="00860706" w:rsidRDefault="00485230" w:rsidP="003C3686">
            <w:pPr>
              <w:pStyle w:val="Zhlav"/>
              <w:spacing w:line="240" w:lineRule="auto"/>
              <w:jc w:val="both"/>
              <w:rPr>
                <w:rFonts w:ascii="Arial" w:hAnsi="Arial" w:cs="Arial"/>
                <w:sz w:val="14"/>
                <w:szCs w:val="14"/>
              </w:rPr>
            </w:pPr>
          </w:p>
          <w:p w:rsidR="00485230" w:rsidRDefault="00485230" w:rsidP="003C3686">
            <w:pPr>
              <w:pStyle w:val="Zhlav"/>
              <w:spacing w:line="240" w:lineRule="auto"/>
              <w:jc w:val="both"/>
              <w:rPr>
                <w:rFonts w:ascii="Arial" w:hAnsi="Arial" w:cs="Arial"/>
                <w:sz w:val="20"/>
                <w:szCs w:val="20"/>
              </w:rPr>
            </w:pPr>
            <w:r>
              <w:rPr>
                <w:rFonts w:ascii="Arial" w:hAnsi="Arial" w:cs="Arial"/>
                <w:sz w:val="20"/>
                <w:szCs w:val="20"/>
              </w:rPr>
              <w:t xml:space="preserve">Peněžní zásoba agregátu M2 stoupla koncem září na 3 546,8 mld. korun. Rychleji stoupla naposled před šesti a půl roky v závěru silné konjunktury. </w:t>
            </w:r>
          </w:p>
          <w:p w:rsidR="00485230" w:rsidRPr="00860706" w:rsidRDefault="00485230" w:rsidP="003C3686">
            <w:pPr>
              <w:pStyle w:val="Zhlav"/>
              <w:spacing w:line="240" w:lineRule="auto"/>
              <w:jc w:val="both"/>
              <w:rPr>
                <w:rFonts w:ascii="Arial" w:hAnsi="Arial" w:cs="Arial"/>
                <w:sz w:val="14"/>
                <w:szCs w:val="14"/>
              </w:rPr>
            </w:pPr>
          </w:p>
        </w:tc>
      </w:tr>
      <w:tr w:rsidR="00485230" w:rsidRPr="00C75C7E" w:rsidTr="003C3686">
        <w:tc>
          <w:tcPr>
            <w:tcW w:w="1057" w:type="pct"/>
            <w:gridSpan w:val="4"/>
          </w:tcPr>
          <w:p w:rsidR="00485230" w:rsidRDefault="00485230" w:rsidP="003C3686">
            <w:pPr>
              <w:spacing w:line="240" w:lineRule="auto"/>
              <w:rPr>
                <w:color w:val="000000"/>
                <w:spacing w:val="-2"/>
                <w:sz w:val="16"/>
                <w:szCs w:val="16"/>
              </w:rPr>
            </w:pPr>
            <w:r>
              <w:rPr>
                <w:color w:val="000000"/>
                <w:spacing w:val="-2"/>
                <w:sz w:val="16"/>
                <w:szCs w:val="16"/>
              </w:rPr>
              <w:t>Úvěry firmám významně rostou ve srovnání se sla</w:t>
            </w:r>
            <w:r w:rsidR="00125326">
              <w:rPr>
                <w:color w:val="000000"/>
                <w:spacing w:val="-2"/>
                <w:sz w:val="16"/>
                <w:szCs w:val="16"/>
              </w:rPr>
              <w:t>bými meziročními tempy ve třech</w:t>
            </w:r>
            <w:r w:rsidR="004005C1">
              <w:rPr>
                <w:color w:val="000000"/>
                <w:spacing w:val="-2"/>
                <w:sz w:val="16"/>
                <w:szCs w:val="16"/>
              </w:rPr>
              <w:t xml:space="preserve"> čtvrtletích let 2012</w:t>
            </w:r>
            <w:r w:rsidR="004005C1" w:rsidRPr="004005C1">
              <w:rPr>
                <w:color w:val="000000"/>
                <w:spacing w:val="-2"/>
                <w:sz w:val="16"/>
                <w:szCs w:val="16"/>
              </w:rPr>
              <w:t>–</w:t>
            </w:r>
            <w:r>
              <w:rPr>
                <w:color w:val="000000"/>
                <w:spacing w:val="-2"/>
                <w:sz w:val="16"/>
                <w:szCs w:val="16"/>
              </w:rPr>
              <w:t>2014…</w:t>
            </w:r>
          </w:p>
        </w:tc>
        <w:tc>
          <w:tcPr>
            <w:tcW w:w="143" w:type="pct"/>
          </w:tcPr>
          <w:p w:rsidR="00485230" w:rsidRDefault="00485230" w:rsidP="003C3686">
            <w:pPr>
              <w:pStyle w:val="Textpoznpodarou"/>
              <w:jc w:val="both"/>
            </w:pPr>
          </w:p>
        </w:tc>
        <w:tc>
          <w:tcPr>
            <w:tcW w:w="3800" w:type="pct"/>
            <w:gridSpan w:val="5"/>
          </w:tcPr>
          <w:p w:rsidR="00485230" w:rsidRDefault="004005C1" w:rsidP="003C3686">
            <w:pPr>
              <w:pStyle w:val="Zhlav"/>
              <w:spacing w:line="240" w:lineRule="auto"/>
              <w:jc w:val="both"/>
              <w:rPr>
                <w:rFonts w:ascii="Arial" w:hAnsi="Arial" w:cs="Arial"/>
                <w:sz w:val="20"/>
                <w:szCs w:val="20"/>
              </w:rPr>
            </w:pPr>
            <w:r>
              <w:rPr>
                <w:rFonts w:ascii="Arial" w:hAnsi="Arial" w:cs="Arial"/>
                <w:sz w:val="20"/>
                <w:szCs w:val="20"/>
              </w:rPr>
              <w:t>Úvěrová expanze let 2005–</w:t>
            </w:r>
            <w:r w:rsidR="00485230">
              <w:rPr>
                <w:rFonts w:ascii="Arial" w:hAnsi="Arial" w:cs="Arial"/>
                <w:sz w:val="20"/>
                <w:szCs w:val="20"/>
              </w:rPr>
              <w:t>2008 táhla růst zásoby peněz v ČR při více</w:t>
            </w:r>
            <w:r w:rsidR="00125326">
              <w:rPr>
                <w:rFonts w:ascii="Arial" w:hAnsi="Arial" w:cs="Arial"/>
                <w:sz w:val="20"/>
                <w:szCs w:val="20"/>
              </w:rPr>
              <w:t xml:space="preserve"> </w:t>
            </w:r>
            <w:r w:rsidR="00485230">
              <w:rPr>
                <w:rFonts w:ascii="Arial" w:hAnsi="Arial" w:cs="Arial"/>
                <w:sz w:val="20"/>
                <w:szCs w:val="20"/>
              </w:rPr>
              <w:t>než pětinových ročních přírůstkům půjček domácnostem a firmám. Nynější tempo úvěrů se této dynamice zatím neblíží (+8,4 % y/y koncem září 2015) přesto, že v</w:t>
            </w:r>
            <w:r w:rsidR="00125326">
              <w:rPr>
                <w:rFonts w:ascii="Arial" w:hAnsi="Arial" w:cs="Arial"/>
                <w:sz w:val="20"/>
                <w:szCs w:val="20"/>
              </w:rPr>
              <w:t> </w:t>
            </w:r>
            <w:r w:rsidR="00485230">
              <w:rPr>
                <w:rFonts w:ascii="Arial" w:hAnsi="Arial" w:cs="Arial"/>
                <w:sz w:val="20"/>
                <w:szCs w:val="20"/>
              </w:rPr>
              <w:t xml:space="preserve">samotném 3. čtvrtletí 2015 zejména úvěry firmám znatelně zrychlily (na +11,8 % meziročně oproti +2,4 % ve stejném období 2014). Velmi rychle, o více než pětinu (+22,3 %), narostly dlouhodobé půjčky firmám poskytované v cizí měně.  </w:t>
            </w:r>
          </w:p>
          <w:p w:rsidR="00485230" w:rsidRPr="00860706" w:rsidRDefault="00485230" w:rsidP="003C3686">
            <w:pPr>
              <w:pStyle w:val="Zhlav"/>
              <w:spacing w:line="240" w:lineRule="auto"/>
              <w:jc w:val="both"/>
              <w:rPr>
                <w:rFonts w:ascii="Arial" w:hAnsi="Arial" w:cs="Arial"/>
                <w:sz w:val="16"/>
                <w:szCs w:val="16"/>
              </w:rPr>
            </w:pPr>
          </w:p>
        </w:tc>
      </w:tr>
      <w:tr w:rsidR="00485230" w:rsidRPr="00C75C7E" w:rsidTr="003C3686">
        <w:tc>
          <w:tcPr>
            <w:tcW w:w="1057" w:type="pct"/>
            <w:gridSpan w:val="4"/>
          </w:tcPr>
          <w:p w:rsidR="00485230" w:rsidRDefault="00485230" w:rsidP="003C3686">
            <w:pPr>
              <w:spacing w:line="240" w:lineRule="auto"/>
              <w:rPr>
                <w:color w:val="000000"/>
                <w:spacing w:val="-2"/>
                <w:sz w:val="16"/>
                <w:szCs w:val="16"/>
              </w:rPr>
            </w:pPr>
            <w:r>
              <w:rPr>
                <w:color w:val="000000"/>
                <w:spacing w:val="-2"/>
                <w:sz w:val="16"/>
                <w:szCs w:val="16"/>
              </w:rPr>
              <w:t xml:space="preserve">… při současném mohutném růstu firemních depozit jak na běžných, tak </w:t>
            </w:r>
            <w:r w:rsidR="004005C1">
              <w:rPr>
                <w:color w:val="000000"/>
                <w:spacing w:val="-2"/>
                <w:sz w:val="16"/>
                <w:szCs w:val="16"/>
              </w:rPr>
              <w:t xml:space="preserve">nově i na účtech termínovaných </w:t>
            </w:r>
            <w:r w:rsidR="004005C1" w:rsidRPr="004005C1">
              <w:rPr>
                <w:color w:val="000000"/>
                <w:spacing w:val="-2"/>
                <w:sz w:val="16"/>
                <w:szCs w:val="16"/>
              </w:rPr>
              <w:t>–</w:t>
            </w:r>
            <w:r>
              <w:rPr>
                <w:color w:val="000000"/>
                <w:spacing w:val="-2"/>
                <w:sz w:val="16"/>
                <w:szCs w:val="16"/>
              </w:rPr>
              <w:t xml:space="preserve"> roční přírůstek jen na běžných účtech činil koncem září +123,9 mld. proti +101,9 mld. koncem pololetí 2015 </w:t>
            </w:r>
          </w:p>
        </w:tc>
        <w:tc>
          <w:tcPr>
            <w:tcW w:w="143" w:type="pct"/>
          </w:tcPr>
          <w:p w:rsidR="00485230" w:rsidRDefault="00485230" w:rsidP="003C3686">
            <w:pPr>
              <w:pStyle w:val="Textpoznpodarou"/>
              <w:jc w:val="both"/>
            </w:pPr>
          </w:p>
        </w:tc>
        <w:tc>
          <w:tcPr>
            <w:tcW w:w="3800" w:type="pct"/>
            <w:gridSpan w:val="5"/>
          </w:tcPr>
          <w:p w:rsidR="00485230" w:rsidRDefault="00485230" w:rsidP="003C3686">
            <w:pPr>
              <w:pStyle w:val="Zhlav"/>
              <w:spacing w:line="240" w:lineRule="auto"/>
              <w:jc w:val="both"/>
              <w:rPr>
                <w:rFonts w:ascii="Arial" w:hAnsi="Arial" w:cs="Arial"/>
                <w:sz w:val="20"/>
                <w:szCs w:val="20"/>
              </w:rPr>
            </w:pPr>
            <w:r>
              <w:rPr>
                <w:rFonts w:ascii="Arial" w:hAnsi="Arial" w:cs="Arial"/>
                <w:sz w:val="20"/>
                <w:szCs w:val="20"/>
              </w:rPr>
              <w:t xml:space="preserve">Nejde však o jedinou výraznou změnu v nakládání firem s finančními prostředky. Pokračují i rekordní přírůstky firemních depozit. Na běžných účtech měly firmy koncem září 2015 přes 879 mld. korun, tj. o 123,9 mld. korun (+16,4 %) více než před rokem. Koncem pololetí 2015 šlo přitom o meziroční růst +101,9 mld. korun. </w:t>
            </w:r>
          </w:p>
          <w:p w:rsidR="00485230" w:rsidRPr="003D5D7A" w:rsidRDefault="00485230" w:rsidP="003C3686">
            <w:pPr>
              <w:pStyle w:val="Zhlav"/>
              <w:spacing w:line="240" w:lineRule="auto"/>
              <w:jc w:val="both"/>
              <w:rPr>
                <w:rFonts w:ascii="Arial" w:hAnsi="Arial" w:cs="Arial"/>
                <w:sz w:val="14"/>
                <w:szCs w:val="14"/>
              </w:rPr>
            </w:pPr>
          </w:p>
          <w:p w:rsidR="00485230" w:rsidRDefault="00485230" w:rsidP="003C3686">
            <w:pPr>
              <w:pStyle w:val="Zhlav"/>
              <w:spacing w:line="240" w:lineRule="auto"/>
              <w:jc w:val="both"/>
              <w:rPr>
                <w:rFonts w:ascii="Arial" w:hAnsi="Arial" w:cs="Arial"/>
                <w:sz w:val="20"/>
                <w:szCs w:val="20"/>
              </w:rPr>
            </w:pPr>
            <w:r>
              <w:rPr>
                <w:rFonts w:ascii="Arial" w:hAnsi="Arial" w:cs="Arial"/>
                <w:sz w:val="20"/>
                <w:szCs w:val="20"/>
              </w:rPr>
              <w:t xml:space="preserve">Dosud nikdy nebyl tak vysoký roční přírůstek vkladů firem na jejich běžných účtech zaznamenán. Potvrzuje to, že firmy začaly více využívat i cizí zdroje (úvěrové podmínky začaly zřejmě pokládat za výhodné). </w:t>
            </w:r>
          </w:p>
          <w:p w:rsidR="00485230" w:rsidRPr="003D5D7A" w:rsidRDefault="00485230" w:rsidP="003C3686">
            <w:pPr>
              <w:pStyle w:val="Zhlav"/>
              <w:spacing w:line="240" w:lineRule="auto"/>
              <w:jc w:val="both"/>
              <w:rPr>
                <w:rFonts w:ascii="Arial" w:hAnsi="Arial" w:cs="Arial"/>
                <w:sz w:val="14"/>
                <w:szCs w:val="14"/>
              </w:rPr>
            </w:pPr>
          </w:p>
          <w:p w:rsidR="00485230" w:rsidRDefault="00485230" w:rsidP="003C3686">
            <w:pPr>
              <w:pStyle w:val="Zhlav"/>
              <w:spacing w:line="240" w:lineRule="auto"/>
              <w:jc w:val="both"/>
              <w:rPr>
                <w:rFonts w:ascii="Arial" w:hAnsi="Arial" w:cs="Arial"/>
                <w:sz w:val="20"/>
                <w:szCs w:val="20"/>
              </w:rPr>
            </w:pPr>
            <w:r>
              <w:rPr>
                <w:rFonts w:ascii="Arial" w:hAnsi="Arial" w:cs="Arial"/>
                <w:sz w:val="20"/>
                <w:szCs w:val="20"/>
              </w:rPr>
              <w:t>Firmy však hromadí nejen peníze s vysokou likviditou, ale zvyšují také své úložky na depozitech v podobě „faktických úspor“, tj. na vkladech termínovaných (se splatností a s výpovědní lhůtou). Jde o jev za poslední tř</w:t>
            </w:r>
            <w:r w:rsidR="00DA28B7">
              <w:rPr>
                <w:rFonts w:ascii="Arial" w:hAnsi="Arial" w:cs="Arial"/>
                <w:sz w:val="20"/>
                <w:szCs w:val="20"/>
              </w:rPr>
              <w:t>i</w:t>
            </w:r>
            <w:r>
              <w:rPr>
                <w:rFonts w:ascii="Arial" w:hAnsi="Arial" w:cs="Arial"/>
                <w:sz w:val="20"/>
                <w:szCs w:val="20"/>
              </w:rPr>
              <w:t xml:space="preserve"> roky nezvyklý – firemní vklady se splatností totiž každé čtvrtletí od posledního kvartálu 2012 meziročně klesaly (tvoří přitom 90 % objemu te</w:t>
            </w:r>
            <w:r w:rsidR="004005C1">
              <w:rPr>
                <w:rFonts w:ascii="Arial" w:hAnsi="Arial" w:cs="Arial"/>
                <w:sz w:val="20"/>
                <w:szCs w:val="20"/>
              </w:rPr>
              <w:t>rmínovaných firemních depozit).</w:t>
            </w:r>
          </w:p>
          <w:p w:rsidR="00485230" w:rsidRPr="00860706" w:rsidRDefault="00485230" w:rsidP="003C3686">
            <w:pPr>
              <w:pStyle w:val="Zhlav"/>
              <w:spacing w:line="240" w:lineRule="auto"/>
              <w:jc w:val="both"/>
              <w:rPr>
                <w:rFonts w:ascii="Arial" w:hAnsi="Arial" w:cs="Arial"/>
                <w:sz w:val="14"/>
                <w:szCs w:val="14"/>
              </w:rPr>
            </w:pPr>
          </w:p>
        </w:tc>
      </w:tr>
      <w:tr w:rsidR="00485230" w:rsidRPr="00C75C7E" w:rsidTr="003C3686">
        <w:tc>
          <w:tcPr>
            <w:tcW w:w="1057" w:type="pct"/>
            <w:gridSpan w:val="4"/>
          </w:tcPr>
          <w:p w:rsidR="00485230" w:rsidRDefault="00485230" w:rsidP="003D5D7A">
            <w:pPr>
              <w:spacing w:line="240" w:lineRule="auto"/>
              <w:rPr>
                <w:color w:val="000000"/>
                <w:spacing w:val="-2"/>
                <w:sz w:val="16"/>
                <w:szCs w:val="16"/>
              </w:rPr>
            </w:pPr>
            <w:r>
              <w:rPr>
                <w:color w:val="000000"/>
                <w:spacing w:val="-2"/>
                <w:sz w:val="16"/>
                <w:szCs w:val="16"/>
              </w:rPr>
              <w:t>Výrazně zvětšený prostor pro nárůst mezd a</w:t>
            </w:r>
            <w:r w:rsidR="003D5D7A">
              <w:rPr>
                <w:color w:val="000000"/>
                <w:spacing w:val="-2"/>
                <w:sz w:val="16"/>
                <w:szCs w:val="16"/>
              </w:rPr>
              <w:t> </w:t>
            </w:r>
            <w:r>
              <w:rPr>
                <w:color w:val="000000"/>
                <w:spacing w:val="-2"/>
                <w:sz w:val="16"/>
                <w:szCs w:val="16"/>
              </w:rPr>
              <w:t>pokraču</w:t>
            </w:r>
            <w:r w:rsidR="004005C1">
              <w:rPr>
                <w:color w:val="000000"/>
                <w:spacing w:val="-2"/>
                <w:sz w:val="16"/>
                <w:szCs w:val="16"/>
              </w:rPr>
              <w:t xml:space="preserve">jící investiční aktivitu firem </w:t>
            </w:r>
            <w:r w:rsidR="004005C1" w:rsidRPr="004005C1">
              <w:rPr>
                <w:color w:val="000000"/>
                <w:spacing w:val="-2"/>
                <w:sz w:val="16"/>
                <w:szCs w:val="16"/>
              </w:rPr>
              <w:t>–</w:t>
            </w:r>
            <w:r>
              <w:rPr>
                <w:color w:val="000000"/>
                <w:spacing w:val="-2"/>
                <w:sz w:val="16"/>
                <w:szCs w:val="16"/>
              </w:rPr>
              <w:t xml:space="preserve"> jen v samotném 3. čtvrtletí přibylo na běžných účtech firem 52,4 mld. korun proti +3,5 mld. ve 2. čtvrtletí</w:t>
            </w:r>
          </w:p>
        </w:tc>
        <w:tc>
          <w:tcPr>
            <w:tcW w:w="143" w:type="pct"/>
          </w:tcPr>
          <w:p w:rsidR="00485230" w:rsidRDefault="00485230" w:rsidP="003C3686">
            <w:pPr>
              <w:pStyle w:val="Textpoznpodarou"/>
              <w:jc w:val="both"/>
            </w:pPr>
          </w:p>
        </w:tc>
        <w:tc>
          <w:tcPr>
            <w:tcW w:w="3800" w:type="pct"/>
            <w:gridSpan w:val="5"/>
          </w:tcPr>
          <w:p w:rsidR="00485230" w:rsidRDefault="00485230" w:rsidP="003C3686">
            <w:pPr>
              <w:pStyle w:val="Zhlav"/>
              <w:spacing w:line="240" w:lineRule="auto"/>
              <w:jc w:val="both"/>
              <w:rPr>
                <w:rFonts w:ascii="Arial" w:hAnsi="Arial" w:cs="Arial"/>
                <w:sz w:val="20"/>
                <w:szCs w:val="20"/>
              </w:rPr>
            </w:pPr>
            <w:r>
              <w:rPr>
                <w:rFonts w:ascii="Arial" w:hAnsi="Arial" w:cs="Arial"/>
                <w:sz w:val="20"/>
                <w:szCs w:val="20"/>
              </w:rPr>
              <w:t>Mohutné</w:t>
            </w:r>
            <w:r w:rsidR="004005C1">
              <w:rPr>
                <w:rFonts w:ascii="Arial" w:hAnsi="Arial" w:cs="Arial"/>
                <w:sz w:val="20"/>
                <w:szCs w:val="20"/>
              </w:rPr>
              <w:t xml:space="preserve"> soustřeďování vlastních peněz –</w:t>
            </w:r>
            <w:r>
              <w:rPr>
                <w:rFonts w:ascii="Arial" w:hAnsi="Arial" w:cs="Arial"/>
                <w:sz w:val="20"/>
                <w:szCs w:val="20"/>
              </w:rPr>
              <w:t xml:space="preserve"> už nikoli hlavně na běžných účtech, a</w:t>
            </w:r>
            <w:r w:rsidR="004005C1">
              <w:rPr>
                <w:rFonts w:ascii="Arial" w:hAnsi="Arial" w:cs="Arial"/>
                <w:sz w:val="20"/>
                <w:szCs w:val="20"/>
              </w:rPr>
              <w:t>le i na termínovaných vkladech –</w:t>
            </w:r>
            <w:r>
              <w:rPr>
                <w:rFonts w:ascii="Arial" w:hAnsi="Arial" w:cs="Arial"/>
                <w:sz w:val="20"/>
                <w:szCs w:val="20"/>
              </w:rPr>
              <w:t xml:space="preserve"> spolu s rostoucím vyžíváním úvěrů ukazuje, že i</w:t>
            </w:r>
            <w:r w:rsidR="003D5D7A">
              <w:rPr>
                <w:rFonts w:ascii="Arial" w:hAnsi="Arial" w:cs="Arial"/>
                <w:sz w:val="20"/>
                <w:szCs w:val="20"/>
              </w:rPr>
              <w:t> </w:t>
            </w:r>
            <w:r>
              <w:rPr>
                <w:rFonts w:ascii="Arial" w:hAnsi="Arial" w:cs="Arial"/>
                <w:sz w:val="20"/>
                <w:szCs w:val="20"/>
              </w:rPr>
              <w:t xml:space="preserve">přes relativně vysokou investiční aktivitu a pozvolný nárůst mezd zaměstnancům disponují firmy stále </w:t>
            </w:r>
            <w:r w:rsidR="004541F1">
              <w:rPr>
                <w:rFonts w:ascii="Arial" w:hAnsi="Arial" w:cs="Arial"/>
                <w:sz w:val="20"/>
                <w:szCs w:val="20"/>
              </w:rPr>
              <w:t>enormními</w:t>
            </w:r>
            <w:r>
              <w:rPr>
                <w:rFonts w:ascii="Arial" w:hAnsi="Arial" w:cs="Arial"/>
                <w:sz w:val="20"/>
                <w:szCs w:val="20"/>
              </w:rPr>
              <w:t xml:space="preserve"> zisky docilovanými ze svých tržeb. Zisky používají nejen na investice a rostoucí „vybavenost“ firem penězi naznačuje, že potenciál pro nadcházej</w:t>
            </w:r>
            <w:r w:rsidR="004005C1">
              <w:rPr>
                <w:rFonts w:ascii="Arial" w:hAnsi="Arial" w:cs="Arial"/>
                <w:sz w:val="20"/>
                <w:szCs w:val="20"/>
              </w:rPr>
              <w:t>ící růst mezd se ještě zvětšil –</w:t>
            </w:r>
            <w:r>
              <w:rPr>
                <w:rFonts w:ascii="Arial" w:hAnsi="Arial" w:cs="Arial"/>
                <w:sz w:val="20"/>
                <w:szCs w:val="20"/>
              </w:rPr>
              <w:t xml:space="preserve"> jen za samotné 3. čtvrtletí přibylo na běžných účtech firem 52,4 mld. korun proti +3,5 mld. ve 2. čtvrtletí.   </w:t>
            </w:r>
          </w:p>
          <w:p w:rsidR="00485230" w:rsidRPr="00860706" w:rsidRDefault="00485230" w:rsidP="003C3686">
            <w:pPr>
              <w:pStyle w:val="Zhlav"/>
              <w:spacing w:line="240" w:lineRule="auto"/>
              <w:jc w:val="both"/>
              <w:rPr>
                <w:rFonts w:ascii="Arial" w:hAnsi="Arial" w:cs="Arial"/>
                <w:sz w:val="14"/>
                <w:szCs w:val="14"/>
              </w:rPr>
            </w:pPr>
          </w:p>
        </w:tc>
      </w:tr>
      <w:tr w:rsidR="00485230" w:rsidRPr="00C75C7E" w:rsidTr="003C3686">
        <w:tc>
          <w:tcPr>
            <w:tcW w:w="1057" w:type="pct"/>
            <w:gridSpan w:val="4"/>
          </w:tcPr>
          <w:p w:rsidR="00485230" w:rsidRDefault="00485230" w:rsidP="003C3686">
            <w:pPr>
              <w:spacing w:line="240" w:lineRule="auto"/>
              <w:rPr>
                <w:color w:val="000000"/>
                <w:spacing w:val="-2"/>
                <w:sz w:val="16"/>
                <w:szCs w:val="16"/>
              </w:rPr>
            </w:pPr>
            <w:r>
              <w:rPr>
                <w:color w:val="000000"/>
                <w:spacing w:val="-2"/>
                <w:sz w:val="16"/>
                <w:szCs w:val="16"/>
              </w:rPr>
              <w:t>Vládní sektor s nižší potřebou úvěrů</w:t>
            </w:r>
          </w:p>
        </w:tc>
        <w:tc>
          <w:tcPr>
            <w:tcW w:w="143" w:type="pct"/>
          </w:tcPr>
          <w:p w:rsidR="00485230" w:rsidRDefault="00485230" w:rsidP="003C3686">
            <w:pPr>
              <w:pStyle w:val="Textpoznpodarou"/>
              <w:jc w:val="both"/>
            </w:pPr>
          </w:p>
        </w:tc>
        <w:tc>
          <w:tcPr>
            <w:tcW w:w="3800" w:type="pct"/>
            <w:gridSpan w:val="5"/>
          </w:tcPr>
          <w:p w:rsidR="00485230" w:rsidRDefault="00485230" w:rsidP="003C3686">
            <w:pPr>
              <w:pStyle w:val="Zhlav"/>
              <w:spacing w:line="240" w:lineRule="auto"/>
              <w:jc w:val="both"/>
              <w:rPr>
                <w:rFonts w:ascii="Arial" w:hAnsi="Arial" w:cs="Arial"/>
                <w:sz w:val="20"/>
                <w:szCs w:val="20"/>
              </w:rPr>
            </w:pPr>
            <w:r>
              <w:rPr>
                <w:rFonts w:ascii="Arial" w:hAnsi="Arial" w:cs="Arial"/>
                <w:sz w:val="20"/>
                <w:szCs w:val="20"/>
              </w:rPr>
              <w:t>Vládní sektor poprvé po roce a půl vykázal meziročně snížení čistého úvěru (vč.</w:t>
            </w:r>
            <w:r w:rsidR="003D5D7A">
              <w:rPr>
                <w:rFonts w:ascii="Arial" w:hAnsi="Arial" w:cs="Arial"/>
                <w:sz w:val="20"/>
                <w:szCs w:val="20"/>
              </w:rPr>
              <w:t> </w:t>
            </w:r>
            <w:r>
              <w:rPr>
                <w:rFonts w:ascii="Arial" w:hAnsi="Arial" w:cs="Arial"/>
                <w:sz w:val="20"/>
                <w:szCs w:val="20"/>
              </w:rPr>
              <w:t>cenných papírů) a to významně, o 10,4 % (v říj</w:t>
            </w:r>
            <w:r w:rsidR="00125326">
              <w:rPr>
                <w:rFonts w:ascii="Arial" w:hAnsi="Arial" w:cs="Arial"/>
                <w:sz w:val="20"/>
                <w:szCs w:val="20"/>
              </w:rPr>
              <w:t>nu pak dále o 14,7 %). Příčinou</w:t>
            </w:r>
            <w:r>
              <w:rPr>
                <w:rFonts w:ascii="Arial" w:hAnsi="Arial" w:cs="Arial"/>
                <w:sz w:val="20"/>
                <w:szCs w:val="20"/>
              </w:rPr>
              <w:t xml:space="preserve"> je zřejmě lepší výběr daní. V prvních měsících roku 2015 byl slabý a vyvolal vyšší potřebu úvěru, která byla v únoru, březnu i dubnu meziročně každý měsíc vyšší o</w:t>
            </w:r>
            <w:r w:rsidR="004005C1">
              <w:rPr>
                <w:rFonts w:ascii="Arial" w:hAnsi="Arial" w:cs="Arial"/>
                <w:sz w:val="20"/>
                <w:szCs w:val="20"/>
              </w:rPr>
              <w:t> </w:t>
            </w:r>
            <w:r w:rsidR="00713EEB">
              <w:rPr>
                <w:rFonts w:ascii="Arial" w:hAnsi="Arial" w:cs="Arial"/>
                <w:sz w:val="20"/>
                <w:szCs w:val="20"/>
              </w:rPr>
              <w:t>více než 60 %</w:t>
            </w:r>
            <w:r>
              <w:rPr>
                <w:rFonts w:ascii="Arial" w:hAnsi="Arial" w:cs="Arial"/>
                <w:sz w:val="20"/>
                <w:szCs w:val="20"/>
              </w:rPr>
              <w:t xml:space="preserve">. </w:t>
            </w:r>
            <w:r w:rsidR="00860706">
              <w:rPr>
                <w:rFonts w:ascii="Arial" w:hAnsi="Arial" w:cs="Arial"/>
                <w:sz w:val="20"/>
                <w:szCs w:val="20"/>
              </w:rPr>
              <w:t>Je však také možné, že svoji roli sehrálo např. řízení likvidity nebo čerpání peněz z fondů EU.</w:t>
            </w:r>
            <w:r>
              <w:rPr>
                <w:rFonts w:ascii="Arial" w:hAnsi="Arial" w:cs="Arial"/>
                <w:sz w:val="20"/>
                <w:szCs w:val="20"/>
              </w:rPr>
              <w:t xml:space="preserve"> </w:t>
            </w:r>
          </w:p>
          <w:p w:rsidR="00485230" w:rsidRPr="00860706" w:rsidRDefault="00485230" w:rsidP="003C3686">
            <w:pPr>
              <w:pStyle w:val="Zhlav"/>
              <w:spacing w:line="240" w:lineRule="auto"/>
              <w:jc w:val="both"/>
              <w:rPr>
                <w:rFonts w:ascii="Arial" w:hAnsi="Arial" w:cs="Arial"/>
                <w:sz w:val="14"/>
                <w:szCs w:val="14"/>
              </w:rPr>
            </w:pPr>
          </w:p>
        </w:tc>
      </w:tr>
      <w:tr w:rsidR="00485230" w:rsidRPr="00C75C7E" w:rsidTr="003C3686">
        <w:tc>
          <w:tcPr>
            <w:tcW w:w="1057" w:type="pct"/>
            <w:gridSpan w:val="4"/>
          </w:tcPr>
          <w:p w:rsidR="00485230" w:rsidRDefault="00DA28B7" w:rsidP="00DA28B7">
            <w:pPr>
              <w:spacing w:line="240" w:lineRule="auto"/>
              <w:rPr>
                <w:color w:val="000000"/>
                <w:spacing w:val="-2"/>
                <w:sz w:val="16"/>
                <w:szCs w:val="16"/>
              </w:rPr>
            </w:pPr>
            <w:r>
              <w:rPr>
                <w:color w:val="000000"/>
                <w:spacing w:val="-2"/>
                <w:sz w:val="16"/>
                <w:szCs w:val="16"/>
              </w:rPr>
              <w:t>Tempo úložek</w:t>
            </w:r>
            <w:r w:rsidR="00485230">
              <w:rPr>
                <w:color w:val="000000"/>
                <w:spacing w:val="-2"/>
                <w:sz w:val="16"/>
                <w:szCs w:val="16"/>
              </w:rPr>
              <w:t xml:space="preserve"> na netermínovaných vkladech domácností zůstává stejné…, </w:t>
            </w:r>
          </w:p>
        </w:tc>
        <w:tc>
          <w:tcPr>
            <w:tcW w:w="143" w:type="pct"/>
          </w:tcPr>
          <w:p w:rsidR="00485230" w:rsidRDefault="00485230" w:rsidP="003C3686">
            <w:pPr>
              <w:pStyle w:val="Textpoznpodarou"/>
              <w:jc w:val="both"/>
            </w:pPr>
          </w:p>
        </w:tc>
        <w:tc>
          <w:tcPr>
            <w:tcW w:w="3800" w:type="pct"/>
            <w:gridSpan w:val="5"/>
          </w:tcPr>
          <w:p w:rsidR="00485230" w:rsidRDefault="00485230" w:rsidP="003C3686">
            <w:pPr>
              <w:pStyle w:val="Zhlav"/>
              <w:spacing w:line="240" w:lineRule="auto"/>
              <w:jc w:val="both"/>
              <w:rPr>
                <w:rFonts w:ascii="Arial" w:hAnsi="Arial" w:cs="Arial"/>
                <w:sz w:val="20"/>
                <w:szCs w:val="20"/>
              </w:rPr>
            </w:pPr>
            <w:r>
              <w:rPr>
                <w:rFonts w:ascii="Arial" w:hAnsi="Arial" w:cs="Arial"/>
                <w:sz w:val="20"/>
                <w:szCs w:val="20"/>
              </w:rPr>
              <w:t>Půjčky domácnostem rostly mírně (+5,7 % meziročně koncem 3. čtvrtletí proti +3,7 % ve stejném období 2014). Spolu s úvěry firmám šlo však o tempo v úhrnu významně rychlejší (+8,4 %) než před rokem (+3,1 %). Stejně jako u firem zrychlily úvěry domácnostem hlavně ve 3. čtvrtletí. Přírůstek jejich peněz na netermínovaných vkladech byl meziročně vyšší o 11,4 %, tj. zhruba průměrný růst předchozích dvanácti měsíců. Ovšem termínované vklady domácností pokračují v poklesech (vklady se splatností -6,1 %, vklady s výpovědní lhůtou -12,5 %</w:t>
            </w:r>
            <w:r w:rsidR="00DA28B7">
              <w:rPr>
                <w:rFonts w:ascii="Arial" w:hAnsi="Arial" w:cs="Arial"/>
                <w:sz w:val="20"/>
                <w:szCs w:val="20"/>
              </w:rPr>
              <w:t>)</w:t>
            </w:r>
            <w:r>
              <w:rPr>
                <w:rFonts w:ascii="Arial" w:hAnsi="Arial" w:cs="Arial"/>
                <w:sz w:val="20"/>
                <w:szCs w:val="20"/>
              </w:rPr>
              <w:t xml:space="preserve">. </w:t>
            </w:r>
          </w:p>
          <w:p w:rsidR="00485230" w:rsidRPr="00860706" w:rsidRDefault="00485230" w:rsidP="003C3686">
            <w:pPr>
              <w:pStyle w:val="Zhlav"/>
              <w:spacing w:line="240" w:lineRule="auto"/>
              <w:jc w:val="both"/>
              <w:rPr>
                <w:rFonts w:ascii="Arial" w:hAnsi="Arial" w:cs="Arial"/>
                <w:sz w:val="12"/>
                <w:szCs w:val="12"/>
              </w:rPr>
            </w:pPr>
          </w:p>
        </w:tc>
      </w:tr>
      <w:tr w:rsidR="00485230" w:rsidRPr="0032214F" w:rsidTr="003C3686">
        <w:tc>
          <w:tcPr>
            <w:tcW w:w="1057" w:type="pct"/>
            <w:gridSpan w:val="4"/>
          </w:tcPr>
          <w:p w:rsidR="00485230" w:rsidRDefault="00485230" w:rsidP="003D5D7A">
            <w:pPr>
              <w:spacing w:line="240" w:lineRule="auto"/>
              <w:rPr>
                <w:sz w:val="16"/>
                <w:szCs w:val="16"/>
              </w:rPr>
            </w:pPr>
            <w:r>
              <w:rPr>
                <w:sz w:val="16"/>
                <w:szCs w:val="16"/>
              </w:rPr>
              <w:t>… pokračuje však příklon domácnosti k úsporám jiným, než jsou bankovní vklady, tj. k investicím do podílových fondů a</w:t>
            </w:r>
            <w:r w:rsidR="003D5D7A">
              <w:rPr>
                <w:sz w:val="16"/>
                <w:szCs w:val="16"/>
              </w:rPr>
              <w:t> </w:t>
            </w:r>
            <w:r>
              <w:rPr>
                <w:sz w:val="16"/>
                <w:szCs w:val="16"/>
              </w:rPr>
              <w:t>úložkám na penzijní připojištění</w:t>
            </w:r>
          </w:p>
        </w:tc>
        <w:tc>
          <w:tcPr>
            <w:tcW w:w="143" w:type="pct"/>
          </w:tcPr>
          <w:p w:rsidR="00485230" w:rsidRDefault="00485230" w:rsidP="003C3686">
            <w:pPr>
              <w:pStyle w:val="Textpoznpodarou"/>
              <w:jc w:val="both"/>
            </w:pPr>
          </w:p>
        </w:tc>
        <w:tc>
          <w:tcPr>
            <w:tcW w:w="3800" w:type="pct"/>
            <w:gridSpan w:val="5"/>
          </w:tcPr>
          <w:p w:rsidR="00485230" w:rsidRDefault="00485230" w:rsidP="003C3686">
            <w:pPr>
              <w:pStyle w:val="Zhlav"/>
              <w:spacing w:line="240" w:lineRule="auto"/>
              <w:jc w:val="both"/>
              <w:rPr>
                <w:rFonts w:ascii="Arial" w:hAnsi="Arial" w:cs="Arial"/>
                <w:sz w:val="20"/>
                <w:szCs w:val="20"/>
              </w:rPr>
            </w:pPr>
            <w:r>
              <w:rPr>
                <w:rFonts w:ascii="Arial" w:hAnsi="Arial" w:cs="Arial"/>
                <w:sz w:val="20"/>
                <w:szCs w:val="20"/>
              </w:rPr>
              <w:t>Projevuje se příklon domácností k investicím prostřednictvím podílových fondů, především smíšených. Podle správců těchto fondů se již české domácnosti začínají přibližovat standardu zemí západní Evropy, co se týče snahy po uchování hodnoty majetku. Koncem září připadala z hodnoty majetku obyvatelstva a</w:t>
            </w:r>
            <w:r w:rsidR="003D5D7A">
              <w:rPr>
                <w:rFonts w:ascii="Arial" w:hAnsi="Arial" w:cs="Arial"/>
                <w:sz w:val="20"/>
                <w:szCs w:val="20"/>
              </w:rPr>
              <w:t> </w:t>
            </w:r>
            <w:r>
              <w:rPr>
                <w:rFonts w:ascii="Arial" w:hAnsi="Arial" w:cs="Arial"/>
                <w:sz w:val="20"/>
                <w:szCs w:val="20"/>
              </w:rPr>
              <w:t xml:space="preserve">institucí v domácích </w:t>
            </w:r>
            <w:r w:rsidR="00DA28B7">
              <w:rPr>
                <w:rFonts w:ascii="Arial" w:hAnsi="Arial" w:cs="Arial"/>
                <w:sz w:val="20"/>
                <w:szCs w:val="20"/>
              </w:rPr>
              <w:t xml:space="preserve">i </w:t>
            </w:r>
            <w:r>
              <w:rPr>
                <w:rFonts w:ascii="Arial" w:hAnsi="Arial" w:cs="Arial"/>
                <w:sz w:val="20"/>
                <w:szCs w:val="20"/>
              </w:rPr>
              <w:t>zahraničních podílových fondech na fyzické osoby poměrná</w:t>
            </w:r>
            <w:r w:rsidR="004005C1">
              <w:rPr>
                <w:rFonts w:ascii="Arial" w:hAnsi="Arial" w:cs="Arial"/>
                <w:sz w:val="20"/>
                <w:szCs w:val="20"/>
              </w:rPr>
              <w:t xml:space="preserve"> část ve výši 290,7 mld. korun –</w:t>
            </w:r>
            <w:r>
              <w:rPr>
                <w:rFonts w:ascii="Arial" w:hAnsi="Arial" w:cs="Arial"/>
                <w:sz w:val="20"/>
                <w:szCs w:val="20"/>
              </w:rPr>
              <w:t xml:space="preserve"> tedy již více, než výše jejich bankovních </w:t>
            </w:r>
            <w:r>
              <w:rPr>
                <w:rFonts w:ascii="Arial" w:hAnsi="Arial" w:cs="Arial"/>
                <w:sz w:val="20"/>
                <w:szCs w:val="20"/>
              </w:rPr>
              <w:lastRenderedPageBreak/>
              <w:t xml:space="preserve">vkladů se splatností (286 mld. korun). Další z alternativ spoření k bankovním vkladům, úložky na penzijním připojištění, vykázaly prostředky evidované ve prospěch účastníků koncem 3. čtvrtletí ve výši 333,3 mld. korun.  </w:t>
            </w:r>
          </w:p>
          <w:p w:rsidR="00485230" w:rsidRPr="00923651" w:rsidRDefault="00485230" w:rsidP="003C3686">
            <w:pPr>
              <w:pStyle w:val="Zhlav"/>
              <w:spacing w:line="240" w:lineRule="auto"/>
              <w:jc w:val="both"/>
              <w:rPr>
                <w:rFonts w:ascii="Arial" w:hAnsi="Arial" w:cs="Arial"/>
                <w:sz w:val="16"/>
                <w:szCs w:val="16"/>
              </w:rPr>
            </w:pPr>
          </w:p>
        </w:tc>
      </w:tr>
      <w:tr w:rsidR="00485230" w:rsidRPr="0032214F" w:rsidTr="003C3686">
        <w:tc>
          <w:tcPr>
            <w:tcW w:w="1057" w:type="pct"/>
            <w:gridSpan w:val="4"/>
          </w:tcPr>
          <w:p w:rsidR="00485230" w:rsidRDefault="00485230" w:rsidP="003D5D7A">
            <w:pPr>
              <w:spacing w:line="240" w:lineRule="auto"/>
              <w:rPr>
                <w:sz w:val="16"/>
                <w:szCs w:val="16"/>
              </w:rPr>
            </w:pPr>
            <w:r>
              <w:rPr>
                <w:color w:val="000000"/>
                <w:spacing w:val="-2"/>
                <w:sz w:val="16"/>
                <w:szCs w:val="16"/>
              </w:rPr>
              <w:lastRenderedPageBreak/>
              <w:t>Lidé se půjčují na bydlení více</w:t>
            </w:r>
            <w:r>
              <w:rPr>
                <w:sz w:val="16"/>
                <w:szCs w:val="16"/>
              </w:rPr>
              <w:t xml:space="preserve"> především od</w:t>
            </w:r>
            <w:r w:rsidR="003D5D7A">
              <w:rPr>
                <w:sz w:val="16"/>
                <w:szCs w:val="16"/>
              </w:rPr>
              <w:t> </w:t>
            </w:r>
            <w:r>
              <w:rPr>
                <w:sz w:val="16"/>
                <w:szCs w:val="16"/>
              </w:rPr>
              <w:t>hypotečních bank, stavební spořitelny díky horšímu úročení „netáhnou“</w:t>
            </w:r>
          </w:p>
        </w:tc>
        <w:tc>
          <w:tcPr>
            <w:tcW w:w="143" w:type="pct"/>
          </w:tcPr>
          <w:p w:rsidR="00485230" w:rsidRDefault="00485230" w:rsidP="003C3686">
            <w:pPr>
              <w:pStyle w:val="Textpoznpodarou"/>
              <w:jc w:val="both"/>
            </w:pPr>
          </w:p>
        </w:tc>
        <w:tc>
          <w:tcPr>
            <w:tcW w:w="3800" w:type="pct"/>
            <w:gridSpan w:val="5"/>
          </w:tcPr>
          <w:p w:rsidR="00485230" w:rsidRDefault="00485230" w:rsidP="003C3686">
            <w:pPr>
              <w:pStyle w:val="Textpoznpodarou"/>
              <w:jc w:val="both"/>
            </w:pPr>
            <w:r>
              <w:rPr>
                <w:rFonts w:cs="Arial"/>
              </w:rPr>
              <w:t>Zájem o vlastní bydlení financované úvěrem opět mírně vzrostl. Lidé si podle dat z konce září půjčili na bydlení o 7,3 % více než před rokem (tehdy roční přírůstek +5,9 %). Nízké úrokové sazby hypotečních úvěrů byly i přes rostoucí ceny nemovitostí dost atraktivní, aby objem těchto úvěrů stoupl meziročně o 8,1 %. Stavy řádných úvěrů od stavebních spořitelen však stále klesají (-9,1 %) při slabém růstu překlenovacích úvěrů (+2,5 %).</w:t>
            </w:r>
          </w:p>
          <w:p w:rsidR="00485230" w:rsidRPr="00923651" w:rsidRDefault="00485230" w:rsidP="003C3686">
            <w:pPr>
              <w:pStyle w:val="Textpoznpodarou"/>
              <w:jc w:val="both"/>
              <w:rPr>
                <w:sz w:val="16"/>
                <w:szCs w:val="16"/>
              </w:rPr>
            </w:pPr>
          </w:p>
        </w:tc>
      </w:tr>
      <w:tr w:rsidR="00485230" w:rsidRPr="0032214F" w:rsidTr="003C3686">
        <w:tc>
          <w:tcPr>
            <w:tcW w:w="1057" w:type="pct"/>
            <w:gridSpan w:val="4"/>
          </w:tcPr>
          <w:p w:rsidR="00485230" w:rsidRDefault="00485230" w:rsidP="003C3686">
            <w:pPr>
              <w:spacing w:line="240" w:lineRule="auto"/>
              <w:rPr>
                <w:color w:val="000000"/>
                <w:sz w:val="16"/>
                <w:szCs w:val="16"/>
              </w:rPr>
            </w:pPr>
            <w:r>
              <w:rPr>
                <w:color w:val="000000"/>
                <w:sz w:val="16"/>
                <w:szCs w:val="16"/>
              </w:rPr>
              <w:t xml:space="preserve">Úrokové </w:t>
            </w:r>
            <w:r w:rsidR="00125326">
              <w:rPr>
                <w:color w:val="000000"/>
                <w:sz w:val="16"/>
                <w:szCs w:val="16"/>
              </w:rPr>
              <w:t>sazby bank už začaly podněcovat</w:t>
            </w:r>
            <w:r>
              <w:rPr>
                <w:color w:val="000000"/>
                <w:sz w:val="16"/>
                <w:szCs w:val="16"/>
              </w:rPr>
              <w:t xml:space="preserve"> zájem firem o úvěry; peníze  na jejich běžných účtech jsou „zaparkovány“ s úročením necelého promile p.a.</w:t>
            </w:r>
          </w:p>
        </w:tc>
        <w:tc>
          <w:tcPr>
            <w:tcW w:w="143" w:type="pct"/>
          </w:tcPr>
          <w:p w:rsidR="00485230" w:rsidRDefault="00485230" w:rsidP="003C3686">
            <w:pPr>
              <w:pStyle w:val="Textpoznpodarou"/>
              <w:jc w:val="both"/>
            </w:pPr>
          </w:p>
        </w:tc>
        <w:tc>
          <w:tcPr>
            <w:tcW w:w="3800" w:type="pct"/>
            <w:gridSpan w:val="5"/>
          </w:tcPr>
          <w:p w:rsidR="00485230" w:rsidRDefault="00485230" w:rsidP="003C3686">
            <w:pPr>
              <w:pStyle w:val="Zhlav"/>
              <w:spacing w:line="240" w:lineRule="auto"/>
              <w:jc w:val="both"/>
              <w:rPr>
                <w:rFonts w:ascii="Arial" w:hAnsi="Arial" w:cs="Arial"/>
                <w:sz w:val="20"/>
                <w:szCs w:val="20"/>
              </w:rPr>
            </w:pPr>
            <w:r>
              <w:rPr>
                <w:rFonts w:ascii="Arial" w:hAnsi="Arial" w:cs="Arial"/>
                <w:sz w:val="20"/>
                <w:szCs w:val="20"/>
              </w:rPr>
              <w:t>V polovině roku 2008 sazby úvěrů firmám z nových obchodů činily 5,24 % p.a. a jejich úroveň stále klesala až na 1,92 % v půli roku 2015. Byla zřejmě už dost nízko, aby podnítila poptávku firem po úvěrech, neboť právě ve 3. čtvrtletí objem poskytn</w:t>
            </w:r>
            <w:r w:rsidR="00DA28B7">
              <w:rPr>
                <w:rFonts w:ascii="Arial" w:hAnsi="Arial" w:cs="Arial"/>
                <w:sz w:val="20"/>
                <w:szCs w:val="20"/>
              </w:rPr>
              <w:t xml:space="preserve">utých úvěrů významně zrychlil. </w:t>
            </w:r>
            <w:r>
              <w:rPr>
                <w:rFonts w:ascii="Arial" w:hAnsi="Arial" w:cs="Arial"/>
                <w:sz w:val="20"/>
                <w:szCs w:val="20"/>
              </w:rPr>
              <w:t>V září 2015 ale sazby pro firmy stouply vlivem jejich růstu u velkých úvěrů (+0,5 pb., ovšem v říjnu již opět poklesly).</w:t>
            </w:r>
          </w:p>
          <w:p w:rsidR="00485230" w:rsidRPr="003D5D7A" w:rsidRDefault="00485230" w:rsidP="003C3686">
            <w:pPr>
              <w:pStyle w:val="Zhlav"/>
              <w:spacing w:line="240" w:lineRule="auto"/>
              <w:jc w:val="both"/>
              <w:rPr>
                <w:rFonts w:ascii="Arial" w:hAnsi="Arial" w:cs="Arial"/>
                <w:sz w:val="14"/>
                <w:szCs w:val="14"/>
              </w:rPr>
            </w:pPr>
          </w:p>
          <w:p w:rsidR="00485230" w:rsidRDefault="00485230" w:rsidP="003C3686">
            <w:pPr>
              <w:pStyle w:val="Zhlav"/>
              <w:spacing w:line="240" w:lineRule="auto"/>
              <w:jc w:val="both"/>
              <w:rPr>
                <w:rFonts w:ascii="Arial" w:hAnsi="Arial" w:cs="Arial"/>
                <w:sz w:val="20"/>
                <w:szCs w:val="20"/>
              </w:rPr>
            </w:pPr>
            <w:r>
              <w:rPr>
                <w:rFonts w:ascii="Arial" w:hAnsi="Arial" w:cs="Arial"/>
                <w:sz w:val="20"/>
                <w:szCs w:val="20"/>
              </w:rPr>
              <w:t xml:space="preserve">Níže byly i sazby z firemních depozit (0,17 % resp. 0,70 % u vkladů se splatností a výpovědní lhůtou). Peníze na běžných účtech byly koncem září úročeny jen 0,09 %, ale i přes takto nevýhodné úročení je podniky na běžných účtech hromadí (v ročním přepočtu jim zde přibylo na úrocích 818 mil. korun). Jde o prostředky určené pohotově na běžné provozní financování a investice, ale také potenciálně na další růst mezd.  </w:t>
            </w:r>
          </w:p>
          <w:p w:rsidR="00485230" w:rsidRPr="00923651" w:rsidRDefault="00485230" w:rsidP="003C3686">
            <w:pPr>
              <w:pStyle w:val="Textpoznpodarou"/>
              <w:jc w:val="both"/>
              <w:rPr>
                <w:color w:val="000000"/>
                <w:sz w:val="16"/>
                <w:szCs w:val="16"/>
              </w:rPr>
            </w:pPr>
          </w:p>
        </w:tc>
      </w:tr>
      <w:tr w:rsidR="00485230" w:rsidRPr="0032214F" w:rsidTr="003C3686">
        <w:tc>
          <w:tcPr>
            <w:tcW w:w="1057" w:type="pct"/>
            <w:gridSpan w:val="4"/>
          </w:tcPr>
          <w:p w:rsidR="00485230" w:rsidRDefault="00485230" w:rsidP="003D5D7A">
            <w:pPr>
              <w:spacing w:line="240" w:lineRule="auto"/>
              <w:rPr>
                <w:color w:val="000000"/>
                <w:sz w:val="16"/>
                <w:szCs w:val="16"/>
              </w:rPr>
            </w:pPr>
            <w:r>
              <w:rPr>
                <w:color w:val="000000"/>
                <w:sz w:val="16"/>
                <w:szCs w:val="16"/>
              </w:rPr>
              <w:t>I přes mírný pokles sazeb u úvěrů na spotřebu lidé těchto půjček od bank ještě nezačali využívat v intenzitě z let před poslední recesí – ta zřejmě ovlivnila jejich postoj k dluhům na</w:t>
            </w:r>
            <w:r w:rsidR="003D5D7A">
              <w:rPr>
                <w:color w:val="000000"/>
                <w:sz w:val="16"/>
                <w:szCs w:val="16"/>
              </w:rPr>
              <w:t> </w:t>
            </w:r>
            <w:r>
              <w:rPr>
                <w:color w:val="000000"/>
                <w:sz w:val="16"/>
                <w:szCs w:val="16"/>
              </w:rPr>
              <w:t>spotřebu</w:t>
            </w:r>
          </w:p>
        </w:tc>
        <w:tc>
          <w:tcPr>
            <w:tcW w:w="143" w:type="pct"/>
          </w:tcPr>
          <w:p w:rsidR="00485230" w:rsidRDefault="00485230" w:rsidP="003C3686">
            <w:pPr>
              <w:pStyle w:val="Textpoznpodarou"/>
              <w:jc w:val="both"/>
            </w:pPr>
          </w:p>
        </w:tc>
        <w:tc>
          <w:tcPr>
            <w:tcW w:w="3800" w:type="pct"/>
            <w:gridSpan w:val="5"/>
          </w:tcPr>
          <w:p w:rsidR="00485230" w:rsidRDefault="00485230" w:rsidP="003C3686">
            <w:pPr>
              <w:pStyle w:val="Zhlav"/>
              <w:spacing w:line="240" w:lineRule="auto"/>
              <w:jc w:val="both"/>
              <w:rPr>
                <w:rFonts w:ascii="Arial" w:hAnsi="Arial" w:cs="Arial"/>
                <w:sz w:val="20"/>
                <w:szCs w:val="20"/>
              </w:rPr>
            </w:pPr>
            <w:r>
              <w:rPr>
                <w:rFonts w:ascii="Arial" w:hAnsi="Arial" w:cs="Arial"/>
                <w:sz w:val="20"/>
                <w:szCs w:val="20"/>
              </w:rPr>
              <w:t>Úrokové podmínky v úvěrově-depozitních obchodech</w:t>
            </w:r>
            <w:r w:rsidR="00DA28B7">
              <w:rPr>
                <w:rFonts w:ascii="Arial" w:hAnsi="Arial" w:cs="Arial"/>
                <w:sz w:val="20"/>
                <w:szCs w:val="20"/>
              </w:rPr>
              <w:t xml:space="preserve"> bank s domácnostmi se vyvíjely</w:t>
            </w:r>
            <w:r w:rsidR="00125326">
              <w:rPr>
                <w:rFonts w:ascii="Arial" w:hAnsi="Arial" w:cs="Arial"/>
                <w:sz w:val="20"/>
                <w:szCs w:val="20"/>
              </w:rPr>
              <w:t xml:space="preserve"> </w:t>
            </w:r>
            <w:r>
              <w:rPr>
                <w:rFonts w:ascii="Arial" w:hAnsi="Arial" w:cs="Arial"/>
                <w:sz w:val="20"/>
                <w:szCs w:val="20"/>
              </w:rPr>
              <w:t>podobně jako u firem</w:t>
            </w:r>
            <w:r w:rsidR="00713EEB">
              <w:rPr>
                <w:rFonts w:ascii="Arial" w:hAnsi="Arial" w:cs="Arial"/>
                <w:sz w:val="20"/>
                <w:szCs w:val="20"/>
              </w:rPr>
              <w:t>,</w:t>
            </w:r>
            <w:r>
              <w:rPr>
                <w:rFonts w:ascii="Arial" w:hAnsi="Arial" w:cs="Arial"/>
                <w:sz w:val="20"/>
                <w:szCs w:val="20"/>
              </w:rPr>
              <w:t xml:space="preserve"> jen co se týká jednodenních vkladů a vkladů s výpovědní lhůtou – jejich sazby meziročně poklesly (na 0,24 %, resp. 1,31 %). Na netermínovaných vkladech domácnost</w:t>
            </w:r>
            <w:r w:rsidR="00DA28B7">
              <w:rPr>
                <w:rFonts w:ascii="Arial" w:hAnsi="Arial" w:cs="Arial"/>
                <w:sz w:val="20"/>
                <w:szCs w:val="20"/>
              </w:rPr>
              <w:t>í</w:t>
            </w:r>
            <w:r>
              <w:rPr>
                <w:rFonts w:ascii="Arial" w:hAnsi="Arial" w:cs="Arial"/>
                <w:sz w:val="20"/>
                <w:szCs w:val="20"/>
              </w:rPr>
              <w:t xml:space="preserve"> přibylo meziročně 34,1 mld. na 1,482 bil. korun (jsou však</w:t>
            </w:r>
            <w:r w:rsidR="003C3686">
              <w:rPr>
                <w:rFonts w:ascii="Arial" w:hAnsi="Arial" w:cs="Arial"/>
                <w:sz w:val="20"/>
                <w:szCs w:val="20"/>
              </w:rPr>
              <w:t>,</w:t>
            </w:r>
            <w:r>
              <w:rPr>
                <w:rFonts w:ascii="Arial" w:hAnsi="Arial" w:cs="Arial"/>
                <w:sz w:val="20"/>
                <w:szCs w:val="20"/>
              </w:rPr>
              <w:t xml:space="preserve"> co se týká úrokových podmínek</w:t>
            </w:r>
            <w:r w:rsidR="003C3686">
              <w:rPr>
                <w:rFonts w:ascii="Arial" w:hAnsi="Arial" w:cs="Arial"/>
                <w:sz w:val="20"/>
                <w:szCs w:val="20"/>
              </w:rPr>
              <w:t>,</w:t>
            </w:r>
            <w:r>
              <w:rPr>
                <w:rFonts w:ascii="Arial" w:hAnsi="Arial" w:cs="Arial"/>
                <w:sz w:val="20"/>
                <w:szCs w:val="20"/>
              </w:rPr>
              <w:t xml:space="preserve"> méně přehledné, neboť některé banky k nim nabízejí i o něco lépe úročené účty spořící). Úrokové míry na účtech domácností se splatností se mírně zlepšily (na 1,45 % p.a.).   </w:t>
            </w:r>
          </w:p>
          <w:p w:rsidR="00485230" w:rsidRPr="003D5D7A" w:rsidRDefault="00485230" w:rsidP="003C3686">
            <w:pPr>
              <w:pStyle w:val="Zhlav"/>
              <w:spacing w:line="240" w:lineRule="auto"/>
              <w:jc w:val="both"/>
              <w:rPr>
                <w:rFonts w:ascii="Arial" w:hAnsi="Arial" w:cs="Arial"/>
                <w:sz w:val="14"/>
                <w:szCs w:val="14"/>
              </w:rPr>
            </w:pPr>
          </w:p>
          <w:p w:rsidR="00485230" w:rsidRDefault="00485230" w:rsidP="003C3686">
            <w:pPr>
              <w:pStyle w:val="Zhlav"/>
              <w:spacing w:line="240" w:lineRule="auto"/>
              <w:jc w:val="both"/>
              <w:rPr>
                <w:rFonts w:ascii="Arial" w:hAnsi="Arial" w:cs="Arial"/>
                <w:sz w:val="20"/>
                <w:szCs w:val="20"/>
              </w:rPr>
            </w:pPr>
            <w:r>
              <w:rPr>
                <w:rFonts w:ascii="Arial" w:hAnsi="Arial" w:cs="Arial"/>
                <w:sz w:val="20"/>
                <w:szCs w:val="20"/>
              </w:rPr>
              <w:t>Ve snaze podpořit poskytování úvěrů domácnostem na spotřebu</w:t>
            </w:r>
            <w:r w:rsidRPr="00D245BA">
              <w:rPr>
                <w:rStyle w:val="Znakapoznpodarou"/>
                <w:color w:val="000000"/>
              </w:rPr>
              <w:footnoteReference w:id="1"/>
            </w:r>
            <w:r>
              <w:rPr>
                <w:rFonts w:ascii="Arial" w:hAnsi="Arial" w:cs="Arial"/>
                <w:sz w:val="20"/>
                <w:szCs w:val="20"/>
              </w:rPr>
              <w:t xml:space="preserve"> snížily banky úrokové sazby z těchto půjček na 11,82 % z 13,79 %, ovšem u půjček na rok, kterých bývá většina, sazby naopak stouply (z 9,76 % na 12,59 %). Úvěry na bydlení dále zlevnily (2,58 %), půjčky s fixací sazby do pěti let ještě více (2,41 %). </w:t>
            </w:r>
          </w:p>
          <w:p w:rsidR="00485230" w:rsidRPr="00923651" w:rsidRDefault="00485230" w:rsidP="003C3686">
            <w:pPr>
              <w:pStyle w:val="Zhlav"/>
              <w:spacing w:line="240" w:lineRule="auto"/>
              <w:jc w:val="both"/>
              <w:rPr>
                <w:sz w:val="16"/>
                <w:szCs w:val="16"/>
              </w:rPr>
            </w:pPr>
          </w:p>
        </w:tc>
      </w:tr>
      <w:tr w:rsidR="00485230" w:rsidRPr="00EB4FA4" w:rsidTr="003C3686">
        <w:tblPrEx>
          <w:tblCellMar>
            <w:left w:w="70" w:type="dxa"/>
            <w:right w:w="70" w:type="dxa"/>
          </w:tblCellMar>
          <w:tblLook w:val="0000"/>
        </w:tblPrEx>
        <w:trPr>
          <w:gridBefore w:val="1"/>
          <w:gridAfter w:val="1"/>
          <w:wBefore w:w="19" w:type="pct"/>
          <w:wAfter w:w="17" w:type="pct"/>
        </w:trPr>
        <w:tc>
          <w:tcPr>
            <w:tcW w:w="543" w:type="pct"/>
            <w:gridSpan w:val="2"/>
          </w:tcPr>
          <w:p w:rsidR="00485230" w:rsidRPr="00CD4B29" w:rsidRDefault="00485230" w:rsidP="003C3686">
            <w:r w:rsidRPr="00CD4B29">
              <w:t xml:space="preserve">Graf č. 17 </w:t>
            </w:r>
          </w:p>
        </w:tc>
        <w:tc>
          <w:tcPr>
            <w:tcW w:w="1957" w:type="pct"/>
            <w:gridSpan w:val="3"/>
          </w:tcPr>
          <w:p w:rsidR="00485230" w:rsidRPr="009E3710" w:rsidRDefault="00485230" w:rsidP="003C3686">
            <w:pPr>
              <w:rPr>
                <w:b/>
              </w:rPr>
            </w:pPr>
            <w:r>
              <w:rPr>
                <w:b/>
                <w:bCs/>
              </w:rPr>
              <w:t>Dynamika peněžní zásoby M2 a nominálního HDP (</w:t>
            </w:r>
            <w:r w:rsidRPr="00591DBD">
              <w:rPr>
                <w:bCs/>
              </w:rPr>
              <w:t>y/y v %</w:t>
            </w:r>
            <w:r>
              <w:rPr>
                <w:bCs/>
              </w:rPr>
              <w:t>, sez. neoč.</w:t>
            </w:r>
            <w:r w:rsidRPr="00591DBD">
              <w:rPr>
                <w:bCs/>
              </w:rPr>
              <w:t>)</w:t>
            </w:r>
            <w:r>
              <w:rPr>
                <w:b/>
                <w:bCs/>
              </w:rPr>
              <w:t xml:space="preserve"> </w:t>
            </w:r>
            <w:r w:rsidRPr="009E3710">
              <w:rPr>
                <w:b/>
                <w:bCs/>
              </w:rPr>
              <w:t xml:space="preserve"> </w:t>
            </w:r>
          </w:p>
        </w:tc>
        <w:tc>
          <w:tcPr>
            <w:tcW w:w="478" w:type="pct"/>
            <w:gridSpan w:val="2"/>
          </w:tcPr>
          <w:p w:rsidR="00485230" w:rsidRPr="005A7069" w:rsidRDefault="00485230" w:rsidP="003C3686">
            <w:pPr>
              <w:rPr>
                <w:sz w:val="18"/>
                <w:szCs w:val="18"/>
              </w:rPr>
            </w:pPr>
            <w:r w:rsidRPr="005A7069">
              <w:rPr>
                <w:sz w:val="18"/>
                <w:szCs w:val="18"/>
              </w:rPr>
              <w:t>Graf č. 18</w:t>
            </w:r>
          </w:p>
        </w:tc>
        <w:tc>
          <w:tcPr>
            <w:tcW w:w="1986" w:type="pct"/>
          </w:tcPr>
          <w:p w:rsidR="00485230" w:rsidRPr="00EB4FA4" w:rsidRDefault="00485230" w:rsidP="003C3686">
            <w:pPr>
              <w:spacing w:line="240" w:lineRule="auto"/>
              <w:rPr>
                <w:b/>
                <w:szCs w:val="20"/>
              </w:rPr>
            </w:pPr>
            <w:r w:rsidRPr="005A7069">
              <w:rPr>
                <w:b/>
                <w:bCs/>
              </w:rPr>
              <w:t>Úvěry nefinančním podnikům (</w:t>
            </w:r>
            <w:r w:rsidRPr="005A7069">
              <w:rPr>
                <w:bCs/>
                <w:sz w:val="18"/>
                <w:szCs w:val="18"/>
              </w:rPr>
              <w:t>v CZK a cizí měně)</w:t>
            </w:r>
            <w:r>
              <w:rPr>
                <w:b/>
                <w:bCs/>
              </w:rPr>
              <w:t>, z toho dlouhodobé</w:t>
            </w:r>
            <w:r w:rsidRPr="005A7069">
              <w:rPr>
                <w:b/>
                <w:bCs/>
              </w:rPr>
              <w:t xml:space="preserve"> </w:t>
            </w:r>
            <w:r w:rsidRPr="00D143B5">
              <w:rPr>
                <w:bCs/>
                <w:sz w:val="18"/>
                <w:szCs w:val="18"/>
              </w:rPr>
              <w:t>(y/y v %)</w:t>
            </w:r>
          </w:p>
        </w:tc>
      </w:tr>
      <w:tr w:rsidR="00485230" w:rsidRPr="00E70510" w:rsidTr="003C3686">
        <w:tblPrEx>
          <w:tblCellMar>
            <w:left w:w="70" w:type="dxa"/>
            <w:right w:w="70" w:type="dxa"/>
          </w:tblCellMar>
          <w:tblLook w:val="0000"/>
        </w:tblPrEx>
        <w:trPr>
          <w:gridBefore w:val="1"/>
          <w:gridAfter w:val="1"/>
          <w:wBefore w:w="19" w:type="pct"/>
          <w:wAfter w:w="17" w:type="pct"/>
          <w:trHeight w:val="3256"/>
        </w:trPr>
        <w:tc>
          <w:tcPr>
            <w:tcW w:w="2500" w:type="pct"/>
            <w:gridSpan w:val="5"/>
          </w:tcPr>
          <w:p w:rsidR="00485230" w:rsidRPr="00215AF6" w:rsidRDefault="002E6C70" w:rsidP="003C3686">
            <w:pPr>
              <w:pStyle w:val="Zhlav"/>
              <w:tabs>
                <w:tab w:val="clear" w:pos="4536"/>
                <w:tab w:val="clear" w:pos="9072"/>
              </w:tabs>
              <w:rPr>
                <w:rFonts w:ascii="Arial" w:hAnsi="Arial" w:cs="Arial"/>
                <w:sz w:val="20"/>
              </w:rPr>
            </w:pPr>
            <w:r w:rsidRPr="002E6C70">
              <w:rPr>
                <w:rFonts w:ascii="Arial" w:hAnsi="Arial" w:cs="Arial"/>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35.5pt;height:202.5pt">
                  <v:imagedata r:id="rId8" o:title=""/>
                </v:shape>
              </w:pict>
            </w:r>
          </w:p>
        </w:tc>
        <w:tc>
          <w:tcPr>
            <w:tcW w:w="2464" w:type="pct"/>
            <w:gridSpan w:val="3"/>
          </w:tcPr>
          <w:p w:rsidR="00485230" w:rsidRPr="005A7069" w:rsidRDefault="002E6C70" w:rsidP="003C3686">
            <w:pPr>
              <w:pStyle w:val="Zhlav"/>
              <w:tabs>
                <w:tab w:val="clear" w:pos="4536"/>
                <w:tab w:val="clear" w:pos="9072"/>
              </w:tabs>
              <w:spacing w:line="235" w:lineRule="auto"/>
              <w:jc w:val="both"/>
              <w:rPr>
                <w:rFonts w:ascii="Arial" w:hAnsi="Arial" w:cs="Arial"/>
                <w:sz w:val="20"/>
              </w:rPr>
            </w:pPr>
            <w:r w:rsidRPr="002E6C70">
              <w:rPr>
                <w:rFonts w:ascii="Arial" w:hAnsi="Arial" w:cs="Arial"/>
                <w:sz w:val="20"/>
              </w:rPr>
              <w:pict>
                <v:shape id="_x0000_i1042" type="#_x0000_t75" style="width:228pt;height:201.75pt">
                  <v:imagedata r:id="rId9" o:title=""/>
                </v:shape>
              </w:pict>
            </w:r>
          </w:p>
        </w:tc>
      </w:tr>
      <w:tr w:rsidR="00485230" w:rsidRPr="00801FDD" w:rsidTr="003C3686">
        <w:tblPrEx>
          <w:tblCellMar>
            <w:left w:w="70" w:type="dxa"/>
            <w:right w:w="70" w:type="dxa"/>
          </w:tblCellMar>
          <w:tblLook w:val="0000"/>
        </w:tblPrEx>
        <w:trPr>
          <w:gridBefore w:val="1"/>
          <w:gridAfter w:val="1"/>
          <w:wBefore w:w="19" w:type="pct"/>
          <w:wAfter w:w="17" w:type="pct"/>
        </w:trPr>
        <w:tc>
          <w:tcPr>
            <w:tcW w:w="401" w:type="pct"/>
          </w:tcPr>
          <w:p w:rsidR="00485230" w:rsidRPr="00953AEF" w:rsidRDefault="00485230" w:rsidP="003C3686">
            <w:pPr>
              <w:rPr>
                <w:color w:val="FF0000"/>
              </w:rPr>
            </w:pPr>
          </w:p>
        </w:tc>
        <w:tc>
          <w:tcPr>
            <w:tcW w:w="2099" w:type="pct"/>
            <w:gridSpan w:val="4"/>
          </w:tcPr>
          <w:p w:rsidR="00485230" w:rsidRPr="00913041" w:rsidRDefault="00485230" w:rsidP="003C3686">
            <w:pPr>
              <w:rPr>
                <w:sz w:val="18"/>
                <w:szCs w:val="18"/>
              </w:rPr>
            </w:pPr>
            <w:r w:rsidRPr="00913041">
              <w:rPr>
                <w:b/>
                <w:sz w:val="18"/>
                <w:szCs w:val="18"/>
              </w:rPr>
              <w:t xml:space="preserve">                                           </w:t>
            </w:r>
            <w:r>
              <w:rPr>
                <w:b/>
                <w:sz w:val="18"/>
                <w:szCs w:val="18"/>
              </w:rPr>
              <w:t xml:space="preserve">      </w:t>
            </w:r>
            <w:r w:rsidRPr="00913041">
              <w:rPr>
                <w:sz w:val="18"/>
                <w:szCs w:val="18"/>
              </w:rPr>
              <w:t>Zdroj: ČSÚ, CNB</w:t>
            </w:r>
          </w:p>
        </w:tc>
        <w:tc>
          <w:tcPr>
            <w:tcW w:w="400" w:type="pct"/>
          </w:tcPr>
          <w:p w:rsidR="00485230" w:rsidRPr="00913041" w:rsidRDefault="00485230" w:rsidP="003C3686">
            <w:pPr>
              <w:rPr>
                <w:color w:val="FF0000"/>
                <w:sz w:val="18"/>
                <w:szCs w:val="18"/>
              </w:rPr>
            </w:pPr>
          </w:p>
        </w:tc>
        <w:tc>
          <w:tcPr>
            <w:tcW w:w="2064" w:type="pct"/>
            <w:gridSpan w:val="2"/>
          </w:tcPr>
          <w:p w:rsidR="00485230" w:rsidRPr="00913041" w:rsidRDefault="00485230" w:rsidP="003C3686">
            <w:pPr>
              <w:rPr>
                <w:sz w:val="18"/>
                <w:szCs w:val="18"/>
              </w:rPr>
            </w:pPr>
            <w:r w:rsidRPr="00913041">
              <w:rPr>
                <w:b/>
                <w:sz w:val="18"/>
                <w:szCs w:val="18"/>
              </w:rPr>
              <w:t xml:space="preserve">                                                       </w:t>
            </w:r>
            <w:r w:rsidRPr="00913041">
              <w:rPr>
                <w:sz w:val="18"/>
                <w:szCs w:val="18"/>
              </w:rPr>
              <w:t>Zdroj: ČNB</w:t>
            </w:r>
          </w:p>
        </w:tc>
      </w:tr>
    </w:tbl>
    <w:p w:rsidR="00B55BA8" w:rsidRPr="00EA26FA" w:rsidRDefault="00B55BA8" w:rsidP="00EA26FA">
      <w:pPr>
        <w:pStyle w:val="Nadpis1"/>
        <w:jc w:val="both"/>
        <w:rPr>
          <w:rFonts w:cs="Arial"/>
          <w:color w:val="000000" w:themeColor="text1"/>
          <w:spacing w:val="-2"/>
          <w:sz w:val="2"/>
          <w:szCs w:val="2"/>
        </w:rPr>
      </w:pPr>
    </w:p>
    <w:sectPr w:rsidR="00B55BA8" w:rsidRPr="00EA26FA" w:rsidSect="00EA26FA">
      <w:headerReference w:type="even" r:id="rId10"/>
      <w:headerReference w:type="default" r:id="rId11"/>
      <w:footerReference w:type="even" r:id="rId12"/>
      <w:footerReference w:type="default" r:id="rId13"/>
      <w:type w:val="continuous"/>
      <w:pgSz w:w="11906" w:h="16838" w:code="9"/>
      <w:pgMar w:top="1134" w:right="1134" w:bottom="1418" w:left="1134" w:header="680" w:footer="680" w:gutter="0"/>
      <w:pgNumType w:start="1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B4B" w:rsidRDefault="00463B4B" w:rsidP="00E71A58">
      <w:r>
        <w:separator/>
      </w:r>
    </w:p>
  </w:endnote>
  <w:endnote w:type="continuationSeparator" w:id="0">
    <w:p w:rsidR="00463B4B" w:rsidRDefault="00463B4B"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4B" w:rsidRDefault="002E6C70" w:rsidP="00357449">
    <w:pPr>
      <w:pStyle w:val="Zpat"/>
      <w:tabs>
        <w:tab w:val="clear" w:pos="4536"/>
        <w:tab w:val="clear" w:pos="9072"/>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50" type="#_x0000_t75" alt="Description: 3" style="position:absolute;margin-left:445.7pt;margin-top:-4.1pt;width:36.75pt;height:17.25pt;z-index:251657728;visibility:visible">
          <v:imagedata r:id="rId1" o:title=""/>
        </v:shape>
      </w:pict>
    </w:r>
    <w:r w:rsidRPr="005A21E0">
      <w:rPr>
        <w:rFonts w:ascii="Arial" w:hAnsi="Arial" w:cs="Arial"/>
        <w:sz w:val="16"/>
        <w:szCs w:val="16"/>
      </w:rPr>
      <w:fldChar w:fldCharType="begin"/>
    </w:r>
    <w:r w:rsidR="00463B4B" w:rsidRPr="005A21E0">
      <w:rPr>
        <w:rFonts w:ascii="Arial" w:hAnsi="Arial" w:cs="Arial"/>
        <w:sz w:val="16"/>
        <w:szCs w:val="16"/>
      </w:rPr>
      <w:instrText>PAGE   \* MERGEFORMAT</w:instrText>
    </w:r>
    <w:r w:rsidRPr="005A21E0">
      <w:rPr>
        <w:rFonts w:ascii="Arial" w:hAnsi="Arial" w:cs="Arial"/>
        <w:sz w:val="16"/>
        <w:szCs w:val="16"/>
      </w:rPr>
      <w:fldChar w:fldCharType="separate"/>
    </w:r>
    <w:r w:rsidR="00EA26FA">
      <w:rPr>
        <w:rFonts w:ascii="Arial" w:hAnsi="Arial" w:cs="Arial"/>
        <w:noProof/>
        <w:sz w:val="16"/>
        <w:szCs w:val="16"/>
      </w:rPr>
      <w:t>20</w:t>
    </w:r>
    <w:r w:rsidRPr="005A21E0">
      <w:rPr>
        <w:rFonts w:ascii="Arial" w:hAnsi="Arial" w:cs="Arial"/>
        <w:sz w:val="16"/>
        <w:szCs w:val="16"/>
      </w:rPr>
      <w:fldChar w:fldCharType="end"/>
    </w:r>
    <w:r w:rsidR="00463B4B">
      <w:rPr>
        <w:rFonts w:ascii="Arial" w:hAnsi="Arial" w:cs="Arial"/>
        <w:sz w:val="16"/>
        <w:szCs w:val="16"/>
      </w:rPr>
      <w:tab/>
      <w:t>2015</w:t>
    </w:r>
    <w:r w:rsidR="00463B4B">
      <w:tab/>
    </w:r>
    <w:r w:rsidR="00463B4B">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4B" w:rsidRDefault="002E6C70" w:rsidP="00357449">
    <w:pPr>
      <w:pStyle w:val="Zpat"/>
      <w:tabs>
        <w:tab w:val="clear" w:pos="4536"/>
        <w:tab w:val="clear" w:pos="9072"/>
        <w:tab w:val="left" w:pos="1134"/>
        <w:tab w:val="left" w:pos="1920"/>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Description: 3" style="position:absolute;margin-left:.3pt;margin-top:7.1pt;width:39pt;height:21pt;z-index:251658752;visibility:visible">
          <v:imagedata r:id="rId1" o:title=""/>
        </v:shape>
      </w:pict>
    </w:r>
    <w:r w:rsidR="00463B4B">
      <w:tab/>
    </w:r>
    <w:r w:rsidR="00463B4B">
      <w:tab/>
    </w:r>
    <w:r w:rsidR="00463B4B" w:rsidRPr="00DC5B3B">
      <w:t xml:space="preserve">                              </w:t>
    </w:r>
  </w:p>
  <w:p w:rsidR="00463B4B" w:rsidRPr="00223E00" w:rsidRDefault="00463B4B"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2015</w:t>
    </w:r>
    <w:r>
      <w:rPr>
        <w:rFonts w:ascii="Arial" w:hAnsi="Arial" w:cs="Arial"/>
        <w:sz w:val="16"/>
        <w:szCs w:val="16"/>
      </w:rPr>
      <w:tab/>
    </w:r>
    <w:r w:rsidR="002E6C70"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2E6C70" w:rsidRPr="00223E00">
      <w:rPr>
        <w:rFonts w:ascii="Arial" w:hAnsi="Arial" w:cs="Arial"/>
        <w:sz w:val="16"/>
        <w:szCs w:val="16"/>
      </w:rPr>
      <w:fldChar w:fldCharType="separate"/>
    </w:r>
    <w:r w:rsidR="00EA26FA">
      <w:rPr>
        <w:rFonts w:ascii="Arial" w:hAnsi="Arial" w:cs="Arial"/>
        <w:noProof/>
        <w:sz w:val="16"/>
        <w:szCs w:val="16"/>
      </w:rPr>
      <w:t>19</w:t>
    </w:r>
    <w:r w:rsidR="002E6C70"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B4B" w:rsidRDefault="00463B4B" w:rsidP="00E71A58">
      <w:r>
        <w:separator/>
      </w:r>
    </w:p>
  </w:footnote>
  <w:footnote w:type="continuationSeparator" w:id="0">
    <w:p w:rsidR="00463B4B" w:rsidRDefault="00463B4B" w:rsidP="00E71A58">
      <w:r>
        <w:continuationSeparator/>
      </w:r>
    </w:p>
  </w:footnote>
  <w:footnote w:id="1">
    <w:p w:rsidR="00463B4B" w:rsidRDefault="00463B4B" w:rsidP="00485230">
      <w:pPr>
        <w:pStyle w:val="Textpoznpodarou"/>
        <w:jc w:val="both"/>
      </w:pPr>
      <w:r>
        <w:rPr>
          <w:rStyle w:val="Znakapoznpodarou"/>
        </w:rPr>
        <w:footnoteRef/>
      </w:r>
      <w:r>
        <w:t xml:space="preserve"> </w:t>
      </w:r>
      <w:r w:rsidRPr="00ED66C8">
        <w:rPr>
          <w:sz w:val="16"/>
          <w:szCs w:val="16"/>
        </w:rPr>
        <w:t xml:space="preserve">Fúze pobočky zahraniční banky s nebankovním subjektem (spadajícím do kategorie Zprostředkovatelé financování aktiv - ostatní úvěrování) ovlivnila data v bankovní a měnové statistice </w:t>
      </w:r>
      <w:r>
        <w:rPr>
          <w:sz w:val="16"/>
          <w:szCs w:val="16"/>
        </w:rPr>
        <w:t>už k</w:t>
      </w:r>
      <w:r w:rsidRPr="00ED66C8">
        <w:rPr>
          <w:sz w:val="16"/>
          <w:szCs w:val="16"/>
        </w:rPr>
        <w:t xml:space="preserve"> 30.</w:t>
      </w:r>
      <w:r>
        <w:rPr>
          <w:sz w:val="16"/>
          <w:szCs w:val="16"/>
        </w:rPr>
        <w:t xml:space="preserve"> </w:t>
      </w:r>
      <w:r w:rsidRPr="00ED66C8">
        <w:rPr>
          <w:sz w:val="16"/>
          <w:szCs w:val="16"/>
        </w:rPr>
        <w:t>6.</w:t>
      </w:r>
      <w:r>
        <w:rPr>
          <w:sz w:val="16"/>
          <w:szCs w:val="16"/>
        </w:rPr>
        <w:t xml:space="preserve"> </w:t>
      </w:r>
      <w:r w:rsidRPr="00ED66C8">
        <w:rPr>
          <w:sz w:val="16"/>
          <w:szCs w:val="16"/>
        </w:rPr>
        <w:t xml:space="preserve">2015. Bilanční suma bank jednorázově vzrostla o 20 mld. </w:t>
      </w:r>
      <w:r>
        <w:rPr>
          <w:sz w:val="16"/>
          <w:szCs w:val="16"/>
        </w:rPr>
        <w:t>korun</w:t>
      </w:r>
      <w:r w:rsidRPr="00ED66C8">
        <w:rPr>
          <w:sz w:val="16"/>
          <w:szCs w:val="16"/>
        </w:rPr>
        <w:t xml:space="preserve">, spotřebitelské úvěry obyvatelstvu včetně debetních zůstatků na běžných účtech se navýšily o 18 mld. </w:t>
      </w:r>
      <w:r>
        <w:rPr>
          <w:sz w:val="16"/>
          <w:szCs w:val="16"/>
        </w:rPr>
        <w:t>korun</w:t>
      </w:r>
      <w:r w:rsidRPr="00ED66C8">
        <w:rPr>
          <w:sz w:val="16"/>
          <w:szCs w:val="16"/>
        </w:rPr>
        <w:t>, z toho pohledávky z</w:t>
      </w:r>
      <w:r>
        <w:rPr>
          <w:sz w:val="16"/>
          <w:szCs w:val="16"/>
        </w:rPr>
        <w:t> </w:t>
      </w:r>
      <w:r w:rsidRPr="00ED66C8">
        <w:rPr>
          <w:sz w:val="16"/>
          <w:szCs w:val="16"/>
        </w:rPr>
        <w:t xml:space="preserve">kreditních karet o 8 mld. </w:t>
      </w:r>
      <w:r>
        <w:rPr>
          <w:sz w:val="16"/>
          <w:szCs w:val="16"/>
        </w:rPr>
        <w:t>korun</w:t>
      </w:r>
      <w:r w:rsidRPr="00ED66C8">
        <w:rPr>
          <w:sz w:val="16"/>
          <w:szCs w:val="16"/>
        </w:rPr>
        <w:t xml:space="preserve">. Zároveň poklesly úvěry poskytnuté ostatním finančním zprostředkovatelům o 8,5 mld. </w:t>
      </w:r>
      <w:r>
        <w:rPr>
          <w:sz w:val="16"/>
          <w:szCs w:val="16"/>
        </w:rPr>
        <w:t>korun</w:t>
      </w:r>
      <w:r w:rsidRPr="00ED66C8">
        <w:rPr>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4B" w:rsidRPr="00D766EF" w:rsidRDefault="00463B4B" w:rsidP="00D766EF">
    <w:pPr>
      <w:pStyle w:val="Zhlav"/>
      <w:tabs>
        <w:tab w:val="clear" w:pos="4536"/>
        <w:tab w:val="clear" w:pos="9072"/>
        <w:tab w:val="left" w:pos="-6379"/>
        <w:tab w:val="center" w:pos="4820"/>
        <w:tab w:val="right" w:pos="9639"/>
      </w:tabs>
      <w:rPr>
        <w:szCs w:val="16"/>
      </w:rPr>
    </w:pPr>
    <w:r>
      <w:rPr>
        <w:rFonts w:ascii="Arial" w:hAnsi="Arial" w:cs="Arial"/>
        <w:sz w:val="16"/>
        <w:szCs w:val="16"/>
      </w:rPr>
      <w:t>Vývoj ekonomiky České republiky v 1. až 3. čtvrtletí 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4B" w:rsidRPr="00D766EF" w:rsidRDefault="00463B4B" w:rsidP="00D766EF">
    <w:pPr>
      <w:pStyle w:val="Zhlav"/>
      <w:tabs>
        <w:tab w:val="clear" w:pos="4536"/>
        <w:tab w:val="clear" w:pos="9072"/>
        <w:tab w:val="left" w:pos="-6379"/>
        <w:tab w:val="center" w:pos="4820"/>
        <w:tab w:val="right" w:pos="9639"/>
      </w:tabs>
      <w:rPr>
        <w:szCs w:val="16"/>
      </w:rPr>
    </w:pPr>
    <w:r>
      <w:rPr>
        <w:rFonts w:ascii="Arial" w:hAnsi="Arial" w:cs="Arial"/>
        <w:sz w:val="16"/>
        <w:szCs w:val="16"/>
      </w:rPr>
      <w:t>Vývoj ekonomiky České republiky v 1. až 3. čtvrtletí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E499A"/>
    <w:multiLevelType w:val="hybridMultilevel"/>
    <w:tmpl w:val="55D2B74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D4D0FE2"/>
    <w:multiLevelType w:val="hybridMultilevel"/>
    <w:tmpl w:val="03541CA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4"/>
  <w:doNotTrackMoves/>
  <w:defaultTabStop w:val="708"/>
  <w:hyphenationZone w:val="425"/>
  <w:evenAndOddHeaders/>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70BD"/>
    <w:rsid w:val="00000FA7"/>
    <w:rsid w:val="00003687"/>
    <w:rsid w:val="00003C43"/>
    <w:rsid w:val="00007498"/>
    <w:rsid w:val="0000767A"/>
    <w:rsid w:val="000101F5"/>
    <w:rsid w:val="000104B9"/>
    <w:rsid w:val="00010702"/>
    <w:rsid w:val="00011191"/>
    <w:rsid w:val="0001159B"/>
    <w:rsid w:val="00012986"/>
    <w:rsid w:val="00015195"/>
    <w:rsid w:val="0001572B"/>
    <w:rsid w:val="0001573E"/>
    <w:rsid w:val="000162DB"/>
    <w:rsid w:val="00017F05"/>
    <w:rsid w:val="000202C6"/>
    <w:rsid w:val="00020946"/>
    <w:rsid w:val="00024887"/>
    <w:rsid w:val="00024CBA"/>
    <w:rsid w:val="00025501"/>
    <w:rsid w:val="00026998"/>
    <w:rsid w:val="000304C4"/>
    <w:rsid w:val="0003066A"/>
    <w:rsid w:val="00030F14"/>
    <w:rsid w:val="000311C5"/>
    <w:rsid w:val="00032838"/>
    <w:rsid w:val="00032C12"/>
    <w:rsid w:val="00035CCF"/>
    <w:rsid w:val="00035FC6"/>
    <w:rsid w:val="00037667"/>
    <w:rsid w:val="000411E1"/>
    <w:rsid w:val="00043E05"/>
    <w:rsid w:val="0004694F"/>
    <w:rsid w:val="000500DC"/>
    <w:rsid w:val="00052172"/>
    <w:rsid w:val="00055059"/>
    <w:rsid w:val="000553E4"/>
    <w:rsid w:val="00060F26"/>
    <w:rsid w:val="00062D43"/>
    <w:rsid w:val="00062EC5"/>
    <w:rsid w:val="00064256"/>
    <w:rsid w:val="000706A4"/>
    <w:rsid w:val="00072118"/>
    <w:rsid w:val="00073173"/>
    <w:rsid w:val="000779AC"/>
    <w:rsid w:val="00083803"/>
    <w:rsid w:val="0008716A"/>
    <w:rsid w:val="00087634"/>
    <w:rsid w:val="00091237"/>
    <w:rsid w:val="0009191B"/>
    <w:rsid w:val="000920EC"/>
    <w:rsid w:val="00092208"/>
    <w:rsid w:val="00092505"/>
    <w:rsid w:val="00097D02"/>
    <w:rsid w:val="000A1183"/>
    <w:rsid w:val="000A2121"/>
    <w:rsid w:val="000A2484"/>
    <w:rsid w:val="000A66C2"/>
    <w:rsid w:val="000B1CFE"/>
    <w:rsid w:val="000B210A"/>
    <w:rsid w:val="000B249B"/>
    <w:rsid w:val="000B3DB9"/>
    <w:rsid w:val="000B3F02"/>
    <w:rsid w:val="000B48E7"/>
    <w:rsid w:val="000B4F41"/>
    <w:rsid w:val="000B7663"/>
    <w:rsid w:val="000C11D3"/>
    <w:rsid w:val="000C12F5"/>
    <w:rsid w:val="000C3408"/>
    <w:rsid w:val="000C6498"/>
    <w:rsid w:val="000D0D51"/>
    <w:rsid w:val="000D14B3"/>
    <w:rsid w:val="000D208B"/>
    <w:rsid w:val="000D2B8D"/>
    <w:rsid w:val="000D2E41"/>
    <w:rsid w:val="000D342A"/>
    <w:rsid w:val="000D5E7A"/>
    <w:rsid w:val="000D5FAA"/>
    <w:rsid w:val="000D65A4"/>
    <w:rsid w:val="000D6AEF"/>
    <w:rsid w:val="000E025B"/>
    <w:rsid w:val="000E153A"/>
    <w:rsid w:val="000E19A8"/>
    <w:rsid w:val="000E4A42"/>
    <w:rsid w:val="000E6476"/>
    <w:rsid w:val="000E78D2"/>
    <w:rsid w:val="000F3332"/>
    <w:rsid w:val="000F33EE"/>
    <w:rsid w:val="000F401E"/>
    <w:rsid w:val="000F5445"/>
    <w:rsid w:val="000F5673"/>
    <w:rsid w:val="000F67B2"/>
    <w:rsid w:val="000F790F"/>
    <w:rsid w:val="000F7E1B"/>
    <w:rsid w:val="00100014"/>
    <w:rsid w:val="0010039A"/>
    <w:rsid w:val="00101FB2"/>
    <w:rsid w:val="00102F02"/>
    <w:rsid w:val="0010385D"/>
    <w:rsid w:val="001041B6"/>
    <w:rsid w:val="001070EA"/>
    <w:rsid w:val="0011002A"/>
    <w:rsid w:val="001107CE"/>
    <w:rsid w:val="0011110A"/>
    <w:rsid w:val="001118AF"/>
    <w:rsid w:val="0011256E"/>
    <w:rsid w:val="0011352E"/>
    <w:rsid w:val="00116DB9"/>
    <w:rsid w:val="00116F28"/>
    <w:rsid w:val="00121C39"/>
    <w:rsid w:val="00123255"/>
    <w:rsid w:val="00124D2D"/>
    <w:rsid w:val="00125326"/>
    <w:rsid w:val="001307BE"/>
    <w:rsid w:val="00130C8F"/>
    <w:rsid w:val="001314F2"/>
    <w:rsid w:val="001317DA"/>
    <w:rsid w:val="001323BA"/>
    <w:rsid w:val="0013254D"/>
    <w:rsid w:val="00133AAC"/>
    <w:rsid w:val="00136561"/>
    <w:rsid w:val="001400E1"/>
    <w:rsid w:val="001405FA"/>
    <w:rsid w:val="001413B3"/>
    <w:rsid w:val="001425C3"/>
    <w:rsid w:val="00142F16"/>
    <w:rsid w:val="00143E03"/>
    <w:rsid w:val="00143E93"/>
    <w:rsid w:val="00151AC0"/>
    <w:rsid w:val="00151B27"/>
    <w:rsid w:val="00152046"/>
    <w:rsid w:val="00154147"/>
    <w:rsid w:val="00155746"/>
    <w:rsid w:val="00156318"/>
    <w:rsid w:val="0015639A"/>
    <w:rsid w:val="0016081D"/>
    <w:rsid w:val="00160CF3"/>
    <w:rsid w:val="001620FA"/>
    <w:rsid w:val="00162853"/>
    <w:rsid w:val="00163793"/>
    <w:rsid w:val="001707DE"/>
    <w:rsid w:val="00170B04"/>
    <w:rsid w:val="00170F47"/>
    <w:rsid w:val="001714F2"/>
    <w:rsid w:val="00173642"/>
    <w:rsid w:val="00173CB0"/>
    <w:rsid w:val="00174CE8"/>
    <w:rsid w:val="00175351"/>
    <w:rsid w:val="00176050"/>
    <w:rsid w:val="001764D8"/>
    <w:rsid w:val="00176A8F"/>
    <w:rsid w:val="00180D58"/>
    <w:rsid w:val="00182981"/>
    <w:rsid w:val="00184CF9"/>
    <w:rsid w:val="00185010"/>
    <w:rsid w:val="001852EC"/>
    <w:rsid w:val="00186447"/>
    <w:rsid w:val="001874CF"/>
    <w:rsid w:val="00190D9B"/>
    <w:rsid w:val="00191BAE"/>
    <w:rsid w:val="00193432"/>
    <w:rsid w:val="0019346C"/>
    <w:rsid w:val="00195444"/>
    <w:rsid w:val="001A2BDB"/>
    <w:rsid w:val="001A30F4"/>
    <w:rsid w:val="001A552F"/>
    <w:rsid w:val="001A56F3"/>
    <w:rsid w:val="001A750C"/>
    <w:rsid w:val="001B1D89"/>
    <w:rsid w:val="001B3110"/>
    <w:rsid w:val="001B4198"/>
    <w:rsid w:val="001B44BC"/>
    <w:rsid w:val="001B6545"/>
    <w:rsid w:val="001B681B"/>
    <w:rsid w:val="001B6A49"/>
    <w:rsid w:val="001B74FB"/>
    <w:rsid w:val="001B77A1"/>
    <w:rsid w:val="001C0422"/>
    <w:rsid w:val="001C0E0E"/>
    <w:rsid w:val="001C1219"/>
    <w:rsid w:val="001C357A"/>
    <w:rsid w:val="001C3A37"/>
    <w:rsid w:val="001C4384"/>
    <w:rsid w:val="001C65FF"/>
    <w:rsid w:val="001D47E5"/>
    <w:rsid w:val="001D584C"/>
    <w:rsid w:val="001D66C1"/>
    <w:rsid w:val="001E0024"/>
    <w:rsid w:val="001E0C65"/>
    <w:rsid w:val="001E23E3"/>
    <w:rsid w:val="001E387A"/>
    <w:rsid w:val="001E3DA4"/>
    <w:rsid w:val="001E5830"/>
    <w:rsid w:val="001E684C"/>
    <w:rsid w:val="001E701C"/>
    <w:rsid w:val="001E7C03"/>
    <w:rsid w:val="001F02AF"/>
    <w:rsid w:val="001F0649"/>
    <w:rsid w:val="001F28F4"/>
    <w:rsid w:val="001F378E"/>
    <w:rsid w:val="001F3C79"/>
    <w:rsid w:val="001F3E68"/>
    <w:rsid w:val="001F4597"/>
    <w:rsid w:val="001F56A9"/>
    <w:rsid w:val="00200D15"/>
    <w:rsid w:val="00203074"/>
    <w:rsid w:val="00203B46"/>
    <w:rsid w:val="002048E1"/>
    <w:rsid w:val="00207DB6"/>
    <w:rsid w:val="00210278"/>
    <w:rsid w:val="00210CC2"/>
    <w:rsid w:val="00210F5B"/>
    <w:rsid w:val="00211262"/>
    <w:rsid w:val="00211AC9"/>
    <w:rsid w:val="0021355B"/>
    <w:rsid w:val="002205F2"/>
    <w:rsid w:val="0022080E"/>
    <w:rsid w:val="0022139E"/>
    <w:rsid w:val="0022272B"/>
    <w:rsid w:val="00222A99"/>
    <w:rsid w:val="00223678"/>
    <w:rsid w:val="002236F7"/>
    <w:rsid w:val="00223E00"/>
    <w:rsid w:val="002252E0"/>
    <w:rsid w:val="002255F6"/>
    <w:rsid w:val="00226466"/>
    <w:rsid w:val="002266D0"/>
    <w:rsid w:val="00226887"/>
    <w:rsid w:val="00230DAD"/>
    <w:rsid w:val="0023229C"/>
    <w:rsid w:val="00234280"/>
    <w:rsid w:val="00235000"/>
    <w:rsid w:val="002350E3"/>
    <w:rsid w:val="00235330"/>
    <w:rsid w:val="00236443"/>
    <w:rsid w:val="00240773"/>
    <w:rsid w:val="00240A5B"/>
    <w:rsid w:val="002436BA"/>
    <w:rsid w:val="002444ED"/>
    <w:rsid w:val="00244A15"/>
    <w:rsid w:val="00244D40"/>
    <w:rsid w:val="00246AE9"/>
    <w:rsid w:val="0024799E"/>
    <w:rsid w:val="00250C59"/>
    <w:rsid w:val="00251D59"/>
    <w:rsid w:val="00252602"/>
    <w:rsid w:val="00252FDC"/>
    <w:rsid w:val="00257613"/>
    <w:rsid w:val="00261E5B"/>
    <w:rsid w:val="00263470"/>
    <w:rsid w:val="00263733"/>
    <w:rsid w:val="00264676"/>
    <w:rsid w:val="00265536"/>
    <w:rsid w:val="00265E54"/>
    <w:rsid w:val="00266F3E"/>
    <w:rsid w:val="00272464"/>
    <w:rsid w:val="00273DCD"/>
    <w:rsid w:val="00274291"/>
    <w:rsid w:val="00276CFE"/>
    <w:rsid w:val="00277071"/>
    <w:rsid w:val="0027786C"/>
    <w:rsid w:val="00277BF7"/>
    <w:rsid w:val="00281416"/>
    <w:rsid w:val="00285CD3"/>
    <w:rsid w:val="0028686A"/>
    <w:rsid w:val="00286E66"/>
    <w:rsid w:val="002919B5"/>
    <w:rsid w:val="00293441"/>
    <w:rsid w:val="00294238"/>
    <w:rsid w:val="0029493E"/>
    <w:rsid w:val="00296C2E"/>
    <w:rsid w:val="002A1B05"/>
    <w:rsid w:val="002A3354"/>
    <w:rsid w:val="002A35EA"/>
    <w:rsid w:val="002A37B6"/>
    <w:rsid w:val="002A3BD5"/>
    <w:rsid w:val="002A43A2"/>
    <w:rsid w:val="002A4612"/>
    <w:rsid w:val="002A5263"/>
    <w:rsid w:val="002A6821"/>
    <w:rsid w:val="002A74D2"/>
    <w:rsid w:val="002A7CDA"/>
    <w:rsid w:val="002B1544"/>
    <w:rsid w:val="002B36C8"/>
    <w:rsid w:val="002B7240"/>
    <w:rsid w:val="002C2668"/>
    <w:rsid w:val="002C43BD"/>
    <w:rsid w:val="002C5261"/>
    <w:rsid w:val="002C6091"/>
    <w:rsid w:val="002D0562"/>
    <w:rsid w:val="002D1B5A"/>
    <w:rsid w:val="002D3F00"/>
    <w:rsid w:val="002D4D59"/>
    <w:rsid w:val="002D54BF"/>
    <w:rsid w:val="002D5E94"/>
    <w:rsid w:val="002D632D"/>
    <w:rsid w:val="002E02A1"/>
    <w:rsid w:val="002E0982"/>
    <w:rsid w:val="002E0DB9"/>
    <w:rsid w:val="002E2CE4"/>
    <w:rsid w:val="002E6C70"/>
    <w:rsid w:val="002E73F2"/>
    <w:rsid w:val="002F33FB"/>
    <w:rsid w:val="002F7594"/>
    <w:rsid w:val="00301357"/>
    <w:rsid w:val="00301D04"/>
    <w:rsid w:val="00303DCB"/>
    <w:rsid w:val="00304771"/>
    <w:rsid w:val="00305736"/>
    <w:rsid w:val="00306C5B"/>
    <w:rsid w:val="00306E3B"/>
    <w:rsid w:val="003119B6"/>
    <w:rsid w:val="00312C3D"/>
    <w:rsid w:val="00314331"/>
    <w:rsid w:val="00317E31"/>
    <w:rsid w:val="00320214"/>
    <w:rsid w:val="003209D6"/>
    <w:rsid w:val="0032109A"/>
    <w:rsid w:val="0032214F"/>
    <w:rsid w:val="00322164"/>
    <w:rsid w:val="0032513D"/>
    <w:rsid w:val="00326251"/>
    <w:rsid w:val="0032739C"/>
    <w:rsid w:val="00327DEE"/>
    <w:rsid w:val="003329F3"/>
    <w:rsid w:val="0033352E"/>
    <w:rsid w:val="00333690"/>
    <w:rsid w:val="00333D20"/>
    <w:rsid w:val="003340EF"/>
    <w:rsid w:val="00334A49"/>
    <w:rsid w:val="0033536F"/>
    <w:rsid w:val="00335BB0"/>
    <w:rsid w:val="0033627B"/>
    <w:rsid w:val="003406BD"/>
    <w:rsid w:val="00343F84"/>
    <w:rsid w:val="00344135"/>
    <w:rsid w:val="00351B63"/>
    <w:rsid w:val="00352E57"/>
    <w:rsid w:val="003541B0"/>
    <w:rsid w:val="00355885"/>
    <w:rsid w:val="0035605E"/>
    <w:rsid w:val="00357449"/>
    <w:rsid w:val="0036238B"/>
    <w:rsid w:val="00365680"/>
    <w:rsid w:val="003657F3"/>
    <w:rsid w:val="00367038"/>
    <w:rsid w:val="0037144E"/>
    <w:rsid w:val="003736B5"/>
    <w:rsid w:val="00374F1E"/>
    <w:rsid w:val="00376DEC"/>
    <w:rsid w:val="00380E04"/>
    <w:rsid w:val="00383227"/>
    <w:rsid w:val="00384D8F"/>
    <w:rsid w:val="00385D98"/>
    <w:rsid w:val="00385EC5"/>
    <w:rsid w:val="0039066E"/>
    <w:rsid w:val="00391C95"/>
    <w:rsid w:val="00394D49"/>
    <w:rsid w:val="00396DAC"/>
    <w:rsid w:val="003A0214"/>
    <w:rsid w:val="003A027D"/>
    <w:rsid w:val="003A1D74"/>
    <w:rsid w:val="003A2B4D"/>
    <w:rsid w:val="003A2D2B"/>
    <w:rsid w:val="003A2DD4"/>
    <w:rsid w:val="003A3B1C"/>
    <w:rsid w:val="003A4088"/>
    <w:rsid w:val="003A478C"/>
    <w:rsid w:val="003A4F82"/>
    <w:rsid w:val="003A5525"/>
    <w:rsid w:val="003A6B38"/>
    <w:rsid w:val="003B2E63"/>
    <w:rsid w:val="003B3189"/>
    <w:rsid w:val="003B3A9D"/>
    <w:rsid w:val="003B5031"/>
    <w:rsid w:val="003B5A32"/>
    <w:rsid w:val="003B6105"/>
    <w:rsid w:val="003C04C4"/>
    <w:rsid w:val="003C26F4"/>
    <w:rsid w:val="003C3686"/>
    <w:rsid w:val="003C4852"/>
    <w:rsid w:val="003C601E"/>
    <w:rsid w:val="003D2C4E"/>
    <w:rsid w:val="003D3600"/>
    <w:rsid w:val="003D3825"/>
    <w:rsid w:val="003D3EC4"/>
    <w:rsid w:val="003D4760"/>
    <w:rsid w:val="003D49DC"/>
    <w:rsid w:val="003D5D7A"/>
    <w:rsid w:val="003E0663"/>
    <w:rsid w:val="003E133F"/>
    <w:rsid w:val="003E699C"/>
    <w:rsid w:val="003E69F3"/>
    <w:rsid w:val="003E782E"/>
    <w:rsid w:val="003E7A0B"/>
    <w:rsid w:val="003E7B2B"/>
    <w:rsid w:val="003F1A48"/>
    <w:rsid w:val="003F2B0A"/>
    <w:rsid w:val="003F313C"/>
    <w:rsid w:val="003F37FC"/>
    <w:rsid w:val="003F49A6"/>
    <w:rsid w:val="003F5098"/>
    <w:rsid w:val="003F5568"/>
    <w:rsid w:val="003F5A95"/>
    <w:rsid w:val="003F6D19"/>
    <w:rsid w:val="004000D5"/>
    <w:rsid w:val="004005C1"/>
    <w:rsid w:val="00401716"/>
    <w:rsid w:val="0040273A"/>
    <w:rsid w:val="00402C25"/>
    <w:rsid w:val="004050D7"/>
    <w:rsid w:val="004078BD"/>
    <w:rsid w:val="00410132"/>
    <w:rsid w:val="00410BCD"/>
    <w:rsid w:val="0041175D"/>
    <w:rsid w:val="004123BE"/>
    <w:rsid w:val="00414CE5"/>
    <w:rsid w:val="00416673"/>
    <w:rsid w:val="0042160D"/>
    <w:rsid w:val="00423A3C"/>
    <w:rsid w:val="0042681B"/>
    <w:rsid w:val="0043068A"/>
    <w:rsid w:val="004306E0"/>
    <w:rsid w:val="00431D54"/>
    <w:rsid w:val="004329BE"/>
    <w:rsid w:val="00432C38"/>
    <w:rsid w:val="00437C76"/>
    <w:rsid w:val="0044105C"/>
    <w:rsid w:val="004441A0"/>
    <w:rsid w:val="00444268"/>
    <w:rsid w:val="004443BF"/>
    <w:rsid w:val="00444C19"/>
    <w:rsid w:val="00446892"/>
    <w:rsid w:val="00450C30"/>
    <w:rsid w:val="004540FF"/>
    <w:rsid w:val="004541F1"/>
    <w:rsid w:val="00455ECA"/>
    <w:rsid w:val="00460164"/>
    <w:rsid w:val="0046039A"/>
    <w:rsid w:val="00460A6B"/>
    <w:rsid w:val="00461977"/>
    <w:rsid w:val="004629FD"/>
    <w:rsid w:val="00463B4B"/>
    <w:rsid w:val="00463F4D"/>
    <w:rsid w:val="0046471F"/>
    <w:rsid w:val="00464BE8"/>
    <w:rsid w:val="00465019"/>
    <w:rsid w:val="0046613F"/>
    <w:rsid w:val="0046655D"/>
    <w:rsid w:val="0046765E"/>
    <w:rsid w:val="004676E2"/>
    <w:rsid w:val="00471EDD"/>
    <w:rsid w:val="00473E94"/>
    <w:rsid w:val="0047400C"/>
    <w:rsid w:val="004745D9"/>
    <w:rsid w:val="004762D8"/>
    <w:rsid w:val="004765B3"/>
    <w:rsid w:val="00476D29"/>
    <w:rsid w:val="00477241"/>
    <w:rsid w:val="00477EAF"/>
    <w:rsid w:val="00477EE0"/>
    <w:rsid w:val="0048139F"/>
    <w:rsid w:val="00483053"/>
    <w:rsid w:val="00485230"/>
    <w:rsid w:val="004879E9"/>
    <w:rsid w:val="00487F81"/>
    <w:rsid w:val="00490247"/>
    <w:rsid w:val="0049104F"/>
    <w:rsid w:val="00491218"/>
    <w:rsid w:val="00491CFD"/>
    <w:rsid w:val="00493362"/>
    <w:rsid w:val="00496C2F"/>
    <w:rsid w:val="0049740D"/>
    <w:rsid w:val="004978D3"/>
    <w:rsid w:val="004A11F8"/>
    <w:rsid w:val="004A22FA"/>
    <w:rsid w:val="004A269A"/>
    <w:rsid w:val="004A30FB"/>
    <w:rsid w:val="004A35DD"/>
    <w:rsid w:val="004A37D3"/>
    <w:rsid w:val="004A3AD6"/>
    <w:rsid w:val="004A5865"/>
    <w:rsid w:val="004A77DF"/>
    <w:rsid w:val="004B0295"/>
    <w:rsid w:val="004B10A8"/>
    <w:rsid w:val="004B22DA"/>
    <w:rsid w:val="004B3CB7"/>
    <w:rsid w:val="004B3D55"/>
    <w:rsid w:val="004B55B7"/>
    <w:rsid w:val="004C00A6"/>
    <w:rsid w:val="004C0BBB"/>
    <w:rsid w:val="004C1AD6"/>
    <w:rsid w:val="004C1B86"/>
    <w:rsid w:val="004C3382"/>
    <w:rsid w:val="004C3867"/>
    <w:rsid w:val="004C4AB7"/>
    <w:rsid w:val="004C4CD0"/>
    <w:rsid w:val="004C57B5"/>
    <w:rsid w:val="004C5C25"/>
    <w:rsid w:val="004C6717"/>
    <w:rsid w:val="004C6CFF"/>
    <w:rsid w:val="004C70DC"/>
    <w:rsid w:val="004C7268"/>
    <w:rsid w:val="004D0211"/>
    <w:rsid w:val="004D1C9C"/>
    <w:rsid w:val="004D504B"/>
    <w:rsid w:val="004D536E"/>
    <w:rsid w:val="004E1839"/>
    <w:rsid w:val="004E4A75"/>
    <w:rsid w:val="004E541A"/>
    <w:rsid w:val="004E5A5C"/>
    <w:rsid w:val="004E76D6"/>
    <w:rsid w:val="004F06F5"/>
    <w:rsid w:val="004F191F"/>
    <w:rsid w:val="004F2A73"/>
    <w:rsid w:val="004F33A0"/>
    <w:rsid w:val="004F4353"/>
    <w:rsid w:val="004F447D"/>
    <w:rsid w:val="004F4C28"/>
    <w:rsid w:val="004F5CC5"/>
    <w:rsid w:val="0050692E"/>
    <w:rsid w:val="00507040"/>
    <w:rsid w:val="005079F8"/>
    <w:rsid w:val="00510189"/>
    <w:rsid w:val="005108C0"/>
    <w:rsid w:val="00511873"/>
    <w:rsid w:val="00513B7E"/>
    <w:rsid w:val="00514474"/>
    <w:rsid w:val="005215EF"/>
    <w:rsid w:val="00524637"/>
    <w:rsid w:val="00525137"/>
    <w:rsid w:val="005251DD"/>
    <w:rsid w:val="0053017A"/>
    <w:rsid w:val="00530492"/>
    <w:rsid w:val="00532854"/>
    <w:rsid w:val="005350F2"/>
    <w:rsid w:val="00535152"/>
    <w:rsid w:val="00535359"/>
    <w:rsid w:val="005357A2"/>
    <w:rsid w:val="00535D87"/>
    <w:rsid w:val="00535EF0"/>
    <w:rsid w:val="0053734B"/>
    <w:rsid w:val="005375B1"/>
    <w:rsid w:val="00537AFD"/>
    <w:rsid w:val="00537CB4"/>
    <w:rsid w:val="0054516B"/>
    <w:rsid w:val="0054559E"/>
    <w:rsid w:val="005513D5"/>
    <w:rsid w:val="005523B9"/>
    <w:rsid w:val="005545E0"/>
    <w:rsid w:val="00554865"/>
    <w:rsid w:val="00554E57"/>
    <w:rsid w:val="00562749"/>
    <w:rsid w:val="00562DE9"/>
    <w:rsid w:val="005638A5"/>
    <w:rsid w:val="00566381"/>
    <w:rsid w:val="00566A03"/>
    <w:rsid w:val="00571932"/>
    <w:rsid w:val="00573C97"/>
    <w:rsid w:val="00574240"/>
    <w:rsid w:val="00575CDC"/>
    <w:rsid w:val="005765D5"/>
    <w:rsid w:val="00576A3E"/>
    <w:rsid w:val="0057703D"/>
    <w:rsid w:val="00583D5B"/>
    <w:rsid w:val="00583FFD"/>
    <w:rsid w:val="00587CCD"/>
    <w:rsid w:val="005908AE"/>
    <w:rsid w:val="0059176E"/>
    <w:rsid w:val="00593152"/>
    <w:rsid w:val="00593CA3"/>
    <w:rsid w:val="00594161"/>
    <w:rsid w:val="00594969"/>
    <w:rsid w:val="00596C5E"/>
    <w:rsid w:val="005A2194"/>
    <w:rsid w:val="005A21E0"/>
    <w:rsid w:val="005A33A1"/>
    <w:rsid w:val="005A54EE"/>
    <w:rsid w:val="005A7500"/>
    <w:rsid w:val="005B1BDB"/>
    <w:rsid w:val="005B2BAA"/>
    <w:rsid w:val="005B2D53"/>
    <w:rsid w:val="005B3247"/>
    <w:rsid w:val="005B3409"/>
    <w:rsid w:val="005B7B12"/>
    <w:rsid w:val="005C16CB"/>
    <w:rsid w:val="005C21D6"/>
    <w:rsid w:val="005C3F9F"/>
    <w:rsid w:val="005C4A23"/>
    <w:rsid w:val="005C562C"/>
    <w:rsid w:val="005C5812"/>
    <w:rsid w:val="005C6400"/>
    <w:rsid w:val="005C7F1E"/>
    <w:rsid w:val="005D374F"/>
    <w:rsid w:val="005D5802"/>
    <w:rsid w:val="005D6CFC"/>
    <w:rsid w:val="005D73E2"/>
    <w:rsid w:val="005D757A"/>
    <w:rsid w:val="005E1E4B"/>
    <w:rsid w:val="005E362D"/>
    <w:rsid w:val="005E492C"/>
    <w:rsid w:val="005E4BAA"/>
    <w:rsid w:val="005E52EF"/>
    <w:rsid w:val="005E5B56"/>
    <w:rsid w:val="005E6088"/>
    <w:rsid w:val="005E61DF"/>
    <w:rsid w:val="005E6B78"/>
    <w:rsid w:val="005F4057"/>
    <w:rsid w:val="005F4088"/>
    <w:rsid w:val="005F601D"/>
    <w:rsid w:val="005F6119"/>
    <w:rsid w:val="0060107A"/>
    <w:rsid w:val="00601AFF"/>
    <w:rsid w:val="00602D1D"/>
    <w:rsid w:val="00604307"/>
    <w:rsid w:val="0060487F"/>
    <w:rsid w:val="00605814"/>
    <w:rsid w:val="00606B93"/>
    <w:rsid w:val="00607727"/>
    <w:rsid w:val="006118AA"/>
    <w:rsid w:val="006139C7"/>
    <w:rsid w:val="006153E3"/>
    <w:rsid w:val="006167AB"/>
    <w:rsid w:val="00617D2D"/>
    <w:rsid w:val="00617D83"/>
    <w:rsid w:val="00620AC5"/>
    <w:rsid w:val="00621575"/>
    <w:rsid w:val="006215FC"/>
    <w:rsid w:val="00624093"/>
    <w:rsid w:val="00630F66"/>
    <w:rsid w:val="00631FC2"/>
    <w:rsid w:val="00632171"/>
    <w:rsid w:val="0063332A"/>
    <w:rsid w:val="006347F9"/>
    <w:rsid w:val="0063494E"/>
    <w:rsid w:val="00634C90"/>
    <w:rsid w:val="00635E79"/>
    <w:rsid w:val="00636E5E"/>
    <w:rsid w:val="006404A7"/>
    <w:rsid w:val="006407F3"/>
    <w:rsid w:val="00644DFC"/>
    <w:rsid w:val="006451E4"/>
    <w:rsid w:val="006460B8"/>
    <w:rsid w:val="006504A0"/>
    <w:rsid w:val="006520C7"/>
    <w:rsid w:val="00652CBB"/>
    <w:rsid w:val="006530B8"/>
    <w:rsid w:val="006535D6"/>
    <w:rsid w:val="006572ED"/>
    <w:rsid w:val="00657E87"/>
    <w:rsid w:val="00660457"/>
    <w:rsid w:val="00660E1E"/>
    <w:rsid w:val="006637B1"/>
    <w:rsid w:val="00664B64"/>
    <w:rsid w:val="00665D67"/>
    <w:rsid w:val="00665D77"/>
    <w:rsid w:val="006660CD"/>
    <w:rsid w:val="00666EC8"/>
    <w:rsid w:val="00666F4B"/>
    <w:rsid w:val="006676D0"/>
    <w:rsid w:val="00670FAC"/>
    <w:rsid w:val="006710C9"/>
    <w:rsid w:val="006716A5"/>
    <w:rsid w:val="00675E37"/>
    <w:rsid w:val="00676F11"/>
    <w:rsid w:val="00680079"/>
    <w:rsid w:val="00680F68"/>
    <w:rsid w:val="0068260E"/>
    <w:rsid w:val="0068373D"/>
    <w:rsid w:val="00683BFE"/>
    <w:rsid w:val="006857DF"/>
    <w:rsid w:val="00685E66"/>
    <w:rsid w:val="00686B72"/>
    <w:rsid w:val="00686BF1"/>
    <w:rsid w:val="00690A09"/>
    <w:rsid w:val="00693EA1"/>
    <w:rsid w:val="00693FEA"/>
    <w:rsid w:val="00694930"/>
    <w:rsid w:val="00695170"/>
    <w:rsid w:val="00695BEF"/>
    <w:rsid w:val="006960D6"/>
    <w:rsid w:val="00696AA5"/>
    <w:rsid w:val="006977F6"/>
    <w:rsid w:val="00697A13"/>
    <w:rsid w:val="006A109C"/>
    <w:rsid w:val="006A2EE8"/>
    <w:rsid w:val="006A3CF3"/>
    <w:rsid w:val="006A568F"/>
    <w:rsid w:val="006A672B"/>
    <w:rsid w:val="006B3F8A"/>
    <w:rsid w:val="006B5CA3"/>
    <w:rsid w:val="006B6B3B"/>
    <w:rsid w:val="006B7714"/>
    <w:rsid w:val="006B78D8"/>
    <w:rsid w:val="006C090F"/>
    <w:rsid w:val="006C113F"/>
    <w:rsid w:val="006C2AED"/>
    <w:rsid w:val="006C38DD"/>
    <w:rsid w:val="006C5577"/>
    <w:rsid w:val="006C559A"/>
    <w:rsid w:val="006C58FA"/>
    <w:rsid w:val="006D042D"/>
    <w:rsid w:val="006D06EF"/>
    <w:rsid w:val="006D142E"/>
    <w:rsid w:val="006D4497"/>
    <w:rsid w:val="006D4E6F"/>
    <w:rsid w:val="006D61F6"/>
    <w:rsid w:val="006E1F4C"/>
    <w:rsid w:val="006E279A"/>
    <w:rsid w:val="006E2F3F"/>
    <w:rsid w:val="006E313B"/>
    <w:rsid w:val="006E442A"/>
    <w:rsid w:val="006E4434"/>
    <w:rsid w:val="006E5CFD"/>
    <w:rsid w:val="006F1326"/>
    <w:rsid w:val="006F2BEE"/>
    <w:rsid w:val="006F3708"/>
    <w:rsid w:val="006F3E6B"/>
    <w:rsid w:val="006F4619"/>
    <w:rsid w:val="006F4A59"/>
    <w:rsid w:val="007014C7"/>
    <w:rsid w:val="00702D6F"/>
    <w:rsid w:val="00703B6C"/>
    <w:rsid w:val="007047D5"/>
    <w:rsid w:val="00705D98"/>
    <w:rsid w:val="00707891"/>
    <w:rsid w:val="00707D43"/>
    <w:rsid w:val="00711EF1"/>
    <w:rsid w:val="0071229A"/>
    <w:rsid w:val="00712572"/>
    <w:rsid w:val="00713495"/>
    <w:rsid w:val="00713EEB"/>
    <w:rsid w:val="00720FA2"/>
    <w:rsid w:val="007211F5"/>
    <w:rsid w:val="00724666"/>
    <w:rsid w:val="00726043"/>
    <w:rsid w:val="0072704A"/>
    <w:rsid w:val="00730AE8"/>
    <w:rsid w:val="00731963"/>
    <w:rsid w:val="00734321"/>
    <w:rsid w:val="00740310"/>
    <w:rsid w:val="00740652"/>
    <w:rsid w:val="00740F02"/>
    <w:rsid w:val="00740FEC"/>
    <w:rsid w:val="0074132E"/>
    <w:rsid w:val="00741493"/>
    <w:rsid w:val="007426B3"/>
    <w:rsid w:val="007426FD"/>
    <w:rsid w:val="0074329D"/>
    <w:rsid w:val="00744376"/>
    <w:rsid w:val="007449EA"/>
    <w:rsid w:val="00746DD9"/>
    <w:rsid w:val="0075057A"/>
    <w:rsid w:val="00751771"/>
    <w:rsid w:val="00751C1C"/>
    <w:rsid w:val="00752180"/>
    <w:rsid w:val="007521A1"/>
    <w:rsid w:val="0075315D"/>
    <w:rsid w:val="007538F9"/>
    <w:rsid w:val="00754253"/>
    <w:rsid w:val="007552BB"/>
    <w:rsid w:val="007558D3"/>
    <w:rsid w:val="007559D7"/>
    <w:rsid w:val="00755D3A"/>
    <w:rsid w:val="00760141"/>
    <w:rsid w:val="007609C6"/>
    <w:rsid w:val="007610A0"/>
    <w:rsid w:val="007620F2"/>
    <w:rsid w:val="00762EBA"/>
    <w:rsid w:val="0076359D"/>
    <w:rsid w:val="0077058D"/>
    <w:rsid w:val="00772536"/>
    <w:rsid w:val="00773613"/>
    <w:rsid w:val="00774782"/>
    <w:rsid w:val="00776476"/>
    <w:rsid w:val="00776527"/>
    <w:rsid w:val="007805E1"/>
    <w:rsid w:val="0078113E"/>
    <w:rsid w:val="00781834"/>
    <w:rsid w:val="007821DB"/>
    <w:rsid w:val="00782818"/>
    <w:rsid w:val="007838F1"/>
    <w:rsid w:val="00784C4A"/>
    <w:rsid w:val="00787432"/>
    <w:rsid w:val="00787507"/>
    <w:rsid w:val="007879F2"/>
    <w:rsid w:val="00791CF8"/>
    <w:rsid w:val="00792262"/>
    <w:rsid w:val="00793387"/>
    <w:rsid w:val="00793BAE"/>
    <w:rsid w:val="00794E0A"/>
    <w:rsid w:val="00796642"/>
    <w:rsid w:val="007A11D9"/>
    <w:rsid w:val="007A327B"/>
    <w:rsid w:val="007A4606"/>
    <w:rsid w:val="007B1966"/>
    <w:rsid w:val="007B3DCC"/>
    <w:rsid w:val="007B4518"/>
    <w:rsid w:val="007B5031"/>
    <w:rsid w:val="007B573F"/>
    <w:rsid w:val="007C605B"/>
    <w:rsid w:val="007D2A5A"/>
    <w:rsid w:val="007D2AD8"/>
    <w:rsid w:val="007D2C47"/>
    <w:rsid w:val="007D3167"/>
    <w:rsid w:val="007D4281"/>
    <w:rsid w:val="007D42F5"/>
    <w:rsid w:val="007D44C3"/>
    <w:rsid w:val="007D5947"/>
    <w:rsid w:val="007D65C1"/>
    <w:rsid w:val="007E030F"/>
    <w:rsid w:val="007E0E59"/>
    <w:rsid w:val="007E0F4B"/>
    <w:rsid w:val="007E7E61"/>
    <w:rsid w:val="007F0845"/>
    <w:rsid w:val="007F16F9"/>
    <w:rsid w:val="007F3E3E"/>
    <w:rsid w:val="007F500D"/>
    <w:rsid w:val="007F5F14"/>
    <w:rsid w:val="007F7B54"/>
    <w:rsid w:val="008005D7"/>
    <w:rsid w:val="00801FDD"/>
    <w:rsid w:val="008020C2"/>
    <w:rsid w:val="0080255C"/>
    <w:rsid w:val="0081187C"/>
    <w:rsid w:val="00811E24"/>
    <w:rsid w:val="00812E2B"/>
    <w:rsid w:val="00813A70"/>
    <w:rsid w:val="00813FE6"/>
    <w:rsid w:val="00815C6E"/>
    <w:rsid w:val="0081645F"/>
    <w:rsid w:val="008178C2"/>
    <w:rsid w:val="008178CF"/>
    <w:rsid w:val="00817C98"/>
    <w:rsid w:val="00820C9F"/>
    <w:rsid w:val="00821FF6"/>
    <w:rsid w:val="00823AAF"/>
    <w:rsid w:val="00824081"/>
    <w:rsid w:val="0082409A"/>
    <w:rsid w:val="008252D7"/>
    <w:rsid w:val="00827181"/>
    <w:rsid w:val="0082733C"/>
    <w:rsid w:val="00827746"/>
    <w:rsid w:val="0083143E"/>
    <w:rsid w:val="0083159D"/>
    <w:rsid w:val="008318FF"/>
    <w:rsid w:val="00832187"/>
    <w:rsid w:val="00832493"/>
    <w:rsid w:val="008336D8"/>
    <w:rsid w:val="008339C4"/>
    <w:rsid w:val="00834F0A"/>
    <w:rsid w:val="00834FAA"/>
    <w:rsid w:val="00835181"/>
    <w:rsid w:val="00836086"/>
    <w:rsid w:val="00841D9F"/>
    <w:rsid w:val="00842604"/>
    <w:rsid w:val="00843ECF"/>
    <w:rsid w:val="00846673"/>
    <w:rsid w:val="0085281A"/>
    <w:rsid w:val="008559FE"/>
    <w:rsid w:val="00857339"/>
    <w:rsid w:val="00860706"/>
    <w:rsid w:val="00862A7A"/>
    <w:rsid w:val="00863104"/>
    <w:rsid w:val="00863D9E"/>
    <w:rsid w:val="008642AF"/>
    <w:rsid w:val="00865ED4"/>
    <w:rsid w:val="008669A7"/>
    <w:rsid w:val="00867E29"/>
    <w:rsid w:val="00870F2B"/>
    <w:rsid w:val="008746E6"/>
    <w:rsid w:val="0087594C"/>
    <w:rsid w:val="00876086"/>
    <w:rsid w:val="008768D6"/>
    <w:rsid w:val="008775D1"/>
    <w:rsid w:val="008777BB"/>
    <w:rsid w:val="00877D68"/>
    <w:rsid w:val="00877E5D"/>
    <w:rsid w:val="00880150"/>
    <w:rsid w:val="00884D69"/>
    <w:rsid w:val="00886A8F"/>
    <w:rsid w:val="0088733A"/>
    <w:rsid w:val="00891BE0"/>
    <w:rsid w:val="00893302"/>
    <w:rsid w:val="00893F3C"/>
    <w:rsid w:val="008945A1"/>
    <w:rsid w:val="00894A63"/>
    <w:rsid w:val="00895A54"/>
    <w:rsid w:val="00896916"/>
    <w:rsid w:val="00896BDE"/>
    <w:rsid w:val="008A0861"/>
    <w:rsid w:val="008A0BB2"/>
    <w:rsid w:val="008A1AB3"/>
    <w:rsid w:val="008A1D5C"/>
    <w:rsid w:val="008A3292"/>
    <w:rsid w:val="008A3A85"/>
    <w:rsid w:val="008A43E9"/>
    <w:rsid w:val="008A4CB1"/>
    <w:rsid w:val="008A615E"/>
    <w:rsid w:val="008A632B"/>
    <w:rsid w:val="008A6BFE"/>
    <w:rsid w:val="008B190E"/>
    <w:rsid w:val="008B1A8A"/>
    <w:rsid w:val="008B7306"/>
    <w:rsid w:val="008B775F"/>
    <w:rsid w:val="008B7C02"/>
    <w:rsid w:val="008B7D13"/>
    <w:rsid w:val="008B7F9E"/>
    <w:rsid w:val="008C0E88"/>
    <w:rsid w:val="008C1AA8"/>
    <w:rsid w:val="008C22A8"/>
    <w:rsid w:val="008C63FD"/>
    <w:rsid w:val="008C6CB8"/>
    <w:rsid w:val="008C7815"/>
    <w:rsid w:val="008C7A07"/>
    <w:rsid w:val="008D0171"/>
    <w:rsid w:val="008D13EA"/>
    <w:rsid w:val="008D2A16"/>
    <w:rsid w:val="008D2ECF"/>
    <w:rsid w:val="008D3F3D"/>
    <w:rsid w:val="008E308D"/>
    <w:rsid w:val="008E31FF"/>
    <w:rsid w:val="008E5DE6"/>
    <w:rsid w:val="008E6113"/>
    <w:rsid w:val="008E6AB3"/>
    <w:rsid w:val="008E6AD3"/>
    <w:rsid w:val="008E71A6"/>
    <w:rsid w:val="008E77B6"/>
    <w:rsid w:val="008E7C55"/>
    <w:rsid w:val="008F032E"/>
    <w:rsid w:val="008F0F14"/>
    <w:rsid w:val="008F4FCE"/>
    <w:rsid w:val="008F5301"/>
    <w:rsid w:val="008F6A0C"/>
    <w:rsid w:val="008F7D28"/>
    <w:rsid w:val="009003A8"/>
    <w:rsid w:val="00902CBE"/>
    <w:rsid w:val="00902D74"/>
    <w:rsid w:val="00902EFF"/>
    <w:rsid w:val="00903E06"/>
    <w:rsid w:val="00904B9D"/>
    <w:rsid w:val="009066E1"/>
    <w:rsid w:val="00907A41"/>
    <w:rsid w:val="009102BD"/>
    <w:rsid w:val="00910F93"/>
    <w:rsid w:val="0091255A"/>
    <w:rsid w:val="00914426"/>
    <w:rsid w:val="0091675F"/>
    <w:rsid w:val="00917709"/>
    <w:rsid w:val="00917918"/>
    <w:rsid w:val="00920874"/>
    <w:rsid w:val="00921F14"/>
    <w:rsid w:val="00923750"/>
    <w:rsid w:val="009243A5"/>
    <w:rsid w:val="009250D2"/>
    <w:rsid w:val="00926283"/>
    <w:rsid w:val="00937B11"/>
    <w:rsid w:val="00940F1F"/>
    <w:rsid w:val="00941250"/>
    <w:rsid w:val="0094427A"/>
    <w:rsid w:val="009459C5"/>
    <w:rsid w:val="0094626C"/>
    <w:rsid w:val="0095013A"/>
    <w:rsid w:val="00953AEF"/>
    <w:rsid w:val="009551E2"/>
    <w:rsid w:val="00955783"/>
    <w:rsid w:val="00955E5F"/>
    <w:rsid w:val="009560B0"/>
    <w:rsid w:val="00957871"/>
    <w:rsid w:val="00960077"/>
    <w:rsid w:val="00962D2E"/>
    <w:rsid w:val="00964498"/>
    <w:rsid w:val="0096504D"/>
    <w:rsid w:val="00965A2D"/>
    <w:rsid w:val="009663EB"/>
    <w:rsid w:val="0096650F"/>
    <w:rsid w:val="009700DB"/>
    <w:rsid w:val="00972263"/>
    <w:rsid w:val="00972D8D"/>
    <w:rsid w:val="00973AAE"/>
    <w:rsid w:val="0097476C"/>
    <w:rsid w:val="00974923"/>
    <w:rsid w:val="00974D48"/>
    <w:rsid w:val="00974D5F"/>
    <w:rsid w:val="00975017"/>
    <w:rsid w:val="009759DF"/>
    <w:rsid w:val="00980621"/>
    <w:rsid w:val="00982072"/>
    <w:rsid w:val="00983DBB"/>
    <w:rsid w:val="00983ECF"/>
    <w:rsid w:val="00986745"/>
    <w:rsid w:val="00987109"/>
    <w:rsid w:val="00987309"/>
    <w:rsid w:val="0099012D"/>
    <w:rsid w:val="00990363"/>
    <w:rsid w:val="009954FF"/>
    <w:rsid w:val="009961BC"/>
    <w:rsid w:val="00996355"/>
    <w:rsid w:val="009A2014"/>
    <w:rsid w:val="009A3A87"/>
    <w:rsid w:val="009A4E12"/>
    <w:rsid w:val="009A5C68"/>
    <w:rsid w:val="009B04D0"/>
    <w:rsid w:val="009B052C"/>
    <w:rsid w:val="009B0EF2"/>
    <w:rsid w:val="009B23A3"/>
    <w:rsid w:val="009B4925"/>
    <w:rsid w:val="009B4B4B"/>
    <w:rsid w:val="009B6FD3"/>
    <w:rsid w:val="009B70BD"/>
    <w:rsid w:val="009C07A5"/>
    <w:rsid w:val="009C7388"/>
    <w:rsid w:val="009D1551"/>
    <w:rsid w:val="009D2859"/>
    <w:rsid w:val="009D4173"/>
    <w:rsid w:val="009D6095"/>
    <w:rsid w:val="009D6306"/>
    <w:rsid w:val="009E048A"/>
    <w:rsid w:val="009E1FBA"/>
    <w:rsid w:val="009E2C54"/>
    <w:rsid w:val="009E3710"/>
    <w:rsid w:val="009E7B1F"/>
    <w:rsid w:val="009F41C4"/>
    <w:rsid w:val="009F5846"/>
    <w:rsid w:val="009F7D77"/>
    <w:rsid w:val="00A10D66"/>
    <w:rsid w:val="00A12BA8"/>
    <w:rsid w:val="00A1420C"/>
    <w:rsid w:val="00A14821"/>
    <w:rsid w:val="00A17754"/>
    <w:rsid w:val="00A2055B"/>
    <w:rsid w:val="00A2253C"/>
    <w:rsid w:val="00A23545"/>
    <w:rsid w:val="00A23A55"/>
    <w:rsid w:val="00A23E43"/>
    <w:rsid w:val="00A24F8C"/>
    <w:rsid w:val="00A262BF"/>
    <w:rsid w:val="00A271AD"/>
    <w:rsid w:val="00A276D5"/>
    <w:rsid w:val="00A30336"/>
    <w:rsid w:val="00A30BB5"/>
    <w:rsid w:val="00A3128F"/>
    <w:rsid w:val="00A326D0"/>
    <w:rsid w:val="00A35287"/>
    <w:rsid w:val="00A378F8"/>
    <w:rsid w:val="00A40B19"/>
    <w:rsid w:val="00A424F8"/>
    <w:rsid w:val="00A437B7"/>
    <w:rsid w:val="00A46DE0"/>
    <w:rsid w:val="00A4778A"/>
    <w:rsid w:val="00A5067F"/>
    <w:rsid w:val="00A55301"/>
    <w:rsid w:val="00A57B3C"/>
    <w:rsid w:val="00A57F1B"/>
    <w:rsid w:val="00A6128E"/>
    <w:rsid w:val="00A62CE1"/>
    <w:rsid w:val="00A631FA"/>
    <w:rsid w:val="00A64203"/>
    <w:rsid w:val="00A64348"/>
    <w:rsid w:val="00A721FB"/>
    <w:rsid w:val="00A727BA"/>
    <w:rsid w:val="00A72D4B"/>
    <w:rsid w:val="00A732AE"/>
    <w:rsid w:val="00A75E40"/>
    <w:rsid w:val="00A77EB2"/>
    <w:rsid w:val="00A82B66"/>
    <w:rsid w:val="00A83B58"/>
    <w:rsid w:val="00A851B6"/>
    <w:rsid w:val="00A85729"/>
    <w:rsid w:val="00A8574B"/>
    <w:rsid w:val="00A857C0"/>
    <w:rsid w:val="00A94628"/>
    <w:rsid w:val="00A96463"/>
    <w:rsid w:val="00A97E3F"/>
    <w:rsid w:val="00AA09D3"/>
    <w:rsid w:val="00AA23FB"/>
    <w:rsid w:val="00AA42AB"/>
    <w:rsid w:val="00AA559A"/>
    <w:rsid w:val="00AB104D"/>
    <w:rsid w:val="00AB2AF1"/>
    <w:rsid w:val="00AB440B"/>
    <w:rsid w:val="00AB47E3"/>
    <w:rsid w:val="00AB74C5"/>
    <w:rsid w:val="00AB7DF2"/>
    <w:rsid w:val="00AC1E3F"/>
    <w:rsid w:val="00AC4F18"/>
    <w:rsid w:val="00AD0B46"/>
    <w:rsid w:val="00AD1094"/>
    <w:rsid w:val="00AD2565"/>
    <w:rsid w:val="00AD306C"/>
    <w:rsid w:val="00AD3424"/>
    <w:rsid w:val="00AD50D1"/>
    <w:rsid w:val="00AD59BB"/>
    <w:rsid w:val="00AD5D68"/>
    <w:rsid w:val="00AD6C73"/>
    <w:rsid w:val="00AE06D0"/>
    <w:rsid w:val="00AE1B8A"/>
    <w:rsid w:val="00AE39DC"/>
    <w:rsid w:val="00AE3CDA"/>
    <w:rsid w:val="00AE7968"/>
    <w:rsid w:val="00AF128B"/>
    <w:rsid w:val="00AF1AEA"/>
    <w:rsid w:val="00AF2852"/>
    <w:rsid w:val="00AF3225"/>
    <w:rsid w:val="00AF518B"/>
    <w:rsid w:val="00AF5275"/>
    <w:rsid w:val="00AF6367"/>
    <w:rsid w:val="00AF6A79"/>
    <w:rsid w:val="00AF724E"/>
    <w:rsid w:val="00AF73A9"/>
    <w:rsid w:val="00B01C2C"/>
    <w:rsid w:val="00B0231C"/>
    <w:rsid w:val="00B13681"/>
    <w:rsid w:val="00B15DCD"/>
    <w:rsid w:val="00B17E71"/>
    <w:rsid w:val="00B17FDE"/>
    <w:rsid w:val="00B208FC"/>
    <w:rsid w:val="00B20C65"/>
    <w:rsid w:val="00B22E17"/>
    <w:rsid w:val="00B266C5"/>
    <w:rsid w:val="00B27293"/>
    <w:rsid w:val="00B3229E"/>
    <w:rsid w:val="00B32DDB"/>
    <w:rsid w:val="00B35174"/>
    <w:rsid w:val="00B35BEA"/>
    <w:rsid w:val="00B3793D"/>
    <w:rsid w:val="00B41BE6"/>
    <w:rsid w:val="00B457E7"/>
    <w:rsid w:val="00B45D1B"/>
    <w:rsid w:val="00B46D25"/>
    <w:rsid w:val="00B47430"/>
    <w:rsid w:val="00B52D2D"/>
    <w:rsid w:val="00B55BA8"/>
    <w:rsid w:val="00B55F15"/>
    <w:rsid w:val="00B561A6"/>
    <w:rsid w:val="00B60062"/>
    <w:rsid w:val="00B62960"/>
    <w:rsid w:val="00B63A11"/>
    <w:rsid w:val="00B63FD0"/>
    <w:rsid w:val="00B65C84"/>
    <w:rsid w:val="00B6608F"/>
    <w:rsid w:val="00B74317"/>
    <w:rsid w:val="00B76D1E"/>
    <w:rsid w:val="00B800EB"/>
    <w:rsid w:val="00B822D2"/>
    <w:rsid w:val="00B848B8"/>
    <w:rsid w:val="00B84A41"/>
    <w:rsid w:val="00B84D57"/>
    <w:rsid w:val="00B85689"/>
    <w:rsid w:val="00B86748"/>
    <w:rsid w:val="00B907EA"/>
    <w:rsid w:val="00B91EC9"/>
    <w:rsid w:val="00B924CA"/>
    <w:rsid w:val="00B93384"/>
    <w:rsid w:val="00B94417"/>
    <w:rsid w:val="00B95940"/>
    <w:rsid w:val="00B95EF8"/>
    <w:rsid w:val="00B95F50"/>
    <w:rsid w:val="00B96BD9"/>
    <w:rsid w:val="00BB0274"/>
    <w:rsid w:val="00BB1CFD"/>
    <w:rsid w:val="00BB2C53"/>
    <w:rsid w:val="00BB32DA"/>
    <w:rsid w:val="00BB3A54"/>
    <w:rsid w:val="00BB4E21"/>
    <w:rsid w:val="00BB7746"/>
    <w:rsid w:val="00BC22EB"/>
    <w:rsid w:val="00BC682B"/>
    <w:rsid w:val="00BC6B04"/>
    <w:rsid w:val="00BD186B"/>
    <w:rsid w:val="00BD1EAC"/>
    <w:rsid w:val="00BD3428"/>
    <w:rsid w:val="00BD366B"/>
    <w:rsid w:val="00BD534C"/>
    <w:rsid w:val="00BD56BC"/>
    <w:rsid w:val="00BD5D91"/>
    <w:rsid w:val="00BD6615"/>
    <w:rsid w:val="00BD6D50"/>
    <w:rsid w:val="00BE0D79"/>
    <w:rsid w:val="00BE0DB0"/>
    <w:rsid w:val="00BE3381"/>
    <w:rsid w:val="00BE3F09"/>
    <w:rsid w:val="00BE670A"/>
    <w:rsid w:val="00BE6906"/>
    <w:rsid w:val="00BF18F4"/>
    <w:rsid w:val="00BF1A69"/>
    <w:rsid w:val="00BF3BC8"/>
    <w:rsid w:val="00BF3DF1"/>
    <w:rsid w:val="00BF4C31"/>
    <w:rsid w:val="00BF4E57"/>
    <w:rsid w:val="00BF7CB8"/>
    <w:rsid w:val="00C00F20"/>
    <w:rsid w:val="00C01700"/>
    <w:rsid w:val="00C034E6"/>
    <w:rsid w:val="00C05715"/>
    <w:rsid w:val="00C05926"/>
    <w:rsid w:val="00C0784A"/>
    <w:rsid w:val="00C10B28"/>
    <w:rsid w:val="00C10FAE"/>
    <w:rsid w:val="00C12A69"/>
    <w:rsid w:val="00C150BE"/>
    <w:rsid w:val="00C15A0C"/>
    <w:rsid w:val="00C15DCB"/>
    <w:rsid w:val="00C1711F"/>
    <w:rsid w:val="00C20744"/>
    <w:rsid w:val="00C20C4D"/>
    <w:rsid w:val="00C21D46"/>
    <w:rsid w:val="00C21F94"/>
    <w:rsid w:val="00C222A1"/>
    <w:rsid w:val="00C23371"/>
    <w:rsid w:val="00C23CBD"/>
    <w:rsid w:val="00C23D22"/>
    <w:rsid w:val="00C2463B"/>
    <w:rsid w:val="00C24E77"/>
    <w:rsid w:val="00C2732D"/>
    <w:rsid w:val="00C273C6"/>
    <w:rsid w:val="00C27913"/>
    <w:rsid w:val="00C300C6"/>
    <w:rsid w:val="00C30828"/>
    <w:rsid w:val="00C31DD8"/>
    <w:rsid w:val="00C3271C"/>
    <w:rsid w:val="00C34FDE"/>
    <w:rsid w:val="00C35C16"/>
    <w:rsid w:val="00C40F81"/>
    <w:rsid w:val="00C41463"/>
    <w:rsid w:val="00C41A72"/>
    <w:rsid w:val="00C42D45"/>
    <w:rsid w:val="00C476C5"/>
    <w:rsid w:val="00C503B0"/>
    <w:rsid w:val="00C511C2"/>
    <w:rsid w:val="00C53D82"/>
    <w:rsid w:val="00C60696"/>
    <w:rsid w:val="00C60EEF"/>
    <w:rsid w:val="00C615F1"/>
    <w:rsid w:val="00C61627"/>
    <w:rsid w:val="00C64E60"/>
    <w:rsid w:val="00C657A4"/>
    <w:rsid w:val="00C6736C"/>
    <w:rsid w:val="00C71A1D"/>
    <w:rsid w:val="00C71EC4"/>
    <w:rsid w:val="00C7591E"/>
    <w:rsid w:val="00C75C7E"/>
    <w:rsid w:val="00C75C9B"/>
    <w:rsid w:val="00C76D8E"/>
    <w:rsid w:val="00C77833"/>
    <w:rsid w:val="00C80C9B"/>
    <w:rsid w:val="00C8335E"/>
    <w:rsid w:val="00C83F9C"/>
    <w:rsid w:val="00C84CE3"/>
    <w:rsid w:val="00C85614"/>
    <w:rsid w:val="00C90CF4"/>
    <w:rsid w:val="00C91C19"/>
    <w:rsid w:val="00C929A0"/>
    <w:rsid w:val="00C93389"/>
    <w:rsid w:val="00C937DB"/>
    <w:rsid w:val="00C94519"/>
    <w:rsid w:val="00C94E83"/>
    <w:rsid w:val="00CA140F"/>
    <w:rsid w:val="00CA25C2"/>
    <w:rsid w:val="00CA37BB"/>
    <w:rsid w:val="00CA37CA"/>
    <w:rsid w:val="00CA5724"/>
    <w:rsid w:val="00CA6508"/>
    <w:rsid w:val="00CA6BA1"/>
    <w:rsid w:val="00CA6CD5"/>
    <w:rsid w:val="00CB1910"/>
    <w:rsid w:val="00CB2150"/>
    <w:rsid w:val="00CB28EE"/>
    <w:rsid w:val="00CB43A7"/>
    <w:rsid w:val="00CB5996"/>
    <w:rsid w:val="00CB7452"/>
    <w:rsid w:val="00CC0E10"/>
    <w:rsid w:val="00CC1DAF"/>
    <w:rsid w:val="00CC2642"/>
    <w:rsid w:val="00CC2A36"/>
    <w:rsid w:val="00CC2E15"/>
    <w:rsid w:val="00CC3908"/>
    <w:rsid w:val="00CC62AD"/>
    <w:rsid w:val="00CC7B80"/>
    <w:rsid w:val="00CD2B3C"/>
    <w:rsid w:val="00CD30F6"/>
    <w:rsid w:val="00CD4B29"/>
    <w:rsid w:val="00CD6954"/>
    <w:rsid w:val="00CD6EF1"/>
    <w:rsid w:val="00CE21C7"/>
    <w:rsid w:val="00CE57D8"/>
    <w:rsid w:val="00CE617A"/>
    <w:rsid w:val="00CF25D2"/>
    <w:rsid w:val="00CF28C2"/>
    <w:rsid w:val="00CF42BD"/>
    <w:rsid w:val="00CF51EC"/>
    <w:rsid w:val="00CF6CD7"/>
    <w:rsid w:val="00D0037A"/>
    <w:rsid w:val="00D00DAF"/>
    <w:rsid w:val="00D017EC"/>
    <w:rsid w:val="00D01CDA"/>
    <w:rsid w:val="00D040DD"/>
    <w:rsid w:val="00D04E1B"/>
    <w:rsid w:val="00D076DB"/>
    <w:rsid w:val="00D1067C"/>
    <w:rsid w:val="00D136D4"/>
    <w:rsid w:val="00D13830"/>
    <w:rsid w:val="00D13ECF"/>
    <w:rsid w:val="00D142E5"/>
    <w:rsid w:val="00D148CD"/>
    <w:rsid w:val="00D1611E"/>
    <w:rsid w:val="00D16E69"/>
    <w:rsid w:val="00D205A9"/>
    <w:rsid w:val="00D217EE"/>
    <w:rsid w:val="00D245BA"/>
    <w:rsid w:val="00D26923"/>
    <w:rsid w:val="00D27856"/>
    <w:rsid w:val="00D301CA"/>
    <w:rsid w:val="00D30740"/>
    <w:rsid w:val="00D31075"/>
    <w:rsid w:val="00D31445"/>
    <w:rsid w:val="00D31932"/>
    <w:rsid w:val="00D378CC"/>
    <w:rsid w:val="00D4042C"/>
    <w:rsid w:val="00D42312"/>
    <w:rsid w:val="00D43998"/>
    <w:rsid w:val="00D4615E"/>
    <w:rsid w:val="00D478E2"/>
    <w:rsid w:val="00D5264C"/>
    <w:rsid w:val="00D547BA"/>
    <w:rsid w:val="00D55626"/>
    <w:rsid w:val="00D556BC"/>
    <w:rsid w:val="00D5626D"/>
    <w:rsid w:val="00D60277"/>
    <w:rsid w:val="00D60336"/>
    <w:rsid w:val="00D61F88"/>
    <w:rsid w:val="00D62901"/>
    <w:rsid w:val="00D6470C"/>
    <w:rsid w:val="00D64853"/>
    <w:rsid w:val="00D64CB5"/>
    <w:rsid w:val="00D66D48"/>
    <w:rsid w:val="00D73256"/>
    <w:rsid w:val="00D73A30"/>
    <w:rsid w:val="00D74C65"/>
    <w:rsid w:val="00D75DC2"/>
    <w:rsid w:val="00D766EF"/>
    <w:rsid w:val="00D76C03"/>
    <w:rsid w:val="00D82462"/>
    <w:rsid w:val="00D868CE"/>
    <w:rsid w:val="00D86DAE"/>
    <w:rsid w:val="00D90C1E"/>
    <w:rsid w:val="00D91BDF"/>
    <w:rsid w:val="00D93F09"/>
    <w:rsid w:val="00D954C2"/>
    <w:rsid w:val="00D97BB8"/>
    <w:rsid w:val="00DA1318"/>
    <w:rsid w:val="00DA1382"/>
    <w:rsid w:val="00DA28B7"/>
    <w:rsid w:val="00DA2FE8"/>
    <w:rsid w:val="00DA4AF6"/>
    <w:rsid w:val="00DB016E"/>
    <w:rsid w:val="00DB06E9"/>
    <w:rsid w:val="00DB378E"/>
    <w:rsid w:val="00DB3E9D"/>
    <w:rsid w:val="00DB47B9"/>
    <w:rsid w:val="00DB4FB8"/>
    <w:rsid w:val="00DB53CE"/>
    <w:rsid w:val="00DB549D"/>
    <w:rsid w:val="00DC226A"/>
    <w:rsid w:val="00DC257F"/>
    <w:rsid w:val="00DC350B"/>
    <w:rsid w:val="00DC3790"/>
    <w:rsid w:val="00DC408A"/>
    <w:rsid w:val="00DC5B3B"/>
    <w:rsid w:val="00DC6796"/>
    <w:rsid w:val="00DC78DF"/>
    <w:rsid w:val="00DD0821"/>
    <w:rsid w:val="00DD0E32"/>
    <w:rsid w:val="00DD2BFE"/>
    <w:rsid w:val="00DD373E"/>
    <w:rsid w:val="00DD57AD"/>
    <w:rsid w:val="00DE009B"/>
    <w:rsid w:val="00DE0C31"/>
    <w:rsid w:val="00DE2ED9"/>
    <w:rsid w:val="00DE319A"/>
    <w:rsid w:val="00DF0DC3"/>
    <w:rsid w:val="00DF21FD"/>
    <w:rsid w:val="00DF2873"/>
    <w:rsid w:val="00DF5578"/>
    <w:rsid w:val="00DF78DD"/>
    <w:rsid w:val="00DF7FEC"/>
    <w:rsid w:val="00E01C0E"/>
    <w:rsid w:val="00E03B27"/>
    <w:rsid w:val="00E04694"/>
    <w:rsid w:val="00E049F6"/>
    <w:rsid w:val="00E05B2B"/>
    <w:rsid w:val="00E06A2A"/>
    <w:rsid w:val="00E07F05"/>
    <w:rsid w:val="00E127E1"/>
    <w:rsid w:val="00E144D2"/>
    <w:rsid w:val="00E15346"/>
    <w:rsid w:val="00E15B7D"/>
    <w:rsid w:val="00E2097E"/>
    <w:rsid w:val="00E215EA"/>
    <w:rsid w:val="00E21CAB"/>
    <w:rsid w:val="00E24619"/>
    <w:rsid w:val="00E25223"/>
    <w:rsid w:val="00E30BEA"/>
    <w:rsid w:val="00E31764"/>
    <w:rsid w:val="00E34985"/>
    <w:rsid w:val="00E34E4A"/>
    <w:rsid w:val="00E365B3"/>
    <w:rsid w:val="00E366BB"/>
    <w:rsid w:val="00E37C45"/>
    <w:rsid w:val="00E40AAA"/>
    <w:rsid w:val="00E42444"/>
    <w:rsid w:val="00E438CF"/>
    <w:rsid w:val="00E43C41"/>
    <w:rsid w:val="00E4500E"/>
    <w:rsid w:val="00E450CE"/>
    <w:rsid w:val="00E45A00"/>
    <w:rsid w:val="00E45CE7"/>
    <w:rsid w:val="00E4631F"/>
    <w:rsid w:val="00E522BB"/>
    <w:rsid w:val="00E539E4"/>
    <w:rsid w:val="00E569C7"/>
    <w:rsid w:val="00E571F2"/>
    <w:rsid w:val="00E57429"/>
    <w:rsid w:val="00E61EA8"/>
    <w:rsid w:val="00E70510"/>
    <w:rsid w:val="00E71262"/>
    <w:rsid w:val="00E71A58"/>
    <w:rsid w:val="00E737F6"/>
    <w:rsid w:val="00E7568F"/>
    <w:rsid w:val="00E7724B"/>
    <w:rsid w:val="00E84F21"/>
    <w:rsid w:val="00E90F73"/>
    <w:rsid w:val="00E910A7"/>
    <w:rsid w:val="00E91607"/>
    <w:rsid w:val="00E921C7"/>
    <w:rsid w:val="00E92995"/>
    <w:rsid w:val="00E94612"/>
    <w:rsid w:val="00E95797"/>
    <w:rsid w:val="00E9682F"/>
    <w:rsid w:val="00E96A8D"/>
    <w:rsid w:val="00E972BA"/>
    <w:rsid w:val="00E97FA2"/>
    <w:rsid w:val="00EA06CB"/>
    <w:rsid w:val="00EA0C68"/>
    <w:rsid w:val="00EA26FA"/>
    <w:rsid w:val="00EA3EBE"/>
    <w:rsid w:val="00EA3FAC"/>
    <w:rsid w:val="00EA4153"/>
    <w:rsid w:val="00EA5CD6"/>
    <w:rsid w:val="00EA76FD"/>
    <w:rsid w:val="00EB0555"/>
    <w:rsid w:val="00EB20A0"/>
    <w:rsid w:val="00EB30B6"/>
    <w:rsid w:val="00EB4FA4"/>
    <w:rsid w:val="00EB5146"/>
    <w:rsid w:val="00EB55E9"/>
    <w:rsid w:val="00EB5641"/>
    <w:rsid w:val="00EB5CA9"/>
    <w:rsid w:val="00EB5ED4"/>
    <w:rsid w:val="00EB6537"/>
    <w:rsid w:val="00EB70E1"/>
    <w:rsid w:val="00EB7EB5"/>
    <w:rsid w:val="00EC454B"/>
    <w:rsid w:val="00EC6153"/>
    <w:rsid w:val="00EC7F92"/>
    <w:rsid w:val="00ED00A8"/>
    <w:rsid w:val="00ED0A79"/>
    <w:rsid w:val="00ED2989"/>
    <w:rsid w:val="00ED2CA5"/>
    <w:rsid w:val="00ED336F"/>
    <w:rsid w:val="00ED54D6"/>
    <w:rsid w:val="00ED5726"/>
    <w:rsid w:val="00EE0298"/>
    <w:rsid w:val="00EE0384"/>
    <w:rsid w:val="00EE10AA"/>
    <w:rsid w:val="00EE1637"/>
    <w:rsid w:val="00EE3B7A"/>
    <w:rsid w:val="00EE3E78"/>
    <w:rsid w:val="00EE495A"/>
    <w:rsid w:val="00EE5E02"/>
    <w:rsid w:val="00EE617D"/>
    <w:rsid w:val="00EE61BF"/>
    <w:rsid w:val="00EE6748"/>
    <w:rsid w:val="00EE6C6B"/>
    <w:rsid w:val="00EF0E75"/>
    <w:rsid w:val="00EF1F5A"/>
    <w:rsid w:val="00EF4685"/>
    <w:rsid w:val="00EF5397"/>
    <w:rsid w:val="00EF6BE3"/>
    <w:rsid w:val="00F00D0E"/>
    <w:rsid w:val="00F00D3C"/>
    <w:rsid w:val="00F04811"/>
    <w:rsid w:val="00F0488C"/>
    <w:rsid w:val="00F0496E"/>
    <w:rsid w:val="00F04D10"/>
    <w:rsid w:val="00F0625B"/>
    <w:rsid w:val="00F101FF"/>
    <w:rsid w:val="00F10A33"/>
    <w:rsid w:val="00F15BEF"/>
    <w:rsid w:val="00F172BE"/>
    <w:rsid w:val="00F1776C"/>
    <w:rsid w:val="00F2037E"/>
    <w:rsid w:val="00F20D17"/>
    <w:rsid w:val="00F2103E"/>
    <w:rsid w:val="00F214FC"/>
    <w:rsid w:val="00F21C31"/>
    <w:rsid w:val="00F23825"/>
    <w:rsid w:val="00F23FFF"/>
    <w:rsid w:val="00F2441D"/>
    <w:rsid w:val="00F24FAA"/>
    <w:rsid w:val="00F26197"/>
    <w:rsid w:val="00F307DD"/>
    <w:rsid w:val="00F318FC"/>
    <w:rsid w:val="00F31F76"/>
    <w:rsid w:val="00F3364D"/>
    <w:rsid w:val="00F35ACD"/>
    <w:rsid w:val="00F365BF"/>
    <w:rsid w:val="00F36BF8"/>
    <w:rsid w:val="00F375BA"/>
    <w:rsid w:val="00F37760"/>
    <w:rsid w:val="00F403D1"/>
    <w:rsid w:val="00F43921"/>
    <w:rsid w:val="00F4591F"/>
    <w:rsid w:val="00F4736B"/>
    <w:rsid w:val="00F47D05"/>
    <w:rsid w:val="00F50030"/>
    <w:rsid w:val="00F50B9D"/>
    <w:rsid w:val="00F51FC9"/>
    <w:rsid w:val="00F541ED"/>
    <w:rsid w:val="00F54B31"/>
    <w:rsid w:val="00F54FD3"/>
    <w:rsid w:val="00F55605"/>
    <w:rsid w:val="00F57CD7"/>
    <w:rsid w:val="00F62F02"/>
    <w:rsid w:val="00F63DDE"/>
    <w:rsid w:val="00F63FB7"/>
    <w:rsid w:val="00F64726"/>
    <w:rsid w:val="00F6561A"/>
    <w:rsid w:val="00F70309"/>
    <w:rsid w:val="00F727D5"/>
    <w:rsid w:val="00F72F44"/>
    <w:rsid w:val="00F73A0C"/>
    <w:rsid w:val="00F759DC"/>
    <w:rsid w:val="00F771A5"/>
    <w:rsid w:val="00F817A4"/>
    <w:rsid w:val="00F81C3A"/>
    <w:rsid w:val="00F835FC"/>
    <w:rsid w:val="00F8373A"/>
    <w:rsid w:val="00F83E21"/>
    <w:rsid w:val="00F83FA4"/>
    <w:rsid w:val="00F84E18"/>
    <w:rsid w:val="00F852E5"/>
    <w:rsid w:val="00F95117"/>
    <w:rsid w:val="00FA05D7"/>
    <w:rsid w:val="00FA1C6C"/>
    <w:rsid w:val="00FA2447"/>
    <w:rsid w:val="00FA2C2A"/>
    <w:rsid w:val="00FA309A"/>
    <w:rsid w:val="00FA7644"/>
    <w:rsid w:val="00FB0A9A"/>
    <w:rsid w:val="00FB483B"/>
    <w:rsid w:val="00FB56F1"/>
    <w:rsid w:val="00FB5FD4"/>
    <w:rsid w:val="00FB67F3"/>
    <w:rsid w:val="00FC0D8A"/>
    <w:rsid w:val="00FC0E5F"/>
    <w:rsid w:val="00FC135D"/>
    <w:rsid w:val="00FC3C84"/>
    <w:rsid w:val="00FC4660"/>
    <w:rsid w:val="00FC56DE"/>
    <w:rsid w:val="00FC5E01"/>
    <w:rsid w:val="00FD1261"/>
    <w:rsid w:val="00FD1627"/>
    <w:rsid w:val="00FD1BBD"/>
    <w:rsid w:val="00FD473D"/>
    <w:rsid w:val="00FD61C8"/>
    <w:rsid w:val="00FD63CE"/>
    <w:rsid w:val="00FD7D49"/>
    <w:rsid w:val="00FE1251"/>
    <w:rsid w:val="00FE2F78"/>
    <w:rsid w:val="00FE3510"/>
    <w:rsid w:val="00FE371D"/>
    <w:rsid w:val="00FE375F"/>
    <w:rsid w:val="00FE4FCB"/>
    <w:rsid w:val="00FE705E"/>
    <w:rsid w:val="00FF28E0"/>
    <w:rsid w:val="00FF2FB4"/>
    <w:rsid w:val="00FF30B3"/>
    <w:rsid w:val="00FF3DF3"/>
    <w:rsid w:val="00FF4027"/>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s>
</file>

<file path=word/webSettings.xml><?xml version="1.0" encoding="utf-8"?>
<w:webSettings xmlns:r="http://schemas.openxmlformats.org/officeDocument/2006/relationships" xmlns:w="http://schemas.openxmlformats.org/wordprocessingml/2006/main">
  <w:divs>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BB6D6-1EFD-4306-B185-30143EBEE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bar_vicetematicke.dot</Template>
  <TotalTime>199</TotalTime>
  <Pages>2</Pages>
  <Words>1247</Words>
  <Characters>6792</Characters>
  <Application>Microsoft Office Word</Application>
  <DocSecurity>0</DocSecurity>
  <Lines>56</Lines>
  <Paragraphs>16</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kucera4376</cp:lastModifiedBy>
  <cp:revision>68</cp:revision>
  <cp:lastPrinted>2015-06-19T06:21:00Z</cp:lastPrinted>
  <dcterms:created xsi:type="dcterms:W3CDTF">2015-12-16T13:30:00Z</dcterms:created>
  <dcterms:modified xsi:type="dcterms:W3CDTF">2015-12-18T12:43:00Z</dcterms:modified>
</cp:coreProperties>
</file>