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7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11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12.xml" ContentType="application/vnd.openxmlformats-officedocument.drawingml.chart+xml"/>
  <Override PartName="/word/charts/chart13.xml" ContentType="application/vnd.openxmlformats-officedocument.drawingml.chart+xml"/>
  <Override PartName="/word/charts/chart14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15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16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charts/chart17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charts/chart18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charts/chart19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charts/chart20.xml" ContentType="application/vnd.openxmlformats-officedocument.drawingml.chart+xml"/>
  <Override PartName="/word/charts/style13.xml" ContentType="application/vnd.ms-office.chartstyle+xml"/>
  <Override PartName="/word/charts/colors13.xml" ContentType="application/vnd.ms-office.chartcolorstyle+xml"/>
  <Override PartName="/word/charts/chart21.xml" ContentType="application/vnd.openxmlformats-officedocument.drawingml.chart+xml"/>
  <Override PartName="/word/charts/style14.xml" ContentType="application/vnd.ms-office.chartstyle+xml"/>
  <Override PartName="/word/charts/colors14.xml" ContentType="application/vnd.ms-office.chartcolorstyle+xml"/>
  <Override PartName="/word/charts/chart22.xml" ContentType="application/vnd.openxmlformats-officedocument.drawingml.chart+xml"/>
  <Override PartName="/word/charts/style15.xml" ContentType="application/vnd.ms-office.chartstyle+xml"/>
  <Override PartName="/word/charts/colors15.xml" ContentType="application/vnd.ms-office.chartcolorstyle+xml"/>
  <Override PartName="/word/charts/chart23.xml" ContentType="application/vnd.openxmlformats-officedocument.drawingml.chart+xml"/>
  <Override PartName="/word/charts/style16.xml" ContentType="application/vnd.ms-office.chartstyle+xml"/>
  <Override PartName="/word/charts/colors16.xml" ContentType="application/vnd.ms-office.chartcolorstyle+xml"/>
  <Override PartName="/word/charts/chart24.xml" ContentType="application/vnd.openxmlformats-officedocument.drawingml.chart+xml"/>
  <Override PartName="/word/charts/style17.xml" ContentType="application/vnd.ms-office.chartstyle+xml"/>
  <Override PartName="/word/charts/colors17.xml" ContentType="application/vnd.ms-office.chartcolorstyle+xml"/>
  <Override PartName="/word/charts/chart25.xml" ContentType="application/vnd.openxmlformats-officedocument.drawingml.chart+xml"/>
  <Override PartName="/word/charts/style18.xml" ContentType="application/vnd.ms-office.chartstyle+xml"/>
  <Override PartName="/word/charts/colors18.xml" ContentType="application/vnd.ms-office.chartcolorstyle+xml"/>
  <Override PartName="/word/charts/chart26.xml" ContentType="application/vnd.openxmlformats-officedocument.drawingml.chart+xml"/>
  <Override PartName="/word/charts/chart27.xml" ContentType="application/vnd.openxmlformats-officedocument.drawingml.chart+xml"/>
  <Override PartName="/word/charts/chart28.xml" ContentType="application/vnd.openxmlformats-officedocument.drawingml.chart+xml"/>
  <Override PartName="/word/charts/style19.xml" ContentType="application/vnd.ms-office.chartstyle+xml"/>
  <Override PartName="/word/charts/colors19.xml" ContentType="application/vnd.ms-office.chartcolorstyle+xml"/>
  <Override PartName="/word/charts/chart29.xml" ContentType="application/vnd.openxmlformats-officedocument.drawingml.chart+xml"/>
  <Override PartName="/word/charts/style20.xml" ContentType="application/vnd.ms-office.chartstyle+xml"/>
  <Override PartName="/word/charts/colors20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826413" w14:textId="0F959C72" w:rsidR="00773C24" w:rsidRPr="00B34B01" w:rsidRDefault="0097252D" w:rsidP="007239E6">
      <w:pPr>
        <w:pStyle w:val="Nadpis1"/>
      </w:pPr>
      <w:r w:rsidRPr="00B34B01">
        <w:t xml:space="preserve">3. </w:t>
      </w:r>
      <w:r w:rsidR="00B34B01" w:rsidRPr="00B34B01">
        <w:t xml:space="preserve">Analytická část </w:t>
      </w:r>
      <w:bookmarkStart w:id="0" w:name="_Toc415056893"/>
    </w:p>
    <w:p w14:paraId="1FC7088A" w14:textId="77777777" w:rsidR="00172E38" w:rsidRPr="000277E2" w:rsidRDefault="00172E38" w:rsidP="00172E38">
      <w:pPr>
        <w:pStyle w:val="Nadpis2"/>
        <w:spacing w:after="120"/>
        <w:jc w:val="both"/>
        <w:rPr>
          <w:sz w:val="24"/>
        </w:rPr>
      </w:pPr>
      <w:r w:rsidRPr="000277E2">
        <w:rPr>
          <w:sz w:val="24"/>
        </w:rPr>
        <w:t>Úvod</w:t>
      </w:r>
    </w:p>
    <w:p w14:paraId="394862C5" w14:textId="5EE6A7CF" w:rsidR="00172E38" w:rsidRDefault="00172E38" w:rsidP="00172E38">
      <w:pPr>
        <w:spacing w:before="120"/>
        <w:jc w:val="both"/>
      </w:pPr>
      <w:r w:rsidRPr="00D05A9B">
        <w:t xml:space="preserve">Investice do výzkumu a vývoje (dále jen </w:t>
      </w:r>
      <w:proofErr w:type="spellStart"/>
      <w:r w:rsidRPr="00D05A9B">
        <w:t>VaV</w:t>
      </w:r>
      <w:proofErr w:type="spellEnd"/>
      <w:r w:rsidRPr="00D05A9B">
        <w:t>) přinášejí mezinárodně konkurenceschopné poznatky, inovace a technologie, které patří mezi nejdůležitější hybné faktory pro zvyšování produktivity</w:t>
      </w:r>
      <w:r w:rsidR="00E15937" w:rsidRPr="00D05A9B">
        <w:t xml:space="preserve">, a tím i </w:t>
      </w:r>
      <w:r w:rsidRPr="00D05A9B">
        <w:t xml:space="preserve">zajištění ekonomické konkurenceschopnosti, udržitelného rozvoje a sociální soudržnosti. V roce 2018 celkové výdaje na </w:t>
      </w:r>
      <w:proofErr w:type="spellStart"/>
      <w:r w:rsidRPr="00D05A9B">
        <w:t>VaV</w:t>
      </w:r>
      <w:proofErr w:type="spellEnd"/>
      <w:r w:rsidRPr="00D05A9B">
        <w:t xml:space="preserve"> v Česku meziročně vzrostly o 12,3 mld. Kč a poprvé překonaly stomiliardovou hranici. Podniky, stát a EU investovaly celkem do </w:t>
      </w:r>
      <w:proofErr w:type="spellStart"/>
      <w:r w:rsidRPr="00D05A9B">
        <w:t>VaV</w:t>
      </w:r>
      <w:proofErr w:type="spellEnd"/>
      <w:r w:rsidRPr="00D05A9B">
        <w:t xml:space="preserve"> prováděném na území našeho státu 102,8 mld. Kč.</w:t>
      </w:r>
    </w:p>
    <w:p w14:paraId="2901FFED" w14:textId="77777777" w:rsidR="00172E38" w:rsidRDefault="00172E38" w:rsidP="00172E38">
      <w:pPr>
        <w:spacing w:before="120"/>
        <w:jc w:val="both"/>
      </w:pPr>
      <w:r w:rsidRPr="00396D47">
        <w:t>Stejně jako ve většině vyspělých zemí, i v Česk</w:t>
      </w:r>
      <w:r>
        <w:t>u</w:t>
      </w:r>
      <w:r w:rsidRPr="00396D47">
        <w:t xml:space="preserve"> </w:t>
      </w:r>
      <w:r>
        <w:t xml:space="preserve">hrají </w:t>
      </w:r>
      <w:r w:rsidRPr="00396D47">
        <w:t>významnou roli na tomto poli</w:t>
      </w:r>
      <w:r>
        <w:t xml:space="preserve"> podniky</w:t>
      </w:r>
      <w:r w:rsidRPr="00396D47">
        <w:t xml:space="preserve">. Nachází se mezi nimi nejen nejvíce subjektů, kde se výzkumná a vývojová činnost provádí, ale </w:t>
      </w:r>
      <w:r>
        <w:t>vynaloží se zde na tuto činnost</w:t>
      </w:r>
      <w:r w:rsidRPr="00396D47">
        <w:t xml:space="preserve"> i nejvyšší finanční částka a pracuje zde i nejvíce výzkumných a vývojových pracovníků. </w:t>
      </w:r>
    </w:p>
    <w:p w14:paraId="4B9F20EC" w14:textId="6A246DDA" w:rsidR="00172E38" w:rsidRDefault="00172E38" w:rsidP="00172E38">
      <w:pPr>
        <w:spacing w:before="120"/>
        <w:jc w:val="both"/>
      </w:pPr>
      <w:r w:rsidRPr="00E619AA">
        <w:t xml:space="preserve">V roce 2018 v podnikatelském sektoru ve </w:t>
      </w:r>
      <w:proofErr w:type="spellStart"/>
      <w:r w:rsidRPr="00E619AA">
        <w:t>VaV</w:t>
      </w:r>
      <w:proofErr w:type="spellEnd"/>
      <w:r w:rsidRPr="00E619AA">
        <w:t xml:space="preserve"> pracovalo 42 tis. přepočtených osob, tj. o třetinu (10 tisíc) více než ve vládním a vysokoškolském sektoru dohromady. Ve stejném roce soukromé firmy v Česku investovaly</w:t>
      </w:r>
      <w:r w:rsidR="00E619AA" w:rsidRPr="00E619AA">
        <w:t xml:space="preserve"> do </w:t>
      </w:r>
      <w:proofErr w:type="spellStart"/>
      <w:r w:rsidR="00E619AA" w:rsidRPr="00E619AA">
        <w:t>VaV</w:t>
      </w:r>
      <w:proofErr w:type="spellEnd"/>
      <w:r w:rsidRPr="00E619AA">
        <w:t xml:space="preserve"> </w:t>
      </w:r>
      <w:r w:rsidR="00E619AA" w:rsidRPr="00E619AA">
        <w:t>(</w:t>
      </w:r>
      <w:r w:rsidRPr="00E619AA">
        <w:t xml:space="preserve">ať </w:t>
      </w:r>
      <w:r w:rsidR="00E619AA" w:rsidRPr="00E619AA">
        <w:t xml:space="preserve">už </w:t>
      </w:r>
      <w:r w:rsidRPr="00E619AA">
        <w:t xml:space="preserve">ze svých, </w:t>
      </w:r>
      <w:r w:rsidR="00E619AA" w:rsidRPr="00E619AA">
        <w:t xml:space="preserve">nebo </w:t>
      </w:r>
      <w:r w:rsidRPr="00E619AA">
        <w:t>cizích zdrojů</w:t>
      </w:r>
      <w:r w:rsidR="00E619AA" w:rsidRPr="00E619AA">
        <w:t>)</w:t>
      </w:r>
      <w:r w:rsidRPr="00E619AA">
        <w:t xml:space="preserve"> celkem 61 miliard. Tato částka představovala 60 % z výše uvedených 102,8 mld. Kč vynaložených na území našeho státu na tuto činnost.</w:t>
      </w:r>
      <w:r w:rsidR="00830955" w:rsidRPr="00E619AA">
        <w:t xml:space="preserve"> </w:t>
      </w:r>
      <w:r w:rsidRPr="00E619AA">
        <w:t xml:space="preserve">Od roku 2010 výdaje na </w:t>
      </w:r>
      <w:proofErr w:type="spellStart"/>
      <w:r w:rsidRPr="00E619AA">
        <w:t>VaV</w:t>
      </w:r>
      <w:proofErr w:type="spellEnd"/>
      <w:r w:rsidRPr="00E619AA">
        <w:t xml:space="preserve"> v soukromých podnicích rostou průměrným ročním tempem 10 %. Za tímto nárůstem </w:t>
      </w:r>
      <w:r w:rsidR="00E619AA" w:rsidRPr="00E619AA">
        <w:t xml:space="preserve">stojí </w:t>
      </w:r>
      <w:r w:rsidRPr="00E619AA">
        <w:t xml:space="preserve">především soukromé firmy pod zahraniční kontrolou, u nichž výdaje na </w:t>
      </w:r>
      <w:proofErr w:type="spellStart"/>
      <w:r w:rsidRPr="00E619AA">
        <w:t>VaV</w:t>
      </w:r>
      <w:proofErr w:type="spellEnd"/>
      <w:r w:rsidRPr="00E619AA">
        <w:t xml:space="preserve"> od roku 2010 vzrostly o 280 % v porovnání s </w:t>
      </w:r>
      <w:proofErr w:type="gramStart"/>
      <w:r w:rsidRPr="00E619AA">
        <w:t>50%</w:t>
      </w:r>
      <w:proofErr w:type="gramEnd"/>
      <w:r w:rsidRPr="00E619AA">
        <w:t xml:space="preserve"> nárůstem v</w:t>
      </w:r>
      <w:r w:rsidR="00E15937" w:rsidRPr="00E619AA">
        <w:t> </w:t>
      </w:r>
      <w:r w:rsidRPr="00E619AA">
        <w:t>soukromých domácích firmách.</w:t>
      </w:r>
    </w:p>
    <w:p w14:paraId="14092405" w14:textId="77777777" w:rsidR="00172E38" w:rsidRPr="005B22A7" w:rsidRDefault="00172E38" w:rsidP="00172E38">
      <w:pPr>
        <w:spacing w:before="120"/>
        <w:jc w:val="both"/>
        <w:rPr>
          <w:b/>
        </w:rPr>
      </w:pPr>
      <w:r w:rsidRPr="005B22A7">
        <w:rPr>
          <w:b/>
        </w:rPr>
        <w:t xml:space="preserve">GRAF 1: Výdaje na </w:t>
      </w:r>
      <w:r>
        <w:rPr>
          <w:b/>
        </w:rPr>
        <w:t xml:space="preserve">výzkum a vývoj </w:t>
      </w:r>
      <w:r w:rsidRPr="005B22A7">
        <w:rPr>
          <w:b/>
        </w:rPr>
        <w:t xml:space="preserve">v soukromých podnicích </w:t>
      </w:r>
      <w:r>
        <w:rPr>
          <w:b/>
        </w:rPr>
        <w:t xml:space="preserve">v </w:t>
      </w:r>
      <w:r w:rsidRPr="005B22A7">
        <w:rPr>
          <w:b/>
        </w:rPr>
        <w:t>Č</w:t>
      </w:r>
      <w:r>
        <w:rPr>
          <w:b/>
        </w:rPr>
        <w:t>esku</w:t>
      </w:r>
    </w:p>
    <w:p w14:paraId="3DB79C46" w14:textId="77777777" w:rsidR="00172E38" w:rsidRPr="0095288C" w:rsidRDefault="00172E38" w:rsidP="006B1C9D">
      <w:pPr>
        <w:jc w:val="both"/>
        <w:rPr>
          <w:b/>
        </w:rPr>
      </w:pPr>
      <w:r>
        <w:rPr>
          <w:noProof/>
        </w:rPr>
        <w:drawing>
          <wp:inline distT="0" distB="0" distL="0" distR="0" wp14:anchorId="7772773D" wp14:editId="5948A88B">
            <wp:extent cx="6048000" cy="2844000"/>
            <wp:effectExtent l="0" t="0" r="0" b="0"/>
            <wp:docPr id="2" name="Graf 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7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14:paraId="47F2F5B5" w14:textId="77777777" w:rsidR="00172E38" w:rsidRPr="0095288C" w:rsidRDefault="00172E38" w:rsidP="00172E38">
      <w:pPr>
        <w:spacing w:after="120"/>
        <w:rPr>
          <w:i/>
          <w:sz w:val="16"/>
        </w:rPr>
      </w:pPr>
      <w:r w:rsidRPr="0095288C">
        <w:rPr>
          <w:i/>
          <w:sz w:val="16"/>
        </w:rPr>
        <w:t xml:space="preserve">Zdroj dat: ČSÚ – Šetření o </w:t>
      </w:r>
      <w:proofErr w:type="spellStart"/>
      <w:r w:rsidRPr="0095288C">
        <w:rPr>
          <w:i/>
          <w:sz w:val="16"/>
        </w:rPr>
        <w:t>VaV</w:t>
      </w:r>
      <w:proofErr w:type="spellEnd"/>
      <w:r w:rsidRPr="0095288C">
        <w:rPr>
          <w:i/>
          <w:sz w:val="16"/>
        </w:rPr>
        <w:t xml:space="preserve"> (VTR 5-01) </w:t>
      </w:r>
    </w:p>
    <w:p w14:paraId="0EBE30D8" w14:textId="77777777" w:rsidR="00172E38" w:rsidRDefault="00172E38" w:rsidP="00172E38">
      <w:pPr>
        <w:spacing w:before="120"/>
        <w:jc w:val="both"/>
      </w:pPr>
      <w:r>
        <w:t xml:space="preserve">Ve všech vyspělých zemích vlády podporují firemní investice do </w:t>
      </w:r>
      <w:proofErr w:type="spellStart"/>
      <w:r>
        <w:t>VaV</w:t>
      </w:r>
      <w:proofErr w:type="spellEnd"/>
      <w:r>
        <w:t xml:space="preserve">. Přímo financují výzkum ve veřejných výzkumných institucích (vysoké školy či akademie věd), na němž mohou podniky stavět. Kromě toho se ale snaží motivovat vyšší firemní výdaje na </w:t>
      </w:r>
      <w:proofErr w:type="spellStart"/>
      <w:r>
        <w:t>VaV</w:t>
      </w:r>
      <w:proofErr w:type="spellEnd"/>
      <w:r>
        <w:t xml:space="preserve"> i fiskálními stimuly jako jsou dotace (tzv. přímá veřejná podpora) anebo daňové odpočty (tzv. nepřímá veřejná podpora).</w:t>
      </w:r>
    </w:p>
    <w:p w14:paraId="4FF6A7AB" w14:textId="77777777" w:rsidR="006B1C9D" w:rsidRDefault="00172E38" w:rsidP="006B1C9D">
      <w:pPr>
        <w:spacing w:before="120"/>
        <w:jc w:val="both"/>
      </w:pPr>
      <w:r w:rsidRPr="000277E2">
        <w:t xml:space="preserve">Jak bude uvedeno dále, daňové odpočty na </w:t>
      </w:r>
      <w:proofErr w:type="spellStart"/>
      <w:r w:rsidRPr="000277E2">
        <w:t>VaV</w:t>
      </w:r>
      <w:proofErr w:type="spellEnd"/>
      <w:r w:rsidRPr="000277E2">
        <w:t xml:space="preserve"> v inovačních politikách hrají stále významnější roli. </w:t>
      </w:r>
      <w:r w:rsidRPr="006E7D6A">
        <w:t xml:space="preserve">V roce 2017 mohly podniky ve 21 zemích EU využít některou z možností daňové podpory výzkumu a vývoje. </w:t>
      </w:r>
      <w:r w:rsidRPr="000277E2">
        <w:t>V</w:t>
      </w:r>
      <w:r>
        <w:t xml:space="preserve">e stejném roce v zemích OECD se tato nepřímá podpora podílela již z poloviny na celkových národních veřejných prostředcích vynaložených </w:t>
      </w:r>
      <w:r w:rsidRPr="000277E2">
        <w:t xml:space="preserve">na podporu </w:t>
      </w:r>
      <w:r>
        <w:t xml:space="preserve">firemního výzkumu a vývoje. Pro srovnání v roce  2000 byl tento podíl pouze třetinový. Podrobněji v kapitole 3.3 věnující se mezinárodnímu srovnání. </w:t>
      </w:r>
    </w:p>
    <w:p w14:paraId="37A7CD31" w14:textId="77777777" w:rsidR="00D05A9B" w:rsidRDefault="00D05A9B" w:rsidP="006B1C9D">
      <w:pPr>
        <w:spacing w:before="120"/>
        <w:jc w:val="both"/>
      </w:pPr>
      <w:r w:rsidRPr="00D05A9B">
        <w:t xml:space="preserve">Před samotnou analýzou nepřímé veřejné podpory je potřeba zasadit tuto daňovou podporu do kontextu celkového financování </w:t>
      </w:r>
      <w:proofErr w:type="spellStart"/>
      <w:r w:rsidRPr="00D05A9B">
        <w:t>VaV</w:t>
      </w:r>
      <w:proofErr w:type="spellEnd"/>
      <w:r w:rsidRPr="00D05A9B">
        <w:t xml:space="preserve"> v soukromých podnicích z veřejných zdrojů. A právě tomu se bude věnovat následující podkapitola.</w:t>
      </w:r>
    </w:p>
    <w:p w14:paraId="5B45F941" w14:textId="598DB78C" w:rsidR="00080E37" w:rsidRPr="007239E6" w:rsidRDefault="0097252D" w:rsidP="00830955">
      <w:pPr>
        <w:pStyle w:val="Nadpis2"/>
        <w:pageBreakBefore/>
        <w:spacing w:after="120"/>
        <w:jc w:val="both"/>
        <w:rPr>
          <w:sz w:val="24"/>
        </w:rPr>
      </w:pPr>
      <w:r w:rsidRPr="007239E6">
        <w:rPr>
          <w:sz w:val="24"/>
        </w:rPr>
        <w:lastRenderedPageBreak/>
        <w:t>3.1</w:t>
      </w:r>
      <w:bookmarkEnd w:id="0"/>
      <w:r w:rsidR="00052731" w:rsidRPr="007239E6">
        <w:rPr>
          <w:sz w:val="24"/>
        </w:rPr>
        <w:t xml:space="preserve"> </w:t>
      </w:r>
      <w:r w:rsidR="00BB5FE5" w:rsidRPr="007239E6">
        <w:rPr>
          <w:sz w:val="24"/>
        </w:rPr>
        <w:t xml:space="preserve">Celková veřejná podpora </w:t>
      </w:r>
      <w:proofErr w:type="spellStart"/>
      <w:r w:rsidR="00BB5FE5" w:rsidRPr="007239E6">
        <w:rPr>
          <w:sz w:val="24"/>
        </w:rPr>
        <w:t>VaV</w:t>
      </w:r>
      <w:proofErr w:type="spellEnd"/>
      <w:r w:rsidR="00BB5FE5" w:rsidRPr="007239E6">
        <w:rPr>
          <w:sz w:val="24"/>
        </w:rPr>
        <w:t xml:space="preserve"> v soukromých podnicích</w:t>
      </w:r>
      <w:r w:rsidR="00052731" w:rsidRPr="007239E6">
        <w:rPr>
          <w:sz w:val="24"/>
        </w:rPr>
        <w:t xml:space="preserve"> </w:t>
      </w:r>
    </w:p>
    <w:p w14:paraId="7EF15C97" w14:textId="0B46949E" w:rsidR="00F91D4D" w:rsidRDefault="00F91D4D" w:rsidP="00F91D4D">
      <w:pPr>
        <w:spacing w:before="120"/>
        <w:jc w:val="both"/>
      </w:pPr>
      <w:r>
        <w:t>S</w:t>
      </w:r>
      <w:r w:rsidRPr="00717B70">
        <w:t xml:space="preserve">oukromé firmy </w:t>
      </w:r>
      <w:r>
        <w:t xml:space="preserve">financují svoji výzkumnou a vývojovou činnost převážně </w:t>
      </w:r>
      <w:r w:rsidRPr="00717B70">
        <w:t xml:space="preserve">z vlastních či jiných </w:t>
      </w:r>
      <w:r>
        <w:t xml:space="preserve">podnikových </w:t>
      </w:r>
      <w:r w:rsidRPr="00717B70">
        <w:t>zdrojů</w:t>
      </w:r>
      <w:r>
        <w:t xml:space="preserve">. V roce 2018 se tyto soukromé zdroje podílely z 92 % na jejich celkových výdajích na </w:t>
      </w:r>
      <w:proofErr w:type="spellStart"/>
      <w:r>
        <w:t>VaV</w:t>
      </w:r>
      <w:proofErr w:type="spellEnd"/>
      <w:r>
        <w:t xml:space="preserve">, které dosáhly výše zmíněných 61 mld. Kč. Zbylá část ve výši </w:t>
      </w:r>
      <w:r w:rsidRPr="00717B70">
        <w:t>5</w:t>
      </w:r>
      <w:r>
        <w:t xml:space="preserve"> mld. Kč </w:t>
      </w:r>
      <w:r w:rsidRPr="00717B70">
        <w:t>připadl</w:t>
      </w:r>
      <w:r>
        <w:t>a</w:t>
      </w:r>
      <w:r w:rsidRPr="00717B70">
        <w:t xml:space="preserve"> na přímou podporu ze zdrojů veřejných</w:t>
      </w:r>
      <w:r>
        <w:t xml:space="preserve">. </w:t>
      </w:r>
      <w:r w:rsidRPr="0012579A">
        <w:t>Větš</w:t>
      </w:r>
      <w:r>
        <w:t xml:space="preserve">ina z těchto prostředků (70 %) šla </w:t>
      </w:r>
      <w:r w:rsidRPr="0012579A">
        <w:t xml:space="preserve">na vrub přímých dotací ze státního rozpočtu ČR. </w:t>
      </w:r>
      <w:r w:rsidRPr="0073609F">
        <w:t xml:space="preserve">Jak je vidět z grafu č. 2, v roce 2018 takto firmy získaly 3,5 mld. Kč. Díky uplatněným a uznaných daňovým odpočtům na své výzkumné a vývojové projekty ušetřily </w:t>
      </w:r>
      <w:r w:rsidR="0073609F" w:rsidRPr="0073609F">
        <w:t xml:space="preserve">dalších </w:t>
      </w:r>
      <w:r w:rsidRPr="0073609F">
        <w:t>2,6 mld. Kč. Ze zdrojů EU pak pocházelo 1,5 mld. Kč.</w:t>
      </w:r>
      <w:r>
        <w:t xml:space="preserve"> </w:t>
      </w:r>
    </w:p>
    <w:p w14:paraId="63501993" w14:textId="77777777" w:rsidR="006C3E42" w:rsidRDefault="006C3E42" w:rsidP="006C3E42">
      <w:pPr>
        <w:spacing w:before="120"/>
        <w:jc w:val="both"/>
      </w:pPr>
      <w:r>
        <w:t xml:space="preserve">Nepřímá veřejná - daňová - podpora výzkumu a vývoje je určena primárně pro soukromé právnické subjekty, které v roce 2018 takto ušetřily výše zmíněných 2,6 mld. Kč. Tato částka se v posledních čtyřech letech výrazně nemění. V delším časovém horizontu je však o 1,6 miliardy vyšší než před deseti lety. Podrobněji je tento nepřímý veřejný zdroj financování </w:t>
      </w:r>
      <w:proofErr w:type="spellStart"/>
      <w:r>
        <w:t>VaV</w:t>
      </w:r>
      <w:proofErr w:type="spellEnd"/>
      <w:r>
        <w:t xml:space="preserve"> v soukromých podnicích u nás a v zahraničí rozebrán v následujících kapitolách. </w:t>
      </w:r>
    </w:p>
    <w:p w14:paraId="540F7A21" w14:textId="601F63E6" w:rsidR="00172E38" w:rsidRDefault="00D05A9B" w:rsidP="00172E38">
      <w:pPr>
        <w:spacing w:before="120"/>
        <w:jc w:val="both"/>
      </w:pPr>
      <w:r w:rsidRPr="00D05A9B">
        <w:t>V roce 2018 dosáhla veřejná podpora směřující do výzkumu a vývoje, který prováděly soukromé podniky v České republice, celkem 7,6 mld. Kč.</w:t>
      </w:r>
      <w:r w:rsidR="00172E38" w:rsidRPr="00D05A9B">
        <w:t xml:space="preserve"> Oproti roku předchozímu se zvýšila o více </w:t>
      </w:r>
      <w:r w:rsidR="008E676B" w:rsidRPr="00D05A9B">
        <w:t xml:space="preserve">než </w:t>
      </w:r>
      <w:r w:rsidR="00172E38" w:rsidRPr="00D05A9B">
        <w:t>jednu miliardu (1,2 mld.</w:t>
      </w:r>
      <w:r w:rsidR="00E15937" w:rsidRPr="00D05A9B">
        <w:t> </w:t>
      </w:r>
      <w:r w:rsidR="00172E38" w:rsidRPr="00D05A9B">
        <w:t xml:space="preserve">Kč) a druhým rokem v řadě rostla. Přesto jde o nižší částku než v rekordním roce 2012, kdy soukromé firmy na svou výzkumnou a vývojovou činnost </w:t>
      </w:r>
      <w:r w:rsidR="008E676B" w:rsidRPr="00D05A9B">
        <w:t xml:space="preserve">z veřejných zdrojů </w:t>
      </w:r>
      <w:r w:rsidR="00172E38" w:rsidRPr="00D05A9B">
        <w:t>obdržely 8,3</w:t>
      </w:r>
      <w:r w:rsidR="00CB2D19" w:rsidRPr="00D05A9B">
        <w:t> </w:t>
      </w:r>
      <w:r w:rsidR="00172E38" w:rsidRPr="00D05A9B">
        <w:t>mld. Kč.</w:t>
      </w:r>
    </w:p>
    <w:p w14:paraId="2A72B70D" w14:textId="77777777" w:rsidR="00452920" w:rsidRPr="00B91063" w:rsidRDefault="00452920" w:rsidP="00CB2D19">
      <w:pPr>
        <w:spacing w:before="120"/>
        <w:jc w:val="both"/>
        <w:rPr>
          <w:b/>
        </w:rPr>
      </w:pPr>
      <w:r w:rsidRPr="00B91063">
        <w:rPr>
          <w:b/>
        </w:rPr>
        <w:t xml:space="preserve">GRAF 2: Veřejná podpora </w:t>
      </w:r>
      <w:proofErr w:type="spellStart"/>
      <w:r w:rsidRPr="00B91063">
        <w:rPr>
          <w:b/>
        </w:rPr>
        <w:t>VaV</w:t>
      </w:r>
      <w:proofErr w:type="spellEnd"/>
      <w:r w:rsidRPr="00B91063">
        <w:rPr>
          <w:b/>
        </w:rPr>
        <w:t xml:space="preserve"> v soukromých podnicích </w:t>
      </w:r>
      <w:r>
        <w:rPr>
          <w:b/>
        </w:rPr>
        <w:t xml:space="preserve">v </w:t>
      </w:r>
      <w:r w:rsidRPr="00B91063">
        <w:rPr>
          <w:b/>
        </w:rPr>
        <w:t>Č</w:t>
      </w:r>
      <w:r>
        <w:rPr>
          <w:b/>
        </w:rPr>
        <w:t>esku</w:t>
      </w:r>
      <w:r w:rsidRPr="00B91063">
        <w:rPr>
          <w:b/>
        </w:rPr>
        <w:t xml:space="preserve"> (ml</w:t>
      </w:r>
      <w:r>
        <w:rPr>
          <w:b/>
        </w:rPr>
        <w:t>d</w:t>
      </w:r>
      <w:r w:rsidRPr="00B91063">
        <w:rPr>
          <w:b/>
        </w:rPr>
        <w:t>. Kč)</w:t>
      </w:r>
    </w:p>
    <w:p w14:paraId="0DE54278" w14:textId="77777777" w:rsidR="00452920" w:rsidRPr="0095288C" w:rsidRDefault="00452920" w:rsidP="00CB2D19">
      <w:pPr>
        <w:jc w:val="both"/>
      </w:pPr>
      <w:r>
        <w:rPr>
          <w:noProof/>
        </w:rPr>
        <w:drawing>
          <wp:inline distT="0" distB="0" distL="0" distR="0" wp14:anchorId="16FAD3A1" wp14:editId="5183BFDE">
            <wp:extent cx="6120001" cy="3060000"/>
            <wp:effectExtent l="0" t="0" r="0" b="7620"/>
            <wp:docPr id="6" name="Graf 6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1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2F33B9C8" w14:textId="77777777" w:rsidR="00452920" w:rsidRDefault="00452920" w:rsidP="00452920">
      <w:pPr>
        <w:jc w:val="both"/>
        <w:rPr>
          <w:i/>
          <w:sz w:val="16"/>
        </w:rPr>
      </w:pPr>
      <w:r>
        <w:rPr>
          <w:i/>
          <w:sz w:val="16"/>
        </w:rPr>
        <w:t xml:space="preserve">SR ČR: dotace na </w:t>
      </w:r>
      <w:proofErr w:type="spellStart"/>
      <w:r>
        <w:rPr>
          <w:i/>
          <w:sz w:val="16"/>
        </w:rPr>
        <w:t>VaV</w:t>
      </w:r>
      <w:proofErr w:type="spellEnd"/>
      <w:r>
        <w:rPr>
          <w:i/>
          <w:sz w:val="16"/>
        </w:rPr>
        <w:t xml:space="preserve"> ze státního rozpočtu České republiky </w:t>
      </w:r>
    </w:p>
    <w:p w14:paraId="6E6AEC5E" w14:textId="77777777" w:rsidR="00452920" w:rsidRPr="00B91063" w:rsidRDefault="00452920" w:rsidP="00452920">
      <w:pPr>
        <w:jc w:val="both"/>
      </w:pPr>
      <w:r w:rsidRPr="00B91063">
        <w:rPr>
          <w:i/>
          <w:sz w:val="16"/>
        </w:rPr>
        <w:t xml:space="preserve">Zdroj dat: ČSÚ podle administrativních dat GFŘ, ČSÚ – Šetření o </w:t>
      </w:r>
      <w:proofErr w:type="spellStart"/>
      <w:r w:rsidRPr="00B91063">
        <w:rPr>
          <w:i/>
          <w:sz w:val="16"/>
        </w:rPr>
        <w:t>VaV</w:t>
      </w:r>
      <w:proofErr w:type="spellEnd"/>
      <w:r w:rsidRPr="00B91063">
        <w:rPr>
          <w:i/>
          <w:sz w:val="16"/>
        </w:rPr>
        <w:t xml:space="preserve"> (VTR 5-01)</w:t>
      </w:r>
    </w:p>
    <w:p w14:paraId="6442E70C" w14:textId="1D2822A7" w:rsidR="00CB2D19" w:rsidRDefault="00CB2D19" w:rsidP="00005C9C">
      <w:pPr>
        <w:spacing w:before="120"/>
        <w:jc w:val="both"/>
      </w:pPr>
      <w:r w:rsidRPr="00D05A9B">
        <w:t>Z výše uvedených 7,6 miliard v roce 2018 pocházelo 80 % (6,1 mld. Kč) z domácích veřejných zdrojů a 20 % (1,5 mld. Kč) ze zdrojů EU.</w:t>
      </w:r>
      <w:r w:rsidR="00F91D4D" w:rsidRPr="00D05A9B">
        <w:t xml:space="preserve"> Tyto </w:t>
      </w:r>
      <w:r w:rsidR="00C70139" w:rsidRPr="00D05A9B">
        <w:t xml:space="preserve">přímé a nepřímé </w:t>
      </w:r>
      <w:r w:rsidR="00F91D4D" w:rsidRPr="00D05A9B">
        <w:t xml:space="preserve">domácí veřejné zdroje se podílely z 10 % </w:t>
      </w:r>
      <w:r w:rsidR="00C70139" w:rsidRPr="00D05A9B">
        <w:t xml:space="preserve">na financování </w:t>
      </w:r>
      <w:proofErr w:type="spellStart"/>
      <w:r w:rsidR="00C70139" w:rsidRPr="00D05A9B">
        <w:t>VaV</w:t>
      </w:r>
      <w:proofErr w:type="spellEnd"/>
      <w:r w:rsidR="00C70139" w:rsidRPr="00D05A9B">
        <w:t xml:space="preserve"> v soukromých podnicích a zahraniční veřejné zdroje pak z </w:t>
      </w:r>
      <w:r w:rsidR="00F91D4D" w:rsidRPr="00D05A9B">
        <w:t>2,5 %</w:t>
      </w:r>
      <w:r w:rsidR="00C70139" w:rsidRPr="00D05A9B">
        <w:t xml:space="preserve">. Dohromady tak český stát a EU </w:t>
      </w:r>
      <w:r w:rsidR="00D05A9B" w:rsidRPr="00D05A9B">
        <w:t>financovaly</w:t>
      </w:r>
      <w:r w:rsidR="00C70139" w:rsidRPr="00D05A9B">
        <w:t xml:space="preserve"> 12,5 % </w:t>
      </w:r>
      <w:r w:rsidR="00D05A9B" w:rsidRPr="00D05A9B">
        <w:t xml:space="preserve">z celkových nákladů na </w:t>
      </w:r>
      <w:proofErr w:type="spellStart"/>
      <w:r w:rsidR="00C70139" w:rsidRPr="00D05A9B">
        <w:t>VaV</w:t>
      </w:r>
      <w:proofErr w:type="spellEnd"/>
      <w:r w:rsidR="00C70139" w:rsidRPr="00D05A9B">
        <w:t xml:space="preserve"> proveden</w:t>
      </w:r>
      <w:r w:rsidR="00D05A9B" w:rsidRPr="00D05A9B">
        <w:t>ý</w:t>
      </w:r>
      <w:r w:rsidR="00C70139" w:rsidRPr="00D05A9B">
        <w:t xml:space="preserve"> v soukromých podnicích. Podrobněji v grafu č. 3.</w:t>
      </w:r>
      <w:r w:rsidR="00F91D4D" w:rsidRPr="00F91D4D">
        <w:t xml:space="preserve"> </w:t>
      </w:r>
    </w:p>
    <w:p w14:paraId="481ECF37" w14:textId="793717BB" w:rsidR="00005C9C" w:rsidRDefault="00005C9C" w:rsidP="00005C9C">
      <w:pPr>
        <w:spacing w:before="120"/>
        <w:jc w:val="both"/>
      </w:pPr>
      <w:r>
        <w:t xml:space="preserve">Pokud se podíváme na delší časový úsek, zjistíme, že od roku 2008 včetně bylo na </w:t>
      </w:r>
      <w:proofErr w:type="spellStart"/>
      <w:r>
        <w:t>VaV</w:t>
      </w:r>
      <w:proofErr w:type="spellEnd"/>
      <w:r>
        <w:t xml:space="preserve"> v soukromých podnicích ze státního rozpočtu vynaloženo ve formě přímých dotací celkem 40 mld. Kč. </w:t>
      </w:r>
      <w:r w:rsidRPr="00F97022">
        <w:t xml:space="preserve">Díky daňovým odpočtům na výzkumné a vývojové projekty soukromé firmy ušetřily </w:t>
      </w:r>
      <w:r>
        <w:t xml:space="preserve">v tomto období </w:t>
      </w:r>
      <w:r w:rsidRPr="00F97022">
        <w:t>dalších 2</w:t>
      </w:r>
      <w:r>
        <w:t>2</w:t>
      </w:r>
      <w:r w:rsidR="00CB2D19">
        <w:t> </w:t>
      </w:r>
      <w:r w:rsidRPr="00F97022">
        <w:t>mld.</w:t>
      </w:r>
      <w:r w:rsidR="00CB2D19">
        <w:t> </w:t>
      </w:r>
      <w:r w:rsidRPr="00F97022">
        <w:t>Kč</w:t>
      </w:r>
      <w:r>
        <w:t xml:space="preserve"> a z</w:t>
      </w:r>
      <w:r w:rsidRPr="00F97022">
        <w:t xml:space="preserve">e zdrojů EU pak </w:t>
      </w:r>
      <w:r>
        <w:t xml:space="preserve">k nim doputovalo </w:t>
      </w:r>
      <w:r w:rsidRPr="00F97022">
        <w:t xml:space="preserve">12 mld. Kč. </w:t>
      </w:r>
      <w:r>
        <w:t xml:space="preserve">Celkově tak soukromé firmy od roku 2008 získaly z veřejných zdrojů na svoji výzkumnou a vývojovou činnost 74 mld. Kč. </w:t>
      </w:r>
    </w:p>
    <w:p w14:paraId="4B58A458" w14:textId="5371BE5A" w:rsidR="00F91D4D" w:rsidRPr="007E1268" w:rsidRDefault="00F91D4D" w:rsidP="00F91D4D">
      <w:pPr>
        <w:spacing w:before="120"/>
        <w:jc w:val="both"/>
      </w:pPr>
      <w:r w:rsidRPr="00F91D4D">
        <w:t xml:space="preserve">Český stát podporuje podnikový </w:t>
      </w:r>
      <w:proofErr w:type="spellStart"/>
      <w:r w:rsidRPr="00F91D4D">
        <w:t>VaV</w:t>
      </w:r>
      <w:proofErr w:type="spellEnd"/>
      <w:r w:rsidRPr="00F91D4D">
        <w:t xml:space="preserve">, jak prostřednictvím přímého financování ze státního rozpočtu ČR ve formě účelových dotací, tak i nepřímo prostřednictvím daňové podpory na výzkumné a vývojové projekty. </w:t>
      </w:r>
      <w:r>
        <w:t>Jak lze vidět z následujícího grafu č. 3, p</w:t>
      </w:r>
      <w:r w:rsidRPr="007E1268">
        <w:t xml:space="preserve">odíl přímé veřejné podpory </w:t>
      </w:r>
      <w:r>
        <w:t xml:space="preserve">ze státního rozpočtu na financování </w:t>
      </w:r>
      <w:proofErr w:type="spellStart"/>
      <w:r>
        <w:t>V</w:t>
      </w:r>
      <w:r w:rsidRPr="007E1268">
        <w:t>aV</w:t>
      </w:r>
      <w:proofErr w:type="spellEnd"/>
      <w:r w:rsidRPr="007E1268">
        <w:t xml:space="preserve"> </w:t>
      </w:r>
      <w:r>
        <w:lastRenderedPageBreak/>
        <w:t xml:space="preserve">v soukromých podnicích </w:t>
      </w:r>
      <w:r w:rsidRPr="007E1268">
        <w:t xml:space="preserve">začal </w:t>
      </w:r>
      <w:r>
        <w:t>klesat po roce 2011, kdy dosáhl svého vrcholu (14 %)</w:t>
      </w:r>
      <w:r w:rsidRPr="007E1268">
        <w:t xml:space="preserve">. V roce 2016 došlo </w:t>
      </w:r>
      <w:r>
        <w:t xml:space="preserve">dokonce </w:t>
      </w:r>
      <w:r w:rsidRPr="007E1268">
        <w:t xml:space="preserve">k vyrovnání podílů přímé (rozpočtové) a nepřímé (daňové) podpory </w:t>
      </w:r>
      <w:proofErr w:type="spellStart"/>
      <w:r w:rsidRPr="007E1268">
        <w:t>VaV</w:t>
      </w:r>
      <w:proofErr w:type="spellEnd"/>
      <w:r w:rsidRPr="007E1268">
        <w:t>. V roce</w:t>
      </w:r>
      <w:r w:rsidRPr="00CC0AE6">
        <w:t xml:space="preserve"> 2017 se změnil negativní trend a přímá veřejná podpora </w:t>
      </w:r>
      <w:proofErr w:type="spellStart"/>
      <w:r w:rsidRPr="00CC0AE6">
        <w:t>VaV</w:t>
      </w:r>
      <w:proofErr w:type="spellEnd"/>
      <w:r w:rsidRPr="00CC0AE6">
        <w:t xml:space="preserve"> </w:t>
      </w:r>
      <w:r>
        <w:t xml:space="preserve">ze státního rozpočtu ČR </w:t>
      </w:r>
      <w:r w:rsidRPr="00CC0AE6">
        <w:t xml:space="preserve">opět začala růst. Zvýšil se i podíl této podpory na celkových výdajích na </w:t>
      </w:r>
      <w:proofErr w:type="spellStart"/>
      <w:r w:rsidRPr="00CC0AE6">
        <w:t>VaV</w:t>
      </w:r>
      <w:proofErr w:type="spellEnd"/>
      <w:r>
        <w:t xml:space="preserve"> v soukromých podnicích</w:t>
      </w:r>
      <w:r w:rsidRPr="00CC0AE6">
        <w:t xml:space="preserve">. </w:t>
      </w:r>
      <w:r>
        <w:t xml:space="preserve">Pokud jde o </w:t>
      </w:r>
      <w:r w:rsidRPr="004D5A8D">
        <w:t>nepřím</w:t>
      </w:r>
      <w:r>
        <w:t>ou (daňovou)</w:t>
      </w:r>
      <w:r w:rsidRPr="004D5A8D">
        <w:t xml:space="preserve"> podpor</w:t>
      </w:r>
      <w:r>
        <w:t>u</w:t>
      </w:r>
      <w:r w:rsidRPr="004D5A8D">
        <w:t>, i</w:t>
      </w:r>
      <w:r w:rsidR="006B1C9D">
        <w:t> </w:t>
      </w:r>
      <w:r w:rsidRPr="004D5A8D">
        <w:t xml:space="preserve">přes to, že v absolutních hodnotách stále </w:t>
      </w:r>
      <w:r>
        <w:t xml:space="preserve">nepatrně </w:t>
      </w:r>
      <w:r w:rsidRPr="004D5A8D">
        <w:t xml:space="preserve">narůstá, </w:t>
      </w:r>
      <w:r>
        <w:t xml:space="preserve">její podíl se na financování soukromého </w:t>
      </w:r>
      <w:proofErr w:type="spellStart"/>
      <w:r>
        <w:t>VaV</w:t>
      </w:r>
      <w:proofErr w:type="spellEnd"/>
      <w:r>
        <w:t xml:space="preserve"> od roku 2015 pomalu snižuje, a to z 5,5 % na 4,2 % v roce 2018. </w:t>
      </w:r>
      <w:r w:rsidRPr="00CC0AE6">
        <w:t xml:space="preserve"> </w:t>
      </w:r>
    </w:p>
    <w:p w14:paraId="0C0AAA4B" w14:textId="7E360E5C" w:rsidR="00A55C50" w:rsidRPr="00C56392" w:rsidRDefault="00A55C50" w:rsidP="001648A0">
      <w:pPr>
        <w:spacing w:before="240"/>
        <w:jc w:val="both"/>
        <w:rPr>
          <w:b/>
        </w:rPr>
      </w:pPr>
      <w:r w:rsidRPr="00C56392">
        <w:rPr>
          <w:b/>
        </w:rPr>
        <w:t xml:space="preserve">GRAF 3: </w:t>
      </w:r>
      <w:r w:rsidR="00053AA9">
        <w:rPr>
          <w:b/>
        </w:rPr>
        <w:t xml:space="preserve">Podíl veřejných zdrojů na financování </w:t>
      </w:r>
      <w:proofErr w:type="spellStart"/>
      <w:r w:rsidR="00053AA9">
        <w:rPr>
          <w:b/>
        </w:rPr>
        <w:t>VaV</w:t>
      </w:r>
      <w:proofErr w:type="spellEnd"/>
      <w:r w:rsidR="00053AA9">
        <w:rPr>
          <w:b/>
        </w:rPr>
        <w:t xml:space="preserve"> v </w:t>
      </w:r>
      <w:r w:rsidRPr="00C56392">
        <w:rPr>
          <w:b/>
        </w:rPr>
        <w:t xml:space="preserve">soukromých podnicích </w:t>
      </w:r>
      <w:r w:rsidR="00053AA9">
        <w:rPr>
          <w:b/>
        </w:rPr>
        <w:t>v Česku (v %)</w:t>
      </w:r>
    </w:p>
    <w:p w14:paraId="1033B652" w14:textId="06C709BC" w:rsidR="00A55C50" w:rsidRPr="0095288C" w:rsidRDefault="00053AA9" w:rsidP="00A55C50">
      <w:pPr>
        <w:spacing w:line="240" w:lineRule="auto"/>
        <w:rPr>
          <w:i/>
          <w:sz w:val="16"/>
        </w:rPr>
      </w:pPr>
      <w:r>
        <w:rPr>
          <w:noProof/>
        </w:rPr>
        <w:drawing>
          <wp:inline distT="0" distB="0" distL="0" distR="0" wp14:anchorId="1CCD3868" wp14:editId="178C0991">
            <wp:extent cx="6120001" cy="3060000"/>
            <wp:effectExtent l="0" t="0" r="0" b="7620"/>
            <wp:docPr id="7" name="Graf 7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1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1BBD604D" w14:textId="6A31992E" w:rsidR="00053AA9" w:rsidRPr="00B91063" w:rsidRDefault="00053AA9" w:rsidP="00053AA9">
      <w:pPr>
        <w:jc w:val="both"/>
      </w:pPr>
      <w:r w:rsidRPr="00B91063">
        <w:rPr>
          <w:i/>
          <w:sz w:val="16"/>
        </w:rPr>
        <w:t xml:space="preserve">Zdroj dat: ČSÚ podle administrativních dat GFŘ, ČSÚ – Šetření o </w:t>
      </w:r>
      <w:proofErr w:type="spellStart"/>
      <w:r w:rsidRPr="00B91063">
        <w:rPr>
          <w:i/>
          <w:sz w:val="16"/>
        </w:rPr>
        <w:t>VaV</w:t>
      </w:r>
      <w:proofErr w:type="spellEnd"/>
      <w:r w:rsidRPr="00B91063">
        <w:rPr>
          <w:i/>
          <w:sz w:val="16"/>
        </w:rPr>
        <w:t xml:space="preserve"> (VTR 5-01)</w:t>
      </w:r>
    </w:p>
    <w:p w14:paraId="27E9B73F" w14:textId="77777777" w:rsidR="00F93C73" w:rsidRDefault="00F93C73" w:rsidP="00F93C73">
      <w:pPr>
        <w:widowControl w:val="0"/>
        <w:jc w:val="both"/>
      </w:pPr>
    </w:p>
    <w:p w14:paraId="76006E4B" w14:textId="4D517EF9" w:rsidR="00D11679" w:rsidRDefault="00F93C73" w:rsidP="00F93C73">
      <w:pPr>
        <w:widowControl w:val="0"/>
        <w:jc w:val="both"/>
      </w:pPr>
      <w:r w:rsidRPr="00D05A9B">
        <w:t>V</w:t>
      </w:r>
      <w:r w:rsidR="00D05A9B" w:rsidRPr="00D05A9B">
        <w:t xml:space="preserve">ýše a </w:t>
      </w:r>
      <w:r w:rsidRPr="00D05A9B">
        <w:t>struktura financování podnikového výzkumu a vývoje z veřejných zdrojů se významně liší</w:t>
      </w:r>
      <w:r w:rsidR="00D05A9B" w:rsidRPr="00D05A9B">
        <w:t xml:space="preserve"> z hlediska vlastnictví a velikosti sledovaných podniků.</w:t>
      </w:r>
      <w:r w:rsidRPr="00D05A9B">
        <w:t xml:space="preserve"> </w:t>
      </w:r>
      <w:r w:rsidR="00631019" w:rsidRPr="00D05A9B">
        <w:t>Podrobněji v následujících grafech č. 4 a 5.</w:t>
      </w:r>
    </w:p>
    <w:p w14:paraId="47BD9F2C" w14:textId="14A339C6" w:rsidR="00D11679" w:rsidRPr="00955989" w:rsidRDefault="00D11679" w:rsidP="00D11679">
      <w:pPr>
        <w:spacing w:before="240"/>
        <w:jc w:val="both"/>
        <w:rPr>
          <w:b/>
        </w:rPr>
      </w:pPr>
      <w:r w:rsidRPr="00C56392">
        <w:rPr>
          <w:b/>
        </w:rPr>
        <w:t xml:space="preserve">GRAF </w:t>
      </w:r>
      <w:r>
        <w:rPr>
          <w:b/>
        </w:rPr>
        <w:t>4</w:t>
      </w:r>
      <w:r w:rsidRPr="00C56392">
        <w:rPr>
          <w:b/>
        </w:rPr>
        <w:t xml:space="preserve">: </w:t>
      </w:r>
      <w:r w:rsidRPr="00955989">
        <w:rPr>
          <w:b/>
        </w:rPr>
        <w:t xml:space="preserve">Veřejná podpora </w:t>
      </w:r>
      <w:proofErr w:type="spellStart"/>
      <w:r w:rsidRPr="00955989">
        <w:rPr>
          <w:b/>
        </w:rPr>
        <w:t>VaV</w:t>
      </w:r>
      <w:proofErr w:type="spellEnd"/>
      <w:r w:rsidRPr="00955989">
        <w:rPr>
          <w:b/>
        </w:rPr>
        <w:t xml:space="preserve"> v soukromých podnicích v Česku podle jejich vlastnictví</w:t>
      </w:r>
    </w:p>
    <w:p w14:paraId="5090489B" w14:textId="35847D44" w:rsidR="00D11679" w:rsidRPr="0095288C" w:rsidRDefault="001846EA" w:rsidP="00D11679">
      <w:pPr>
        <w:spacing w:line="240" w:lineRule="auto"/>
        <w:rPr>
          <w:i/>
          <w:sz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36C66814" wp14:editId="453F58F4">
                <wp:simplePos x="0" y="0"/>
                <wp:positionH relativeFrom="column">
                  <wp:posOffset>3810</wp:posOffset>
                </wp:positionH>
                <wp:positionV relativeFrom="paragraph">
                  <wp:posOffset>-1905</wp:posOffset>
                </wp:positionV>
                <wp:extent cx="6048000" cy="2700000"/>
                <wp:effectExtent l="0" t="0" r="0" b="5715"/>
                <wp:wrapTopAndBottom/>
                <wp:docPr id="23" name="Skupina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48000" cy="2700000"/>
                          <a:chOff x="0" y="0"/>
                          <a:chExt cx="6084000" cy="2700000"/>
                        </a:xfrm>
                      </wpg:grpSpPr>
                      <wpg:graphicFrame>
                        <wpg:cNvPr id="24" name="Graf 24">
                          <a:extLst>
                            <a:ext uri="{FF2B5EF4-FFF2-40B4-BE49-F238E27FC236}">
                              <a16:creationId xmlns:a16="http://schemas.microsoft.com/office/drawing/2014/main" id="{00000000-0008-0000-0000-000007000000}"/>
                            </a:ext>
                          </a:extLst>
                        </wpg:cNvPr>
                        <wpg:cNvFrPr>
                          <a:graphicFrameLocks/>
                        </wpg:cNvFrPr>
                        <wpg:xfrm>
                          <a:off x="0" y="0"/>
                          <a:ext cx="6084000" cy="2700000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11"/>
                          </a:graphicData>
                        </a:graphic>
                      </wpg:graphicFrame>
                      <wpg:graphicFrame>
                        <wpg:cNvPr id="25" name="Graf 25">
                          <a:extLst>
                            <a:ext uri="{FF2B5EF4-FFF2-40B4-BE49-F238E27FC236}">
                              <a16:creationId xmlns:a16="http://schemas.microsoft.com/office/drawing/2014/main" id="{00000000-0008-0000-0000-000007000000}"/>
                            </a:ext>
                          </a:extLst>
                        </wpg:cNvPr>
                        <wpg:cNvFrPr>
                          <a:graphicFrameLocks/>
                        </wpg:cNvFrPr>
                        <wpg:xfrm>
                          <a:off x="2943224" y="85725"/>
                          <a:ext cx="3038475" cy="2160000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12"/>
                          </a:graphicData>
                        </a:graphic>
                      </wpg:graphicFrame>
                    </wpg:wgp>
                  </a:graphicData>
                </a:graphic>
              </wp:anchor>
            </w:drawing>
          </mc:Choice>
          <mc:Fallback>
            <w:pict>
              <v:group w14:anchorId="6582473D" id="Skupina 10" o:spid="_x0000_s1026" style="position:absolute;margin-left:.3pt;margin-top:-.15pt;width:476.2pt;height:212.6pt;z-index:251659264" coordsize="60840,27000" o:gfxdata="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 24" o:spid="_x0000_s1027" type="#_x0000_t75" style="position:absolute;width:60832;height:2700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">
                  <v:imagedata r:id="rId13" o:title=""/>
                  <o:lock v:ext="edit" aspectratio="f"/>
                </v:shape>
                <v:shape id="Graf 25" o:spid="_x0000_s1028" type="#_x0000_t75" style="position:absolute;left:29434;top:853;width:30355;height:2158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">
                  <v:imagedata r:id="rId14" o:title=""/>
                  <o:lock v:ext="edit" aspectratio="f"/>
                </v:shape>
                <w10:wrap type="topAndBottom"/>
              </v:group>
            </w:pict>
          </mc:Fallback>
        </mc:AlternateContent>
      </w:r>
    </w:p>
    <w:p w14:paraId="4F1800AD" w14:textId="28EAA99A" w:rsidR="00D11679" w:rsidRPr="00B91063" w:rsidRDefault="00D11679" w:rsidP="00D11679">
      <w:pPr>
        <w:jc w:val="both"/>
      </w:pPr>
      <w:r w:rsidRPr="00B91063">
        <w:rPr>
          <w:i/>
          <w:sz w:val="16"/>
        </w:rPr>
        <w:t xml:space="preserve">Zdroj dat: ČSÚ podle administrativních dat GFŘ, ČSÚ – Šetření o </w:t>
      </w:r>
      <w:proofErr w:type="spellStart"/>
      <w:r w:rsidRPr="00B91063">
        <w:rPr>
          <w:i/>
          <w:sz w:val="16"/>
        </w:rPr>
        <w:t>VaV</w:t>
      </w:r>
      <w:proofErr w:type="spellEnd"/>
      <w:r w:rsidRPr="00B91063">
        <w:rPr>
          <w:i/>
          <w:sz w:val="16"/>
        </w:rPr>
        <w:t xml:space="preserve"> (VTR 5-01)</w:t>
      </w:r>
    </w:p>
    <w:p w14:paraId="6E8208B4" w14:textId="5645FE4C" w:rsidR="001846EA" w:rsidRDefault="001846EA" w:rsidP="006B1C9D">
      <w:pPr>
        <w:spacing w:before="120"/>
        <w:jc w:val="both"/>
        <w:rPr>
          <w:highlight w:val="yellow"/>
        </w:rPr>
      </w:pPr>
      <w:r w:rsidRPr="00A82AE9">
        <w:t xml:space="preserve">V roce 2018 </w:t>
      </w:r>
      <w:r w:rsidR="00A82AE9" w:rsidRPr="00A82AE9">
        <w:t xml:space="preserve">domácí </w:t>
      </w:r>
      <w:r w:rsidRPr="00A82AE9">
        <w:t xml:space="preserve">soukromé podniky na svůj výzkum a vývoj </w:t>
      </w:r>
      <w:r w:rsidR="00A82AE9" w:rsidRPr="00A82AE9">
        <w:t xml:space="preserve">získaly celkem 4,9 mld. Kč </w:t>
      </w:r>
      <w:r w:rsidRPr="00A82AE9">
        <w:t>z veřejných zdrojů</w:t>
      </w:r>
      <w:r w:rsidR="00A82AE9" w:rsidRPr="00A82AE9">
        <w:t xml:space="preserve">, </w:t>
      </w:r>
      <w:r w:rsidRPr="00A82AE9">
        <w:t xml:space="preserve">což je o více </w:t>
      </w:r>
      <w:r w:rsidR="00F06B2F" w:rsidRPr="00A82AE9">
        <w:t xml:space="preserve">než </w:t>
      </w:r>
      <w:r w:rsidRPr="00A82AE9">
        <w:t xml:space="preserve">dvě miliardy více než v případě firem pod zahraniční kontrolou. </w:t>
      </w:r>
      <w:r w:rsidR="00D05A9B" w:rsidRPr="00D05A9B">
        <w:t xml:space="preserve">Do domácích soukromých firem tedy putovaly téměř dvě třetiny </w:t>
      </w:r>
      <w:r w:rsidR="00D05A9B">
        <w:t xml:space="preserve">z celkových </w:t>
      </w:r>
      <w:r w:rsidR="00D05A9B" w:rsidRPr="00D05A9B">
        <w:t xml:space="preserve">veřejných zdrojů </w:t>
      </w:r>
      <w:r w:rsidR="00D05A9B">
        <w:t xml:space="preserve">určených na podporu  </w:t>
      </w:r>
      <w:proofErr w:type="spellStart"/>
      <w:r w:rsidR="00D05A9B">
        <w:t>VaV</w:t>
      </w:r>
      <w:proofErr w:type="spellEnd"/>
      <w:r w:rsidR="00D05A9B">
        <w:t xml:space="preserve"> prováděného </w:t>
      </w:r>
      <w:r w:rsidR="00D05A9B">
        <w:lastRenderedPageBreak/>
        <w:t>v soukromých podnicích</w:t>
      </w:r>
      <w:r w:rsidR="00D05A9B" w:rsidRPr="00D05A9B">
        <w:t>.</w:t>
      </w:r>
      <w:r w:rsidR="00D05A9B">
        <w:t xml:space="preserve"> </w:t>
      </w:r>
      <w:r w:rsidRPr="002A104E">
        <w:t xml:space="preserve">V letech 2010 až 2014 domácí firmy z veřejných zdrojů získaly dokonce více </w:t>
      </w:r>
      <w:r w:rsidR="00B74ED5" w:rsidRPr="002A104E">
        <w:t xml:space="preserve">než </w:t>
      </w:r>
      <w:r w:rsidRPr="002A104E">
        <w:t xml:space="preserve">dvojnásobek toho co podniky pod zahraniční kontrolou. </w:t>
      </w:r>
      <w:r w:rsidRPr="00F50DD5">
        <w:t xml:space="preserve">Jak bude podrobněji uvedeno dále, tento rozdíl je způsoben především tím, že domácí podniky daleko častěji a ve větší míře využívají přímé dotace na </w:t>
      </w:r>
      <w:proofErr w:type="spellStart"/>
      <w:r w:rsidRPr="00F50DD5">
        <w:t>VaV</w:t>
      </w:r>
      <w:proofErr w:type="spellEnd"/>
      <w:r w:rsidRPr="00F50DD5">
        <w:t xml:space="preserve"> ze státního rozpočtu ČR</w:t>
      </w:r>
      <w:r w:rsidR="00D05A9B">
        <w:t xml:space="preserve"> než daňovou podporu</w:t>
      </w:r>
      <w:r w:rsidRPr="00F50DD5">
        <w:t>.</w:t>
      </w:r>
    </w:p>
    <w:p w14:paraId="475685AE" w14:textId="6952D8FA" w:rsidR="00D05A9B" w:rsidRDefault="00D05A9B" w:rsidP="006B1C9D">
      <w:pPr>
        <w:spacing w:before="120"/>
        <w:jc w:val="both"/>
      </w:pPr>
      <w:r w:rsidRPr="00D05A9B">
        <w:t xml:space="preserve">Veřejné zdroje financování </w:t>
      </w:r>
      <w:proofErr w:type="spellStart"/>
      <w:r w:rsidRPr="00D05A9B">
        <w:t>VaV</w:t>
      </w:r>
      <w:proofErr w:type="spellEnd"/>
      <w:r w:rsidRPr="00D05A9B">
        <w:t xml:space="preserve"> v domácích soukromých firmách v roce 2018 tvořily čtvrtinu </w:t>
      </w:r>
      <w:r w:rsidR="00F550CF">
        <w:t xml:space="preserve">z </w:t>
      </w:r>
      <w:r w:rsidRPr="00D05A9B">
        <w:t xml:space="preserve">celkových výdajů </w:t>
      </w:r>
      <w:r w:rsidR="00F550CF">
        <w:t>n</w:t>
      </w:r>
      <w:r w:rsidRPr="00D05A9B">
        <w:t xml:space="preserve">a </w:t>
      </w:r>
      <w:proofErr w:type="spellStart"/>
      <w:r w:rsidRPr="00D05A9B">
        <w:t>VaV</w:t>
      </w:r>
      <w:proofErr w:type="spellEnd"/>
      <w:r w:rsidR="00F550CF">
        <w:t xml:space="preserve"> vynaložených v těchto podnicích</w:t>
      </w:r>
      <w:r w:rsidRPr="00D05A9B">
        <w:t>. V letech 2011 a 2012 to byla dokonce více než třetina. U firem pod zahraniční kontrolou byl tento podíl v roce 2018 jen 6,4 %</w:t>
      </w:r>
      <w:r w:rsidR="00F550CF">
        <w:t xml:space="preserve"> v porovnání s 12,8 % v roce 2011.</w:t>
      </w:r>
    </w:p>
    <w:p w14:paraId="42F51950" w14:textId="64C54BA2" w:rsidR="00631019" w:rsidRPr="00955989" w:rsidRDefault="00631019" w:rsidP="00631019">
      <w:pPr>
        <w:spacing w:before="240"/>
        <w:jc w:val="both"/>
        <w:rPr>
          <w:b/>
        </w:rPr>
      </w:pPr>
      <w:r w:rsidRPr="00C56392">
        <w:rPr>
          <w:b/>
        </w:rPr>
        <w:t xml:space="preserve">GRAF </w:t>
      </w:r>
      <w:r>
        <w:rPr>
          <w:b/>
        </w:rPr>
        <w:t>5</w:t>
      </w:r>
      <w:r w:rsidRPr="00C56392">
        <w:rPr>
          <w:b/>
        </w:rPr>
        <w:t xml:space="preserve">: </w:t>
      </w:r>
      <w:r w:rsidR="00BC3A9B">
        <w:rPr>
          <w:b/>
        </w:rPr>
        <w:t>F</w:t>
      </w:r>
      <w:r>
        <w:rPr>
          <w:b/>
        </w:rPr>
        <w:t xml:space="preserve">inancování </w:t>
      </w:r>
      <w:proofErr w:type="spellStart"/>
      <w:r w:rsidRPr="00955989">
        <w:rPr>
          <w:b/>
        </w:rPr>
        <w:t>VaV</w:t>
      </w:r>
      <w:proofErr w:type="spellEnd"/>
      <w:r w:rsidRPr="00955989">
        <w:rPr>
          <w:b/>
        </w:rPr>
        <w:t xml:space="preserve"> v</w:t>
      </w:r>
      <w:r w:rsidR="00BC3A9B">
        <w:rPr>
          <w:b/>
        </w:rPr>
        <w:t> s</w:t>
      </w:r>
      <w:r w:rsidRPr="00955989">
        <w:rPr>
          <w:b/>
        </w:rPr>
        <w:t xml:space="preserve">oukromých podnicích </w:t>
      </w:r>
      <w:r w:rsidR="00BC3A9B">
        <w:rPr>
          <w:b/>
        </w:rPr>
        <w:t>domácích a pod zahraniční kontrolou p</w:t>
      </w:r>
      <w:r w:rsidRPr="00955989">
        <w:rPr>
          <w:b/>
        </w:rPr>
        <w:t>odle jejich vlastnictví</w:t>
      </w:r>
      <w:r>
        <w:rPr>
          <w:b/>
        </w:rPr>
        <w:t xml:space="preserve"> a </w:t>
      </w:r>
      <w:r w:rsidR="00BC3A9B">
        <w:rPr>
          <w:b/>
        </w:rPr>
        <w:t xml:space="preserve">typu veřejné podpory </w:t>
      </w:r>
      <w:r>
        <w:rPr>
          <w:b/>
        </w:rPr>
        <w:t>v roce 2013 a 2018</w:t>
      </w:r>
      <w:r w:rsidR="00BC3A9B">
        <w:rPr>
          <w:b/>
        </w:rPr>
        <w:t xml:space="preserve"> (mil. Kč; struktura v %)</w:t>
      </w:r>
    </w:p>
    <w:p w14:paraId="5CBB477D" w14:textId="7D589027" w:rsidR="00631019" w:rsidRPr="00631019" w:rsidRDefault="00BC3A9B" w:rsidP="00631019">
      <w:pPr>
        <w:rPr>
          <w:i/>
          <w:sz w:val="1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499F10D8" wp14:editId="0C03D715">
                <wp:simplePos x="0" y="0"/>
                <wp:positionH relativeFrom="column">
                  <wp:posOffset>3810</wp:posOffset>
                </wp:positionH>
                <wp:positionV relativeFrom="paragraph">
                  <wp:posOffset>1905</wp:posOffset>
                </wp:positionV>
                <wp:extent cx="6084000" cy="3420000"/>
                <wp:effectExtent l="0" t="0" r="0" b="0"/>
                <wp:wrapTopAndBottom/>
                <wp:docPr id="35" name="Skupina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4000" cy="3420000"/>
                          <a:chOff x="0" y="0"/>
                          <a:chExt cx="6084000" cy="3420000"/>
                        </a:xfrm>
                      </wpg:grpSpPr>
                      <wpg:graphicFrame>
                        <wpg:cNvPr id="36" name="Graf 36"/>
                        <wpg:cNvFrPr>
                          <a:graphicFrameLocks/>
                        </wpg:cNvFrPr>
                        <wpg:xfrm>
                          <a:off x="0" y="0"/>
                          <a:ext cx="6084000" cy="3420000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15"/>
                          </a:graphicData>
                        </a:graphic>
                      </wpg:graphicFrame>
                      <wpg:graphicFrame>
                        <wpg:cNvPr id="37" name="Graf 37"/>
                        <wpg:cNvFrPr>
                          <a:graphicFrameLocks/>
                        </wpg:cNvFrPr>
                        <wpg:xfrm>
                          <a:off x="3067050" y="38100"/>
                          <a:ext cx="2914650" cy="2990851"/>
                        </wpg:xfrm>
                        <a:graphic>
                          <a:graphicData uri="http://schemas.openxmlformats.org/drawingml/2006/chart">
                            <c:chart xmlns:c="http://schemas.openxmlformats.org/drawingml/2006/chart" xmlns:r="http://schemas.openxmlformats.org/officeDocument/2006/relationships" r:id="rId16"/>
                          </a:graphicData>
                        </a:graphic>
                      </wpg:graphicFrame>
                    </wpg:wgp>
                  </a:graphicData>
                </a:graphic>
              </wp:anchor>
            </w:drawing>
          </mc:Choice>
          <mc:Fallback>
            <w:pict>
              <v:group w14:anchorId="5745FE29" id="Skupina 16" o:spid="_x0000_s1026" style="position:absolute;margin-left:.3pt;margin-top:.15pt;width:479.05pt;height:269.3pt;z-index:251661312" coordsize="60840,34200" o:gfxdata="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 36" o:spid="_x0000_s1027" type="#_x0000_t75" style="position:absolute;width:60838;height:3419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">
                  <v:imagedata r:id="rId17" o:title=""/>
                  <o:lock v:ext="edit" aspectratio="f"/>
                </v:shape>
                <v:shape id="Graf 37" o:spid="_x0000_s1028" type="#_x0000_t75" style="position:absolute;left:30662;top:365;width:29139;height:2993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">
                  <v:imagedata r:id="rId18" o:title=""/>
                  <o:lock v:ext="edit" aspectratio="f"/>
                </v:shape>
                <w10:wrap type="topAndBottom"/>
              </v:group>
            </w:pict>
          </mc:Fallback>
        </mc:AlternateContent>
      </w:r>
    </w:p>
    <w:p w14:paraId="0BF1CA60" w14:textId="77777777" w:rsidR="003F0D54" w:rsidRDefault="003F0D54" w:rsidP="003F0D54">
      <w:pPr>
        <w:jc w:val="both"/>
        <w:rPr>
          <w:i/>
          <w:sz w:val="16"/>
        </w:rPr>
      </w:pPr>
      <w:r>
        <w:rPr>
          <w:i/>
          <w:sz w:val="16"/>
        </w:rPr>
        <w:t xml:space="preserve">SR ČR: dotace na </w:t>
      </w:r>
      <w:proofErr w:type="spellStart"/>
      <w:r>
        <w:rPr>
          <w:i/>
          <w:sz w:val="16"/>
        </w:rPr>
        <w:t>VaV</w:t>
      </w:r>
      <w:proofErr w:type="spellEnd"/>
      <w:r>
        <w:rPr>
          <w:i/>
          <w:sz w:val="16"/>
        </w:rPr>
        <w:t xml:space="preserve"> ze státního rozpočtu České republiky </w:t>
      </w:r>
    </w:p>
    <w:p w14:paraId="507CE77A" w14:textId="0D053C38" w:rsidR="00631019" w:rsidRPr="00B91063" w:rsidRDefault="00631019" w:rsidP="00631019">
      <w:pPr>
        <w:jc w:val="both"/>
      </w:pPr>
      <w:r w:rsidRPr="00B91063">
        <w:rPr>
          <w:i/>
          <w:sz w:val="16"/>
        </w:rPr>
        <w:t xml:space="preserve">Zdroj dat: ČSÚ podle administrativních dat GFŘ, ČSÚ – Šetření o </w:t>
      </w:r>
      <w:proofErr w:type="spellStart"/>
      <w:r w:rsidRPr="00B91063">
        <w:rPr>
          <w:i/>
          <w:sz w:val="16"/>
        </w:rPr>
        <w:t>VaV</w:t>
      </w:r>
      <w:proofErr w:type="spellEnd"/>
      <w:r w:rsidRPr="00B91063">
        <w:rPr>
          <w:i/>
          <w:sz w:val="16"/>
        </w:rPr>
        <w:t xml:space="preserve"> (VTR 5-01)</w:t>
      </w:r>
    </w:p>
    <w:p w14:paraId="1AEE49EF" w14:textId="5FD47381" w:rsidR="00F550CF" w:rsidRDefault="00F550CF" w:rsidP="00955989">
      <w:pPr>
        <w:spacing w:before="240"/>
        <w:jc w:val="both"/>
      </w:pPr>
      <w:r w:rsidRPr="00674310">
        <w:t>Míra zastoupení jednotlivých typů veřejné podpory (graf č. 5) je odlišná nejen v závislosti na vlastnictví sledovaných podniků, ale i na jejich velikosti.</w:t>
      </w:r>
      <w:r w:rsidR="006D5E0A" w:rsidRPr="00674310">
        <w:t xml:space="preserve"> Soukromé </w:t>
      </w:r>
      <w:r w:rsidR="00691FC8">
        <w:t xml:space="preserve">domácí </w:t>
      </w:r>
      <w:r w:rsidR="006D5E0A" w:rsidRPr="00674310">
        <w:t xml:space="preserve">podniky </w:t>
      </w:r>
      <w:bookmarkStart w:id="1" w:name="_GoBack"/>
      <w:bookmarkEnd w:id="1"/>
      <w:r w:rsidR="006D5E0A" w:rsidRPr="00674310">
        <w:t xml:space="preserve"> </w:t>
      </w:r>
      <w:r w:rsidRPr="00674310">
        <w:t xml:space="preserve">v této oblasti </w:t>
      </w:r>
      <w:r w:rsidR="002A104E" w:rsidRPr="00674310">
        <w:t xml:space="preserve">častěji </w:t>
      </w:r>
      <w:r w:rsidR="006D5E0A" w:rsidRPr="00674310">
        <w:t>spoléhají na přímou podporu ze státního rozpočtu ČR</w:t>
      </w:r>
      <w:r w:rsidRPr="00674310">
        <w:t xml:space="preserve"> než na daňové pobídky.</w:t>
      </w:r>
      <w:r w:rsidR="006D5E0A" w:rsidRPr="00674310">
        <w:t xml:space="preserve"> V roce 2018 se tato podpora podílela z 60 % na celkových veřejných zdrojích, které tyto subjekty využily na financování </w:t>
      </w:r>
      <w:proofErr w:type="spellStart"/>
      <w:r w:rsidR="006D5E0A" w:rsidRPr="00674310">
        <w:t>VaV</w:t>
      </w:r>
      <w:proofErr w:type="spellEnd"/>
      <w:r w:rsidR="006D5E0A" w:rsidRPr="00674310">
        <w:t xml:space="preserve"> z veřejných zdrojů. Jde o stejný podíl jako v roce 2013. </w:t>
      </w:r>
      <w:r w:rsidRPr="00674310">
        <w:t xml:space="preserve">Výrazněji tento způsob podpory využívají malé a střední firmy, které jen v minimální míře uplatňují daňovou podporu </w:t>
      </w:r>
      <w:proofErr w:type="spellStart"/>
      <w:r w:rsidRPr="00674310">
        <w:t>VaV</w:t>
      </w:r>
      <w:proofErr w:type="spellEnd"/>
      <w:r w:rsidRPr="00674310">
        <w:t>.</w:t>
      </w:r>
    </w:p>
    <w:p w14:paraId="560D5658" w14:textId="413B4C63" w:rsidR="00631019" w:rsidRPr="006D5E0A" w:rsidRDefault="006D5E0A" w:rsidP="003F0D54">
      <w:pPr>
        <w:spacing w:before="120"/>
        <w:jc w:val="both"/>
      </w:pPr>
      <w:r w:rsidRPr="009811FD">
        <w:t>Naopak firmy pod zahraniční kontrolou</w:t>
      </w:r>
      <w:r w:rsidR="009811FD" w:rsidRPr="009811FD">
        <w:t xml:space="preserve"> </w:t>
      </w:r>
      <w:r w:rsidR="002A104E" w:rsidRPr="009811FD">
        <w:t>(pokud</w:t>
      </w:r>
      <w:r w:rsidRPr="009811FD">
        <w:t xml:space="preserve"> využívají při financování </w:t>
      </w:r>
      <w:r w:rsidR="009811FD" w:rsidRPr="009811FD">
        <w:t xml:space="preserve">své </w:t>
      </w:r>
      <w:proofErr w:type="spellStart"/>
      <w:r w:rsidRPr="009811FD">
        <w:t>VaV</w:t>
      </w:r>
      <w:proofErr w:type="spellEnd"/>
      <w:r w:rsidRPr="009811FD">
        <w:t xml:space="preserve"> činnosti veřejné zdroje</w:t>
      </w:r>
      <w:r w:rsidR="009811FD" w:rsidRPr="009811FD">
        <w:t>)</w:t>
      </w:r>
      <w:r w:rsidRPr="009811FD">
        <w:t xml:space="preserve"> mnohem častěji sahají </w:t>
      </w:r>
      <w:r w:rsidR="002A104E" w:rsidRPr="009811FD">
        <w:t>po</w:t>
      </w:r>
      <w:r w:rsidRPr="009811FD">
        <w:t xml:space="preserve"> daňové podpoře </w:t>
      </w:r>
      <w:proofErr w:type="spellStart"/>
      <w:r w:rsidRPr="009811FD">
        <w:t>VaV</w:t>
      </w:r>
      <w:proofErr w:type="spellEnd"/>
      <w:r w:rsidRPr="009811FD">
        <w:t xml:space="preserve">. V roce 2018 se </w:t>
      </w:r>
      <w:r w:rsidR="009811FD" w:rsidRPr="009811FD">
        <w:t xml:space="preserve">u nich </w:t>
      </w:r>
      <w:r w:rsidRPr="009811FD">
        <w:t xml:space="preserve">tato nepřímá veřejná podpora </w:t>
      </w:r>
      <w:proofErr w:type="spellStart"/>
      <w:r w:rsidRPr="009811FD">
        <w:t>VaV</w:t>
      </w:r>
      <w:proofErr w:type="spellEnd"/>
      <w:r w:rsidRPr="009811FD">
        <w:t xml:space="preserve"> podílela z 60 % na celkových veřejných zdrojích, které tyto firmy využily k financování svého </w:t>
      </w:r>
      <w:proofErr w:type="spellStart"/>
      <w:r w:rsidRPr="009811FD">
        <w:t>VaV</w:t>
      </w:r>
      <w:proofErr w:type="spellEnd"/>
      <w:r w:rsidRPr="009811FD">
        <w:t>. U</w:t>
      </w:r>
      <w:r w:rsidR="009811FD">
        <w:t> </w:t>
      </w:r>
      <w:r w:rsidRPr="009811FD">
        <w:t xml:space="preserve">velkých podniků byl tento podíl dokonce 68 %. Ovšem i u firem pod zahraniční kontrolou malé a střední podniky více využívají přímé veřejné dotace na </w:t>
      </w:r>
      <w:proofErr w:type="spellStart"/>
      <w:r w:rsidRPr="009811FD">
        <w:t>VaV</w:t>
      </w:r>
      <w:proofErr w:type="spellEnd"/>
      <w:r w:rsidRPr="009811FD">
        <w:t>.</w:t>
      </w:r>
    </w:p>
    <w:p w14:paraId="286CDF67" w14:textId="45FC92F7" w:rsidR="00C7376E" w:rsidRDefault="006C3E42" w:rsidP="00C7376E">
      <w:pPr>
        <w:spacing w:before="120"/>
        <w:jc w:val="both"/>
      </w:pPr>
      <w:r w:rsidRPr="009811FD">
        <w:t>Graf č.</w:t>
      </w:r>
      <w:r w:rsidR="00674310">
        <w:t> </w:t>
      </w:r>
      <w:r w:rsidRPr="009811FD">
        <w:t xml:space="preserve">6 </w:t>
      </w:r>
      <w:r w:rsidR="00674310">
        <w:t xml:space="preserve">na následující straně </w:t>
      </w:r>
      <w:r w:rsidRPr="009811FD">
        <w:t>ukazuje, že v</w:t>
      </w:r>
      <w:r w:rsidR="00C7376E" w:rsidRPr="009811FD">
        <w:t xml:space="preserve"> roce 2018 se </w:t>
      </w:r>
      <w:r w:rsidR="009811FD" w:rsidRPr="009811FD">
        <w:t xml:space="preserve">domácí veřejná podpora </w:t>
      </w:r>
      <w:proofErr w:type="spellStart"/>
      <w:r w:rsidR="009811FD" w:rsidRPr="009811FD">
        <w:t>VaV</w:t>
      </w:r>
      <w:proofErr w:type="spellEnd"/>
      <w:r w:rsidR="009811FD" w:rsidRPr="009811FD">
        <w:t xml:space="preserve"> prováděného v soukromých podnicích </w:t>
      </w:r>
      <w:r w:rsidR="00C7376E" w:rsidRPr="009811FD">
        <w:t xml:space="preserve">na celkových výdajích státního rozpočtu ČR podílela 0,44 %. </w:t>
      </w:r>
      <w:r w:rsidR="009811FD" w:rsidRPr="009811FD">
        <w:t>Tento podíl byl n</w:t>
      </w:r>
      <w:r w:rsidR="00C7376E" w:rsidRPr="009811FD">
        <w:t>ejvyšší v roce 2012</w:t>
      </w:r>
      <w:r w:rsidR="009811FD" w:rsidRPr="009811FD">
        <w:t>,</w:t>
      </w:r>
      <w:r w:rsidR="00C7376E" w:rsidRPr="009811FD">
        <w:t xml:space="preserve"> a to 0,57 %. Nejnižší (0,40 %) pak v letech 2008 a 2016. Větší část z tohoto financování šla v celém sledovaném období na vrub přímých dotací ze státního rozpočtu ČR. </w:t>
      </w:r>
      <w:r w:rsidR="00E433FC" w:rsidRPr="009811FD">
        <w:t xml:space="preserve">Pokud bychom k této domácí podpoře přidali i financování ze zdrojů EU, tak </w:t>
      </w:r>
      <w:r w:rsidR="00F93C73" w:rsidRPr="009811FD">
        <w:t xml:space="preserve">v roce </w:t>
      </w:r>
      <w:r w:rsidR="00E433FC" w:rsidRPr="009811FD">
        <w:t>201</w:t>
      </w:r>
      <w:r w:rsidR="00674310">
        <w:t>8</w:t>
      </w:r>
      <w:r w:rsidR="00E433FC" w:rsidRPr="009811FD">
        <w:t xml:space="preserve"> se celková </w:t>
      </w:r>
      <w:r w:rsidR="00674310">
        <w:t xml:space="preserve">domácí a zahraniční </w:t>
      </w:r>
      <w:r w:rsidR="00E433FC" w:rsidRPr="009811FD">
        <w:t>veřejn</w:t>
      </w:r>
      <w:r w:rsidR="00F93C73" w:rsidRPr="009811FD">
        <w:t>á</w:t>
      </w:r>
      <w:r w:rsidR="00E433FC" w:rsidRPr="009811FD">
        <w:t xml:space="preserve"> podpora </w:t>
      </w:r>
      <w:proofErr w:type="spellStart"/>
      <w:r w:rsidR="00E433FC" w:rsidRPr="009811FD">
        <w:lastRenderedPageBreak/>
        <w:t>VaV</w:t>
      </w:r>
      <w:proofErr w:type="spellEnd"/>
      <w:r w:rsidR="00E433FC" w:rsidRPr="009811FD">
        <w:t xml:space="preserve"> v soukromých podnicích podíl</w:t>
      </w:r>
      <w:r w:rsidR="00F93C73" w:rsidRPr="009811FD">
        <w:t xml:space="preserve">ela </w:t>
      </w:r>
      <w:r w:rsidR="00E433FC" w:rsidRPr="009811FD">
        <w:t>0,5</w:t>
      </w:r>
      <w:r w:rsidR="00F93C73" w:rsidRPr="009811FD">
        <w:t>4</w:t>
      </w:r>
      <w:r w:rsidR="00E433FC" w:rsidRPr="009811FD">
        <w:t xml:space="preserve"> % na celkových výdajích ze státního rozpočtu ČR. </w:t>
      </w:r>
      <w:r w:rsidR="00F93C73" w:rsidRPr="009811FD">
        <w:t>Nejvyšší byl tento podíl v roce 2012</w:t>
      </w:r>
      <w:r w:rsidR="00674310">
        <w:t>, a to 0,72 %.</w:t>
      </w:r>
      <w:r w:rsidR="00E433FC">
        <w:t xml:space="preserve">  </w:t>
      </w:r>
    </w:p>
    <w:p w14:paraId="5F828DFB" w14:textId="45AAEA9C" w:rsidR="006C3E42" w:rsidRPr="00E433FC" w:rsidRDefault="006C3E42" w:rsidP="00F93C73">
      <w:pPr>
        <w:spacing w:before="240"/>
        <w:jc w:val="both"/>
        <w:rPr>
          <w:b/>
          <w:spacing w:val="-4"/>
        </w:rPr>
      </w:pPr>
      <w:r w:rsidRPr="00C56392">
        <w:rPr>
          <w:b/>
        </w:rPr>
        <w:t xml:space="preserve">GRAF </w:t>
      </w:r>
      <w:r>
        <w:rPr>
          <w:b/>
        </w:rPr>
        <w:t>6</w:t>
      </w:r>
      <w:r w:rsidRPr="00C56392">
        <w:rPr>
          <w:b/>
        </w:rPr>
        <w:t xml:space="preserve">: </w:t>
      </w:r>
      <w:r w:rsidRPr="00E433FC">
        <w:rPr>
          <w:b/>
          <w:spacing w:val="-4"/>
        </w:rPr>
        <w:t xml:space="preserve">Podíl veřejné podpory </w:t>
      </w:r>
      <w:proofErr w:type="spellStart"/>
      <w:r w:rsidRPr="00E433FC">
        <w:rPr>
          <w:b/>
          <w:spacing w:val="-4"/>
        </w:rPr>
        <w:t>VaV</w:t>
      </w:r>
      <w:proofErr w:type="spellEnd"/>
      <w:r w:rsidRPr="00E433FC">
        <w:rPr>
          <w:b/>
          <w:spacing w:val="-4"/>
        </w:rPr>
        <w:t xml:space="preserve"> v soukromých podnicích na výdajích státního rozpočtu </w:t>
      </w:r>
      <w:r w:rsidR="00E433FC" w:rsidRPr="00E433FC">
        <w:rPr>
          <w:b/>
          <w:spacing w:val="-4"/>
        </w:rPr>
        <w:t xml:space="preserve">celkem </w:t>
      </w:r>
      <w:r w:rsidRPr="00E433FC">
        <w:rPr>
          <w:b/>
          <w:spacing w:val="-4"/>
        </w:rPr>
        <w:t>(%)</w:t>
      </w:r>
    </w:p>
    <w:p w14:paraId="2E8DBDBC" w14:textId="577892E1" w:rsidR="006C3E42" w:rsidRDefault="00F93C73" w:rsidP="00F93C73">
      <w:pPr>
        <w:jc w:val="both"/>
        <w:rPr>
          <w:i/>
          <w:sz w:val="16"/>
        </w:rPr>
      </w:pPr>
      <w:r>
        <w:rPr>
          <w:noProof/>
        </w:rPr>
        <w:drawing>
          <wp:inline distT="0" distB="0" distL="0" distR="0" wp14:anchorId="47A7B547" wp14:editId="06F0FF4E">
            <wp:extent cx="6119495" cy="2880000"/>
            <wp:effectExtent l="0" t="0" r="0" b="0"/>
            <wp:docPr id="15" name="Graf 1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1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5364F678" w14:textId="1C11BD24" w:rsidR="00F93C73" w:rsidRDefault="00F93C73" w:rsidP="00F93C73">
      <w:pPr>
        <w:widowControl w:val="0"/>
        <w:jc w:val="both"/>
        <w:rPr>
          <w:i/>
          <w:sz w:val="16"/>
        </w:rPr>
      </w:pPr>
      <w:r w:rsidRPr="00E607EB">
        <w:rPr>
          <w:i/>
          <w:sz w:val="16"/>
        </w:rPr>
        <w:t xml:space="preserve">Zdroj dat: ČSÚ podle administrativních dat GFŘ, ČSÚ – Šetření o </w:t>
      </w:r>
      <w:proofErr w:type="spellStart"/>
      <w:r w:rsidRPr="00E607EB">
        <w:rPr>
          <w:i/>
          <w:sz w:val="16"/>
        </w:rPr>
        <w:t>VaV</w:t>
      </w:r>
      <w:proofErr w:type="spellEnd"/>
      <w:r w:rsidRPr="00E607EB">
        <w:rPr>
          <w:i/>
          <w:sz w:val="16"/>
        </w:rPr>
        <w:t xml:space="preserve"> (VTR 5-01), Národní účty (HDP)</w:t>
      </w:r>
    </w:p>
    <w:p w14:paraId="7D9C0F4A" w14:textId="684AFA61" w:rsidR="00BF7EC0" w:rsidRPr="000806E0" w:rsidRDefault="00BF7EC0" w:rsidP="00BF7EC0">
      <w:pPr>
        <w:spacing w:before="120"/>
        <w:jc w:val="both"/>
      </w:pPr>
      <w:r w:rsidRPr="000806E0">
        <w:t xml:space="preserve">Celkový objem veřejné podpory </w:t>
      </w:r>
      <w:proofErr w:type="spellStart"/>
      <w:r w:rsidRPr="000806E0">
        <w:t>VaV</w:t>
      </w:r>
      <w:proofErr w:type="spellEnd"/>
      <w:r w:rsidRPr="000806E0">
        <w:t>, na níž dosá</w:t>
      </w:r>
      <w:r w:rsidR="000806E0" w:rsidRPr="000806E0">
        <w:t>hly soukromé podniky v roce 2018</w:t>
      </w:r>
      <w:r w:rsidRPr="000806E0">
        <w:t xml:space="preserve">, odpovídala podílu 0,14 % hrubého domácího produktu (dále HDP). V případě přímé (rozpočtové) podpory </w:t>
      </w:r>
      <w:proofErr w:type="spellStart"/>
      <w:r w:rsidRPr="000806E0">
        <w:t>VaV</w:t>
      </w:r>
      <w:proofErr w:type="spellEnd"/>
      <w:r w:rsidRPr="000806E0">
        <w:t xml:space="preserve"> podíl dosáhl 0,0</w:t>
      </w:r>
      <w:r w:rsidR="000806E0" w:rsidRPr="000806E0">
        <w:t>7</w:t>
      </w:r>
      <w:r w:rsidRPr="000806E0">
        <w:t> % a nepřímé (daňové) podp</w:t>
      </w:r>
      <w:r w:rsidR="00E9343A">
        <w:t xml:space="preserve">ory </w:t>
      </w:r>
      <w:proofErr w:type="spellStart"/>
      <w:r w:rsidR="00E9343A">
        <w:t>VaV</w:t>
      </w:r>
      <w:proofErr w:type="spellEnd"/>
      <w:r w:rsidR="00E9343A">
        <w:t xml:space="preserve"> pak 0,05 </w:t>
      </w:r>
      <w:r w:rsidRPr="000806E0">
        <w:t xml:space="preserve">%. Podíl zahraniční podpory </w:t>
      </w:r>
      <w:proofErr w:type="spellStart"/>
      <w:r w:rsidRPr="000806E0">
        <w:t>VaV</w:t>
      </w:r>
      <w:proofErr w:type="spellEnd"/>
      <w:r w:rsidRPr="000806E0">
        <w:t xml:space="preserve"> u soukromých podniků na HDP byl nižší (0,0</w:t>
      </w:r>
      <w:r w:rsidR="000806E0" w:rsidRPr="000806E0">
        <w:t>3</w:t>
      </w:r>
      <w:r w:rsidR="00E9343A">
        <w:t> </w:t>
      </w:r>
      <w:r w:rsidRPr="000806E0">
        <w:t xml:space="preserve">%) než u obou zmíněných forem domácí podpory. </w:t>
      </w:r>
    </w:p>
    <w:p w14:paraId="1A5986D5" w14:textId="02ECAD81" w:rsidR="00A55C50" w:rsidRPr="003B4D62" w:rsidRDefault="00A55C50" w:rsidP="00A55C50">
      <w:pPr>
        <w:spacing w:before="120" w:after="120"/>
        <w:jc w:val="both"/>
        <w:rPr>
          <w:b/>
        </w:rPr>
      </w:pPr>
      <w:r w:rsidRPr="003B4D62">
        <w:rPr>
          <w:b/>
        </w:rPr>
        <w:t xml:space="preserve">GRAF </w:t>
      </w:r>
      <w:r w:rsidR="00381E40">
        <w:rPr>
          <w:b/>
        </w:rPr>
        <w:t>7</w:t>
      </w:r>
      <w:r w:rsidRPr="003B4D62">
        <w:rPr>
          <w:b/>
        </w:rPr>
        <w:t xml:space="preserve">: Financování </w:t>
      </w:r>
      <w:proofErr w:type="spellStart"/>
      <w:r w:rsidRPr="003B4D62">
        <w:rPr>
          <w:b/>
        </w:rPr>
        <w:t>VaV</w:t>
      </w:r>
      <w:proofErr w:type="spellEnd"/>
      <w:r w:rsidRPr="003B4D62">
        <w:rPr>
          <w:b/>
        </w:rPr>
        <w:t xml:space="preserve"> v soukromých podnicích </w:t>
      </w:r>
      <w:r w:rsidR="00255DB2">
        <w:rPr>
          <w:b/>
        </w:rPr>
        <w:t xml:space="preserve">v </w:t>
      </w:r>
      <w:r w:rsidRPr="003B4D62">
        <w:rPr>
          <w:b/>
        </w:rPr>
        <w:t>Č</w:t>
      </w:r>
      <w:r w:rsidR="00255DB2">
        <w:rPr>
          <w:b/>
        </w:rPr>
        <w:t>esku</w:t>
      </w:r>
      <w:r w:rsidRPr="003B4D62">
        <w:rPr>
          <w:b/>
        </w:rPr>
        <w:t xml:space="preserve"> z veřejných zdrojů</w:t>
      </w:r>
      <w:r w:rsidR="00255DB2">
        <w:rPr>
          <w:b/>
        </w:rPr>
        <w:t xml:space="preserve"> jako podíl na </w:t>
      </w:r>
      <w:r w:rsidRPr="003B4D62">
        <w:rPr>
          <w:b/>
        </w:rPr>
        <w:t>HDP</w:t>
      </w:r>
    </w:p>
    <w:p w14:paraId="7796565F" w14:textId="28082881" w:rsidR="00A55C50" w:rsidRPr="0095288C" w:rsidRDefault="00EB1C91" w:rsidP="00A55C50">
      <w:pPr>
        <w:spacing w:before="120"/>
        <w:jc w:val="both"/>
      </w:pPr>
      <w:r>
        <w:rPr>
          <w:noProof/>
        </w:rPr>
        <w:drawing>
          <wp:inline distT="0" distB="0" distL="0" distR="0" wp14:anchorId="5C0697FB" wp14:editId="26BF3157">
            <wp:extent cx="6120001" cy="3060000"/>
            <wp:effectExtent l="0" t="0" r="0" b="7620"/>
            <wp:docPr id="9" name="Graf 9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1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7A39E171" w14:textId="77777777" w:rsidR="004D2AC0" w:rsidRDefault="00A55C50" w:rsidP="00EB1C91">
      <w:pPr>
        <w:jc w:val="both"/>
        <w:rPr>
          <w:i/>
          <w:sz w:val="16"/>
        </w:rPr>
      </w:pPr>
      <w:r w:rsidRPr="00E607EB">
        <w:rPr>
          <w:i/>
          <w:sz w:val="16"/>
        </w:rPr>
        <w:t xml:space="preserve">Zdroj dat: ČSÚ podle administrativních dat GFŘ, ČSÚ – Šetření o </w:t>
      </w:r>
      <w:proofErr w:type="spellStart"/>
      <w:r w:rsidRPr="00E607EB">
        <w:rPr>
          <w:i/>
          <w:sz w:val="16"/>
        </w:rPr>
        <w:t>VaV</w:t>
      </w:r>
      <w:proofErr w:type="spellEnd"/>
      <w:r w:rsidRPr="00E607EB">
        <w:rPr>
          <w:i/>
          <w:sz w:val="16"/>
        </w:rPr>
        <w:t xml:space="preserve"> (VTR 5-01), Národní účty (HDP)</w:t>
      </w:r>
    </w:p>
    <w:p w14:paraId="3EC7DD4B" w14:textId="19DFA620" w:rsidR="004D2AC0" w:rsidRDefault="00381E40" w:rsidP="006505D0">
      <w:pPr>
        <w:spacing w:before="240"/>
        <w:jc w:val="both"/>
      </w:pPr>
      <w:r w:rsidRPr="006505D0">
        <w:t>Na posledních dvou grafech</w:t>
      </w:r>
      <w:r w:rsidR="006505D0" w:rsidRPr="006505D0">
        <w:t xml:space="preserve"> v této podkapitole </w:t>
      </w:r>
      <w:r w:rsidRPr="006505D0">
        <w:t xml:space="preserve">se podrobněji vrátíme k přímému financování z veřejných zdrojů. </w:t>
      </w:r>
      <w:r w:rsidR="004D2AC0" w:rsidRPr="006505D0">
        <w:t xml:space="preserve">Jak je vidět na grafu č. </w:t>
      </w:r>
      <w:r w:rsidRPr="006505D0">
        <w:t>8</w:t>
      </w:r>
      <w:r w:rsidR="004D2AC0" w:rsidRPr="006505D0">
        <w:t xml:space="preserve">, v roce 2018 </w:t>
      </w:r>
      <w:r w:rsidR="00AE6B98" w:rsidRPr="006505D0">
        <w:t xml:space="preserve">připadla </w:t>
      </w:r>
      <w:r w:rsidR="004D2AC0" w:rsidRPr="006505D0">
        <w:t xml:space="preserve">na soukromé firmy desetina z celkových přímých dotací vynaložených na </w:t>
      </w:r>
      <w:proofErr w:type="spellStart"/>
      <w:r w:rsidR="004D2AC0" w:rsidRPr="006505D0">
        <w:t>VaV</w:t>
      </w:r>
      <w:proofErr w:type="spellEnd"/>
      <w:r w:rsidR="004D2AC0" w:rsidRPr="006505D0">
        <w:t xml:space="preserve"> ze státního rozpočtu ČR. Jde sice o cca jeden procentní bod vyšší hodnotu než v roce 2016, ale o téměř osm procentních bodů méně v porovnání s rokem 2011, kdy si soukromé podniky “ukrojily“ absolutně i procentuálně největší část z finančních prostředků alokovaných na </w:t>
      </w:r>
      <w:proofErr w:type="spellStart"/>
      <w:r w:rsidR="004D2AC0" w:rsidRPr="006505D0">
        <w:t>VaV</w:t>
      </w:r>
      <w:proofErr w:type="spellEnd"/>
      <w:r w:rsidR="004D2AC0" w:rsidRPr="006505D0">
        <w:t xml:space="preserve"> ze státního rozpočtu.</w:t>
      </w:r>
    </w:p>
    <w:p w14:paraId="148159CB" w14:textId="220285D5" w:rsidR="004D2AC0" w:rsidRPr="00C56392" w:rsidRDefault="004D2AC0" w:rsidP="004D2AC0">
      <w:pPr>
        <w:spacing w:before="240"/>
        <w:jc w:val="both"/>
        <w:rPr>
          <w:b/>
        </w:rPr>
      </w:pPr>
      <w:r w:rsidRPr="00C56392">
        <w:rPr>
          <w:b/>
        </w:rPr>
        <w:lastRenderedPageBreak/>
        <w:t xml:space="preserve">GRAF </w:t>
      </w:r>
      <w:r w:rsidR="00381E40">
        <w:rPr>
          <w:b/>
        </w:rPr>
        <w:t>8</w:t>
      </w:r>
      <w:r w:rsidRPr="00C56392">
        <w:rPr>
          <w:b/>
        </w:rPr>
        <w:t xml:space="preserve">: </w:t>
      </w:r>
      <w:r>
        <w:rPr>
          <w:b/>
        </w:rPr>
        <w:t>Výzkum a vývoj financovaný v Česku přímo ze státního rozpočtu</w:t>
      </w:r>
    </w:p>
    <w:p w14:paraId="415E8887" w14:textId="77777777" w:rsidR="004D2AC0" w:rsidRDefault="004D2AC0" w:rsidP="004D2AC0">
      <w:pPr>
        <w:jc w:val="both"/>
        <w:rPr>
          <w:i/>
          <w:sz w:val="16"/>
        </w:rPr>
      </w:pPr>
      <w:r>
        <w:rPr>
          <w:noProof/>
        </w:rPr>
        <w:drawing>
          <wp:inline distT="0" distB="0" distL="0" distR="0" wp14:anchorId="38D7E2A2" wp14:editId="74A16CB8">
            <wp:extent cx="6047740" cy="3060000"/>
            <wp:effectExtent l="0" t="0" r="0" b="7620"/>
            <wp:docPr id="5" name="Graf 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7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14:paraId="62A87D54" w14:textId="77777777" w:rsidR="004D2AC0" w:rsidRPr="00B91063" w:rsidRDefault="004D2AC0" w:rsidP="004D2AC0">
      <w:pPr>
        <w:jc w:val="both"/>
      </w:pPr>
      <w:r w:rsidRPr="00B91063">
        <w:rPr>
          <w:i/>
          <w:sz w:val="16"/>
        </w:rPr>
        <w:t xml:space="preserve">Zdroj dat: ČSÚ podle administrativních dat GFŘ, ČSÚ – Šetření o </w:t>
      </w:r>
      <w:proofErr w:type="spellStart"/>
      <w:r w:rsidRPr="00B91063">
        <w:rPr>
          <w:i/>
          <w:sz w:val="16"/>
        </w:rPr>
        <w:t>VaV</w:t>
      </w:r>
      <w:proofErr w:type="spellEnd"/>
      <w:r w:rsidRPr="00B91063">
        <w:rPr>
          <w:i/>
          <w:sz w:val="16"/>
        </w:rPr>
        <w:t xml:space="preserve"> (VTR 5-01)</w:t>
      </w:r>
    </w:p>
    <w:p w14:paraId="74DCFAFF" w14:textId="77777777" w:rsidR="004D2AC0" w:rsidRDefault="004D2AC0" w:rsidP="004D2AC0">
      <w:pPr>
        <w:spacing w:before="120"/>
        <w:jc w:val="both"/>
      </w:pPr>
      <w:r>
        <w:t xml:space="preserve">Státní rozpočet je v Česku druhým nejvýznamnějším zdrojem financování </w:t>
      </w:r>
      <w:proofErr w:type="spellStart"/>
      <w:r>
        <w:t>VaV</w:t>
      </w:r>
      <w:proofErr w:type="spellEnd"/>
      <w:r>
        <w:t xml:space="preserve">. V roce 2018 stát jeho prostřednictvím vynaložil na tuto činnost celkem 35 mld. Kč, tj. o 12 % více finančních prostředků než v roce předchozím. Většina prostředků státu směřuje na podporu </w:t>
      </w:r>
      <w:proofErr w:type="spellStart"/>
      <w:r>
        <w:t>VaV</w:t>
      </w:r>
      <w:proofErr w:type="spellEnd"/>
      <w:r>
        <w:t xml:space="preserve"> prováděného ve veřejném sektoru. V roce 2018 téměř polovina (15,9 mld. Kč) směřovala na vysokoškolský výzkum, 10 miliard získala pracoviště Akademie věd ČR. Na podporu výzkumu a vývoje v soukromých podnicích vynaložil stát výše uvedených 3,5 mld. Kč, tj. o půl miliardy více než v roce předchozím. </w:t>
      </w:r>
    </w:p>
    <w:p w14:paraId="5C95EFA9" w14:textId="0E5D2A92" w:rsidR="004D2AC0" w:rsidRDefault="004D2AC0" w:rsidP="004D2AC0">
      <w:pPr>
        <w:spacing w:before="120"/>
        <w:jc w:val="both"/>
      </w:pPr>
      <w:r w:rsidRPr="00AE6B98">
        <w:t>Jak je vidět na grafu č. </w:t>
      </w:r>
      <w:r w:rsidR="00381E40" w:rsidRPr="00AE6B98">
        <w:t>9</w:t>
      </w:r>
      <w:r w:rsidRPr="00AE6B98">
        <w:t>, nejdynamičtěji se v posledních letech v Česku vyvíjí financování výzkumu a vývoje ze zdrojů EU. Jedn</w:t>
      </w:r>
      <w:r w:rsidR="006505D0">
        <w:t>á</w:t>
      </w:r>
      <w:r w:rsidRPr="00AE6B98">
        <w:t xml:space="preserve"> se zejména o Evropské strukturální a investiční fondy, jejichž prostředky byly využity při budování nových veřejných výzkumných a vývojových infrastruktur na vysokých školách a </w:t>
      </w:r>
      <w:r w:rsidR="00AE6B98" w:rsidRPr="00AE6B98">
        <w:t xml:space="preserve">v </w:t>
      </w:r>
      <w:r w:rsidRPr="00AE6B98">
        <w:t xml:space="preserve">Akademii věd ČR. </w:t>
      </w:r>
      <w:r w:rsidRPr="00C902FF">
        <w:t>V letech 2012 až 2015 směřovalo z EU do českého výzkumu každoročně více než 10 mld. Kč.</w:t>
      </w:r>
      <w:r w:rsidR="006505D0">
        <w:t xml:space="preserve"> </w:t>
      </w:r>
      <w:r w:rsidR="006505D0" w:rsidRPr="006505D0">
        <w:t xml:space="preserve">V roce 2018 získaly soukromé podniky téměř pětinu evropských zdrojů poskytnutých na </w:t>
      </w:r>
      <w:proofErr w:type="spellStart"/>
      <w:r w:rsidR="006505D0" w:rsidRPr="006505D0">
        <w:t>VaV</w:t>
      </w:r>
      <w:proofErr w:type="spellEnd"/>
      <w:r w:rsidR="006505D0" w:rsidRPr="006505D0">
        <w:t>.</w:t>
      </w:r>
      <w:r w:rsidR="006505D0">
        <w:t xml:space="preserve"> </w:t>
      </w:r>
      <w:r w:rsidRPr="00C902FF">
        <w:t>V absolutním vyjádření k nim z EU doputoval</w:t>
      </w:r>
      <w:r w:rsidR="00AE6B98" w:rsidRPr="00C902FF">
        <w:t>o</w:t>
      </w:r>
      <w:r w:rsidRPr="00C902FF">
        <w:t xml:space="preserve"> 1,5 mld. Kč</w:t>
      </w:r>
      <w:r w:rsidR="00C902FF" w:rsidRPr="00C902FF">
        <w:t xml:space="preserve"> na podporu zde prováděného </w:t>
      </w:r>
      <w:proofErr w:type="spellStart"/>
      <w:r w:rsidR="00C902FF" w:rsidRPr="00C902FF">
        <w:t>VaV</w:t>
      </w:r>
      <w:proofErr w:type="spellEnd"/>
      <w:r w:rsidRPr="00C902FF">
        <w:t xml:space="preserve">. Jde o stejnou částku jako v roce 2015.  </w:t>
      </w:r>
    </w:p>
    <w:p w14:paraId="5B291D4A" w14:textId="5B75E37C" w:rsidR="004D2AC0" w:rsidRPr="00C56392" w:rsidRDefault="004D2AC0" w:rsidP="004D2AC0">
      <w:pPr>
        <w:spacing w:before="240"/>
        <w:jc w:val="both"/>
        <w:rPr>
          <w:b/>
        </w:rPr>
      </w:pPr>
      <w:r w:rsidRPr="00C56392">
        <w:rPr>
          <w:b/>
        </w:rPr>
        <w:t xml:space="preserve">GRAF </w:t>
      </w:r>
      <w:r w:rsidR="00381E40">
        <w:rPr>
          <w:b/>
        </w:rPr>
        <w:t>9</w:t>
      </w:r>
      <w:r w:rsidRPr="00C56392">
        <w:rPr>
          <w:b/>
        </w:rPr>
        <w:t xml:space="preserve">: </w:t>
      </w:r>
      <w:r>
        <w:rPr>
          <w:b/>
        </w:rPr>
        <w:t>Výzkum a vývoj financovaný v Česku ze zdrojů EU</w:t>
      </w:r>
    </w:p>
    <w:p w14:paraId="535585B6" w14:textId="77777777" w:rsidR="004D2AC0" w:rsidRDefault="004D2AC0" w:rsidP="004D2AC0">
      <w:pPr>
        <w:jc w:val="both"/>
        <w:rPr>
          <w:i/>
          <w:sz w:val="16"/>
        </w:rPr>
      </w:pPr>
      <w:r>
        <w:rPr>
          <w:noProof/>
        </w:rPr>
        <w:drawing>
          <wp:inline distT="0" distB="0" distL="0" distR="0" wp14:anchorId="1D3CB8C6" wp14:editId="23B1A814">
            <wp:extent cx="6047740" cy="2880000"/>
            <wp:effectExtent l="0" t="0" r="0" b="0"/>
            <wp:docPr id="4" name="Graf 4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7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15B83AD6" w14:textId="2643FBE7" w:rsidR="00261DBF" w:rsidRPr="00E607EB" w:rsidRDefault="004D2AC0" w:rsidP="00EB1C91">
      <w:pPr>
        <w:jc w:val="both"/>
      </w:pPr>
      <w:r w:rsidRPr="00B91063">
        <w:rPr>
          <w:i/>
          <w:sz w:val="16"/>
        </w:rPr>
        <w:t xml:space="preserve">Zdroj dat: ČSÚ – Šetření o </w:t>
      </w:r>
      <w:proofErr w:type="spellStart"/>
      <w:r w:rsidRPr="00B91063">
        <w:rPr>
          <w:i/>
          <w:sz w:val="16"/>
        </w:rPr>
        <w:t>VaV</w:t>
      </w:r>
      <w:proofErr w:type="spellEnd"/>
      <w:r w:rsidRPr="00B91063">
        <w:rPr>
          <w:i/>
          <w:sz w:val="16"/>
        </w:rPr>
        <w:t xml:space="preserve"> (VTR 5-01)</w:t>
      </w:r>
    </w:p>
    <w:p w14:paraId="57B5F03E" w14:textId="4A2248E0" w:rsidR="005C3DF6" w:rsidRPr="007239E6" w:rsidRDefault="00BB5FE5" w:rsidP="00BB5FE5">
      <w:pPr>
        <w:pStyle w:val="Nadpis2"/>
        <w:spacing w:after="120"/>
        <w:jc w:val="both"/>
        <w:rPr>
          <w:sz w:val="24"/>
        </w:rPr>
      </w:pPr>
      <w:r w:rsidRPr="007239E6">
        <w:rPr>
          <w:sz w:val="24"/>
        </w:rPr>
        <w:lastRenderedPageBreak/>
        <w:t>3.</w:t>
      </w:r>
      <w:r w:rsidR="008777BA" w:rsidRPr="007239E6">
        <w:rPr>
          <w:sz w:val="24"/>
        </w:rPr>
        <w:t xml:space="preserve">2 </w:t>
      </w:r>
      <w:r w:rsidR="00EA00A2" w:rsidRPr="007239E6">
        <w:rPr>
          <w:sz w:val="24"/>
        </w:rPr>
        <w:t>Nepřímá veřejná pod</w:t>
      </w:r>
      <w:r w:rsidR="00E75176">
        <w:rPr>
          <w:sz w:val="24"/>
        </w:rPr>
        <w:t xml:space="preserve">pora </w:t>
      </w:r>
      <w:proofErr w:type="spellStart"/>
      <w:r w:rsidR="00E75176">
        <w:rPr>
          <w:sz w:val="24"/>
        </w:rPr>
        <w:t>VaV</w:t>
      </w:r>
      <w:proofErr w:type="spellEnd"/>
      <w:r w:rsidR="00E75176">
        <w:rPr>
          <w:sz w:val="24"/>
        </w:rPr>
        <w:t xml:space="preserve"> v soukromých podnicích</w:t>
      </w:r>
      <w:r w:rsidR="006A622B">
        <w:rPr>
          <w:sz w:val="24"/>
        </w:rPr>
        <w:t xml:space="preserve"> v Česku</w:t>
      </w:r>
    </w:p>
    <w:p w14:paraId="79CE65D1" w14:textId="5F08B6EF" w:rsidR="00261DBF" w:rsidRPr="009733C8" w:rsidRDefault="006979C7" w:rsidP="00524CD4">
      <w:pPr>
        <w:spacing w:before="120"/>
        <w:jc w:val="both"/>
      </w:pPr>
      <w:r w:rsidRPr="009C6C13">
        <w:t xml:space="preserve">Instrument nepřímé veřejné podpory </w:t>
      </w:r>
      <w:r w:rsidR="00887167" w:rsidRPr="009C6C13">
        <w:t>výzkumu a vývoje byl v České republice</w:t>
      </w:r>
      <w:r w:rsidRPr="009C6C13">
        <w:t xml:space="preserve"> z</w:t>
      </w:r>
      <w:r w:rsidR="001B00E4" w:rsidRPr="009C6C13">
        <w:t>aveden v roce 2005, kdy podniky</w:t>
      </w:r>
      <w:r w:rsidRPr="009C6C13">
        <w:t xml:space="preserve"> provádějící </w:t>
      </w:r>
      <w:r w:rsidR="00C76348" w:rsidRPr="009C6C13">
        <w:t>výzkum a vývoj</w:t>
      </w:r>
      <w:r w:rsidRPr="009C6C13">
        <w:t xml:space="preserve"> mohly poprvé odečíst své náklady (výdaje) související s realizací </w:t>
      </w:r>
      <w:proofErr w:type="spellStart"/>
      <w:r w:rsidRPr="009C6C13">
        <w:t>VaV</w:t>
      </w:r>
      <w:proofErr w:type="spellEnd"/>
      <w:r w:rsidRPr="009C6C13">
        <w:t xml:space="preserve"> </w:t>
      </w:r>
      <w:r w:rsidRPr="00684459">
        <w:t>projektů</w:t>
      </w:r>
      <w:r w:rsidR="005F17D5" w:rsidRPr="00684459">
        <w:t xml:space="preserve"> od základu daně</w:t>
      </w:r>
      <w:r w:rsidR="001F6760" w:rsidRPr="00684459">
        <w:t xml:space="preserve"> z příjmu</w:t>
      </w:r>
      <w:r w:rsidRPr="00684459">
        <w:t xml:space="preserve">. V období let </w:t>
      </w:r>
      <w:r w:rsidR="002F7270" w:rsidRPr="00684459">
        <w:t>2005</w:t>
      </w:r>
      <w:r w:rsidRPr="00684459">
        <w:t xml:space="preserve"> až 2015 počet soukromých podniků</w:t>
      </w:r>
      <w:r w:rsidR="00527437" w:rsidRPr="00F3116D">
        <w:rPr>
          <w:rStyle w:val="Znakapoznpodarou"/>
        </w:rPr>
        <w:footnoteReference w:id="1"/>
      </w:r>
      <w:r w:rsidRPr="00684459">
        <w:t>, které pro své výzkumné a vývojové činnosti využily daňovou podporu</w:t>
      </w:r>
      <w:r w:rsidR="001B22A7" w:rsidRPr="00684459">
        <w:t xml:space="preserve"> </w:t>
      </w:r>
      <w:proofErr w:type="spellStart"/>
      <w:r w:rsidR="001B22A7" w:rsidRPr="00684459">
        <w:t>VaV</w:t>
      </w:r>
      <w:proofErr w:type="spellEnd"/>
      <w:r w:rsidR="001B22A7" w:rsidRPr="00684459">
        <w:t xml:space="preserve"> kontinuálně rostl</w:t>
      </w:r>
      <w:r w:rsidR="00B03CC3" w:rsidRPr="00684459">
        <w:t xml:space="preserve"> </w:t>
      </w:r>
      <w:r w:rsidRPr="00684459">
        <w:t xml:space="preserve">průměrným </w:t>
      </w:r>
      <w:r w:rsidR="001B22A7" w:rsidRPr="00684459">
        <w:t xml:space="preserve">ročním tempem </w:t>
      </w:r>
      <w:r w:rsidRPr="00684459">
        <w:t xml:space="preserve">ve výši </w:t>
      </w:r>
      <w:r w:rsidR="001B22A7" w:rsidRPr="00684459">
        <w:t>11</w:t>
      </w:r>
      <w:r w:rsidR="00A540A1">
        <w:t> </w:t>
      </w:r>
      <w:r w:rsidRPr="00684459">
        <w:t>%.</w:t>
      </w:r>
      <w:r w:rsidR="00636984" w:rsidRPr="00636984">
        <w:t xml:space="preserve"> Pokud v roce 2005 využilo odečet výdajů na </w:t>
      </w:r>
      <w:proofErr w:type="spellStart"/>
      <w:r w:rsidR="00636984" w:rsidRPr="00636984">
        <w:t>VaV</w:t>
      </w:r>
      <w:proofErr w:type="spellEnd"/>
      <w:r w:rsidR="00636984" w:rsidRPr="00636984">
        <w:t xml:space="preserve"> celkem 454 podniků, pak v roce 2015 jich bylo 1 306, tedy skoro 3x více.</w:t>
      </w:r>
      <w:r w:rsidRPr="00636984">
        <w:t xml:space="preserve"> </w:t>
      </w:r>
      <w:r w:rsidR="00261DBF" w:rsidRPr="00684459">
        <w:t xml:space="preserve">Rostoucí trend </w:t>
      </w:r>
      <w:r w:rsidRPr="00684459">
        <w:t xml:space="preserve">skončil </w:t>
      </w:r>
      <w:r w:rsidR="00B21349">
        <w:t xml:space="preserve">právě </w:t>
      </w:r>
      <w:r w:rsidRPr="00684459">
        <w:t>v roce 201</w:t>
      </w:r>
      <w:r w:rsidR="00992BDC" w:rsidRPr="00684459">
        <w:t>5</w:t>
      </w:r>
      <w:r w:rsidR="00B21349">
        <w:t xml:space="preserve"> a</w:t>
      </w:r>
      <w:r w:rsidR="00C576C1" w:rsidRPr="00684459">
        <w:t xml:space="preserve"> od tohoto roku již počet podniků</w:t>
      </w:r>
      <w:r w:rsidR="00E714C9">
        <w:t xml:space="preserve"> využívajících nepřímou podporu </w:t>
      </w:r>
      <w:proofErr w:type="spellStart"/>
      <w:r w:rsidR="00E714C9">
        <w:t>VaV</w:t>
      </w:r>
      <w:proofErr w:type="spellEnd"/>
      <w:r w:rsidR="00C576C1" w:rsidRPr="00684459">
        <w:t xml:space="preserve"> plynule klesá</w:t>
      </w:r>
      <w:r w:rsidR="0023441C">
        <w:t>. V</w:t>
      </w:r>
      <w:r w:rsidR="00C576C1" w:rsidRPr="00684459">
        <w:t xml:space="preserve"> roce 2018 uplatnilo daňový odečet na </w:t>
      </w:r>
      <w:proofErr w:type="spellStart"/>
      <w:r w:rsidR="00C576C1" w:rsidRPr="00684459">
        <w:t>VaV</w:t>
      </w:r>
      <w:proofErr w:type="spellEnd"/>
      <w:r w:rsidR="00C576C1" w:rsidRPr="00684459">
        <w:t xml:space="preserve"> 1</w:t>
      </w:r>
      <w:r w:rsidR="0023441C">
        <w:t> </w:t>
      </w:r>
      <w:r w:rsidR="00C576C1" w:rsidRPr="00684459">
        <w:t>037</w:t>
      </w:r>
      <w:r w:rsidR="0023441C">
        <w:t> </w:t>
      </w:r>
      <w:r w:rsidR="00C576C1" w:rsidRPr="00684459">
        <w:t xml:space="preserve">podniků, což bylo téměř o sto podniků méně než v roce 2017 </w:t>
      </w:r>
      <w:r w:rsidR="00812945">
        <w:t xml:space="preserve">a </w:t>
      </w:r>
      <w:r w:rsidR="00C576C1" w:rsidRPr="009733C8">
        <w:t xml:space="preserve">o </w:t>
      </w:r>
      <w:r w:rsidR="00812945">
        <w:t xml:space="preserve">cca </w:t>
      </w:r>
      <w:r w:rsidR="00C576C1" w:rsidRPr="009733C8">
        <w:t>200 než v roce 2016.</w:t>
      </w:r>
    </w:p>
    <w:p w14:paraId="6D96D37E" w14:textId="1B3A2BED" w:rsidR="00E6382B" w:rsidRPr="00FF3BD8" w:rsidRDefault="007A5FA4" w:rsidP="00511C88">
      <w:pPr>
        <w:spacing w:before="120"/>
        <w:jc w:val="both"/>
      </w:pPr>
      <w:r w:rsidRPr="00FF3BD8">
        <w:rPr>
          <w:b/>
        </w:rPr>
        <w:t xml:space="preserve">GRAF </w:t>
      </w:r>
      <w:r w:rsidR="00381E40">
        <w:rPr>
          <w:b/>
        </w:rPr>
        <w:t>10</w:t>
      </w:r>
      <w:r w:rsidR="00E6382B" w:rsidRPr="00FF3BD8">
        <w:rPr>
          <w:b/>
        </w:rPr>
        <w:t>: Nepřímá veřejná pod</w:t>
      </w:r>
      <w:r w:rsidR="008909AD" w:rsidRPr="00FF3BD8">
        <w:rPr>
          <w:b/>
        </w:rPr>
        <w:t xml:space="preserve">pora </w:t>
      </w:r>
      <w:proofErr w:type="spellStart"/>
      <w:r w:rsidR="008909AD" w:rsidRPr="00FF3BD8">
        <w:rPr>
          <w:b/>
        </w:rPr>
        <w:t>VaV</w:t>
      </w:r>
      <w:proofErr w:type="spellEnd"/>
      <w:r w:rsidR="00E6382B" w:rsidRPr="00FF3BD8">
        <w:rPr>
          <w:b/>
        </w:rPr>
        <w:t xml:space="preserve"> </w:t>
      </w:r>
      <w:r w:rsidR="00812945">
        <w:rPr>
          <w:b/>
        </w:rPr>
        <w:t>v Česku prostřednictvím daňových úlev</w:t>
      </w:r>
    </w:p>
    <w:p w14:paraId="4E3C689B" w14:textId="14983692" w:rsidR="00B72231" w:rsidRPr="00A93FD6" w:rsidRDefault="00993D78" w:rsidP="0023441C">
      <w:pPr>
        <w:jc w:val="both"/>
      </w:pPr>
      <w:r>
        <w:rPr>
          <w:noProof/>
        </w:rPr>
        <w:drawing>
          <wp:inline distT="0" distB="0" distL="0" distR="0" wp14:anchorId="2E722B06" wp14:editId="7F1C89CA">
            <wp:extent cx="6120130" cy="2520000"/>
            <wp:effectExtent l="0" t="0" r="0" b="0"/>
            <wp:docPr id="11" name="Graf 1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5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14:paraId="7E85E86F" w14:textId="77777777" w:rsidR="00B72231" w:rsidRPr="00FF3BD8" w:rsidRDefault="00B72231" w:rsidP="00511C88">
      <w:pPr>
        <w:spacing w:before="120"/>
        <w:jc w:val="both"/>
        <w:rPr>
          <w:i/>
          <w:sz w:val="16"/>
        </w:rPr>
      </w:pPr>
      <w:r w:rsidRPr="00FF3BD8">
        <w:rPr>
          <w:i/>
          <w:sz w:val="16"/>
        </w:rPr>
        <w:t>Zdroj dat: ČSÚ podle administrativních dat GFŘ</w:t>
      </w:r>
    </w:p>
    <w:p w14:paraId="7232DA44" w14:textId="6D4C58A8" w:rsidR="00027D2B" w:rsidRPr="002B74ED" w:rsidRDefault="00285B5F" w:rsidP="00224077">
      <w:pPr>
        <w:spacing w:before="120"/>
        <w:jc w:val="both"/>
      </w:pPr>
      <w:r w:rsidRPr="00021023">
        <w:t>S narůstajícím</w:t>
      </w:r>
      <w:r w:rsidR="002E24FF" w:rsidRPr="00021023">
        <w:t> počt</w:t>
      </w:r>
      <w:r w:rsidRPr="00021023">
        <w:t>em</w:t>
      </w:r>
      <w:r w:rsidR="002E24FF" w:rsidRPr="00021023">
        <w:t xml:space="preserve"> podniků využívajících </w:t>
      </w:r>
      <w:r w:rsidR="0004366C" w:rsidRPr="00021023">
        <w:t>nepřímou veřejnou podporu</w:t>
      </w:r>
      <w:r w:rsidR="002E24FF" w:rsidRPr="00021023">
        <w:t xml:space="preserve"> </w:t>
      </w:r>
      <w:proofErr w:type="spellStart"/>
      <w:r w:rsidR="002E24FF" w:rsidRPr="00021023">
        <w:t>VaV</w:t>
      </w:r>
      <w:proofErr w:type="spellEnd"/>
      <w:r w:rsidR="002E24FF" w:rsidRPr="00021023">
        <w:t xml:space="preserve"> rostly </w:t>
      </w:r>
      <w:r w:rsidR="00DC1338" w:rsidRPr="00021023">
        <w:t xml:space="preserve">rovněž </w:t>
      </w:r>
      <w:r w:rsidR="00261DBF" w:rsidRPr="00021023">
        <w:t xml:space="preserve">souhrnné odečtené výdaje na </w:t>
      </w:r>
      <w:proofErr w:type="spellStart"/>
      <w:r w:rsidR="00261DBF" w:rsidRPr="00021023">
        <w:t>VaV</w:t>
      </w:r>
      <w:proofErr w:type="spellEnd"/>
      <w:r w:rsidR="00261DBF" w:rsidRPr="00021023">
        <w:t xml:space="preserve">, i když nikoliv kontinuálně jako v případě </w:t>
      </w:r>
      <w:r w:rsidR="00361916" w:rsidRPr="00021023">
        <w:t xml:space="preserve">ukazatele </w:t>
      </w:r>
      <w:r w:rsidR="00261DBF" w:rsidRPr="00021023">
        <w:t xml:space="preserve">počtu soukromých podniků využívajících </w:t>
      </w:r>
      <w:r w:rsidR="005C20C3" w:rsidRPr="00021023">
        <w:t>daňovou podporu</w:t>
      </w:r>
      <w:r w:rsidR="00261DBF" w:rsidRPr="00021023">
        <w:t xml:space="preserve"> </w:t>
      </w:r>
      <w:proofErr w:type="spellStart"/>
      <w:r w:rsidR="00261DBF" w:rsidRPr="00021023">
        <w:t>VaV</w:t>
      </w:r>
      <w:proofErr w:type="spellEnd"/>
      <w:r w:rsidR="00261DBF" w:rsidRPr="00021023">
        <w:t>.</w:t>
      </w:r>
      <w:r w:rsidR="002E24FF" w:rsidRPr="00021023">
        <w:t xml:space="preserve"> </w:t>
      </w:r>
      <w:r w:rsidR="00261DBF" w:rsidRPr="00021023">
        <w:t xml:space="preserve">Po roce 2010, kdy se daňová sazba </w:t>
      </w:r>
      <w:r w:rsidR="00361916" w:rsidRPr="00021023">
        <w:t xml:space="preserve">právnických osob </w:t>
      </w:r>
      <w:r w:rsidR="00261DBF" w:rsidRPr="00021023">
        <w:t xml:space="preserve">ustálila na </w:t>
      </w:r>
      <w:r w:rsidR="00517B68" w:rsidRPr="00021023">
        <w:t xml:space="preserve">hodnotě </w:t>
      </w:r>
      <w:r w:rsidR="00261DBF" w:rsidRPr="00021023">
        <w:t xml:space="preserve">19 %, </w:t>
      </w:r>
      <w:r w:rsidR="005C20C3" w:rsidRPr="00021023">
        <w:t xml:space="preserve">rostla </w:t>
      </w:r>
      <w:r w:rsidR="00261DBF" w:rsidRPr="00021023">
        <w:t xml:space="preserve">výše nepřímé veřejné podpory </w:t>
      </w:r>
      <w:proofErr w:type="spellStart"/>
      <w:r w:rsidR="00261DBF" w:rsidRPr="00021023">
        <w:t>VaV</w:t>
      </w:r>
      <w:proofErr w:type="spellEnd"/>
      <w:r w:rsidR="00261DBF" w:rsidRPr="00021023">
        <w:t xml:space="preserve"> </w:t>
      </w:r>
      <w:r w:rsidR="005C20C3" w:rsidRPr="00021023">
        <w:t>nepřetržitě až do roku 2013, následně přichází trend střídání pok</w:t>
      </w:r>
      <w:r w:rsidR="00082755" w:rsidRPr="00021023">
        <w:t>lesů (roky 2014, 2016) a nárůstů</w:t>
      </w:r>
      <w:r w:rsidR="005C20C3" w:rsidRPr="00021023">
        <w:t xml:space="preserve"> (roky 2015, 2017). </w:t>
      </w:r>
      <w:r w:rsidR="004752A7" w:rsidRPr="00021023">
        <w:t>V roce 2017</w:t>
      </w:r>
      <w:r w:rsidR="00923A83" w:rsidRPr="00021023">
        <w:t xml:space="preserve"> sice</w:t>
      </w:r>
      <w:r w:rsidR="00AD2E3D" w:rsidRPr="00021023">
        <w:t xml:space="preserve"> </w:t>
      </w:r>
      <w:r w:rsidR="004752A7" w:rsidRPr="00021023">
        <w:t>poklesl</w:t>
      </w:r>
      <w:r w:rsidR="00027D2B" w:rsidRPr="00021023">
        <w:t xml:space="preserve"> počet soukromý</w:t>
      </w:r>
      <w:r w:rsidR="005C20C3" w:rsidRPr="00021023">
        <w:t>ch</w:t>
      </w:r>
      <w:r w:rsidR="00260106" w:rsidRPr="00021023">
        <w:t xml:space="preserve"> podniků, které pro svůj výzkum a vývoj využily nepřím</w:t>
      </w:r>
      <w:r w:rsidR="00517B68" w:rsidRPr="00021023">
        <w:t>ou podporu</w:t>
      </w:r>
      <w:r w:rsidR="00AD2E3D" w:rsidRPr="00021023">
        <w:t xml:space="preserve"> </w:t>
      </w:r>
      <w:proofErr w:type="spellStart"/>
      <w:r w:rsidR="00AD2E3D" w:rsidRPr="00021023">
        <w:t>VaV</w:t>
      </w:r>
      <w:proofErr w:type="spellEnd"/>
      <w:r w:rsidR="00517B68" w:rsidRPr="00021023">
        <w:t xml:space="preserve">, </w:t>
      </w:r>
      <w:r w:rsidR="004752A7" w:rsidRPr="00021023">
        <w:t xml:space="preserve">ale zvýšil se </w:t>
      </w:r>
      <w:r w:rsidR="00260106" w:rsidRPr="00021023">
        <w:t xml:space="preserve">objem odečtených výdajů na </w:t>
      </w:r>
      <w:proofErr w:type="spellStart"/>
      <w:r w:rsidR="00260106" w:rsidRPr="00021023">
        <w:t>VaV</w:t>
      </w:r>
      <w:proofErr w:type="spellEnd"/>
      <w:r w:rsidR="005C20C3" w:rsidRPr="00021023">
        <w:t xml:space="preserve"> </w:t>
      </w:r>
      <w:r w:rsidR="005C20C3" w:rsidRPr="002B74ED">
        <w:t xml:space="preserve">a tím i částka uplatněné daňové podpory </w:t>
      </w:r>
      <w:proofErr w:type="spellStart"/>
      <w:r w:rsidR="005C20C3" w:rsidRPr="002B74ED">
        <w:t>VaV</w:t>
      </w:r>
      <w:proofErr w:type="spellEnd"/>
      <w:r w:rsidR="00260106" w:rsidRPr="002B74ED">
        <w:t xml:space="preserve">. </w:t>
      </w:r>
      <w:r w:rsidR="00923A83" w:rsidRPr="002B74ED">
        <w:t xml:space="preserve">Stejně jako v roce 2017 tomu pak bylo i v roce 2018, kdy i přes pokles počtu soukromých podniků využívajících nepřímou podporu </w:t>
      </w:r>
      <w:proofErr w:type="spellStart"/>
      <w:r w:rsidR="00923A83" w:rsidRPr="002B74ED">
        <w:t>VaV</w:t>
      </w:r>
      <w:proofErr w:type="spellEnd"/>
      <w:r w:rsidR="00923A83" w:rsidRPr="002B74ED">
        <w:t xml:space="preserve"> se i nadále zvyšoval objem odečtených výdajů na </w:t>
      </w:r>
      <w:proofErr w:type="spellStart"/>
      <w:r w:rsidR="00923A83" w:rsidRPr="002B74ED">
        <w:t>VaV</w:t>
      </w:r>
      <w:proofErr w:type="spellEnd"/>
      <w:r w:rsidR="00923A83" w:rsidRPr="002B74ED">
        <w:t>.</w:t>
      </w:r>
    </w:p>
    <w:p w14:paraId="23EC4AEE" w14:textId="22E5D332" w:rsidR="00101389" w:rsidRPr="00082C01" w:rsidRDefault="00EE3EA9" w:rsidP="00EE3EA9">
      <w:pPr>
        <w:spacing w:before="120"/>
        <w:jc w:val="both"/>
      </w:pPr>
      <w:r>
        <w:t xml:space="preserve">V roce 2005 byly od základu daně v daňových přiznáních podniků odečteny výdaje na </w:t>
      </w:r>
      <w:proofErr w:type="spellStart"/>
      <w:r>
        <w:t>VaV</w:t>
      </w:r>
      <w:proofErr w:type="spellEnd"/>
      <w:r>
        <w:t xml:space="preserve"> v souhrnném objemu 3,2 mld. Kč, čímž byla získána nepřímá veřejná podpora </w:t>
      </w:r>
      <w:proofErr w:type="spellStart"/>
      <w:r>
        <w:t>VaV</w:t>
      </w:r>
      <w:proofErr w:type="spellEnd"/>
      <w:r>
        <w:t xml:space="preserve"> v hodnotě 819 mil. Kč.</w:t>
      </w:r>
      <w:r w:rsidRPr="002B74ED">
        <w:rPr>
          <w:rStyle w:val="Znakapoznpodarou"/>
        </w:rPr>
        <w:footnoteReference w:id="2"/>
      </w:r>
      <w:r>
        <w:t xml:space="preserve"> Naproti tomu v roce 2018</w:t>
      </w:r>
      <w:r w:rsidR="009733C8">
        <w:t xml:space="preserve"> </w:t>
      </w:r>
      <w:r w:rsidR="002E24FF" w:rsidRPr="00D2433D">
        <w:t>dosáhl</w:t>
      </w:r>
      <w:r w:rsidR="001F1EA8" w:rsidRPr="00D2433D">
        <w:t>y</w:t>
      </w:r>
      <w:r w:rsidR="002E24FF" w:rsidRPr="00D2433D">
        <w:t xml:space="preserve"> odečten</w:t>
      </w:r>
      <w:r w:rsidR="001F1EA8" w:rsidRPr="00D2433D">
        <w:t>é</w:t>
      </w:r>
      <w:r w:rsidR="002E24FF" w:rsidRPr="00D2433D">
        <w:t xml:space="preserve"> výdaj</w:t>
      </w:r>
      <w:r w:rsidR="001F1EA8" w:rsidRPr="00D2433D">
        <w:t>e</w:t>
      </w:r>
      <w:r w:rsidR="004752A7" w:rsidRPr="00D2433D">
        <w:t xml:space="preserve"> 13,</w:t>
      </w:r>
      <w:r w:rsidR="007E09C0" w:rsidRPr="00D2433D">
        <w:t>6</w:t>
      </w:r>
      <w:r w:rsidR="002E24FF" w:rsidRPr="00D2433D">
        <w:t> mld. Kč.</w:t>
      </w:r>
      <w:r w:rsidR="00124C7E" w:rsidRPr="00D2433D">
        <w:t xml:space="preserve"> Při dané sazbě daně právnických osob </w:t>
      </w:r>
      <w:r w:rsidR="00B1291C" w:rsidRPr="00D2433D">
        <w:t xml:space="preserve">činila </w:t>
      </w:r>
      <w:r w:rsidR="00124C7E" w:rsidRPr="00D2433D">
        <w:t>výše</w:t>
      </w:r>
      <w:r w:rsidR="004752A7" w:rsidRPr="00D2433D">
        <w:t xml:space="preserve"> nepřímé veřejné podpory </w:t>
      </w:r>
      <w:proofErr w:type="spellStart"/>
      <w:r w:rsidR="004752A7" w:rsidRPr="00D2433D">
        <w:t>VaV</w:t>
      </w:r>
      <w:proofErr w:type="spellEnd"/>
      <w:r w:rsidR="004752A7" w:rsidRPr="00D2433D">
        <w:t xml:space="preserve"> 2,</w:t>
      </w:r>
      <w:r w:rsidR="002B74ED" w:rsidRPr="00D2433D">
        <w:t>6</w:t>
      </w:r>
      <w:r w:rsidR="00124C7E" w:rsidRPr="00D2433D">
        <w:t xml:space="preserve"> mld. Kč.</w:t>
      </w:r>
      <w:r w:rsidR="00503742" w:rsidRPr="00D2433D">
        <w:t xml:space="preserve"> </w:t>
      </w:r>
      <w:r w:rsidR="00BF3D17" w:rsidRPr="00D2433D">
        <w:t xml:space="preserve">Srovnáme-li hodnotu </w:t>
      </w:r>
      <w:r w:rsidR="002B74ED" w:rsidRPr="00D2433D">
        <w:t>s rokem 2017</w:t>
      </w:r>
      <w:r w:rsidR="00FA564F" w:rsidRPr="00D2433D">
        <w:t xml:space="preserve">, </w:t>
      </w:r>
      <w:r w:rsidR="004752A7" w:rsidRPr="00D2433D">
        <w:t>vzrostla</w:t>
      </w:r>
      <w:r w:rsidR="00BF3D17" w:rsidRPr="00D2433D">
        <w:t xml:space="preserve"> podpora </w:t>
      </w:r>
      <w:r w:rsidR="00E20999" w:rsidRPr="00D2433D">
        <w:t>o</w:t>
      </w:r>
      <w:r w:rsidR="004752A7" w:rsidRPr="00D2433D">
        <w:t xml:space="preserve"> </w:t>
      </w:r>
      <w:r w:rsidR="002B74ED" w:rsidRPr="00D2433D">
        <w:t>6</w:t>
      </w:r>
      <w:r w:rsidR="004752A7" w:rsidRPr="00D2433D">
        <w:t>1</w:t>
      </w:r>
      <w:r w:rsidR="00533490" w:rsidRPr="00D2433D">
        <w:t> mil. </w:t>
      </w:r>
      <w:r w:rsidR="002B74ED" w:rsidRPr="00D2433D">
        <w:t>Kč</w:t>
      </w:r>
      <w:r w:rsidR="00413856" w:rsidRPr="00D2433D">
        <w:t>.</w:t>
      </w:r>
      <w:r w:rsidR="00E20999" w:rsidRPr="00D2433D">
        <w:t xml:space="preserve"> </w:t>
      </w:r>
      <w:r w:rsidR="001A2F1F" w:rsidRPr="00D2433D">
        <w:t>Za období let 20</w:t>
      </w:r>
      <w:r w:rsidR="004F5721" w:rsidRPr="00D2433D">
        <w:t>0</w:t>
      </w:r>
      <w:r w:rsidR="002B74ED" w:rsidRPr="00D2433D">
        <w:t>8</w:t>
      </w:r>
      <w:r w:rsidR="001A2F1F" w:rsidRPr="00D2433D">
        <w:t xml:space="preserve"> až </w:t>
      </w:r>
      <w:r w:rsidR="002B74ED" w:rsidRPr="00D2433D">
        <w:t>2018</w:t>
      </w:r>
      <w:r w:rsidR="0004366C" w:rsidRPr="00D2433D">
        <w:t xml:space="preserve"> </w:t>
      </w:r>
      <w:r w:rsidR="00854C42" w:rsidRPr="00D2433D">
        <w:t xml:space="preserve">ušetřily </w:t>
      </w:r>
      <w:r w:rsidR="0004366C" w:rsidRPr="00D2433D">
        <w:t>soukromé podniky díky daňov</w:t>
      </w:r>
      <w:r w:rsidR="004752A7" w:rsidRPr="00D2433D">
        <w:t xml:space="preserve">é podpoře </w:t>
      </w:r>
      <w:proofErr w:type="spellStart"/>
      <w:r w:rsidR="004752A7" w:rsidRPr="00D2433D">
        <w:t>VaV</w:t>
      </w:r>
      <w:proofErr w:type="spellEnd"/>
      <w:r w:rsidR="004752A7" w:rsidRPr="00D2433D">
        <w:t xml:space="preserve"> částku 2</w:t>
      </w:r>
      <w:r w:rsidR="00D2433D" w:rsidRPr="00D2433D">
        <w:t>1</w:t>
      </w:r>
      <w:r w:rsidR="004752A7" w:rsidRPr="00D2433D">
        <w:t>,</w:t>
      </w:r>
      <w:r w:rsidR="00D2433D" w:rsidRPr="00D2433D">
        <w:t>7</w:t>
      </w:r>
      <w:r w:rsidR="00533490" w:rsidRPr="00D2433D">
        <w:t> mld. </w:t>
      </w:r>
      <w:r w:rsidR="0004366C" w:rsidRPr="00D2433D">
        <w:t>Kč</w:t>
      </w:r>
      <w:r w:rsidR="00D72D65" w:rsidRPr="00D2433D">
        <w:t xml:space="preserve">. Od základu daně </w:t>
      </w:r>
      <w:r w:rsidR="0004366C" w:rsidRPr="00D2433D">
        <w:t>od</w:t>
      </w:r>
      <w:r w:rsidR="00FA564F" w:rsidRPr="00D2433D">
        <w:t xml:space="preserve">ečetly výdaje na </w:t>
      </w:r>
      <w:proofErr w:type="spellStart"/>
      <w:r w:rsidR="00FA564F" w:rsidRPr="00D2433D">
        <w:t>VaV</w:t>
      </w:r>
      <w:proofErr w:type="spellEnd"/>
      <w:r w:rsidR="00FA564F" w:rsidRPr="00D2433D">
        <w:t xml:space="preserve"> </w:t>
      </w:r>
      <w:r>
        <w:t>o</w:t>
      </w:r>
      <w:r w:rsidR="00533490" w:rsidRPr="00D2433D">
        <w:t xml:space="preserve"> celkovém </w:t>
      </w:r>
      <w:r w:rsidR="00FA564F" w:rsidRPr="00D2433D">
        <w:t xml:space="preserve">objemu </w:t>
      </w:r>
      <w:r w:rsidR="004752A7" w:rsidRPr="00D2433D">
        <w:t>1</w:t>
      </w:r>
      <w:r w:rsidR="00D2433D" w:rsidRPr="00D2433D">
        <w:t>14</w:t>
      </w:r>
      <w:r w:rsidR="00FA564F" w:rsidRPr="00D2433D">
        <w:t> mld. </w:t>
      </w:r>
      <w:r w:rsidR="0004366C" w:rsidRPr="00D2433D">
        <w:t>Kč</w:t>
      </w:r>
      <w:r w:rsidR="004C008B" w:rsidRPr="00D2433D">
        <w:t>.</w:t>
      </w:r>
      <w:r w:rsidR="00E20999" w:rsidRPr="00D2433D">
        <w:t xml:space="preserve"> </w:t>
      </w:r>
      <w:r w:rsidR="004C0F0B">
        <w:t>V průměru na jeden podnik připadal v roce 2018 odečet ve výši 13,</w:t>
      </w:r>
      <w:r>
        <w:t>1</w:t>
      </w:r>
      <w:r w:rsidR="004C0F0B">
        <w:t> mil. Kč</w:t>
      </w:r>
      <w:r w:rsidR="00067B63">
        <w:t>.</w:t>
      </w:r>
      <w:r w:rsidR="004C0F0B">
        <w:t xml:space="preserve"> </w:t>
      </w:r>
      <w:r w:rsidR="00067B63">
        <w:t>O</w:t>
      </w:r>
      <w:r w:rsidR="004C0F0B">
        <w:t xml:space="preserve">d roku 2017 </w:t>
      </w:r>
      <w:r w:rsidR="00FB3A1F">
        <w:t>se odečet na jeden podnik zvýšil</w:t>
      </w:r>
      <w:r w:rsidR="004C0F0B">
        <w:t xml:space="preserve"> v průměru o 1,4 mil. Kč. </w:t>
      </w:r>
      <w:r>
        <w:t xml:space="preserve"> </w:t>
      </w:r>
      <w:r w:rsidRPr="00EE3EA9">
        <w:t>Odečet připadající na jeden podnik byl v roce 2018 doposud nejvyšší.</w:t>
      </w:r>
    </w:p>
    <w:p w14:paraId="0A89FFE4" w14:textId="570F4A29" w:rsidR="002401BE" w:rsidRPr="00795CBA" w:rsidRDefault="002B6DF3" w:rsidP="002401BE">
      <w:pPr>
        <w:spacing w:before="120"/>
        <w:jc w:val="both"/>
      </w:pPr>
      <w:r w:rsidRPr="00795CBA">
        <w:rPr>
          <w:b/>
        </w:rPr>
        <w:lastRenderedPageBreak/>
        <w:t xml:space="preserve">GRAF </w:t>
      </w:r>
      <w:r w:rsidR="00381E40">
        <w:rPr>
          <w:b/>
        </w:rPr>
        <w:t>11</w:t>
      </w:r>
      <w:r w:rsidR="002401BE" w:rsidRPr="00795CBA">
        <w:rPr>
          <w:b/>
        </w:rPr>
        <w:t xml:space="preserve">: </w:t>
      </w:r>
      <w:r w:rsidR="00FE0EDF" w:rsidRPr="00FE0EDF">
        <w:rPr>
          <w:b/>
        </w:rPr>
        <w:t xml:space="preserve">Uplatněný odečet výdajů na realizaci projektů </w:t>
      </w:r>
      <w:proofErr w:type="spellStart"/>
      <w:r w:rsidR="00FE0EDF" w:rsidRPr="00FE0EDF">
        <w:rPr>
          <w:b/>
        </w:rPr>
        <w:t>VaV</w:t>
      </w:r>
      <w:proofErr w:type="spellEnd"/>
      <w:r w:rsidR="00FE0EDF" w:rsidRPr="00FE0EDF">
        <w:rPr>
          <w:b/>
        </w:rPr>
        <w:t xml:space="preserve"> z daně příjmu </w:t>
      </w:r>
      <w:r w:rsidR="00821033">
        <w:rPr>
          <w:b/>
        </w:rPr>
        <w:t>soukromých podniků</w:t>
      </w:r>
      <w:r w:rsidR="002401BE" w:rsidRPr="00795CBA">
        <w:rPr>
          <w:b/>
        </w:rPr>
        <w:t xml:space="preserve"> </w:t>
      </w:r>
    </w:p>
    <w:p w14:paraId="6B2A9322" w14:textId="0366B6FB" w:rsidR="002401BE" w:rsidRPr="00CE7D64" w:rsidRDefault="00FE0EDF" w:rsidP="00F80F7B">
      <w:pPr>
        <w:spacing w:before="120"/>
        <w:jc w:val="both"/>
      </w:pPr>
      <w:r>
        <w:rPr>
          <w:noProof/>
        </w:rPr>
        <w:drawing>
          <wp:inline distT="0" distB="0" distL="0" distR="0" wp14:anchorId="16866C57" wp14:editId="02BE6460">
            <wp:extent cx="6120130" cy="2520000"/>
            <wp:effectExtent l="0" t="0" r="0" b="0"/>
            <wp:docPr id="12" name="Graf 1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14:paraId="5B5B803A" w14:textId="77777777" w:rsidR="0034730D" w:rsidRPr="00CE7D64" w:rsidRDefault="0034730D" w:rsidP="00F80F7B">
      <w:pPr>
        <w:spacing w:before="120"/>
        <w:jc w:val="both"/>
        <w:rPr>
          <w:i/>
          <w:sz w:val="16"/>
        </w:rPr>
      </w:pPr>
      <w:r w:rsidRPr="00CE7D64">
        <w:rPr>
          <w:i/>
          <w:sz w:val="16"/>
        </w:rPr>
        <w:t>Zdroj dat: ČSÚ podle administrativních dat GFŘ</w:t>
      </w:r>
    </w:p>
    <w:p w14:paraId="3FE500E3" w14:textId="1FA2B40D" w:rsidR="008B07CF" w:rsidRPr="008B07CF" w:rsidRDefault="008B07CF" w:rsidP="008B07CF">
      <w:pPr>
        <w:pStyle w:val="Nadpis2"/>
        <w:spacing w:before="240" w:after="120"/>
        <w:jc w:val="both"/>
        <w:rPr>
          <w:sz w:val="22"/>
          <w:szCs w:val="22"/>
        </w:rPr>
      </w:pPr>
      <w:r w:rsidRPr="008B07CF">
        <w:rPr>
          <w:sz w:val="22"/>
          <w:szCs w:val="22"/>
        </w:rPr>
        <w:t>3.2</w:t>
      </w:r>
      <w:r>
        <w:rPr>
          <w:sz w:val="22"/>
          <w:szCs w:val="22"/>
        </w:rPr>
        <w:t>.1</w:t>
      </w:r>
      <w:r w:rsidRPr="008B07CF">
        <w:rPr>
          <w:sz w:val="22"/>
          <w:szCs w:val="22"/>
        </w:rPr>
        <w:t xml:space="preserve"> </w:t>
      </w:r>
      <w:r w:rsidR="00FE0EDF">
        <w:rPr>
          <w:sz w:val="22"/>
          <w:szCs w:val="22"/>
        </w:rPr>
        <w:t>P</w:t>
      </w:r>
      <w:r>
        <w:rPr>
          <w:sz w:val="22"/>
          <w:szCs w:val="22"/>
        </w:rPr>
        <w:t>odle výše podpory</w:t>
      </w:r>
    </w:p>
    <w:p w14:paraId="02567B34" w14:textId="5A4F0699" w:rsidR="0018416B" w:rsidRDefault="00CC73F3" w:rsidP="00224077">
      <w:pPr>
        <w:spacing w:before="120"/>
        <w:jc w:val="both"/>
      </w:pPr>
      <w:r>
        <w:t>V roce 2018 utratily téměř tři čtvrtiny podnik</w:t>
      </w:r>
      <w:r w:rsidR="00454F72">
        <w:t>ů za výzkum a vývoj méně než 10 </w:t>
      </w:r>
      <w:r>
        <w:t xml:space="preserve">mil. Kč. Pětina podniků pak vydala za </w:t>
      </w:r>
      <w:proofErr w:type="spellStart"/>
      <w:r>
        <w:t>VaV</w:t>
      </w:r>
      <w:proofErr w:type="spellEnd"/>
      <w:r>
        <w:t xml:space="preserve"> částku mezi 10</w:t>
      </w:r>
      <w:r w:rsidR="00EF103D">
        <w:t>–</w:t>
      </w:r>
      <w:r>
        <w:t>50 milion</w:t>
      </w:r>
      <w:r w:rsidR="00454F72">
        <w:t>ů</w:t>
      </w:r>
      <w:r>
        <w:t xml:space="preserve"> korun a pouze 7 % podniků vložilo do výzkumu a vývoje částku přesahující padesát milionů korun. Právě z faktu, že většina podniků utratila</w:t>
      </w:r>
      <w:r w:rsidR="00FF5881">
        <w:t xml:space="preserve"> za </w:t>
      </w:r>
      <w:proofErr w:type="spellStart"/>
      <w:r w:rsidR="00FF5881">
        <w:t>VaV</w:t>
      </w:r>
      <w:proofErr w:type="spellEnd"/>
      <w:r>
        <w:t xml:space="preserve"> částku menší než deset mili</w:t>
      </w:r>
      <w:r w:rsidR="00527437">
        <w:t>o</w:t>
      </w:r>
      <w:r>
        <w:t>nů korun</w:t>
      </w:r>
      <w:r w:rsidR="00527437">
        <w:t>,</w:t>
      </w:r>
      <w:r>
        <w:t xml:space="preserve"> vyplývá, že 69 % podniků při uplatnění daňové</w:t>
      </w:r>
      <w:r w:rsidR="002D7293">
        <w:t xml:space="preserve"> podpory</w:t>
      </w:r>
      <w:r>
        <w:t xml:space="preserve"> ušetřilo méně než jeden mili</w:t>
      </w:r>
      <w:r w:rsidR="00527437">
        <w:t>o</w:t>
      </w:r>
      <w:r>
        <w:t xml:space="preserve">n korun. </w:t>
      </w:r>
      <w:r w:rsidR="00D05CBC" w:rsidRPr="00B42BB5">
        <w:t>Naopak n</w:t>
      </w:r>
      <w:r w:rsidR="00A11E10" w:rsidRPr="00B42BB5">
        <w:t xml:space="preserve">epřímou veřejnou podporu </w:t>
      </w:r>
      <w:proofErr w:type="spellStart"/>
      <w:r w:rsidR="00A11E10" w:rsidRPr="00B42BB5">
        <w:t>VaV</w:t>
      </w:r>
      <w:proofErr w:type="spellEnd"/>
      <w:r w:rsidR="00A11E10" w:rsidRPr="00B42BB5">
        <w:t xml:space="preserve"> </w:t>
      </w:r>
      <w:r w:rsidR="0023512E" w:rsidRPr="00B42BB5">
        <w:t>přesahující 10 mil. Kč získal</w:t>
      </w:r>
      <w:r w:rsidR="00306BFA" w:rsidRPr="00B42BB5">
        <w:t>a</w:t>
      </w:r>
      <w:r w:rsidR="00F02B3F" w:rsidRPr="00B42BB5">
        <w:t xml:space="preserve"> </w:t>
      </w:r>
      <w:r w:rsidR="00D05CBC" w:rsidRPr="00B42BB5">
        <w:t xml:space="preserve">jen </w:t>
      </w:r>
      <w:r w:rsidR="00B42BB5" w:rsidRPr="00B42BB5">
        <w:t>4</w:t>
      </w:r>
      <w:r w:rsidR="00454F72">
        <w:t> </w:t>
      </w:r>
      <w:r w:rsidR="00F02B3F" w:rsidRPr="00C564EB">
        <w:rPr>
          <w:lang w:val="en-US"/>
        </w:rPr>
        <w:t>%</w:t>
      </w:r>
      <w:r w:rsidR="00B42BB5" w:rsidRPr="00C564EB">
        <w:rPr>
          <w:lang w:val="en-US"/>
        </w:rPr>
        <w:t xml:space="preserve"> (4</w:t>
      </w:r>
      <w:r w:rsidR="00FE05E8" w:rsidRPr="00C564EB">
        <w:rPr>
          <w:lang w:val="en-US"/>
        </w:rPr>
        <w:t>3</w:t>
      </w:r>
      <w:r w:rsidR="00D05CBC" w:rsidRPr="00C564EB">
        <w:rPr>
          <w:lang w:val="en-US"/>
        </w:rPr>
        <w:t>)</w:t>
      </w:r>
      <w:r w:rsidR="00DE1008" w:rsidRPr="00B42BB5">
        <w:t xml:space="preserve"> </w:t>
      </w:r>
      <w:r w:rsidR="00501BA8" w:rsidRPr="00B42BB5">
        <w:t xml:space="preserve">soukromých </w:t>
      </w:r>
      <w:r w:rsidR="00DE1008" w:rsidRPr="00B42BB5">
        <w:t>podniků</w:t>
      </w:r>
      <w:r w:rsidR="00645A9B" w:rsidRPr="00B42BB5">
        <w:t xml:space="preserve">, </w:t>
      </w:r>
      <w:r w:rsidR="00B42BB5" w:rsidRPr="00B42BB5">
        <w:t>z </w:t>
      </w:r>
      <w:r w:rsidR="00527437">
        <w:t>nichž</w:t>
      </w:r>
      <w:r w:rsidR="00B42BB5" w:rsidRPr="00B42BB5">
        <w:t xml:space="preserve"> 26</w:t>
      </w:r>
      <w:r w:rsidR="00645A9B" w:rsidRPr="00B42BB5">
        <w:t xml:space="preserve"> mělo zahraniční vlastníky</w:t>
      </w:r>
      <w:r w:rsidR="00645A9B" w:rsidRPr="00FF5881">
        <w:t xml:space="preserve">. </w:t>
      </w:r>
      <w:r w:rsidR="005A704F" w:rsidRPr="00FF5881">
        <w:t>Nejvíce podniků (</w:t>
      </w:r>
      <w:r w:rsidR="00FF5881" w:rsidRPr="00FF5881">
        <w:t>5</w:t>
      </w:r>
      <w:r w:rsidR="005A704F" w:rsidRPr="00FF5881">
        <w:t>6</w:t>
      </w:r>
      <w:r w:rsidR="00FF5881" w:rsidRPr="00FF5881">
        <w:t>1</w:t>
      </w:r>
      <w:r w:rsidR="005A704F" w:rsidRPr="00FF5881">
        <w:t xml:space="preserve">) ušetří daňovým odečtem výdajů na </w:t>
      </w:r>
      <w:proofErr w:type="spellStart"/>
      <w:r w:rsidR="005A704F" w:rsidRPr="00FF5881">
        <w:t>VaV</w:t>
      </w:r>
      <w:proofErr w:type="spellEnd"/>
      <w:r w:rsidR="005A704F" w:rsidRPr="00FF5881">
        <w:t xml:space="preserve"> částku v rozmezí 0,1 až 0,99 mil. Kč.</w:t>
      </w:r>
      <w:r w:rsidR="00D67670" w:rsidRPr="00FF5881">
        <w:t xml:space="preserve"> </w:t>
      </w:r>
    </w:p>
    <w:p w14:paraId="6CE44610" w14:textId="007BAB1E" w:rsidR="00527437" w:rsidRPr="00910D1F" w:rsidRDefault="00EC15F8" w:rsidP="00AC172E">
      <w:pPr>
        <w:spacing w:before="120"/>
        <w:rPr>
          <w:noProof/>
        </w:rPr>
      </w:pPr>
      <w:r w:rsidRPr="001852F7">
        <w:rPr>
          <w:b/>
        </w:rPr>
        <w:t xml:space="preserve">GRAF </w:t>
      </w:r>
      <w:r w:rsidR="00381E40">
        <w:rPr>
          <w:b/>
        </w:rPr>
        <w:t>12</w:t>
      </w:r>
      <w:r w:rsidR="00FC47B4" w:rsidRPr="001852F7">
        <w:rPr>
          <w:b/>
        </w:rPr>
        <w:t xml:space="preserve">: </w:t>
      </w:r>
      <w:r w:rsidR="00527437">
        <w:rPr>
          <w:b/>
        </w:rPr>
        <w:t xml:space="preserve">Počet soukromých </w:t>
      </w:r>
      <w:r w:rsidR="00FC47B4" w:rsidRPr="001852F7">
        <w:rPr>
          <w:b/>
        </w:rPr>
        <w:t>podnik</w:t>
      </w:r>
      <w:r w:rsidR="00527437">
        <w:rPr>
          <w:b/>
        </w:rPr>
        <w:t>ů, které využily daňovou</w:t>
      </w:r>
      <w:r w:rsidR="004E7D3D" w:rsidRPr="001852F7">
        <w:rPr>
          <w:b/>
        </w:rPr>
        <w:t xml:space="preserve"> podpor</w:t>
      </w:r>
      <w:r w:rsidR="000265DC" w:rsidRPr="001852F7">
        <w:rPr>
          <w:b/>
        </w:rPr>
        <w:t>u</w:t>
      </w:r>
      <w:r w:rsidR="004E7D3D" w:rsidRPr="001852F7">
        <w:rPr>
          <w:b/>
        </w:rPr>
        <w:t xml:space="preserve"> </w:t>
      </w:r>
      <w:proofErr w:type="spellStart"/>
      <w:r w:rsidR="004E7D3D" w:rsidRPr="001852F7">
        <w:rPr>
          <w:b/>
        </w:rPr>
        <w:t>VaV</w:t>
      </w:r>
      <w:proofErr w:type="spellEnd"/>
      <w:r w:rsidR="009A7503" w:rsidRPr="001852F7">
        <w:rPr>
          <w:b/>
        </w:rPr>
        <w:t xml:space="preserve"> podle výše</w:t>
      </w:r>
      <w:r w:rsidR="001852F7" w:rsidRPr="001852F7">
        <w:rPr>
          <w:b/>
        </w:rPr>
        <w:t xml:space="preserve"> </w:t>
      </w:r>
      <w:r w:rsidR="00E20E82">
        <w:rPr>
          <w:b/>
        </w:rPr>
        <w:t xml:space="preserve">této </w:t>
      </w:r>
      <w:r w:rsidR="00E20E82" w:rsidRPr="00910D1F">
        <w:rPr>
          <w:b/>
        </w:rPr>
        <w:t>podpory</w:t>
      </w:r>
      <w:r w:rsidR="0097638C" w:rsidRPr="00910D1F">
        <w:rPr>
          <w:noProof/>
        </w:rPr>
        <w:t xml:space="preserve"> </w:t>
      </w:r>
    </w:p>
    <w:p w14:paraId="6EDC8D7E" w14:textId="07AC0263" w:rsidR="00FC47B4" w:rsidRPr="0095288C" w:rsidRDefault="00AC172E" w:rsidP="00381E40">
      <w:pPr>
        <w:rPr>
          <w:b/>
        </w:rPr>
      </w:pPr>
      <w:r>
        <w:rPr>
          <w:noProof/>
        </w:rPr>
        <w:drawing>
          <wp:inline distT="0" distB="0" distL="0" distR="0" wp14:anchorId="0CE2EF84" wp14:editId="345437BC">
            <wp:extent cx="6120130" cy="3060000"/>
            <wp:effectExtent l="0" t="0" r="0" b="7620"/>
            <wp:docPr id="39" name="Graf 39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9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14:paraId="1E2D1F66" w14:textId="0D6810C8" w:rsidR="00BF24B9" w:rsidRDefault="00FC47B4" w:rsidP="00E36C13">
      <w:pPr>
        <w:spacing w:after="120"/>
        <w:jc w:val="both"/>
        <w:rPr>
          <w:i/>
          <w:sz w:val="16"/>
        </w:rPr>
      </w:pPr>
      <w:r w:rsidRPr="001852F7">
        <w:rPr>
          <w:i/>
          <w:sz w:val="16"/>
        </w:rPr>
        <w:t xml:space="preserve">Zdroj: ČSÚ podle administrativních dat GFŘ </w:t>
      </w:r>
    </w:p>
    <w:p w14:paraId="62FCFBFE" w14:textId="54816452" w:rsidR="00910D1F" w:rsidRDefault="00910D1F" w:rsidP="00910D1F">
      <w:pPr>
        <w:spacing w:before="120"/>
        <w:jc w:val="both"/>
      </w:pPr>
      <w:r>
        <w:t xml:space="preserve">Podniků, které získaly nepřímou podporu </w:t>
      </w:r>
      <w:proofErr w:type="spellStart"/>
      <w:r>
        <w:t>VaV</w:t>
      </w:r>
      <w:proofErr w:type="spellEnd"/>
      <w:r>
        <w:t xml:space="preserve"> nižší než jeden milion korun</w:t>
      </w:r>
      <w:r w:rsidR="00292F17">
        <w:t>,</w:t>
      </w:r>
      <w:r>
        <w:t xml:space="preserve"> bylo v roce 2018 celkem 719 a dohromady jim byla vyplacena celková částka 253 mil. Kč. Částku mezi jedním až deseti miliony korun ušetřilo díky nepřímé podpoře </w:t>
      </w:r>
      <w:proofErr w:type="spellStart"/>
      <w:r>
        <w:t>VaV</w:t>
      </w:r>
      <w:proofErr w:type="spellEnd"/>
      <w:r>
        <w:t xml:space="preserve"> 275 podniků a v součtu obdržely tyto podniky částku 776 mil. Kč. Více než </w:t>
      </w:r>
      <w:r>
        <w:lastRenderedPageBreak/>
        <w:t xml:space="preserve">1,5 mld. Kč pak díky nepřímé podpoře </w:t>
      </w:r>
      <w:proofErr w:type="spellStart"/>
      <w:r>
        <w:t>VaV</w:t>
      </w:r>
      <w:proofErr w:type="spellEnd"/>
      <w:r>
        <w:t xml:space="preserve"> ušetřilo dohromady 43 podniků, u nichž činila tato podpora více než deset milionů korun.</w:t>
      </w:r>
    </w:p>
    <w:p w14:paraId="76159681" w14:textId="0D958BB0" w:rsidR="006E48D6" w:rsidRPr="008B07CF" w:rsidRDefault="006E48D6" w:rsidP="00381E40">
      <w:pPr>
        <w:pStyle w:val="Nadpis2"/>
        <w:spacing w:before="240" w:after="120"/>
        <w:jc w:val="both"/>
        <w:rPr>
          <w:sz w:val="22"/>
          <w:szCs w:val="22"/>
        </w:rPr>
      </w:pPr>
      <w:r w:rsidRPr="008B07CF">
        <w:rPr>
          <w:sz w:val="22"/>
          <w:szCs w:val="22"/>
        </w:rPr>
        <w:t>3.2</w:t>
      </w:r>
      <w:r>
        <w:rPr>
          <w:sz w:val="22"/>
          <w:szCs w:val="22"/>
        </w:rPr>
        <w:t>.2</w:t>
      </w:r>
      <w:r w:rsidRPr="008B07CF">
        <w:rPr>
          <w:sz w:val="22"/>
          <w:szCs w:val="22"/>
        </w:rPr>
        <w:t xml:space="preserve"> </w:t>
      </w:r>
      <w:r w:rsidR="00527437">
        <w:rPr>
          <w:sz w:val="22"/>
          <w:szCs w:val="22"/>
        </w:rPr>
        <w:t>P</w:t>
      </w:r>
      <w:r>
        <w:rPr>
          <w:sz w:val="22"/>
          <w:szCs w:val="22"/>
        </w:rPr>
        <w:t>odle vlastnictví podniku</w:t>
      </w:r>
    </w:p>
    <w:p w14:paraId="1306F849" w14:textId="1115FC6A" w:rsidR="00F3116D" w:rsidRPr="00F3116D" w:rsidRDefault="00D26413" w:rsidP="002A31E9">
      <w:pPr>
        <w:spacing w:before="120"/>
        <w:jc w:val="both"/>
      </w:pPr>
      <w:r>
        <w:t>P</w:t>
      </w:r>
      <w:r w:rsidR="009142BB" w:rsidRPr="00F3116D">
        <w:t xml:space="preserve">očet </w:t>
      </w:r>
      <w:r w:rsidR="00731782" w:rsidRPr="00F3116D">
        <w:t>domácí</w:t>
      </w:r>
      <w:r w:rsidR="009142BB" w:rsidRPr="00F3116D">
        <w:t>ch</w:t>
      </w:r>
      <w:r w:rsidR="00731782" w:rsidRPr="00F3116D">
        <w:t xml:space="preserve"> </w:t>
      </w:r>
      <w:r w:rsidR="00D90BEC" w:rsidRPr="00F3116D">
        <w:t>podnik</w:t>
      </w:r>
      <w:r w:rsidR="009142BB" w:rsidRPr="00F3116D">
        <w:t>ů</w:t>
      </w:r>
      <w:r w:rsidR="00D90BEC" w:rsidRPr="00F3116D">
        <w:t xml:space="preserve"> </w:t>
      </w:r>
      <w:r w:rsidR="00523DBF" w:rsidRPr="00F3116D">
        <w:t xml:space="preserve">provádějících </w:t>
      </w:r>
      <w:proofErr w:type="spellStart"/>
      <w:r w:rsidR="00523DBF" w:rsidRPr="00F3116D">
        <w:t>VaV</w:t>
      </w:r>
      <w:proofErr w:type="spellEnd"/>
      <w:r w:rsidR="00523DBF" w:rsidRPr="00F3116D">
        <w:t xml:space="preserve"> je výrazně vyšší než</w:t>
      </w:r>
      <w:r w:rsidR="00963AA4" w:rsidRPr="00F3116D">
        <w:t xml:space="preserve"> </w:t>
      </w:r>
      <w:r>
        <w:t xml:space="preserve">těch </w:t>
      </w:r>
      <w:r w:rsidR="000265DC" w:rsidRPr="00F3116D">
        <w:t xml:space="preserve">pod </w:t>
      </w:r>
      <w:r w:rsidR="00731782" w:rsidRPr="00F3116D">
        <w:t>zahraniční</w:t>
      </w:r>
      <w:r w:rsidR="00D90BEC" w:rsidRPr="00F3116D">
        <w:t xml:space="preserve"> </w:t>
      </w:r>
      <w:r w:rsidR="000265DC" w:rsidRPr="00F3116D">
        <w:t>kontrolou</w:t>
      </w:r>
      <w:r w:rsidR="00D90BEC" w:rsidRPr="00F3116D">
        <w:t xml:space="preserve">. </w:t>
      </w:r>
      <w:r w:rsidR="003A1F7F" w:rsidRPr="00F3116D">
        <w:t>V posledních pěti letech</w:t>
      </w:r>
      <w:r w:rsidR="00D90BEC" w:rsidRPr="00F3116D">
        <w:t xml:space="preserve"> na jeden podnik pod zahraniční kontrolou provádějící </w:t>
      </w:r>
      <w:proofErr w:type="spellStart"/>
      <w:r w:rsidR="00D90BEC" w:rsidRPr="00F3116D">
        <w:t>VaV</w:t>
      </w:r>
      <w:proofErr w:type="spellEnd"/>
      <w:r w:rsidR="00D90BEC" w:rsidRPr="00F3116D">
        <w:t xml:space="preserve"> připadaly tři </w:t>
      </w:r>
      <w:r w:rsidR="00622C23">
        <w:t xml:space="preserve">podniky </w:t>
      </w:r>
      <w:r w:rsidR="00963AA4" w:rsidRPr="00F3116D">
        <w:t>domácí</w:t>
      </w:r>
      <w:r w:rsidR="00D90BEC" w:rsidRPr="00F3116D">
        <w:t>.</w:t>
      </w:r>
      <w:r w:rsidR="008E41C1" w:rsidRPr="00F3116D">
        <w:t xml:space="preserve"> </w:t>
      </w:r>
      <w:r w:rsidR="00622C23">
        <w:t xml:space="preserve">I </w:t>
      </w:r>
      <w:r w:rsidR="003B0D78">
        <w:t xml:space="preserve">v případě nepřímé podpory tuto možnost častěji využívají domácí podniky než ty pod zahraniční kontrolou, i když méně výrazně. </w:t>
      </w:r>
      <w:r w:rsidR="00713E26">
        <w:t xml:space="preserve">V roce 2018 tak bylo mezi příjemci nepřímé veřejné podpory </w:t>
      </w:r>
      <w:proofErr w:type="spellStart"/>
      <w:r w:rsidR="00713E26">
        <w:t>VaV</w:t>
      </w:r>
      <w:proofErr w:type="spellEnd"/>
      <w:r w:rsidR="00713E26">
        <w:t xml:space="preserve"> 71 % podniků domácích a 29 % podniků pod zahraniční kontrolou.</w:t>
      </w:r>
      <w:r w:rsidR="00F3116D" w:rsidRPr="00F3116D">
        <w:t xml:space="preserve"> </w:t>
      </w:r>
      <w:r w:rsidR="00F3116D">
        <w:t>Oproti roku 2008</w:t>
      </w:r>
      <w:r w:rsidR="00713E26">
        <w:t xml:space="preserve">, kdy </w:t>
      </w:r>
      <w:r w:rsidR="00713E26" w:rsidRPr="00D15629">
        <w:t xml:space="preserve">byl poměr 73 % ku </w:t>
      </w:r>
      <w:r w:rsidR="00713E26">
        <w:t>27 %, tak</w:t>
      </w:r>
      <w:r w:rsidR="00F3116D">
        <w:t xml:space="preserve"> </w:t>
      </w:r>
      <w:r w:rsidR="00713E26">
        <w:t>došlo v této struktuře jen k mírnému posunu ve prospěch podniků pod zahraniční kontrolou</w:t>
      </w:r>
      <w:r w:rsidR="00C622D3">
        <w:t>.</w:t>
      </w:r>
    </w:p>
    <w:p w14:paraId="17642FBD" w14:textId="688E5A45" w:rsidR="00756547" w:rsidRPr="003A22E9" w:rsidRDefault="00122A7C" w:rsidP="002A31E9">
      <w:pPr>
        <w:spacing w:before="120"/>
        <w:jc w:val="both"/>
        <w:rPr>
          <w:b/>
        </w:rPr>
      </w:pPr>
      <w:r>
        <w:rPr>
          <w:b/>
        </w:rPr>
        <w:t xml:space="preserve">GRAF </w:t>
      </w:r>
      <w:r w:rsidR="00381E40">
        <w:rPr>
          <w:b/>
        </w:rPr>
        <w:t>13</w:t>
      </w:r>
      <w:r w:rsidR="00756547" w:rsidRPr="003A22E9">
        <w:rPr>
          <w:b/>
        </w:rPr>
        <w:t xml:space="preserve">: Soukromé podniky využívající nepřímou podporu </w:t>
      </w:r>
      <w:proofErr w:type="spellStart"/>
      <w:r w:rsidR="00756547" w:rsidRPr="003A22E9">
        <w:rPr>
          <w:b/>
        </w:rPr>
        <w:t>VaV</w:t>
      </w:r>
      <w:proofErr w:type="spellEnd"/>
      <w:r w:rsidR="00756547" w:rsidRPr="003A22E9">
        <w:rPr>
          <w:b/>
        </w:rPr>
        <w:t xml:space="preserve"> podle jejich vlastnictví (počet</w:t>
      </w:r>
      <w:r w:rsidR="002D78F2">
        <w:rPr>
          <w:b/>
        </w:rPr>
        <w:t>; %</w:t>
      </w:r>
      <w:r w:rsidR="00756547" w:rsidRPr="003A22E9">
        <w:rPr>
          <w:b/>
        </w:rPr>
        <w:t>)</w:t>
      </w:r>
    </w:p>
    <w:p w14:paraId="79882D70" w14:textId="77777777" w:rsidR="00756547" w:rsidRPr="00631D04" w:rsidRDefault="00756547" w:rsidP="00756547">
      <w:pPr>
        <w:jc w:val="both"/>
      </w:pPr>
      <w:r>
        <w:rPr>
          <w:noProof/>
        </w:rPr>
        <w:drawing>
          <wp:inline distT="0" distB="0" distL="0" distR="0" wp14:anchorId="631DD82D" wp14:editId="25A55754">
            <wp:extent cx="6144260" cy="1800000"/>
            <wp:effectExtent l="0" t="0" r="8890" b="0"/>
            <wp:docPr id="48" name="Graf 4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78442256" w14:textId="77777777" w:rsidR="00756547" w:rsidRDefault="00756547" w:rsidP="005A771E">
      <w:pPr>
        <w:spacing w:after="120"/>
        <w:jc w:val="both"/>
        <w:rPr>
          <w:i/>
          <w:sz w:val="16"/>
          <w:szCs w:val="18"/>
        </w:rPr>
      </w:pPr>
      <w:r w:rsidRPr="004D53B0">
        <w:rPr>
          <w:i/>
          <w:sz w:val="16"/>
        </w:rPr>
        <w:t xml:space="preserve">Zdroj: ČSÚ podle </w:t>
      </w:r>
      <w:r w:rsidRPr="004D53B0">
        <w:rPr>
          <w:i/>
          <w:sz w:val="16"/>
          <w:szCs w:val="18"/>
        </w:rPr>
        <w:t>administrativních dat GFŘ</w:t>
      </w:r>
    </w:p>
    <w:p w14:paraId="3D53623A" w14:textId="4DE69862" w:rsidR="00B15254" w:rsidRDefault="00A9429F" w:rsidP="00761412">
      <w:pPr>
        <w:jc w:val="both"/>
      </w:pPr>
      <w:r w:rsidRPr="00A9429F">
        <w:t xml:space="preserve">Co do počtu podniků využívajících nepřímou veřejnou podporu </w:t>
      </w:r>
      <w:proofErr w:type="spellStart"/>
      <w:r w:rsidRPr="00A9429F">
        <w:t>VaV</w:t>
      </w:r>
      <w:proofErr w:type="spellEnd"/>
      <w:r w:rsidRPr="00A9429F">
        <w:t xml:space="preserve"> tedy dominují domácí podniky, pokud se však zaměříme na objem financí, pak jsou na tom jednoznačně lépe</w:t>
      </w:r>
      <w:r w:rsidR="00193B73">
        <w:t xml:space="preserve"> </w:t>
      </w:r>
      <w:r w:rsidRPr="00A9429F">
        <w:t>podniky pod zahraniční kontrolou.</w:t>
      </w:r>
      <w:r w:rsidR="00C7294A">
        <w:t xml:space="preserve"> Podniky pod zahraniční kontrolou v roce 2018 ukrojily 63 % z celkové nepřímé veřejné podpory </w:t>
      </w:r>
      <w:proofErr w:type="spellStart"/>
      <w:r w:rsidR="00C7294A">
        <w:t>VaV</w:t>
      </w:r>
      <w:proofErr w:type="spellEnd"/>
      <w:r w:rsidR="00B52837">
        <w:t xml:space="preserve"> a na jeden takový podnik</w:t>
      </w:r>
      <w:r w:rsidR="00C7294A">
        <w:t xml:space="preserve"> připadala v průměru nepřímá podpora ve výši 5,4 mil. Kč</w:t>
      </w:r>
      <w:r w:rsidR="00B52837">
        <w:t>. D</w:t>
      </w:r>
      <w:r w:rsidR="0096271C">
        <w:t>omácí podnik</w:t>
      </w:r>
      <w:r w:rsidR="00B52837">
        <w:t xml:space="preserve"> pak v tomto roce čerpal v průměru daňovou úlevu 1,3 mil. Kč</w:t>
      </w:r>
      <w:r w:rsidR="0096271C">
        <w:t xml:space="preserve">, což je způsobeno vyšším počtem domácích podniků uplatňujících nepřímou podporu </w:t>
      </w:r>
      <w:proofErr w:type="spellStart"/>
      <w:r w:rsidR="0096271C">
        <w:t>VaV</w:t>
      </w:r>
      <w:proofErr w:type="spellEnd"/>
      <w:r w:rsidR="0096271C">
        <w:t xml:space="preserve"> a také tím, že mezi těmito podniky je vyšší zastoupení mikro a malých podniků</w:t>
      </w:r>
      <w:r w:rsidR="00B07216">
        <w:t xml:space="preserve"> než je tomu u podniků pod zahraniční kontrolou.</w:t>
      </w:r>
      <w:r w:rsidR="0096271C">
        <w:t xml:space="preserve"> </w:t>
      </w:r>
      <w:r w:rsidR="00761412">
        <w:t xml:space="preserve">Na menší zastoupení žadatelů o nepřímou podporu </w:t>
      </w:r>
      <w:proofErr w:type="spellStart"/>
      <w:r w:rsidR="00761412">
        <w:t>VaV</w:t>
      </w:r>
      <w:proofErr w:type="spellEnd"/>
      <w:r w:rsidR="00761412">
        <w:t xml:space="preserve"> ze stran velkých podniků má vliv také již v</w:t>
      </w:r>
      <w:r w:rsidR="0015151F">
        <w:t>ý</w:t>
      </w:r>
      <w:r w:rsidR="00761412">
        <w:t xml:space="preserve">še zmiňovaný fakt, </w:t>
      </w:r>
      <w:r w:rsidR="00527437">
        <w:t>že</w:t>
      </w:r>
      <w:r w:rsidR="00891302" w:rsidRPr="00301DA0">
        <w:t xml:space="preserve"> soukromé domácí podniky využívají, oproti podnikům pod zahraniční kontrolou, v mnohem vyšší míře přímou </w:t>
      </w:r>
      <w:r w:rsidR="00FC11A6" w:rsidRPr="00301DA0">
        <w:t>veřejnou podporu. Z</w:t>
      </w:r>
      <w:r w:rsidR="00891302" w:rsidRPr="00301DA0">
        <w:t xml:space="preserve"> důvodů exkluzivity (viz m</w:t>
      </w:r>
      <w:r w:rsidR="00FC11A6" w:rsidRPr="00301DA0">
        <w:t>etodická část) nemohou</w:t>
      </w:r>
      <w:r w:rsidR="00461A58" w:rsidRPr="00301DA0">
        <w:t xml:space="preserve"> využít na</w:t>
      </w:r>
      <w:r w:rsidR="00FC11A6" w:rsidRPr="00301DA0">
        <w:t xml:space="preserve"> výzkumné a vývojové projekty</w:t>
      </w:r>
      <w:r w:rsidR="00891302" w:rsidRPr="00301DA0">
        <w:t xml:space="preserve"> podpořené přímo ze státního rozpočtu nebo ze zdrojů </w:t>
      </w:r>
      <w:r w:rsidR="00BA5D4A" w:rsidRPr="00301DA0">
        <w:t>Evropské unie</w:t>
      </w:r>
      <w:r w:rsidR="00FC11A6" w:rsidRPr="00301DA0">
        <w:t xml:space="preserve"> (např. Evropské strukturální a investiční fondy)</w:t>
      </w:r>
      <w:r w:rsidR="00891302" w:rsidRPr="00301DA0">
        <w:t xml:space="preserve"> zároveň podporu nepřímou.</w:t>
      </w:r>
    </w:p>
    <w:p w14:paraId="30453720" w14:textId="5C8B9338" w:rsidR="00916FBA" w:rsidRPr="00C62DD3" w:rsidRDefault="00122A7C" w:rsidP="002A31E9">
      <w:pPr>
        <w:spacing w:before="120"/>
        <w:rPr>
          <w:b/>
        </w:rPr>
      </w:pPr>
      <w:r>
        <w:rPr>
          <w:b/>
        </w:rPr>
        <w:t xml:space="preserve">GRAF </w:t>
      </w:r>
      <w:r w:rsidR="00381E40">
        <w:rPr>
          <w:b/>
        </w:rPr>
        <w:t>14</w:t>
      </w:r>
      <w:r w:rsidR="00916FBA" w:rsidRPr="00C62DD3">
        <w:rPr>
          <w:b/>
        </w:rPr>
        <w:t xml:space="preserve">: Výše nepřímé podpory </w:t>
      </w:r>
      <w:proofErr w:type="spellStart"/>
      <w:r w:rsidR="00916FBA" w:rsidRPr="00C62DD3">
        <w:rPr>
          <w:b/>
        </w:rPr>
        <w:t>VaV</w:t>
      </w:r>
      <w:proofErr w:type="spellEnd"/>
      <w:r w:rsidR="00916FBA" w:rsidRPr="00C62DD3">
        <w:rPr>
          <w:b/>
        </w:rPr>
        <w:t xml:space="preserve"> v soukromých podnicích podle jejich </w:t>
      </w:r>
      <w:r w:rsidR="00916FBA">
        <w:rPr>
          <w:b/>
        </w:rPr>
        <w:t>vlastnictví</w:t>
      </w:r>
      <w:r w:rsidR="00916FBA" w:rsidRPr="00C62DD3">
        <w:rPr>
          <w:b/>
        </w:rPr>
        <w:t xml:space="preserve"> (mil. Kč</w:t>
      </w:r>
      <w:r w:rsidR="00527437">
        <w:rPr>
          <w:b/>
        </w:rPr>
        <w:t>; %</w:t>
      </w:r>
      <w:r w:rsidR="00916FBA" w:rsidRPr="00C62DD3">
        <w:rPr>
          <w:b/>
        </w:rPr>
        <w:t>)</w:t>
      </w:r>
    </w:p>
    <w:p w14:paraId="780BA467" w14:textId="4046E505" w:rsidR="00AA7316" w:rsidRDefault="00AA7316" w:rsidP="00916FBA">
      <w:pPr>
        <w:jc w:val="both"/>
        <w:rPr>
          <w:i/>
          <w:sz w:val="16"/>
          <w:szCs w:val="18"/>
        </w:rPr>
      </w:pPr>
      <w:r>
        <w:rPr>
          <w:noProof/>
        </w:rPr>
        <w:drawing>
          <wp:inline distT="0" distB="0" distL="0" distR="0" wp14:anchorId="759BD34A" wp14:editId="5076B101">
            <wp:extent cx="6239510" cy="1800000"/>
            <wp:effectExtent l="0" t="0" r="8890" b="0"/>
            <wp:docPr id="49" name="Graf 4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4AEADD30" w14:textId="66ED64BD" w:rsidR="00916FBA" w:rsidRDefault="00916FBA" w:rsidP="00916FBA">
      <w:pPr>
        <w:jc w:val="both"/>
        <w:rPr>
          <w:i/>
          <w:sz w:val="16"/>
          <w:szCs w:val="18"/>
        </w:rPr>
      </w:pPr>
      <w:r w:rsidRPr="004D53B0">
        <w:rPr>
          <w:i/>
          <w:sz w:val="16"/>
        </w:rPr>
        <w:t xml:space="preserve">Zdroj: ČSÚ podle </w:t>
      </w:r>
      <w:r w:rsidRPr="004D53B0">
        <w:rPr>
          <w:i/>
          <w:sz w:val="16"/>
          <w:szCs w:val="18"/>
        </w:rPr>
        <w:t>administrativních dat GFŘ</w:t>
      </w:r>
    </w:p>
    <w:p w14:paraId="2DE3A827" w14:textId="2F2D7453" w:rsidR="008D606A" w:rsidRPr="00C249B7" w:rsidRDefault="002D78F2" w:rsidP="008D606A">
      <w:pPr>
        <w:spacing w:before="120"/>
        <w:jc w:val="both"/>
        <w:rPr>
          <w:b/>
        </w:rPr>
      </w:pPr>
      <w:r>
        <w:t>Z hlediska výše této nepřímé podpory</w:t>
      </w:r>
      <w:r w:rsidR="00456845">
        <w:t xml:space="preserve"> jsou na tom tedy lépe </w:t>
      </w:r>
      <w:r w:rsidR="008D606A" w:rsidRPr="00C249B7">
        <w:t>podniky pod zahraniční kontrolou. Mezi domácími podniky, které uplatnily v roce 2018 daňový odpočet</w:t>
      </w:r>
      <w:r w:rsidR="008D606A">
        <w:t>,</w:t>
      </w:r>
      <w:r w:rsidR="008D606A" w:rsidRPr="00C249B7">
        <w:t xml:space="preserve"> jich 77 % </w:t>
      </w:r>
      <w:r>
        <w:t xml:space="preserve">z nich takto získalo dodatečně </w:t>
      </w:r>
      <w:r w:rsidR="008D606A" w:rsidRPr="00C249B7">
        <w:t>méně než jeden milion korun</w:t>
      </w:r>
      <w:r>
        <w:t>. P</w:t>
      </w:r>
      <w:r w:rsidR="008D606A" w:rsidRPr="00C249B7">
        <w:t xml:space="preserve">ětina podniků pak takto ušetřila částku 1–9,9 mil. Kč a úspora více než 10 mil. Kč připadala díky daňovým odečtům </w:t>
      </w:r>
      <w:r w:rsidR="00C70499">
        <w:t xml:space="preserve">na </w:t>
      </w:r>
      <w:r w:rsidR="008D606A" w:rsidRPr="00C249B7">
        <w:t xml:space="preserve">2 % domácích podniků. V případě podniků pod zahraniční kontrolou je situace zcela </w:t>
      </w:r>
      <w:r w:rsidR="008D606A" w:rsidRPr="00C249B7">
        <w:lastRenderedPageBreak/>
        <w:t>odlišná. Mezi těmito podniky</w:t>
      </w:r>
      <w:r w:rsidR="00C70499">
        <w:t>,</w:t>
      </w:r>
      <w:r w:rsidR="008D606A" w:rsidRPr="00C249B7">
        <w:t xml:space="preserve"> uplatňujícími daňové zvýhodnění</w:t>
      </w:r>
      <w:r w:rsidR="00C70499">
        <w:t>,</w:t>
      </w:r>
      <w:r w:rsidR="008D606A" w:rsidRPr="00C249B7">
        <w:t xml:space="preserve"> jich 51 % ušetřilo částku menší než 1 mil. Kč, 40 % podniků dosáhlo na slevu v rozmezí 1–9,9 mil. Kč a 9 % zahraničních podniků získalo díky daňové podpoře </w:t>
      </w:r>
      <w:proofErr w:type="spellStart"/>
      <w:r w:rsidR="008D606A" w:rsidRPr="00C249B7">
        <w:t>VaV</w:t>
      </w:r>
      <w:proofErr w:type="spellEnd"/>
      <w:r w:rsidR="008D606A" w:rsidRPr="00C249B7">
        <w:t xml:space="preserve"> více než 10 mil. Kč.</w:t>
      </w:r>
    </w:p>
    <w:p w14:paraId="11B6B8D0" w14:textId="6023C505" w:rsidR="008D606A" w:rsidRDefault="008D606A" w:rsidP="008D606A">
      <w:pPr>
        <w:spacing w:before="120"/>
        <w:jc w:val="both"/>
        <w:rPr>
          <w:i/>
          <w:sz w:val="16"/>
        </w:rPr>
      </w:pPr>
      <w:r w:rsidRPr="001852F7">
        <w:rPr>
          <w:b/>
        </w:rPr>
        <w:t xml:space="preserve">GRAF </w:t>
      </w:r>
      <w:r w:rsidR="00122A7C">
        <w:rPr>
          <w:b/>
        </w:rPr>
        <w:t>1</w:t>
      </w:r>
      <w:r w:rsidR="00381E40">
        <w:rPr>
          <w:b/>
        </w:rPr>
        <w:t>5</w:t>
      </w:r>
      <w:r w:rsidRPr="001852F7">
        <w:rPr>
          <w:b/>
        </w:rPr>
        <w:t xml:space="preserve">: Soukromé podniky využívající nepřímou veřejnou podporu </w:t>
      </w:r>
      <w:proofErr w:type="spellStart"/>
      <w:r w:rsidRPr="001852F7">
        <w:rPr>
          <w:b/>
        </w:rPr>
        <w:t>VaV</w:t>
      </w:r>
      <w:proofErr w:type="spellEnd"/>
      <w:r w:rsidRPr="001852F7">
        <w:rPr>
          <w:b/>
        </w:rPr>
        <w:t xml:space="preserve"> podle výše </w:t>
      </w:r>
      <w:r>
        <w:rPr>
          <w:b/>
        </w:rPr>
        <w:t xml:space="preserve">podpory a </w:t>
      </w:r>
      <w:r w:rsidR="002D78F2">
        <w:rPr>
          <w:b/>
        </w:rPr>
        <w:t xml:space="preserve">jejich </w:t>
      </w:r>
      <w:r>
        <w:rPr>
          <w:b/>
        </w:rPr>
        <w:t>vlastn</w:t>
      </w:r>
      <w:r w:rsidR="002D78F2">
        <w:rPr>
          <w:b/>
        </w:rPr>
        <w:t>ictví</w:t>
      </w:r>
      <w:r>
        <w:rPr>
          <w:b/>
        </w:rPr>
        <w:t xml:space="preserve"> </w:t>
      </w:r>
      <w:r w:rsidRPr="001852F7">
        <w:rPr>
          <w:b/>
        </w:rPr>
        <w:t>(počet</w:t>
      </w:r>
      <w:r w:rsidR="002D78F2">
        <w:rPr>
          <w:b/>
        </w:rPr>
        <w:t>; %)</w:t>
      </w:r>
      <w:r w:rsidRPr="001852F7">
        <w:rPr>
          <w:b/>
        </w:rPr>
        <w:t>,</w:t>
      </w:r>
      <w:r>
        <w:rPr>
          <w:b/>
        </w:rPr>
        <w:t xml:space="preserve"> </w:t>
      </w:r>
      <w:r w:rsidRPr="001852F7">
        <w:rPr>
          <w:b/>
        </w:rPr>
        <w:t>2018</w:t>
      </w:r>
    </w:p>
    <w:p w14:paraId="29DCC979" w14:textId="77777777" w:rsidR="008D606A" w:rsidRDefault="008D606A" w:rsidP="008D606A">
      <w:pPr>
        <w:jc w:val="both"/>
      </w:pPr>
      <w:r>
        <w:rPr>
          <w:noProof/>
        </w:rPr>
        <w:drawing>
          <wp:inline distT="0" distB="0" distL="0" distR="0" wp14:anchorId="616266D4" wp14:editId="2EA946CD">
            <wp:extent cx="5939790" cy="1800000"/>
            <wp:effectExtent l="0" t="0" r="3810" b="0"/>
            <wp:docPr id="44" name="Graf 4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1629EC7E" w14:textId="77777777" w:rsidR="008D606A" w:rsidRDefault="008D606A" w:rsidP="008D606A">
      <w:pPr>
        <w:spacing w:after="120"/>
        <w:jc w:val="both"/>
        <w:rPr>
          <w:i/>
          <w:sz w:val="16"/>
        </w:rPr>
      </w:pPr>
      <w:r w:rsidRPr="001852F7">
        <w:rPr>
          <w:i/>
          <w:sz w:val="16"/>
        </w:rPr>
        <w:t xml:space="preserve">Zdroj: ČSÚ podle administrativních dat GFŘ </w:t>
      </w:r>
    </w:p>
    <w:p w14:paraId="4CFCAB5B" w14:textId="7060E57C" w:rsidR="006E48D6" w:rsidRPr="008B07CF" w:rsidRDefault="006E48D6" w:rsidP="00381E40">
      <w:pPr>
        <w:pStyle w:val="Nadpis2"/>
        <w:spacing w:before="240" w:after="120"/>
        <w:jc w:val="both"/>
        <w:rPr>
          <w:sz w:val="22"/>
          <w:szCs w:val="22"/>
        </w:rPr>
      </w:pPr>
      <w:r w:rsidRPr="008B07CF">
        <w:rPr>
          <w:sz w:val="22"/>
          <w:szCs w:val="22"/>
        </w:rPr>
        <w:t>3.2</w:t>
      </w:r>
      <w:r>
        <w:rPr>
          <w:sz w:val="22"/>
          <w:szCs w:val="22"/>
        </w:rPr>
        <w:t>.3</w:t>
      </w:r>
      <w:r w:rsidRPr="008B07CF">
        <w:rPr>
          <w:sz w:val="22"/>
          <w:szCs w:val="22"/>
        </w:rPr>
        <w:t xml:space="preserve"> </w:t>
      </w:r>
      <w:r w:rsidR="002D78F2">
        <w:rPr>
          <w:sz w:val="22"/>
          <w:szCs w:val="22"/>
        </w:rPr>
        <w:t>P</w:t>
      </w:r>
      <w:r>
        <w:rPr>
          <w:sz w:val="22"/>
          <w:szCs w:val="22"/>
        </w:rPr>
        <w:t>odle velikosti podniku</w:t>
      </w:r>
    </w:p>
    <w:p w14:paraId="2AC1A65C" w14:textId="77777777" w:rsidR="00CB2392" w:rsidRDefault="00A00EB2" w:rsidP="00CB2392">
      <w:pPr>
        <w:spacing w:after="60"/>
        <w:jc w:val="both"/>
      </w:pPr>
      <w:r>
        <w:t xml:space="preserve">Největší část výdajů na </w:t>
      </w:r>
      <w:proofErr w:type="spellStart"/>
      <w:r>
        <w:t>VaV</w:t>
      </w:r>
      <w:proofErr w:type="spellEnd"/>
      <w:r>
        <w:t xml:space="preserve"> v soukromých podnicích, které v roce 2018 činily výše zmiňovaných 61 mld. Kč, byla v tomto roce </w:t>
      </w:r>
      <w:r w:rsidR="002D78F2">
        <w:t xml:space="preserve">vynaložena </w:t>
      </w:r>
      <w:r>
        <w:t>ve velkých podnicích</w:t>
      </w:r>
      <w:r w:rsidR="002D78F2">
        <w:t xml:space="preserve"> (71 %).</w:t>
      </w:r>
      <w:r>
        <w:t xml:space="preserve"> </w:t>
      </w:r>
      <w:r w:rsidR="002D78F2" w:rsidRPr="002D78F2">
        <w:t xml:space="preserve">Pětinu těchto výdajů utratily střední podniky </w:t>
      </w:r>
      <w:r>
        <w:t>a na malé podniky zbylo 9 %</w:t>
      </w:r>
      <w:r w:rsidR="002D78F2">
        <w:t>.</w:t>
      </w:r>
      <w:r>
        <w:t xml:space="preserve"> Z této struktury </w:t>
      </w:r>
      <w:r w:rsidR="002D78F2">
        <w:t xml:space="preserve">částečně </w:t>
      </w:r>
      <w:r>
        <w:t>vypl</w:t>
      </w:r>
      <w:r w:rsidR="002D78F2">
        <w:t>ý</w:t>
      </w:r>
      <w:r>
        <w:t xml:space="preserve">vá i výše nepřímé podpory alokovaná do jednotlivých velikostních skupin podniků. </w:t>
      </w:r>
      <w:r w:rsidR="00CE08D6" w:rsidRPr="00A00EB2">
        <w:t xml:space="preserve">Odpočty výdajů na </w:t>
      </w:r>
      <w:proofErr w:type="spellStart"/>
      <w:r w:rsidR="00CE08D6" w:rsidRPr="00A00EB2">
        <w:t>VaV</w:t>
      </w:r>
      <w:proofErr w:type="spellEnd"/>
      <w:r w:rsidR="000B3355" w:rsidRPr="00A00EB2">
        <w:t xml:space="preserve"> a</w:t>
      </w:r>
      <w:r w:rsidR="00CB3DC4" w:rsidRPr="00A00EB2">
        <w:t xml:space="preserve"> z </w:t>
      </w:r>
      <w:r w:rsidR="00CB3DC4" w:rsidRPr="00B432F1">
        <w:t>nich odvozená</w:t>
      </w:r>
      <w:r w:rsidR="000B3355" w:rsidRPr="00B432F1">
        <w:t xml:space="preserve"> nepřímá veřejná podpora </w:t>
      </w:r>
      <w:proofErr w:type="spellStart"/>
      <w:r w:rsidR="000B3355" w:rsidRPr="00B432F1">
        <w:t>VaV</w:t>
      </w:r>
      <w:proofErr w:type="spellEnd"/>
      <w:r w:rsidR="00CE08D6" w:rsidRPr="00B432F1">
        <w:t xml:space="preserve"> nebyly uplatňovány rovnoměrně ve všech </w:t>
      </w:r>
      <w:r w:rsidR="00182307" w:rsidRPr="00B432F1">
        <w:t>velikostních skupinách podniků</w:t>
      </w:r>
      <w:r w:rsidR="00304CA4" w:rsidRPr="00B432F1">
        <w:t>.</w:t>
      </w:r>
      <w:r w:rsidR="00182307" w:rsidRPr="00B432F1">
        <w:t xml:space="preserve"> </w:t>
      </w:r>
    </w:p>
    <w:p w14:paraId="010000DD" w14:textId="77777777" w:rsidR="00CB2392" w:rsidRDefault="00644C9D" w:rsidP="00CB2392">
      <w:pPr>
        <w:spacing w:after="60"/>
        <w:jc w:val="both"/>
      </w:pPr>
      <w:r w:rsidRPr="00B432F1">
        <w:t xml:space="preserve">Nejvyšší </w:t>
      </w:r>
      <w:r w:rsidR="002E4155" w:rsidRPr="00B432F1">
        <w:t>počet</w:t>
      </w:r>
      <w:r w:rsidRPr="00B432F1">
        <w:t xml:space="preserve"> </w:t>
      </w:r>
      <w:r w:rsidR="00135C14" w:rsidRPr="00B432F1">
        <w:t>soukromý</w:t>
      </w:r>
      <w:r w:rsidRPr="00B432F1">
        <w:t xml:space="preserve">ch </w:t>
      </w:r>
      <w:r w:rsidR="00182307" w:rsidRPr="00B432F1">
        <w:t>podnik</w:t>
      </w:r>
      <w:r w:rsidRPr="00B432F1">
        <w:t>ů</w:t>
      </w:r>
      <w:r w:rsidR="00135C14" w:rsidRPr="00B432F1">
        <w:t>, které v roce 201</w:t>
      </w:r>
      <w:r w:rsidR="001B52AD" w:rsidRPr="00B432F1">
        <w:t>8</w:t>
      </w:r>
      <w:r w:rsidR="00135C14" w:rsidRPr="00B432F1">
        <w:t xml:space="preserve"> </w:t>
      </w:r>
      <w:r w:rsidRPr="00B432F1">
        <w:t xml:space="preserve">uplatnily </w:t>
      </w:r>
      <w:r w:rsidR="00182307" w:rsidRPr="00F34E25">
        <w:t xml:space="preserve">odpočty </w:t>
      </w:r>
      <w:r w:rsidR="00BE33B7" w:rsidRPr="00F34E25">
        <w:t xml:space="preserve">výdajů </w:t>
      </w:r>
      <w:r w:rsidR="00AF775B" w:rsidRPr="00F34E25">
        <w:t>na</w:t>
      </w:r>
      <w:r w:rsidR="00182307" w:rsidRPr="00F34E25">
        <w:t xml:space="preserve"> </w:t>
      </w:r>
      <w:proofErr w:type="spellStart"/>
      <w:r w:rsidR="00182307" w:rsidRPr="00F34E25">
        <w:t>VaV</w:t>
      </w:r>
      <w:proofErr w:type="spellEnd"/>
      <w:r w:rsidRPr="00F34E25">
        <w:t xml:space="preserve">, </w:t>
      </w:r>
      <w:r w:rsidR="009702B1" w:rsidRPr="00F34E25">
        <w:t xml:space="preserve">byl zaznamenán v kategorii </w:t>
      </w:r>
      <w:r w:rsidR="002E4155" w:rsidRPr="00F34E25">
        <w:t>středn</w:t>
      </w:r>
      <w:r w:rsidR="00B432F1" w:rsidRPr="00F34E25">
        <w:t>ě velkých podniků (366</w:t>
      </w:r>
      <w:r w:rsidR="009702B1" w:rsidRPr="00F34E25">
        <w:t>; 3</w:t>
      </w:r>
      <w:r w:rsidR="00960BD9" w:rsidRPr="00F34E25">
        <w:t>5</w:t>
      </w:r>
      <w:r w:rsidR="009702B1" w:rsidRPr="00F34E25">
        <w:t xml:space="preserve"> % z celkového </w:t>
      </w:r>
      <w:r w:rsidR="00C401E1" w:rsidRPr="00F34E25">
        <w:t>počtu soukromých podniků využívajících</w:t>
      </w:r>
      <w:r w:rsidR="009702B1" w:rsidRPr="00F34E25">
        <w:t xml:space="preserve"> daňovou </w:t>
      </w:r>
      <w:r w:rsidR="00C401E1" w:rsidRPr="00F34E25">
        <w:t>podpor</w:t>
      </w:r>
      <w:r w:rsidR="009702B1" w:rsidRPr="00F34E25">
        <w:t xml:space="preserve">u </w:t>
      </w:r>
      <w:proofErr w:type="spellStart"/>
      <w:r w:rsidR="009702B1" w:rsidRPr="00F34E25">
        <w:t>VaV</w:t>
      </w:r>
      <w:proofErr w:type="spellEnd"/>
      <w:r w:rsidR="009702B1" w:rsidRPr="00F34E25">
        <w:t>)</w:t>
      </w:r>
      <w:r w:rsidR="002E4155" w:rsidRPr="00F34E25">
        <w:t xml:space="preserve">. </w:t>
      </w:r>
      <w:r w:rsidR="000B3355" w:rsidRPr="00F34E25">
        <w:t>Uvedená skupina soukromých podniků získala druhou nejvyšší</w:t>
      </w:r>
      <w:r w:rsidR="00C401E1" w:rsidRPr="00F34E25">
        <w:t xml:space="preserve"> částku nepřímé podpory </w:t>
      </w:r>
      <w:proofErr w:type="spellStart"/>
      <w:r w:rsidR="00C401E1" w:rsidRPr="00F34E25">
        <w:t>VaV</w:t>
      </w:r>
      <w:proofErr w:type="spellEnd"/>
      <w:r w:rsidR="00C401E1" w:rsidRPr="00F34E25">
        <w:t xml:space="preserve"> (</w:t>
      </w:r>
      <w:r w:rsidR="00F34E25" w:rsidRPr="00F34E25">
        <w:t>416</w:t>
      </w:r>
      <w:r w:rsidR="000B3355" w:rsidRPr="00F34E25">
        <w:t xml:space="preserve"> mil. Kč; </w:t>
      </w:r>
      <w:r w:rsidR="00F34E25" w:rsidRPr="00F34E25">
        <w:t>16,1</w:t>
      </w:r>
      <w:r w:rsidR="000B3355" w:rsidRPr="00F34E25">
        <w:t xml:space="preserve"> % z celkové výše nepřímé veřejné podpory </w:t>
      </w:r>
      <w:proofErr w:type="spellStart"/>
      <w:r w:rsidR="000B3355" w:rsidRPr="00F34E25">
        <w:t>VaV</w:t>
      </w:r>
      <w:proofErr w:type="spellEnd"/>
      <w:r w:rsidR="000B3355" w:rsidRPr="00F34E25">
        <w:t xml:space="preserve">). </w:t>
      </w:r>
    </w:p>
    <w:p w14:paraId="037959EA" w14:textId="3936A90C" w:rsidR="00AA56F3" w:rsidRPr="0016017F" w:rsidRDefault="000B3355" w:rsidP="00CB2392">
      <w:pPr>
        <w:spacing w:after="60"/>
        <w:jc w:val="both"/>
      </w:pPr>
      <w:r w:rsidRPr="00F34E25">
        <w:t xml:space="preserve">Druhou nejpočetnější velikostní skupinou uplatňující daňové zvýhodnění </w:t>
      </w:r>
      <w:proofErr w:type="spellStart"/>
      <w:r w:rsidRPr="00F34E25">
        <w:t>VaV</w:t>
      </w:r>
      <w:proofErr w:type="spellEnd"/>
      <w:r w:rsidRPr="00F34E25">
        <w:t xml:space="preserve"> tvořily m</w:t>
      </w:r>
      <w:r w:rsidR="00574547" w:rsidRPr="00F34E25">
        <w:t>alé podniky</w:t>
      </w:r>
      <w:r w:rsidRPr="00F34E25">
        <w:t xml:space="preserve">, které </w:t>
      </w:r>
      <w:r w:rsidR="00574547" w:rsidRPr="00F34E25">
        <w:t xml:space="preserve">uplatnily odečet výdajů na </w:t>
      </w:r>
      <w:proofErr w:type="spellStart"/>
      <w:r w:rsidR="00574547" w:rsidRPr="00F34E25">
        <w:t>VaV</w:t>
      </w:r>
      <w:proofErr w:type="spellEnd"/>
      <w:r w:rsidR="00574547" w:rsidRPr="00F34E25">
        <w:t xml:space="preserve"> ve </w:t>
      </w:r>
      <w:r w:rsidR="00440A9B" w:rsidRPr="00F34E25">
        <w:t>2</w:t>
      </w:r>
      <w:r w:rsidR="00F34E25" w:rsidRPr="00F34E25">
        <w:t>7</w:t>
      </w:r>
      <w:r w:rsidR="00440A9B" w:rsidRPr="00F34E25">
        <w:t>9</w:t>
      </w:r>
      <w:r w:rsidR="00574547" w:rsidRPr="00F34E25">
        <w:t xml:space="preserve"> případech</w:t>
      </w:r>
      <w:r w:rsidRPr="00F34E25">
        <w:t xml:space="preserve"> a získaly</w:t>
      </w:r>
      <w:r w:rsidR="00574547" w:rsidRPr="00F34E25">
        <w:t xml:space="preserve"> </w:t>
      </w:r>
      <w:r w:rsidR="00C401E1" w:rsidRPr="00F34E25">
        <w:t xml:space="preserve">nepřímou podporu </w:t>
      </w:r>
      <w:proofErr w:type="spellStart"/>
      <w:r w:rsidR="00C401E1" w:rsidRPr="00F34E25">
        <w:t>VaV</w:t>
      </w:r>
      <w:proofErr w:type="spellEnd"/>
      <w:r w:rsidR="00C401E1" w:rsidRPr="00F34E25">
        <w:t xml:space="preserve"> ve výši 1</w:t>
      </w:r>
      <w:r w:rsidR="00440A9B" w:rsidRPr="00F34E25">
        <w:t>5</w:t>
      </w:r>
      <w:r w:rsidR="00F34E25" w:rsidRPr="00F34E25">
        <w:t>9</w:t>
      </w:r>
      <w:r w:rsidRPr="00F34E25">
        <w:t xml:space="preserve"> mil. Kč.</w:t>
      </w:r>
      <w:r w:rsidR="000155E7">
        <w:t xml:space="preserve"> </w:t>
      </w:r>
      <w:r w:rsidR="00AA56F3" w:rsidRPr="000155E7">
        <w:t>V roce 201</w:t>
      </w:r>
      <w:r w:rsidR="000155E7" w:rsidRPr="000155E7">
        <w:t>8</w:t>
      </w:r>
      <w:r w:rsidR="00AA56F3" w:rsidRPr="000155E7">
        <w:t xml:space="preserve"> využilo nepřímou veřejnou podporu </w:t>
      </w:r>
      <w:proofErr w:type="spellStart"/>
      <w:r w:rsidR="00AA56F3" w:rsidRPr="000155E7">
        <w:t>VaV</w:t>
      </w:r>
      <w:proofErr w:type="spellEnd"/>
      <w:r w:rsidR="00AA56F3" w:rsidRPr="000155E7">
        <w:t xml:space="preserve"> </w:t>
      </w:r>
      <w:r w:rsidR="000155E7" w:rsidRPr="000155E7">
        <w:t>264</w:t>
      </w:r>
      <w:r w:rsidR="00AA56F3" w:rsidRPr="000155E7">
        <w:t xml:space="preserve"> velkých podniků, které nárokovaly daňovou podporu </w:t>
      </w:r>
      <w:proofErr w:type="spellStart"/>
      <w:r w:rsidR="00AA56F3" w:rsidRPr="000155E7">
        <w:t>VaV</w:t>
      </w:r>
      <w:proofErr w:type="spellEnd"/>
      <w:r w:rsidR="00AA56F3" w:rsidRPr="000155E7">
        <w:t xml:space="preserve"> </w:t>
      </w:r>
      <w:r w:rsidR="002D78F2">
        <w:t>o</w:t>
      </w:r>
      <w:r w:rsidR="00AA56F3" w:rsidRPr="000155E7">
        <w:t xml:space="preserve"> objemu </w:t>
      </w:r>
      <w:r w:rsidR="000155E7" w:rsidRPr="000155E7">
        <w:t>bezmála 2 </w:t>
      </w:r>
      <w:r w:rsidR="00AA56F3" w:rsidRPr="000155E7">
        <w:t>mld.</w:t>
      </w:r>
      <w:r w:rsidR="000155E7" w:rsidRPr="000155E7">
        <w:t> </w:t>
      </w:r>
      <w:r w:rsidR="00AA56F3" w:rsidRPr="000155E7">
        <w:t>Kč</w:t>
      </w:r>
      <w:r w:rsidR="002D78F2">
        <w:t>. To</w:t>
      </w:r>
      <w:r w:rsidR="00AA56F3" w:rsidRPr="000155E7">
        <w:t xml:space="preserve"> představuje více než tří čtvrtinový podíl z celkové částky nepřímé veřejné podpory u </w:t>
      </w:r>
      <w:r w:rsidR="00AA56F3" w:rsidRPr="0016017F">
        <w:t xml:space="preserve">soukromých podniků. Na jeden </w:t>
      </w:r>
      <w:r w:rsidR="00080999" w:rsidRPr="0016017F">
        <w:t xml:space="preserve">velký </w:t>
      </w:r>
      <w:r w:rsidR="00AA56F3" w:rsidRPr="0016017F">
        <w:t xml:space="preserve">podnik tak v průměru připadala daňová podpora </w:t>
      </w:r>
      <w:proofErr w:type="spellStart"/>
      <w:r w:rsidR="00AA56F3" w:rsidRPr="0016017F">
        <w:t>VaV</w:t>
      </w:r>
      <w:proofErr w:type="spellEnd"/>
      <w:r w:rsidR="00AA56F3" w:rsidRPr="0016017F">
        <w:t xml:space="preserve"> ve výši </w:t>
      </w:r>
      <w:r w:rsidR="00080999" w:rsidRPr="0016017F">
        <w:t>7</w:t>
      </w:r>
      <w:r w:rsidR="00AA56F3" w:rsidRPr="0016017F">
        <w:t>,5</w:t>
      </w:r>
      <w:r w:rsidR="00080999" w:rsidRPr="0016017F">
        <w:t xml:space="preserve"> mil. Kč, což je mnohonásobně vyšší částka než v případě podniků z ostatních velikostních kategorií. Například</w:t>
      </w:r>
      <w:r w:rsidR="00AA56F3" w:rsidRPr="0016017F">
        <w:t xml:space="preserve"> </w:t>
      </w:r>
      <w:r w:rsidR="00080999" w:rsidRPr="0016017F">
        <w:t>u</w:t>
      </w:r>
      <w:r w:rsidR="00AA56F3" w:rsidRPr="0016017F">
        <w:t xml:space="preserve"> středních podniků to bylo</w:t>
      </w:r>
      <w:r w:rsidR="00080999" w:rsidRPr="0016017F">
        <w:t xml:space="preserve"> 1,1 mil. Kč</w:t>
      </w:r>
      <w:r w:rsidR="00AA56F3" w:rsidRPr="0016017F">
        <w:t xml:space="preserve">. </w:t>
      </w:r>
    </w:p>
    <w:p w14:paraId="6B098DAD" w14:textId="3DF8FA49" w:rsidR="00DE25AE" w:rsidRPr="00C62DD3" w:rsidRDefault="00BF09A3" w:rsidP="00D04D24">
      <w:pPr>
        <w:rPr>
          <w:b/>
        </w:rPr>
      </w:pPr>
      <w:r w:rsidRPr="00C62DD3">
        <w:rPr>
          <w:b/>
        </w:rPr>
        <w:t xml:space="preserve">GRAF </w:t>
      </w:r>
      <w:r w:rsidR="009613DB">
        <w:rPr>
          <w:b/>
        </w:rPr>
        <w:t>1</w:t>
      </w:r>
      <w:r w:rsidR="00381E40">
        <w:rPr>
          <w:b/>
        </w:rPr>
        <w:t>6</w:t>
      </w:r>
      <w:r w:rsidRPr="00C62DD3">
        <w:rPr>
          <w:b/>
        </w:rPr>
        <w:t xml:space="preserve">: </w:t>
      </w:r>
      <w:r w:rsidR="009A4061" w:rsidRPr="00C62DD3">
        <w:rPr>
          <w:b/>
        </w:rPr>
        <w:t>Soukrom</w:t>
      </w:r>
      <w:r w:rsidR="00D04D24" w:rsidRPr="00C62DD3">
        <w:rPr>
          <w:b/>
        </w:rPr>
        <w:t>é podniky využívající nepřímou</w:t>
      </w:r>
      <w:r w:rsidR="009A4061" w:rsidRPr="00C62DD3">
        <w:rPr>
          <w:b/>
        </w:rPr>
        <w:t xml:space="preserve"> podporu </w:t>
      </w:r>
      <w:proofErr w:type="spellStart"/>
      <w:r w:rsidR="009A4061" w:rsidRPr="00C62DD3">
        <w:rPr>
          <w:b/>
        </w:rPr>
        <w:t>VaV</w:t>
      </w:r>
      <w:proofErr w:type="spellEnd"/>
      <w:r w:rsidR="009A4061" w:rsidRPr="00C62DD3">
        <w:rPr>
          <w:b/>
        </w:rPr>
        <w:t xml:space="preserve"> </w:t>
      </w:r>
      <w:r w:rsidR="00201A1B" w:rsidRPr="00C62DD3">
        <w:rPr>
          <w:b/>
        </w:rPr>
        <w:t>podle jejich velikosti</w:t>
      </w:r>
      <w:r w:rsidR="0018200F" w:rsidRPr="00C62DD3">
        <w:rPr>
          <w:b/>
        </w:rPr>
        <w:t xml:space="preserve"> </w:t>
      </w:r>
      <w:r w:rsidR="00D04D24" w:rsidRPr="00C62DD3">
        <w:rPr>
          <w:b/>
        </w:rPr>
        <w:t>(počet</w:t>
      </w:r>
      <w:r w:rsidR="002D78F2">
        <w:rPr>
          <w:b/>
        </w:rPr>
        <w:t>; %</w:t>
      </w:r>
      <w:r w:rsidR="00D04D24" w:rsidRPr="00C62DD3">
        <w:rPr>
          <w:b/>
        </w:rPr>
        <w:t>)</w:t>
      </w:r>
    </w:p>
    <w:p w14:paraId="4FC520A4" w14:textId="28B7CE1E" w:rsidR="00E80180" w:rsidRPr="005A771E" w:rsidRDefault="005A771E" w:rsidP="00D90817">
      <w:pPr>
        <w:jc w:val="both"/>
        <w:rPr>
          <w:noProof/>
        </w:rPr>
      </w:pPr>
      <w:r>
        <w:rPr>
          <w:noProof/>
        </w:rPr>
        <w:drawing>
          <wp:inline distT="0" distB="0" distL="0" distR="0" wp14:anchorId="2E6B25AC" wp14:editId="49C517AF">
            <wp:extent cx="6029325" cy="1800000"/>
            <wp:effectExtent l="0" t="0" r="0" b="0"/>
            <wp:docPr id="45" name="Graf 4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14:paraId="0858C54D" w14:textId="436EBB85" w:rsidR="00BC1FBF" w:rsidRPr="00C62DD3" w:rsidRDefault="00687F82" w:rsidP="00D90817">
      <w:pPr>
        <w:jc w:val="both"/>
        <w:rPr>
          <w:i/>
          <w:sz w:val="16"/>
        </w:rPr>
      </w:pPr>
      <w:r w:rsidRPr="00C62DD3">
        <w:rPr>
          <w:noProof/>
        </w:rPr>
        <w:t xml:space="preserve"> </w:t>
      </w:r>
      <w:r w:rsidR="00DE6696" w:rsidRPr="00C62DD3">
        <w:rPr>
          <w:i/>
          <w:sz w:val="16"/>
        </w:rPr>
        <w:t>Zdroj: ČSÚ podle administrativních dat GFŘ</w:t>
      </w:r>
      <w:r w:rsidR="00DE6696" w:rsidRPr="00C62DD3" w:rsidDel="00DE6696">
        <w:rPr>
          <w:i/>
          <w:sz w:val="16"/>
        </w:rPr>
        <w:t xml:space="preserve"> </w:t>
      </w:r>
    </w:p>
    <w:p w14:paraId="0A1CC3AC" w14:textId="58BC9719" w:rsidR="00D04D24" w:rsidRPr="009301E9" w:rsidRDefault="00383594" w:rsidP="009301E9">
      <w:pPr>
        <w:spacing w:before="120" w:after="120"/>
        <w:jc w:val="both"/>
        <w:rPr>
          <w:rStyle w:val="st"/>
          <w:i/>
          <w:sz w:val="18"/>
        </w:rPr>
      </w:pPr>
      <w:r w:rsidRPr="009301E9">
        <w:t>Oproti roku 2008</w:t>
      </w:r>
      <w:r w:rsidR="00DF186C" w:rsidRPr="009301E9">
        <w:t xml:space="preserve"> došlo k</w:t>
      </w:r>
      <w:r w:rsidRPr="009301E9">
        <w:t xml:space="preserve">e změnám ve struktuře podniků </w:t>
      </w:r>
      <w:r w:rsidR="002D78F2">
        <w:t>využívajících</w:t>
      </w:r>
      <w:r w:rsidRPr="009301E9">
        <w:t xml:space="preserve"> nepřímou veřejnou podporu </w:t>
      </w:r>
      <w:proofErr w:type="spellStart"/>
      <w:r w:rsidRPr="009301E9">
        <w:t>VaV</w:t>
      </w:r>
      <w:proofErr w:type="spellEnd"/>
      <w:r w:rsidRPr="009301E9">
        <w:t xml:space="preserve"> v členění podle velikostních skupin. </w:t>
      </w:r>
      <w:r w:rsidR="00CA653F" w:rsidRPr="009301E9">
        <w:t>Zvýšilo se zastoupení velkých podniků z</w:t>
      </w:r>
      <w:r w:rsidR="004420EE">
        <w:t> </w:t>
      </w:r>
      <w:r w:rsidR="00CA653F" w:rsidRPr="009301E9">
        <w:t>19</w:t>
      </w:r>
      <w:r w:rsidR="004420EE">
        <w:t> %</w:t>
      </w:r>
      <w:r w:rsidR="00CA653F" w:rsidRPr="009301E9">
        <w:t xml:space="preserve"> na 25 % a naopak se snížilo zastoupení podniků malých z 32 na 27 %. </w:t>
      </w:r>
      <w:r w:rsidR="00DF186C" w:rsidRPr="009301E9">
        <w:t> </w:t>
      </w:r>
      <w:r w:rsidR="007C375F">
        <w:t xml:space="preserve">K ještě výraznějším změnám pak došlo v případě výše nepřímé </w:t>
      </w:r>
      <w:r w:rsidR="007C375F">
        <w:lastRenderedPageBreak/>
        <w:t xml:space="preserve">podpory </w:t>
      </w:r>
      <w:proofErr w:type="spellStart"/>
      <w:r w:rsidR="007C375F">
        <w:t>VaV</w:t>
      </w:r>
      <w:proofErr w:type="spellEnd"/>
      <w:r w:rsidR="007C375F">
        <w:t xml:space="preserve"> alokované do jednotlivých velikostních skupin soukr</w:t>
      </w:r>
      <w:r w:rsidR="002F4070">
        <w:t>o</w:t>
      </w:r>
      <w:r w:rsidR="007C375F">
        <w:t>mých podniků.</w:t>
      </w:r>
      <w:r w:rsidR="0097331B">
        <w:t xml:space="preserve"> Podíl financí směřujících do velkých p</w:t>
      </w:r>
      <w:r w:rsidR="00C67235">
        <w:t>odniků se za deset let zvýšil z</w:t>
      </w:r>
      <w:r w:rsidR="0097331B">
        <w:t xml:space="preserve"> 69 % na 77 % a u středních podniků se naopak snížil z 21 % na 16 % a u malých o tři procentní body na 6 % v roce 2018.</w:t>
      </w:r>
    </w:p>
    <w:p w14:paraId="774839B5" w14:textId="0C1CB942" w:rsidR="00E80180" w:rsidRPr="00C62DD3" w:rsidRDefault="009613DB" w:rsidP="00D04D24">
      <w:pPr>
        <w:rPr>
          <w:b/>
        </w:rPr>
      </w:pPr>
      <w:r>
        <w:rPr>
          <w:b/>
        </w:rPr>
        <w:t>GRAF 1</w:t>
      </w:r>
      <w:r w:rsidR="00381E40">
        <w:rPr>
          <w:b/>
        </w:rPr>
        <w:t>7</w:t>
      </w:r>
      <w:r w:rsidR="00E80180" w:rsidRPr="00C62DD3">
        <w:rPr>
          <w:b/>
        </w:rPr>
        <w:t xml:space="preserve">: </w:t>
      </w:r>
      <w:r w:rsidR="00AB3AF7" w:rsidRPr="00C62DD3">
        <w:rPr>
          <w:b/>
        </w:rPr>
        <w:t xml:space="preserve">Výše nepřímé podpory </w:t>
      </w:r>
      <w:proofErr w:type="spellStart"/>
      <w:r w:rsidR="00AB3AF7" w:rsidRPr="00C62DD3">
        <w:rPr>
          <w:b/>
        </w:rPr>
        <w:t>VaV</w:t>
      </w:r>
      <w:proofErr w:type="spellEnd"/>
      <w:r w:rsidR="00AB3AF7" w:rsidRPr="00C62DD3">
        <w:rPr>
          <w:b/>
        </w:rPr>
        <w:t xml:space="preserve"> v s</w:t>
      </w:r>
      <w:r w:rsidR="00E80180" w:rsidRPr="00C62DD3">
        <w:rPr>
          <w:b/>
        </w:rPr>
        <w:t>oukrom</w:t>
      </w:r>
      <w:r w:rsidR="00AB3AF7" w:rsidRPr="00C62DD3">
        <w:rPr>
          <w:b/>
        </w:rPr>
        <w:t>ých podnicích</w:t>
      </w:r>
      <w:r w:rsidR="00E80180" w:rsidRPr="00C62DD3">
        <w:rPr>
          <w:b/>
        </w:rPr>
        <w:t xml:space="preserve"> podle jejich velikosti (</w:t>
      </w:r>
      <w:r w:rsidR="00AB3AF7" w:rsidRPr="00C62DD3">
        <w:rPr>
          <w:b/>
        </w:rPr>
        <w:t>mil. Kč</w:t>
      </w:r>
      <w:r w:rsidR="004420EE">
        <w:rPr>
          <w:b/>
        </w:rPr>
        <w:t>; %</w:t>
      </w:r>
      <w:r w:rsidR="00E80180" w:rsidRPr="00C62DD3">
        <w:rPr>
          <w:b/>
        </w:rPr>
        <w:t>)</w:t>
      </w:r>
    </w:p>
    <w:p w14:paraId="28CB89F1" w14:textId="0A19E4FE" w:rsidR="00D218F2" w:rsidRPr="005A771E" w:rsidRDefault="008C5C25" w:rsidP="00D218F2">
      <w:pPr>
        <w:spacing w:before="120"/>
        <w:jc w:val="both"/>
      </w:pPr>
      <w:r>
        <w:rPr>
          <w:noProof/>
        </w:rPr>
        <w:drawing>
          <wp:inline distT="0" distB="0" distL="0" distR="0" wp14:anchorId="5084523D" wp14:editId="2737717E">
            <wp:extent cx="6076950" cy="1800000"/>
            <wp:effectExtent l="0" t="0" r="0" b="0"/>
            <wp:docPr id="46" name="Graf 4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14:paraId="52D13FDA" w14:textId="77777777" w:rsidR="00C21091" w:rsidRPr="00C62DD3" w:rsidRDefault="00C21091" w:rsidP="0016017F">
      <w:pPr>
        <w:spacing w:after="120"/>
        <w:jc w:val="both"/>
        <w:rPr>
          <w:rStyle w:val="st"/>
          <w:i/>
          <w:sz w:val="18"/>
        </w:rPr>
      </w:pPr>
      <w:r w:rsidRPr="00C62DD3">
        <w:rPr>
          <w:i/>
          <w:sz w:val="16"/>
        </w:rPr>
        <w:t>Zdroj: ČSÚ podle administrativních dat GFŘ</w:t>
      </w:r>
      <w:r w:rsidRPr="00C62DD3" w:rsidDel="00DE6696">
        <w:rPr>
          <w:i/>
          <w:sz w:val="16"/>
        </w:rPr>
        <w:t xml:space="preserve"> </w:t>
      </w:r>
    </w:p>
    <w:p w14:paraId="7BE2B5FA" w14:textId="38C4BEC6" w:rsidR="001B52AD" w:rsidRDefault="001B52AD" w:rsidP="001B52AD">
      <w:pPr>
        <w:jc w:val="both"/>
      </w:pPr>
      <w:r>
        <w:t xml:space="preserve">Mezi malými i středními podniky jich shodných 61 % obdrželo nepřímou podporu </w:t>
      </w:r>
      <w:proofErr w:type="spellStart"/>
      <w:r>
        <w:t>VaV</w:t>
      </w:r>
      <w:proofErr w:type="spellEnd"/>
      <w:r>
        <w:t xml:space="preserve"> v rozmezí 0,1–0,99 mi</w:t>
      </w:r>
      <w:r w:rsidR="004420EE">
        <w:t>l.</w:t>
      </w:r>
      <w:r>
        <w:t> Kč</w:t>
      </w:r>
      <w:r w:rsidR="004420EE">
        <w:t>.</w:t>
      </w:r>
      <w:r>
        <w:t xml:space="preserve"> U malých podniků však bylo vyšší zastoupení těch, jejichž </w:t>
      </w:r>
      <w:r w:rsidR="004420EE">
        <w:t>ú</w:t>
      </w:r>
      <w:r>
        <w:t>spora díky nepřímé podpoře činila méně než 0,1 mil</w:t>
      </w:r>
      <w:r w:rsidR="004420EE">
        <w:t>.</w:t>
      </w:r>
      <w:r>
        <w:t xml:space="preserve"> Kč, a to 27 %. U středních podniků naopak 31 % z nich obdrželo nepřímou podporu </w:t>
      </w:r>
      <w:proofErr w:type="spellStart"/>
      <w:r>
        <w:t>VaV</w:t>
      </w:r>
      <w:proofErr w:type="spellEnd"/>
      <w:r>
        <w:t xml:space="preserve"> vyšší než 1 mil. Kč. U velkých podniků je</w:t>
      </w:r>
      <w:r w:rsidR="00D65484">
        <w:t>,</w:t>
      </w:r>
      <w:r>
        <w:t xml:space="preserve"> co do objemu obdržených prostředků z nepřímé podpory</w:t>
      </w:r>
      <w:r w:rsidR="00D65484">
        <w:t>,</w:t>
      </w:r>
      <w:r>
        <w:t xml:space="preserve"> situace jiná, jelikož 59 % (155) podniků získalo nepřímou podporu </w:t>
      </w:r>
      <w:proofErr w:type="spellStart"/>
      <w:r>
        <w:t>VaV</w:t>
      </w:r>
      <w:proofErr w:type="spellEnd"/>
      <w:r>
        <w:t xml:space="preserve"> vyšší než 1 mil. Kč a 41 (15 %) podniků dokonce vyšší než deset mili</w:t>
      </w:r>
      <w:r w:rsidR="004420EE">
        <w:t>o</w:t>
      </w:r>
      <w:r>
        <w:t xml:space="preserve">nů korun. </w:t>
      </w:r>
    </w:p>
    <w:p w14:paraId="436C3D45" w14:textId="77F00043" w:rsidR="001B52AD" w:rsidRDefault="001B52AD" w:rsidP="001B52AD">
      <w:pPr>
        <w:spacing w:before="120"/>
        <w:jc w:val="both"/>
        <w:rPr>
          <w:i/>
          <w:sz w:val="16"/>
        </w:rPr>
      </w:pPr>
      <w:r w:rsidRPr="001852F7">
        <w:rPr>
          <w:b/>
        </w:rPr>
        <w:t xml:space="preserve">GRAF </w:t>
      </w:r>
      <w:r w:rsidR="009613DB">
        <w:rPr>
          <w:b/>
        </w:rPr>
        <w:t>1</w:t>
      </w:r>
      <w:r w:rsidR="00381E40">
        <w:rPr>
          <w:b/>
        </w:rPr>
        <w:t>8</w:t>
      </w:r>
      <w:r w:rsidRPr="001852F7">
        <w:rPr>
          <w:b/>
        </w:rPr>
        <w:t xml:space="preserve">: Soukromé podniky využívající nepřímou veřejnou podporu </w:t>
      </w:r>
      <w:proofErr w:type="spellStart"/>
      <w:r w:rsidRPr="001852F7">
        <w:rPr>
          <w:b/>
        </w:rPr>
        <w:t>VaV</w:t>
      </w:r>
      <w:proofErr w:type="spellEnd"/>
      <w:r w:rsidRPr="001852F7">
        <w:rPr>
          <w:b/>
        </w:rPr>
        <w:t xml:space="preserve"> podle výše </w:t>
      </w:r>
      <w:r>
        <w:rPr>
          <w:b/>
        </w:rPr>
        <w:t xml:space="preserve">podpory a velikosti podniku </w:t>
      </w:r>
      <w:r w:rsidRPr="001852F7">
        <w:rPr>
          <w:b/>
        </w:rPr>
        <w:t>(počet</w:t>
      </w:r>
      <w:r w:rsidR="004420EE">
        <w:rPr>
          <w:b/>
        </w:rPr>
        <w:t>; %</w:t>
      </w:r>
      <w:r w:rsidRPr="001852F7">
        <w:rPr>
          <w:b/>
        </w:rPr>
        <w:t>),</w:t>
      </w:r>
      <w:r>
        <w:rPr>
          <w:b/>
        </w:rPr>
        <w:t xml:space="preserve"> </w:t>
      </w:r>
      <w:r w:rsidRPr="001852F7">
        <w:rPr>
          <w:b/>
        </w:rPr>
        <w:t>2018</w:t>
      </w:r>
    </w:p>
    <w:p w14:paraId="2A7746E0" w14:textId="77777777" w:rsidR="001B52AD" w:rsidRDefault="001B52AD" w:rsidP="001B52AD">
      <w:pPr>
        <w:jc w:val="both"/>
      </w:pPr>
      <w:r>
        <w:rPr>
          <w:noProof/>
        </w:rPr>
        <w:drawing>
          <wp:inline distT="0" distB="0" distL="0" distR="0" wp14:anchorId="7D255BCC" wp14:editId="0F48F934">
            <wp:extent cx="6188075" cy="1980000"/>
            <wp:effectExtent l="0" t="0" r="3175" b="1270"/>
            <wp:docPr id="40" name="Graf 4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14:paraId="3CE6CBCD" w14:textId="77777777" w:rsidR="001B52AD" w:rsidRDefault="001B52AD" w:rsidP="001B52AD">
      <w:pPr>
        <w:spacing w:after="120"/>
        <w:jc w:val="both"/>
        <w:rPr>
          <w:i/>
          <w:sz w:val="16"/>
        </w:rPr>
      </w:pPr>
      <w:r w:rsidRPr="001852F7">
        <w:rPr>
          <w:i/>
          <w:sz w:val="16"/>
        </w:rPr>
        <w:t xml:space="preserve">Zdroj: ČSÚ podle administrativních dat GFŘ </w:t>
      </w:r>
    </w:p>
    <w:p w14:paraId="0F743860" w14:textId="6D768432" w:rsidR="00941573" w:rsidRPr="008B07CF" w:rsidRDefault="00941573" w:rsidP="00941573">
      <w:pPr>
        <w:pStyle w:val="Nadpis2"/>
        <w:spacing w:before="240" w:after="120"/>
        <w:jc w:val="both"/>
        <w:rPr>
          <w:sz w:val="22"/>
          <w:szCs w:val="22"/>
        </w:rPr>
      </w:pPr>
      <w:r w:rsidRPr="008B07CF">
        <w:rPr>
          <w:sz w:val="22"/>
          <w:szCs w:val="22"/>
        </w:rPr>
        <w:t>3.2</w:t>
      </w:r>
      <w:r>
        <w:rPr>
          <w:sz w:val="22"/>
          <w:szCs w:val="22"/>
        </w:rPr>
        <w:t>.4</w:t>
      </w:r>
      <w:r w:rsidRPr="008B07CF">
        <w:rPr>
          <w:sz w:val="22"/>
          <w:szCs w:val="22"/>
        </w:rPr>
        <w:t xml:space="preserve"> </w:t>
      </w:r>
      <w:r w:rsidR="001B68DB">
        <w:rPr>
          <w:sz w:val="22"/>
          <w:szCs w:val="22"/>
        </w:rPr>
        <w:t>P</w:t>
      </w:r>
      <w:r>
        <w:rPr>
          <w:sz w:val="22"/>
          <w:szCs w:val="22"/>
        </w:rPr>
        <w:t>odle odvětvové sekce</w:t>
      </w:r>
      <w:r w:rsidR="0095395C">
        <w:rPr>
          <w:sz w:val="22"/>
          <w:szCs w:val="22"/>
        </w:rPr>
        <w:t xml:space="preserve"> podniků</w:t>
      </w:r>
    </w:p>
    <w:p w14:paraId="6E473345" w14:textId="76BA6879" w:rsidR="004A7DBE" w:rsidRDefault="00184104" w:rsidP="00224077">
      <w:pPr>
        <w:spacing w:before="120"/>
        <w:jc w:val="both"/>
      </w:pPr>
      <w:r w:rsidRPr="00184104">
        <w:t>Z</w:t>
      </w:r>
      <w:r w:rsidR="00574547" w:rsidRPr="00184104">
        <w:t xml:space="preserve"> hlediska </w:t>
      </w:r>
      <w:r w:rsidR="001B68DB">
        <w:t xml:space="preserve">převažující </w:t>
      </w:r>
      <w:r w:rsidR="00DE7E9F" w:rsidRPr="00184104">
        <w:t>ekonomické činnosti podniků</w:t>
      </w:r>
      <w:r w:rsidRPr="00184104">
        <w:t xml:space="preserve">, které </w:t>
      </w:r>
      <w:r w:rsidR="001B68DB">
        <w:t xml:space="preserve">v roce 2018 využily </w:t>
      </w:r>
      <w:r w:rsidRPr="00184104">
        <w:t>nepřímou podporu</w:t>
      </w:r>
      <w:r w:rsidR="001B68DB">
        <w:t xml:space="preserve"> pro jejich </w:t>
      </w:r>
      <w:proofErr w:type="spellStart"/>
      <w:r w:rsidRPr="00184104">
        <w:t>VaV</w:t>
      </w:r>
      <w:proofErr w:type="spellEnd"/>
      <w:r w:rsidR="001B68DB">
        <w:t xml:space="preserve"> činnost</w:t>
      </w:r>
      <w:r w:rsidR="00445D1D" w:rsidRPr="00184104">
        <w:t>,</w:t>
      </w:r>
      <w:r w:rsidRPr="00184104">
        <w:t xml:space="preserve"> </w:t>
      </w:r>
      <w:r w:rsidR="001B68DB">
        <w:t xml:space="preserve">jich nejvíce, </w:t>
      </w:r>
      <w:r w:rsidRPr="00184104">
        <w:t>593</w:t>
      </w:r>
      <w:r w:rsidR="001B68DB">
        <w:t xml:space="preserve"> (57 %),</w:t>
      </w:r>
      <w:r w:rsidRPr="00184104">
        <w:t xml:space="preserve"> </w:t>
      </w:r>
      <w:r w:rsidR="001B68DB">
        <w:t>působilo v</w:t>
      </w:r>
      <w:r w:rsidRPr="00184104">
        <w:t>e zpracovatelské</w:t>
      </w:r>
      <w:r w:rsidR="001B68DB">
        <w:t>m</w:t>
      </w:r>
      <w:r w:rsidRPr="00184104">
        <w:t xml:space="preserve"> průmyslu</w:t>
      </w:r>
      <w:r w:rsidR="001B68DB">
        <w:t>.</w:t>
      </w:r>
      <w:r>
        <w:t xml:space="preserve"> Oproti roku 2008 se počet těchto podniků zvýšil o 256, co se týká procentuálního zastoupení, tak k žádné změně během </w:t>
      </w:r>
      <w:r w:rsidRPr="00184104">
        <w:t xml:space="preserve">sledovaných deseti let nedošlo. Podniky zpracovatelského průmyslu </w:t>
      </w:r>
      <w:r w:rsidR="00C634DF" w:rsidRPr="00184104">
        <w:t xml:space="preserve">získaly </w:t>
      </w:r>
      <w:r w:rsidR="001B68DB">
        <w:t xml:space="preserve">1,8 mld. Kč (70 %) z celkové </w:t>
      </w:r>
      <w:r w:rsidR="00C634DF" w:rsidRPr="00184104">
        <w:t>daňov</w:t>
      </w:r>
      <w:r w:rsidR="001B68DB">
        <w:t>é</w:t>
      </w:r>
      <w:r w:rsidR="00C634DF" w:rsidRPr="00184104">
        <w:t xml:space="preserve"> podpor</w:t>
      </w:r>
      <w:r w:rsidR="001B68DB">
        <w:t>y</w:t>
      </w:r>
      <w:r w:rsidR="00605C8E" w:rsidRPr="00184104">
        <w:t xml:space="preserve"> </w:t>
      </w:r>
      <w:proofErr w:type="spellStart"/>
      <w:r w:rsidR="00605C8E" w:rsidRPr="00184104">
        <w:t>VaV</w:t>
      </w:r>
      <w:proofErr w:type="spellEnd"/>
      <w:r w:rsidR="00605C8E" w:rsidRPr="00184104">
        <w:t xml:space="preserve"> </w:t>
      </w:r>
      <w:r w:rsidR="001B68DB">
        <w:t>prováděného v soukromých firmách.</w:t>
      </w:r>
      <w:r w:rsidR="002656DE" w:rsidRPr="00184104">
        <w:t xml:space="preserve"> V </w:t>
      </w:r>
      <w:r w:rsidR="00C634DF" w:rsidRPr="00184104">
        <w:t>průměru</w:t>
      </w:r>
      <w:r w:rsidR="002656DE" w:rsidRPr="00184104">
        <w:t xml:space="preserve"> získal </w:t>
      </w:r>
      <w:r w:rsidR="001B68DB">
        <w:t xml:space="preserve">jeden </w:t>
      </w:r>
      <w:r w:rsidR="002656DE" w:rsidRPr="00184104">
        <w:t>podni</w:t>
      </w:r>
      <w:r w:rsidR="00184606" w:rsidRPr="00184104">
        <w:t>k v</w:t>
      </w:r>
      <w:r w:rsidR="002656DE" w:rsidRPr="00184104">
        <w:t xml:space="preserve">e zpracovatelském průmyslu </w:t>
      </w:r>
      <w:r w:rsidR="00184606" w:rsidRPr="00184104">
        <w:t xml:space="preserve">nepřímou veřejnou </w:t>
      </w:r>
      <w:r w:rsidR="002656DE" w:rsidRPr="00184104">
        <w:t>podporu</w:t>
      </w:r>
      <w:r w:rsidR="00184606" w:rsidRPr="00184104">
        <w:t xml:space="preserve"> </w:t>
      </w:r>
      <w:proofErr w:type="spellStart"/>
      <w:r w:rsidR="00184606" w:rsidRPr="00184104">
        <w:t>VaV</w:t>
      </w:r>
      <w:proofErr w:type="spellEnd"/>
      <w:r w:rsidR="002656DE" w:rsidRPr="00184104">
        <w:t xml:space="preserve"> ve výši </w:t>
      </w:r>
      <w:r w:rsidRPr="00184104">
        <w:t>3</w:t>
      </w:r>
      <w:r w:rsidR="002656DE" w:rsidRPr="00184104">
        <w:t xml:space="preserve"> mil. Kč</w:t>
      </w:r>
      <w:r w:rsidR="00C634DF" w:rsidRPr="00184104">
        <w:t>.</w:t>
      </w:r>
      <w:r w:rsidR="00574547" w:rsidRPr="00184104">
        <w:t xml:space="preserve"> </w:t>
      </w:r>
      <w:r w:rsidR="001B68DB" w:rsidRPr="001B68DB">
        <w:t>Oproti roku 2008 klesl podíl výše nepřímé podpory, která směřovala do zpracovatelsk</w:t>
      </w:r>
      <w:r w:rsidR="001B68DB">
        <w:t>ého průmyslu</w:t>
      </w:r>
      <w:r w:rsidR="001B68DB" w:rsidRPr="001B68DB">
        <w:t>, o sedm procentních bodů. Výrazně však narostla částka</w:t>
      </w:r>
      <w:r w:rsidR="001B68DB">
        <w:t xml:space="preserve">, </w:t>
      </w:r>
      <w:r w:rsidR="00793D33">
        <w:t>která byla v průměru alokována do jednoho podniku zpracovatelského průmyslu</w:t>
      </w:r>
      <w:r w:rsidR="001B68DB">
        <w:t>,</w:t>
      </w:r>
      <w:r w:rsidR="00793D33">
        <w:t xml:space="preserve"> a to o 0,7 mil. Kč</w:t>
      </w:r>
      <w:r w:rsidR="00F37C46">
        <w:t>.</w:t>
      </w:r>
    </w:p>
    <w:p w14:paraId="40529FCE" w14:textId="77777777" w:rsidR="00476BD6" w:rsidRDefault="00476BD6" w:rsidP="00476BD6">
      <w:pPr>
        <w:spacing w:before="60" w:after="60"/>
        <w:jc w:val="both"/>
      </w:pPr>
      <w:r w:rsidRPr="003503BB">
        <w:t xml:space="preserve">Daňová podpora </w:t>
      </w:r>
      <w:proofErr w:type="spellStart"/>
      <w:r w:rsidRPr="003503BB">
        <w:t>VaV</w:t>
      </w:r>
      <w:proofErr w:type="spellEnd"/>
      <w:r w:rsidRPr="003503BB">
        <w:t xml:space="preserve"> je také důležitá pro soukromé podniky působící v oblasti Informačních a komunikačních činností, zkráceně poskytování IT služeb (CZ-NACE J) a oblasti Profesních, vědeckých a technických činností (CZ-NACE M). V oblasti poskytování IT služeb využilo v roce 2018 daňové zvýhodnění </w:t>
      </w:r>
      <w:proofErr w:type="spellStart"/>
      <w:r w:rsidRPr="003503BB">
        <w:t>VaV</w:t>
      </w:r>
      <w:proofErr w:type="spellEnd"/>
      <w:r w:rsidRPr="003503BB">
        <w:t xml:space="preserve"> 175 podniků, které </w:t>
      </w:r>
      <w:r w:rsidRPr="003503BB">
        <w:lastRenderedPageBreak/>
        <w:t xml:space="preserve">získaly nepřímou veřejnou podporu </w:t>
      </w:r>
      <w:proofErr w:type="spellStart"/>
      <w:r w:rsidRPr="003503BB">
        <w:t>VaV</w:t>
      </w:r>
      <w:proofErr w:type="spellEnd"/>
      <w:r w:rsidRPr="003503BB">
        <w:t xml:space="preserve"> ve výši 383 mil. Kč. </w:t>
      </w:r>
      <w:r>
        <w:t xml:space="preserve">V průměru obdržel jeden podnik z oblasti poskytování IT služeb 2,2 mil. Kč. </w:t>
      </w:r>
    </w:p>
    <w:p w14:paraId="3E663AAA" w14:textId="04969308" w:rsidR="004A7DBE" w:rsidRPr="00A17C11" w:rsidRDefault="004A7DBE" w:rsidP="00A17C11">
      <w:pPr>
        <w:spacing w:before="120"/>
        <w:jc w:val="both"/>
        <w:rPr>
          <w:b/>
        </w:rPr>
      </w:pPr>
      <w:r w:rsidRPr="00184104">
        <w:rPr>
          <w:b/>
        </w:rPr>
        <w:t>GRAF 1</w:t>
      </w:r>
      <w:r w:rsidR="00CB2392">
        <w:rPr>
          <w:b/>
        </w:rPr>
        <w:t>9</w:t>
      </w:r>
      <w:r w:rsidRPr="00184104">
        <w:rPr>
          <w:b/>
        </w:rPr>
        <w:t xml:space="preserve">: Soukromé </w:t>
      </w:r>
      <w:r w:rsidRPr="00A17C11">
        <w:rPr>
          <w:b/>
        </w:rPr>
        <w:t xml:space="preserve">podniky využívající nepřímou veřejnou podporu </w:t>
      </w:r>
      <w:proofErr w:type="spellStart"/>
      <w:r w:rsidRPr="00A17C11">
        <w:rPr>
          <w:b/>
        </w:rPr>
        <w:t>VaV</w:t>
      </w:r>
      <w:proofErr w:type="spellEnd"/>
      <w:r w:rsidRPr="00A17C11" w:rsidDel="00C93A0D">
        <w:rPr>
          <w:b/>
        </w:rPr>
        <w:t xml:space="preserve"> </w:t>
      </w:r>
      <w:r w:rsidRPr="00A17C11">
        <w:rPr>
          <w:b/>
        </w:rPr>
        <w:t>podle odvětvových sekcí klasifikace CZ-NACE (počet</w:t>
      </w:r>
      <w:r w:rsidR="001B68DB">
        <w:rPr>
          <w:b/>
        </w:rPr>
        <w:t>; %</w:t>
      </w:r>
      <w:r w:rsidR="00A17C11" w:rsidRPr="00A17C11">
        <w:rPr>
          <w:b/>
        </w:rPr>
        <w:t>)</w:t>
      </w:r>
    </w:p>
    <w:p w14:paraId="72E569DD" w14:textId="3EF4B863" w:rsidR="004A7DBE" w:rsidRPr="00A17C11" w:rsidRDefault="00611A94" w:rsidP="00A17C11">
      <w:pPr>
        <w:jc w:val="both"/>
        <w:rPr>
          <w:noProof/>
        </w:rPr>
      </w:pPr>
      <w:r w:rsidRPr="00A17C11">
        <w:rPr>
          <w:noProof/>
        </w:rPr>
        <w:drawing>
          <wp:inline distT="0" distB="0" distL="0" distR="0" wp14:anchorId="4D527C1D" wp14:editId="561D290F">
            <wp:extent cx="6085840" cy="1800000"/>
            <wp:effectExtent l="0" t="0" r="0" b="0"/>
            <wp:docPr id="1" name="Graf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14:paraId="1AA58A70" w14:textId="29DAF589" w:rsidR="004A7DBE" w:rsidRDefault="004A7DBE" w:rsidP="00476BD6">
      <w:pPr>
        <w:spacing w:after="120"/>
        <w:jc w:val="both"/>
        <w:rPr>
          <w:i/>
          <w:sz w:val="16"/>
        </w:rPr>
      </w:pPr>
      <w:r w:rsidRPr="00A17C11">
        <w:rPr>
          <w:i/>
          <w:sz w:val="16"/>
        </w:rPr>
        <w:t>Zdroj: ČSÚ podle administrativních dat GFŘ</w:t>
      </w:r>
    </w:p>
    <w:p w14:paraId="68DD463E" w14:textId="2900DDA0" w:rsidR="006804FC" w:rsidRPr="00A96720" w:rsidRDefault="006804FC" w:rsidP="00A96720">
      <w:pPr>
        <w:spacing w:after="60"/>
        <w:jc w:val="both"/>
      </w:pPr>
      <w:r w:rsidRPr="00076227">
        <w:t xml:space="preserve">U podniků </w:t>
      </w:r>
      <w:r w:rsidR="0071202B" w:rsidRPr="00076227">
        <w:t>z oblasti Profesní, vědecké a technické činnosti</w:t>
      </w:r>
      <w:r w:rsidRPr="00076227">
        <w:t xml:space="preserve"> využilo daňovou podporu </w:t>
      </w:r>
      <w:proofErr w:type="spellStart"/>
      <w:r w:rsidRPr="00076227">
        <w:t>VaV</w:t>
      </w:r>
      <w:proofErr w:type="spellEnd"/>
      <w:r w:rsidRPr="00076227">
        <w:t xml:space="preserve"> </w:t>
      </w:r>
      <w:r w:rsidR="0071202B" w:rsidRPr="00076227">
        <w:t>126</w:t>
      </w:r>
      <w:r w:rsidRPr="00076227">
        <w:t xml:space="preserve"> podniků</w:t>
      </w:r>
      <w:r w:rsidR="00076227" w:rsidRPr="00076227">
        <w:t xml:space="preserve">, které díky daňové úlevě na </w:t>
      </w:r>
      <w:proofErr w:type="spellStart"/>
      <w:r w:rsidR="00076227" w:rsidRPr="00076227">
        <w:t>VaV</w:t>
      </w:r>
      <w:proofErr w:type="spellEnd"/>
      <w:r w:rsidR="00076227" w:rsidRPr="00076227">
        <w:t xml:space="preserve"> ušetřily</w:t>
      </w:r>
      <w:r w:rsidRPr="00076227">
        <w:t xml:space="preserve"> </w:t>
      </w:r>
      <w:r w:rsidR="00076227" w:rsidRPr="00076227">
        <w:t>celkovou částku 226 mil. Kč.</w:t>
      </w:r>
      <w:r w:rsidRPr="00076227">
        <w:t xml:space="preserve"> Podniky zařazené v</w:t>
      </w:r>
      <w:r w:rsidR="00A96720">
        <w:t> této sekci klasifik</w:t>
      </w:r>
      <w:r w:rsidRPr="00076227">
        <w:t xml:space="preserve">ace CZ-NACE využívají častěji přímou veřejnou podporu </w:t>
      </w:r>
      <w:proofErr w:type="spellStart"/>
      <w:r w:rsidRPr="00076227">
        <w:t>VaV</w:t>
      </w:r>
      <w:proofErr w:type="spellEnd"/>
      <w:r w:rsidRPr="00076227">
        <w:t xml:space="preserve"> než nepřímou. To je dáno především tím, že v této </w:t>
      </w:r>
      <w:r w:rsidRPr="0071202B">
        <w:t>odvětvové sekci se nacházejí i podniky s převažující ekonomickou činnost</w:t>
      </w:r>
      <w:r w:rsidR="001364B0">
        <w:t>í</w:t>
      </w:r>
      <w:r w:rsidRPr="0071202B">
        <w:t xml:space="preserve"> v oblasti výzkumu a </w:t>
      </w:r>
      <w:r w:rsidRPr="00A96720">
        <w:t>vývoje</w:t>
      </w:r>
      <w:r w:rsidR="00076227" w:rsidRPr="00A96720">
        <w:t>.</w:t>
      </w:r>
      <w:r w:rsidRPr="00A96720">
        <w:t xml:space="preserve"> </w:t>
      </w:r>
    </w:p>
    <w:p w14:paraId="01FEEEEA" w14:textId="2384651B" w:rsidR="00076227" w:rsidRDefault="00076227" w:rsidP="00117F2D">
      <w:pPr>
        <w:jc w:val="both"/>
      </w:pPr>
      <w:r w:rsidRPr="00076227">
        <w:t xml:space="preserve">Dalších </w:t>
      </w:r>
      <w:r>
        <w:t xml:space="preserve">143 podniků, které v roce 2018 obdržely nepřímou veřejnou podporu </w:t>
      </w:r>
      <w:proofErr w:type="spellStart"/>
      <w:r>
        <w:t>VaV</w:t>
      </w:r>
      <w:proofErr w:type="spellEnd"/>
      <w:r>
        <w:t xml:space="preserve"> ve výši 172 mil</w:t>
      </w:r>
      <w:r w:rsidR="001364B0">
        <w:t>. Kč</w:t>
      </w:r>
      <w:r w:rsidR="00274DF0">
        <w:t xml:space="preserve"> se nacházelo napříč dalšími odvětvími jako je Zemědělství, Stavebnictví, Velkoobchod a maloobchod, Peněžnictví a pojišťovnictví atd.</w:t>
      </w:r>
    </w:p>
    <w:p w14:paraId="7FB771F7" w14:textId="06C4E2D4" w:rsidR="00A17C11" w:rsidRPr="00C62DD3" w:rsidRDefault="009613DB" w:rsidP="00117F2D">
      <w:pPr>
        <w:spacing w:before="120"/>
        <w:rPr>
          <w:b/>
        </w:rPr>
      </w:pPr>
      <w:r>
        <w:rPr>
          <w:b/>
        </w:rPr>
        <w:t xml:space="preserve">GRAF </w:t>
      </w:r>
      <w:r w:rsidR="00CB2392">
        <w:rPr>
          <w:b/>
        </w:rPr>
        <w:t>20</w:t>
      </w:r>
      <w:r w:rsidR="00A17C11" w:rsidRPr="00C62DD3">
        <w:rPr>
          <w:b/>
        </w:rPr>
        <w:t xml:space="preserve">: Výše nepřímé podpory </w:t>
      </w:r>
      <w:proofErr w:type="spellStart"/>
      <w:r w:rsidR="00A17C11" w:rsidRPr="00C62DD3">
        <w:rPr>
          <w:b/>
        </w:rPr>
        <w:t>VaV</w:t>
      </w:r>
      <w:proofErr w:type="spellEnd"/>
      <w:r w:rsidR="00A17C11" w:rsidRPr="00C62DD3">
        <w:rPr>
          <w:b/>
        </w:rPr>
        <w:t xml:space="preserve"> v soukromých podnicích podle </w:t>
      </w:r>
      <w:r w:rsidR="00AA7316" w:rsidRPr="00A17C11">
        <w:rPr>
          <w:b/>
        </w:rPr>
        <w:t>odvětvových sekcí klasifikace CZ-NACE</w:t>
      </w:r>
      <w:r w:rsidR="00AA7316" w:rsidRPr="00C62DD3">
        <w:rPr>
          <w:b/>
        </w:rPr>
        <w:t xml:space="preserve"> </w:t>
      </w:r>
      <w:r w:rsidR="00A17C11" w:rsidRPr="00C62DD3">
        <w:rPr>
          <w:b/>
        </w:rPr>
        <w:t>(mil. Kč</w:t>
      </w:r>
      <w:r w:rsidR="001364B0">
        <w:rPr>
          <w:b/>
        </w:rPr>
        <w:t>; %</w:t>
      </w:r>
      <w:r w:rsidR="00A17C11" w:rsidRPr="00C62DD3">
        <w:rPr>
          <w:b/>
        </w:rPr>
        <w:t>)</w:t>
      </w:r>
    </w:p>
    <w:p w14:paraId="01A851DD" w14:textId="3DFD6F31" w:rsidR="00611A94" w:rsidRPr="0095288C" w:rsidRDefault="00611A94" w:rsidP="00A17C11">
      <w:pPr>
        <w:jc w:val="both"/>
        <w:rPr>
          <w:i/>
          <w:sz w:val="16"/>
        </w:rPr>
      </w:pPr>
      <w:r>
        <w:rPr>
          <w:noProof/>
        </w:rPr>
        <w:drawing>
          <wp:inline distT="0" distB="0" distL="0" distR="0" wp14:anchorId="3E9F8DB5" wp14:editId="4F05E365">
            <wp:extent cx="5946775" cy="1800000"/>
            <wp:effectExtent l="0" t="0" r="0" b="0"/>
            <wp:docPr id="47" name="Graf 4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14:paraId="12745070" w14:textId="2EF7CDAF" w:rsidR="00A17C11" w:rsidRPr="008E5244" w:rsidRDefault="00A17C11" w:rsidP="00A17C11">
      <w:pPr>
        <w:jc w:val="both"/>
        <w:rPr>
          <w:i/>
          <w:sz w:val="16"/>
        </w:rPr>
      </w:pPr>
      <w:r w:rsidRPr="008E5244">
        <w:rPr>
          <w:i/>
          <w:sz w:val="16"/>
        </w:rPr>
        <w:t>Zdroj: ČSÚ podle administrativních dat GFŘ</w:t>
      </w:r>
    </w:p>
    <w:p w14:paraId="55F48A0C" w14:textId="0CBB55E9" w:rsidR="003F3B36" w:rsidRPr="008E5244" w:rsidRDefault="003F3B36" w:rsidP="003F3B36">
      <w:pPr>
        <w:spacing w:before="120"/>
        <w:jc w:val="both"/>
        <w:rPr>
          <w:i/>
          <w:sz w:val="16"/>
        </w:rPr>
      </w:pPr>
      <w:r w:rsidRPr="008E5244">
        <w:t xml:space="preserve">Ve zpracovatelském průmyslu uplatnily </w:t>
      </w:r>
      <w:r w:rsidR="008E5244" w:rsidRPr="008E5244">
        <w:t xml:space="preserve">v roce 2018 </w:t>
      </w:r>
      <w:r w:rsidRPr="008E5244">
        <w:t xml:space="preserve">daňový odečet výdajů na </w:t>
      </w:r>
      <w:proofErr w:type="spellStart"/>
      <w:r w:rsidRPr="008E5244">
        <w:t>VaV</w:t>
      </w:r>
      <w:proofErr w:type="spellEnd"/>
      <w:r w:rsidRPr="008E5244">
        <w:t xml:space="preserve"> nejvíce soukromé podniky (1</w:t>
      </w:r>
      <w:r w:rsidR="008E5244" w:rsidRPr="008E5244">
        <w:t>3</w:t>
      </w:r>
      <w:r w:rsidRPr="008E5244">
        <w:t>8 subjektů) ve strojírenském průmyslu (CZ-NACE 28). Podniky v tomto odvětví nárokovaly daňovou podporu pro své výzkumné a vývojové činnosti ve výši 2</w:t>
      </w:r>
      <w:r w:rsidR="008E5244" w:rsidRPr="008E5244">
        <w:t>10</w:t>
      </w:r>
      <w:r w:rsidR="00D067EE">
        <w:t xml:space="preserve"> mil. </w:t>
      </w:r>
      <w:r w:rsidRPr="008E5244">
        <w:t>Kč</w:t>
      </w:r>
      <w:r w:rsidR="008E5244">
        <w:t xml:space="preserve"> a na jeden podnik tak připadala částka 1,5</w:t>
      </w:r>
      <w:r w:rsidR="00D067EE">
        <w:t> </w:t>
      </w:r>
      <w:r w:rsidR="008E5244">
        <w:t>mil. Kč.</w:t>
      </w:r>
      <w:r w:rsidR="00637B11">
        <w:t xml:space="preserve"> Ač</w:t>
      </w:r>
      <w:r w:rsidR="001F47FC">
        <w:t>koliv</w:t>
      </w:r>
      <w:r w:rsidR="00637B11">
        <w:t xml:space="preserve"> bylo podniků </w:t>
      </w:r>
      <w:proofErr w:type="spellStart"/>
      <w:r w:rsidR="00637B11">
        <w:t>nárokujících</w:t>
      </w:r>
      <w:proofErr w:type="spellEnd"/>
      <w:r w:rsidR="00637B11">
        <w:t xml:space="preserve"> nepřímou podporu </w:t>
      </w:r>
      <w:proofErr w:type="spellStart"/>
      <w:r w:rsidR="00637B11">
        <w:t>VaV</w:t>
      </w:r>
      <w:proofErr w:type="spellEnd"/>
      <w:r w:rsidR="00637B11">
        <w:t xml:space="preserve"> ve strojírenském průmyslu nejvíce, částka, kterou obdržely</w:t>
      </w:r>
      <w:r w:rsidR="00C15FE7">
        <w:t>,</w:t>
      </w:r>
      <w:r w:rsidR="00637B11">
        <w:t xml:space="preserve"> byla až čtvrtá nejvyšší</w:t>
      </w:r>
      <w:r w:rsidR="004B0EC3">
        <w:t xml:space="preserve"> ze sledovaných odvětví ve zpracovatelském průmyslu</w:t>
      </w:r>
      <w:r w:rsidR="00637B11">
        <w:t>.</w:t>
      </w:r>
    </w:p>
    <w:p w14:paraId="2160E2A6" w14:textId="266ABA88" w:rsidR="003F3B36" w:rsidRPr="00BD2BC9" w:rsidRDefault="003F3B36" w:rsidP="003F3B36">
      <w:pPr>
        <w:spacing w:before="120"/>
        <w:jc w:val="both"/>
        <w:rPr>
          <w:sz w:val="22"/>
        </w:rPr>
      </w:pPr>
      <w:r w:rsidRPr="00C15FE7">
        <w:t>Ze všech odvětví zpracovatelského průmyslu uplatnily</w:t>
      </w:r>
      <w:r w:rsidR="00C15FE7">
        <w:t xml:space="preserve"> v roce 2018</w:t>
      </w:r>
      <w:r w:rsidRPr="00C15FE7">
        <w:t xml:space="preserve"> vůbec nejvyšší částku daňové podpory </w:t>
      </w:r>
      <w:proofErr w:type="spellStart"/>
      <w:r w:rsidRPr="00C15FE7">
        <w:t>VaV</w:t>
      </w:r>
      <w:proofErr w:type="spellEnd"/>
      <w:r w:rsidRPr="00C15FE7">
        <w:t xml:space="preserve"> (</w:t>
      </w:r>
      <w:r w:rsidR="00C15FE7" w:rsidRPr="00C15FE7">
        <w:t>661</w:t>
      </w:r>
      <w:r w:rsidRPr="00C15FE7">
        <w:t> mil. Kč) podniky působící v </w:t>
      </w:r>
      <w:r w:rsidRPr="00937C5F">
        <w:t xml:space="preserve">automobilovém průmyslu (CZ-NACE 29). Uvedenou částku obdrželo celkem </w:t>
      </w:r>
      <w:r w:rsidR="00C15FE7" w:rsidRPr="00937C5F">
        <w:t>35</w:t>
      </w:r>
      <w:r w:rsidRPr="00937C5F">
        <w:t xml:space="preserve"> soukromých podniků. Na jeden podnik tak v průměru připadlo</w:t>
      </w:r>
      <w:r w:rsidR="0042341B">
        <w:t xml:space="preserve"> rekordních</w:t>
      </w:r>
      <w:r w:rsidRPr="00937C5F">
        <w:t xml:space="preserve"> 1</w:t>
      </w:r>
      <w:r w:rsidR="00C15FE7" w:rsidRPr="00937C5F">
        <w:t>8,</w:t>
      </w:r>
      <w:r w:rsidRPr="00937C5F">
        <w:t>9</w:t>
      </w:r>
      <w:r w:rsidR="00D067EE">
        <w:t> </w:t>
      </w:r>
      <w:r w:rsidRPr="00937C5F">
        <w:t>mil.</w:t>
      </w:r>
      <w:r w:rsidR="00D067EE">
        <w:t> </w:t>
      </w:r>
      <w:r w:rsidRPr="00937C5F">
        <w:t xml:space="preserve">Kč. </w:t>
      </w:r>
      <w:r w:rsidR="001B34B1">
        <w:t xml:space="preserve">Většina podniků </w:t>
      </w:r>
      <w:r w:rsidR="001B34B1" w:rsidRPr="001B34B1">
        <w:t>automobilového průmyslu,</w:t>
      </w:r>
      <w:r w:rsidRPr="001B34B1">
        <w:t xml:space="preserve"> které uplatnily odečet výdajů </w:t>
      </w:r>
      <w:proofErr w:type="spellStart"/>
      <w:r w:rsidRPr="001B34B1">
        <w:t>VaV</w:t>
      </w:r>
      <w:proofErr w:type="spellEnd"/>
      <w:r w:rsidRPr="001B34B1">
        <w:t xml:space="preserve"> spad</w:t>
      </w:r>
      <w:r w:rsidR="001B34B1" w:rsidRPr="001B34B1">
        <w:t>á</w:t>
      </w:r>
      <w:r w:rsidRPr="001B34B1">
        <w:t xml:space="preserve"> do kategorie velkých podnikatelských subjektů. Z pohledu vlastnictví převaž</w:t>
      </w:r>
      <w:r w:rsidR="001B34B1" w:rsidRPr="001B34B1">
        <w:t>ují</w:t>
      </w:r>
      <w:r w:rsidRPr="001B34B1">
        <w:t xml:space="preserve"> zahraniční podniky nad domácími. </w:t>
      </w:r>
      <w:r w:rsidR="00C15FE7" w:rsidRPr="00BD2BC9">
        <w:rPr>
          <w:szCs w:val="18"/>
        </w:rPr>
        <w:t xml:space="preserve">V tomto významném odvětví českého průmyslu soukromé podniky odečetly výdaje na </w:t>
      </w:r>
      <w:proofErr w:type="spellStart"/>
      <w:r w:rsidR="00C15FE7" w:rsidRPr="00BD2BC9">
        <w:rPr>
          <w:szCs w:val="18"/>
        </w:rPr>
        <w:t>VaV</w:t>
      </w:r>
      <w:proofErr w:type="spellEnd"/>
      <w:r w:rsidR="00C15FE7" w:rsidRPr="00BD2BC9">
        <w:rPr>
          <w:szCs w:val="18"/>
        </w:rPr>
        <w:t xml:space="preserve"> v objemu 3,5 mld. Kč, což představuje rovných 36 % z celkové odečtené částky výdajů na </w:t>
      </w:r>
      <w:proofErr w:type="spellStart"/>
      <w:r w:rsidR="00C15FE7" w:rsidRPr="00BD2BC9">
        <w:rPr>
          <w:szCs w:val="18"/>
        </w:rPr>
        <w:t>VaV</w:t>
      </w:r>
      <w:proofErr w:type="spellEnd"/>
      <w:r w:rsidR="00C15FE7" w:rsidRPr="00BD2BC9">
        <w:rPr>
          <w:szCs w:val="18"/>
        </w:rPr>
        <w:t xml:space="preserve"> soukromých podniků v ČR.</w:t>
      </w:r>
    </w:p>
    <w:p w14:paraId="3BEE0385" w14:textId="67F0362F" w:rsidR="00510D4F" w:rsidRPr="0095288C" w:rsidRDefault="004A6C99" w:rsidP="006E3720">
      <w:pPr>
        <w:spacing w:before="120"/>
        <w:jc w:val="both"/>
        <w:rPr>
          <w:b/>
        </w:rPr>
      </w:pPr>
      <w:r w:rsidRPr="0095288C">
        <w:rPr>
          <w:b/>
        </w:rPr>
        <w:lastRenderedPageBreak/>
        <w:t xml:space="preserve">GRAF </w:t>
      </w:r>
      <w:r w:rsidR="00CB2392">
        <w:rPr>
          <w:b/>
        </w:rPr>
        <w:t>21</w:t>
      </w:r>
      <w:r w:rsidR="00E158E3" w:rsidRPr="0095288C">
        <w:rPr>
          <w:b/>
        </w:rPr>
        <w:t xml:space="preserve">: </w:t>
      </w:r>
      <w:r w:rsidR="00C93A0D" w:rsidRPr="0095288C">
        <w:rPr>
          <w:b/>
        </w:rPr>
        <w:t xml:space="preserve">Soukromé podniky využívající nepřímou veřejnou podporu </w:t>
      </w:r>
      <w:proofErr w:type="spellStart"/>
      <w:r w:rsidR="00C93A0D" w:rsidRPr="0095288C">
        <w:rPr>
          <w:b/>
        </w:rPr>
        <w:t>VaV</w:t>
      </w:r>
      <w:proofErr w:type="spellEnd"/>
      <w:r w:rsidR="00C93A0D" w:rsidRPr="0095288C" w:rsidDel="00C93A0D">
        <w:rPr>
          <w:b/>
        </w:rPr>
        <w:t xml:space="preserve"> </w:t>
      </w:r>
      <w:r w:rsidR="00F35998" w:rsidRPr="0095288C">
        <w:rPr>
          <w:b/>
        </w:rPr>
        <w:t xml:space="preserve">ve zpracovatelském průmyslu </w:t>
      </w:r>
      <w:r w:rsidR="008D500A">
        <w:rPr>
          <w:b/>
        </w:rPr>
        <w:t xml:space="preserve">ve vybraných </w:t>
      </w:r>
      <w:r w:rsidR="005419BA" w:rsidRPr="0095288C">
        <w:rPr>
          <w:b/>
        </w:rPr>
        <w:t>odvětví</w:t>
      </w:r>
      <w:r w:rsidR="008D500A">
        <w:rPr>
          <w:b/>
        </w:rPr>
        <w:t>ch</w:t>
      </w:r>
      <w:r w:rsidR="005419BA" w:rsidRPr="0095288C">
        <w:rPr>
          <w:b/>
        </w:rPr>
        <w:t xml:space="preserve"> klasifikace CZ</w:t>
      </w:r>
      <w:r w:rsidR="00D87C69" w:rsidRPr="0095288C">
        <w:rPr>
          <w:b/>
        </w:rPr>
        <w:t>-</w:t>
      </w:r>
      <w:r w:rsidR="005419BA" w:rsidRPr="0095288C">
        <w:rPr>
          <w:b/>
        </w:rPr>
        <w:t>NACE</w:t>
      </w:r>
      <w:r w:rsidR="002A46D1">
        <w:rPr>
          <w:b/>
        </w:rPr>
        <w:t xml:space="preserve"> (počet)</w:t>
      </w:r>
      <w:r w:rsidR="0095288C">
        <w:rPr>
          <w:b/>
        </w:rPr>
        <w:t>, 2018</w:t>
      </w:r>
    </w:p>
    <w:p w14:paraId="556422FB" w14:textId="4DEF749E" w:rsidR="00603BF6" w:rsidRPr="008D500A" w:rsidRDefault="002A46D1" w:rsidP="00D2735D">
      <w:pPr>
        <w:jc w:val="both"/>
        <w:rPr>
          <w:i/>
          <w:sz w:val="16"/>
        </w:rPr>
      </w:pPr>
      <w:r w:rsidRPr="002A46D1">
        <w:rPr>
          <w:rFonts w:cs="Arial"/>
          <w:noProof/>
          <w:szCs w:val="20"/>
        </w:rPr>
        <w:drawing>
          <wp:inline distT="0" distB="0" distL="0" distR="0" wp14:anchorId="16C8234B" wp14:editId="256E462F">
            <wp:extent cx="6035040" cy="1980000"/>
            <wp:effectExtent l="0" t="0" r="3810" b="1270"/>
            <wp:docPr id="50" name="Graf 5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  <w:r w:rsidR="009400D5" w:rsidRPr="00F37C53">
        <w:rPr>
          <w:noProof/>
          <w:color w:val="FF0000"/>
        </w:rPr>
        <w:t xml:space="preserve"> </w:t>
      </w:r>
      <w:r w:rsidR="006E0C59" w:rsidRPr="008D500A">
        <w:rPr>
          <w:i/>
          <w:sz w:val="16"/>
        </w:rPr>
        <w:t xml:space="preserve">Zdroj: ČSÚ podle administrativních dat GFŘ </w:t>
      </w:r>
    </w:p>
    <w:p w14:paraId="58C5E14A" w14:textId="0603148A" w:rsidR="00223E41" w:rsidRDefault="00223E41" w:rsidP="003F3B36">
      <w:pPr>
        <w:spacing w:before="120"/>
        <w:jc w:val="both"/>
      </w:pPr>
      <w:r>
        <w:t xml:space="preserve">Nepřímou podporu </w:t>
      </w:r>
      <w:proofErr w:type="spellStart"/>
      <w:r>
        <w:t>VaV</w:t>
      </w:r>
      <w:proofErr w:type="spellEnd"/>
      <w:r>
        <w:t xml:space="preserve"> vyšší než 200 mil. Kč v roce 2018 kromě již zmi</w:t>
      </w:r>
      <w:r w:rsidR="00847AE7">
        <w:t>ňovaného Automobilového a S</w:t>
      </w:r>
      <w:r>
        <w:t>trojírenského průmyslu získaly také podniky v Elektrotechnickém průmyslu</w:t>
      </w:r>
      <w:r w:rsidR="00847AE7">
        <w:t xml:space="preserve"> a v odvětví Výroba ostatních dopravních prostředků a zařízení.</w:t>
      </w:r>
      <w:r w:rsidR="0042341B">
        <w:t xml:space="preserve"> Podniky z obou odvětví sice obdržely velmi podobnou částku nepřímé podpory, na jeden podnik z každého odvětví však připadala naprosto odlišná částka, V případě podniků v Elektrotechnickém průmyslu se jednalo o 3,2</w:t>
      </w:r>
      <w:r w:rsidR="002B36F1">
        <w:t> </w:t>
      </w:r>
      <w:r w:rsidR="0042341B">
        <w:t>mil. Kč a u podniků z odvětví</w:t>
      </w:r>
      <w:r w:rsidR="0042341B" w:rsidRPr="0042341B">
        <w:t xml:space="preserve"> </w:t>
      </w:r>
      <w:r w:rsidR="0042341B">
        <w:t xml:space="preserve">Výroba ostatních dopravních prostředků a zařízení pak na jeden podnik připadala nepřímá podpora </w:t>
      </w:r>
      <w:r w:rsidR="002B36F1">
        <w:t xml:space="preserve">ve výši </w:t>
      </w:r>
      <w:r w:rsidR="0042341B">
        <w:t>13,5 mil. Kč.</w:t>
      </w:r>
    </w:p>
    <w:p w14:paraId="47A43589" w14:textId="560B8AB4" w:rsidR="003F3B36" w:rsidRPr="00223E41" w:rsidRDefault="002E0773" w:rsidP="003F3B36">
      <w:pPr>
        <w:spacing w:before="120"/>
        <w:jc w:val="both"/>
      </w:pPr>
      <w:r>
        <w:t>K hranici sto mili</w:t>
      </w:r>
      <w:r w:rsidR="004B0EC3">
        <w:t>o</w:t>
      </w:r>
      <w:r>
        <w:t xml:space="preserve">nů korun se přibližovala nepřímá veřejná podpora </w:t>
      </w:r>
      <w:proofErr w:type="spellStart"/>
      <w:r>
        <w:t>VaV</w:t>
      </w:r>
      <w:proofErr w:type="spellEnd"/>
      <w:r>
        <w:t xml:space="preserve"> u podniků Elektronického průmyslu, konkrétně se jednalo o 95 mil. Kč. Na jeden podnik v tomto případě připadá v průměru částka 1,6 mil. Kč. </w:t>
      </w:r>
      <w:r w:rsidR="003F3B36" w:rsidRPr="00223E41">
        <w:t xml:space="preserve">Pokud v automobilovém průmyslu početně nejvíce využívají daňovou podporu </w:t>
      </w:r>
      <w:proofErr w:type="spellStart"/>
      <w:r w:rsidR="003F3B36" w:rsidRPr="00223E41">
        <w:t>VaV</w:t>
      </w:r>
      <w:proofErr w:type="spellEnd"/>
      <w:r w:rsidR="003F3B36" w:rsidRPr="00223E41">
        <w:t xml:space="preserve"> velké podniky, pak naopak v odvětví</w:t>
      </w:r>
      <w:r w:rsidR="004B0EC3">
        <w:t>ch</w:t>
      </w:r>
      <w:r w:rsidR="003F3B36" w:rsidRPr="00223E41">
        <w:t xml:space="preserve"> zabývající</w:t>
      </w:r>
      <w:r w:rsidR="004B0EC3">
        <w:t>ch</w:t>
      </w:r>
      <w:r w:rsidR="003F3B36" w:rsidRPr="00223E41">
        <w:t xml:space="preserve"> se výrobou počítačů, elektronických a optických přístrojů či zařízení, potažmo elektronickém průmyslu (CZ-NACE 26), jsou to malé a střední</w:t>
      </w:r>
      <w:r w:rsidR="00E73F4C">
        <w:t xml:space="preserve"> podniky</w:t>
      </w:r>
      <w:r w:rsidR="003F3B36" w:rsidRPr="00223E41">
        <w:t xml:space="preserve">. </w:t>
      </w:r>
    </w:p>
    <w:p w14:paraId="01A69E57" w14:textId="67640FE9" w:rsidR="003F3B36" w:rsidRPr="000603BE" w:rsidRDefault="003F3B36" w:rsidP="000603BE">
      <w:pPr>
        <w:jc w:val="both"/>
      </w:pPr>
      <w:r w:rsidRPr="000603BE">
        <w:t xml:space="preserve">Nejméně nepřímé veřejné podpory </w:t>
      </w:r>
      <w:proofErr w:type="spellStart"/>
      <w:r w:rsidRPr="000603BE">
        <w:t>VaV</w:t>
      </w:r>
      <w:proofErr w:type="spellEnd"/>
      <w:r w:rsidRPr="000603BE">
        <w:t xml:space="preserve"> bylo zjištěno v odvětvích s nízkou intenzitou </w:t>
      </w:r>
      <w:proofErr w:type="spellStart"/>
      <w:r w:rsidRPr="000603BE">
        <w:t>VaV</w:t>
      </w:r>
      <w:proofErr w:type="spellEnd"/>
      <w:r w:rsidRPr="000603BE">
        <w:t xml:space="preserve">, kam se řadí Dřevozpracující a papírenský průmysl (CZ-NACE 16-17, 31) a Metalurgický průmysl (CZ-NACE 24). V uvedených odvětvích nepřímá podpora </w:t>
      </w:r>
      <w:proofErr w:type="spellStart"/>
      <w:r w:rsidRPr="000603BE">
        <w:t>VaV</w:t>
      </w:r>
      <w:proofErr w:type="spellEnd"/>
      <w:r w:rsidRPr="000603BE">
        <w:t xml:space="preserve"> nepřesáhla hranici 10 mil. Kč. </w:t>
      </w:r>
    </w:p>
    <w:p w14:paraId="1887CD89" w14:textId="30ACC6F8" w:rsidR="00676F9C" w:rsidRPr="0095288C" w:rsidRDefault="00676F9C" w:rsidP="00676F9C">
      <w:pPr>
        <w:spacing w:before="120"/>
        <w:jc w:val="both"/>
        <w:rPr>
          <w:b/>
        </w:rPr>
      </w:pPr>
      <w:r w:rsidRPr="0095288C">
        <w:rPr>
          <w:b/>
        </w:rPr>
        <w:t xml:space="preserve">GRAF </w:t>
      </w:r>
      <w:r w:rsidR="00CB2392">
        <w:rPr>
          <w:b/>
        </w:rPr>
        <w:t>22</w:t>
      </w:r>
      <w:r w:rsidRPr="0095288C">
        <w:rPr>
          <w:b/>
        </w:rPr>
        <w:t xml:space="preserve">: </w:t>
      </w:r>
      <w:r>
        <w:rPr>
          <w:b/>
        </w:rPr>
        <w:t>Výše nepřímé podpory</w:t>
      </w:r>
      <w:r w:rsidRPr="0095288C">
        <w:rPr>
          <w:b/>
        </w:rPr>
        <w:t xml:space="preserve"> </w:t>
      </w:r>
      <w:proofErr w:type="spellStart"/>
      <w:r w:rsidRPr="00C62DD3">
        <w:rPr>
          <w:b/>
        </w:rPr>
        <w:t>VaV</w:t>
      </w:r>
      <w:proofErr w:type="spellEnd"/>
      <w:r w:rsidRPr="00C62DD3">
        <w:rPr>
          <w:b/>
        </w:rPr>
        <w:t xml:space="preserve"> v soukromých podnicích </w:t>
      </w:r>
      <w:r w:rsidRPr="0095288C">
        <w:rPr>
          <w:b/>
        </w:rPr>
        <w:t xml:space="preserve">ve zpracovatelském průmyslu </w:t>
      </w:r>
      <w:r>
        <w:rPr>
          <w:b/>
        </w:rPr>
        <w:t xml:space="preserve">ve vybraných </w:t>
      </w:r>
      <w:r w:rsidRPr="0095288C">
        <w:rPr>
          <w:b/>
        </w:rPr>
        <w:t>odvětví</w:t>
      </w:r>
      <w:r>
        <w:rPr>
          <w:b/>
        </w:rPr>
        <w:t>ch</w:t>
      </w:r>
      <w:r w:rsidRPr="0095288C">
        <w:rPr>
          <w:b/>
        </w:rPr>
        <w:t xml:space="preserve"> klasifikace CZ-NACE</w:t>
      </w:r>
      <w:r>
        <w:rPr>
          <w:b/>
        </w:rPr>
        <w:t xml:space="preserve"> (</w:t>
      </w:r>
      <w:r w:rsidR="00876B40">
        <w:rPr>
          <w:b/>
        </w:rPr>
        <w:t>mil. Kč</w:t>
      </w:r>
      <w:r>
        <w:rPr>
          <w:b/>
        </w:rPr>
        <w:t>), 2018</w:t>
      </w:r>
    </w:p>
    <w:p w14:paraId="66C33377" w14:textId="694A63AC" w:rsidR="00676F9C" w:rsidRPr="00C67235" w:rsidRDefault="0073537D" w:rsidP="00D2735D">
      <w:pPr>
        <w:jc w:val="both"/>
      </w:pPr>
      <w:r>
        <w:rPr>
          <w:noProof/>
        </w:rPr>
        <w:drawing>
          <wp:inline distT="0" distB="0" distL="0" distR="0" wp14:anchorId="7F47809D" wp14:editId="544A04F6">
            <wp:extent cx="6188075" cy="1980000"/>
            <wp:effectExtent l="0" t="0" r="3175" b="1270"/>
            <wp:docPr id="51" name="Graf 5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"/>
              </a:graphicData>
            </a:graphic>
          </wp:inline>
        </w:drawing>
      </w:r>
    </w:p>
    <w:p w14:paraId="580A0715" w14:textId="77777777" w:rsidR="00885EF9" w:rsidRPr="008D500A" w:rsidRDefault="00885EF9" w:rsidP="00D2735D">
      <w:pPr>
        <w:jc w:val="both"/>
        <w:rPr>
          <w:i/>
          <w:sz w:val="16"/>
        </w:rPr>
      </w:pPr>
      <w:r w:rsidRPr="008D500A">
        <w:rPr>
          <w:i/>
          <w:sz w:val="16"/>
        </w:rPr>
        <w:t xml:space="preserve">Zdroj: ČSÚ podle administrativních dat GFŘ </w:t>
      </w:r>
    </w:p>
    <w:p w14:paraId="342F7089" w14:textId="6FA009EC" w:rsidR="00412C2E" w:rsidRPr="004B0EC3" w:rsidRDefault="00412C2E" w:rsidP="00412C2E">
      <w:pPr>
        <w:pStyle w:val="Nadpis2"/>
        <w:spacing w:before="240" w:after="120"/>
        <w:jc w:val="both"/>
        <w:rPr>
          <w:sz w:val="22"/>
          <w:szCs w:val="22"/>
        </w:rPr>
      </w:pPr>
      <w:r w:rsidRPr="008B07CF">
        <w:rPr>
          <w:sz w:val="22"/>
          <w:szCs w:val="22"/>
        </w:rPr>
        <w:t>3.2</w:t>
      </w:r>
      <w:r>
        <w:rPr>
          <w:sz w:val="22"/>
          <w:szCs w:val="22"/>
        </w:rPr>
        <w:t>.5</w:t>
      </w:r>
      <w:r w:rsidRPr="008B07CF">
        <w:rPr>
          <w:sz w:val="22"/>
          <w:szCs w:val="22"/>
        </w:rPr>
        <w:t xml:space="preserve"> </w:t>
      </w:r>
      <w:r w:rsidRPr="009733C8">
        <w:rPr>
          <w:sz w:val="22"/>
          <w:szCs w:val="22"/>
        </w:rPr>
        <w:t xml:space="preserve">Nepřímá veřejná podpora </w:t>
      </w:r>
      <w:proofErr w:type="spellStart"/>
      <w:r w:rsidRPr="009733C8">
        <w:rPr>
          <w:sz w:val="22"/>
          <w:szCs w:val="22"/>
        </w:rPr>
        <w:t>VaV</w:t>
      </w:r>
      <w:proofErr w:type="spellEnd"/>
      <w:r w:rsidRPr="009733C8">
        <w:rPr>
          <w:sz w:val="22"/>
          <w:szCs w:val="22"/>
        </w:rPr>
        <w:t xml:space="preserve"> v soukromých podnicích</w:t>
      </w:r>
      <w:r w:rsidRPr="004B0EC3">
        <w:rPr>
          <w:sz w:val="22"/>
          <w:szCs w:val="22"/>
        </w:rPr>
        <w:t xml:space="preserve"> </w:t>
      </w:r>
      <w:r w:rsidR="00147896" w:rsidRPr="004B0EC3">
        <w:rPr>
          <w:sz w:val="22"/>
          <w:szCs w:val="22"/>
        </w:rPr>
        <w:t>v krajích</w:t>
      </w:r>
      <w:r w:rsidR="002D5FFE" w:rsidRPr="004B0EC3">
        <w:rPr>
          <w:sz w:val="22"/>
          <w:szCs w:val="22"/>
        </w:rPr>
        <w:t xml:space="preserve"> ČR</w:t>
      </w:r>
    </w:p>
    <w:p w14:paraId="179552EB" w14:textId="1E3A25D4" w:rsidR="00F24712" w:rsidRPr="00D359FB" w:rsidRDefault="008116DE" w:rsidP="00F24712">
      <w:pPr>
        <w:spacing w:before="120"/>
        <w:jc w:val="both"/>
      </w:pPr>
      <w:r w:rsidRPr="002438DD">
        <w:t>Porovnáním počtu soukromých podniků, které v roce 201</w:t>
      </w:r>
      <w:r w:rsidR="002438DD" w:rsidRPr="002438DD">
        <w:t>8</w:t>
      </w:r>
      <w:r w:rsidRPr="002438DD">
        <w:t xml:space="preserve"> využily daňovou podporu </w:t>
      </w:r>
      <w:proofErr w:type="spellStart"/>
      <w:r w:rsidRPr="002438DD">
        <w:t>VaV</w:t>
      </w:r>
      <w:proofErr w:type="spellEnd"/>
      <w:r w:rsidRPr="002438DD">
        <w:t xml:space="preserve"> v jednotlivých krajích ČR zjistíme, že nejvíce jich sídlilo v Praze (</w:t>
      </w:r>
      <w:r w:rsidR="002438DD" w:rsidRPr="002438DD">
        <w:t>288</w:t>
      </w:r>
      <w:r w:rsidRPr="002438DD">
        <w:t xml:space="preserve">). </w:t>
      </w:r>
      <w:r w:rsidR="00206C36" w:rsidRPr="002438DD">
        <w:t xml:space="preserve">Za </w:t>
      </w:r>
      <w:r w:rsidR="000541B5" w:rsidRPr="002438DD">
        <w:t>hlavním městem</w:t>
      </w:r>
      <w:r w:rsidR="00206C36" w:rsidRPr="002438DD">
        <w:t xml:space="preserve"> následuj</w:t>
      </w:r>
      <w:r w:rsidR="007A04CE" w:rsidRPr="002438DD">
        <w:t>í</w:t>
      </w:r>
      <w:r w:rsidR="00206C36" w:rsidRPr="002438DD">
        <w:t xml:space="preserve"> </w:t>
      </w:r>
      <w:r w:rsidR="00472688" w:rsidRPr="002438DD">
        <w:t xml:space="preserve">Jihomoravský </w:t>
      </w:r>
      <w:r w:rsidR="0028792D" w:rsidRPr="002438DD">
        <w:t>kraj s</w:t>
      </w:r>
      <w:r w:rsidR="00122FA4" w:rsidRPr="002438DD">
        <w:t>e</w:t>
      </w:r>
      <w:r w:rsidR="00311E05" w:rsidRPr="002438DD">
        <w:t xml:space="preserve"> 1</w:t>
      </w:r>
      <w:r w:rsidR="002438DD" w:rsidRPr="002438DD">
        <w:t>36</w:t>
      </w:r>
      <w:r w:rsidR="00472688" w:rsidRPr="002438DD">
        <w:t xml:space="preserve"> podniky</w:t>
      </w:r>
      <w:r w:rsidR="002438DD" w:rsidRPr="002438DD">
        <w:t>,</w:t>
      </w:r>
      <w:r w:rsidR="00472688" w:rsidRPr="002438DD">
        <w:t xml:space="preserve"> </w:t>
      </w:r>
      <w:r w:rsidR="00711271" w:rsidRPr="002438DD">
        <w:t>Moravskoslezský</w:t>
      </w:r>
      <w:r w:rsidR="00472688" w:rsidRPr="002438DD">
        <w:t xml:space="preserve"> </w:t>
      </w:r>
      <w:r w:rsidR="002438DD" w:rsidRPr="002438DD">
        <w:t xml:space="preserve">a Zlínský </w:t>
      </w:r>
      <w:r w:rsidR="003C54D3" w:rsidRPr="002438DD">
        <w:t>kraj s</w:t>
      </w:r>
      <w:r w:rsidR="002438DD" w:rsidRPr="002438DD">
        <w:t>hodně se</w:t>
      </w:r>
      <w:r w:rsidR="00C7594F" w:rsidRPr="002438DD">
        <w:t xml:space="preserve"> </w:t>
      </w:r>
      <w:r w:rsidR="002438DD" w:rsidRPr="002438DD">
        <w:t>100</w:t>
      </w:r>
      <w:r w:rsidR="00472688" w:rsidRPr="002438DD">
        <w:t xml:space="preserve"> podniky</w:t>
      </w:r>
      <w:r w:rsidR="002438DD" w:rsidRPr="002438DD">
        <w:t xml:space="preserve"> a kraj Středočeský</w:t>
      </w:r>
      <w:r w:rsidR="002438DD">
        <w:t>,</w:t>
      </w:r>
      <w:r w:rsidR="002438DD" w:rsidRPr="002438DD">
        <w:t xml:space="preserve"> ve kterém výhod nepřímé podpory </w:t>
      </w:r>
      <w:proofErr w:type="spellStart"/>
      <w:r w:rsidR="002438DD" w:rsidRPr="002438DD">
        <w:t>VaV</w:t>
      </w:r>
      <w:proofErr w:type="spellEnd"/>
      <w:r w:rsidR="002438DD" w:rsidRPr="002438DD">
        <w:t xml:space="preserve"> využilo 89 podniků</w:t>
      </w:r>
      <w:r w:rsidR="00472688" w:rsidRPr="002438DD">
        <w:t xml:space="preserve">. </w:t>
      </w:r>
      <w:r w:rsidR="00206C36" w:rsidRPr="002438DD">
        <w:t xml:space="preserve">Nejméně </w:t>
      </w:r>
      <w:r w:rsidR="00D31E66" w:rsidRPr="002438DD">
        <w:t>subjektů</w:t>
      </w:r>
      <w:r w:rsidR="00D74F7F" w:rsidRPr="002438DD">
        <w:t xml:space="preserve">, které uplatnily odečet výdajů na </w:t>
      </w:r>
      <w:proofErr w:type="spellStart"/>
      <w:r w:rsidR="00D74F7F" w:rsidRPr="002438DD">
        <w:t>VaV</w:t>
      </w:r>
      <w:proofErr w:type="spellEnd"/>
      <w:r w:rsidR="00D74F7F" w:rsidRPr="002438DD">
        <w:t xml:space="preserve">, </w:t>
      </w:r>
      <w:r w:rsidR="009A2016" w:rsidRPr="002438DD">
        <w:t xml:space="preserve">pocházelo z </w:t>
      </w:r>
      <w:r w:rsidR="00D74F7F" w:rsidRPr="002438DD">
        <w:t>Karlovarské</w:t>
      </w:r>
      <w:r w:rsidR="009A2016" w:rsidRPr="002438DD">
        <w:t>ho</w:t>
      </w:r>
      <w:r w:rsidR="00D74F7F" w:rsidRPr="002438DD">
        <w:t xml:space="preserve"> kraj</w:t>
      </w:r>
      <w:r w:rsidR="009A2016" w:rsidRPr="002438DD">
        <w:t>e</w:t>
      </w:r>
      <w:r w:rsidR="00D74F7F" w:rsidRPr="002438DD">
        <w:t xml:space="preserve"> (</w:t>
      </w:r>
      <w:r w:rsidR="00711271" w:rsidRPr="002438DD">
        <w:t xml:space="preserve">pouhých </w:t>
      </w:r>
      <w:r w:rsidR="002438DD" w:rsidRPr="002438DD">
        <w:t>7</w:t>
      </w:r>
      <w:r w:rsidR="00D74F7F" w:rsidRPr="002438DD">
        <w:t xml:space="preserve"> </w:t>
      </w:r>
      <w:r w:rsidR="00933073" w:rsidRPr="002438DD">
        <w:t>podniků</w:t>
      </w:r>
      <w:r w:rsidR="00D74F7F" w:rsidRPr="002438DD">
        <w:t>).</w:t>
      </w:r>
      <w:r w:rsidR="008D3CBD" w:rsidRPr="002438DD">
        <w:t xml:space="preserve"> </w:t>
      </w:r>
      <w:r w:rsidR="009A2016" w:rsidRPr="002438DD">
        <w:t>Rozložení</w:t>
      </w:r>
      <w:r w:rsidR="008D3CBD" w:rsidRPr="002438DD">
        <w:t xml:space="preserve"> p</w:t>
      </w:r>
      <w:r w:rsidR="0070046A" w:rsidRPr="002438DD">
        <w:t xml:space="preserve">odniků </w:t>
      </w:r>
      <w:r w:rsidR="009A2016" w:rsidRPr="002438DD">
        <w:t xml:space="preserve">napříč regiony </w:t>
      </w:r>
      <w:r w:rsidR="0070046A" w:rsidRPr="002438DD">
        <w:t xml:space="preserve">z velké části </w:t>
      </w:r>
      <w:r w:rsidR="009A2016" w:rsidRPr="002438DD">
        <w:t xml:space="preserve">odráží </w:t>
      </w:r>
      <w:r w:rsidR="008D3CBD" w:rsidRPr="002438DD">
        <w:t xml:space="preserve">celkové </w:t>
      </w:r>
      <w:r w:rsidR="008D3CBD" w:rsidRPr="002438DD">
        <w:lastRenderedPageBreak/>
        <w:t xml:space="preserve">rozložení </w:t>
      </w:r>
      <w:r w:rsidR="003D1BBE" w:rsidRPr="002438DD">
        <w:t xml:space="preserve">soukromých </w:t>
      </w:r>
      <w:r w:rsidR="008D3CBD" w:rsidRPr="002438DD">
        <w:t xml:space="preserve">podniků provádějících </w:t>
      </w:r>
      <w:proofErr w:type="spellStart"/>
      <w:r w:rsidR="008D3CBD" w:rsidRPr="002438DD">
        <w:t>VaV</w:t>
      </w:r>
      <w:proofErr w:type="spellEnd"/>
      <w:r w:rsidR="0023441C">
        <w:t>.</w:t>
      </w:r>
      <w:r w:rsidR="008D3CBD" w:rsidRPr="002438DD">
        <w:t xml:space="preserve"> </w:t>
      </w:r>
      <w:r w:rsidR="00F24712" w:rsidRPr="00D359FB">
        <w:t xml:space="preserve">Mezi soukromými podniky, které v roce 2018 využily možnosti uplatnit daňové odpočty výdajů na </w:t>
      </w:r>
      <w:proofErr w:type="spellStart"/>
      <w:r w:rsidR="00F24712" w:rsidRPr="00D359FB">
        <w:t>VaV</w:t>
      </w:r>
      <w:proofErr w:type="spellEnd"/>
      <w:r w:rsidR="00F24712" w:rsidRPr="00D359FB">
        <w:t>, převažovaly ve všech krajích, kromě hlavního města Prahy, podniky působící ve zpracovatelském průmyslu. Pro Prahu je charakteristické silné zastoupení firem provádějících výzkum a vývoj v oblasti informačních a komunikačních technologií.</w:t>
      </w:r>
    </w:p>
    <w:p w14:paraId="7E245C0F" w14:textId="5AAE122A" w:rsidR="002438DD" w:rsidRPr="0032220C" w:rsidRDefault="002438DD" w:rsidP="002438DD">
      <w:pPr>
        <w:spacing w:before="120"/>
        <w:jc w:val="both"/>
        <w:rPr>
          <w:b/>
        </w:rPr>
      </w:pPr>
      <w:r w:rsidRPr="0032220C">
        <w:rPr>
          <w:b/>
        </w:rPr>
        <w:t xml:space="preserve">GRAF </w:t>
      </w:r>
      <w:r w:rsidR="00CB2392">
        <w:rPr>
          <w:b/>
        </w:rPr>
        <w:t>23</w:t>
      </w:r>
      <w:r w:rsidRPr="0032220C">
        <w:rPr>
          <w:b/>
        </w:rPr>
        <w:t xml:space="preserve">: Soukromé podniky využívající nepřímou veřejnou podporu </w:t>
      </w:r>
      <w:proofErr w:type="spellStart"/>
      <w:r w:rsidRPr="0032220C">
        <w:rPr>
          <w:b/>
        </w:rPr>
        <w:t>VaV</w:t>
      </w:r>
      <w:proofErr w:type="spellEnd"/>
      <w:r w:rsidRPr="0032220C" w:rsidDel="00C93A0D">
        <w:rPr>
          <w:b/>
        </w:rPr>
        <w:t xml:space="preserve"> </w:t>
      </w:r>
      <w:r w:rsidRPr="0032220C">
        <w:rPr>
          <w:b/>
        </w:rPr>
        <w:t>podle krajů</w:t>
      </w:r>
      <w:r>
        <w:rPr>
          <w:b/>
        </w:rPr>
        <w:t xml:space="preserve"> ČR</w:t>
      </w:r>
      <w:r w:rsidRPr="0032220C">
        <w:rPr>
          <w:b/>
        </w:rPr>
        <w:t>, 2018</w:t>
      </w:r>
    </w:p>
    <w:p w14:paraId="53ECA74E" w14:textId="77777777" w:rsidR="002438DD" w:rsidRPr="002438DD" w:rsidRDefault="002438DD" w:rsidP="00C67235">
      <w:pPr>
        <w:jc w:val="center"/>
        <w:rPr>
          <w:b/>
        </w:rPr>
      </w:pPr>
      <w:r>
        <w:rPr>
          <w:noProof/>
        </w:rPr>
        <w:drawing>
          <wp:inline distT="0" distB="0" distL="0" distR="0" wp14:anchorId="4E098035" wp14:editId="262E0215">
            <wp:extent cx="5324475" cy="2520000"/>
            <wp:effectExtent l="0" t="0" r="0" b="0"/>
            <wp:docPr id="54" name="Graf 5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6"/>
              </a:graphicData>
            </a:graphic>
          </wp:inline>
        </w:drawing>
      </w:r>
    </w:p>
    <w:p w14:paraId="38DB3EEB" w14:textId="77777777" w:rsidR="002438DD" w:rsidRPr="008D500A" w:rsidRDefault="002438DD" w:rsidP="00C67235">
      <w:pPr>
        <w:jc w:val="both"/>
        <w:rPr>
          <w:i/>
          <w:sz w:val="16"/>
        </w:rPr>
      </w:pPr>
      <w:r w:rsidRPr="008D500A">
        <w:rPr>
          <w:i/>
          <w:sz w:val="16"/>
        </w:rPr>
        <w:t xml:space="preserve">Zdroj: ČSÚ podle administrativních dat GFŘ </w:t>
      </w:r>
    </w:p>
    <w:p w14:paraId="7685F37C" w14:textId="0FDF7D43" w:rsidR="006C7EA7" w:rsidRDefault="002814B4" w:rsidP="008E3998">
      <w:pPr>
        <w:spacing w:before="120" w:after="80"/>
        <w:jc w:val="both"/>
      </w:pPr>
      <w:r w:rsidRPr="0042519C">
        <w:t xml:space="preserve">Z celkové částky nepřímé veřejné podpory </w:t>
      </w:r>
      <w:proofErr w:type="spellStart"/>
      <w:r w:rsidRPr="0042519C">
        <w:t>VaV</w:t>
      </w:r>
      <w:proofErr w:type="spellEnd"/>
      <w:r w:rsidRPr="0042519C">
        <w:t xml:space="preserve"> </w:t>
      </w:r>
      <w:r w:rsidR="009D3D3E" w:rsidRPr="0042519C">
        <w:t>získané soukromými podniky v</w:t>
      </w:r>
      <w:r w:rsidRPr="0042519C">
        <w:t> ČR,</w:t>
      </w:r>
      <w:r w:rsidR="009D3D3E" w:rsidRPr="0042519C">
        <w:t xml:space="preserve"> připadla </w:t>
      </w:r>
      <w:r w:rsidR="00896ECF" w:rsidRPr="0042519C">
        <w:t xml:space="preserve">téměř </w:t>
      </w:r>
      <w:r w:rsidR="009D3D3E" w:rsidRPr="0042519C">
        <w:t xml:space="preserve">třetina </w:t>
      </w:r>
      <w:r w:rsidR="00590264" w:rsidRPr="0042519C">
        <w:t>(7</w:t>
      </w:r>
      <w:r w:rsidR="0042519C" w:rsidRPr="0042519C">
        <w:t>81</w:t>
      </w:r>
      <w:r w:rsidR="00312451" w:rsidRPr="0042519C">
        <w:t> mil.</w:t>
      </w:r>
      <w:r w:rsidR="00151E33" w:rsidRPr="0042519C">
        <w:t> </w:t>
      </w:r>
      <w:r w:rsidR="00312451" w:rsidRPr="0042519C">
        <w:t xml:space="preserve">Kč) </w:t>
      </w:r>
      <w:r w:rsidR="009D3D3E" w:rsidRPr="0042519C">
        <w:t xml:space="preserve">podnikům sídlícím v hlavním </w:t>
      </w:r>
      <w:r w:rsidR="00F62ADC" w:rsidRPr="0042519C">
        <w:t>městě.</w:t>
      </w:r>
      <w:r w:rsidR="00CB654D" w:rsidRPr="0042519C">
        <w:t xml:space="preserve"> </w:t>
      </w:r>
      <w:r w:rsidR="00896ECF" w:rsidRPr="0042519C">
        <w:t>H</w:t>
      </w:r>
      <w:r w:rsidR="006B3F78" w:rsidRPr="0042519C">
        <w:t xml:space="preserve">ranici půl miliardy Kč </w:t>
      </w:r>
      <w:r w:rsidR="00896ECF" w:rsidRPr="0042519C">
        <w:t xml:space="preserve">překonal již </w:t>
      </w:r>
      <w:r w:rsidR="006B3F78" w:rsidRPr="0042519C">
        <w:t>pouze Středočeský kraj (</w:t>
      </w:r>
      <w:r w:rsidR="0042519C" w:rsidRPr="0042519C">
        <w:t>631</w:t>
      </w:r>
      <w:r w:rsidR="00312451" w:rsidRPr="0042519C">
        <w:t xml:space="preserve"> mil. Kč). </w:t>
      </w:r>
      <w:r w:rsidR="00B165C6">
        <w:t xml:space="preserve">S velkým odstupem za Středočeským krajem je kraj Plzeňský, ve kterém bylo na nepřímé podpoře </w:t>
      </w:r>
      <w:proofErr w:type="spellStart"/>
      <w:r w:rsidR="00B165C6">
        <w:t>VaV</w:t>
      </w:r>
      <w:proofErr w:type="spellEnd"/>
      <w:r w:rsidR="00B165C6">
        <w:t xml:space="preserve"> vyplaceno soukromým podnikům celkových 220 mil. Kč.</w:t>
      </w:r>
      <w:r w:rsidR="00A125BD">
        <w:t xml:space="preserve"> Za Plzeňským krajem následují kraje Jihomoravský, Moravskoslezský, Liberecký a Zlínský. V případě </w:t>
      </w:r>
      <w:r w:rsidR="00FD5138">
        <w:t>ostatních krajů</w:t>
      </w:r>
      <w:r w:rsidR="00A125BD">
        <w:t xml:space="preserve"> již výše nepřímé podpory </w:t>
      </w:r>
      <w:proofErr w:type="spellStart"/>
      <w:r w:rsidR="00A125BD">
        <w:t>VaV</w:t>
      </w:r>
      <w:proofErr w:type="spellEnd"/>
      <w:r w:rsidR="00A125BD">
        <w:t xml:space="preserve"> soukromým podnikům nepřesáhla hranici sto miliónů korun. Nejnižší objem nepřímé podpory zaznamenáváme v kraji, kde daňovou úlevu uplatňuje i nejméně podniků</w:t>
      </w:r>
      <w:r w:rsidR="00DC7739">
        <w:t>,</w:t>
      </w:r>
      <w:r w:rsidR="00A125BD">
        <w:t xml:space="preserve"> a to v kraji Karlovarském (18 mil. Kč).</w:t>
      </w:r>
    </w:p>
    <w:p w14:paraId="43A85CB8" w14:textId="521DB05B" w:rsidR="00C67235" w:rsidRDefault="00C67235" w:rsidP="00C67235">
      <w:pPr>
        <w:jc w:val="both"/>
      </w:pPr>
      <w:r>
        <w:t xml:space="preserve">Pokud se podíváme na výši nepřímé </w:t>
      </w:r>
      <w:r w:rsidR="00FD5138">
        <w:t xml:space="preserve">veřejné </w:t>
      </w:r>
      <w:r>
        <w:t xml:space="preserve">podpory </w:t>
      </w:r>
      <w:proofErr w:type="spellStart"/>
      <w:r>
        <w:t>VaV</w:t>
      </w:r>
      <w:proofErr w:type="spellEnd"/>
      <w:r>
        <w:t xml:space="preserve"> připadající v průměru na jeden podnik, zjistíme, že pořadí krajů je zcela odlišné. Nejvyšší částka na jeden podnik připadala v kraji Středočeském (7,1 mil. Kč) a dále pak v krajích Plzeňském (4,7 mil Kč) a Libereckém (3,5 mil. Kč). Teprve až za těmito </w:t>
      </w:r>
      <w:r w:rsidR="004B0EC3">
        <w:t>k</w:t>
      </w:r>
      <w:r>
        <w:t xml:space="preserve">raji se nachází Praha s průměrnou nepřímou podporou </w:t>
      </w:r>
      <w:proofErr w:type="spellStart"/>
      <w:r>
        <w:t>VaV</w:t>
      </w:r>
      <w:proofErr w:type="spellEnd"/>
      <w:r>
        <w:t xml:space="preserve"> na jeden podnik ve výši 2,7 mil Kč. V případě tohoto ukazatele si dobře stojí i kraj Karlovarský a </w:t>
      </w:r>
      <w:r w:rsidR="00FD5138">
        <w:t>V</w:t>
      </w:r>
      <w:r>
        <w:t>ysočina, kde je hodnota tohoto ukazatele shodných 2,6 mil. Kč.</w:t>
      </w:r>
    </w:p>
    <w:p w14:paraId="2F945E86" w14:textId="5176F9A1" w:rsidR="001525E6" w:rsidRPr="0095288C" w:rsidRDefault="001525E6" w:rsidP="001525E6">
      <w:pPr>
        <w:spacing w:before="120"/>
        <w:jc w:val="both"/>
        <w:rPr>
          <w:b/>
        </w:rPr>
      </w:pPr>
      <w:r w:rsidRPr="0095288C">
        <w:rPr>
          <w:b/>
        </w:rPr>
        <w:t xml:space="preserve">GRAF </w:t>
      </w:r>
      <w:r w:rsidR="00CB2392">
        <w:rPr>
          <w:b/>
        </w:rPr>
        <w:t>24</w:t>
      </w:r>
      <w:r w:rsidRPr="0095288C">
        <w:rPr>
          <w:b/>
        </w:rPr>
        <w:t xml:space="preserve">: </w:t>
      </w:r>
      <w:r>
        <w:rPr>
          <w:b/>
        </w:rPr>
        <w:t>Výše nepřímé podpory</w:t>
      </w:r>
      <w:r w:rsidRPr="0095288C">
        <w:rPr>
          <w:b/>
        </w:rPr>
        <w:t xml:space="preserve"> </w:t>
      </w:r>
      <w:proofErr w:type="spellStart"/>
      <w:r w:rsidRPr="00C62DD3">
        <w:rPr>
          <w:b/>
        </w:rPr>
        <w:t>VaV</w:t>
      </w:r>
      <w:proofErr w:type="spellEnd"/>
      <w:r w:rsidRPr="00C62DD3">
        <w:rPr>
          <w:b/>
        </w:rPr>
        <w:t xml:space="preserve"> v soukromých podnicích </w:t>
      </w:r>
      <w:r>
        <w:rPr>
          <w:b/>
        </w:rPr>
        <w:t>podle krajů ČR (mil. Kč), 2018</w:t>
      </w:r>
    </w:p>
    <w:p w14:paraId="638B943D" w14:textId="05C1BD74" w:rsidR="0083159F" w:rsidRPr="00C67235" w:rsidRDefault="0040729C" w:rsidP="00C67235">
      <w:pPr>
        <w:jc w:val="both"/>
        <w:rPr>
          <w:b/>
        </w:rPr>
      </w:pPr>
      <w:r>
        <w:rPr>
          <w:noProof/>
        </w:rPr>
        <w:drawing>
          <wp:inline distT="0" distB="0" distL="0" distR="0" wp14:anchorId="748DCD00" wp14:editId="0AAD1D4E">
            <wp:extent cx="6119495" cy="2700000"/>
            <wp:effectExtent l="0" t="0" r="0" b="5715"/>
            <wp:docPr id="53" name="Graf 5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5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7"/>
              </a:graphicData>
            </a:graphic>
          </wp:inline>
        </w:drawing>
      </w:r>
    </w:p>
    <w:p w14:paraId="7CC2CB36" w14:textId="11EDB145" w:rsidR="005B65C2" w:rsidRDefault="006E0C59" w:rsidP="00C67235">
      <w:pPr>
        <w:spacing w:after="120"/>
        <w:jc w:val="both"/>
        <w:rPr>
          <w:i/>
          <w:sz w:val="16"/>
        </w:rPr>
      </w:pPr>
      <w:r w:rsidRPr="00C16FA7">
        <w:rPr>
          <w:i/>
          <w:sz w:val="16"/>
        </w:rPr>
        <w:t xml:space="preserve">Zdroj: ČSÚ podle administrativních dat GFŘ </w:t>
      </w:r>
      <w:bookmarkStart w:id="2" w:name="_Toc415056896"/>
    </w:p>
    <w:p w14:paraId="57FADBC3" w14:textId="77777777" w:rsidR="001775E7" w:rsidRPr="00EF3978" w:rsidRDefault="007214BF" w:rsidP="007C530B">
      <w:pPr>
        <w:pStyle w:val="Nadpis2"/>
        <w:pageBreakBefore/>
        <w:spacing w:after="120"/>
        <w:jc w:val="both"/>
        <w:rPr>
          <w:sz w:val="24"/>
        </w:rPr>
      </w:pPr>
      <w:r w:rsidRPr="00EF3978">
        <w:rPr>
          <w:sz w:val="24"/>
        </w:rPr>
        <w:lastRenderedPageBreak/>
        <w:t>3.3</w:t>
      </w:r>
      <w:r w:rsidR="00FC3657" w:rsidRPr="00EF3978">
        <w:rPr>
          <w:sz w:val="24"/>
        </w:rPr>
        <w:t xml:space="preserve"> </w:t>
      </w:r>
      <w:r w:rsidR="002D3A94" w:rsidRPr="00EF3978">
        <w:rPr>
          <w:sz w:val="24"/>
        </w:rPr>
        <w:t xml:space="preserve">Nepřímá veřejná podpora </w:t>
      </w:r>
      <w:proofErr w:type="spellStart"/>
      <w:r w:rsidR="002D3A94" w:rsidRPr="00EF3978">
        <w:rPr>
          <w:sz w:val="24"/>
        </w:rPr>
        <w:t>VaV</w:t>
      </w:r>
      <w:proofErr w:type="spellEnd"/>
      <w:r w:rsidR="00D424DE" w:rsidRPr="00EF3978">
        <w:rPr>
          <w:sz w:val="24"/>
        </w:rPr>
        <w:t xml:space="preserve"> </w:t>
      </w:r>
      <w:r w:rsidR="001775E7" w:rsidRPr="00EF3978">
        <w:rPr>
          <w:sz w:val="24"/>
        </w:rPr>
        <w:t>v mezinárodním kontextu</w:t>
      </w:r>
    </w:p>
    <w:bookmarkEnd w:id="2"/>
    <w:p w14:paraId="4DCDBF80" w14:textId="64402DED" w:rsidR="00DF11D8" w:rsidRPr="00E77984" w:rsidRDefault="000F545E" w:rsidP="00124784">
      <w:pPr>
        <w:spacing w:before="120"/>
        <w:jc w:val="both"/>
      </w:pPr>
      <w:r w:rsidRPr="00096C37">
        <w:t>Daňové pobídky a úlevy pro výzkum a vývoj</w:t>
      </w:r>
      <w:r w:rsidR="00BD51D4" w:rsidRPr="00096C37">
        <w:t xml:space="preserve"> jsou</w:t>
      </w:r>
      <w:r w:rsidR="00DC698A" w:rsidRPr="00096C37">
        <w:t xml:space="preserve"> v zemích OECD hojně využívaným nástrojem </w:t>
      </w:r>
      <w:r w:rsidR="00BD51D4" w:rsidRPr="00096C37">
        <w:t xml:space="preserve">veřejné </w:t>
      </w:r>
      <w:r w:rsidR="00DC698A" w:rsidRPr="00096C37">
        <w:t xml:space="preserve">podpory </w:t>
      </w:r>
      <w:proofErr w:type="spellStart"/>
      <w:r w:rsidR="00DC698A" w:rsidRPr="00096C37">
        <w:t>VaV</w:t>
      </w:r>
      <w:proofErr w:type="spellEnd"/>
      <w:r w:rsidR="00DC698A" w:rsidRPr="00096C37">
        <w:t xml:space="preserve"> v podnikové sféře</w:t>
      </w:r>
      <w:r w:rsidRPr="00096C37">
        <w:t xml:space="preserve"> (blíže viz příloha č</w:t>
      </w:r>
      <w:r w:rsidR="00E6039F" w:rsidRPr="00096C37">
        <w:t>. </w:t>
      </w:r>
      <w:r w:rsidRPr="00096C37">
        <w:t>4)</w:t>
      </w:r>
      <w:r w:rsidR="00DC698A" w:rsidRPr="00096C37">
        <w:t xml:space="preserve">. </w:t>
      </w:r>
      <w:r w:rsidR="00172B12" w:rsidRPr="00096C37">
        <w:t xml:space="preserve">S výjimkou </w:t>
      </w:r>
      <w:r w:rsidR="001D1211" w:rsidRPr="00096C37">
        <w:t>osmi</w:t>
      </w:r>
      <w:r w:rsidR="009733C8">
        <w:t xml:space="preserve"> </w:t>
      </w:r>
      <w:r w:rsidR="00DC698A" w:rsidRPr="00096C37">
        <w:t>zemí</w:t>
      </w:r>
      <w:r w:rsidR="004B0EC3" w:rsidRPr="00096C37">
        <w:rPr>
          <w:rStyle w:val="Znakapoznpodarou"/>
        </w:rPr>
        <w:footnoteReference w:id="3"/>
      </w:r>
      <w:r w:rsidR="004B0EC3" w:rsidRPr="00096C37">
        <w:t xml:space="preserve"> </w:t>
      </w:r>
      <w:r w:rsidR="00DC698A" w:rsidRPr="00096C37">
        <w:t xml:space="preserve"> mohou </w:t>
      </w:r>
      <w:r w:rsidR="00172B12" w:rsidRPr="00096C37">
        <w:t>podniky v</w:t>
      </w:r>
      <w:r w:rsidR="00DC698A" w:rsidRPr="00096C37">
        <w:t xml:space="preserve"> zemích OECD využ</w:t>
      </w:r>
      <w:r w:rsidR="006C50CC" w:rsidRPr="00096C37">
        <w:t>ít</w:t>
      </w:r>
      <w:r w:rsidR="00DC698A" w:rsidRPr="00096C37">
        <w:t xml:space="preserve"> některou z možností daňové podpory </w:t>
      </w:r>
      <w:proofErr w:type="spellStart"/>
      <w:r w:rsidR="00DC698A" w:rsidRPr="00096C37">
        <w:t>VaV</w:t>
      </w:r>
      <w:proofErr w:type="spellEnd"/>
      <w:r w:rsidR="00DC698A" w:rsidRPr="00096C37">
        <w:t xml:space="preserve">. Mezi země, </w:t>
      </w:r>
      <w:r w:rsidR="009F5EC5" w:rsidRPr="00096C37">
        <w:t>v</w:t>
      </w:r>
      <w:r w:rsidR="00DD319B" w:rsidRPr="00096C37">
        <w:t> </w:t>
      </w:r>
      <w:r w:rsidR="009F5EC5" w:rsidRPr="00096C37">
        <w:t>nichž</w:t>
      </w:r>
      <w:r w:rsidR="00DD319B" w:rsidRPr="00096C37">
        <w:t xml:space="preserve"> </w:t>
      </w:r>
      <w:r w:rsidR="00DC698A" w:rsidRPr="00096C37">
        <w:t xml:space="preserve">daňová podpora </w:t>
      </w:r>
      <w:proofErr w:type="spellStart"/>
      <w:r w:rsidR="00DC698A" w:rsidRPr="00096C37">
        <w:t>VaV</w:t>
      </w:r>
      <w:proofErr w:type="spellEnd"/>
      <w:r w:rsidR="00DC698A" w:rsidRPr="00096C37">
        <w:t xml:space="preserve"> </w:t>
      </w:r>
      <w:r w:rsidR="00DB6452" w:rsidRPr="00096C37">
        <w:t xml:space="preserve">není </w:t>
      </w:r>
      <w:r w:rsidR="00172B12" w:rsidRPr="00096C37">
        <w:t xml:space="preserve">zatím </w:t>
      </w:r>
      <w:r w:rsidR="00DC698A" w:rsidRPr="00096C37">
        <w:t>zavedena</w:t>
      </w:r>
      <w:r w:rsidR="00F55CC4" w:rsidRPr="00096C37">
        <w:t>,</w:t>
      </w:r>
      <w:r w:rsidR="00A20A84" w:rsidRPr="00096C37">
        <w:t xml:space="preserve"> patří </w:t>
      </w:r>
      <w:r w:rsidR="00DC698A" w:rsidRPr="00096C37">
        <w:t xml:space="preserve">i </w:t>
      </w:r>
      <w:r w:rsidR="00172B12" w:rsidRPr="00096C37">
        <w:t xml:space="preserve">Německo – </w:t>
      </w:r>
      <w:r w:rsidR="005C22C7" w:rsidRPr="00096C37">
        <w:t>hlavní obchodní partner</w:t>
      </w:r>
      <w:r w:rsidR="00172B12" w:rsidRPr="00096C37">
        <w:t xml:space="preserve"> České republiky</w:t>
      </w:r>
      <w:r w:rsidR="005C22C7" w:rsidRPr="00253392">
        <w:t>.</w:t>
      </w:r>
      <w:r w:rsidR="00831B03" w:rsidRPr="00253392">
        <w:t xml:space="preserve"> Pro mezinárodní srovnání se používají </w:t>
      </w:r>
      <w:r w:rsidR="00652D74" w:rsidRPr="00253392">
        <w:t>následující tři</w:t>
      </w:r>
      <w:r w:rsidR="006D4556" w:rsidRPr="00253392">
        <w:t xml:space="preserve"> </w:t>
      </w:r>
      <w:r w:rsidR="00831B03" w:rsidRPr="00253392">
        <w:t>ukazatele</w:t>
      </w:r>
      <w:r w:rsidR="00136632" w:rsidRPr="00253392">
        <w:t>:</w:t>
      </w:r>
      <w:r w:rsidR="00652D74" w:rsidRPr="00253392">
        <w:t xml:space="preserve"> </w:t>
      </w:r>
      <w:r w:rsidR="00831B03" w:rsidRPr="00253392">
        <w:t xml:space="preserve">výše nepřímé veřejné podpory </w:t>
      </w:r>
      <w:proofErr w:type="spellStart"/>
      <w:r w:rsidR="00831B03" w:rsidRPr="00253392">
        <w:t>VaV</w:t>
      </w:r>
      <w:proofErr w:type="spellEnd"/>
      <w:r w:rsidR="00831B03" w:rsidRPr="00253392">
        <w:t xml:space="preserve"> v paritě kupní síly</w:t>
      </w:r>
      <w:r w:rsidR="00C718C4" w:rsidRPr="00253392">
        <w:t xml:space="preserve"> v USD</w:t>
      </w:r>
      <w:r w:rsidR="002A36A6" w:rsidRPr="00253392">
        <w:t>,</w:t>
      </w:r>
      <w:r w:rsidR="00831B03" w:rsidRPr="00253392">
        <w:t xml:space="preserve"> podíl nepřímé veřejné podpory </w:t>
      </w:r>
      <w:proofErr w:type="spellStart"/>
      <w:r w:rsidR="00831B03" w:rsidRPr="00253392">
        <w:t>VaV</w:t>
      </w:r>
      <w:proofErr w:type="spellEnd"/>
      <w:r w:rsidR="00831B03" w:rsidRPr="00253392">
        <w:t xml:space="preserve"> na hrubém domácím produktu (HDP)</w:t>
      </w:r>
      <w:r w:rsidR="002A36A6" w:rsidRPr="00253392">
        <w:t xml:space="preserve"> a podíl </w:t>
      </w:r>
      <w:r w:rsidR="00652D74" w:rsidRPr="00253392">
        <w:t xml:space="preserve">nepřímé veřejné podpory </w:t>
      </w:r>
      <w:proofErr w:type="spellStart"/>
      <w:r w:rsidR="00652D74" w:rsidRPr="00253392">
        <w:t>VaV</w:t>
      </w:r>
      <w:proofErr w:type="spellEnd"/>
      <w:r w:rsidR="00652D74" w:rsidRPr="00253392">
        <w:t xml:space="preserve"> </w:t>
      </w:r>
      <w:r w:rsidR="002A36A6" w:rsidRPr="00253392">
        <w:t xml:space="preserve">na celkových výdajích na </w:t>
      </w:r>
      <w:proofErr w:type="spellStart"/>
      <w:r w:rsidR="002A36A6" w:rsidRPr="00253392">
        <w:t>VaV</w:t>
      </w:r>
      <w:proofErr w:type="spellEnd"/>
      <w:r w:rsidR="002A36A6" w:rsidRPr="00253392">
        <w:t xml:space="preserve"> v podnikatelském sektoru (BERD)</w:t>
      </w:r>
      <w:r w:rsidR="00831B03" w:rsidRPr="00253392">
        <w:t xml:space="preserve">.  </w:t>
      </w:r>
      <w:r w:rsidR="00DC698A" w:rsidRPr="00253392">
        <w:t xml:space="preserve"> </w:t>
      </w:r>
    </w:p>
    <w:p w14:paraId="071DF0D4" w14:textId="403FBB51" w:rsidR="007C530B" w:rsidRPr="00E2558F" w:rsidRDefault="007C530B" w:rsidP="007C530B">
      <w:pPr>
        <w:pStyle w:val="Nadpis2"/>
        <w:spacing w:before="160" w:after="120"/>
        <w:jc w:val="both"/>
        <w:rPr>
          <w:sz w:val="22"/>
          <w:szCs w:val="22"/>
        </w:rPr>
      </w:pPr>
      <w:r w:rsidRPr="00E2558F">
        <w:rPr>
          <w:sz w:val="22"/>
          <w:szCs w:val="22"/>
        </w:rPr>
        <w:t>3.3.</w:t>
      </w:r>
      <w:r>
        <w:rPr>
          <w:sz w:val="22"/>
          <w:szCs w:val="22"/>
        </w:rPr>
        <w:t>1</w:t>
      </w:r>
      <w:r w:rsidRPr="00E2558F">
        <w:rPr>
          <w:sz w:val="22"/>
          <w:szCs w:val="22"/>
        </w:rPr>
        <w:t xml:space="preserve"> Výše nepřímé veřejné podpory </w:t>
      </w:r>
      <w:proofErr w:type="spellStart"/>
      <w:r w:rsidRPr="00E2558F">
        <w:rPr>
          <w:sz w:val="22"/>
          <w:szCs w:val="22"/>
        </w:rPr>
        <w:t>VaV</w:t>
      </w:r>
      <w:proofErr w:type="spellEnd"/>
      <w:r w:rsidRPr="00E2558F">
        <w:rPr>
          <w:sz w:val="22"/>
          <w:szCs w:val="22"/>
        </w:rPr>
        <w:t xml:space="preserve"> v paritě kupní síly</w:t>
      </w:r>
    </w:p>
    <w:p w14:paraId="22AC9BFB" w14:textId="5E3DCB25" w:rsidR="007C530B" w:rsidRPr="000F2CB3" w:rsidRDefault="007C530B" w:rsidP="007C530B">
      <w:pPr>
        <w:spacing w:before="60"/>
        <w:jc w:val="both"/>
      </w:pPr>
      <w:r w:rsidRPr="00DF3F78">
        <w:t>Ze sledovaných zemí nejvyšší absolutní částku nepřímé veřejné podpo</w:t>
      </w:r>
      <w:r w:rsidRPr="00B851B4">
        <w:t xml:space="preserve">ry </w:t>
      </w:r>
      <w:proofErr w:type="spellStart"/>
      <w:r w:rsidRPr="00B851B4">
        <w:t>VaV</w:t>
      </w:r>
      <w:proofErr w:type="spellEnd"/>
      <w:r w:rsidRPr="00B851B4">
        <w:t>, měřeno v paritě kupní síly v amerických dolarech, obdržely v </w:t>
      </w:r>
      <w:r w:rsidRPr="000F2CB3">
        <w:t>roce 2017 podniky ve Francii (</w:t>
      </w:r>
      <w:r>
        <w:t>8,0</w:t>
      </w:r>
      <w:r w:rsidRPr="000F2CB3">
        <w:t xml:space="preserve"> ml</w:t>
      </w:r>
      <w:r>
        <w:t>d</w:t>
      </w:r>
      <w:r w:rsidRPr="000F2CB3">
        <w:t>. USD). Druhé v pořadí se mezi sledovanými zeměmi umístilo Japonsko s částkou ve výši 6</w:t>
      </w:r>
      <w:r>
        <w:t>,</w:t>
      </w:r>
      <w:r w:rsidRPr="000F2CB3">
        <w:t>5 ml</w:t>
      </w:r>
      <w:r>
        <w:t>d</w:t>
      </w:r>
      <w:r w:rsidRPr="000F2CB3">
        <w:t xml:space="preserve">. USD. Za Japonskem následuje </w:t>
      </w:r>
      <w:r>
        <w:t xml:space="preserve">s velkým odstupem </w:t>
      </w:r>
      <w:r w:rsidRPr="000F2CB3">
        <w:t>Velká Británie s částkou 6</w:t>
      </w:r>
      <w:r>
        <w:t>,3</w:t>
      </w:r>
      <w:r w:rsidRPr="000F2CB3">
        <w:t xml:space="preserve"> ml</w:t>
      </w:r>
      <w:r>
        <w:t>d</w:t>
      </w:r>
      <w:r w:rsidRPr="000F2CB3">
        <w:t xml:space="preserve">. USD. </w:t>
      </w:r>
      <w:r>
        <w:t>Ze sledovaných zemí překročily hranici 2 mld. USD v paritě kupní síly ještě Itálie, Rusko a Jižní Korea.</w:t>
      </w:r>
      <w:r w:rsidRPr="000F2CB3">
        <w:t xml:space="preserve"> </w:t>
      </w:r>
    </w:p>
    <w:p w14:paraId="52E8B10B" w14:textId="4EC96BDF" w:rsidR="007C530B" w:rsidRPr="00CA7700" w:rsidRDefault="007C530B" w:rsidP="007C530B">
      <w:pPr>
        <w:spacing w:before="120" w:after="120"/>
        <w:jc w:val="both"/>
      </w:pPr>
      <w:r w:rsidRPr="004A118A">
        <w:t xml:space="preserve">Pozice České republiky je úměrná velikosti ekonomiky a objemu výdajů podniků na výzkum a vývoj. V roce </w:t>
      </w:r>
      <w:r w:rsidRPr="00CA7700">
        <w:t xml:space="preserve">2017 dosáhla výše nepřímé veřejné podpory </w:t>
      </w:r>
      <w:proofErr w:type="spellStart"/>
      <w:r w:rsidRPr="00CA7700">
        <w:t>VaV</w:t>
      </w:r>
      <w:proofErr w:type="spellEnd"/>
      <w:r w:rsidRPr="00CA7700">
        <w:t xml:space="preserve"> v ČR 201 mil. USD v paritě kupní síly. V rámci členských zemí, které přistoupily do EU v roce 2004 má Česko nejvyšší částku poskytnuté nepřímé veřejné podpory </w:t>
      </w:r>
      <w:proofErr w:type="spellStart"/>
      <w:r w:rsidRPr="00CA7700">
        <w:t>VaV</w:t>
      </w:r>
      <w:proofErr w:type="spellEnd"/>
      <w:r w:rsidRPr="00CA7700">
        <w:t>. Hned za Českem pak následuje Maďarsko.</w:t>
      </w:r>
    </w:p>
    <w:p w14:paraId="43DCCA10" w14:textId="61A88D7A" w:rsidR="007C530B" w:rsidRPr="006A622B" w:rsidRDefault="007C530B" w:rsidP="0037774A">
      <w:pPr>
        <w:spacing w:before="120"/>
        <w:jc w:val="both"/>
        <w:rPr>
          <w:spacing w:val="-4"/>
        </w:rPr>
      </w:pPr>
      <w:r w:rsidRPr="00F87C49">
        <w:rPr>
          <w:b/>
        </w:rPr>
        <w:t xml:space="preserve">GRAF </w:t>
      </w:r>
      <w:r>
        <w:rPr>
          <w:b/>
        </w:rPr>
        <w:t>25</w:t>
      </w:r>
      <w:r w:rsidRPr="00F87C49">
        <w:rPr>
          <w:b/>
        </w:rPr>
        <w:t xml:space="preserve">: </w:t>
      </w:r>
      <w:r w:rsidRPr="006A622B">
        <w:rPr>
          <w:b/>
          <w:spacing w:val="-4"/>
        </w:rPr>
        <w:t xml:space="preserve">Nepřímá veřejná podpora </w:t>
      </w:r>
      <w:proofErr w:type="spellStart"/>
      <w:r w:rsidRPr="006A622B">
        <w:rPr>
          <w:b/>
          <w:spacing w:val="-4"/>
        </w:rPr>
        <w:t>VaV</w:t>
      </w:r>
      <w:proofErr w:type="spellEnd"/>
      <w:r w:rsidRPr="006A622B">
        <w:rPr>
          <w:b/>
          <w:spacing w:val="-4"/>
        </w:rPr>
        <w:t xml:space="preserve"> v</w:t>
      </w:r>
      <w:r w:rsidR="006A622B" w:rsidRPr="006A622B">
        <w:rPr>
          <w:b/>
          <w:spacing w:val="-4"/>
        </w:rPr>
        <w:t>e</w:t>
      </w:r>
      <w:r w:rsidRPr="006A622B">
        <w:rPr>
          <w:b/>
          <w:spacing w:val="-4"/>
        </w:rPr>
        <w:t xml:space="preserve"> </w:t>
      </w:r>
      <w:r w:rsidR="006A622B" w:rsidRPr="006A622B">
        <w:rPr>
          <w:b/>
          <w:spacing w:val="-4"/>
        </w:rPr>
        <w:t>vybraných z</w:t>
      </w:r>
      <w:r w:rsidRPr="006A622B">
        <w:rPr>
          <w:b/>
          <w:spacing w:val="-4"/>
        </w:rPr>
        <w:t>emích v roce 2017* (mil. USD v paritě kupní síly)</w:t>
      </w:r>
    </w:p>
    <w:p w14:paraId="0840A434" w14:textId="3801D4E7" w:rsidR="007C530B" w:rsidRPr="003A6FBE" w:rsidRDefault="007C530B" w:rsidP="007C530B">
      <w:pPr>
        <w:jc w:val="both"/>
      </w:pPr>
      <w:r>
        <w:rPr>
          <w:noProof/>
        </w:rPr>
        <w:drawing>
          <wp:inline distT="0" distB="0" distL="0" distR="0" wp14:anchorId="39517384" wp14:editId="43CFFFD6">
            <wp:extent cx="6120130" cy="3060000"/>
            <wp:effectExtent l="0" t="0" r="0" b="7620"/>
            <wp:docPr id="52" name="Graf 5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15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</w:p>
    <w:p w14:paraId="32E810F2" w14:textId="77777777" w:rsidR="007C530B" w:rsidRPr="00CB2392" w:rsidRDefault="007C530B" w:rsidP="007C530B">
      <w:pPr>
        <w:spacing w:before="120"/>
        <w:rPr>
          <w:i/>
          <w:sz w:val="16"/>
          <w:szCs w:val="22"/>
        </w:rPr>
      </w:pPr>
      <w:r w:rsidRPr="00CB2392">
        <w:rPr>
          <w:i/>
          <w:sz w:val="16"/>
          <w:szCs w:val="22"/>
        </w:rPr>
        <w:t>* Nebo poslední dostupný rok</w:t>
      </w:r>
    </w:p>
    <w:p w14:paraId="0BDED448" w14:textId="77777777" w:rsidR="007C530B" w:rsidRPr="00CB2392" w:rsidRDefault="007C530B" w:rsidP="007C530B">
      <w:pPr>
        <w:jc w:val="both"/>
        <w:rPr>
          <w:i/>
          <w:sz w:val="16"/>
          <w:szCs w:val="22"/>
        </w:rPr>
      </w:pPr>
      <w:r w:rsidRPr="00CB2392">
        <w:rPr>
          <w:i/>
          <w:sz w:val="16"/>
          <w:szCs w:val="22"/>
        </w:rPr>
        <w:t>Zdroj: OECD 2019</w:t>
      </w:r>
    </w:p>
    <w:p w14:paraId="0699494D" w14:textId="2137E8F9" w:rsidR="007C530B" w:rsidRPr="00E2558F" w:rsidRDefault="007C530B" w:rsidP="007C530B">
      <w:pPr>
        <w:pStyle w:val="Nadpis2"/>
        <w:spacing w:before="160" w:after="80"/>
        <w:jc w:val="both"/>
        <w:rPr>
          <w:sz w:val="22"/>
          <w:szCs w:val="22"/>
        </w:rPr>
      </w:pPr>
      <w:r w:rsidRPr="00E2558F">
        <w:rPr>
          <w:sz w:val="22"/>
          <w:szCs w:val="22"/>
        </w:rPr>
        <w:t>3.3.</w:t>
      </w:r>
      <w:r>
        <w:rPr>
          <w:sz w:val="22"/>
          <w:szCs w:val="22"/>
        </w:rPr>
        <w:t>2</w:t>
      </w:r>
      <w:r w:rsidRPr="00E2558F">
        <w:rPr>
          <w:sz w:val="22"/>
          <w:szCs w:val="22"/>
        </w:rPr>
        <w:t xml:space="preserve"> Podíl nepřímé veřejné podpory </w:t>
      </w:r>
      <w:proofErr w:type="spellStart"/>
      <w:r w:rsidRPr="00E2558F">
        <w:rPr>
          <w:sz w:val="22"/>
          <w:szCs w:val="22"/>
        </w:rPr>
        <w:t>VaV</w:t>
      </w:r>
      <w:proofErr w:type="spellEnd"/>
      <w:r w:rsidRPr="00E2558F">
        <w:rPr>
          <w:sz w:val="22"/>
          <w:szCs w:val="22"/>
        </w:rPr>
        <w:t xml:space="preserve"> na celkových podnikových výdajích na </w:t>
      </w:r>
      <w:proofErr w:type="spellStart"/>
      <w:r w:rsidRPr="00E2558F">
        <w:rPr>
          <w:sz w:val="22"/>
          <w:szCs w:val="22"/>
        </w:rPr>
        <w:t>VaV</w:t>
      </w:r>
      <w:proofErr w:type="spellEnd"/>
    </w:p>
    <w:p w14:paraId="419DB14A" w14:textId="77777777" w:rsidR="007C530B" w:rsidRPr="00875C10" w:rsidRDefault="007C530B" w:rsidP="007C530B">
      <w:pPr>
        <w:spacing w:before="60"/>
        <w:jc w:val="both"/>
        <w:rPr>
          <w:rFonts w:eastAsia="MS Gothic"/>
          <w:b/>
          <w:bCs/>
          <w:szCs w:val="20"/>
        </w:rPr>
      </w:pPr>
      <w:r w:rsidRPr="00A94DFF">
        <w:t xml:space="preserve">Nejvyšší podíl (19,7 %) nepřímé veřejné podpory výzkumu a vývoje na celkových podnikových výdajích na </w:t>
      </w:r>
      <w:proofErr w:type="spellStart"/>
      <w:r w:rsidRPr="00A94DFF">
        <w:t>VaV</w:t>
      </w:r>
      <w:proofErr w:type="spellEnd"/>
      <w:r w:rsidRPr="00A94DFF">
        <w:t xml:space="preserve"> byl v roce 2017 zjištěn ve Francii</w:t>
      </w:r>
      <w:r w:rsidRPr="003F3376">
        <w:t>. Následují Itálie (19 %)</w:t>
      </w:r>
      <w:r>
        <w:t>,</w:t>
      </w:r>
      <w:r w:rsidRPr="003F3376">
        <w:t xml:space="preserve"> Velká Británie (18,8 %) a Portugalsko (17,5 %). </w:t>
      </w:r>
      <w:r w:rsidRPr="00FA7991">
        <w:t xml:space="preserve">V případě České republiky se nepřímá veřejná podpora </w:t>
      </w:r>
      <w:proofErr w:type="spellStart"/>
      <w:r w:rsidRPr="00FA7991">
        <w:t>VaV</w:t>
      </w:r>
      <w:proofErr w:type="spellEnd"/>
      <w:r w:rsidRPr="00FA7991">
        <w:t xml:space="preserve"> podílela na celkových podnikových výdajích na </w:t>
      </w:r>
      <w:proofErr w:type="spellStart"/>
      <w:r w:rsidRPr="00FA7991">
        <w:t>VaV</w:t>
      </w:r>
      <w:proofErr w:type="spellEnd"/>
      <w:r w:rsidRPr="00FA7991">
        <w:t xml:space="preserve"> 4,4 %. Okolo 4% podílu se pohybuje také Japonsko, Jižní K</w:t>
      </w:r>
      <w:r w:rsidRPr="00716A27">
        <w:t xml:space="preserve">orea či Spojené státy. </w:t>
      </w:r>
      <w:r>
        <w:t>Nejn</w:t>
      </w:r>
      <w:r w:rsidRPr="00716A27">
        <w:t xml:space="preserve">ižší podíl nepřímé podpory </w:t>
      </w:r>
      <w:proofErr w:type="spellStart"/>
      <w:r w:rsidRPr="00716A27">
        <w:t>VaV</w:t>
      </w:r>
      <w:proofErr w:type="spellEnd"/>
      <w:r w:rsidRPr="00716A27">
        <w:t xml:space="preserve"> na </w:t>
      </w:r>
      <w:r>
        <w:t>c</w:t>
      </w:r>
      <w:r w:rsidRPr="00716A27">
        <w:t>elkových výda</w:t>
      </w:r>
      <w:r>
        <w:t>j</w:t>
      </w:r>
      <w:r w:rsidRPr="00716A27">
        <w:t xml:space="preserve">ích na </w:t>
      </w:r>
      <w:proofErr w:type="spellStart"/>
      <w:r w:rsidRPr="00716A27">
        <w:t>VaV</w:t>
      </w:r>
      <w:proofErr w:type="spellEnd"/>
      <w:r w:rsidRPr="00716A27">
        <w:t xml:space="preserve"> v podnikatelském sektoru </w:t>
      </w:r>
      <w:r>
        <w:t xml:space="preserve">pak byl v roce 2017 zaznamenán v případě Švédska (0,5 %), Polska (0,8 %), Dánska (1 %) a Řecka (1,9 </w:t>
      </w:r>
      <w:r w:rsidRPr="00875C10">
        <w:rPr>
          <w:szCs w:val="20"/>
        </w:rPr>
        <w:t>%).</w:t>
      </w:r>
    </w:p>
    <w:p w14:paraId="59A74510" w14:textId="4A7521F5" w:rsidR="007C530B" w:rsidRPr="00E2558F" w:rsidRDefault="007C530B" w:rsidP="007C530B">
      <w:pPr>
        <w:spacing w:before="80"/>
        <w:jc w:val="both"/>
        <w:rPr>
          <w:noProof/>
        </w:rPr>
      </w:pPr>
      <w:r w:rsidRPr="00E2558F">
        <w:rPr>
          <w:b/>
        </w:rPr>
        <w:lastRenderedPageBreak/>
        <w:t xml:space="preserve">GRAF </w:t>
      </w:r>
      <w:r>
        <w:rPr>
          <w:b/>
        </w:rPr>
        <w:t>26</w:t>
      </w:r>
      <w:r w:rsidRPr="00E2558F">
        <w:rPr>
          <w:b/>
        </w:rPr>
        <w:t xml:space="preserve">: </w:t>
      </w:r>
      <w:r>
        <w:rPr>
          <w:b/>
        </w:rPr>
        <w:t xml:space="preserve">Podíl nepřímé veřejné podpory na financování </w:t>
      </w:r>
      <w:proofErr w:type="spellStart"/>
      <w:r w:rsidRPr="00E2558F">
        <w:rPr>
          <w:b/>
        </w:rPr>
        <w:t>VaV</w:t>
      </w:r>
      <w:proofErr w:type="spellEnd"/>
      <w:r w:rsidRPr="00E2558F">
        <w:rPr>
          <w:b/>
        </w:rPr>
        <w:t xml:space="preserve"> </w:t>
      </w:r>
      <w:r>
        <w:rPr>
          <w:b/>
        </w:rPr>
        <w:t>v podnikatelském sektoru v</w:t>
      </w:r>
      <w:r w:rsidR="006A622B">
        <w:rPr>
          <w:b/>
        </w:rPr>
        <w:t xml:space="preserve">e vybraných </w:t>
      </w:r>
      <w:r>
        <w:rPr>
          <w:b/>
        </w:rPr>
        <w:t xml:space="preserve">zemích </w:t>
      </w:r>
      <w:r w:rsidRPr="00E2558F">
        <w:rPr>
          <w:b/>
        </w:rPr>
        <w:t>v roce 2017*</w:t>
      </w:r>
      <w:r>
        <w:rPr>
          <w:b/>
        </w:rPr>
        <w:t xml:space="preserve"> (v</w:t>
      </w:r>
      <w:r w:rsidRPr="00E2558F">
        <w:rPr>
          <w:b/>
        </w:rPr>
        <w:t xml:space="preserve"> %</w:t>
      </w:r>
      <w:r>
        <w:rPr>
          <w:b/>
        </w:rPr>
        <w:t>)</w:t>
      </w:r>
      <w:r w:rsidRPr="00E2558F">
        <w:rPr>
          <w:noProof/>
        </w:rPr>
        <w:t xml:space="preserve"> </w:t>
      </w:r>
    </w:p>
    <w:p w14:paraId="01116736" w14:textId="6B9316F5" w:rsidR="007C530B" w:rsidRPr="00886DEC" w:rsidRDefault="007C530B" w:rsidP="007C530B">
      <w:pPr>
        <w:jc w:val="both"/>
        <w:rPr>
          <w:sz w:val="18"/>
        </w:rPr>
      </w:pPr>
      <w:r>
        <w:rPr>
          <w:noProof/>
        </w:rPr>
        <w:drawing>
          <wp:inline distT="0" distB="0" distL="0" distR="0" wp14:anchorId="04E4973D" wp14:editId="0AC0C4FF">
            <wp:extent cx="6120000" cy="3060000"/>
            <wp:effectExtent l="0" t="0" r="0" b="7620"/>
            <wp:docPr id="55" name="Graf 5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14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9"/>
              </a:graphicData>
            </a:graphic>
          </wp:inline>
        </w:drawing>
      </w:r>
    </w:p>
    <w:p w14:paraId="13B1216A" w14:textId="77777777" w:rsidR="007C530B" w:rsidRPr="00CB2392" w:rsidRDefault="007C530B" w:rsidP="007C530B">
      <w:pPr>
        <w:rPr>
          <w:i/>
          <w:sz w:val="16"/>
          <w:szCs w:val="22"/>
        </w:rPr>
      </w:pPr>
      <w:r w:rsidRPr="00CB2392">
        <w:rPr>
          <w:i/>
          <w:sz w:val="16"/>
          <w:szCs w:val="22"/>
        </w:rPr>
        <w:t>* Nebo poslední dostupný rok</w:t>
      </w:r>
    </w:p>
    <w:p w14:paraId="0D5BAC17" w14:textId="77777777" w:rsidR="007C530B" w:rsidRPr="00CB2392" w:rsidRDefault="007C530B" w:rsidP="007C530B">
      <w:pPr>
        <w:jc w:val="both"/>
        <w:rPr>
          <w:i/>
          <w:sz w:val="16"/>
          <w:szCs w:val="22"/>
        </w:rPr>
      </w:pPr>
      <w:r w:rsidRPr="00CB2392">
        <w:rPr>
          <w:i/>
          <w:sz w:val="16"/>
          <w:szCs w:val="22"/>
        </w:rPr>
        <w:t>Zdroj: OECD 2019</w:t>
      </w:r>
    </w:p>
    <w:p w14:paraId="69386E69" w14:textId="463CF1D2" w:rsidR="00DC698A" w:rsidRPr="00E2558F" w:rsidRDefault="007214BF" w:rsidP="00E15008">
      <w:pPr>
        <w:pStyle w:val="Nadpis2"/>
        <w:spacing w:before="240"/>
        <w:jc w:val="both"/>
        <w:rPr>
          <w:sz w:val="22"/>
          <w:szCs w:val="22"/>
        </w:rPr>
      </w:pPr>
      <w:r w:rsidRPr="00E2558F">
        <w:rPr>
          <w:sz w:val="22"/>
          <w:szCs w:val="22"/>
        </w:rPr>
        <w:t>3.3</w:t>
      </w:r>
      <w:r w:rsidR="00DF11D8" w:rsidRPr="00E2558F">
        <w:rPr>
          <w:sz w:val="22"/>
          <w:szCs w:val="22"/>
        </w:rPr>
        <w:t>.</w:t>
      </w:r>
      <w:r w:rsidR="007C530B">
        <w:rPr>
          <w:sz w:val="22"/>
          <w:szCs w:val="22"/>
        </w:rPr>
        <w:t>3</w:t>
      </w:r>
      <w:r w:rsidR="00DF11D8" w:rsidRPr="00E2558F">
        <w:rPr>
          <w:sz w:val="22"/>
          <w:szCs w:val="22"/>
        </w:rPr>
        <w:t xml:space="preserve"> Podíl nepřímé veřejné podpory </w:t>
      </w:r>
      <w:proofErr w:type="spellStart"/>
      <w:r w:rsidR="00DF11D8" w:rsidRPr="00E2558F">
        <w:rPr>
          <w:sz w:val="22"/>
          <w:szCs w:val="22"/>
        </w:rPr>
        <w:t>VaV</w:t>
      </w:r>
      <w:proofErr w:type="spellEnd"/>
      <w:r w:rsidR="00DF11D8" w:rsidRPr="00E2558F">
        <w:rPr>
          <w:sz w:val="22"/>
          <w:szCs w:val="22"/>
        </w:rPr>
        <w:t xml:space="preserve"> na hrubém domácím produktu</w:t>
      </w:r>
    </w:p>
    <w:p w14:paraId="34F094FA" w14:textId="61F62F78" w:rsidR="00124784" w:rsidRPr="00974694" w:rsidRDefault="001775E7" w:rsidP="00E15008">
      <w:pPr>
        <w:spacing w:before="60"/>
        <w:jc w:val="both"/>
      </w:pPr>
      <w:r w:rsidRPr="0022356C">
        <w:t xml:space="preserve">Nejvyšší podíl </w:t>
      </w:r>
      <w:r w:rsidR="00DC698A" w:rsidRPr="0022356C">
        <w:t xml:space="preserve">nepřímé veřejné podpory </w:t>
      </w:r>
      <w:proofErr w:type="spellStart"/>
      <w:r w:rsidR="00B07572" w:rsidRPr="0022356C">
        <w:t>VaV</w:t>
      </w:r>
      <w:proofErr w:type="spellEnd"/>
      <w:r w:rsidR="00B07572" w:rsidRPr="0022356C">
        <w:t xml:space="preserve"> </w:t>
      </w:r>
      <w:r w:rsidR="00232D09" w:rsidRPr="0022356C">
        <w:t>ve vztahu</w:t>
      </w:r>
      <w:r w:rsidR="005932BA" w:rsidRPr="0022356C">
        <w:t xml:space="preserve"> k</w:t>
      </w:r>
      <w:r w:rsidRPr="0022356C">
        <w:t xml:space="preserve"> HDP byl v roce 201</w:t>
      </w:r>
      <w:r w:rsidR="00E77984" w:rsidRPr="0022356C">
        <w:t>7</w:t>
      </w:r>
      <w:r w:rsidRPr="0022356C">
        <w:t xml:space="preserve"> z vybraných ze</w:t>
      </w:r>
      <w:r w:rsidR="00BE3ADF" w:rsidRPr="0022356C">
        <w:t xml:space="preserve">mí OECD </w:t>
      </w:r>
      <w:r w:rsidR="00495330" w:rsidRPr="00E77984">
        <w:t>dosažen v </w:t>
      </w:r>
      <w:r w:rsidR="00410844" w:rsidRPr="00E77984">
        <w:t>Belgii</w:t>
      </w:r>
      <w:r w:rsidR="00495330" w:rsidRPr="00E77984">
        <w:t xml:space="preserve"> (0,</w:t>
      </w:r>
      <w:r w:rsidR="00410844" w:rsidRPr="00974694">
        <w:t>30</w:t>
      </w:r>
      <w:r w:rsidR="00495330" w:rsidRPr="00974694">
        <w:t xml:space="preserve"> %). </w:t>
      </w:r>
      <w:r w:rsidR="00113CF2" w:rsidRPr="00974694">
        <w:t>Vysoký podíl</w:t>
      </w:r>
      <w:r w:rsidR="00E77984" w:rsidRPr="00974694">
        <w:t>, nad 0,20 %,</w:t>
      </w:r>
      <w:r w:rsidR="00BE3ADF" w:rsidRPr="00974694">
        <w:t xml:space="preserve"> </w:t>
      </w:r>
      <w:r w:rsidR="00113CF2" w:rsidRPr="00974694">
        <w:t xml:space="preserve">byl zaznamenán </w:t>
      </w:r>
      <w:r w:rsidR="0037774A">
        <w:t xml:space="preserve">i </w:t>
      </w:r>
      <w:r w:rsidR="00113CF2" w:rsidRPr="00974694">
        <w:t>ve Francii</w:t>
      </w:r>
      <w:r w:rsidR="00E77984" w:rsidRPr="00974694">
        <w:t xml:space="preserve"> </w:t>
      </w:r>
      <w:r w:rsidR="00113CF2" w:rsidRPr="00974694">
        <w:t xml:space="preserve">a </w:t>
      </w:r>
      <w:r w:rsidR="0037774A">
        <w:t xml:space="preserve">ve </w:t>
      </w:r>
      <w:r w:rsidR="00E77984" w:rsidRPr="00974694">
        <w:t>Velké Británii</w:t>
      </w:r>
      <w:r w:rsidR="00113CF2" w:rsidRPr="00974694">
        <w:t xml:space="preserve">. </w:t>
      </w:r>
      <w:r w:rsidR="003071E1" w:rsidRPr="00974694">
        <w:t>V</w:t>
      </w:r>
      <w:r w:rsidR="00113CF2" w:rsidRPr="00974694">
        <w:t> uvedených</w:t>
      </w:r>
      <w:r w:rsidR="00495330" w:rsidRPr="00974694">
        <w:t xml:space="preserve"> zemích</w:t>
      </w:r>
      <w:r w:rsidR="00B07572" w:rsidRPr="00974694">
        <w:t xml:space="preserve"> </w:t>
      </w:r>
      <w:r w:rsidR="00113CF2" w:rsidRPr="00974694">
        <w:t>obdržely podniky</w:t>
      </w:r>
      <w:r w:rsidR="000213B5" w:rsidRPr="00974694">
        <w:t xml:space="preserve"> formou daňové podpory </w:t>
      </w:r>
      <w:proofErr w:type="spellStart"/>
      <w:r w:rsidR="000213B5" w:rsidRPr="00974694">
        <w:t>VaV</w:t>
      </w:r>
      <w:proofErr w:type="spellEnd"/>
      <w:r w:rsidR="000213B5" w:rsidRPr="00974694">
        <w:t xml:space="preserve"> více než</w:t>
      </w:r>
      <w:r w:rsidR="001D1211" w:rsidRPr="00974694">
        <w:t xml:space="preserve"> dvakrát větší příspěvek než v </w:t>
      </w:r>
      <w:r w:rsidR="00113CF2" w:rsidRPr="00974694">
        <w:t>případě přímé domácí veřejné podpory</w:t>
      </w:r>
      <w:r w:rsidR="00B822E5" w:rsidRPr="00974694">
        <w:t xml:space="preserve">. </w:t>
      </w:r>
      <w:r w:rsidRPr="00974694">
        <w:t>Česk</w:t>
      </w:r>
      <w:r w:rsidR="00410844" w:rsidRPr="00974694">
        <w:t>á</w:t>
      </w:r>
      <w:r w:rsidRPr="00974694">
        <w:t xml:space="preserve"> republik</w:t>
      </w:r>
      <w:r w:rsidR="00410844" w:rsidRPr="00974694">
        <w:t>a</w:t>
      </w:r>
      <w:r w:rsidR="00CE56E4" w:rsidRPr="00974694">
        <w:t xml:space="preserve"> se</w:t>
      </w:r>
      <w:r w:rsidRPr="00974694">
        <w:t xml:space="preserve"> </w:t>
      </w:r>
      <w:r w:rsidR="00CE56E4" w:rsidRPr="00974694">
        <w:t xml:space="preserve">s </w:t>
      </w:r>
      <w:r w:rsidRPr="00974694">
        <w:t>podíl</w:t>
      </w:r>
      <w:r w:rsidR="00CE56E4" w:rsidRPr="00974694">
        <w:t>em</w:t>
      </w:r>
      <w:r w:rsidRPr="00974694">
        <w:t xml:space="preserve"> </w:t>
      </w:r>
      <w:r w:rsidR="005C22C7" w:rsidRPr="00974694">
        <w:t>nepřímé veřejné podpory</w:t>
      </w:r>
      <w:r w:rsidR="00B07572" w:rsidRPr="00974694">
        <w:t xml:space="preserve"> </w:t>
      </w:r>
      <w:proofErr w:type="spellStart"/>
      <w:r w:rsidR="00B07572" w:rsidRPr="00974694">
        <w:t>VaV</w:t>
      </w:r>
      <w:proofErr w:type="spellEnd"/>
      <w:r w:rsidR="00B07572" w:rsidRPr="00974694">
        <w:t xml:space="preserve"> </w:t>
      </w:r>
      <w:r w:rsidRPr="00974694">
        <w:t xml:space="preserve">k HDP </w:t>
      </w:r>
      <w:r w:rsidR="00CE56E4" w:rsidRPr="00974694">
        <w:t xml:space="preserve">ve výši </w:t>
      </w:r>
      <w:r w:rsidR="00E42577" w:rsidRPr="00974694">
        <w:t>0,0</w:t>
      </w:r>
      <w:r w:rsidR="00410844" w:rsidRPr="00974694">
        <w:t>5</w:t>
      </w:r>
      <w:r w:rsidR="00710C31" w:rsidRPr="00974694">
        <w:t> </w:t>
      </w:r>
      <w:r w:rsidRPr="00974694">
        <w:t>%</w:t>
      </w:r>
      <w:r w:rsidR="00710C31" w:rsidRPr="00974694">
        <w:t xml:space="preserve"> </w:t>
      </w:r>
      <w:r w:rsidRPr="00974694">
        <w:t xml:space="preserve">ocitla </w:t>
      </w:r>
      <w:r w:rsidR="004843F9" w:rsidRPr="00974694">
        <w:t xml:space="preserve">na úrovni </w:t>
      </w:r>
      <w:r w:rsidR="00974694" w:rsidRPr="00974694">
        <w:t>Maďarska</w:t>
      </w:r>
      <w:r w:rsidR="004843F9" w:rsidRPr="00974694">
        <w:t xml:space="preserve"> </w:t>
      </w:r>
      <w:r w:rsidR="00974694" w:rsidRPr="00974694">
        <w:t>a Španělska</w:t>
      </w:r>
      <w:r w:rsidR="00410844" w:rsidRPr="00974694">
        <w:t>.</w:t>
      </w:r>
      <w:r w:rsidR="00A81347" w:rsidRPr="00974694">
        <w:t xml:space="preserve"> </w:t>
      </w:r>
      <w:r w:rsidR="000213B5" w:rsidRPr="00974694">
        <w:t xml:space="preserve">V rámci </w:t>
      </w:r>
      <w:r w:rsidRPr="00974694">
        <w:t>členských zemí EU</w:t>
      </w:r>
      <w:r w:rsidR="000213B5" w:rsidRPr="00974694">
        <w:t>, které přistoupily do EU v roce 2004,</w:t>
      </w:r>
      <w:r w:rsidRPr="00974694">
        <w:t xml:space="preserve"> j</w:t>
      </w:r>
      <w:r w:rsidR="00F638C8" w:rsidRPr="00974694">
        <w:t>sou</w:t>
      </w:r>
      <w:r w:rsidRPr="00974694">
        <w:t xml:space="preserve"> na tom </w:t>
      </w:r>
      <w:r w:rsidR="00974694" w:rsidRPr="00974694">
        <w:t xml:space="preserve">výrazně </w:t>
      </w:r>
      <w:r w:rsidRPr="00974694">
        <w:t>lépe než Č</w:t>
      </w:r>
      <w:r w:rsidR="0037774A">
        <w:t>esko</w:t>
      </w:r>
      <w:r w:rsidRPr="00974694">
        <w:t xml:space="preserve"> pouze </w:t>
      </w:r>
      <w:r w:rsidR="007201E8" w:rsidRPr="00974694">
        <w:t>Slovinsko</w:t>
      </w:r>
      <w:r w:rsidR="00410844" w:rsidRPr="00974694">
        <w:t xml:space="preserve"> </w:t>
      </w:r>
      <w:r w:rsidR="00974694" w:rsidRPr="00974694">
        <w:t>s téměř dvojnásobným podílem</w:t>
      </w:r>
      <w:r w:rsidR="0037774A">
        <w:t>.</w:t>
      </w:r>
      <w:r w:rsidR="00CC3D30" w:rsidRPr="00974694">
        <w:t xml:space="preserve"> Slovensko má naopak oproti Č</w:t>
      </w:r>
      <w:r w:rsidR="0037774A">
        <w:t>esku</w:t>
      </w:r>
      <w:r w:rsidR="00CC3D30" w:rsidRPr="00974694">
        <w:t xml:space="preserve"> vý</w:t>
      </w:r>
      <w:r w:rsidR="00974694" w:rsidRPr="00974694">
        <w:t>razně menší podíl</w:t>
      </w:r>
      <w:r w:rsidR="00CC3D30" w:rsidRPr="00974694">
        <w:t>.</w:t>
      </w:r>
      <w:r w:rsidRPr="00974694">
        <w:t xml:space="preserve"> </w:t>
      </w:r>
    </w:p>
    <w:p w14:paraId="37B47FCA" w14:textId="65D43661" w:rsidR="00CB2392" w:rsidRDefault="00CB2392" w:rsidP="0037774A">
      <w:pPr>
        <w:spacing w:before="120"/>
        <w:jc w:val="both"/>
      </w:pPr>
      <w:r w:rsidRPr="00F87C49">
        <w:rPr>
          <w:b/>
        </w:rPr>
        <w:t xml:space="preserve">GRAF </w:t>
      </w:r>
      <w:r>
        <w:rPr>
          <w:b/>
        </w:rPr>
        <w:t>2</w:t>
      </w:r>
      <w:r w:rsidR="007C530B">
        <w:rPr>
          <w:b/>
        </w:rPr>
        <w:t>7</w:t>
      </w:r>
      <w:r w:rsidRPr="00F87C49">
        <w:rPr>
          <w:b/>
        </w:rPr>
        <w:t xml:space="preserve">: </w:t>
      </w:r>
      <w:r w:rsidR="006A622B">
        <w:rPr>
          <w:b/>
        </w:rPr>
        <w:t>Podíl n</w:t>
      </w:r>
      <w:r w:rsidRPr="00F87C49">
        <w:rPr>
          <w:b/>
        </w:rPr>
        <w:t>epřím</w:t>
      </w:r>
      <w:r w:rsidR="006A622B">
        <w:rPr>
          <w:b/>
        </w:rPr>
        <w:t>é</w:t>
      </w:r>
      <w:r w:rsidRPr="00F87C49">
        <w:rPr>
          <w:b/>
        </w:rPr>
        <w:t xml:space="preserve"> veřejn</w:t>
      </w:r>
      <w:r w:rsidR="006A622B">
        <w:rPr>
          <w:b/>
        </w:rPr>
        <w:t>é</w:t>
      </w:r>
      <w:r w:rsidRPr="00F87C49">
        <w:rPr>
          <w:b/>
        </w:rPr>
        <w:t xml:space="preserve"> podpor</w:t>
      </w:r>
      <w:r w:rsidR="006A622B">
        <w:rPr>
          <w:b/>
        </w:rPr>
        <w:t>y</w:t>
      </w:r>
      <w:r w:rsidRPr="00F87C49">
        <w:rPr>
          <w:b/>
        </w:rPr>
        <w:t xml:space="preserve"> </w:t>
      </w:r>
      <w:proofErr w:type="spellStart"/>
      <w:r w:rsidRPr="00F87C49">
        <w:rPr>
          <w:b/>
        </w:rPr>
        <w:t>VaV</w:t>
      </w:r>
      <w:proofErr w:type="spellEnd"/>
      <w:r w:rsidRPr="00F87C49">
        <w:rPr>
          <w:b/>
        </w:rPr>
        <w:t xml:space="preserve"> ve vybraných zemích</w:t>
      </w:r>
      <w:r w:rsidR="006A622B">
        <w:rPr>
          <w:b/>
        </w:rPr>
        <w:t xml:space="preserve"> na HDP</w:t>
      </w:r>
      <w:r w:rsidRPr="00F87C49">
        <w:rPr>
          <w:b/>
        </w:rPr>
        <w:t xml:space="preserve"> v roce 2017*</w:t>
      </w:r>
      <w:r w:rsidR="006A622B">
        <w:rPr>
          <w:b/>
        </w:rPr>
        <w:t xml:space="preserve"> (v</w:t>
      </w:r>
      <w:r w:rsidRPr="00F87C49">
        <w:rPr>
          <w:b/>
        </w:rPr>
        <w:t xml:space="preserve"> %</w:t>
      </w:r>
      <w:r w:rsidR="006A622B">
        <w:rPr>
          <w:b/>
        </w:rPr>
        <w:t>)</w:t>
      </w:r>
      <w:r w:rsidRPr="00F87C49">
        <w:rPr>
          <w:b/>
        </w:rPr>
        <w:t xml:space="preserve"> </w:t>
      </w:r>
      <w:r w:rsidRPr="00F87C49">
        <w:rPr>
          <w:noProof/>
        </w:rPr>
        <w:t xml:space="preserve"> </w:t>
      </w:r>
    </w:p>
    <w:p w14:paraId="1DE5EB75" w14:textId="22120B3C" w:rsidR="00CB2392" w:rsidRPr="00764849" w:rsidRDefault="007C530B" w:rsidP="00E15008">
      <w:pPr>
        <w:spacing w:before="60"/>
        <w:jc w:val="both"/>
      </w:pPr>
      <w:r>
        <w:rPr>
          <w:noProof/>
        </w:rPr>
        <w:drawing>
          <wp:inline distT="0" distB="0" distL="0" distR="0" wp14:anchorId="2945D477" wp14:editId="0F17E35C">
            <wp:extent cx="6120000" cy="3060000"/>
            <wp:effectExtent l="0" t="0" r="0" b="7620"/>
            <wp:docPr id="38" name="Graf 38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14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0"/>
              </a:graphicData>
            </a:graphic>
          </wp:inline>
        </w:drawing>
      </w:r>
    </w:p>
    <w:p w14:paraId="664E1CC2" w14:textId="6CF2E653" w:rsidR="00F87C49" w:rsidRPr="00CB2392" w:rsidRDefault="00F87C49" w:rsidP="00F87C49">
      <w:pPr>
        <w:spacing w:before="120"/>
        <w:rPr>
          <w:i/>
          <w:sz w:val="16"/>
          <w:szCs w:val="22"/>
        </w:rPr>
      </w:pPr>
      <w:r w:rsidRPr="00CB2392">
        <w:rPr>
          <w:i/>
          <w:sz w:val="16"/>
          <w:szCs w:val="22"/>
        </w:rPr>
        <w:t>* Nebo poslední dostupný rok</w:t>
      </w:r>
    </w:p>
    <w:p w14:paraId="5DB23B75" w14:textId="4FECC2B7" w:rsidR="00F87C49" w:rsidRDefault="00F87C49" w:rsidP="00F87C49">
      <w:pPr>
        <w:jc w:val="both"/>
        <w:rPr>
          <w:i/>
          <w:sz w:val="16"/>
          <w:szCs w:val="22"/>
        </w:rPr>
      </w:pPr>
      <w:r w:rsidRPr="00CB2392">
        <w:rPr>
          <w:i/>
          <w:sz w:val="16"/>
          <w:szCs w:val="22"/>
        </w:rPr>
        <w:t>Zdroj: OECD 2019</w:t>
      </w:r>
    </w:p>
    <w:sectPr w:rsidR="00F87C49" w:rsidSect="00C1798C">
      <w:headerReference w:type="even" r:id="rId41"/>
      <w:headerReference w:type="default" r:id="rId42"/>
      <w:footerReference w:type="even" r:id="rId43"/>
      <w:footerReference w:type="default" r:id="rId44"/>
      <w:pgSz w:w="11906" w:h="16838" w:code="9"/>
      <w:pgMar w:top="1134" w:right="1134" w:bottom="1418" w:left="1134" w:header="680" w:footer="680" w:gutter="0"/>
      <w:pgNumType w:start="1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235D866" w16cex:dateUtc="2020-04-06T14:33:00Z"/>
  <w16cex:commentExtensible w16cex:durableId="2235BD39" w16cex:dateUtc="2020-04-06T12:37:00Z"/>
  <w16cex:commentExtensible w16cex:durableId="2235BF74" w16cex:dateUtc="2020-04-06T12:47:00Z"/>
  <w16cex:commentExtensible w16cex:durableId="2235C02A" w16cex:dateUtc="2020-04-06T12:50:00Z"/>
  <w16cex:commentExtensible w16cex:durableId="2235C2FA" w16cex:dateUtc="2020-04-06T13:02:00Z"/>
  <w16cex:commentExtensible w16cex:durableId="2235C43A" w16cex:dateUtc="2020-04-06T13:07:00Z"/>
  <w16cex:commentExtensible w16cex:durableId="2235C634" w16cex:dateUtc="2020-04-06T13:16:00Z"/>
  <w16cex:commentExtensible w16cex:durableId="2235C8BD" w16cex:dateUtc="2020-04-06T13:26:00Z"/>
  <w16cex:commentExtensible w16cex:durableId="2235CD21" w16cex:dateUtc="2020-04-06T13:45:00Z"/>
  <w16cex:commentExtensible w16cex:durableId="2235CD68" w16cex:dateUtc="2020-04-06T13:46:00Z"/>
  <w16cex:commentExtensible w16cex:durableId="2235C81F" w16cex:dateUtc="2020-04-06T13:24:00Z"/>
  <w16cex:commentExtensible w16cex:durableId="2235D14F" w16cex:dateUtc="2020-04-06T14:03:00Z"/>
  <w16cex:commentExtensible w16cex:durableId="2235D232" w16cex:dateUtc="2020-04-06T14:07:00Z"/>
  <w16cex:commentExtensible w16cex:durableId="2235D518" w16cex:dateUtc="2020-04-06T14:19:00Z"/>
  <w16cex:commentExtensible w16cex:durableId="2235D597" w16cex:dateUtc="2020-04-06T14:21:00Z"/>
  <w16cex:commentExtensible w16cex:durableId="2235D6E0" w16cex:dateUtc="2020-04-06T14:2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620EBFE9" w16cid:durableId="2235D866"/>
  <w16cid:commentId w16cid:paraId="12972934" w16cid:durableId="2235BD39"/>
  <w16cid:commentId w16cid:paraId="37B3D031" w16cid:durableId="2235BF74"/>
  <w16cid:commentId w16cid:paraId="37F4D393" w16cid:durableId="2235C02A"/>
  <w16cid:commentId w16cid:paraId="0F73DF8D" w16cid:durableId="2235C2FA"/>
  <w16cid:commentId w16cid:paraId="41525E96" w16cid:durableId="2235C43A"/>
  <w16cid:commentId w16cid:paraId="4B0A4817" w16cid:durableId="2235C634"/>
  <w16cid:commentId w16cid:paraId="0F4B4F9F" w16cid:durableId="2235C8BD"/>
  <w16cid:commentId w16cid:paraId="10F8EC46" w16cid:durableId="2235CD21"/>
  <w16cid:commentId w16cid:paraId="07C51A7A" w16cid:durableId="2235CD68"/>
  <w16cid:commentId w16cid:paraId="603AAC39" w16cid:durableId="2235C81F"/>
  <w16cid:commentId w16cid:paraId="02B37EB9" w16cid:durableId="2235D14F"/>
  <w16cid:commentId w16cid:paraId="03C5DBA6" w16cid:durableId="2235D232"/>
  <w16cid:commentId w16cid:paraId="26D65722" w16cid:durableId="2235D518"/>
  <w16cid:commentId w16cid:paraId="7679F1F1" w16cid:durableId="2235D597"/>
  <w16cid:commentId w16cid:paraId="31185C03" w16cid:durableId="2235D6E0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EB8E1E3" w14:textId="77777777" w:rsidR="002D779D" w:rsidRDefault="002D779D" w:rsidP="00E71A58">
      <w:r>
        <w:separator/>
      </w:r>
    </w:p>
  </w:endnote>
  <w:endnote w:type="continuationSeparator" w:id="0">
    <w:p w14:paraId="3F4FAEF1" w14:textId="77777777" w:rsidR="002D779D" w:rsidRDefault="002D779D" w:rsidP="00E71A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charset w:val="00"/>
    <w:family w:val="auto"/>
    <w:pitch w:val="variable"/>
    <w:sig w:usb0="60000287" w:usb1="00000001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2511A2" w14:textId="0799F7FD" w:rsidR="00CB2392" w:rsidRPr="00214585" w:rsidRDefault="00CB2392" w:rsidP="00214585">
    <w:pPr>
      <w:pStyle w:val="Zpat"/>
      <w:rPr>
        <w:rFonts w:ascii="Arial" w:hAnsi="Arial" w:cs="Arial"/>
        <w:sz w:val="16"/>
        <w:szCs w:val="16"/>
      </w:rPr>
    </w:pPr>
    <w:r w:rsidRPr="00214585">
      <w:rPr>
        <w:rFonts w:ascii="Arial" w:hAnsi="Arial" w:cs="Arial"/>
        <w:noProof/>
        <w:sz w:val="16"/>
        <w:szCs w:val="16"/>
        <w:lang w:eastAsia="cs-CZ"/>
      </w:rPr>
      <w:drawing>
        <wp:anchor distT="0" distB="0" distL="114300" distR="114300" simplePos="0" relativeHeight="251659264" behindDoc="0" locked="0" layoutInCell="1" allowOverlap="1" wp14:anchorId="79AB4D95" wp14:editId="3BCC4C6F">
          <wp:simplePos x="0" y="0"/>
          <wp:positionH relativeFrom="column">
            <wp:align>right</wp:align>
          </wp:positionH>
          <wp:positionV relativeFrom="paragraph">
            <wp:posOffset>-64770</wp:posOffset>
          </wp:positionV>
          <wp:extent cx="428625" cy="201295"/>
          <wp:effectExtent l="0" t="0" r="3175" b="1905"/>
          <wp:wrapNone/>
          <wp:docPr id="3" name="Picture 11" descr="CSU RGB CZ 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SU RGB CZ logo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2012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14585">
      <w:rPr>
        <w:rFonts w:ascii="Arial" w:hAnsi="Arial" w:cs="Arial"/>
        <w:sz w:val="16"/>
        <w:szCs w:val="16"/>
      </w:rPr>
      <w:fldChar w:fldCharType="begin"/>
    </w:r>
    <w:r w:rsidRPr="00214585">
      <w:rPr>
        <w:rFonts w:ascii="Arial" w:hAnsi="Arial" w:cs="Arial"/>
        <w:sz w:val="16"/>
        <w:szCs w:val="16"/>
      </w:rPr>
      <w:instrText>PAGE   \* MERGEFORMAT</w:instrText>
    </w:r>
    <w:r w:rsidRPr="00214585">
      <w:rPr>
        <w:rFonts w:ascii="Arial" w:hAnsi="Arial" w:cs="Arial"/>
        <w:sz w:val="16"/>
        <w:szCs w:val="16"/>
      </w:rPr>
      <w:fldChar w:fldCharType="separate"/>
    </w:r>
    <w:r w:rsidR="001062CA">
      <w:rPr>
        <w:rFonts w:ascii="Arial" w:hAnsi="Arial" w:cs="Arial"/>
        <w:noProof/>
        <w:sz w:val="16"/>
        <w:szCs w:val="16"/>
      </w:rPr>
      <w:t>16</w:t>
    </w:r>
    <w:r w:rsidRPr="00214585">
      <w:rPr>
        <w:rFonts w:ascii="Arial" w:hAnsi="Arial" w:cs="Arial"/>
        <w:sz w:val="16"/>
        <w:szCs w:val="16"/>
      </w:rPr>
      <w:fldChar w:fldCharType="end"/>
    </w:r>
    <w:r w:rsidRPr="00214585">
      <w:rPr>
        <w:rFonts w:ascii="Arial" w:hAnsi="Arial" w:cs="Arial"/>
        <w:sz w:val="16"/>
        <w:szCs w:val="16"/>
      </w:rPr>
      <w:tab/>
    </w:r>
    <w:r>
      <w:rPr>
        <w:rFonts w:ascii="Arial" w:hAnsi="Arial" w:cs="Arial"/>
        <w:sz w:val="16"/>
        <w:szCs w:val="16"/>
      </w:rPr>
      <w:t>2018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897443" w14:textId="3A8F2A20" w:rsidR="00CB2392" w:rsidRDefault="00CB2392" w:rsidP="003A6B38">
    <w:pPr>
      <w:pStyle w:val="Zpat"/>
      <w:tabs>
        <w:tab w:val="clear" w:pos="4536"/>
        <w:tab w:val="clear" w:pos="9072"/>
        <w:tab w:val="left" w:pos="1134"/>
        <w:tab w:val="left" w:pos="1920"/>
        <w:tab w:val="center" w:pos="4820"/>
        <w:tab w:val="right" w:pos="9639"/>
      </w:tabs>
    </w:pPr>
    <w:r>
      <w:rPr>
        <w:noProof/>
        <w:lang w:eastAsia="cs-CZ"/>
      </w:rPr>
      <w:drawing>
        <wp:anchor distT="0" distB="0" distL="114300" distR="114300" simplePos="0" relativeHeight="251657216" behindDoc="0" locked="0" layoutInCell="1" allowOverlap="1" wp14:anchorId="26D220DB" wp14:editId="66433FDB">
          <wp:simplePos x="0" y="0"/>
          <wp:positionH relativeFrom="column">
            <wp:posOffset>3810</wp:posOffset>
          </wp:positionH>
          <wp:positionV relativeFrom="paragraph">
            <wp:posOffset>90170</wp:posOffset>
          </wp:positionV>
          <wp:extent cx="495300" cy="266700"/>
          <wp:effectExtent l="0" t="0" r="0" b="0"/>
          <wp:wrapNone/>
          <wp:docPr id="8" name="obrázek 3" descr="Description: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 descr="Description: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5300" cy="2667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ab/>
    </w:r>
  </w:p>
  <w:p w14:paraId="083E0D94" w14:textId="75BB041E" w:rsidR="00CB2392" w:rsidRDefault="00CB2392" w:rsidP="003C7FCB">
    <w:pPr>
      <w:pStyle w:val="Zpat"/>
      <w:tabs>
        <w:tab w:val="clear" w:pos="4536"/>
        <w:tab w:val="clear" w:pos="9072"/>
        <w:tab w:val="left" w:pos="1134"/>
        <w:tab w:val="left" w:pos="1920"/>
        <w:tab w:val="center" w:pos="4820"/>
        <w:tab w:val="left" w:pos="9356"/>
        <w:tab w:val="right" w:pos="9639"/>
      </w:tabs>
    </w:pPr>
    <w:r>
      <w:rPr>
        <w:rFonts w:ascii="Arial" w:hAnsi="Arial" w:cs="Arial"/>
        <w:sz w:val="16"/>
        <w:szCs w:val="16"/>
      </w:rPr>
      <w:tab/>
    </w:r>
    <w:r>
      <w:rPr>
        <w:rFonts w:ascii="Arial" w:hAnsi="Arial" w:cs="Arial"/>
        <w:sz w:val="16"/>
        <w:szCs w:val="16"/>
      </w:rPr>
      <w:tab/>
    </w:r>
    <w:r>
      <w:rPr>
        <w:rFonts w:ascii="Arial" w:hAnsi="Arial" w:cs="Arial"/>
        <w:sz w:val="16"/>
        <w:szCs w:val="16"/>
      </w:rPr>
      <w:tab/>
      <w:t>2018</w:t>
    </w:r>
    <w:r>
      <w:tab/>
    </w:r>
    <w:r>
      <w:tab/>
    </w:r>
    <w:r w:rsidRPr="00B6608F">
      <w:rPr>
        <w:rFonts w:ascii="Arial" w:hAnsi="Arial" w:cs="Arial"/>
        <w:sz w:val="16"/>
        <w:szCs w:val="16"/>
      </w:rPr>
      <w:fldChar w:fldCharType="begin"/>
    </w:r>
    <w:r w:rsidRPr="00B6608F">
      <w:rPr>
        <w:rFonts w:ascii="Arial" w:hAnsi="Arial" w:cs="Arial"/>
        <w:sz w:val="16"/>
        <w:szCs w:val="16"/>
      </w:rPr>
      <w:instrText>PAGE   \* MERGEFORMAT</w:instrText>
    </w:r>
    <w:r w:rsidRPr="00B6608F">
      <w:rPr>
        <w:rFonts w:ascii="Arial" w:hAnsi="Arial" w:cs="Arial"/>
        <w:sz w:val="16"/>
        <w:szCs w:val="16"/>
      </w:rPr>
      <w:fldChar w:fldCharType="separate"/>
    </w:r>
    <w:r w:rsidR="001062CA">
      <w:rPr>
        <w:rFonts w:ascii="Arial" w:hAnsi="Arial" w:cs="Arial"/>
        <w:noProof/>
        <w:sz w:val="16"/>
        <w:szCs w:val="16"/>
      </w:rPr>
      <w:t>15</w:t>
    </w:r>
    <w:r w:rsidRPr="00B6608F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C5C4E4" w14:textId="77777777" w:rsidR="002D779D" w:rsidRDefault="002D779D" w:rsidP="00E71A58">
      <w:r>
        <w:separator/>
      </w:r>
    </w:p>
  </w:footnote>
  <w:footnote w:type="continuationSeparator" w:id="0">
    <w:p w14:paraId="24897AF0" w14:textId="77777777" w:rsidR="002D779D" w:rsidRDefault="002D779D" w:rsidP="00E71A58">
      <w:r>
        <w:continuationSeparator/>
      </w:r>
    </w:p>
  </w:footnote>
  <w:footnote w:id="1">
    <w:p w14:paraId="408063BA" w14:textId="7B72FF48" w:rsidR="00CB2392" w:rsidRPr="006505D0" w:rsidRDefault="00CB2392" w:rsidP="006505D0">
      <w:pPr>
        <w:pStyle w:val="Textpoznpodarou"/>
        <w:spacing w:after="60"/>
        <w:rPr>
          <w:sz w:val="16"/>
          <w:szCs w:val="18"/>
        </w:rPr>
      </w:pPr>
      <w:r w:rsidRPr="006505D0">
        <w:rPr>
          <w:rStyle w:val="Znakapoznpodarou"/>
          <w:sz w:val="16"/>
          <w:szCs w:val="18"/>
        </w:rPr>
        <w:footnoteRef/>
      </w:r>
      <w:r w:rsidRPr="006505D0">
        <w:rPr>
          <w:sz w:val="16"/>
          <w:szCs w:val="18"/>
        </w:rPr>
        <w:t xml:space="preserve"> Kromě soukromých podniků mohou využívat nepřímou veřejnou podporu </w:t>
      </w:r>
      <w:proofErr w:type="spellStart"/>
      <w:r w:rsidRPr="006505D0">
        <w:rPr>
          <w:sz w:val="16"/>
          <w:szCs w:val="18"/>
        </w:rPr>
        <w:t>VaV</w:t>
      </w:r>
      <w:proofErr w:type="spellEnd"/>
      <w:r w:rsidRPr="006505D0">
        <w:rPr>
          <w:sz w:val="16"/>
          <w:szCs w:val="18"/>
        </w:rPr>
        <w:t xml:space="preserve"> i ostatní právnické osoby, mezi které patří například podniky veřejné. Jejich počet je však velmi nízký a s těmito subjekty v analýze dále nepracujeme. Daňovou podporu </w:t>
      </w:r>
      <w:proofErr w:type="spellStart"/>
      <w:r w:rsidRPr="006505D0">
        <w:rPr>
          <w:sz w:val="16"/>
          <w:szCs w:val="18"/>
        </w:rPr>
        <w:t>VaV</w:t>
      </w:r>
      <w:proofErr w:type="spellEnd"/>
      <w:r w:rsidRPr="006505D0">
        <w:rPr>
          <w:sz w:val="16"/>
          <w:szCs w:val="18"/>
        </w:rPr>
        <w:t xml:space="preserve"> v roce 2018 využilo pouze 6 veřejných podniků ze 44, které prováděly </w:t>
      </w:r>
      <w:proofErr w:type="spellStart"/>
      <w:r w:rsidRPr="006505D0">
        <w:rPr>
          <w:sz w:val="16"/>
          <w:szCs w:val="18"/>
        </w:rPr>
        <w:t>VaV</w:t>
      </w:r>
      <w:proofErr w:type="spellEnd"/>
      <w:r w:rsidRPr="006505D0">
        <w:rPr>
          <w:sz w:val="16"/>
          <w:szCs w:val="18"/>
        </w:rPr>
        <w:t xml:space="preserve">. Z pohledu souhrnné částky veřejné nepřímé podpory (2,6 mld. Kč) si odečetly zanedbatelných 7 mil. korun. Tyto podniky jednoznačně preferují přímou veřejnou podporu </w:t>
      </w:r>
      <w:proofErr w:type="spellStart"/>
      <w:r w:rsidRPr="006505D0">
        <w:rPr>
          <w:sz w:val="16"/>
          <w:szCs w:val="18"/>
        </w:rPr>
        <w:t>VaV</w:t>
      </w:r>
      <w:proofErr w:type="spellEnd"/>
      <w:r w:rsidRPr="006505D0">
        <w:rPr>
          <w:sz w:val="16"/>
          <w:szCs w:val="18"/>
        </w:rPr>
        <w:t>.</w:t>
      </w:r>
    </w:p>
  </w:footnote>
  <w:footnote w:id="2">
    <w:p w14:paraId="6F1E1BDE" w14:textId="77777777" w:rsidR="00CB2392" w:rsidRPr="008E3D7C" w:rsidRDefault="00CB2392" w:rsidP="006505D0">
      <w:pPr>
        <w:pStyle w:val="Textpoznpodarou"/>
        <w:spacing w:after="60"/>
        <w:rPr>
          <w:sz w:val="18"/>
          <w:szCs w:val="18"/>
        </w:rPr>
      </w:pPr>
      <w:r w:rsidRPr="006505D0">
        <w:rPr>
          <w:rStyle w:val="Znakapoznpodarou"/>
          <w:sz w:val="16"/>
          <w:szCs w:val="18"/>
        </w:rPr>
        <w:footnoteRef/>
      </w:r>
      <w:r w:rsidRPr="006505D0">
        <w:rPr>
          <w:sz w:val="16"/>
          <w:szCs w:val="18"/>
        </w:rPr>
        <w:t xml:space="preserve"> Výpočet nepřímé veřejné podpory </w:t>
      </w:r>
      <w:proofErr w:type="spellStart"/>
      <w:r w:rsidRPr="006505D0">
        <w:rPr>
          <w:sz w:val="16"/>
          <w:szCs w:val="18"/>
        </w:rPr>
        <w:t>VaV</w:t>
      </w:r>
      <w:proofErr w:type="spellEnd"/>
      <w:r w:rsidRPr="006505D0">
        <w:rPr>
          <w:sz w:val="16"/>
          <w:szCs w:val="18"/>
        </w:rPr>
        <w:t xml:space="preserve"> (</w:t>
      </w:r>
      <w:proofErr w:type="spellStart"/>
      <w:r w:rsidRPr="006505D0">
        <w:rPr>
          <w:b/>
          <w:sz w:val="16"/>
          <w:szCs w:val="18"/>
        </w:rPr>
        <w:t>NVPVaV</w:t>
      </w:r>
      <w:proofErr w:type="spellEnd"/>
      <w:r w:rsidRPr="006505D0">
        <w:rPr>
          <w:b/>
          <w:sz w:val="16"/>
          <w:szCs w:val="18"/>
        </w:rPr>
        <w:t xml:space="preserve"> = uplatněné náklady (výdaje) na </w:t>
      </w:r>
      <w:proofErr w:type="spellStart"/>
      <w:r w:rsidRPr="006505D0">
        <w:rPr>
          <w:b/>
          <w:sz w:val="16"/>
          <w:szCs w:val="18"/>
        </w:rPr>
        <w:t>VaV</w:t>
      </w:r>
      <w:proofErr w:type="spellEnd"/>
      <w:r w:rsidRPr="006505D0">
        <w:rPr>
          <w:b/>
          <w:sz w:val="16"/>
          <w:szCs w:val="18"/>
        </w:rPr>
        <w:t xml:space="preserve"> * sazba daně právnických osob</w:t>
      </w:r>
      <w:r w:rsidRPr="006505D0">
        <w:rPr>
          <w:sz w:val="16"/>
          <w:szCs w:val="18"/>
        </w:rPr>
        <w:t xml:space="preserve">) je odvislý od sazby daně právnických osob. Ta se v jednotlivých letech měnila. V roce 2005 byla daňová sazba na úrovni 26 %, následně klesala až na 19 % v letech 2010–2018. Pokud by byla sazba daně v roce 2005 nynějších 19 %, dosáhla by výše nepřímé veřejné podpory </w:t>
      </w:r>
      <w:proofErr w:type="spellStart"/>
      <w:r w:rsidRPr="006505D0">
        <w:rPr>
          <w:sz w:val="16"/>
          <w:szCs w:val="18"/>
        </w:rPr>
        <w:t>VaV</w:t>
      </w:r>
      <w:proofErr w:type="spellEnd"/>
      <w:r w:rsidRPr="006505D0">
        <w:rPr>
          <w:sz w:val="16"/>
          <w:szCs w:val="18"/>
        </w:rPr>
        <w:t xml:space="preserve"> nikoliv zmíněných 819 mil. Kč, ale pouhých 608 mil. Kč. Byla by tedy o 211 mil. Kč nižší.     </w:t>
      </w:r>
    </w:p>
  </w:footnote>
  <w:footnote w:id="3">
    <w:p w14:paraId="33E0E81A" w14:textId="77777777" w:rsidR="00CB2392" w:rsidRDefault="00CB2392" w:rsidP="004B0EC3">
      <w:pPr>
        <w:pStyle w:val="Textpoznpodarou"/>
      </w:pPr>
      <w:r w:rsidRPr="00F70F76">
        <w:rPr>
          <w:rStyle w:val="Znakapoznpodarou"/>
          <w:sz w:val="18"/>
        </w:rPr>
        <w:footnoteRef/>
      </w:r>
      <w:r w:rsidRPr="00F70F76">
        <w:rPr>
          <w:sz w:val="18"/>
        </w:rPr>
        <w:t xml:space="preserve"> Bulharsko, Estonsko, Finsko, Chorvatsko, Kypr, Německo, Lucembursko, Švýcarsko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40B89A" w14:textId="2CA6112C" w:rsidR="00CB2392" w:rsidRPr="00427E13" w:rsidRDefault="00CB2392" w:rsidP="00427E13">
    <w:pPr>
      <w:pStyle w:val="Zhlav"/>
    </w:pPr>
    <w:r w:rsidRPr="00322505">
      <w:rPr>
        <w:rFonts w:ascii="Arial" w:hAnsi="Arial" w:cs="Arial"/>
        <w:sz w:val="16"/>
        <w:szCs w:val="16"/>
      </w:rPr>
      <w:t>Nepřímá veřejná podpora výzkumu a vývoje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C0EAD1" w14:textId="1F6F71AE" w:rsidR="00CB2392" w:rsidRPr="00DC5B3B" w:rsidRDefault="00CB2392" w:rsidP="00427E13">
    <w:pPr>
      <w:pStyle w:val="Zhlav"/>
      <w:tabs>
        <w:tab w:val="clear" w:pos="4536"/>
        <w:tab w:val="clear" w:pos="9072"/>
        <w:tab w:val="left" w:pos="-6379"/>
        <w:tab w:val="center" w:pos="4820"/>
        <w:tab w:val="right" w:pos="9639"/>
      </w:tabs>
      <w:rPr>
        <w:rFonts w:ascii="Arial" w:hAnsi="Arial" w:cs="Arial"/>
        <w:sz w:val="16"/>
        <w:szCs w:val="16"/>
      </w:rPr>
    </w:pPr>
    <w:r w:rsidRPr="00322505">
      <w:rPr>
        <w:rFonts w:ascii="Arial" w:hAnsi="Arial" w:cs="Arial"/>
        <w:sz w:val="16"/>
        <w:szCs w:val="16"/>
      </w:rPr>
      <w:t>Nepřímá veřejná podpora výzkumu a vývoje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F02C33"/>
    <w:multiLevelType w:val="hybridMultilevel"/>
    <w:tmpl w:val="DE726F3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4D7307"/>
    <w:multiLevelType w:val="hybridMultilevel"/>
    <w:tmpl w:val="FCBC864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BB3CE2"/>
    <w:multiLevelType w:val="hybridMultilevel"/>
    <w:tmpl w:val="C1AED6C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7D71B96"/>
    <w:multiLevelType w:val="hybridMultilevel"/>
    <w:tmpl w:val="E6E44220"/>
    <w:lvl w:ilvl="0" w:tplc="04050001">
      <w:start w:val="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F8C1721"/>
    <w:multiLevelType w:val="hybridMultilevel"/>
    <w:tmpl w:val="1774032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8384A27"/>
    <w:multiLevelType w:val="hybridMultilevel"/>
    <w:tmpl w:val="105050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906606"/>
    <w:multiLevelType w:val="hybridMultilevel"/>
    <w:tmpl w:val="D256D952"/>
    <w:lvl w:ilvl="0" w:tplc="04050001">
      <w:start w:val="3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C6120F0"/>
    <w:multiLevelType w:val="hybridMultilevel"/>
    <w:tmpl w:val="7FA2DD3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2"/>
  </w:num>
  <w:num w:numId="4">
    <w:abstractNumId w:val="0"/>
  </w:num>
  <w:num w:numId="5">
    <w:abstractNumId w:val="3"/>
  </w:num>
  <w:num w:numId="6">
    <w:abstractNumId w:val="6"/>
  </w:num>
  <w:num w:numId="7">
    <w:abstractNumId w:val="1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attachedTemplate r:id="rId1"/>
  <w:trackRevisions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>
      <o:colormru v:ext="edit" colors="#ecf4dd,#eaecee,#fcec0a,#fcecdb,#f1daf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0D5F"/>
    <w:rsid w:val="00000A97"/>
    <w:rsid w:val="00000AC4"/>
    <w:rsid w:val="00001E5E"/>
    <w:rsid w:val="00001F7E"/>
    <w:rsid w:val="00002B55"/>
    <w:rsid w:val="0000316C"/>
    <w:rsid w:val="000032AF"/>
    <w:rsid w:val="00004431"/>
    <w:rsid w:val="0000517D"/>
    <w:rsid w:val="000052DD"/>
    <w:rsid w:val="00005C9C"/>
    <w:rsid w:val="00006457"/>
    <w:rsid w:val="00006C7C"/>
    <w:rsid w:val="00006FA4"/>
    <w:rsid w:val="00007080"/>
    <w:rsid w:val="00007126"/>
    <w:rsid w:val="0000767A"/>
    <w:rsid w:val="00007718"/>
    <w:rsid w:val="000077E7"/>
    <w:rsid w:val="0000799A"/>
    <w:rsid w:val="000100CF"/>
    <w:rsid w:val="00010702"/>
    <w:rsid w:val="00010728"/>
    <w:rsid w:val="00011348"/>
    <w:rsid w:val="00011687"/>
    <w:rsid w:val="000119C9"/>
    <w:rsid w:val="00011AD9"/>
    <w:rsid w:val="000125B7"/>
    <w:rsid w:val="00012D08"/>
    <w:rsid w:val="000133D7"/>
    <w:rsid w:val="00013CE2"/>
    <w:rsid w:val="0001459E"/>
    <w:rsid w:val="000146A5"/>
    <w:rsid w:val="00014CF5"/>
    <w:rsid w:val="00014D9E"/>
    <w:rsid w:val="00014FA5"/>
    <w:rsid w:val="000155E7"/>
    <w:rsid w:val="000158B9"/>
    <w:rsid w:val="00016501"/>
    <w:rsid w:val="00016CCE"/>
    <w:rsid w:val="00016F70"/>
    <w:rsid w:val="000173E5"/>
    <w:rsid w:val="000176C6"/>
    <w:rsid w:val="00017A46"/>
    <w:rsid w:val="00020A5D"/>
    <w:rsid w:val="00021023"/>
    <w:rsid w:val="000213B5"/>
    <w:rsid w:val="0002185E"/>
    <w:rsid w:val="00022ED1"/>
    <w:rsid w:val="00024008"/>
    <w:rsid w:val="000242D6"/>
    <w:rsid w:val="000249EC"/>
    <w:rsid w:val="00025144"/>
    <w:rsid w:val="000262A4"/>
    <w:rsid w:val="000265DC"/>
    <w:rsid w:val="00026A5A"/>
    <w:rsid w:val="00027052"/>
    <w:rsid w:val="00027363"/>
    <w:rsid w:val="0002738F"/>
    <w:rsid w:val="000277E2"/>
    <w:rsid w:val="00027D2B"/>
    <w:rsid w:val="000313F1"/>
    <w:rsid w:val="000318CE"/>
    <w:rsid w:val="00031D06"/>
    <w:rsid w:val="000327AC"/>
    <w:rsid w:val="0003523C"/>
    <w:rsid w:val="00035E0B"/>
    <w:rsid w:val="000368A7"/>
    <w:rsid w:val="00036ABF"/>
    <w:rsid w:val="00036CDB"/>
    <w:rsid w:val="000372D7"/>
    <w:rsid w:val="00037A9F"/>
    <w:rsid w:val="00040041"/>
    <w:rsid w:val="0004366C"/>
    <w:rsid w:val="00043A7E"/>
    <w:rsid w:val="00043E0A"/>
    <w:rsid w:val="0004428A"/>
    <w:rsid w:val="000448A2"/>
    <w:rsid w:val="0004694F"/>
    <w:rsid w:val="000472C0"/>
    <w:rsid w:val="000472ED"/>
    <w:rsid w:val="00047B0D"/>
    <w:rsid w:val="00047BCD"/>
    <w:rsid w:val="00050C64"/>
    <w:rsid w:val="00050DC8"/>
    <w:rsid w:val="00051C4D"/>
    <w:rsid w:val="00052731"/>
    <w:rsid w:val="00053336"/>
    <w:rsid w:val="000537B8"/>
    <w:rsid w:val="00053AA9"/>
    <w:rsid w:val="000541B5"/>
    <w:rsid w:val="000544F1"/>
    <w:rsid w:val="000546F3"/>
    <w:rsid w:val="0005471A"/>
    <w:rsid w:val="000552B5"/>
    <w:rsid w:val="000556B7"/>
    <w:rsid w:val="00055877"/>
    <w:rsid w:val="0005601A"/>
    <w:rsid w:val="00056886"/>
    <w:rsid w:val="0005739C"/>
    <w:rsid w:val="000576D7"/>
    <w:rsid w:val="00060045"/>
    <w:rsid w:val="000603BE"/>
    <w:rsid w:val="00060CD2"/>
    <w:rsid w:val="00060E3B"/>
    <w:rsid w:val="00061057"/>
    <w:rsid w:val="000628CD"/>
    <w:rsid w:val="00062E48"/>
    <w:rsid w:val="00062EC5"/>
    <w:rsid w:val="00064171"/>
    <w:rsid w:val="0006554E"/>
    <w:rsid w:val="00065675"/>
    <w:rsid w:val="0006593F"/>
    <w:rsid w:val="00065E55"/>
    <w:rsid w:val="00065F83"/>
    <w:rsid w:val="00066B31"/>
    <w:rsid w:val="00066B5A"/>
    <w:rsid w:val="00067B63"/>
    <w:rsid w:val="00067EB6"/>
    <w:rsid w:val="000701B1"/>
    <w:rsid w:val="00071250"/>
    <w:rsid w:val="0007230C"/>
    <w:rsid w:val="00072BC9"/>
    <w:rsid w:val="00072EB4"/>
    <w:rsid w:val="00073592"/>
    <w:rsid w:val="00073875"/>
    <w:rsid w:val="00073ED4"/>
    <w:rsid w:val="0007414B"/>
    <w:rsid w:val="000741A9"/>
    <w:rsid w:val="000741DB"/>
    <w:rsid w:val="00074570"/>
    <w:rsid w:val="00076227"/>
    <w:rsid w:val="0007693C"/>
    <w:rsid w:val="00080342"/>
    <w:rsid w:val="00080600"/>
    <w:rsid w:val="000806E0"/>
    <w:rsid w:val="00080828"/>
    <w:rsid w:val="00080999"/>
    <w:rsid w:val="00080E37"/>
    <w:rsid w:val="0008124F"/>
    <w:rsid w:val="000812FD"/>
    <w:rsid w:val="00081AAC"/>
    <w:rsid w:val="00081AB2"/>
    <w:rsid w:val="00082755"/>
    <w:rsid w:val="00082C01"/>
    <w:rsid w:val="00082F96"/>
    <w:rsid w:val="000831D2"/>
    <w:rsid w:val="00083ADC"/>
    <w:rsid w:val="000840A4"/>
    <w:rsid w:val="00084E88"/>
    <w:rsid w:val="00085870"/>
    <w:rsid w:val="00085C2F"/>
    <w:rsid w:val="00085DD1"/>
    <w:rsid w:val="0008627A"/>
    <w:rsid w:val="000867D1"/>
    <w:rsid w:val="00087634"/>
    <w:rsid w:val="00087A0A"/>
    <w:rsid w:val="00090449"/>
    <w:rsid w:val="00090E52"/>
    <w:rsid w:val="00091E44"/>
    <w:rsid w:val="00092126"/>
    <w:rsid w:val="0009399C"/>
    <w:rsid w:val="00093C42"/>
    <w:rsid w:val="00093D46"/>
    <w:rsid w:val="00093E8B"/>
    <w:rsid w:val="00094EC1"/>
    <w:rsid w:val="0009671D"/>
    <w:rsid w:val="00096830"/>
    <w:rsid w:val="00096833"/>
    <w:rsid w:val="00096C37"/>
    <w:rsid w:val="00097D1B"/>
    <w:rsid w:val="000A05A7"/>
    <w:rsid w:val="000A07B0"/>
    <w:rsid w:val="000A08C8"/>
    <w:rsid w:val="000A0CD3"/>
    <w:rsid w:val="000A1183"/>
    <w:rsid w:val="000A1703"/>
    <w:rsid w:val="000A195F"/>
    <w:rsid w:val="000A19D1"/>
    <w:rsid w:val="000A1E02"/>
    <w:rsid w:val="000A1EC6"/>
    <w:rsid w:val="000A2BFE"/>
    <w:rsid w:val="000A2D07"/>
    <w:rsid w:val="000A2F25"/>
    <w:rsid w:val="000A31B2"/>
    <w:rsid w:val="000A3812"/>
    <w:rsid w:val="000A3956"/>
    <w:rsid w:val="000A403D"/>
    <w:rsid w:val="000A4349"/>
    <w:rsid w:val="000A447E"/>
    <w:rsid w:val="000A46E5"/>
    <w:rsid w:val="000A4977"/>
    <w:rsid w:val="000A534C"/>
    <w:rsid w:val="000A590E"/>
    <w:rsid w:val="000A76ED"/>
    <w:rsid w:val="000A7E0B"/>
    <w:rsid w:val="000B05FC"/>
    <w:rsid w:val="000B0735"/>
    <w:rsid w:val="000B0777"/>
    <w:rsid w:val="000B22B2"/>
    <w:rsid w:val="000B3355"/>
    <w:rsid w:val="000B3683"/>
    <w:rsid w:val="000B3704"/>
    <w:rsid w:val="000B3D2A"/>
    <w:rsid w:val="000B409F"/>
    <w:rsid w:val="000B46B1"/>
    <w:rsid w:val="000B4802"/>
    <w:rsid w:val="000B67B8"/>
    <w:rsid w:val="000C06D6"/>
    <w:rsid w:val="000C093F"/>
    <w:rsid w:val="000C0A92"/>
    <w:rsid w:val="000C0AF8"/>
    <w:rsid w:val="000C149D"/>
    <w:rsid w:val="000C177D"/>
    <w:rsid w:val="000C1883"/>
    <w:rsid w:val="000C1CE8"/>
    <w:rsid w:val="000C1D77"/>
    <w:rsid w:val="000C2CF5"/>
    <w:rsid w:val="000C32EC"/>
    <w:rsid w:val="000C3408"/>
    <w:rsid w:val="000C4625"/>
    <w:rsid w:val="000C49A4"/>
    <w:rsid w:val="000C4ABE"/>
    <w:rsid w:val="000C4C58"/>
    <w:rsid w:val="000C513B"/>
    <w:rsid w:val="000C55D2"/>
    <w:rsid w:val="000C5C5D"/>
    <w:rsid w:val="000C5EE6"/>
    <w:rsid w:val="000C633F"/>
    <w:rsid w:val="000C769F"/>
    <w:rsid w:val="000C7896"/>
    <w:rsid w:val="000C7A65"/>
    <w:rsid w:val="000D009C"/>
    <w:rsid w:val="000D02F8"/>
    <w:rsid w:val="000D0EAF"/>
    <w:rsid w:val="000D15D0"/>
    <w:rsid w:val="000D2A47"/>
    <w:rsid w:val="000D4E3E"/>
    <w:rsid w:val="000D65EF"/>
    <w:rsid w:val="000D6814"/>
    <w:rsid w:val="000D759F"/>
    <w:rsid w:val="000D7C42"/>
    <w:rsid w:val="000E0B4B"/>
    <w:rsid w:val="000E0C52"/>
    <w:rsid w:val="000E2043"/>
    <w:rsid w:val="000E2C28"/>
    <w:rsid w:val="000E3341"/>
    <w:rsid w:val="000E36B0"/>
    <w:rsid w:val="000E3993"/>
    <w:rsid w:val="000E4238"/>
    <w:rsid w:val="000E42CB"/>
    <w:rsid w:val="000E4300"/>
    <w:rsid w:val="000E50E5"/>
    <w:rsid w:val="000E525D"/>
    <w:rsid w:val="000E5C80"/>
    <w:rsid w:val="000E6086"/>
    <w:rsid w:val="000F0B7C"/>
    <w:rsid w:val="000F1C92"/>
    <w:rsid w:val="000F1F88"/>
    <w:rsid w:val="000F21F1"/>
    <w:rsid w:val="000F2CB3"/>
    <w:rsid w:val="000F2D48"/>
    <w:rsid w:val="000F34FD"/>
    <w:rsid w:val="000F393A"/>
    <w:rsid w:val="000F41F1"/>
    <w:rsid w:val="000F430B"/>
    <w:rsid w:val="000F436F"/>
    <w:rsid w:val="000F525F"/>
    <w:rsid w:val="000F545E"/>
    <w:rsid w:val="000F58A0"/>
    <w:rsid w:val="000F5C63"/>
    <w:rsid w:val="000F5D9B"/>
    <w:rsid w:val="000F5ED1"/>
    <w:rsid w:val="000F63D9"/>
    <w:rsid w:val="000F6938"/>
    <w:rsid w:val="000F6A39"/>
    <w:rsid w:val="000F72F7"/>
    <w:rsid w:val="000F7B0B"/>
    <w:rsid w:val="000F7DFF"/>
    <w:rsid w:val="00100806"/>
    <w:rsid w:val="00100938"/>
    <w:rsid w:val="00101389"/>
    <w:rsid w:val="00101A10"/>
    <w:rsid w:val="00101CE4"/>
    <w:rsid w:val="00102205"/>
    <w:rsid w:val="00102435"/>
    <w:rsid w:val="00103894"/>
    <w:rsid w:val="00103B21"/>
    <w:rsid w:val="00104526"/>
    <w:rsid w:val="0010546D"/>
    <w:rsid w:val="001057C8"/>
    <w:rsid w:val="00105AEC"/>
    <w:rsid w:val="001062CA"/>
    <w:rsid w:val="00106DA0"/>
    <w:rsid w:val="0011034C"/>
    <w:rsid w:val="001103C6"/>
    <w:rsid w:val="00110C27"/>
    <w:rsid w:val="00110CA8"/>
    <w:rsid w:val="001115E4"/>
    <w:rsid w:val="0011197B"/>
    <w:rsid w:val="00112972"/>
    <w:rsid w:val="00112DEE"/>
    <w:rsid w:val="00113488"/>
    <w:rsid w:val="00113CE1"/>
    <w:rsid w:val="00113CF2"/>
    <w:rsid w:val="00114441"/>
    <w:rsid w:val="00114C05"/>
    <w:rsid w:val="00114D74"/>
    <w:rsid w:val="001153FB"/>
    <w:rsid w:val="00117EB4"/>
    <w:rsid w:val="00117F2D"/>
    <w:rsid w:val="00117F44"/>
    <w:rsid w:val="001208D1"/>
    <w:rsid w:val="001212C8"/>
    <w:rsid w:val="00121672"/>
    <w:rsid w:val="00121CFA"/>
    <w:rsid w:val="00121F3D"/>
    <w:rsid w:val="00122888"/>
    <w:rsid w:val="00122A7C"/>
    <w:rsid w:val="00122D2E"/>
    <w:rsid w:val="00122FA4"/>
    <w:rsid w:val="00123520"/>
    <w:rsid w:val="00123AFD"/>
    <w:rsid w:val="00123DBE"/>
    <w:rsid w:val="00123DD5"/>
    <w:rsid w:val="00124784"/>
    <w:rsid w:val="00124C7E"/>
    <w:rsid w:val="001252B0"/>
    <w:rsid w:val="001256D4"/>
    <w:rsid w:val="001259F2"/>
    <w:rsid w:val="00127484"/>
    <w:rsid w:val="00127CDF"/>
    <w:rsid w:val="0013058F"/>
    <w:rsid w:val="00130851"/>
    <w:rsid w:val="001309C0"/>
    <w:rsid w:val="00130C70"/>
    <w:rsid w:val="00130FDD"/>
    <w:rsid w:val="00131A3C"/>
    <w:rsid w:val="00131BBF"/>
    <w:rsid w:val="00132B18"/>
    <w:rsid w:val="00132FA8"/>
    <w:rsid w:val="0013374F"/>
    <w:rsid w:val="00134A5F"/>
    <w:rsid w:val="00135589"/>
    <w:rsid w:val="00135C14"/>
    <w:rsid w:val="00136190"/>
    <w:rsid w:val="001364B0"/>
    <w:rsid w:val="0013656F"/>
    <w:rsid w:val="00136632"/>
    <w:rsid w:val="00136C92"/>
    <w:rsid w:val="0013794D"/>
    <w:rsid w:val="00137A58"/>
    <w:rsid w:val="0014042E"/>
    <w:rsid w:val="001405FA"/>
    <w:rsid w:val="001406E7"/>
    <w:rsid w:val="00140A1B"/>
    <w:rsid w:val="001410BB"/>
    <w:rsid w:val="00142303"/>
    <w:rsid w:val="001425C3"/>
    <w:rsid w:val="00142E64"/>
    <w:rsid w:val="00142EC4"/>
    <w:rsid w:val="00143208"/>
    <w:rsid w:val="00143385"/>
    <w:rsid w:val="00143453"/>
    <w:rsid w:val="001436C1"/>
    <w:rsid w:val="001438C6"/>
    <w:rsid w:val="001446AF"/>
    <w:rsid w:val="00144E72"/>
    <w:rsid w:val="00145297"/>
    <w:rsid w:val="00145800"/>
    <w:rsid w:val="00145C93"/>
    <w:rsid w:val="00146553"/>
    <w:rsid w:val="00146993"/>
    <w:rsid w:val="00146BE0"/>
    <w:rsid w:val="00146D95"/>
    <w:rsid w:val="00146D9E"/>
    <w:rsid w:val="001475F6"/>
    <w:rsid w:val="00147896"/>
    <w:rsid w:val="00150863"/>
    <w:rsid w:val="00151339"/>
    <w:rsid w:val="0015151F"/>
    <w:rsid w:val="00151E33"/>
    <w:rsid w:val="0015209E"/>
    <w:rsid w:val="001525E6"/>
    <w:rsid w:val="00152BC9"/>
    <w:rsid w:val="001531FB"/>
    <w:rsid w:val="001538B6"/>
    <w:rsid w:val="0015444D"/>
    <w:rsid w:val="001544C2"/>
    <w:rsid w:val="00154730"/>
    <w:rsid w:val="00154AC5"/>
    <w:rsid w:val="00154E9A"/>
    <w:rsid w:val="00155181"/>
    <w:rsid w:val="00155215"/>
    <w:rsid w:val="001555BA"/>
    <w:rsid w:val="00156A62"/>
    <w:rsid w:val="00156C72"/>
    <w:rsid w:val="00156F9A"/>
    <w:rsid w:val="00157256"/>
    <w:rsid w:val="00157284"/>
    <w:rsid w:val="00157324"/>
    <w:rsid w:val="0016017F"/>
    <w:rsid w:val="001604A9"/>
    <w:rsid w:val="001605C0"/>
    <w:rsid w:val="001608FF"/>
    <w:rsid w:val="00160A85"/>
    <w:rsid w:val="00161C15"/>
    <w:rsid w:val="00161E99"/>
    <w:rsid w:val="00162076"/>
    <w:rsid w:val="00162454"/>
    <w:rsid w:val="00162EB8"/>
    <w:rsid w:val="00163793"/>
    <w:rsid w:val="0016425E"/>
    <w:rsid w:val="001648A0"/>
    <w:rsid w:val="0016494C"/>
    <w:rsid w:val="001649AA"/>
    <w:rsid w:val="00166027"/>
    <w:rsid w:val="0016610C"/>
    <w:rsid w:val="001667C4"/>
    <w:rsid w:val="00166BF2"/>
    <w:rsid w:val="00166CFA"/>
    <w:rsid w:val="00166E59"/>
    <w:rsid w:val="00170B65"/>
    <w:rsid w:val="00170BC0"/>
    <w:rsid w:val="001714F2"/>
    <w:rsid w:val="00171CD8"/>
    <w:rsid w:val="00171FA5"/>
    <w:rsid w:val="00172761"/>
    <w:rsid w:val="00172871"/>
    <w:rsid w:val="00172948"/>
    <w:rsid w:val="00172B12"/>
    <w:rsid w:val="00172E38"/>
    <w:rsid w:val="00172EC3"/>
    <w:rsid w:val="00175980"/>
    <w:rsid w:val="00175A98"/>
    <w:rsid w:val="00175BDC"/>
    <w:rsid w:val="00175E27"/>
    <w:rsid w:val="00176B3E"/>
    <w:rsid w:val="00176B70"/>
    <w:rsid w:val="001775E7"/>
    <w:rsid w:val="0017776E"/>
    <w:rsid w:val="00177999"/>
    <w:rsid w:val="00177F2C"/>
    <w:rsid w:val="00180381"/>
    <w:rsid w:val="001808CD"/>
    <w:rsid w:val="00181A8D"/>
    <w:rsid w:val="00181BC2"/>
    <w:rsid w:val="00181CD5"/>
    <w:rsid w:val="00181D98"/>
    <w:rsid w:val="0018200F"/>
    <w:rsid w:val="00182307"/>
    <w:rsid w:val="00182C43"/>
    <w:rsid w:val="00182C7D"/>
    <w:rsid w:val="00182FB7"/>
    <w:rsid w:val="00182FF5"/>
    <w:rsid w:val="001837D9"/>
    <w:rsid w:val="00183BA3"/>
    <w:rsid w:val="0018408A"/>
    <w:rsid w:val="00184104"/>
    <w:rsid w:val="0018416B"/>
    <w:rsid w:val="00184606"/>
    <w:rsid w:val="001846EA"/>
    <w:rsid w:val="00184C8B"/>
    <w:rsid w:val="00185010"/>
    <w:rsid w:val="001852F7"/>
    <w:rsid w:val="001860FA"/>
    <w:rsid w:val="0018680C"/>
    <w:rsid w:val="00187673"/>
    <w:rsid w:val="0018773B"/>
    <w:rsid w:val="00190BF6"/>
    <w:rsid w:val="00191BAF"/>
    <w:rsid w:val="00191E4B"/>
    <w:rsid w:val="00191F3E"/>
    <w:rsid w:val="00192CDA"/>
    <w:rsid w:val="0019317E"/>
    <w:rsid w:val="00193B73"/>
    <w:rsid w:val="00193D45"/>
    <w:rsid w:val="0019470B"/>
    <w:rsid w:val="001947F8"/>
    <w:rsid w:val="001949BD"/>
    <w:rsid w:val="00195C8C"/>
    <w:rsid w:val="00195D5A"/>
    <w:rsid w:val="00195FB6"/>
    <w:rsid w:val="00196754"/>
    <w:rsid w:val="00196897"/>
    <w:rsid w:val="001969C9"/>
    <w:rsid w:val="001972E3"/>
    <w:rsid w:val="00197778"/>
    <w:rsid w:val="00197A12"/>
    <w:rsid w:val="00197D1F"/>
    <w:rsid w:val="001A0064"/>
    <w:rsid w:val="001A0B10"/>
    <w:rsid w:val="001A14B9"/>
    <w:rsid w:val="001A14BB"/>
    <w:rsid w:val="001A15B4"/>
    <w:rsid w:val="001A1B2E"/>
    <w:rsid w:val="001A2F1F"/>
    <w:rsid w:val="001A31F2"/>
    <w:rsid w:val="001A364E"/>
    <w:rsid w:val="001A3B6E"/>
    <w:rsid w:val="001A3BF7"/>
    <w:rsid w:val="001A4051"/>
    <w:rsid w:val="001A42D3"/>
    <w:rsid w:val="001A4D44"/>
    <w:rsid w:val="001A4F0B"/>
    <w:rsid w:val="001A51D6"/>
    <w:rsid w:val="001A552F"/>
    <w:rsid w:val="001A5BBB"/>
    <w:rsid w:val="001A62EE"/>
    <w:rsid w:val="001A6513"/>
    <w:rsid w:val="001A6B8D"/>
    <w:rsid w:val="001A6CFC"/>
    <w:rsid w:val="001A6FCE"/>
    <w:rsid w:val="001B00E4"/>
    <w:rsid w:val="001B0260"/>
    <w:rsid w:val="001B0873"/>
    <w:rsid w:val="001B0ACC"/>
    <w:rsid w:val="001B0CFD"/>
    <w:rsid w:val="001B200B"/>
    <w:rsid w:val="001B22A7"/>
    <w:rsid w:val="001B26AC"/>
    <w:rsid w:val="001B2E25"/>
    <w:rsid w:val="001B3110"/>
    <w:rsid w:val="001B3462"/>
    <w:rsid w:val="001B34B1"/>
    <w:rsid w:val="001B52AD"/>
    <w:rsid w:val="001B625A"/>
    <w:rsid w:val="001B68DB"/>
    <w:rsid w:val="001B6940"/>
    <w:rsid w:val="001B7194"/>
    <w:rsid w:val="001B75ED"/>
    <w:rsid w:val="001B7941"/>
    <w:rsid w:val="001B7C2E"/>
    <w:rsid w:val="001C12AE"/>
    <w:rsid w:val="001C1F75"/>
    <w:rsid w:val="001C30F8"/>
    <w:rsid w:val="001C3BB4"/>
    <w:rsid w:val="001C3D3D"/>
    <w:rsid w:val="001C441F"/>
    <w:rsid w:val="001C45AC"/>
    <w:rsid w:val="001C4A4E"/>
    <w:rsid w:val="001C4C36"/>
    <w:rsid w:val="001C51A8"/>
    <w:rsid w:val="001C553F"/>
    <w:rsid w:val="001C59D9"/>
    <w:rsid w:val="001C5C0E"/>
    <w:rsid w:val="001C5EF0"/>
    <w:rsid w:val="001C5F73"/>
    <w:rsid w:val="001C628C"/>
    <w:rsid w:val="001C69DE"/>
    <w:rsid w:val="001C6F92"/>
    <w:rsid w:val="001C7670"/>
    <w:rsid w:val="001D0AA2"/>
    <w:rsid w:val="001D1211"/>
    <w:rsid w:val="001D1481"/>
    <w:rsid w:val="001D1747"/>
    <w:rsid w:val="001D1EA4"/>
    <w:rsid w:val="001D3737"/>
    <w:rsid w:val="001D3DFA"/>
    <w:rsid w:val="001D406B"/>
    <w:rsid w:val="001D4747"/>
    <w:rsid w:val="001D4FE7"/>
    <w:rsid w:val="001D5183"/>
    <w:rsid w:val="001D53B0"/>
    <w:rsid w:val="001D622E"/>
    <w:rsid w:val="001D6CC7"/>
    <w:rsid w:val="001D7660"/>
    <w:rsid w:val="001D7670"/>
    <w:rsid w:val="001D7A62"/>
    <w:rsid w:val="001D7DF2"/>
    <w:rsid w:val="001D7FEF"/>
    <w:rsid w:val="001E0904"/>
    <w:rsid w:val="001E0B59"/>
    <w:rsid w:val="001E208A"/>
    <w:rsid w:val="001E2E1C"/>
    <w:rsid w:val="001E33F1"/>
    <w:rsid w:val="001E35CE"/>
    <w:rsid w:val="001E3980"/>
    <w:rsid w:val="001E3C0D"/>
    <w:rsid w:val="001E3C82"/>
    <w:rsid w:val="001E3D08"/>
    <w:rsid w:val="001E42DA"/>
    <w:rsid w:val="001E437E"/>
    <w:rsid w:val="001E5173"/>
    <w:rsid w:val="001E5436"/>
    <w:rsid w:val="001E5CBD"/>
    <w:rsid w:val="001E60BF"/>
    <w:rsid w:val="001E64F8"/>
    <w:rsid w:val="001E74D7"/>
    <w:rsid w:val="001E7867"/>
    <w:rsid w:val="001F0082"/>
    <w:rsid w:val="001F0D50"/>
    <w:rsid w:val="001F13B6"/>
    <w:rsid w:val="001F199C"/>
    <w:rsid w:val="001F1EA8"/>
    <w:rsid w:val="001F20F5"/>
    <w:rsid w:val="001F21E6"/>
    <w:rsid w:val="001F28A3"/>
    <w:rsid w:val="001F36C7"/>
    <w:rsid w:val="001F38BE"/>
    <w:rsid w:val="001F3E03"/>
    <w:rsid w:val="001F4573"/>
    <w:rsid w:val="001F4597"/>
    <w:rsid w:val="001F46EA"/>
    <w:rsid w:val="001F47FC"/>
    <w:rsid w:val="001F4B9C"/>
    <w:rsid w:val="001F4C47"/>
    <w:rsid w:val="001F52C4"/>
    <w:rsid w:val="001F647A"/>
    <w:rsid w:val="001F6760"/>
    <w:rsid w:val="001F68A0"/>
    <w:rsid w:val="001F7541"/>
    <w:rsid w:val="00200515"/>
    <w:rsid w:val="00201371"/>
    <w:rsid w:val="00201767"/>
    <w:rsid w:val="00201A1B"/>
    <w:rsid w:val="00201B44"/>
    <w:rsid w:val="0020344B"/>
    <w:rsid w:val="002036A6"/>
    <w:rsid w:val="00203AC6"/>
    <w:rsid w:val="002048C3"/>
    <w:rsid w:val="0020498B"/>
    <w:rsid w:val="00204CA0"/>
    <w:rsid w:val="002050B6"/>
    <w:rsid w:val="00205553"/>
    <w:rsid w:val="002064C5"/>
    <w:rsid w:val="0020650B"/>
    <w:rsid w:val="00206877"/>
    <w:rsid w:val="00206B1E"/>
    <w:rsid w:val="00206C36"/>
    <w:rsid w:val="002073DB"/>
    <w:rsid w:val="00207A19"/>
    <w:rsid w:val="00211943"/>
    <w:rsid w:val="00211C16"/>
    <w:rsid w:val="00212AED"/>
    <w:rsid w:val="00214585"/>
    <w:rsid w:val="00215943"/>
    <w:rsid w:val="00215B5B"/>
    <w:rsid w:val="00215E0F"/>
    <w:rsid w:val="00215E13"/>
    <w:rsid w:val="00216DB0"/>
    <w:rsid w:val="00216EB6"/>
    <w:rsid w:val="00217B5D"/>
    <w:rsid w:val="002201D9"/>
    <w:rsid w:val="00220822"/>
    <w:rsid w:val="00220865"/>
    <w:rsid w:val="00220C4E"/>
    <w:rsid w:val="0022139E"/>
    <w:rsid w:val="002216A8"/>
    <w:rsid w:val="002216F1"/>
    <w:rsid w:val="0022176D"/>
    <w:rsid w:val="00221863"/>
    <w:rsid w:val="00222322"/>
    <w:rsid w:val="0022275B"/>
    <w:rsid w:val="00222E09"/>
    <w:rsid w:val="0022356C"/>
    <w:rsid w:val="00223E41"/>
    <w:rsid w:val="00224077"/>
    <w:rsid w:val="0022439C"/>
    <w:rsid w:val="002248D4"/>
    <w:rsid w:val="00224F4C"/>
    <w:rsid w:val="00224FAC"/>
    <w:rsid w:val="002252E0"/>
    <w:rsid w:val="002255F6"/>
    <w:rsid w:val="002257DA"/>
    <w:rsid w:val="00225C66"/>
    <w:rsid w:val="00225EE9"/>
    <w:rsid w:val="0022664C"/>
    <w:rsid w:val="002271B8"/>
    <w:rsid w:val="002279DD"/>
    <w:rsid w:val="00230B30"/>
    <w:rsid w:val="00230FA2"/>
    <w:rsid w:val="00232D09"/>
    <w:rsid w:val="00233AA3"/>
    <w:rsid w:val="00234209"/>
    <w:rsid w:val="0023441C"/>
    <w:rsid w:val="0023512E"/>
    <w:rsid w:val="00236333"/>
    <w:rsid w:val="00236443"/>
    <w:rsid w:val="00236538"/>
    <w:rsid w:val="002401BE"/>
    <w:rsid w:val="0024129B"/>
    <w:rsid w:val="00242ACA"/>
    <w:rsid w:val="0024309D"/>
    <w:rsid w:val="002436BA"/>
    <w:rsid w:val="0024379D"/>
    <w:rsid w:val="002438DD"/>
    <w:rsid w:val="002439D6"/>
    <w:rsid w:val="00243A5B"/>
    <w:rsid w:val="002443A5"/>
    <w:rsid w:val="00244A15"/>
    <w:rsid w:val="00244AD0"/>
    <w:rsid w:val="00244BA0"/>
    <w:rsid w:val="00244F0F"/>
    <w:rsid w:val="00245556"/>
    <w:rsid w:val="00246967"/>
    <w:rsid w:val="00246BE7"/>
    <w:rsid w:val="002476C3"/>
    <w:rsid w:val="002478CD"/>
    <w:rsid w:val="0024799E"/>
    <w:rsid w:val="00247DD2"/>
    <w:rsid w:val="00250137"/>
    <w:rsid w:val="002516CC"/>
    <w:rsid w:val="00251F9F"/>
    <w:rsid w:val="002521B9"/>
    <w:rsid w:val="0025234A"/>
    <w:rsid w:val="002524A2"/>
    <w:rsid w:val="0025274E"/>
    <w:rsid w:val="00253392"/>
    <w:rsid w:val="0025392D"/>
    <w:rsid w:val="00254352"/>
    <w:rsid w:val="00254BF0"/>
    <w:rsid w:val="00255DB2"/>
    <w:rsid w:val="00256B36"/>
    <w:rsid w:val="00256D8F"/>
    <w:rsid w:val="00260106"/>
    <w:rsid w:val="002604E8"/>
    <w:rsid w:val="00260621"/>
    <w:rsid w:val="00261DBF"/>
    <w:rsid w:val="00262E31"/>
    <w:rsid w:val="0026372B"/>
    <w:rsid w:val="00264463"/>
    <w:rsid w:val="00264937"/>
    <w:rsid w:val="00264FB0"/>
    <w:rsid w:val="002656DE"/>
    <w:rsid w:val="00265BD4"/>
    <w:rsid w:val="00266AEE"/>
    <w:rsid w:val="00266DBA"/>
    <w:rsid w:val="00267C5E"/>
    <w:rsid w:val="00267DE8"/>
    <w:rsid w:val="00267F49"/>
    <w:rsid w:val="002704E6"/>
    <w:rsid w:val="00270567"/>
    <w:rsid w:val="00271FCF"/>
    <w:rsid w:val="002728E5"/>
    <w:rsid w:val="00272944"/>
    <w:rsid w:val="002731F4"/>
    <w:rsid w:val="00273BD1"/>
    <w:rsid w:val="00274DF0"/>
    <w:rsid w:val="0027509A"/>
    <w:rsid w:val="00275BC0"/>
    <w:rsid w:val="00276B63"/>
    <w:rsid w:val="00277099"/>
    <w:rsid w:val="002771CE"/>
    <w:rsid w:val="00277478"/>
    <w:rsid w:val="00277706"/>
    <w:rsid w:val="0028086B"/>
    <w:rsid w:val="00280C39"/>
    <w:rsid w:val="00281435"/>
    <w:rsid w:val="00281459"/>
    <w:rsid w:val="002814B4"/>
    <w:rsid w:val="0028177B"/>
    <w:rsid w:val="0028217C"/>
    <w:rsid w:val="00283284"/>
    <w:rsid w:val="00283564"/>
    <w:rsid w:val="002835A8"/>
    <w:rsid w:val="002840A2"/>
    <w:rsid w:val="00284FE3"/>
    <w:rsid w:val="00285461"/>
    <w:rsid w:val="00285B5F"/>
    <w:rsid w:val="002872C2"/>
    <w:rsid w:val="002874F0"/>
    <w:rsid w:val="0028792D"/>
    <w:rsid w:val="00287BE0"/>
    <w:rsid w:val="00287CCB"/>
    <w:rsid w:val="00287CCF"/>
    <w:rsid w:val="00287FFD"/>
    <w:rsid w:val="00290C0F"/>
    <w:rsid w:val="002914EE"/>
    <w:rsid w:val="00292845"/>
    <w:rsid w:val="002928D5"/>
    <w:rsid w:val="00292F17"/>
    <w:rsid w:val="00293089"/>
    <w:rsid w:val="00293295"/>
    <w:rsid w:val="00293916"/>
    <w:rsid w:val="00293CEF"/>
    <w:rsid w:val="00293F7A"/>
    <w:rsid w:val="00294C49"/>
    <w:rsid w:val="00295694"/>
    <w:rsid w:val="002958A1"/>
    <w:rsid w:val="0029633E"/>
    <w:rsid w:val="002963FE"/>
    <w:rsid w:val="002976B9"/>
    <w:rsid w:val="00297B1F"/>
    <w:rsid w:val="00297FBA"/>
    <w:rsid w:val="002A0214"/>
    <w:rsid w:val="002A0702"/>
    <w:rsid w:val="002A07F7"/>
    <w:rsid w:val="002A104E"/>
    <w:rsid w:val="002A143B"/>
    <w:rsid w:val="002A1933"/>
    <w:rsid w:val="002A21A2"/>
    <w:rsid w:val="002A26AB"/>
    <w:rsid w:val="002A2816"/>
    <w:rsid w:val="002A2CF9"/>
    <w:rsid w:val="002A3061"/>
    <w:rsid w:val="002A31E9"/>
    <w:rsid w:val="002A36A6"/>
    <w:rsid w:val="002A46D1"/>
    <w:rsid w:val="002A4F13"/>
    <w:rsid w:val="002A65BC"/>
    <w:rsid w:val="002A67A5"/>
    <w:rsid w:val="002A7621"/>
    <w:rsid w:val="002B030B"/>
    <w:rsid w:val="002B0FA7"/>
    <w:rsid w:val="002B1DF8"/>
    <w:rsid w:val="002B2848"/>
    <w:rsid w:val="002B2E50"/>
    <w:rsid w:val="002B36F1"/>
    <w:rsid w:val="002B439B"/>
    <w:rsid w:val="002B67D8"/>
    <w:rsid w:val="002B6CDB"/>
    <w:rsid w:val="002B6DF3"/>
    <w:rsid w:val="002B6E4D"/>
    <w:rsid w:val="002B74ED"/>
    <w:rsid w:val="002B7691"/>
    <w:rsid w:val="002B782B"/>
    <w:rsid w:val="002C09AB"/>
    <w:rsid w:val="002C0D94"/>
    <w:rsid w:val="002C0FFC"/>
    <w:rsid w:val="002C112B"/>
    <w:rsid w:val="002C1CCB"/>
    <w:rsid w:val="002C2278"/>
    <w:rsid w:val="002C31C4"/>
    <w:rsid w:val="002C31D3"/>
    <w:rsid w:val="002C31F0"/>
    <w:rsid w:val="002C37DB"/>
    <w:rsid w:val="002C43BD"/>
    <w:rsid w:val="002C453D"/>
    <w:rsid w:val="002C46D6"/>
    <w:rsid w:val="002C63C8"/>
    <w:rsid w:val="002C6C77"/>
    <w:rsid w:val="002C74EA"/>
    <w:rsid w:val="002C7779"/>
    <w:rsid w:val="002D0D0A"/>
    <w:rsid w:val="002D13DD"/>
    <w:rsid w:val="002D2170"/>
    <w:rsid w:val="002D3010"/>
    <w:rsid w:val="002D38D5"/>
    <w:rsid w:val="002D3A94"/>
    <w:rsid w:val="002D3DF2"/>
    <w:rsid w:val="002D3EAF"/>
    <w:rsid w:val="002D3F0F"/>
    <w:rsid w:val="002D4104"/>
    <w:rsid w:val="002D47D8"/>
    <w:rsid w:val="002D487C"/>
    <w:rsid w:val="002D56ED"/>
    <w:rsid w:val="002D5FFE"/>
    <w:rsid w:val="002D6AFD"/>
    <w:rsid w:val="002D7293"/>
    <w:rsid w:val="002D7465"/>
    <w:rsid w:val="002D779D"/>
    <w:rsid w:val="002D78F2"/>
    <w:rsid w:val="002D7A34"/>
    <w:rsid w:val="002E0064"/>
    <w:rsid w:val="002E02A1"/>
    <w:rsid w:val="002E06EB"/>
    <w:rsid w:val="002E0773"/>
    <w:rsid w:val="002E0AD7"/>
    <w:rsid w:val="002E1BC6"/>
    <w:rsid w:val="002E24FF"/>
    <w:rsid w:val="002E29E6"/>
    <w:rsid w:val="002E2BDD"/>
    <w:rsid w:val="002E2E66"/>
    <w:rsid w:val="002E34BF"/>
    <w:rsid w:val="002E3F91"/>
    <w:rsid w:val="002E4155"/>
    <w:rsid w:val="002E468D"/>
    <w:rsid w:val="002E53EB"/>
    <w:rsid w:val="002E58FA"/>
    <w:rsid w:val="002E5C9C"/>
    <w:rsid w:val="002E638E"/>
    <w:rsid w:val="002E7BB0"/>
    <w:rsid w:val="002E7D89"/>
    <w:rsid w:val="002F08EF"/>
    <w:rsid w:val="002F0E9F"/>
    <w:rsid w:val="002F12F5"/>
    <w:rsid w:val="002F13ED"/>
    <w:rsid w:val="002F1AB5"/>
    <w:rsid w:val="002F1C06"/>
    <w:rsid w:val="002F23F1"/>
    <w:rsid w:val="002F2B01"/>
    <w:rsid w:val="002F2EF8"/>
    <w:rsid w:val="002F3032"/>
    <w:rsid w:val="002F313B"/>
    <w:rsid w:val="002F3249"/>
    <w:rsid w:val="002F3795"/>
    <w:rsid w:val="002F3B62"/>
    <w:rsid w:val="002F3BD2"/>
    <w:rsid w:val="002F3C65"/>
    <w:rsid w:val="002F3CFD"/>
    <w:rsid w:val="002F4070"/>
    <w:rsid w:val="002F455B"/>
    <w:rsid w:val="002F473A"/>
    <w:rsid w:val="002F4840"/>
    <w:rsid w:val="002F48A6"/>
    <w:rsid w:val="002F53A6"/>
    <w:rsid w:val="002F702A"/>
    <w:rsid w:val="002F7055"/>
    <w:rsid w:val="002F7080"/>
    <w:rsid w:val="002F7270"/>
    <w:rsid w:val="002F74C6"/>
    <w:rsid w:val="002F7590"/>
    <w:rsid w:val="0030076C"/>
    <w:rsid w:val="00301010"/>
    <w:rsid w:val="0030115C"/>
    <w:rsid w:val="00301900"/>
    <w:rsid w:val="00301A1D"/>
    <w:rsid w:val="00301A62"/>
    <w:rsid w:val="00301C0F"/>
    <w:rsid w:val="00301DA0"/>
    <w:rsid w:val="00303156"/>
    <w:rsid w:val="00304147"/>
    <w:rsid w:val="00304771"/>
    <w:rsid w:val="00304CA4"/>
    <w:rsid w:val="00305F36"/>
    <w:rsid w:val="003061B7"/>
    <w:rsid w:val="00306288"/>
    <w:rsid w:val="00306BFA"/>
    <w:rsid w:val="00306C0F"/>
    <w:rsid w:val="00306C5B"/>
    <w:rsid w:val="003071E1"/>
    <w:rsid w:val="0030764E"/>
    <w:rsid w:val="00307719"/>
    <w:rsid w:val="00307C28"/>
    <w:rsid w:val="00307E36"/>
    <w:rsid w:val="003104D4"/>
    <w:rsid w:val="00310C4C"/>
    <w:rsid w:val="00311453"/>
    <w:rsid w:val="00311D3E"/>
    <w:rsid w:val="00311E05"/>
    <w:rsid w:val="00311E71"/>
    <w:rsid w:val="00312451"/>
    <w:rsid w:val="00312646"/>
    <w:rsid w:val="00313553"/>
    <w:rsid w:val="003138DC"/>
    <w:rsid w:val="003141C3"/>
    <w:rsid w:val="00314AAB"/>
    <w:rsid w:val="003155FB"/>
    <w:rsid w:val="003156E7"/>
    <w:rsid w:val="00315DFF"/>
    <w:rsid w:val="003172C5"/>
    <w:rsid w:val="00320639"/>
    <w:rsid w:val="003209D6"/>
    <w:rsid w:val="00320DA4"/>
    <w:rsid w:val="0032123B"/>
    <w:rsid w:val="0032123E"/>
    <w:rsid w:val="0032130A"/>
    <w:rsid w:val="00321F4E"/>
    <w:rsid w:val="0032220C"/>
    <w:rsid w:val="003225B0"/>
    <w:rsid w:val="00322A85"/>
    <w:rsid w:val="00322B58"/>
    <w:rsid w:val="00322F26"/>
    <w:rsid w:val="0032334F"/>
    <w:rsid w:val="00324598"/>
    <w:rsid w:val="00324D33"/>
    <w:rsid w:val="003257F5"/>
    <w:rsid w:val="0032669A"/>
    <w:rsid w:val="00326C27"/>
    <w:rsid w:val="00326E14"/>
    <w:rsid w:val="00326F52"/>
    <w:rsid w:val="003270BE"/>
    <w:rsid w:val="00327221"/>
    <w:rsid w:val="003276F5"/>
    <w:rsid w:val="00327C7C"/>
    <w:rsid w:val="00331292"/>
    <w:rsid w:val="0033140D"/>
    <w:rsid w:val="00331641"/>
    <w:rsid w:val="00332098"/>
    <w:rsid w:val="003328E9"/>
    <w:rsid w:val="00332DE4"/>
    <w:rsid w:val="0033380D"/>
    <w:rsid w:val="00334056"/>
    <w:rsid w:val="00334EAB"/>
    <w:rsid w:val="003350DA"/>
    <w:rsid w:val="0033563D"/>
    <w:rsid w:val="0033571C"/>
    <w:rsid w:val="003357F1"/>
    <w:rsid w:val="003363FB"/>
    <w:rsid w:val="00336576"/>
    <w:rsid w:val="003366B6"/>
    <w:rsid w:val="00337C62"/>
    <w:rsid w:val="00341515"/>
    <w:rsid w:val="00341B7E"/>
    <w:rsid w:val="00341C43"/>
    <w:rsid w:val="00341D20"/>
    <w:rsid w:val="00341E45"/>
    <w:rsid w:val="00342135"/>
    <w:rsid w:val="00342153"/>
    <w:rsid w:val="003429AA"/>
    <w:rsid w:val="00342A7A"/>
    <w:rsid w:val="00344516"/>
    <w:rsid w:val="003447BC"/>
    <w:rsid w:val="00346B28"/>
    <w:rsid w:val="0034730D"/>
    <w:rsid w:val="0034799C"/>
    <w:rsid w:val="00347A9E"/>
    <w:rsid w:val="003503BB"/>
    <w:rsid w:val="00352F70"/>
    <w:rsid w:val="00353BD5"/>
    <w:rsid w:val="00354492"/>
    <w:rsid w:val="00354634"/>
    <w:rsid w:val="00354986"/>
    <w:rsid w:val="003559DE"/>
    <w:rsid w:val="00355E80"/>
    <w:rsid w:val="00356039"/>
    <w:rsid w:val="003562CA"/>
    <w:rsid w:val="00356A61"/>
    <w:rsid w:val="00356ABD"/>
    <w:rsid w:val="00357CC8"/>
    <w:rsid w:val="003603CE"/>
    <w:rsid w:val="00361916"/>
    <w:rsid w:val="00361F49"/>
    <w:rsid w:val="0036215B"/>
    <w:rsid w:val="003633C2"/>
    <w:rsid w:val="00364B79"/>
    <w:rsid w:val="003657F3"/>
    <w:rsid w:val="003665AB"/>
    <w:rsid w:val="003669A4"/>
    <w:rsid w:val="00366AD8"/>
    <w:rsid w:val="00366C80"/>
    <w:rsid w:val="003678B8"/>
    <w:rsid w:val="00367A06"/>
    <w:rsid w:val="00367B0E"/>
    <w:rsid w:val="00367BEA"/>
    <w:rsid w:val="00370721"/>
    <w:rsid w:val="003715C8"/>
    <w:rsid w:val="00371906"/>
    <w:rsid w:val="00371E86"/>
    <w:rsid w:val="00372A2B"/>
    <w:rsid w:val="00372ECF"/>
    <w:rsid w:val="00373061"/>
    <w:rsid w:val="00373282"/>
    <w:rsid w:val="003738F1"/>
    <w:rsid w:val="00373D64"/>
    <w:rsid w:val="003743BD"/>
    <w:rsid w:val="003747CC"/>
    <w:rsid w:val="00374920"/>
    <w:rsid w:val="00374FC4"/>
    <w:rsid w:val="0037626F"/>
    <w:rsid w:val="00376624"/>
    <w:rsid w:val="0037774A"/>
    <w:rsid w:val="00377B43"/>
    <w:rsid w:val="0038023A"/>
    <w:rsid w:val="00380B0F"/>
    <w:rsid w:val="00381287"/>
    <w:rsid w:val="003814B5"/>
    <w:rsid w:val="00381B38"/>
    <w:rsid w:val="00381E40"/>
    <w:rsid w:val="00382234"/>
    <w:rsid w:val="0038306D"/>
    <w:rsid w:val="00383531"/>
    <w:rsid w:val="00383594"/>
    <w:rsid w:val="0038391D"/>
    <w:rsid w:val="00383C4C"/>
    <w:rsid w:val="0038458E"/>
    <w:rsid w:val="00384701"/>
    <w:rsid w:val="00384823"/>
    <w:rsid w:val="003849AC"/>
    <w:rsid w:val="003855FD"/>
    <w:rsid w:val="00385D98"/>
    <w:rsid w:val="003860DA"/>
    <w:rsid w:val="00386236"/>
    <w:rsid w:val="00386481"/>
    <w:rsid w:val="003864AE"/>
    <w:rsid w:val="003869AD"/>
    <w:rsid w:val="003909D7"/>
    <w:rsid w:val="003912FF"/>
    <w:rsid w:val="00391589"/>
    <w:rsid w:val="0039159A"/>
    <w:rsid w:val="00391639"/>
    <w:rsid w:val="00391B49"/>
    <w:rsid w:val="00391F28"/>
    <w:rsid w:val="0039328F"/>
    <w:rsid w:val="00393366"/>
    <w:rsid w:val="00393D3B"/>
    <w:rsid w:val="00394169"/>
    <w:rsid w:val="00394398"/>
    <w:rsid w:val="00394756"/>
    <w:rsid w:val="0039487C"/>
    <w:rsid w:val="00394F60"/>
    <w:rsid w:val="00394FBF"/>
    <w:rsid w:val="00395AD8"/>
    <w:rsid w:val="00395C65"/>
    <w:rsid w:val="00395EBF"/>
    <w:rsid w:val="00395EF5"/>
    <w:rsid w:val="00396BC7"/>
    <w:rsid w:val="00396D47"/>
    <w:rsid w:val="00397CB9"/>
    <w:rsid w:val="00397F92"/>
    <w:rsid w:val="003A054D"/>
    <w:rsid w:val="003A071A"/>
    <w:rsid w:val="003A0B95"/>
    <w:rsid w:val="003A10CD"/>
    <w:rsid w:val="003A139A"/>
    <w:rsid w:val="003A1BC5"/>
    <w:rsid w:val="003A1F7F"/>
    <w:rsid w:val="003A212A"/>
    <w:rsid w:val="003A22E9"/>
    <w:rsid w:val="003A2B4D"/>
    <w:rsid w:val="003A36EE"/>
    <w:rsid w:val="003A384C"/>
    <w:rsid w:val="003A3962"/>
    <w:rsid w:val="003A3B7E"/>
    <w:rsid w:val="003A3BC5"/>
    <w:rsid w:val="003A3FDB"/>
    <w:rsid w:val="003A434B"/>
    <w:rsid w:val="003A46A2"/>
    <w:rsid w:val="003A4766"/>
    <w:rsid w:val="003A478C"/>
    <w:rsid w:val="003A4C2B"/>
    <w:rsid w:val="003A5525"/>
    <w:rsid w:val="003A5EC2"/>
    <w:rsid w:val="003A6AB3"/>
    <w:rsid w:val="003A6B38"/>
    <w:rsid w:val="003A6FBE"/>
    <w:rsid w:val="003A7B23"/>
    <w:rsid w:val="003A7D04"/>
    <w:rsid w:val="003B07C1"/>
    <w:rsid w:val="003B07D7"/>
    <w:rsid w:val="003B0B1C"/>
    <w:rsid w:val="003B0D43"/>
    <w:rsid w:val="003B0D78"/>
    <w:rsid w:val="003B1105"/>
    <w:rsid w:val="003B1C34"/>
    <w:rsid w:val="003B2C29"/>
    <w:rsid w:val="003B3719"/>
    <w:rsid w:val="003B3854"/>
    <w:rsid w:val="003B4AB9"/>
    <w:rsid w:val="003B4D62"/>
    <w:rsid w:val="003B5810"/>
    <w:rsid w:val="003B588F"/>
    <w:rsid w:val="003B5A32"/>
    <w:rsid w:val="003B75E7"/>
    <w:rsid w:val="003B75ED"/>
    <w:rsid w:val="003B7D25"/>
    <w:rsid w:val="003C0343"/>
    <w:rsid w:val="003C100D"/>
    <w:rsid w:val="003C1098"/>
    <w:rsid w:val="003C1606"/>
    <w:rsid w:val="003C1BDB"/>
    <w:rsid w:val="003C20FF"/>
    <w:rsid w:val="003C2B86"/>
    <w:rsid w:val="003C2D8C"/>
    <w:rsid w:val="003C3177"/>
    <w:rsid w:val="003C334B"/>
    <w:rsid w:val="003C4755"/>
    <w:rsid w:val="003C4892"/>
    <w:rsid w:val="003C48BB"/>
    <w:rsid w:val="003C4A60"/>
    <w:rsid w:val="003C4AB2"/>
    <w:rsid w:val="003C54D3"/>
    <w:rsid w:val="003C5540"/>
    <w:rsid w:val="003C565A"/>
    <w:rsid w:val="003C5BE5"/>
    <w:rsid w:val="003C5FB3"/>
    <w:rsid w:val="003C77D1"/>
    <w:rsid w:val="003C7C38"/>
    <w:rsid w:val="003C7FCB"/>
    <w:rsid w:val="003D0F87"/>
    <w:rsid w:val="003D1BBE"/>
    <w:rsid w:val="003D1BF5"/>
    <w:rsid w:val="003D20B9"/>
    <w:rsid w:val="003D2A5D"/>
    <w:rsid w:val="003D396D"/>
    <w:rsid w:val="003D3D33"/>
    <w:rsid w:val="003D476F"/>
    <w:rsid w:val="003D4D7C"/>
    <w:rsid w:val="003D4F10"/>
    <w:rsid w:val="003D5195"/>
    <w:rsid w:val="003D53AA"/>
    <w:rsid w:val="003E006B"/>
    <w:rsid w:val="003E0297"/>
    <w:rsid w:val="003E05A0"/>
    <w:rsid w:val="003E081A"/>
    <w:rsid w:val="003E0B6A"/>
    <w:rsid w:val="003E183C"/>
    <w:rsid w:val="003E1A32"/>
    <w:rsid w:val="003E1CB4"/>
    <w:rsid w:val="003E23A0"/>
    <w:rsid w:val="003E2BEE"/>
    <w:rsid w:val="003E4697"/>
    <w:rsid w:val="003E517B"/>
    <w:rsid w:val="003E5BC2"/>
    <w:rsid w:val="003E5D6E"/>
    <w:rsid w:val="003E6B24"/>
    <w:rsid w:val="003E6D10"/>
    <w:rsid w:val="003E7003"/>
    <w:rsid w:val="003E71A3"/>
    <w:rsid w:val="003E7290"/>
    <w:rsid w:val="003E796F"/>
    <w:rsid w:val="003E7A25"/>
    <w:rsid w:val="003F0699"/>
    <w:rsid w:val="003F073D"/>
    <w:rsid w:val="003F0D54"/>
    <w:rsid w:val="003F1F84"/>
    <w:rsid w:val="003F244B"/>
    <w:rsid w:val="003F263C"/>
    <w:rsid w:val="003F278C"/>
    <w:rsid w:val="003F2807"/>
    <w:rsid w:val="003F313C"/>
    <w:rsid w:val="003F3376"/>
    <w:rsid w:val="003F357B"/>
    <w:rsid w:val="003F3B36"/>
    <w:rsid w:val="003F40D4"/>
    <w:rsid w:val="003F4EF4"/>
    <w:rsid w:val="003F50AF"/>
    <w:rsid w:val="003F52E9"/>
    <w:rsid w:val="003F563D"/>
    <w:rsid w:val="003F62AA"/>
    <w:rsid w:val="003F73F0"/>
    <w:rsid w:val="003F7A7D"/>
    <w:rsid w:val="00400636"/>
    <w:rsid w:val="00401B38"/>
    <w:rsid w:val="00402062"/>
    <w:rsid w:val="0040255C"/>
    <w:rsid w:val="00403558"/>
    <w:rsid w:val="004039E7"/>
    <w:rsid w:val="00403C51"/>
    <w:rsid w:val="00403ED7"/>
    <w:rsid w:val="00404665"/>
    <w:rsid w:val="0040533B"/>
    <w:rsid w:val="00405BB9"/>
    <w:rsid w:val="00405CF7"/>
    <w:rsid w:val="00405D48"/>
    <w:rsid w:val="00406C11"/>
    <w:rsid w:val="0040729C"/>
    <w:rsid w:val="00407395"/>
    <w:rsid w:val="004073A2"/>
    <w:rsid w:val="00407605"/>
    <w:rsid w:val="004079F7"/>
    <w:rsid w:val="004106A5"/>
    <w:rsid w:val="00410844"/>
    <w:rsid w:val="00410C60"/>
    <w:rsid w:val="00410D5F"/>
    <w:rsid w:val="00411DC7"/>
    <w:rsid w:val="0041207B"/>
    <w:rsid w:val="004124B5"/>
    <w:rsid w:val="00412A29"/>
    <w:rsid w:val="00412C2E"/>
    <w:rsid w:val="00412F1A"/>
    <w:rsid w:val="00413856"/>
    <w:rsid w:val="0041398E"/>
    <w:rsid w:val="00413C01"/>
    <w:rsid w:val="00413D2F"/>
    <w:rsid w:val="00413D6B"/>
    <w:rsid w:val="00414240"/>
    <w:rsid w:val="00414606"/>
    <w:rsid w:val="00414664"/>
    <w:rsid w:val="004155CD"/>
    <w:rsid w:val="00415677"/>
    <w:rsid w:val="004166B2"/>
    <w:rsid w:val="00416B8E"/>
    <w:rsid w:val="0041734A"/>
    <w:rsid w:val="0041762C"/>
    <w:rsid w:val="00417F05"/>
    <w:rsid w:val="00420985"/>
    <w:rsid w:val="00421359"/>
    <w:rsid w:val="00421554"/>
    <w:rsid w:val="00422315"/>
    <w:rsid w:val="004225E1"/>
    <w:rsid w:val="00422F8E"/>
    <w:rsid w:val="0042341B"/>
    <w:rsid w:val="004236B3"/>
    <w:rsid w:val="00423910"/>
    <w:rsid w:val="00424486"/>
    <w:rsid w:val="00424A56"/>
    <w:rsid w:val="00424AB7"/>
    <w:rsid w:val="00424DD4"/>
    <w:rsid w:val="0042519C"/>
    <w:rsid w:val="00425A39"/>
    <w:rsid w:val="00425C3A"/>
    <w:rsid w:val="004260A7"/>
    <w:rsid w:val="00426330"/>
    <w:rsid w:val="00426422"/>
    <w:rsid w:val="00427185"/>
    <w:rsid w:val="00427765"/>
    <w:rsid w:val="00427E13"/>
    <w:rsid w:val="00427FC8"/>
    <w:rsid w:val="00430090"/>
    <w:rsid w:val="00430301"/>
    <w:rsid w:val="00430674"/>
    <w:rsid w:val="00430AEE"/>
    <w:rsid w:val="00430CE0"/>
    <w:rsid w:val="004313F0"/>
    <w:rsid w:val="0043194A"/>
    <w:rsid w:val="00431954"/>
    <w:rsid w:val="00431AA8"/>
    <w:rsid w:val="004322C6"/>
    <w:rsid w:val="0043232A"/>
    <w:rsid w:val="00432AB9"/>
    <w:rsid w:val="00432D64"/>
    <w:rsid w:val="004341DF"/>
    <w:rsid w:val="00434E4A"/>
    <w:rsid w:val="00434EA2"/>
    <w:rsid w:val="00435316"/>
    <w:rsid w:val="00435439"/>
    <w:rsid w:val="00435CBA"/>
    <w:rsid w:val="00436048"/>
    <w:rsid w:val="004362C7"/>
    <w:rsid w:val="00436398"/>
    <w:rsid w:val="004377D2"/>
    <w:rsid w:val="004403DD"/>
    <w:rsid w:val="00440A9B"/>
    <w:rsid w:val="0044161B"/>
    <w:rsid w:val="00441BA1"/>
    <w:rsid w:val="004420EE"/>
    <w:rsid w:val="004423DA"/>
    <w:rsid w:val="00442B70"/>
    <w:rsid w:val="004431A3"/>
    <w:rsid w:val="00443FBC"/>
    <w:rsid w:val="00444354"/>
    <w:rsid w:val="00444A6B"/>
    <w:rsid w:val="00445784"/>
    <w:rsid w:val="00445D1D"/>
    <w:rsid w:val="00446C05"/>
    <w:rsid w:val="004477D7"/>
    <w:rsid w:val="0044781D"/>
    <w:rsid w:val="004479AD"/>
    <w:rsid w:val="004500A7"/>
    <w:rsid w:val="004504AF"/>
    <w:rsid w:val="00451E6B"/>
    <w:rsid w:val="004521A6"/>
    <w:rsid w:val="00452920"/>
    <w:rsid w:val="00452FAC"/>
    <w:rsid w:val="00453061"/>
    <w:rsid w:val="0045366B"/>
    <w:rsid w:val="00453F26"/>
    <w:rsid w:val="0045479C"/>
    <w:rsid w:val="00454B4B"/>
    <w:rsid w:val="00454F72"/>
    <w:rsid w:val="004555AE"/>
    <w:rsid w:val="00455781"/>
    <w:rsid w:val="00455A21"/>
    <w:rsid w:val="00455BF7"/>
    <w:rsid w:val="00455E35"/>
    <w:rsid w:val="004567A9"/>
    <w:rsid w:val="00456844"/>
    <w:rsid w:val="00456845"/>
    <w:rsid w:val="00456CEB"/>
    <w:rsid w:val="00457A19"/>
    <w:rsid w:val="00457EA5"/>
    <w:rsid w:val="00460032"/>
    <w:rsid w:val="00461A58"/>
    <w:rsid w:val="004624F4"/>
    <w:rsid w:val="00463277"/>
    <w:rsid w:val="00463E74"/>
    <w:rsid w:val="00463E8E"/>
    <w:rsid w:val="004644D9"/>
    <w:rsid w:val="0046625C"/>
    <w:rsid w:val="00466611"/>
    <w:rsid w:val="004717A6"/>
    <w:rsid w:val="00471D56"/>
    <w:rsid w:val="00472688"/>
    <w:rsid w:val="00472D0C"/>
    <w:rsid w:val="00473149"/>
    <w:rsid w:val="00473708"/>
    <w:rsid w:val="0047507B"/>
    <w:rsid w:val="004752A7"/>
    <w:rsid w:val="004753E9"/>
    <w:rsid w:val="004759F2"/>
    <w:rsid w:val="00475D13"/>
    <w:rsid w:val="00475FE9"/>
    <w:rsid w:val="00476BD6"/>
    <w:rsid w:val="00480A0A"/>
    <w:rsid w:val="00480CC3"/>
    <w:rsid w:val="0048139F"/>
    <w:rsid w:val="00481B3C"/>
    <w:rsid w:val="00482B61"/>
    <w:rsid w:val="004830CE"/>
    <w:rsid w:val="004836E2"/>
    <w:rsid w:val="004837AE"/>
    <w:rsid w:val="00483CCC"/>
    <w:rsid w:val="00484121"/>
    <w:rsid w:val="004843F9"/>
    <w:rsid w:val="00484781"/>
    <w:rsid w:val="00484EC2"/>
    <w:rsid w:val="00485340"/>
    <w:rsid w:val="00485894"/>
    <w:rsid w:val="00485EF6"/>
    <w:rsid w:val="0048673C"/>
    <w:rsid w:val="00486EDF"/>
    <w:rsid w:val="0048734B"/>
    <w:rsid w:val="00487705"/>
    <w:rsid w:val="00487DE1"/>
    <w:rsid w:val="0049040D"/>
    <w:rsid w:val="00490AA9"/>
    <w:rsid w:val="00490B42"/>
    <w:rsid w:val="00490DC2"/>
    <w:rsid w:val="00490DDC"/>
    <w:rsid w:val="004918CF"/>
    <w:rsid w:val="00492782"/>
    <w:rsid w:val="00493D07"/>
    <w:rsid w:val="004944EE"/>
    <w:rsid w:val="00494BB0"/>
    <w:rsid w:val="00495330"/>
    <w:rsid w:val="00496186"/>
    <w:rsid w:val="00496630"/>
    <w:rsid w:val="004972CB"/>
    <w:rsid w:val="00497328"/>
    <w:rsid w:val="004976DF"/>
    <w:rsid w:val="00497A90"/>
    <w:rsid w:val="004A0405"/>
    <w:rsid w:val="004A0961"/>
    <w:rsid w:val="004A0C12"/>
    <w:rsid w:val="004A0CD4"/>
    <w:rsid w:val="004A118A"/>
    <w:rsid w:val="004A1A39"/>
    <w:rsid w:val="004A206F"/>
    <w:rsid w:val="004A2867"/>
    <w:rsid w:val="004A2ED0"/>
    <w:rsid w:val="004A30F7"/>
    <w:rsid w:val="004A33C7"/>
    <w:rsid w:val="004A37CA"/>
    <w:rsid w:val="004A3B8F"/>
    <w:rsid w:val="004A4499"/>
    <w:rsid w:val="004A4C70"/>
    <w:rsid w:val="004A4D9F"/>
    <w:rsid w:val="004A503D"/>
    <w:rsid w:val="004A520B"/>
    <w:rsid w:val="004A54DA"/>
    <w:rsid w:val="004A6811"/>
    <w:rsid w:val="004A6C99"/>
    <w:rsid w:val="004A6E50"/>
    <w:rsid w:val="004A7244"/>
    <w:rsid w:val="004A742A"/>
    <w:rsid w:val="004A7516"/>
    <w:rsid w:val="004A774A"/>
    <w:rsid w:val="004A77DF"/>
    <w:rsid w:val="004A7DBE"/>
    <w:rsid w:val="004A7F6D"/>
    <w:rsid w:val="004B00D8"/>
    <w:rsid w:val="004B0827"/>
    <w:rsid w:val="004B0EC3"/>
    <w:rsid w:val="004B0EFC"/>
    <w:rsid w:val="004B116C"/>
    <w:rsid w:val="004B1EFD"/>
    <w:rsid w:val="004B21BD"/>
    <w:rsid w:val="004B228E"/>
    <w:rsid w:val="004B22F1"/>
    <w:rsid w:val="004B32AB"/>
    <w:rsid w:val="004B38CF"/>
    <w:rsid w:val="004B443E"/>
    <w:rsid w:val="004B55B7"/>
    <w:rsid w:val="004B62D9"/>
    <w:rsid w:val="004B6C36"/>
    <w:rsid w:val="004B789D"/>
    <w:rsid w:val="004C008B"/>
    <w:rsid w:val="004C0ADF"/>
    <w:rsid w:val="004C0F0B"/>
    <w:rsid w:val="004C1966"/>
    <w:rsid w:val="004C19A9"/>
    <w:rsid w:val="004C1E7C"/>
    <w:rsid w:val="004C219B"/>
    <w:rsid w:val="004C2813"/>
    <w:rsid w:val="004C2E6C"/>
    <w:rsid w:val="004C2E9A"/>
    <w:rsid w:val="004C3376"/>
    <w:rsid w:val="004C3411"/>
    <w:rsid w:val="004C3867"/>
    <w:rsid w:val="004C3AE6"/>
    <w:rsid w:val="004C4121"/>
    <w:rsid w:val="004C4CD0"/>
    <w:rsid w:val="004C5035"/>
    <w:rsid w:val="004C5416"/>
    <w:rsid w:val="004C5960"/>
    <w:rsid w:val="004C6F38"/>
    <w:rsid w:val="004C70DC"/>
    <w:rsid w:val="004C728B"/>
    <w:rsid w:val="004D0211"/>
    <w:rsid w:val="004D29B8"/>
    <w:rsid w:val="004D2AC0"/>
    <w:rsid w:val="004D2C50"/>
    <w:rsid w:val="004D3AA6"/>
    <w:rsid w:val="004D4145"/>
    <w:rsid w:val="004D4253"/>
    <w:rsid w:val="004D488B"/>
    <w:rsid w:val="004D4ED3"/>
    <w:rsid w:val="004D4F8D"/>
    <w:rsid w:val="004D53B0"/>
    <w:rsid w:val="004D5A8D"/>
    <w:rsid w:val="004D6B14"/>
    <w:rsid w:val="004D6DD7"/>
    <w:rsid w:val="004D70A1"/>
    <w:rsid w:val="004D7352"/>
    <w:rsid w:val="004D7622"/>
    <w:rsid w:val="004D7DD4"/>
    <w:rsid w:val="004E07F2"/>
    <w:rsid w:val="004E0DA0"/>
    <w:rsid w:val="004E16F6"/>
    <w:rsid w:val="004E1E04"/>
    <w:rsid w:val="004E1FB2"/>
    <w:rsid w:val="004E2105"/>
    <w:rsid w:val="004E2F6C"/>
    <w:rsid w:val="004E3005"/>
    <w:rsid w:val="004E3936"/>
    <w:rsid w:val="004E3B21"/>
    <w:rsid w:val="004E3D6B"/>
    <w:rsid w:val="004E3E7B"/>
    <w:rsid w:val="004E44F4"/>
    <w:rsid w:val="004E46DF"/>
    <w:rsid w:val="004E4AF3"/>
    <w:rsid w:val="004E5288"/>
    <w:rsid w:val="004E57C7"/>
    <w:rsid w:val="004E5C31"/>
    <w:rsid w:val="004E600C"/>
    <w:rsid w:val="004E6919"/>
    <w:rsid w:val="004E6BC8"/>
    <w:rsid w:val="004E7551"/>
    <w:rsid w:val="004E789E"/>
    <w:rsid w:val="004E7A13"/>
    <w:rsid w:val="004E7D3D"/>
    <w:rsid w:val="004E7E94"/>
    <w:rsid w:val="004F02B7"/>
    <w:rsid w:val="004F06F5"/>
    <w:rsid w:val="004F0BD9"/>
    <w:rsid w:val="004F0C6A"/>
    <w:rsid w:val="004F0F92"/>
    <w:rsid w:val="004F1890"/>
    <w:rsid w:val="004F18B5"/>
    <w:rsid w:val="004F1915"/>
    <w:rsid w:val="004F2019"/>
    <w:rsid w:val="004F25E7"/>
    <w:rsid w:val="004F2F3C"/>
    <w:rsid w:val="004F33A0"/>
    <w:rsid w:val="004F4117"/>
    <w:rsid w:val="004F411B"/>
    <w:rsid w:val="004F4FE7"/>
    <w:rsid w:val="004F5016"/>
    <w:rsid w:val="004F5578"/>
    <w:rsid w:val="004F5721"/>
    <w:rsid w:val="004F5E50"/>
    <w:rsid w:val="004F663F"/>
    <w:rsid w:val="004F6B41"/>
    <w:rsid w:val="004F6BBE"/>
    <w:rsid w:val="004F7168"/>
    <w:rsid w:val="004F7E6A"/>
    <w:rsid w:val="00500748"/>
    <w:rsid w:val="00500D87"/>
    <w:rsid w:val="00500EBF"/>
    <w:rsid w:val="00501BA8"/>
    <w:rsid w:val="00501BC0"/>
    <w:rsid w:val="005020D2"/>
    <w:rsid w:val="00502265"/>
    <w:rsid w:val="0050264F"/>
    <w:rsid w:val="00502D0B"/>
    <w:rsid w:val="00502D0E"/>
    <w:rsid w:val="00503123"/>
    <w:rsid w:val="005036CD"/>
    <w:rsid w:val="00503742"/>
    <w:rsid w:val="0050375D"/>
    <w:rsid w:val="0050384D"/>
    <w:rsid w:val="00503A24"/>
    <w:rsid w:val="00503DFA"/>
    <w:rsid w:val="0050486B"/>
    <w:rsid w:val="005055DF"/>
    <w:rsid w:val="00505692"/>
    <w:rsid w:val="0050601E"/>
    <w:rsid w:val="005060B8"/>
    <w:rsid w:val="00506701"/>
    <w:rsid w:val="00507292"/>
    <w:rsid w:val="005072D0"/>
    <w:rsid w:val="00507F95"/>
    <w:rsid w:val="0051035C"/>
    <w:rsid w:val="005108C0"/>
    <w:rsid w:val="00510A30"/>
    <w:rsid w:val="00510CB2"/>
    <w:rsid w:val="00510D4F"/>
    <w:rsid w:val="005110A5"/>
    <w:rsid w:val="005116AE"/>
    <w:rsid w:val="00511873"/>
    <w:rsid w:val="00511B1D"/>
    <w:rsid w:val="00511C88"/>
    <w:rsid w:val="0051240C"/>
    <w:rsid w:val="00512441"/>
    <w:rsid w:val="00512D79"/>
    <w:rsid w:val="005130E9"/>
    <w:rsid w:val="00513433"/>
    <w:rsid w:val="00513B7E"/>
    <w:rsid w:val="00514924"/>
    <w:rsid w:val="00514B3C"/>
    <w:rsid w:val="00515CA9"/>
    <w:rsid w:val="005161B9"/>
    <w:rsid w:val="00516807"/>
    <w:rsid w:val="00516C32"/>
    <w:rsid w:val="00516CC3"/>
    <w:rsid w:val="005171EB"/>
    <w:rsid w:val="005176F5"/>
    <w:rsid w:val="00517B67"/>
    <w:rsid w:val="00517B68"/>
    <w:rsid w:val="00520BF3"/>
    <w:rsid w:val="005226AE"/>
    <w:rsid w:val="00523A55"/>
    <w:rsid w:val="00523DBF"/>
    <w:rsid w:val="00524CD4"/>
    <w:rsid w:val="00525137"/>
    <w:rsid w:val="005251DD"/>
    <w:rsid w:val="00526B5D"/>
    <w:rsid w:val="00526E88"/>
    <w:rsid w:val="00527020"/>
    <w:rsid w:val="00527437"/>
    <w:rsid w:val="0052748E"/>
    <w:rsid w:val="0052775C"/>
    <w:rsid w:val="00527BD3"/>
    <w:rsid w:val="00527DA3"/>
    <w:rsid w:val="00527E4A"/>
    <w:rsid w:val="00530BFD"/>
    <w:rsid w:val="0053206D"/>
    <w:rsid w:val="005323FC"/>
    <w:rsid w:val="0053254A"/>
    <w:rsid w:val="00532B87"/>
    <w:rsid w:val="0053330F"/>
    <w:rsid w:val="005333C7"/>
    <w:rsid w:val="00533490"/>
    <w:rsid w:val="00533F4C"/>
    <w:rsid w:val="00535248"/>
    <w:rsid w:val="00535A73"/>
    <w:rsid w:val="00535DB6"/>
    <w:rsid w:val="005361D3"/>
    <w:rsid w:val="005363E4"/>
    <w:rsid w:val="005363FE"/>
    <w:rsid w:val="00536462"/>
    <w:rsid w:val="00537C4A"/>
    <w:rsid w:val="00540700"/>
    <w:rsid w:val="00540B2D"/>
    <w:rsid w:val="005419BA"/>
    <w:rsid w:val="00542027"/>
    <w:rsid w:val="0054266F"/>
    <w:rsid w:val="00542F68"/>
    <w:rsid w:val="005438A7"/>
    <w:rsid w:val="005438DE"/>
    <w:rsid w:val="005438E4"/>
    <w:rsid w:val="00543CE7"/>
    <w:rsid w:val="0054507F"/>
    <w:rsid w:val="005455DA"/>
    <w:rsid w:val="00545734"/>
    <w:rsid w:val="005458F4"/>
    <w:rsid w:val="00545AFD"/>
    <w:rsid w:val="00545C15"/>
    <w:rsid w:val="0054607B"/>
    <w:rsid w:val="005460BD"/>
    <w:rsid w:val="00546883"/>
    <w:rsid w:val="00550AE5"/>
    <w:rsid w:val="00551344"/>
    <w:rsid w:val="005518EF"/>
    <w:rsid w:val="00552735"/>
    <w:rsid w:val="005529F6"/>
    <w:rsid w:val="00552A7D"/>
    <w:rsid w:val="00552AF9"/>
    <w:rsid w:val="00552F1A"/>
    <w:rsid w:val="00553465"/>
    <w:rsid w:val="0055358A"/>
    <w:rsid w:val="00553D4C"/>
    <w:rsid w:val="0055454F"/>
    <w:rsid w:val="005554D3"/>
    <w:rsid w:val="0055632A"/>
    <w:rsid w:val="0055773E"/>
    <w:rsid w:val="00557E1D"/>
    <w:rsid w:val="00560C17"/>
    <w:rsid w:val="00560FB2"/>
    <w:rsid w:val="005629BB"/>
    <w:rsid w:val="00562F22"/>
    <w:rsid w:val="00563888"/>
    <w:rsid w:val="00563B0F"/>
    <w:rsid w:val="00563D83"/>
    <w:rsid w:val="00564054"/>
    <w:rsid w:val="00564633"/>
    <w:rsid w:val="00564B70"/>
    <w:rsid w:val="0056597A"/>
    <w:rsid w:val="00565A4E"/>
    <w:rsid w:val="00565E96"/>
    <w:rsid w:val="00566393"/>
    <w:rsid w:val="00566445"/>
    <w:rsid w:val="005668B7"/>
    <w:rsid w:val="00566A33"/>
    <w:rsid w:val="00566C7B"/>
    <w:rsid w:val="005679C5"/>
    <w:rsid w:val="005706B1"/>
    <w:rsid w:val="005709D3"/>
    <w:rsid w:val="00570CD6"/>
    <w:rsid w:val="00570F82"/>
    <w:rsid w:val="005716C1"/>
    <w:rsid w:val="00571D93"/>
    <w:rsid w:val="00572349"/>
    <w:rsid w:val="005729F5"/>
    <w:rsid w:val="00573FFF"/>
    <w:rsid w:val="00574197"/>
    <w:rsid w:val="00574490"/>
    <w:rsid w:val="00574541"/>
    <w:rsid w:val="00574547"/>
    <w:rsid w:val="00574590"/>
    <w:rsid w:val="005745F8"/>
    <w:rsid w:val="00574AB8"/>
    <w:rsid w:val="00574E66"/>
    <w:rsid w:val="00575AFF"/>
    <w:rsid w:val="005764F0"/>
    <w:rsid w:val="00576B55"/>
    <w:rsid w:val="00576FE4"/>
    <w:rsid w:val="00577204"/>
    <w:rsid w:val="00577F03"/>
    <w:rsid w:val="00577F80"/>
    <w:rsid w:val="00581786"/>
    <w:rsid w:val="00581B79"/>
    <w:rsid w:val="00582AD9"/>
    <w:rsid w:val="00582FE0"/>
    <w:rsid w:val="005830FC"/>
    <w:rsid w:val="00583F8C"/>
    <w:rsid w:val="00583FFD"/>
    <w:rsid w:val="005851AF"/>
    <w:rsid w:val="005854DA"/>
    <w:rsid w:val="0058628D"/>
    <w:rsid w:val="0058644C"/>
    <w:rsid w:val="005866E9"/>
    <w:rsid w:val="0058702F"/>
    <w:rsid w:val="005872D8"/>
    <w:rsid w:val="005874A9"/>
    <w:rsid w:val="00587F1E"/>
    <w:rsid w:val="00587F3D"/>
    <w:rsid w:val="00590264"/>
    <w:rsid w:val="00590645"/>
    <w:rsid w:val="00591058"/>
    <w:rsid w:val="00591A62"/>
    <w:rsid w:val="0059258E"/>
    <w:rsid w:val="0059288E"/>
    <w:rsid w:val="00592A8D"/>
    <w:rsid w:val="00592E15"/>
    <w:rsid w:val="00593152"/>
    <w:rsid w:val="005932BA"/>
    <w:rsid w:val="00593415"/>
    <w:rsid w:val="00593616"/>
    <w:rsid w:val="005938F5"/>
    <w:rsid w:val="0059475B"/>
    <w:rsid w:val="0059538A"/>
    <w:rsid w:val="00595B7A"/>
    <w:rsid w:val="005962A0"/>
    <w:rsid w:val="005963DF"/>
    <w:rsid w:val="005965AB"/>
    <w:rsid w:val="00597A1D"/>
    <w:rsid w:val="005A0714"/>
    <w:rsid w:val="005A0B78"/>
    <w:rsid w:val="005A1B66"/>
    <w:rsid w:val="005A1E1A"/>
    <w:rsid w:val="005A21E0"/>
    <w:rsid w:val="005A2579"/>
    <w:rsid w:val="005A28B5"/>
    <w:rsid w:val="005A2ADA"/>
    <w:rsid w:val="005A35C9"/>
    <w:rsid w:val="005A3CEB"/>
    <w:rsid w:val="005A3DE8"/>
    <w:rsid w:val="005A4539"/>
    <w:rsid w:val="005A46D2"/>
    <w:rsid w:val="005A5FA9"/>
    <w:rsid w:val="005A60BF"/>
    <w:rsid w:val="005A704F"/>
    <w:rsid w:val="005A771E"/>
    <w:rsid w:val="005A779E"/>
    <w:rsid w:val="005A7D8C"/>
    <w:rsid w:val="005B02E2"/>
    <w:rsid w:val="005B0B56"/>
    <w:rsid w:val="005B1FC4"/>
    <w:rsid w:val="005B22A7"/>
    <w:rsid w:val="005B259E"/>
    <w:rsid w:val="005B30A1"/>
    <w:rsid w:val="005B3B22"/>
    <w:rsid w:val="005B4204"/>
    <w:rsid w:val="005B4222"/>
    <w:rsid w:val="005B48E0"/>
    <w:rsid w:val="005B496A"/>
    <w:rsid w:val="005B4A27"/>
    <w:rsid w:val="005B52EE"/>
    <w:rsid w:val="005B5E34"/>
    <w:rsid w:val="005B609E"/>
    <w:rsid w:val="005B65C2"/>
    <w:rsid w:val="005B6B27"/>
    <w:rsid w:val="005B7627"/>
    <w:rsid w:val="005B7AFC"/>
    <w:rsid w:val="005C0B72"/>
    <w:rsid w:val="005C0BF9"/>
    <w:rsid w:val="005C11AC"/>
    <w:rsid w:val="005C14C8"/>
    <w:rsid w:val="005C20C3"/>
    <w:rsid w:val="005C22C7"/>
    <w:rsid w:val="005C2E14"/>
    <w:rsid w:val="005C2E31"/>
    <w:rsid w:val="005C3DF6"/>
    <w:rsid w:val="005C4344"/>
    <w:rsid w:val="005C4540"/>
    <w:rsid w:val="005C4A5A"/>
    <w:rsid w:val="005C4A63"/>
    <w:rsid w:val="005C50F6"/>
    <w:rsid w:val="005C5616"/>
    <w:rsid w:val="005C5C6E"/>
    <w:rsid w:val="005C64B3"/>
    <w:rsid w:val="005C665F"/>
    <w:rsid w:val="005C66E8"/>
    <w:rsid w:val="005C6EC5"/>
    <w:rsid w:val="005C7569"/>
    <w:rsid w:val="005D0C21"/>
    <w:rsid w:val="005D12C9"/>
    <w:rsid w:val="005D148B"/>
    <w:rsid w:val="005D16F5"/>
    <w:rsid w:val="005D353F"/>
    <w:rsid w:val="005D3651"/>
    <w:rsid w:val="005D37AA"/>
    <w:rsid w:val="005D3A8D"/>
    <w:rsid w:val="005D44A6"/>
    <w:rsid w:val="005D5459"/>
    <w:rsid w:val="005D5733"/>
    <w:rsid w:val="005D57F6"/>
    <w:rsid w:val="005D5802"/>
    <w:rsid w:val="005D5C82"/>
    <w:rsid w:val="005D5E5F"/>
    <w:rsid w:val="005D5F3F"/>
    <w:rsid w:val="005D601C"/>
    <w:rsid w:val="005D6484"/>
    <w:rsid w:val="005D78C1"/>
    <w:rsid w:val="005E2022"/>
    <w:rsid w:val="005E2322"/>
    <w:rsid w:val="005E2A52"/>
    <w:rsid w:val="005E2DDB"/>
    <w:rsid w:val="005E3325"/>
    <w:rsid w:val="005E33B5"/>
    <w:rsid w:val="005E347D"/>
    <w:rsid w:val="005E3A2D"/>
    <w:rsid w:val="005E3FBD"/>
    <w:rsid w:val="005E4BB3"/>
    <w:rsid w:val="005E505B"/>
    <w:rsid w:val="005E51A7"/>
    <w:rsid w:val="005E52CA"/>
    <w:rsid w:val="005E559F"/>
    <w:rsid w:val="005E5841"/>
    <w:rsid w:val="005E601C"/>
    <w:rsid w:val="005E62AE"/>
    <w:rsid w:val="005E68B8"/>
    <w:rsid w:val="005E6B47"/>
    <w:rsid w:val="005E6DBE"/>
    <w:rsid w:val="005E763D"/>
    <w:rsid w:val="005E7685"/>
    <w:rsid w:val="005E781C"/>
    <w:rsid w:val="005F0BD1"/>
    <w:rsid w:val="005F17D5"/>
    <w:rsid w:val="005F2478"/>
    <w:rsid w:val="005F260F"/>
    <w:rsid w:val="005F269E"/>
    <w:rsid w:val="005F2A6F"/>
    <w:rsid w:val="005F3C22"/>
    <w:rsid w:val="005F479D"/>
    <w:rsid w:val="005F47E7"/>
    <w:rsid w:val="005F5310"/>
    <w:rsid w:val="005F55C1"/>
    <w:rsid w:val="005F6069"/>
    <w:rsid w:val="005F6461"/>
    <w:rsid w:val="005F6A35"/>
    <w:rsid w:val="005F6F84"/>
    <w:rsid w:val="005F7DE8"/>
    <w:rsid w:val="00600AF3"/>
    <w:rsid w:val="006010B5"/>
    <w:rsid w:val="00601C10"/>
    <w:rsid w:val="00602291"/>
    <w:rsid w:val="0060238B"/>
    <w:rsid w:val="0060342E"/>
    <w:rsid w:val="0060348B"/>
    <w:rsid w:val="006034DE"/>
    <w:rsid w:val="00603BF6"/>
    <w:rsid w:val="00604307"/>
    <w:rsid w:val="0060487F"/>
    <w:rsid w:val="00604E0D"/>
    <w:rsid w:val="00604FC4"/>
    <w:rsid w:val="00605386"/>
    <w:rsid w:val="00605C8E"/>
    <w:rsid w:val="00605CFF"/>
    <w:rsid w:val="00607283"/>
    <w:rsid w:val="006078AD"/>
    <w:rsid w:val="006079E4"/>
    <w:rsid w:val="00607CF0"/>
    <w:rsid w:val="00610EDF"/>
    <w:rsid w:val="006115C5"/>
    <w:rsid w:val="00611722"/>
    <w:rsid w:val="00611903"/>
    <w:rsid w:val="006119BF"/>
    <w:rsid w:val="00611A94"/>
    <w:rsid w:val="00612194"/>
    <w:rsid w:val="0061330D"/>
    <w:rsid w:val="006137B9"/>
    <w:rsid w:val="00613E83"/>
    <w:rsid w:val="00613EFD"/>
    <w:rsid w:val="00615C16"/>
    <w:rsid w:val="00615C91"/>
    <w:rsid w:val="00616319"/>
    <w:rsid w:val="00616A62"/>
    <w:rsid w:val="00616B56"/>
    <w:rsid w:val="0061701C"/>
    <w:rsid w:val="006179E9"/>
    <w:rsid w:val="00620044"/>
    <w:rsid w:val="00620179"/>
    <w:rsid w:val="00620F61"/>
    <w:rsid w:val="00621656"/>
    <w:rsid w:val="0062247C"/>
    <w:rsid w:val="00622C23"/>
    <w:rsid w:val="00623456"/>
    <w:rsid w:val="00624093"/>
    <w:rsid w:val="006240FF"/>
    <w:rsid w:val="006257D8"/>
    <w:rsid w:val="00625BCA"/>
    <w:rsid w:val="00625EDA"/>
    <w:rsid w:val="0062654A"/>
    <w:rsid w:val="006269EA"/>
    <w:rsid w:val="00626CB4"/>
    <w:rsid w:val="00626E12"/>
    <w:rsid w:val="00626F55"/>
    <w:rsid w:val="006278B3"/>
    <w:rsid w:val="0063056C"/>
    <w:rsid w:val="0063086D"/>
    <w:rsid w:val="00630B4A"/>
    <w:rsid w:val="00631019"/>
    <w:rsid w:val="006312C3"/>
    <w:rsid w:val="00631344"/>
    <w:rsid w:val="00631BD8"/>
    <w:rsid w:val="00631D04"/>
    <w:rsid w:val="00631D5A"/>
    <w:rsid w:val="00631FE8"/>
    <w:rsid w:val="0063342F"/>
    <w:rsid w:val="006337DD"/>
    <w:rsid w:val="0063382F"/>
    <w:rsid w:val="006338B4"/>
    <w:rsid w:val="00634017"/>
    <w:rsid w:val="006343AA"/>
    <w:rsid w:val="006347D0"/>
    <w:rsid w:val="00634C80"/>
    <w:rsid w:val="00635458"/>
    <w:rsid w:val="0063562D"/>
    <w:rsid w:val="006356AF"/>
    <w:rsid w:val="00635C2B"/>
    <w:rsid w:val="0063630B"/>
    <w:rsid w:val="00636984"/>
    <w:rsid w:val="00637170"/>
    <w:rsid w:val="0063741F"/>
    <w:rsid w:val="00637B11"/>
    <w:rsid w:val="00637D37"/>
    <w:rsid w:val="0064003F"/>
    <w:rsid w:val="006400ED"/>
    <w:rsid w:val="006404A7"/>
    <w:rsid w:val="0064082E"/>
    <w:rsid w:val="00640A5F"/>
    <w:rsid w:val="0064152C"/>
    <w:rsid w:val="00641532"/>
    <w:rsid w:val="00641BF3"/>
    <w:rsid w:val="006426B8"/>
    <w:rsid w:val="00642B43"/>
    <w:rsid w:val="00643C82"/>
    <w:rsid w:val="00644401"/>
    <w:rsid w:val="00644C7A"/>
    <w:rsid w:val="00644C9D"/>
    <w:rsid w:val="00644EDE"/>
    <w:rsid w:val="00645105"/>
    <w:rsid w:val="006451E4"/>
    <w:rsid w:val="006451F0"/>
    <w:rsid w:val="0064533C"/>
    <w:rsid w:val="00645A5A"/>
    <w:rsid w:val="00645A9B"/>
    <w:rsid w:val="00645B93"/>
    <w:rsid w:val="00646871"/>
    <w:rsid w:val="00646DA3"/>
    <w:rsid w:val="006505D0"/>
    <w:rsid w:val="006523FA"/>
    <w:rsid w:val="00652AFC"/>
    <w:rsid w:val="00652D61"/>
    <w:rsid w:val="00652D74"/>
    <w:rsid w:val="00652F28"/>
    <w:rsid w:val="00653287"/>
    <w:rsid w:val="006532F0"/>
    <w:rsid w:val="00653F6E"/>
    <w:rsid w:val="006542ED"/>
    <w:rsid w:val="0065484D"/>
    <w:rsid w:val="00655FB6"/>
    <w:rsid w:val="00656658"/>
    <w:rsid w:val="00656BF8"/>
    <w:rsid w:val="006573DF"/>
    <w:rsid w:val="00657E87"/>
    <w:rsid w:val="00660575"/>
    <w:rsid w:val="006606E7"/>
    <w:rsid w:val="006613D6"/>
    <w:rsid w:val="00662212"/>
    <w:rsid w:val="00662635"/>
    <w:rsid w:val="00662694"/>
    <w:rsid w:val="00662A19"/>
    <w:rsid w:val="00662A1B"/>
    <w:rsid w:val="00663859"/>
    <w:rsid w:val="006638A2"/>
    <w:rsid w:val="00663E02"/>
    <w:rsid w:val="0066450D"/>
    <w:rsid w:val="006646F2"/>
    <w:rsid w:val="006652C4"/>
    <w:rsid w:val="006655D8"/>
    <w:rsid w:val="006664F5"/>
    <w:rsid w:val="00666845"/>
    <w:rsid w:val="006670FB"/>
    <w:rsid w:val="006671BA"/>
    <w:rsid w:val="006671D2"/>
    <w:rsid w:val="00670B89"/>
    <w:rsid w:val="006710C9"/>
    <w:rsid w:val="0067118A"/>
    <w:rsid w:val="00671976"/>
    <w:rsid w:val="00671A9F"/>
    <w:rsid w:val="00671CEF"/>
    <w:rsid w:val="00671F0C"/>
    <w:rsid w:val="00672AB0"/>
    <w:rsid w:val="00672B6E"/>
    <w:rsid w:val="00673310"/>
    <w:rsid w:val="00673CD6"/>
    <w:rsid w:val="00674310"/>
    <w:rsid w:val="00674E7F"/>
    <w:rsid w:val="006750B0"/>
    <w:rsid w:val="00675E37"/>
    <w:rsid w:val="00675F3A"/>
    <w:rsid w:val="00675F55"/>
    <w:rsid w:val="0067630D"/>
    <w:rsid w:val="00676763"/>
    <w:rsid w:val="0067698C"/>
    <w:rsid w:val="00676F9C"/>
    <w:rsid w:val="006804FC"/>
    <w:rsid w:val="00680A48"/>
    <w:rsid w:val="006819E5"/>
    <w:rsid w:val="00681A9C"/>
    <w:rsid w:val="00681CB3"/>
    <w:rsid w:val="00681EC9"/>
    <w:rsid w:val="0068221E"/>
    <w:rsid w:val="0068260E"/>
    <w:rsid w:val="00683779"/>
    <w:rsid w:val="00683947"/>
    <w:rsid w:val="00683E98"/>
    <w:rsid w:val="00684158"/>
    <w:rsid w:val="00684459"/>
    <w:rsid w:val="0068574B"/>
    <w:rsid w:val="00687495"/>
    <w:rsid w:val="00687CC4"/>
    <w:rsid w:val="00687F82"/>
    <w:rsid w:val="006902F9"/>
    <w:rsid w:val="00690C1C"/>
    <w:rsid w:val="00690FC3"/>
    <w:rsid w:val="00690FED"/>
    <w:rsid w:val="00691266"/>
    <w:rsid w:val="00691988"/>
    <w:rsid w:val="00691FC8"/>
    <w:rsid w:val="00692262"/>
    <w:rsid w:val="006930F9"/>
    <w:rsid w:val="006932B7"/>
    <w:rsid w:val="00693366"/>
    <w:rsid w:val="0069364F"/>
    <w:rsid w:val="00693C50"/>
    <w:rsid w:val="00693D68"/>
    <w:rsid w:val="00693DE1"/>
    <w:rsid w:val="00693FBD"/>
    <w:rsid w:val="0069442A"/>
    <w:rsid w:val="006950BA"/>
    <w:rsid w:val="006954F9"/>
    <w:rsid w:val="00695BEF"/>
    <w:rsid w:val="00696EB8"/>
    <w:rsid w:val="006977F6"/>
    <w:rsid w:val="006979C7"/>
    <w:rsid w:val="00697A13"/>
    <w:rsid w:val="00697C74"/>
    <w:rsid w:val="006A0B78"/>
    <w:rsid w:val="006A0EB3"/>
    <w:rsid w:val="006A109C"/>
    <w:rsid w:val="006A10A9"/>
    <w:rsid w:val="006A12FD"/>
    <w:rsid w:val="006A15D6"/>
    <w:rsid w:val="006A15E1"/>
    <w:rsid w:val="006A1BA5"/>
    <w:rsid w:val="006A281E"/>
    <w:rsid w:val="006A282C"/>
    <w:rsid w:val="006A2DAC"/>
    <w:rsid w:val="006A3A77"/>
    <w:rsid w:val="006A3AB0"/>
    <w:rsid w:val="006A3D7A"/>
    <w:rsid w:val="006A41F7"/>
    <w:rsid w:val="006A4FCA"/>
    <w:rsid w:val="006A57CA"/>
    <w:rsid w:val="006A622B"/>
    <w:rsid w:val="006A68FD"/>
    <w:rsid w:val="006A6CEC"/>
    <w:rsid w:val="006A7BA8"/>
    <w:rsid w:val="006A7FF3"/>
    <w:rsid w:val="006B0C92"/>
    <w:rsid w:val="006B0CCD"/>
    <w:rsid w:val="006B1002"/>
    <w:rsid w:val="006B10C5"/>
    <w:rsid w:val="006B1C9D"/>
    <w:rsid w:val="006B2637"/>
    <w:rsid w:val="006B2E13"/>
    <w:rsid w:val="006B2F1A"/>
    <w:rsid w:val="006B3F78"/>
    <w:rsid w:val="006B44EB"/>
    <w:rsid w:val="006B4855"/>
    <w:rsid w:val="006B4B34"/>
    <w:rsid w:val="006B4ED0"/>
    <w:rsid w:val="006B506D"/>
    <w:rsid w:val="006B5334"/>
    <w:rsid w:val="006B6C1B"/>
    <w:rsid w:val="006B78D8"/>
    <w:rsid w:val="006B79DE"/>
    <w:rsid w:val="006C0693"/>
    <w:rsid w:val="006C113F"/>
    <w:rsid w:val="006C1A41"/>
    <w:rsid w:val="006C201D"/>
    <w:rsid w:val="006C2600"/>
    <w:rsid w:val="006C27E6"/>
    <w:rsid w:val="006C2A01"/>
    <w:rsid w:val="006C2A0E"/>
    <w:rsid w:val="006C34C1"/>
    <w:rsid w:val="006C3601"/>
    <w:rsid w:val="006C373E"/>
    <w:rsid w:val="006C3C9F"/>
    <w:rsid w:val="006C3E42"/>
    <w:rsid w:val="006C446E"/>
    <w:rsid w:val="006C4C3F"/>
    <w:rsid w:val="006C4F1F"/>
    <w:rsid w:val="006C4F92"/>
    <w:rsid w:val="006C50CC"/>
    <w:rsid w:val="006C6369"/>
    <w:rsid w:val="006C637E"/>
    <w:rsid w:val="006C684C"/>
    <w:rsid w:val="006C6B07"/>
    <w:rsid w:val="006C7525"/>
    <w:rsid w:val="006C7EA7"/>
    <w:rsid w:val="006D0D80"/>
    <w:rsid w:val="006D1029"/>
    <w:rsid w:val="006D102B"/>
    <w:rsid w:val="006D1CB5"/>
    <w:rsid w:val="006D2016"/>
    <w:rsid w:val="006D2396"/>
    <w:rsid w:val="006D24BB"/>
    <w:rsid w:val="006D2559"/>
    <w:rsid w:val="006D26CB"/>
    <w:rsid w:val="006D275D"/>
    <w:rsid w:val="006D27E6"/>
    <w:rsid w:val="006D2BB0"/>
    <w:rsid w:val="006D2BDA"/>
    <w:rsid w:val="006D2F32"/>
    <w:rsid w:val="006D34C1"/>
    <w:rsid w:val="006D41F9"/>
    <w:rsid w:val="006D4556"/>
    <w:rsid w:val="006D4821"/>
    <w:rsid w:val="006D5215"/>
    <w:rsid w:val="006D553C"/>
    <w:rsid w:val="006D566D"/>
    <w:rsid w:val="006D5E0A"/>
    <w:rsid w:val="006D5F4D"/>
    <w:rsid w:val="006D61F6"/>
    <w:rsid w:val="006D71D1"/>
    <w:rsid w:val="006D78AF"/>
    <w:rsid w:val="006D7F8A"/>
    <w:rsid w:val="006E022D"/>
    <w:rsid w:val="006E0C18"/>
    <w:rsid w:val="006E0C59"/>
    <w:rsid w:val="006E1970"/>
    <w:rsid w:val="006E1F73"/>
    <w:rsid w:val="006E20A5"/>
    <w:rsid w:val="006E279A"/>
    <w:rsid w:val="006E30C5"/>
    <w:rsid w:val="006E313B"/>
    <w:rsid w:val="006E3720"/>
    <w:rsid w:val="006E3E5E"/>
    <w:rsid w:val="006E42AA"/>
    <w:rsid w:val="006E4775"/>
    <w:rsid w:val="006E48D6"/>
    <w:rsid w:val="006E4920"/>
    <w:rsid w:val="006E4DBB"/>
    <w:rsid w:val="006E5039"/>
    <w:rsid w:val="006E53F8"/>
    <w:rsid w:val="006E5469"/>
    <w:rsid w:val="006E5572"/>
    <w:rsid w:val="006E582A"/>
    <w:rsid w:val="006E5B5C"/>
    <w:rsid w:val="006E5CD2"/>
    <w:rsid w:val="006E77B8"/>
    <w:rsid w:val="006E7C47"/>
    <w:rsid w:val="006F08B7"/>
    <w:rsid w:val="006F0AE3"/>
    <w:rsid w:val="006F1594"/>
    <w:rsid w:val="006F1979"/>
    <w:rsid w:val="006F1D47"/>
    <w:rsid w:val="006F1F52"/>
    <w:rsid w:val="006F20A7"/>
    <w:rsid w:val="006F211A"/>
    <w:rsid w:val="006F2432"/>
    <w:rsid w:val="006F2516"/>
    <w:rsid w:val="006F26E7"/>
    <w:rsid w:val="006F36B5"/>
    <w:rsid w:val="006F3933"/>
    <w:rsid w:val="006F44F9"/>
    <w:rsid w:val="006F4E51"/>
    <w:rsid w:val="006F4FEB"/>
    <w:rsid w:val="006F51D5"/>
    <w:rsid w:val="006F56DF"/>
    <w:rsid w:val="006F5B35"/>
    <w:rsid w:val="006F5D28"/>
    <w:rsid w:val="006F5D5F"/>
    <w:rsid w:val="006F5EAF"/>
    <w:rsid w:val="006F62F4"/>
    <w:rsid w:val="006F66A0"/>
    <w:rsid w:val="006F6A6F"/>
    <w:rsid w:val="006F6BF4"/>
    <w:rsid w:val="006F6EE2"/>
    <w:rsid w:val="006F7318"/>
    <w:rsid w:val="006F7D6F"/>
    <w:rsid w:val="0070046A"/>
    <w:rsid w:val="00700C44"/>
    <w:rsid w:val="007011A3"/>
    <w:rsid w:val="0070165B"/>
    <w:rsid w:val="00701C33"/>
    <w:rsid w:val="00702312"/>
    <w:rsid w:val="00702E00"/>
    <w:rsid w:val="00703A95"/>
    <w:rsid w:val="007047B1"/>
    <w:rsid w:val="0070497E"/>
    <w:rsid w:val="00704E80"/>
    <w:rsid w:val="0070607A"/>
    <w:rsid w:val="0070709B"/>
    <w:rsid w:val="00707ACC"/>
    <w:rsid w:val="00710016"/>
    <w:rsid w:val="007105BB"/>
    <w:rsid w:val="007106B3"/>
    <w:rsid w:val="00710A84"/>
    <w:rsid w:val="00710C31"/>
    <w:rsid w:val="00711271"/>
    <w:rsid w:val="00711334"/>
    <w:rsid w:val="00711A84"/>
    <w:rsid w:val="0071202B"/>
    <w:rsid w:val="007122DD"/>
    <w:rsid w:val="007131AB"/>
    <w:rsid w:val="00713671"/>
    <w:rsid w:val="00713E26"/>
    <w:rsid w:val="00714A89"/>
    <w:rsid w:val="007155A3"/>
    <w:rsid w:val="007158BD"/>
    <w:rsid w:val="00715C3C"/>
    <w:rsid w:val="00715D75"/>
    <w:rsid w:val="00716471"/>
    <w:rsid w:val="00716A27"/>
    <w:rsid w:val="00716A94"/>
    <w:rsid w:val="007201E8"/>
    <w:rsid w:val="00720A8A"/>
    <w:rsid w:val="00720BAA"/>
    <w:rsid w:val="00720EBC"/>
    <w:rsid w:val="007211F5"/>
    <w:rsid w:val="007214BF"/>
    <w:rsid w:val="0072169B"/>
    <w:rsid w:val="00721870"/>
    <w:rsid w:val="0072281F"/>
    <w:rsid w:val="0072337E"/>
    <w:rsid w:val="00723469"/>
    <w:rsid w:val="007239E6"/>
    <w:rsid w:val="007256C9"/>
    <w:rsid w:val="007259FC"/>
    <w:rsid w:val="00725B5F"/>
    <w:rsid w:val="0072728F"/>
    <w:rsid w:val="00727ACC"/>
    <w:rsid w:val="00730645"/>
    <w:rsid w:val="00730AE8"/>
    <w:rsid w:val="00730E5F"/>
    <w:rsid w:val="00731782"/>
    <w:rsid w:val="007318A1"/>
    <w:rsid w:val="0073223F"/>
    <w:rsid w:val="007325E4"/>
    <w:rsid w:val="00732A80"/>
    <w:rsid w:val="00733287"/>
    <w:rsid w:val="00733953"/>
    <w:rsid w:val="00734158"/>
    <w:rsid w:val="0073537D"/>
    <w:rsid w:val="00735492"/>
    <w:rsid w:val="00735558"/>
    <w:rsid w:val="007357DE"/>
    <w:rsid w:val="0073609F"/>
    <w:rsid w:val="007361AB"/>
    <w:rsid w:val="00736642"/>
    <w:rsid w:val="00736A3D"/>
    <w:rsid w:val="00737392"/>
    <w:rsid w:val="0073775D"/>
    <w:rsid w:val="00737F64"/>
    <w:rsid w:val="00740247"/>
    <w:rsid w:val="00741493"/>
    <w:rsid w:val="00741639"/>
    <w:rsid w:val="00741D6A"/>
    <w:rsid w:val="00741F63"/>
    <w:rsid w:val="00742B15"/>
    <w:rsid w:val="0074337C"/>
    <w:rsid w:val="0074449E"/>
    <w:rsid w:val="00745E09"/>
    <w:rsid w:val="00746A14"/>
    <w:rsid w:val="00747B3A"/>
    <w:rsid w:val="00750912"/>
    <w:rsid w:val="00751074"/>
    <w:rsid w:val="00751481"/>
    <w:rsid w:val="00751643"/>
    <w:rsid w:val="0075166A"/>
    <w:rsid w:val="00751E09"/>
    <w:rsid w:val="0075203E"/>
    <w:rsid w:val="00752180"/>
    <w:rsid w:val="007522FD"/>
    <w:rsid w:val="00752754"/>
    <w:rsid w:val="00752BF3"/>
    <w:rsid w:val="00753D5E"/>
    <w:rsid w:val="0075508B"/>
    <w:rsid w:val="0075538A"/>
    <w:rsid w:val="007556A4"/>
    <w:rsid w:val="007556C3"/>
    <w:rsid w:val="00755AFC"/>
    <w:rsid w:val="00755CEA"/>
    <w:rsid w:val="00755D3A"/>
    <w:rsid w:val="00755DEF"/>
    <w:rsid w:val="0075638E"/>
    <w:rsid w:val="00756547"/>
    <w:rsid w:val="00756767"/>
    <w:rsid w:val="007574A0"/>
    <w:rsid w:val="007574AD"/>
    <w:rsid w:val="00757838"/>
    <w:rsid w:val="00757DD3"/>
    <w:rsid w:val="00757E60"/>
    <w:rsid w:val="0076034C"/>
    <w:rsid w:val="007607DE"/>
    <w:rsid w:val="007609C6"/>
    <w:rsid w:val="00761412"/>
    <w:rsid w:val="00761B3D"/>
    <w:rsid w:val="007620B1"/>
    <w:rsid w:val="00763242"/>
    <w:rsid w:val="00763492"/>
    <w:rsid w:val="00763981"/>
    <w:rsid w:val="00764739"/>
    <w:rsid w:val="00764849"/>
    <w:rsid w:val="00764CB6"/>
    <w:rsid w:val="00766481"/>
    <w:rsid w:val="0076676A"/>
    <w:rsid w:val="0076785F"/>
    <w:rsid w:val="00767CA5"/>
    <w:rsid w:val="00767FE9"/>
    <w:rsid w:val="007701FB"/>
    <w:rsid w:val="00770B5B"/>
    <w:rsid w:val="0077211E"/>
    <w:rsid w:val="00772FD6"/>
    <w:rsid w:val="00773C24"/>
    <w:rsid w:val="007749AC"/>
    <w:rsid w:val="00776527"/>
    <w:rsid w:val="007766BF"/>
    <w:rsid w:val="0077675E"/>
    <w:rsid w:val="00776925"/>
    <w:rsid w:val="00776E52"/>
    <w:rsid w:val="00777A7F"/>
    <w:rsid w:val="00777C02"/>
    <w:rsid w:val="00780661"/>
    <w:rsid w:val="00781100"/>
    <w:rsid w:val="00782360"/>
    <w:rsid w:val="00782419"/>
    <w:rsid w:val="00782B94"/>
    <w:rsid w:val="00782C2D"/>
    <w:rsid w:val="00783986"/>
    <w:rsid w:val="00784715"/>
    <w:rsid w:val="00784EA4"/>
    <w:rsid w:val="00784FF8"/>
    <w:rsid w:val="007862F6"/>
    <w:rsid w:val="0078765D"/>
    <w:rsid w:val="007902DA"/>
    <w:rsid w:val="00790395"/>
    <w:rsid w:val="00790BA8"/>
    <w:rsid w:val="00792B2C"/>
    <w:rsid w:val="00792E1B"/>
    <w:rsid w:val="0079301B"/>
    <w:rsid w:val="007930ED"/>
    <w:rsid w:val="0079384B"/>
    <w:rsid w:val="00793B02"/>
    <w:rsid w:val="00793D33"/>
    <w:rsid w:val="00794BA7"/>
    <w:rsid w:val="00795CBA"/>
    <w:rsid w:val="00796238"/>
    <w:rsid w:val="007974EF"/>
    <w:rsid w:val="00797B10"/>
    <w:rsid w:val="00797EAB"/>
    <w:rsid w:val="00797F5F"/>
    <w:rsid w:val="007A04CE"/>
    <w:rsid w:val="007A0BE9"/>
    <w:rsid w:val="007A0F26"/>
    <w:rsid w:val="007A14F0"/>
    <w:rsid w:val="007A17A9"/>
    <w:rsid w:val="007A1D16"/>
    <w:rsid w:val="007A22BC"/>
    <w:rsid w:val="007A2597"/>
    <w:rsid w:val="007A2BC5"/>
    <w:rsid w:val="007A319B"/>
    <w:rsid w:val="007A33E4"/>
    <w:rsid w:val="007A3CED"/>
    <w:rsid w:val="007A5223"/>
    <w:rsid w:val="007A5252"/>
    <w:rsid w:val="007A5363"/>
    <w:rsid w:val="007A54CE"/>
    <w:rsid w:val="007A566D"/>
    <w:rsid w:val="007A5794"/>
    <w:rsid w:val="007A5AF0"/>
    <w:rsid w:val="007A5FA4"/>
    <w:rsid w:val="007A6F78"/>
    <w:rsid w:val="007A7EE3"/>
    <w:rsid w:val="007B05E9"/>
    <w:rsid w:val="007B06B2"/>
    <w:rsid w:val="007B06EC"/>
    <w:rsid w:val="007B077B"/>
    <w:rsid w:val="007B09B5"/>
    <w:rsid w:val="007B1270"/>
    <w:rsid w:val="007B1ADF"/>
    <w:rsid w:val="007B1B84"/>
    <w:rsid w:val="007B27B9"/>
    <w:rsid w:val="007B31E6"/>
    <w:rsid w:val="007B39E8"/>
    <w:rsid w:val="007B3D95"/>
    <w:rsid w:val="007B3FCD"/>
    <w:rsid w:val="007B447A"/>
    <w:rsid w:val="007B5995"/>
    <w:rsid w:val="007B5B94"/>
    <w:rsid w:val="007B6154"/>
    <w:rsid w:val="007B6A57"/>
    <w:rsid w:val="007B7271"/>
    <w:rsid w:val="007B78D9"/>
    <w:rsid w:val="007B7C95"/>
    <w:rsid w:val="007B7CBB"/>
    <w:rsid w:val="007B7CF9"/>
    <w:rsid w:val="007C167F"/>
    <w:rsid w:val="007C1C09"/>
    <w:rsid w:val="007C1FCD"/>
    <w:rsid w:val="007C1FFE"/>
    <w:rsid w:val="007C2268"/>
    <w:rsid w:val="007C2719"/>
    <w:rsid w:val="007C295A"/>
    <w:rsid w:val="007C2A31"/>
    <w:rsid w:val="007C3691"/>
    <w:rsid w:val="007C375F"/>
    <w:rsid w:val="007C3F6A"/>
    <w:rsid w:val="007C468A"/>
    <w:rsid w:val="007C4C1A"/>
    <w:rsid w:val="007C530B"/>
    <w:rsid w:val="007C626D"/>
    <w:rsid w:val="007C632B"/>
    <w:rsid w:val="007D0303"/>
    <w:rsid w:val="007D0714"/>
    <w:rsid w:val="007D096C"/>
    <w:rsid w:val="007D0CCD"/>
    <w:rsid w:val="007D102C"/>
    <w:rsid w:val="007D1919"/>
    <w:rsid w:val="007D1FB5"/>
    <w:rsid w:val="007D240C"/>
    <w:rsid w:val="007D39EA"/>
    <w:rsid w:val="007D4055"/>
    <w:rsid w:val="007D5181"/>
    <w:rsid w:val="007D5D87"/>
    <w:rsid w:val="007D66A3"/>
    <w:rsid w:val="007D7252"/>
    <w:rsid w:val="007D74AA"/>
    <w:rsid w:val="007D75B1"/>
    <w:rsid w:val="007D7D1D"/>
    <w:rsid w:val="007E09C0"/>
    <w:rsid w:val="007E1268"/>
    <w:rsid w:val="007E14E5"/>
    <w:rsid w:val="007E2CCC"/>
    <w:rsid w:val="007E30D5"/>
    <w:rsid w:val="007E3E6D"/>
    <w:rsid w:val="007E3FA2"/>
    <w:rsid w:val="007E41A1"/>
    <w:rsid w:val="007E4208"/>
    <w:rsid w:val="007E469C"/>
    <w:rsid w:val="007E47EB"/>
    <w:rsid w:val="007E4A12"/>
    <w:rsid w:val="007E5E83"/>
    <w:rsid w:val="007E66BC"/>
    <w:rsid w:val="007E6D13"/>
    <w:rsid w:val="007E7007"/>
    <w:rsid w:val="007E77A9"/>
    <w:rsid w:val="007E7BB1"/>
    <w:rsid w:val="007E7E61"/>
    <w:rsid w:val="007F0845"/>
    <w:rsid w:val="007F0C79"/>
    <w:rsid w:val="007F11F8"/>
    <w:rsid w:val="007F146E"/>
    <w:rsid w:val="007F1DB7"/>
    <w:rsid w:val="007F21F2"/>
    <w:rsid w:val="007F22A2"/>
    <w:rsid w:val="007F22C4"/>
    <w:rsid w:val="007F2C20"/>
    <w:rsid w:val="007F2DDA"/>
    <w:rsid w:val="007F35DE"/>
    <w:rsid w:val="007F3DCD"/>
    <w:rsid w:val="007F43BF"/>
    <w:rsid w:val="007F53C9"/>
    <w:rsid w:val="007F54C9"/>
    <w:rsid w:val="007F5A1B"/>
    <w:rsid w:val="007F6055"/>
    <w:rsid w:val="007F6237"/>
    <w:rsid w:val="007F6411"/>
    <w:rsid w:val="007F7CD2"/>
    <w:rsid w:val="0080002C"/>
    <w:rsid w:val="0080029B"/>
    <w:rsid w:val="008006AC"/>
    <w:rsid w:val="008007AC"/>
    <w:rsid w:val="0080103E"/>
    <w:rsid w:val="00801042"/>
    <w:rsid w:val="00801128"/>
    <w:rsid w:val="008019C8"/>
    <w:rsid w:val="00801FD4"/>
    <w:rsid w:val="008024CE"/>
    <w:rsid w:val="0080322C"/>
    <w:rsid w:val="00803276"/>
    <w:rsid w:val="008046CE"/>
    <w:rsid w:val="0080498A"/>
    <w:rsid w:val="00804F81"/>
    <w:rsid w:val="0080500B"/>
    <w:rsid w:val="0080521C"/>
    <w:rsid w:val="00805E10"/>
    <w:rsid w:val="0080613B"/>
    <w:rsid w:val="00806451"/>
    <w:rsid w:val="008079A8"/>
    <w:rsid w:val="00807C33"/>
    <w:rsid w:val="008101D1"/>
    <w:rsid w:val="00811222"/>
    <w:rsid w:val="00811389"/>
    <w:rsid w:val="008116DE"/>
    <w:rsid w:val="00811FF4"/>
    <w:rsid w:val="00811FFE"/>
    <w:rsid w:val="0081287F"/>
    <w:rsid w:val="00812945"/>
    <w:rsid w:val="008132DA"/>
    <w:rsid w:val="00813845"/>
    <w:rsid w:val="008144AC"/>
    <w:rsid w:val="008148DB"/>
    <w:rsid w:val="00815240"/>
    <w:rsid w:val="008159F0"/>
    <w:rsid w:val="00816275"/>
    <w:rsid w:val="008169B7"/>
    <w:rsid w:val="00816BC8"/>
    <w:rsid w:val="00816CAA"/>
    <w:rsid w:val="00817A19"/>
    <w:rsid w:val="00820B41"/>
    <w:rsid w:val="00821033"/>
    <w:rsid w:val="00821847"/>
    <w:rsid w:val="00821E1B"/>
    <w:rsid w:val="00821FF6"/>
    <w:rsid w:val="008224C3"/>
    <w:rsid w:val="00822615"/>
    <w:rsid w:val="00822FAF"/>
    <w:rsid w:val="00823117"/>
    <w:rsid w:val="008239D7"/>
    <w:rsid w:val="00824887"/>
    <w:rsid w:val="00824C92"/>
    <w:rsid w:val="00825A4F"/>
    <w:rsid w:val="00825F7B"/>
    <w:rsid w:val="00827A65"/>
    <w:rsid w:val="0083029F"/>
    <w:rsid w:val="008305D4"/>
    <w:rsid w:val="00830955"/>
    <w:rsid w:val="0083143E"/>
    <w:rsid w:val="0083159F"/>
    <w:rsid w:val="00831B03"/>
    <w:rsid w:val="00832251"/>
    <w:rsid w:val="00832C5B"/>
    <w:rsid w:val="00832F47"/>
    <w:rsid w:val="008339E7"/>
    <w:rsid w:val="0083479A"/>
    <w:rsid w:val="00834FAA"/>
    <w:rsid w:val="00835139"/>
    <w:rsid w:val="008356F5"/>
    <w:rsid w:val="00836086"/>
    <w:rsid w:val="00837BC5"/>
    <w:rsid w:val="00840136"/>
    <w:rsid w:val="0084014C"/>
    <w:rsid w:val="00840C7B"/>
    <w:rsid w:val="00840E30"/>
    <w:rsid w:val="00840F15"/>
    <w:rsid w:val="00841063"/>
    <w:rsid w:val="00842E41"/>
    <w:rsid w:val="00844545"/>
    <w:rsid w:val="008445B0"/>
    <w:rsid w:val="00844734"/>
    <w:rsid w:val="00845774"/>
    <w:rsid w:val="008458BA"/>
    <w:rsid w:val="00846030"/>
    <w:rsid w:val="00846103"/>
    <w:rsid w:val="0084616E"/>
    <w:rsid w:val="00847509"/>
    <w:rsid w:val="00847A9F"/>
    <w:rsid w:val="00847AE7"/>
    <w:rsid w:val="00847B1D"/>
    <w:rsid w:val="00847E75"/>
    <w:rsid w:val="008507EC"/>
    <w:rsid w:val="0085164D"/>
    <w:rsid w:val="0085169F"/>
    <w:rsid w:val="008527D0"/>
    <w:rsid w:val="00852AA6"/>
    <w:rsid w:val="00853055"/>
    <w:rsid w:val="008530CD"/>
    <w:rsid w:val="00854C42"/>
    <w:rsid w:val="00855447"/>
    <w:rsid w:val="00856E6C"/>
    <w:rsid w:val="00860672"/>
    <w:rsid w:val="0086178F"/>
    <w:rsid w:val="0086188F"/>
    <w:rsid w:val="008623C5"/>
    <w:rsid w:val="00862859"/>
    <w:rsid w:val="00862F08"/>
    <w:rsid w:val="00863620"/>
    <w:rsid w:val="0086369B"/>
    <w:rsid w:val="00863914"/>
    <w:rsid w:val="00863D57"/>
    <w:rsid w:val="00864575"/>
    <w:rsid w:val="00864753"/>
    <w:rsid w:val="00864965"/>
    <w:rsid w:val="008666FB"/>
    <w:rsid w:val="00866930"/>
    <w:rsid w:val="00866C5B"/>
    <w:rsid w:val="00867F87"/>
    <w:rsid w:val="00870BD2"/>
    <w:rsid w:val="0087136A"/>
    <w:rsid w:val="008738BE"/>
    <w:rsid w:val="00874347"/>
    <w:rsid w:val="00874492"/>
    <w:rsid w:val="0087478F"/>
    <w:rsid w:val="00875ACA"/>
    <w:rsid w:val="00875C10"/>
    <w:rsid w:val="00875DD5"/>
    <w:rsid w:val="00876086"/>
    <w:rsid w:val="00876B40"/>
    <w:rsid w:val="00876CA7"/>
    <w:rsid w:val="00876ED6"/>
    <w:rsid w:val="00877369"/>
    <w:rsid w:val="00877587"/>
    <w:rsid w:val="008777BA"/>
    <w:rsid w:val="00877A50"/>
    <w:rsid w:val="00877B42"/>
    <w:rsid w:val="00877BA6"/>
    <w:rsid w:val="008810E4"/>
    <w:rsid w:val="00882081"/>
    <w:rsid w:val="00882361"/>
    <w:rsid w:val="00882CA7"/>
    <w:rsid w:val="008837E8"/>
    <w:rsid w:val="00883EF6"/>
    <w:rsid w:val="0088572B"/>
    <w:rsid w:val="00885EF9"/>
    <w:rsid w:val="00885F25"/>
    <w:rsid w:val="00886DEC"/>
    <w:rsid w:val="00887167"/>
    <w:rsid w:val="0088724D"/>
    <w:rsid w:val="0088749F"/>
    <w:rsid w:val="008877F9"/>
    <w:rsid w:val="0088780D"/>
    <w:rsid w:val="00887973"/>
    <w:rsid w:val="00887BDA"/>
    <w:rsid w:val="00887E21"/>
    <w:rsid w:val="008909AD"/>
    <w:rsid w:val="00891172"/>
    <w:rsid w:val="00891302"/>
    <w:rsid w:val="00891FF9"/>
    <w:rsid w:val="00892300"/>
    <w:rsid w:val="008937CB"/>
    <w:rsid w:val="00893EC7"/>
    <w:rsid w:val="00895421"/>
    <w:rsid w:val="00895501"/>
    <w:rsid w:val="00896305"/>
    <w:rsid w:val="00896452"/>
    <w:rsid w:val="00896654"/>
    <w:rsid w:val="00896ECF"/>
    <w:rsid w:val="008A07BC"/>
    <w:rsid w:val="008A0A10"/>
    <w:rsid w:val="008A0E03"/>
    <w:rsid w:val="008A132D"/>
    <w:rsid w:val="008A1F0F"/>
    <w:rsid w:val="008A23EC"/>
    <w:rsid w:val="008A2CD5"/>
    <w:rsid w:val="008A2EA4"/>
    <w:rsid w:val="008A31DC"/>
    <w:rsid w:val="008A5856"/>
    <w:rsid w:val="008A5FFF"/>
    <w:rsid w:val="008A64B4"/>
    <w:rsid w:val="008A69D9"/>
    <w:rsid w:val="008A6C6F"/>
    <w:rsid w:val="008A746F"/>
    <w:rsid w:val="008A7826"/>
    <w:rsid w:val="008A7D69"/>
    <w:rsid w:val="008B038A"/>
    <w:rsid w:val="008B07CF"/>
    <w:rsid w:val="008B0BBF"/>
    <w:rsid w:val="008B0F3B"/>
    <w:rsid w:val="008B272B"/>
    <w:rsid w:val="008B2742"/>
    <w:rsid w:val="008B2949"/>
    <w:rsid w:val="008B2B07"/>
    <w:rsid w:val="008B2DD5"/>
    <w:rsid w:val="008B3105"/>
    <w:rsid w:val="008B43D2"/>
    <w:rsid w:val="008B4E2F"/>
    <w:rsid w:val="008B5965"/>
    <w:rsid w:val="008B5E16"/>
    <w:rsid w:val="008B675B"/>
    <w:rsid w:val="008B7C02"/>
    <w:rsid w:val="008C0003"/>
    <w:rsid w:val="008C082F"/>
    <w:rsid w:val="008C08CC"/>
    <w:rsid w:val="008C0B61"/>
    <w:rsid w:val="008C0B92"/>
    <w:rsid w:val="008C0E88"/>
    <w:rsid w:val="008C123E"/>
    <w:rsid w:val="008C1A57"/>
    <w:rsid w:val="008C1F03"/>
    <w:rsid w:val="008C26F3"/>
    <w:rsid w:val="008C2775"/>
    <w:rsid w:val="008C2BD7"/>
    <w:rsid w:val="008C2C9A"/>
    <w:rsid w:val="008C446A"/>
    <w:rsid w:val="008C4937"/>
    <w:rsid w:val="008C4B37"/>
    <w:rsid w:val="008C5B23"/>
    <w:rsid w:val="008C5C25"/>
    <w:rsid w:val="008C608F"/>
    <w:rsid w:val="008C62FD"/>
    <w:rsid w:val="008C642A"/>
    <w:rsid w:val="008C69E8"/>
    <w:rsid w:val="008C6BAC"/>
    <w:rsid w:val="008C6E0F"/>
    <w:rsid w:val="008C755E"/>
    <w:rsid w:val="008C7DD3"/>
    <w:rsid w:val="008C7ED2"/>
    <w:rsid w:val="008D0BD0"/>
    <w:rsid w:val="008D0CCB"/>
    <w:rsid w:val="008D116E"/>
    <w:rsid w:val="008D1982"/>
    <w:rsid w:val="008D2A16"/>
    <w:rsid w:val="008D3A3D"/>
    <w:rsid w:val="008D3CBD"/>
    <w:rsid w:val="008D4858"/>
    <w:rsid w:val="008D4A07"/>
    <w:rsid w:val="008D500A"/>
    <w:rsid w:val="008D5730"/>
    <w:rsid w:val="008D606A"/>
    <w:rsid w:val="008D6563"/>
    <w:rsid w:val="008D68F3"/>
    <w:rsid w:val="008D7406"/>
    <w:rsid w:val="008D7565"/>
    <w:rsid w:val="008D7E6E"/>
    <w:rsid w:val="008E0D8D"/>
    <w:rsid w:val="008E180F"/>
    <w:rsid w:val="008E183C"/>
    <w:rsid w:val="008E1D9E"/>
    <w:rsid w:val="008E1E73"/>
    <w:rsid w:val="008E257C"/>
    <w:rsid w:val="008E26B3"/>
    <w:rsid w:val="008E2FA1"/>
    <w:rsid w:val="008E31FF"/>
    <w:rsid w:val="008E3998"/>
    <w:rsid w:val="008E3D7C"/>
    <w:rsid w:val="008E4065"/>
    <w:rsid w:val="008E41C1"/>
    <w:rsid w:val="008E5244"/>
    <w:rsid w:val="008E5C16"/>
    <w:rsid w:val="008E5F9B"/>
    <w:rsid w:val="008E6520"/>
    <w:rsid w:val="008E674E"/>
    <w:rsid w:val="008E676B"/>
    <w:rsid w:val="008E712F"/>
    <w:rsid w:val="008E78C9"/>
    <w:rsid w:val="008E7974"/>
    <w:rsid w:val="008F0178"/>
    <w:rsid w:val="008F0538"/>
    <w:rsid w:val="008F0BA1"/>
    <w:rsid w:val="008F1814"/>
    <w:rsid w:val="008F1B28"/>
    <w:rsid w:val="008F1F72"/>
    <w:rsid w:val="008F20CD"/>
    <w:rsid w:val="008F22FF"/>
    <w:rsid w:val="008F2D49"/>
    <w:rsid w:val="008F371B"/>
    <w:rsid w:val="008F3B54"/>
    <w:rsid w:val="008F3EF4"/>
    <w:rsid w:val="008F450D"/>
    <w:rsid w:val="008F5169"/>
    <w:rsid w:val="008F5329"/>
    <w:rsid w:val="008F7F10"/>
    <w:rsid w:val="009003A8"/>
    <w:rsid w:val="00900E78"/>
    <w:rsid w:val="00901510"/>
    <w:rsid w:val="00902EFF"/>
    <w:rsid w:val="00903547"/>
    <w:rsid w:val="009037D1"/>
    <w:rsid w:val="00904F49"/>
    <w:rsid w:val="00905123"/>
    <w:rsid w:val="009059F0"/>
    <w:rsid w:val="009064E1"/>
    <w:rsid w:val="00906960"/>
    <w:rsid w:val="00907169"/>
    <w:rsid w:val="009074F0"/>
    <w:rsid w:val="00910405"/>
    <w:rsid w:val="00910D1F"/>
    <w:rsid w:val="00911684"/>
    <w:rsid w:val="00911855"/>
    <w:rsid w:val="009125DA"/>
    <w:rsid w:val="0091261C"/>
    <w:rsid w:val="00912CAA"/>
    <w:rsid w:val="0091366D"/>
    <w:rsid w:val="00914040"/>
    <w:rsid w:val="009140CA"/>
    <w:rsid w:val="009142BB"/>
    <w:rsid w:val="00914909"/>
    <w:rsid w:val="00914A9A"/>
    <w:rsid w:val="009153F3"/>
    <w:rsid w:val="009155F3"/>
    <w:rsid w:val="00915C41"/>
    <w:rsid w:val="0091620A"/>
    <w:rsid w:val="00916458"/>
    <w:rsid w:val="0091647B"/>
    <w:rsid w:val="00916650"/>
    <w:rsid w:val="00916747"/>
    <w:rsid w:val="00916862"/>
    <w:rsid w:val="00916E47"/>
    <w:rsid w:val="00916FBA"/>
    <w:rsid w:val="0091715F"/>
    <w:rsid w:val="00917541"/>
    <w:rsid w:val="00917CB3"/>
    <w:rsid w:val="0092016C"/>
    <w:rsid w:val="00921108"/>
    <w:rsid w:val="0092147C"/>
    <w:rsid w:val="0092187B"/>
    <w:rsid w:val="00921F14"/>
    <w:rsid w:val="00922BE8"/>
    <w:rsid w:val="00922C06"/>
    <w:rsid w:val="00923235"/>
    <w:rsid w:val="009233C7"/>
    <w:rsid w:val="00923736"/>
    <w:rsid w:val="00923A83"/>
    <w:rsid w:val="00924E49"/>
    <w:rsid w:val="00925189"/>
    <w:rsid w:val="009251C3"/>
    <w:rsid w:val="00925407"/>
    <w:rsid w:val="00925CA7"/>
    <w:rsid w:val="009265F6"/>
    <w:rsid w:val="00926679"/>
    <w:rsid w:val="00926913"/>
    <w:rsid w:val="00927D22"/>
    <w:rsid w:val="00927D35"/>
    <w:rsid w:val="009301E9"/>
    <w:rsid w:val="009303E8"/>
    <w:rsid w:val="009306E0"/>
    <w:rsid w:val="00930D0F"/>
    <w:rsid w:val="009311FE"/>
    <w:rsid w:val="00932499"/>
    <w:rsid w:val="0093260B"/>
    <w:rsid w:val="00933073"/>
    <w:rsid w:val="009338E5"/>
    <w:rsid w:val="0093390B"/>
    <w:rsid w:val="00933CA7"/>
    <w:rsid w:val="00933D08"/>
    <w:rsid w:val="009349AB"/>
    <w:rsid w:val="00935942"/>
    <w:rsid w:val="00935B09"/>
    <w:rsid w:val="00935B0F"/>
    <w:rsid w:val="009366ED"/>
    <w:rsid w:val="0093730E"/>
    <w:rsid w:val="00937C5F"/>
    <w:rsid w:val="009400D5"/>
    <w:rsid w:val="0094030D"/>
    <w:rsid w:val="00940ECE"/>
    <w:rsid w:val="00941519"/>
    <w:rsid w:val="00941573"/>
    <w:rsid w:val="00941A36"/>
    <w:rsid w:val="00942A69"/>
    <w:rsid w:val="009430C4"/>
    <w:rsid w:val="0094427A"/>
    <w:rsid w:val="009451E4"/>
    <w:rsid w:val="0094535A"/>
    <w:rsid w:val="00945A3E"/>
    <w:rsid w:val="00945C5B"/>
    <w:rsid w:val="00946443"/>
    <w:rsid w:val="00946733"/>
    <w:rsid w:val="00946E61"/>
    <w:rsid w:val="00947596"/>
    <w:rsid w:val="00950226"/>
    <w:rsid w:val="00950886"/>
    <w:rsid w:val="00950943"/>
    <w:rsid w:val="00951123"/>
    <w:rsid w:val="0095152E"/>
    <w:rsid w:val="0095235E"/>
    <w:rsid w:val="0095288C"/>
    <w:rsid w:val="009528F0"/>
    <w:rsid w:val="00952983"/>
    <w:rsid w:val="0095395C"/>
    <w:rsid w:val="00953C6A"/>
    <w:rsid w:val="009545C5"/>
    <w:rsid w:val="00954772"/>
    <w:rsid w:val="009550CD"/>
    <w:rsid w:val="009558BD"/>
    <w:rsid w:val="00955989"/>
    <w:rsid w:val="00955B8B"/>
    <w:rsid w:val="00955F9C"/>
    <w:rsid w:val="00956737"/>
    <w:rsid w:val="009571CF"/>
    <w:rsid w:val="00957710"/>
    <w:rsid w:val="00957AD4"/>
    <w:rsid w:val="00960146"/>
    <w:rsid w:val="009602F1"/>
    <w:rsid w:val="00960870"/>
    <w:rsid w:val="00960BD9"/>
    <w:rsid w:val="00960C15"/>
    <w:rsid w:val="00961240"/>
    <w:rsid w:val="009613DB"/>
    <w:rsid w:val="0096196D"/>
    <w:rsid w:val="00961E31"/>
    <w:rsid w:val="0096245A"/>
    <w:rsid w:val="0096258D"/>
    <w:rsid w:val="0096271C"/>
    <w:rsid w:val="00962A7A"/>
    <w:rsid w:val="00963527"/>
    <w:rsid w:val="00963AA4"/>
    <w:rsid w:val="00963F00"/>
    <w:rsid w:val="00964646"/>
    <w:rsid w:val="009648EA"/>
    <w:rsid w:val="00965629"/>
    <w:rsid w:val="00965EF1"/>
    <w:rsid w:val="0096694B"/>
    <w:rsid w:val="00966A24"/>
    <w:rsid w:val="00967434"/>
    <w:rsid w:val="009675BB"/>
    <w:rsid w:val="00970275"/>
    <w:rsid w:val="009702B1"/>
    <w:rsid w:val="00970C5E"/>
    <w:rsid w:val="00970D0A"/>
    <w:rsid w:val="00970D6B"/>
    <w:rsid w:val="00971068"/>
    <w:rsid w:val="009711D5"/>
    <w:rsid w:val="0097140A"/>
    <w:rsid w:val="0097142A"/>
    <w:rsid w:val="0097151A"/>
    <w:rsid w:val="00971E56"/>
    <w:rsid w:val="0097252D"/>
    <w:rsid w:val="0097331B"/>
    <w:rsid w:val="009733C8"/>
    <w:rsid w:val="00974328"/>
    <w:rsid w:val="00974694"/>
    <w:rsid w:val="00974923"/>
    <w:rsid w:val="009757A9"/>
    <w:rsid w:val="009761F9"/>
    <w:rsid w:val="0097638C"/>
    <w:rsid w:val="00976B35"/>
    <w:rsid w:val="009778D3"/>
    <w:rsid w:val="00977E3B"/>
    <w:rsid w:val="009802CF"/>
    <w:rsid w:val="009804D9"/>
    <w:rsid w:val="009804EE"/>
    <w:rsid w:val="00980512"/>
    <w:rsid w:val="009811FD"/>
    <w:rsid w:val="00981E42"/>
    <w:rsid w:val="0098213E"/>
    <w:rsid w:val="009827ED"/>
    <w:rsid w:val="009834D3"/>
    <w:rsid w:val="00983C65"/>
    <w:rsid w:val="00984079"/>
    <w:rsid w:val="00984A3F"/>
    <w:rsid w:val="00984E99"/>
    <w:rsid w:val="00985002"/>
    <w:rsid w:val="0098513A"/>
    <w:rsid w:val="00986188"/>
    <w:rsid w:val="00986843"/>
    <w:rsid w:val="009874BD"/>
    <w:rsid w:val="00987C3D"/>
    <w:rsid w:val="00987E97"/>
    <w:rsid w:val="00990EDA"/>
    <w:rsid w:val="00991D73"/>
    <w:rsid w:val="009922C9"/>
    <w:rsid w:val="00992BDC"/>
    <w:rsid w:val="009932AF"/>
    <w:rsid w:val="009932EC"/>
    <w:rsid w:val="00993641"/>
    <w:rsid w:val="009937D0"/>
    <w:rsid w:val="00993D78"/>
    <w:rsid w:val="00994A4E"/>
    <w:rsid w:val="00994FE3"/>
    <w:rsid w:val="00995A29"/>
    <w:rsid w:val="00995C04"/>
    <w:rsid w:val="0099613B"/>
    <w:rsid w:val="00996C62"/>
    <w:rsid w:val="0099779C"/>
    <w:rsid w:val="009A1150"/>
    <w:rsid w:val="009A1C6B"/>
    <w:rsid w:val="009A1FCC"/>
    <w:rsid w:val="009A2016"/>
    <w:rsid w:val="009A24F5"/>
    <w:rsid w:val="009A2A29"/>
    <w:rsid w:val="009A3AED"/>
    <w:rsid w:val="009A4061"/>
    <w:rsid w:val="009A4AAA"/>
    <w:rsid w:val="009A4E1E"/>
    <w:rsid w:val="009A5806"/>
    <w:rsid w:val="009A7070"/>
    <w:rsid w:val="009A7503"/>
    <w:rsid w:val="009B0673"/>
    <w:rsid w:val="009B1BEA"/>
    <w:rsid w:val="009B2276"/>
    <w:rsid w:val="009B429E"/>
    <w:rsid w:val="009B4372"/>
    <w:rsid w:val="009B449B"/>
    <w:rsid w:val="009B4DF9"/>
    <w:rsid w:val="009B5325"/>
    <w:rsid w:val="009B5624"/>
    <w:rsid w:val="009B580A"/>
    <w:rsid w:val="009B6FD3"/>
    <w:rsid w:val="009B74F3"/>
    <w:rsid w:val="009B76CE"/>
    <w:rsid w:val="009B7811"/>
    <w:rsid w:val="009C084A"/>
    <w:rsid w:val="009C096C"/>
    <w:rsid w:val="009C09AC"/>
    <w:rsid w:val="009C0A61"/>
    <w:rsid w:val="009C2F27"/>
    <w:rsid w:val="009C3246"/>
    <w:rsid w:val="009C3B7E"/>
    <w:rsid w:val="009C4435"/>
    <w:rsid w:val="009C5416"/>
    <w:rsid w:val="009C5435"/>
    <w:rsid w:val="009C5518"/>
    <w:rsid w:val="009C5D96"/>
    <w:rsid w:val="009C6C13"/>
    <w:rsid w:val="009C71AF"/>
    <w:rsid w:val="009C761C"/>
    <w:rsid w:val="009C7BCC"/>
    <w:rsid w:val="009D12F1"/>
    <w:rsid w:val="009D1CD2"/>
    <w:rsid w:val="009D2407"/>
    <w:rsid w:val="009D24A7"/>
    <w:rsid w:val="009D2817"/>
    <w:rsid w:val="009D2966"/>
    <w:rsid w:val="009D2BBA"/>
    <w:rsid w:val="009D2BE1"/>
    <w:rsid w:val="009D2EFB"/>
    <w:rsid w:val="009D31C9"/>
    <w:rsid w:val="009D3D3E"/>
    <w:rsid w:val="009D4359"/>
    <w:rsid w:val="009D47DA"/>
    <w:rsid w:val="009D493D"/>
    <w:rsid w:val="009D49F7"/>
    <w:rsid w:val="009D5058"/>
    <w:rsid w:val="009D5333"/>
    <w:rsid w:val="009D549B"/>
    <w:rsid w:val="009D7A68"/>
    <w:rsid w:val="009E07D9"/>
    <w:rsid w:val="009E1A45"/>
    <w:rsid w:val="009E20CC"/>
    <w:rsid w:val="009E20FF"/>
    <w:rsid w:val="009E34BE"/>
    <w:rsid w:val="009E361F"/>
    <w:rsid w:val="009E3903"/>
    <w:rsid w:val="009E3B01"/>
    <w:rsid w:val="009E3DED"/>
    <w:rsid w:val="009E49F6"/>
    <w:rsid w:val="009E5537"/>
    <w:rsid w:val="009E5D62"/>
    <w:rsid w:val="009E65B8"/>
    <w:rsid w:val="009E670B"/>
    <w:rsid w:val="009E7CBA"/>
    <w:rsid w:val="009E7D09"/>
    <w:rsid w:val="009E7E7E"/>
    <w:rsid w:val="009F0F75"/>
    <w:rsid w:val="009F11E9"/>
    <w:rsid w:val="009F15A0"/>
    <w:rsid w:val="009F192E"/>
    <w:rsid w:val="009F2015"/>
    <w:rsid w:val="009F25B3"/>
    <w:rsid w:val="009F29BB"/>
    <w:rsid w:val="009F36C4"/>
    <w:rsid w:val="009F374A"/>
    <w:rsid w:val="009F3A10"/>
    <w:rsid w:val="009F4381"/>
    <w:rsid w:val="009F4623"/>
    <w:rsid w:val="009F4C2C"/>
    <w:rsid w:val="009F5737"/>
    <w:rsid w:val="009F5791"/>
    <w:rsid w:val="009F5B9D"/>
    <w:rsid w:val="009F5EC5"/>
    <w:rsid w:val="009F6378"/>
    <w:rsid w:val="009F68D6"/>
    <w:rsid w:val="009F6F61"/>
    <w:rsid w:val="009F701D"/>
    <w:rsid w:val="009F73C2"/>
    <w:rsid w:val="009F78A6"/>
    <w:rsid w:val="009F7C85"/>
    <w:rsid w:val="00A00B99"/>
    <w:rsid w:val="00A00D69"/>
    <w:rsid w:val="00A00DBD"/>
    <w:rsid w:val="00A00EB2"/>
    <w:rsid w:val="00A01212"/>
    <w:rsid w:val="00A031E5"/>
    <w:rsid w:val="00A033E7"/>
    <w:rsid w:val="00A04299"/>
    <w:rsid w:val="00A05934"/>
    <w:rsid w:val="00A059CB"/>
    <w:rsid w:val="00A05C52"/>
    <w:rsid w:val="00A05E18"/>
    <w:rsid w:val="00A06533"/>
    <w:rsid w:val="00A0746B"/>
    <w:rsid w:val="00A07537"/>
    <w:rsid w:val="00A07932"/>
    <w:rsid w:val="00A10D66"/>
    <w:rsid w:val="00A114DE"/>
    <w:rsid w:val="00A11505"/>
    <w:rsid w:val="00A1191D"/>
    <w:rsid w:val="00A11E10"/>
    <w:rsid w:val="00A1203B"/>
    <w:rsid w:val="00A12306"/>
    <w:rsid w:val="00A125BD"/>
    <w:rsid w:val="00A140CD"/>
    <w:rsid w:val="00A1441D"/>
    <w:rsid w:val="00A14C4E"/>
    <w:rsid w:val="00A1533F"/>
    <w:rsid w:val="00A1562A"/>
    <w:rsid w:val="00A1562B"/>
    <w:rsid w:val="00A1596F"/>
    <w:rsid w:val="00A16023"/>
    <w:rsid w:val="00A16195"/>
    <w:rsid w:val="00A1626A"/>
    <w:rsid w:val="00A17069"/>
    <w:rsid w:val="00A174B3"/>
    <w:rsid w:val="00A17C11"/>
    <w:rsid w:val="00A17E3B"/>
    <w:rsid w:val="00A17ECA"/>
    <w:rsid w:val="00A2067F"/>
    <w:rsid w:val="00A20A84"/>
    <w:rsid w:val="00A21A2E"/>
    <w:rsid w:val="00A21FB3"/>
    <w:rsid w:val="00A22DA0"/>
    <w:rsid w:val="00A2354E"/>
    <w:rsid w:val="00A23653"/>
    <w:rsid w:val="00A23769"/>
    <w:rsid w:val="00A23790"/>
    <w:rsid w:val="00A23E43"/>
    <w:rsid w:val="00A23F13"/>
    <w:rsid w:val="00A24E16"/>
    <w:rsid w:val="00A2569D"/>
    <w:rsid w:val="00A25902"/>
    <w:rsid w:val="00A259C1"/>
    <w:rsid w:val="00A25DCA"/>
    <w:rsid w:val="00A26B10"/>
    <w:rsid w:val="00A27B3D"/>
    <w:rsid w:val="00A31AD8"/>
    <w:rsid w:val="00A32AE3"/>
    <w:rsid w:val="00A32E10"/>
    <w:rsid w:val="00A32F3F"/>
    <w:rsid w:val="00A330DE"/>
    <w:rsid w:val="00A335E1"/>
    <w:rsid w:val="00A3368E"/>
    <w:rsid w:val="00A33820"/>
    <w:rsid w:val="00A33BB6"/>
    <w:rsid w:val="00A3413D"/>
    <w:rsid w:val="00A36ADC"/>
    <w:rsid w:val="00A407B6"/>
    <w:rsid w:val="00A4170C"/>
    <w:rsid w:val="00A42145"/>
    <w:rsid w:val="00A4255E"/>
    <w:rsid w:val="00A43EB1"/>
    <w:rsid w:val="00A45746"/>
    <w:rsid w:val="00A459EC"/>
    <w:rsid w:val="00A45F8B"/>
    <w:rsid w:val="00A46DE0"/>
    <w:rsid w:val="00A4796F"/>
    <w:rsid w:val="00A47E46"/>
    <w:rsid w:val="00A50470"/>
    <w:rsid w:val="00A5071B"/>
    <w:rsid w:val="00A50B33"/>
    <w:rsid w:val="00A5138A"/>
    <w:rsid w:val="00A51F7A"/>
    <w:rsid w:val="00A5214B"/>
    <w:rsid w:val="00A527DD"/>
    <w:rsid w:val="00A5354B"/>
    <w:rsid w:val="00A53C8D"/>
    <w:rsid w:val="00A53F26"/>
    <w:rsid w:val="00A540A1"/>
    <w:rsid w:val="00A542FC"/>
    <w:rsid w:val="00A5489A"/>
    <w:rsid w:val="00A549A0"/>
    <w:rsid w:val="00A55C50"/>
    <w:rsid w:val="00A56047"/>
    <w:rsid w:val="00A56914"/>
    <w:rsid w:val="00A56D87"/>
    <w:rsid w:val="00A56E4D"/>
    <w:rsid w:val="00A56EEC"/>
    <w:rsid w:val="00A56EF8"/>
    <w:rsid w:val="00A5724F"/>
    <w:rsid w:val="00A57A3A"/>
    <w:rsid w:val="00A604F5"/>
    <w:rsid w:val="00A605DD"/>
    <w:rsid w:val="00A605EB"/>
    <w:rsid w:val="00A609DA"/>
    <w:rsid w:val="00A60E38"/>
    <w:rsid w:val="00A611DE"/>
    <w:rsid w:val="00A61690"/>
    <w:rsid w:val="00A62CE1"/>
    <w:rsid w:val="00A62D42"/>
    <w:rsid w:val="00A63804"/>
    <w:rsid w:val="00A650A8"/>
    <w:rsid w:val="00A65AEE"/>
    <w:rsid w:val="00A65D80"/>
    <w:rsid w:val="00A65F61"/>
    <w:rsid w:val="00A66FB5"/>
    <w:rsid w:val="00A6719C"/>
    <w:rsid w:val="00A671E7"/>
    <w:rsid w:val="00A677D4"/>
    <w:rsid w:val="00A67DC0"/>
    <w:rsid w:val="00A67FDB"/>
    <w:rsid w:val="00A703FC"/>
    <w:rsid w:val="00A70410"/>
    <w:rsid w:val="00A70A04"/>
    <w:rsid w:val="00A72F8C"/>
    <w:rsid w:val="00A7383D"/>
    <w:rsid w:val="00A749B8"/>
    <w:rsid w:val="00A74DC3"/>
    <w:rsid w:val="00A752C4"/>
    <w:rsid w:val="00A753ED"/>
    <w:rsid w:val="00A75964"/>
    <w:rsid w:val="00A75E40"/>
    <w:rsid w:val="00A76274"/>
    <w:rsid w:val="00A76B96"/>
    <w:rsid w:val="00A77005"/>
    <w:rsid w:val="00A77461"/>
    <w:rsid w:val="00A775F7"/>
    <w:rsid w:val="00A778F2"/>
    <w:rsid w:val="00A77CC5"/>
    <w:rsid w:val="00A80041"/>
    <w:rsid w:val="00A808E6"/>
    <w:rsid w:val="00A81347"/>
    <w:rsid w:val="00A81641"/>
    <w:rsid w:val="00A81C4D"/>
    <w:rsid w:val="00A824E3"/>
    <w:rsid w:val="00A82AE9"/>
    <w:rsid w:val="00A82CF5"/>
    <w:rsid w:val="00A8314E"/>
    <w:rsid w:val="00A84141"/>
    <w:rsid w:val="00A842D6"/>
    <w:rsid w:val="00A85057"/>
    <w:rsid w:val="00A857C0"/>
    <w:rsid w:val="00A858D8"/>
    <w:rsid w:val="00A87389"/>
    <w:rsid w:val="00A8787E"/>
    <w:rsid w:val="00A87C69"/>
    <w:rsid w:val="00A87F2E"/>
    <w:rsid w:val="00A900ED"/>
    <w:rsid w:val="00A91997"/>
    <w:rsid w:val="00A92FE8"/>
    <w:rsid w:val="00A93911"/>
    <w:rsid w:val="00A93FD6"/>
    <w:rsid w:val="00A9412A"/>
    <w:rsid w:val="00A9429F"/>
    <w:rsid w:val="00A9460A"/>
    <w:rsid w:val="00A94A15"/>
    <w:rsid w:val="00A94AC3"/>
    <w:rsid w:val="00A94DFF"/>
    <w:rsid w:val="00A94E20"/>
    <w:rsid w:val="00A95590"/>
    <w:rsid w:val="00A95994"/>
    <w:rsid w:val="00A95A16"/>
    <w:rsid w:val="00A96720"/>
    <w:rsid w:val="00A973DE"/>
    <w:rsid w:val="00A97D5A"/>
    <w:rsid w:val="00A97F6B"/>
    <w:rsid w:val="00AA024F"/>
    <w:rsid w:val="00AA026C"/>
    <w:rsid w:val="00AA0D43"/>
    <w:rsid w:val="00AA12C2"/>
    <w:rsid w:val="00AA1C22"/>
    <w:rsid w:val="00AA1CCA"/>
    <w:rsid w:val="00AA28E1"/>
    <w:rsid w:val="00AA294B"/>
    <w:rsid w:val="00AA2DF1"/>
    <w:rsid w:val="00AA421E"/>
    <w:rsid w:val="00AA4791"/>
    <w:rsid w:val="00AA559A"/>
    <w:rsid w:val="00AA56F3"/>
    <w:rsid w:val="00AA5887"/>
    <w:rsid w:val="00AA599C"/>
    <w:rsid w:val="00AA650F"/>
    <w:rsid w:val="00AA6C83"/>
    <w:rsid w:val="00AA7316"/>
    <w:rsid w:val="00AA77CA"/>
    <w:rsid w:val="00AA7D02"/>
    <w:rsid w:val="00AA7EB1"/>
    <w:rsid w:val="00AB10C4"/>
    <w:rsid w:val="00AB1E85"/>
    <w:rsid w:val="00AB1F4B"/>
    <w:rsid w:val="00AB257C"/>
    <w:rsid w:val="00AB25BC"/>
    <w:rsid w:val="00AB2AF1"/>
    <w:rsid w:val="00AB33FE"/>
    <w:rsid w:val="00AB3650"/>
    <w:rsid w:val="00AB3AF7"/>
    <w:rsid w:val="00AB5ACD"/>
    <w:rsid w:val="00AB67CD"/>
    <w:rsid w:val="00AB67EE"/>
    <w:rsid w:val="00AB68D7"/>
    <w:rsid w:val="00AB6DA6"/>
    <w:rsid w:val="00AB6EEC"/>
    <w:rsid w:val="00AB70B0"/>
    <w:rsid w:val="00AB7188"/>
    <w:rsid w:val="00AB7BFC"/>
    <w:rsid w:val="00AC126E"/>
    <w:rsid w:val="00AC172E"/>
    <w:rsid w:val="00AC194C"/>
    <w:rsid w:val="00AC1AEC"/>
    <w:rsid w:val="00AC2691"/>
    <w:rsid w:val="00AC2B58"/>
    <w:rsid w:val="00AC2FB3"/>
    <w:rsid w:val="00AC3332"/>
    <w:rsid w:val="00AC3697"/>
    <w:rsid w:val="00AC392B"/>
    <w:rsid w:val="00AC44C3"/>
    <w:rsid w:val="00AC48C9"/>
    <w:rsid w:val="00AC4DCB"/>
    <w:rsid w:val="00AC4EDB"/>
    <w:rsid w:val="00AC57CA"/>
    <w:rsid w:val="00AC5832"/>
    <w:rsid w:val="00AC62CF"/>
    <w:rsid w:val="00AC6C48"/>
    <w:rsid w:val="00AC7183"/>
    <w:rsid w:val="00AC72F7"/>
    <w:rsid w:val="00AC7319"/>
    <w:rsid w:val="00AC73FA"/>
    <w:rsid w:val="00AC7546"/>
    <w:rsid w:val="00AC7FEA"/>
    <w:rsid w:val="00AD03C4"/>
    <w:rsid w:val="00AD0520"/>
    <w:rsid w:val="00AD056B"/>
    <w:rsid w:val="00AD0857"/>
    <w:rsid w:val="00AD0B5C"/>
    <w:rsid w:val="00AD1714"/>
    <w:rsid w:val="00AD1D52"/>
    <w:rsid w:val="00AD233C"/>
    <w:rsid w:val="00AD2487"/>
    <w:rsid w:val="00AD2E3D"/>
    <w:rsid w:val="00AD306C"/>
    <w:rsid w:val="00AD3C0A"/>
    <w:rsid w:val="00AD3CE8"/>
    <w:rsid w:val="00AD3CEB"/>
    <w:rsid w:val="00AD40B9"/>
    <w:rsid w:val="00AD50ED"/>
    <w:rsid w:val="00AD5637"/>
    <w:rsid w:val="00AD5EDA"/>
    <w:rsid w:val="00AD67C2"/>
    <w:rsid w:val="00AD6866"/>
    <w:rsid w:val="00AD6A19"/>
    <w:rsid w:val="00AD6EAC"/>
    <w:rsid w:val="00AE0623"/>
    <w:rsid w:val="00AE0846"/>
    <w:rsid w:val="00AE1AFF"/>
    <w:rsid w:val="00AE1D54"/>
    <w:rsid w:val="00AE1D7E"/>
    <w:rsid w:val="00AE1FC6"/>
    <w:rsid w:val="00AE20C4"/>
    <w:rsid w:val="00AE2B96"/>
    <w:rsid w:val="00AE302E"/>
    <w:rsid w:val="00AE3308"/>
    <w:rsid w:val="00AE3995"/>
    <w:rsid w:val="00AE3BAB"/>
    <w:rsid w:val="00AE4D94"/>
    <w:rsid w:val="00AE501C"/>
    <w:rsid w:val="00AE5259"/>
    <w:rsid w:val="00AE53B8"/>
    <w:rsid w:val="00AE6B98"/>
    <w:rsid w:val="00AE6BF0"/>
    <w:rsid w:val="00AE6DBF"/>
    <w:rsid w:val="00AE7361"/>
    <w:rsid w:val="00AF1B04"/>
    <w:rsid w:val="00AF3EF6"/>
    <w:rsid w:val="00AF4A7E"/>
    <w:rsid w:val="00AF53B7"/>
    <w:rsid w:val="00AF543B"/>
    <w:rsid w:val="00AF5995"/>
    <w:rsid w:val="00AF6897"/>
    <w:rsid w:val="00AF6948"/>
    <w:rsid w:val="00AF71E4"/>
    <w:rsid w:val="00AF750B"/>
    <w:rsid w:val="00AF775B"/>
    <w:rsid w:val="00AF77F0"/>
    <w:rsid w:val="00AF7C4B"/>
    <w:rsid w:val="00B00BC8"/>
    <w:rsid w:val="00B00C7B"/>
    <w:rsid w:val="00B00DEC"/>
    <w:rsid w:val="00B00E2A"/>
    <w:rsid w:val="00B01322"/>
    <w:rsid w:val="00B01EE5"/>
    <w:rsid w:val="00B021DC"/>
    <w:rsid w:val="00B031D4"/>
    <w:rsid w:val="00B03333"/>
    <w:rsid w:val="00B03CC3"/>
    <w:rsid w:val="00B04635"/>
    <w:rsid w:val="00B050E2"/>
    <w:rsid w:val="00B0569B"/>
    <w:rsid w:val="00B056A3"/>
    <w:rsid w:val="00B05D74"/>
    <w:rsid w:val="00B062B3"/>
    <w:rsid w:val="00B06698"/>
    <w:rsid w:val="00B06CC4"/>
    <w:rsid w:val="00B06DA9"/>
    <w:rsid w:val="00B07216"/>
    <w:rsid w:val="00B07572"/>
    <w:rsid w:val="00B07DD5"/>
    <w:rsid w:val="00B10959"/>
    <w:rsid w:val="00B119FD"/>
    <w:rsid w:val="00B11B89"/>
    <w:rsid w:val="00B1291C"/>
    <w:rsid w:val="00B133AC"/>
    <w:rsid w:val="00B13FBD"/>
    <w:rsid w:val="00B13FFF"/>
    <w:rsid w:val="00B14361"/>
    <w:rsid w:val="00B14834"/>
    <w:rsid w:val="00B14BDD"/>
    <w:rsid w:val="00B15069"/>
    <w:rsid w:val="00B151B7"/>
    <w:rsid w:val="00B15254"/>
    <w:rsid w:val="00B165C6"/>
    <w:rsid w:val="00B1690D"/>
    <w:rsid w:val="00B16BD5"/>
    <w:rsid w:val="00B170AD"/>
    <w:rsid w:val="00B178A2"/>
    <w:rsid w:val="00B17E71"/>
    <w:rsid w:val="00B17ED9"/>
    <w:rsid w:val="00B17FDE"/>
    <w:rsid w:val="00B204CF"/>
    <w:rsid w:val="00B2077E"/>
    <w:rsid w:val="00B20CAF"/>
    <w:rsid w:val="00B21349"/>
    <w:rsid w:val="00B21429"/>
    <w:rsid w:val="00B214B0"/>
    <w:rsid w:val="00B226C7"/>
    <w:rsid w:val="00B2285A"/>
    <w:rsid w:val="00B2302C"/>
    <w:rsid w:val="00B233C9"/>
    <w:rsid w:val="00B24292"/>
    <w:rsid w:val="00B24A27"/>
    <w:rsid w:val="00B252C6"/>
    <w:rsid w:val="00B252E7"/>
    <w:rsid w:val="00B260DE"/>
    <w:rsid w:val="00B27E1F"/>
    <w:rsid w:val="00B3069F"/>
    <w:rsid w:val="00B30BF1"/>
    <w:rsid w:val="00B31896"/>
    <w:rsid w:val="00B32114"/>
    <w:rsid w:val="00B325AF"/>
    <w:rsid w:val="00B32C6A"/>
    <w:rsid w:val="00B32DDB"/>
    <w:rsid w:val="00B33248"/>
    <w:rsid w:val="00B3335A"/>
    <w:rsid w:val="00B33686"/>
    <w:rsid w:val="00B33A89"/>
    <w:rsid w:val="00B33C05"/>
    <w:rsid w:val="00B33C76"/>
    <w:rsid w:val="00B34B01"/>
    <w:rsid w:val="00B34DA5"/>
    <w:rsid w:val="00B350AB"/>
    <w:rsid w:val="00B35719"/>
    <w:rsid w:val="00B360DE"/>
    <w:rsid w:val="00B361A6"/>
    <w:rsid w:val="00B368C3"/>
    <w:rsid w:val="00B4079B"/>
    <w:rsid w:val="00B41129"/>
    <w:rsid w:val="00B41CFC"/>
    <w:rsid w:val="00B42399"/>
    <w:rsid w:val="00B42A43"/>
    <w:rsid w:val="00B42BB5"/>
    <w:rsid w:val="00B42FC5"/>
    <w:rsid w:val="00B432F1"/>
    <w:rsid w:val="00B44616"/>
    <w:rsid w:val="00B447BF"/>
    <w:rsid w:val="00B45180"/>
    <w:rsid w:val="00B45197"/>
    <w:rsid w:val="00B452E4"/>
    <w:rsid w:val="00B45542"/>
    <w:rsid w:val="00B456FE"/>
    <w:rsid w:val="00B45F1C"/>
    <w:rsid w:val="00B46311"/>
    <w:rsid w:val="00B47706"/>
    <w:rsid w:val="00B51581"/>
    <w:rsid w:val="00B51672"/>
    <w:rsid w:val="00B5168E"/>
    <w:rsid w:val="00B522F9"/>
    <w:rsid w:val="00B52739"/>
    <w:rsid w:val="00B52837"/>
    <w:rsid w:val="00B52D3F"/>
    <w:rsid w:val="00B52E8D"/>
    <w:rsid w:val="00B52EF0"/>
    <w:rsid w:val="00B53020"/>
    <w:rsid w:val="00B54E81"/>
    <w:rsid w:val="00B55302"/>
    <w:rsid w:val="00B5555B"/>
    <w:rsid w:val="00B5646F"/>
    <w:rsid w:val="00B566DE"/>
    <w:rsid w:val="00B56E66"/>
    <w:rsid w:val="00B56F03"/>
    <w:rsid w:val="00B57516"/>
    <w:rsid w:val="00B57987"/>
    <w:rsid w:val="00B6083A"/>
    <w:rsid w:val="00B61F38"/>
    <w:rsid w:val="00B63217"/>
    <w:rsid w:val="00B63B72"/>
    <w:rsid w:val="00B64CB3"/>
    <w:rsid w:val="00B64DCC"/>
    <w:rsid w:val="00B6551F"/>
    <w:rsid w:val="00B658C4"/>
    <w:rsid w:val="00B6608F"/>
    <w:rsid w:val="00B66298"/>
    <w:rsid w:val="00B664E4"/>
    <w:rsid w:val="00B66952"/>
    <w:rsid w:val="00B67811"/>
    <w:rsid w:val="00B6781F"/>
    <w:rsid w:val="00B678F3"/>
    <w:rsid w:val="00B67A0C"/>
    <w:rsid w:val="00B67CC5"/>
    <w:rsid w:val="00B70DD8"/>
    <w:rsid w:val="00B718E1"/>
    <w:rsid w:val="00B72231"/>
    <w:rsid w:val="00B73E45"/>
    <w:rsid w:val="00B73E8F"/>
    <w:rsid w:val="00B74895"/>
    <w:rsid w:val="00B74ED5"/>
    <w:rsid w:val="00B75A83"/>
    <w:rsid w:val="00B765A7"/>
    <w:rsid w:val="00B76D1E"/>
    <w:rsid w:val="00B772C5"/>
    <w:rsid w:val="00B813FE"/>
    <w:rsid w:val="00B821E5"/>
    <w:rsid w:val="00B822E5"/>
    <w:rsid w:val="00B82A76"/>
    <w:rsid w:val="00B8345F"/>
    <w:rsid w:val="00B8383B"/>
    <w:rsid w:val="00B849FD"/>
    <w:rsid w:val="00B851B4"/>
    <w:rsid w:val="00B8559A"/>
    <w:rsid w:val="00B858DD"/>
    <w:rsid w:val="00B86C5E"/>
    <w:rsid w:val="00B86FC5"/>
    <w:rsid w:val="00B87969"/>
    <w:rsid w:val="00B91063"/>
    <w:rsid w:val="00B91197"/>
    <w:rsid w:val="00B912EA"/>
    <w:rsid w:val="00B92C17"/>
    <w:rsid w:val="00B93D28"/>
    <w:rsid w:val="00B949F1"/>
    <w:rsid w:val="00B955FF"/>
    <w:rsid w:val="00B95940"/>
    <w:rsid w:val="00B95AB1"/>
    <w:rsid w:val="00B967BC"/>
    <w:rsid w:val="00B969F1"/>
    <w:rsid w:val="00B96B3A"/>
    <w:rsid w:val="00B96C64"/>
    <w:rsid w:val="00B9771C"/>
    <w:rsid w:val="00B97970"/>
    <w:rsid w:val="00B97D6A"/>
    <w:rsid w:val="00BA0022"/>
    <w:rsid w:val="00BA0F35"/>
    <w:rsid w:val="00BA2839"/>
    <w:rsid w:val="00BA2D52"/>
    <w:rsid w:val="00BA3D19"/>
    <w:rsid w:val="00BA3EF0"/>
    <w:rsid w:val="00BA3F08"/>
    <w:rsid w:val="00BA4E76"/>
    <w:rsid w:val="00BA51F2"/>
    <w:rsid w:val="00BA5D4A"/>
    <w:rsid w:val="00BA5E51"/>
    <w:rsid w:val="00BA7CB9"/>
    <w:rsid w:val="00BA7D31"/>
    <w:rsid w:val="00BB106E"/>
    <w:rsid w:val="00BB1863"/>
    <w:rsid w:val="00BB2410"/>
    <w:rsid w:val="00BB26C2"/>
    <w:rsid w:val="00BB2C27"/>
    <w:rsid w:val="00BB4A76"/>
    <w:rsid w:val="00BB5FE5"/>
    <w:rsid w:val="00BB6326"/>
    <w:rsid w:val="00BB6799"/>
    <w:rsid w:val="00BB6921"/>
    <w:rsid w:val="00BB6CFA"/>
    <w:rsid w:val="00BB7453"/>
    <w:rsid w:val="00BB764B"/>
    <w:rsid w:val="00BB76D5"/>
    <w:rsid w:val="00BB76FE"/>
    <w:rsid w:val="00BB7952"/>
    <w:rsid w:val="00BB7E20"/>
    <w:rsid w:val="00BC0AD9"/>
    <w:rsid w:val="00BC0EDC"/>
    <w:rsid w:val="00BC1309"/>
    <w:rsid w:val="00BC1E02"/>
    <w:rsid w:val="00BC1FBF"/>
    <w:rsid w:val="00BC209F"/>
    <w:rsid w:val="00BC2AAC"/>
    <w:rsid w:val="00BC3805"/>
    <w:rsid w:val="00BC39D0"/>
    <w:rsid w:val="00BC3A9B"/>
    <w:rsid w:val="00BC3E99"/>
    <w:rsid w:val="00BC46B1"/>
    <w:rsid w:val="00BC5110"/>
    <w:rsid w:val="00BC57A9"/>
    <w:rsid w:val="00BC5A30"/>
    <w:rsid w:val="00BC6AC1"/>
    <w:rsid w:val="00BC6B89"/>
    <w:rsid w:val="00BC6BDD"/>
    <w:rsid w:val="00BC6DAF"/>
    <w:rsid w:val="00BC7372"/>
    <w:rsid w:val="00BC79BD"/>
    <w:rsid w:val="00BC7B9A"/>
    <w:rsid w:val="00BD0691"/>
    <w:rsid w:val="00BD0D66"/>
    <w:rsid w:val="00BD0E3B"/>
    <w:rsid w:val="00BD12B6"/>
    <w:rsid w:val="00BD17C4"/>
    <w:rsid w:val="00BD1D6D"/>
    <w:rsid w:val="00BD20F4"/>
    <w:rsid w:val="00BD2295"/>
    <w:rsid w:val="00BD2A2E"/>
    <w:rsid w:val="00BD2B28"/>
    <w:rsid w:val="00BD2BC9"/>
    <w:rsid w:val="00BD35AB"/>
    <w:rsid w:val="00BD363F"/>
    <w:rsid w:val="00BD366B"/>
    <w:rsid w:val="00BD3835"/>
    <w:rsid w:val="00BD3A99"/>
    <w:rsid w:val="00BD469D"/>
    <w:rsid w:val="00BD51D4"/>
    <w:rsid w:val="00BD57E8"/>
    <w:rsid w:val="00BD5808"/>
    <w:rsid w:val="00BD5A27"/>
    <w:rsid w:val="00BD60A1"/>
    <w:rsid w:val="00BD6537"/>
    <w:rsid w:val="00BD6601"/>
    <w:rsid w:val="00BD6CC1"/>
    <w:rsid w:val="00BD6D50"/>
    <w:rsid w:val="00BD79FF"/>
    <w:rsid w:val="00BE0470"/>
    <w:rsid w:val="00BE0EF9"/>
    <w:rsid w:val="00BE1794"/>
    <w:rsid w:val="00BE1BBB"/>
    <w:rsid w:val="00BE2C72"/>
    <w:rsid w:val="00BE31EA"/>
    <w:rsid w:val="00BE33B7"/>
    <w:rsid w:val="00BE3ADF"/>
    <w:rsid w:val="00BE41CD"/>
    <w:rsid w:val="00BE49C2"/>
    <w:rsid w:val="00BE4B95"/>
    <w:rsid w:val="00BE4FA5"/>
    <w:rsid w:val="00BE53CE"/>
    <w:rsid w:val="00BE607F"/>
    <w:rsid w:val="00BE6172"/>
    <w:rsid w:val="00BE627E"/>
    <w:rsid w:val="00BE63D0"/>
    <w:rsid w:val="00BE6F43"/>
    <w:rsid w:val="00BE748A"/>
    <w:rsid w:val="00BE76F6"/>
    <w:rsid w:val="00BE779A"/>
    <w:rsid w:val="00BE7CA3"/>
    <w:rsid w:val="00BE7F9B"/>
    <w:rsid w:val="00BF0713"/>
    <w:rsid w:val="00BF09A3"/>
    <w:rsid w:val="00BF0AA3"/>
    <w:rsid w:val="00BF1348"/>
    <w:rsid w:val="00BF1401"/>
    <w:rsid w:val="00BF1812"/>
    <w:rsid w:val="00BF1815"/>
    <w:rsid w:val="00BF1D46"/>
    <w:rsid w:val="00BF1FFC"/>
    <w:rsid w:val="00BF24B9"/>
    <w:rsid w:val="00BF2837"/>
    <w:rsid w:val="00BF2A80"/>
    <w:rsid w:val="00BF3008"/>
    <w:rsid w:val="00BF3D17"/>
    <w:rsid w:val="00BF3E1C"/>
    <w:rsid w:val="00BF3EDA"/>
    <w:rsid w:val="00BF57A5"/>
    <w:rsid w:val="00BF5E16"/>
    <w:rsid w:val="00BF6243"/>
    <w:rsid w:val="00BF6BE5"/>
    <w:rsid w:val="00BF6FC7"/>
    <w:rsid w:val="00BF752C"/>
    <w:rsid w:val="00BF7EC0"/>
    <w:rsid w:val="00C00376"/>
    <w:rsid w:val="00C00741"/>
    <w:rsid w:val="00C018F4"/>
    <w:rsid w:val="00C01BB8"/>
    <w:rsid w:val="00C0254E"/>
    <w:rsid w:val="00C03F42"/>
    <w:rsid w:val="00C0448C"/>
    <w:rsid w:val="00C0450E"/>
    <w:rsid w:val="00C04FD8"/>
    <w:rsid w:val="00C05523"/>
    <w:rsid w:val="00C0554F"/>
    <w:rsid w:val="00C055AC"/>
    <w:rsid w:val="00C058F6"/>
    <w:rsid w:val="00C05A64"/>
    <w:rsid w:val="00C06CC8"/>
    <w:rsid w:val="00C07C74"/>
    <w:rsid w:val="00C07D04"/>
    <w:rsid w:val="00C1031A"/>
    <w:rsid w:val="00C1059A"/>
    <w:rsid w:val="00C10FB2"/>
    <w:rsid w:val="00C10FC4"/>
    <w:rsid w:val="00C11031"/>
    <w:rsid w:val="00C11467"/>
    <w:rsid w:val="00C11FBC"/>
    <w:rsid w:val="00C1208D"/>
    <w:rsid w:val="00C12835"/>
    <w:rsid w:val="00C131F6"/>
    <w:rsid w:val="00C13E05"/>
    <w:rsid w:val="00C13EC4"/>
    <w:rsid w:val="00C13EF3"/>
    <w:rsid w:val="00C13FFB"/>
    <w:rsid w:val="00C140D5"/>
    <w:rsid w:val="00C14494"/>
    <w:rsid w:val="00C14ECE"/>
    <w:rsid w:val="00C15FE7"/>
    <w:rsid w:val="00C16A27"/>
    <w:rsid w:val="00C16D82"/>
    <w:rsid w:val="00C16FA7"/>
    <w:rsid w:val="00C1712A"/>
    <w:rsid w:val="00C1712C"/>
    <w:rsid w:val="00C17654"/>
    <w:rsid w:val="00C1798C"/>
    <w:rsid w:val="00C17B8A"/>
    <w:rsid w:val="00C2040D"/>
    <w:rsid w:val="00C21091"/>
    <w:rsid w:val="00C21D10"/>
    <w:rsid w:val="00C21D1B"/>
    <w:rsid w:val="00C21DE9"/>
    <w:rsid w:val="00C21F94"/>
    <w:rsid w:val="00C23D40"/>
    <w:rsid w:val="00C249B7"/>
    <w:rsid w:val="00C24DA9"/>
    <w:rsid w:val="00C26A32"/>
    <w:rsid w:val="00C276E7"/>
    <w:rsid w:val="00C27DAA"/>
    <w:rsid w:val="00C31655"/>
    <w:rsid w:val="00C3236E"/>
    <w:rsid w:val="00C32F2D"/>
    <w:rsid w:val="00C334C7"/>
    <w:rsid w:val="00C33933"/>
    <w:rsid w:val="00C33AD8"/>
    <w:rsid w:val="00C34457"/>
    <w:rsid w:val="00C349BC"/>
    <w:rsid w:val="00C34E66"/>
    <w:rsid w:val="00C351C0"/>
    <w:rsid w:val="00C3533B"/>
    <w:rsid w:val="00C3589C"/>
    <w:rsid w:val="00C35B98"/>
    <w:rsid w:val="00C35C48"/>
    <w:rsid w:val="00C36807"/>
    <w:rsid w:val="00C370B8"/>
    <w:rsid w:val="00C377C4"/>
    <w:rsid w:val="00C37EA8"/>
    <w:rsid w:val="00C401E1"/>
    <w:rsid w:val="00C40E92"/>
    <w:rsid w:val="00C41A67"/>
    <w:rsid w:val="00C42179"/>
    <w:rsid w:val="00C42D86"/>
    <w:rsid w:val="00C4352B"/>
    <w:rsid w:val="00C43588"/>
    <w:rsid w:val="00C43B05"/>
    <w:rsid w:val="00C43BDF"/>
    <w:rsid w:val="00C43F49"/>
    <w:rsid w:val="00C45298"/>
    <w:rsid w:val="00C45446"/>
    <w:rsid w:val="00C45B5D"/>
    <w:rsid w:val="00C45CAF"/>
    <w:rsid w:val="00C46015"/>
    <w:rsid w:val="00C46027"/>
    <w:rsid w:val="00C46D20"/>
    <w:rsid w:val="00C470F8"/>
    <w:rsid w:val="00C50046"/>
    <w:rsid w:val="00C50385"/>
    <w:rsid w:val="00C5090D"/>
    <w:rsid w:val="00C50A5E"/>
    <w:rsid w:val="00C50FDC"/>
    <w:rsid w:val="00C512E7"/>
    <w:rsid w:val="00C52041"/>
    <w:rsid w:val="00C5219C"/>
    <w:rsid w:val="00C52271"/>
    <w:rsid w:val="00C52CFF"/>
    <w:rsid w:val="00C53308"/>
    <w:rsid w:val="00C53A98"/>
    <w:rsid w:val="00C53CF4"/>
    <w:rsid w:val="00C54122"/>
    <w:rsid w:val="00C542DA"/>
    <w:rsid w:val="00C54302"/>
    <w:rsid w:val="00C54ED4"/>
    <w:rsid w:val="00C55B0C"/>
    <w:rsid w:val="00C55C3C"/>
    <w:rsid w:val="00C56392"/>
    <w:rsid w:val="00C564EB"/>
    <w:rsid w:val="00C56FAC"/>
    <w:rsid w:val="00C57270"/>
    <w:rsid w:val="00C576C1"/>
    <w:rsid w:val="00C608DB"/>
    <w:rsid w:val="00C60D30"/>
    <w:rsid w:val="00C622D3"/>
    <w:rsid w:val="00C62C8D"/>
    <w:rsid w:val="00C62DD3"/>
    <w:rsid w:val="00C634DF"/>
    <w:rsid w:val="00C639DA"/>
    <w:rsid w:val="00C63BD4"/>
    <w:rsid w:val="00C63F30"/>
    <w:rsid w:val="00C63FC3"/>
    <w:rsid w:val="00C64C19"/>
    <w:rsid w:val="00C66382"/>
    <w:rsid w:val="00C6646D"/>
    <w:rsid w:val="00C66519"/>
    <w:rsid w:val="00C66F99"/>
    <w:rsid w:val="00C67235"/>
    <w:rsid w:val="00C67AC4"/>
    <w:rsid w:val="00C67F19"/>
    <w:rsid w:val="00C67F66"/>
    <w:rsid w:val="00C70139"/>
    <w:rsid w:val="00C70166"/>
    <w:rsid w:val="00C70499"/>
    <w:rsid w:val="00C70560"/>
    <w:rsid w:val="00C708C3"/>
    <w:rsid w:val="00C70F35"/>
    <w:rsid w:val="00C717C7"/>
    <w:rsid w:val="00C718C4"/>
    <w:rsid w:val="00C719D9"/>
    <w:rsid w:val="00C723FE"/>
    <w:rsid w:val="00C7294A"/>
    <w:rsid w:val="00C735EE"/>
    <w:rsid w:val="00C7376E"/>
    <w:rsid w:val="00C73C88"/>
    <w:rsid w:val="00C73F4C"/>
    <w:rsid w:val="00C74158"/>
    <w:rsid w:val="00C742FF"/>
    <w:rsid w:val="00C74512"/>
    <w:rsid w:val="00C746C2"/>
    <w:rsid w:val="00C74DB8"/>
    <w:rsid w:val="00C75024"/>
    <w:rsid w:val="00C7594F"/>
    <w:rsid w:val="00C76348"/>
    <w:rsid w:val="00C7658A"/>
    <w:rsid w:val="00C771A3"/>
    <w:rsid w:val="00C774BB"/>
    <w:rsid w:val="00C777CE"/>
    <w:rsid w:val="00C77967"/>
    <w:rsid w:val="00C80ED6"/>
    <w:rsid w:val="00C81902"/>
    <w:rsid w:val="00C820B0"/>
    <w:rsid w:val="00C821FC"/>
    <w:rsid w:val="00C82CE9"/>
    <w:rsid w:val="00C83155"/>
    <w:rsid w:val="00C83C33"/>
    <w:rsid w:val="00C83F52"/>
    <w:rsid w:val="00C84DE9"/>
    <w:rsid w:val="00C857FB"/>
    <w:rsid w:val="00C866FE"/>
    <w:rsid w:val="00C86903"/>
    <w:rsid w:val="00C86C49"/>
    <w:rsid w:val="00C87251"/>
    <w:rsid w:val="00C9027C"/>
    <w:rsid w:val="00C902FF"/>
    <w:rsid w:val="00C903FE"/>
    <w:rsid w:val="00C907E4"/>
    <w:rsid w:val="00C90CF4"/>
    <w:rsid w:val="00C90D47"/>
    <w:rsid w:val="00C92B71"/>
    <w:rsid w:val="00C92FA6"/>
    <w:rsid w:val="00C93389"/>
    <w:rsid w:val="00C93A0D"/>
    <w:rsid w:val="00C94E77"/>
    <w:rsid w:val="00C9506B"/>
    <w:rsid w:val="00C958DA"/>
    <w:rsid w:val="00C95DA3"/>
    <w:rsid w:val="00C95E3D"/>
    <w:rsid w:val="00C96482"/>
    <w:rsid w:val="00C97150"/>
    <w:rsid w:val="00CA0C7F"/>
    <w:rsid w:val="00CA0F40"/>
    <w:rsid w:val="00CA117A"/>
    <w:rsid w:val="00CA218E"/>
    <w:rsid w:val="00CA27C1"/>
    <w:rsid w:val="00CA27F3"/>
    <w:rsid w:val="00CA33B9"/>
    <w:rsid w:val="00CA35BA"/>
    <w:rsid w:val="00CA3C8F"/>
    <w:rsid w:val="00CA441C"/>
    <w:rsid w:val="00CA4D03"/>
    <w:rsid w:val="00CA4D94"/>
    <w:rsid w:val="00CA59EE"/>
    <w:rsid w:val="00CA5C74"/>
    <w:rsid w:val="00CA612E"/>
    <w:rsid w:val="00CA653F"/>
    <w:rsid w:val="00CA68A8"/>
    <w:rsid w:val="00CA72C5"/>
    <w:rsid w:val="00CA7561"/>
    <w:rsid w:val="00CA760D"/>
    <w:rsid w:val="00CA7700"/>
    <w:rsid w:val="00CA7A3A"/>
    <w:rsid w:val="00CB00A8"/>
    <w:rsid w:val="00CB0BB6"/>
    <w:rsid w:val="00CB119D"/>
    <w:rsid w:val="00CB1250"/>
    <w:rsid w:val="00CB13C9"/>
    <w:rsid w:val="00CB17B1"/>
    <w:rsid w:val="00CB2392"/>
    <w:rsid w:val="00CB23A0"/>
    <w:rsid w:val="00CB27E8"/>
    <w:rsid w:val="00CB2D19"/>
    <w:rsid w:val="00CB32EC"/>
    <w:rsid w:val="00CB36E1"/>
    <w:rsid w:val="00CB3964"/>
    <w:rsid w:val="00CB3A1F"/>
    <w:rsid w:val="00CB3DC4"/>
    <w:rsid w:val="00CB3EB5"/>
    <w:rsid w:val="00CB3F4C"/>
    <w:rsid w:val="00CB41CA"/>
    <w:rsid w:val="00CB558B"/>
    <w:rsid w:val="00CB56F5"/>
    <w:rsid w:val="00CB600C"/>
    <w:rsid w:val="00CB62F8"/>
    <w:rsid w:val="00CB654D"/>
    <w:rsid w:val="00CB6F91"/>
    <w:rsid w:val="00CB72EF"/>
    <w:rsid w:val="00CB7567"/>
    <w:rsid w:val="00CB769D"/>
    <w:rsid w:val="00CB79B5"/>
    <w:rsid w:val="00CB7FC6"/>
    <w:rsid w:val="00CC01DD"/>
    <w:rsid w:val="00CC0AE6"/>
    <w:rsid w:val="00CC0CE0"/>
    <w:rsid w:val="00CC0FC5"/>
    <w:rsid w:val="00CC113E"/>
    <w:rsid w:val="00CC1887"/>
    <w:rsid w:val="00CC3493"/>
    <w:rsid w:val="00CC39AF"/>
    <w:rsid w:val="00CC3D30"/>
    <w:rsid w:val="00CC40D1"/>
    <w:rsid w:val="00CC4331"/>
    <w:rsid w:val="00CC52FA"/>
    <w:rsid w:val="00CC53D5"/>
    <w:rsid w:val="00CC56B2"/>
    <w:rsid w:val="00CC611D"/>
    <w:rsid w:val="00CC6896"/>
    <w:rsid w:val="00CC7383"/>
    <w:rsid w:val="00CC73F3"/>
    <w:rsid w:val="00CC7BE3"/>
    <w:rsid w:val="00CD1EA4"/>
    <w:rsid w:val="00CD1EB8"/>
    <w:rsid w:val="00CD2C95"/>
    <w:rsid w:val="00CD3B46"/>
    <w:rsid w:val="00CD43CB"/>
    <w:rsid w:val="00CD4C7A"/>
    <w:rsid w:val="00CD5F03"/>
    <w:rsid w:val="00CD5FCE"/>
    <w:rsid w:val="00CD6A92"/>
    <w:rsid w:val="00CD75FA"/>
    <w:rsid w:val="00CE00F3"/>
    <w:rsid w:val="00CE08D6"/>
    <w:rsid w:val="00CE0AD5"/>
    <w:rsid w:val="00CE14CF"/>
    <w:rsid w:val="00CE1C7B"/>
    <w:rsid w:val="00CE24B5"/>
    <w:rsid w:val="00CE2731"/>
    <w:rsid w:val="00CE2846"/>
    <w:rsid w:val="00CE308D"/>
    <w:rsid w:val="00CE3283"/>
    <w:rsid w:val="00CE36C6"/>
    <w:rsid w:val="00CE3BA6"/>
    <w:rsid w:val="00CE4101"/>
    <w:rsid w:val="00CE415F"/>
    <w:rsid w:val="00CE4504"/>
    <w:rsid w:val="00CE53F6"/>
    <w:rsid w:val="00CE56E4"/>
    <w:rsid w:val="00CE598F"/>
    <w:rsid w:val="00CE609F"/>
    <w:rsid w:val="00CE77BF"/>
    <w:rsid w:val="00CE7D64"/>
    <w:rsid w:val="00CE7EF8"/>
    <w:rsid w:val="00CF0027"/>
    <w:rsid w:val="00CF0137"/>
    <w:rsid w:val="00CF0555"/>
    <w:rsid w:val="00CF0BAB"/>
    <w:rsid w:val="00CF224A"/>
    <w:rsid w:val="00CF2DA7"/>
    <w:rsid w:val="00CF390A"/>
    <w:rsid w:val="00CF3F02"/>
    <w:rsid w:val="00CF462A"/>
    <w:rsid w:val="00CF47FD"/>
    <w:rsid w:val="00CF51EC"/>
    <w:rsid w:val="00CF5D65"/>
    <w:rsid w:val="00CF600C"/>
    <w:rsid w:val="00CF63CB"/>
    <w:rsid w:val="00CF6A20"/>
    <w:rsid w:val="00CF72A1"/>
    <w:rsid w:val="00CF7D9F"/>
    <w:rsid w:val="00D007E7"/>
    <w:rsid w:val="00D00F19"/>
    <w:rsid w:val="00D010FF"/>
    <w:rsid w:val="00D02C4B"/>
    <w:rsid w:val="00D02D01"/>
    <w:rsid w:val="00D02E65"/>
    <w:rsid w:val="00D02E9B"/>
    <w:rsid w:val="00D03555"/>
    <w:rsid w:val="00D0392F"/>
    <w:rsid w:val="00D040DD"/>
    <w:rsid w:val="00D04381"/>
    <w:rsid w:val="00D045D0"/>
    <w:rsid w:val="00D04839"/>
    <w:rsid w:val="00D048AF"/>
    <w:rsid w:val="00D04D24"/>
    <w:rsid w:val="00D05A9B"/>
    <w:rsid w:val="00D05CBC"/>
    <w:rsid w:val="00D05F2C"/>
    <w:rsid w:val="00D067EE"/>
    <w:rsid w:val="00D06ABA"/>
    <w:rsid w:val="00D10FA7"/>
    <w:rsid w:val="00D11246"/>
    <w:rsid w:val="00D1146A"/>
    <w:rsid w:val="00D11560"/>
    <w:rsid w:val="00D11679"/>
    <w:rsid w:val="00D126A7"/>
    <w:rsid w:val="00D13C77"/>
    <w:rsid w:val="00D1430D"/>
    <w:rsid w:val="00D146E8"/>
    <w:rsid w:val="00D15629"/>
    <w:rsid w:val="00D17E91"/>
    <w:rsid w:val="00D20B8E"/>
    <w:rsid w:val="00D20C71"/>
    <w:rsid w:val="00D21613"/>
    <w:rsid w:val="00D218F2"/>
    <w:rsid w:val="00D21CFE"/>
    <w:rsid w:val="00D22511"/>
    <w:rsid w:val="00D22E4C"/>
    <w:rsid w:val="00D234F5"/>
    <w:rsid w:val="00D2433D"/>
    <w:rsid w:val="00D24532"/>
    <w:rsid w:val="00D24AE3"/>
    <w:rsid w:val="00D24E55"/>
    <w:rsid w:val="00D25814"/>
    <w:rsid w:val="00D25946"/>
    <w:rsid w:val="00D26413"/>
    <w:rsid w:val="00D267E2"/>
    <w:rsid w:val="00D269E0"/>
    <w:rsid w:val="00D26F9E"/>
    <w:rsid w:val="00D27218"/>
    <w:rsid w:val="00D2735D"/>
    <w:rsid w:val="00D2751F"/>
    <w:rsid w:val="00D27CCE"/>
    <w:rsid w:val="00D27D15"/>
    <w:rsid w:val="00D27E6E"/>
    <w:rsid w:val="00D30698"/>
    <w:rsid w:val="00D316BB"/>
    <w:rsid w:val="00D316EF"/>
    <w:rsid w:val="00D31B66"/>
    <w:rsid w:val="00D31E66"/>
    <w:rsid w:val="00D32157"/>
    <w:rsid w:val="00D32602"/>
    <w:rsid w:val="00D327F0"/>
    <w:rsid w:val="00D3282C"/>
    <w:rsid w:val="00D32A5F"/>
    <w:rsid w:val="00D33388"/>
    <w:rsid w:val="00D338DA"/>
    <w:rsid w:val="00D34E21"/>
    <w:rsid w:val="00D355F0"/>
    <w:rsid w:val="00D358C6"/>
    <w:rsid w:val="00D359FB"/>
    <w:rsid w:val="00D35C7A"/>
    <w:rsid w:val="00D3643E"/>
    <w:rsid w:val="00D36755"/>
    <w:rsid w:val="00D36AF6"/>
    <w:rsid w:val="00D36B56"/>
    <w:rsid w:val="00D40F24"/>
    <w:rsid w:val="00D41754"/>
    <w:rsid w:val="00D418D5"/>
    <w:rsid w:val="00D41AEF"/>
    <w:rsid w:val="00D41AF1"/>
    <w:rsid w:val="00D424DE"/>
    <w:rsid w:val="00D42693"/>
    <w:rsid w:val="00D42C33"/>
    <w:rsid w:val="00D439AC"/>
    <w:rsid w:val="00D43CF4"/>
    <w:rsid w:val="00D45574"/>
    <w:rsid w:val="00D45F16"/>
    <w:rsid w:val="00D46EE4"/>
    <w:rsid w:val="00D46F5F"/>
    <w:rsid w:val="00D4780B"/>
    <w:rsid w:val="00D47DCB"/>
    <w:rsid w:val="00D50475"/>
    <w:rsid w:val="00D507BE"/>
    <w:rsid w:val="00D50B72"/>
    <w:rsid w:val="00D515BC"/>
    <w:rsid w:val="00D515C9"/>
    <w:rsid w:val="00D516A1"/>
    <w:rsid w:val="00D51E6B"/>
    <w:rsid w:val="00D51EA7"/>
    <w:rsid w:val="00D52355"/>
    <w:rsid w:val="00D5418F"/>
    <w:rsid w:val="00D54C44"/>
    <w:rsid w:val="00D5555C"/>
    <w:rsid w:val="00D55656"/>
    <w:rsid w:val="00D56A23"/>
    <w:rsid w:val="00D56DE9"/>
    <w:rsid w:val="00D57021"/>
    <w:rsid w:val="00D57EE6"/>
    <w:rsid w:val="00D6000F"/>
    <w:rsid w:val="00D60E57"/>
    <w:rsid w:val="00D613CB"/>
    <w:rsid w:val="00D6239C"/>
    <w:rsid w:val="00D6275B"/>
    <w:rsid w:val="00D62A99"/>
    <w:rsid w:val="00D64451"/>
    <w:rsid w:val="00D644E2"/>
    <w:rsid w:val="00D65484"/>
    <w:rsid w:val="00D654DC"/>
    <w:rsid w:val="00D65603"/>
    <w:rsid w:val="00D66CCF"/>
    <w:rsid w:val="00D67011"/>
    <w:rsid w:val="00D672A9"/>
    <w:rsid w:val="00D672B5"/>
    <w:rsid w:val="00D67670"/>
    <w:rsid w:val="00D6788F"/>
    <w:rsid w:val="00D67910"/>
    <w:rsid w:val="00D67F43"/>
    <w:rsid w:val="00D7025D"/>
    <w:rsid w:val="00D7030C"/>
    <w:rsid w:val="00D70357"/>
    <w:rsid w:val="00D71318"/>
    <w:rsid w:val="00D7198E"/>
    <w:rsid w:val="00D71C8B"/>
    <w:rsid w:val="00D722FD"/>
    <w:rsid w:val="00D72638"/>
    <w:rsid w:val="00D72C5F"/>
    <w:rsid w:val="00D72C81"/>
    <w:rsid w:val="00D72D65"/>
    <w:rsid w:val="00D72E21"/>
    <w:rsid w:val="00D73131"/>
    <w:rsid w:val="00D7320C"/>
    <w:rsid w:val="00D73536"/>
    <w:rsid w:val="00D73A93"/>
    <w:rsid w:val="00D740F1"/>
    <w:rsid w:val="00D7448A"/>
    <w:rsid w:val="00D74C64"/>
    <w:rsid w:val="00D74F7F"/>
    <w:rsid w:val="00D75128"/>
    <w:rsid w:val="00D76098"/>
    <w:rsid w:val="00D76E1F"/>
    <w:rsid w:val="00D76E2C"/>
    <w:rsid w:val="00D77E6A"/>
    <w:rsid w:val="00D8110A"/>
    <w:rsid w:val="00D81FA6"/>
    <w:rsid w:val="00D8256A"/>
    <w:rsid w:val="00D82BFB"/>
    <w:rsid w:val="00D83753"/>
    <w:rsid w:val="00D83F55"/>
    <w:rsid w:val="00D85D62"/>
    <w:rsid w:val="00D85F9E"/>
    <w:rsid w:val="00D86D4C"/>
    <w:rsid w:val="00D87A8C"/>
    <w:rsid w:val="00D87C69"/>
    <w:rsid w:val="00D87E8E"/>
    <w:rsid w:val="00D87F26"/>
    <w:rsid w:val="00D90817"/>
    <w:rsid w:val="00D90BEC"/>
    <w:rsid w:val="00D90C01"/>
    <w:rsid w:val="00D91C28"/>
    <w:rsid w:val="00D91C65"/>
    <w:rsid w:val="00D91D14"/>
    <w:rsid w:val="00D922DB"/>
    <w:rsid w:val="00D92675"/>
    <w:rsid w:val="00D9313A"/>
    <w:rsid w:val="00D9320F"/>
    <w:rsid w:val="00D9321F"/>
    <w:rsid w:val="00D94983"/>
    <w:rsid w:val="00D94B8F"/>
    <w:rsid w:val="00D956B6"/>
    <w:rsid w:val="00D9588A"/>
    <w:rsid w:val="00D95A80"/>
    <w:rsid w:val="00D95E42"/>
    <w:rsid w:val="00D96588"/>
    <w:rsid w:val="00D9797A"/>
    <w:rsid w:val="00DA0014"/>
    <w:rsid w:val="00DA043A"/>
    <w:rsid w:val="00DA0BAF"/>
    <w:rsid w:val="00DA31B9"/>
    <w:rsid w:val="00DA343E"/>
    <w:rsid w:val="00DA3477"/>
    <w:rsid w:val="00DA3C1D"/>
    <w:rsid w:val="00DA440D"/>
    <w:rsid w:val="00DA4844"/>
    <w:rsid w:val="00DA5013"/>
    <w:rsid w:val="00DA6EF6"/>
    <w:rsid w:val="00DA7501"/>
    <w:rsid w:val="00DA7822"/>
    <w:rsid w:val="00DB08A1"/>
    <w:rsid w:val="00DB0B09"/>
    <w:rsid w:val="00DB121B"/>
    <w:rsid w:val="00DB192A"/>
    <w:rsid w:val="00DB217C"/>
    <w:rsid w:val="00DB33F3"/>
    <w:rsid w:val="00DB3811"/>
    <w:rsid w:val="00DB3C3F"/>
    <w:rsid w:val="00DB3CE2"/>
    <w:rsid w:val="00DB4A23"/>
    <w:rsid w:val="00DB55CC"/>
    <w:rsid w:val="00DB5F1F"/>
    <w:rsid w:val="00DB63C1"/>
    <w:rsid w:val="00DB6452"/>
    <w:rsid w:val="00DB6782"/>
    <w:rsid w:val="00DC02CB"/>
    <w:rsid w:val="00DC08A4"/>
    <w:rsid w:val="00DC1338"/>
    <w:rsid w:val="00DC1D1D"/>
    <w:rsid w:val="00DC1FE0"/>
    <w:rsid w:val="00DC256B"/>
    <w:rsid w:val="00DC27A2"/>
    <w:rsid w:val="00DC2914"/>
    <w:rsid w:val="00DC37A8"/>
    <w:rsid w:val="00DC3A8A"/>
    <w:rsid w:val="00DC3CFF"/>
    <w:rsid w:val="00DC4158"/>
    <w:rsid w:val="00DC5B3B"/>
    <w:rsid w:val="00DC67CB"/>
    <w:rsid w:val="00DC698A"/>
    <w:rsid w:val="00DC6DF6"/>
    <w:rsid w:val="00DC7739"/>
    <w:rsid w:val="00DC784D"/>
    <w:rsid w:val="00DD0290"/>
    <w:rsid w:val="00DD1820"/>
    <w:rsid w:val="00DD1ADC"/>
    <w:rsid w:val="00DD26FF"/>
    <w:rsid w:val="00DD319B"/>
    <w:rsid w:val="00DD43FE"/>
    <w:rsid w:val="00DD49EA"/>
    <w:rsid w:val="00DD54A1"/>
    <w:rsid w:val="00DD56C3"/>
    <w:rsid w:val="00DD7300"/>
    <w:rsid w:val="00DE01C1"/>
    <w:rsid w:val="00DE0583"/>
    <w:rsid w:val="00DE0CF4"/>
    <w:rsid w:val="00DE1008"/>
    <w:rsid w:val="00DE25A4"/>
    <w:rsid w:val="00DE25AE"/>
    <w:rsid w:val="00DE349B"/>
    <w:rsid w:val="00DE38CF"/>
    <w:rsid w:val="00DE3AD5"/>
    <w:rsid w:val="00DE3B56"/>
    <w:rsid w:val="00DE3FC2"/>
    <w:rsid w:val="00DE4519"/>
    <w:rsid w:val="00DE4A74"/>
    <w:rsid w:val="00DE5E80"/>
    <w:rsid w:val="00DE5EC9"/>
    <w:rsid w:val="00DE6696"/>
    <w:rsid w:val="00DE66C5"/>
    <w:rsid w:val="00DE7E9F"/>
    <w:rsid w:val="00DF0548"/>
    <w:rsid w:val="00DF10E8"/>
    <w:rsid w:val="00DF11D8"/>
    <w:rsid w:val="00DF1398"/>
    <w:rsid w:val="00DF186C"/>
    <w:rsid w:val="00DF1EBA"/>
    <w:rsid w:val="00DF20A3"/>
    <w:rsid w:val="00DF213B"/>
    <w:rsid w:val="00DF25B2"/>
    <w:rsid w:val="00DF29A0"/>
    <w:rsid w:val="00DF2CD8"/>
    <w:rsid w:val="00DF2F8C"/>
    <w:rsid w:val="00DF33F0"/>
    <w:rsid w:val="00DF372F"/>
    <w:rsid w:val="00DF38DC"/>
    <w:rsid w:val="00DF3F1A"/>
    <w:rsid w:val="00DF3F78"/>
    <w:rsid w:val="00DF45F2"/>
    <w:rsid w:val="00DF482B"/>
    <w:rsid w:val="00DF4CB8"/>
    <w:rsid w:val="00DF53E1"/>
    <w:rsid w:val="00DF5CF2"/>
    <w:rsid w:val="00DF5D0F"/>
    <w:rsid w:val="00DF6334"/>
    <w:rsid w:val="00DF683A"/>
    <w:rsid w:val="00DF6A7E"/>
    <w:rsid w:val="00DF6D95"/>
    <w:rsid w:val="00DF7B1F"/>
    <w:rsid w:val="00E006FC"/>
    <w:rsid w:val="00E01C0E"/>
    <w:rsid w:val="00E023FA"/>
    <w:rsid w:val="00E02E42"/>
    <w:rsid w:val="00E03826"/>
    <w:rsid w:val="00E0386D"/>
    <w:rsid w:val="00E03E4C"/>
    <w:rsid w:val="00E04694"/>
    <w:rsid w:val="00E04E69"/>
    <w:rsid w:val="00E058AC"/>
    <w:rsid w:val="00E05B49"/>
    <w:rsid w:val="00E05C11"/>
    <w:rsid w:val="00E05CD9"/>
    <w:rsid w:val="00E061EE"/>
    <w:rsid w:val="00E06BAF"/>
    <w:rsid w:val="00E0715B"/>
    <w:rsid w:val="00E076DE"/>
    <w:rsid w:val="00E077D6"/>
    <w:rsid w:val="00E07C43"/>
    <w:rsid w:val="00E07E5C"/>
    <w:rsid w:val="00E07EEF"/>
    <w:rsid w:val="00E106F6"/>
    <w:rsid w:val="00E1187E"/>
    <w:rsid w:val="00E11919"/>
    <w:rsid w:val="00E11A6B"/>
    <w:rsid w:val="00E11DCA"/>
    <w:rsid w:val="00E126EA"/>
    <w:rsid w:val="00E12D30"/>
    <w:rsid w:val="00E12E8B"/>
    <w:rsid w:val="00E13C79"/>
    <w:rsid w:val="00E13DDD"/>
    <w:rsid w:val="00E1419F"/>
    <w:rsid w:val="00E14242"/>
    <w:rsid w:val="00E1486C"/>
    <w:rsid w:val="00E15008"/>
    <w:rsid w:val="00E15779"/>
    <w:rsid w:val="00E158E3"/>
    <w:rsid w:val="00E15937"/>
    <w:rsid w:val="00E161F0"/>
    <w:rsid w:val="00E170DD"/>
    <w:rsid w:val="00E17535"/>
    <w:rsid w:val="00E17624"/>
    <w:rsid w:val="00E17709"/>
    <w:rsid w:val="00E177BB"/>
    <w:rsid w:val="00E2006C"/>
    <w:rsid w:val="00E203F4"/>
    <w:rsid w:val="00E20999"/>
    <w:rsid w:val="00E20E82"/>
    <w:rsid w:val="00E21405"/>
    <w:rsid w:val="00E22100"/>
    <w:rsid w:val="00E22211"/>
    <w:rsid w:val="00E23138"/>
    <w:rsid w:val="00E2338A"/>
    <w:rsid w:val="00E235DA"/>
    <w:rsid w:val="00E23AED"/>
    <w:rsid w:val="00E24232"/>
    <w:rsid w:val="00E2558F"/>
    <w:rsid w:val="00E257CE"/>
    <w:rsid w:val="00E25875"/>
    <w:rsid w:val="00E25DE3"/>
    <w:rsid w:val="00E266C0"/>
    <w:rsid w:val="00E2686C"/>
    <w:rsid w:val="00E26BD6"/>
    <w:rsid w:val="00E27604"/>
    <w:rsid w:val="00E27CCB"/>
    <w:rsid w:val="00E27E45"/>
    <w:rsid w:val="00E300E9"/>
    <w:rsid w:val="00E30576"/>
    <w:rsid w:val="00E30C67"/>
    <w:rsid w:val="00E30F7E"/>
    <w:rsid w:val="00E31D5E"/>
    <w:rsid w:val="00E3226E"/>
    <w:rsid w:val="00E32358"/>
    <w:rsid w:val="00E331F9"/>
    <w:rsid w:val="00E3331F"/>
    <w:rsid w:val="00E33EAE"/>
    <w:rsid w:val="00E340F9"/>
    <w:rsid w:val="00E34536"/>
    <w:rsid w:val="00E356DC"/>
    <w:rsid w:val="00E357C8"/>
    <w:rsid w:val="00E36668"/>
    <w:rsid w:val="00E36C13"/>
    <w:rsid w:val="00E378AB"/>
    <w:rsid w:val="00E37E22"/>
    <w:rsid w:val="00E408E6"/>
    <w:rsid w:val="00E41018"/>
    <w:rsid w:val="00E417F5"/>
    <w:rsid w:val="00E41ADA"/>
    <w:rsid w:val="00E42577"/>
    <w:rsid w:val="00E433FC"/>
    <w:rsid w:val="00E4343A"/>
    <w:rsid w:val="00E4463C"/>
    <w:rsid w:val="00E44790"/>
    <w:rsid w:val="00E448D6"/>
    <w:rsid w:val="00E448FE"/>
    <w:rsid w:val="00E452C6"/>
    <w:rsid w:val="00E4734A"/>
    <w:rsid w:val="00E4796A"/>
    <w:rsid w:val="00E47F4A"/>
    <w:rsid w:val="00E5027D"/>
    <w:rsid w:val="00E504C3"/>
    <w:rsid w:val="00E50680"/>
    <w:rsid w:val="00E50CCB"/>
    <w:rsid w:val="00E51222"/>
    <w:rsid w:val="00E51F58"/>
    <w:rsid w:val="00E527E6"/>
    <w:rsid w:val="00E53275"/>
    <w:rsid w:val="00E5387D"/>
    <w:rsid w:val="00E549E3"/>
    <w:rsid w:val="00E55662"/>
    <w:rsid w:val="00E55854"/>
    <w:rsid w:val="00E568B5"/>
    <w:rsid w:val="00E56A9D"/>
    <w:rsid w:val="00E572E7"/>
    <w:rsid w:val="00E57599"/>
    <w:rsid w:val="00E5766A"/>
    <w:rsid w:val="00E578D8"/>
    <w:rsid w:val="00E57EE1"/>
    <w:rsid w:val="00E60142"/>
    <w:rsid w:val="00E6039F"/>
    <w:rsid w:val="00E605BF"/>
    <w:rsid w:val="00E607EB"/>
    <w:rsid w:val="00E6084F"/>
    <w:rsid w:val="00E608AE"/>
    <w:rsid w:val="00E61548"/>
    <w:rsid w:val="00E6176C"/>
    <w:rsid w:val="00E619AA"/>
    <w:rsid w:val="00E61EDF"/>
    <w:rsid w:val="00E62AD2"/>
    <w:rsid w:val="00E6375D"/>
    <w:rsid w:val="00E6382B"/>
    <w:rsid w:val="00E645F1"/>
    <w:rsid w:val="00E6521D"/>
    <w:rsid w:val="00E67CC2"/>
    <w:rsid w:val="00E67DC3"/>
    <w:rsid w:val="00E70185"/>
    <w:rsid w:val="00E7033C"/>
    <w:rsid w:val="00E70E16"/>
    <w:rsid w:val="00E70ED1"/>
    <w:rsid w:val="00E7113C"/>
    <w:rsid w:val="00E714C9"/>
    <w:rsid w:val="00E71A58"/>
    <w:rsid w:val="00E71B2F"/>
    <w:rsid w:val="00E72A15"/>
    <w:rsid w:val="00E7339F"/>
    <w:rsid w:val="00E7371B"/>
    <w:rsid w:val="00E73C68"/>
    <w:rsid w:val="00E73F4C"/>
    <w:rsid w:val="00E743CE"/>
    <w:rsid w:val="00E74422"/>
    <w:rsid w:val="00E74F8C"/>
    <w:rsid w:val="00E7515E"/>
    <w:rsid w:val="00E75176"/>
    <w:rsid w:val="00E76203"/>
    <w:rsid w:val="00E76796"/>
    <w:rsid w:val="00E77335"/>
    <w:rsid w:val="00E774CD"/>
    <w:rsid w:val="00E77984"/>
    <w:rsid w:val="00E80180"/>
    <w:rsid w:val="00E8090A"/>
    <w:rsid w:val="00E81C3B"/>
    <w:rsid w:val="00E81E1F"/>
    <w:rsid w:val="00E8200F"/>
    <w:rsid w:val="00E82D69"/>
    <w:rsid w:val="00E83246"/>
    <w:rsid w:val="00E836BF"/>
    <w:rsid w:val="00E839A9"/>
    <w:rsid w:val="00E83E99"/>
    <w:rsid w:val="00E84101"/>
    <w:rsid w:val="00E84970"/>
    <w:rsid w:val="00E85053"/>
    <w:rsid w:val="00E860DB"/>
    <w:rsid w:val="00E86361"/>
    <w:rsid w:val="00E86604"/>
    <w:rsid w:val="00E868DA"/>
    <w:rsid w:val="00E86C04"/>
    <w:rsid w:val="00E86C83"/>
    <w:rsid w:val="00E878A4"/>
    <w:rsid w:val="00E90788"/>
    <w:rsid w:val="00E90A26"/>
    <w:rsid w:val="00E90EB8"/>
    <w:rsid w:val="00E90FC9"/>
    <w:rsid w:val="00E9169A"/>
    <w:rsid w:val="00E91769"/>
    <w:rsid w:val="00E91A44"/>
    <w:rsid w:val="00E926B1"/>
    <w:rsid w:val="00E931CE"/>
    <w:rsid w:val="00E9343A"/>
    <w:rsid w:val="00E9378E"/>
    <w:rsid w:val="00E93909"/>
    <w:rsid w:val="00E93AE0"/>
    <w:rsid w:val="00E942A8"/>
    <w:rsid w:val="00E9466F"/>
    <w:rsid w:val="00E956A6"/>
    <w:rsid w:val="00E95EF9"/>
    <w:rsid w:val="00E96046"/>
    <w:rsid w:val="00E96515"/>
    <w:rsid w:val="00E96735"/>
    <w:rsid w:val="00E97C25"/>
    <w:rsid w:val="00E97D13"/>
    <w:rsid w:val="00E97DEF"/>
    <w:rsid w:val="00EA00A2"/>
    <w:rsid w:val="00EA0C68"/>
    <w:rsid w:val="00EA152C"/>
    <w:rsid w:val="00EA3028"/>
    <w:rsid w:val="00EA3065"/>
    <w:rsid w:val="00EA357B"/>
    <w:rsid w:val="00EA3AE2"/>
    <w:rsid w:val="00EA3C16"/>
    <w:rsid w:val="00EA4AEE"/>
    <w:rsid w:val="00EA59D1"/>
    <w:rsid w:val="00EA5ABB"/>
    <w:rsid w:val="00EA5C9B"/>
    <w:rsid w:val="00EA682A"/>
    <w:rsid w:val="00EA6B7C"/>
    <w:rsid w:val="00EA781F"/>
    <w:rsid w:val="00EA7BE0"/>
    <w:rsid w:val="00EA7E13"/>
    <w:rsid w:val="00EB0339"/>
    <w:rsid w:val="00EB041A"/>
    <w:rsid w:val="00EB086B"/>
    <w:rsid w:val="00EB0F76"/>
    <w:rsid w:val="00EB1980"/>
    <w:rsid w:val="00EB1C91"/>
    <w:rsid w:val="00EB1CE5"/>
    <w:rsid w:val="00EB1CF6"/>
    <w:rsid w:val="00EB3283"/>
    <w:rsid w:val="00EB3B30"/>
    <w:rsid w:val="00EB3BAF"/>
    <w:rsid w:val="00EB4236"/>
    <w:rsid w:val="00EB563D"/>
    <w:rsid w:val="00EB5A3F"/>
    <w:rsid w:val="00EB61E0"/>
    <w:rsid w:val="00EB74A4"/>
    <w:rsid w:val="00EB7F5D"/>
    <w:rsid w:val="00EC0259"/>
    <w:rsid w:val="00EC04E4"/>
    <w:rsid w:val="00EC0DCE"/>
    <w:rsid w:val="00EC15F8"/>
    <w:rsid w:val="00EC1CE9"/>
    <w:rsid w:val="00EC3108"/>
    <w:rsid w:val="00EC3A88"/>
    <w:rsid w:val="00EC4790"/>
    <w:rsid w:val="00EC51F6"/>
    <w:rsid w:val="00EC5C30"/>
    <w:rsid w:val="00EC5D6C"/>
    <w:rsid w:val="00ED03EF"/>
    <w:rsid w:val="00ED0410"/>
    <w:rsid w:val="00ED0646"/>
    <w:rsid w:val="00ED0D88"/>
    <w:rsid w:val="00ED171B"/>
    <w:rsid w:val="00ED18F9"/>
    <w:rsid w:val="00ED1A01"/>
    <w:rsid w:val="00ED2197"/>
    <w:rsid w:val="00ED38EF"/>
    <w:rsid w:val="00ED3DF9"/>
    <w:rsid w:val="00ED47AF"/>
    <w:rsid w:val="00ED47CE"/>
    <w:rsid w:val="00ED48F5"/>
    <w:rsid w:val="00ED5438"/>
    <w:rsid w:val="00ED5C49"/>
    <w:rsid w:val="00ED6076"/>
    <w:rsid w:val="00ED66D8"/>
    <w:rsid w:val="00ED7B6C"/>
    <w:rsid w:val="00ED7D19"/>
    <w:rsid w:val="00EE01F9"/>
    <w:rsid w:val="00EE0758"/>
    <w:rsid w:val="00EE0F63"/>
    <w:rsid w:val="00EE14BA"/>
    <w:rsid w:val="00EE156F"/>
    <w:rsid w:val="00EE15DA"/>
    <w:rsid w:val="00EE18C8"/>
    <w:rsid w:val="00EE19D4"/>
    <w:rsid w:val="00EE31AF"/>
    <w:rsid w:val="00EE33BB"/>
    <w:rsid w:val="00EE3668"/>
    <w:rsid w:val="00EE3B2D"/>
    <w:rsid w:val="00EE3CB5"/>
    <w:rsid w:val="00EE3E78"/>
    <w:rsid w:val="00EE3EA9"/>
    <w:rsid w:val="00EE46B8"/>
    <w:rsid w:val="00EE4BE6"/>
    <w:rsid w:val="00EE52FC"/>
    <w:rsid w:val="00EE59C6"/>
    <w:rsid w:val="00EE5A03"/>
    <w:rsid w:val="00EE70BE"/>
    <w:rsid w:val="00EE7964"/>
    <w:rsid w:val="00EF00AA"/>
    <w:rsid w:val="00EF0F1E"/>
    <w:rsid w:val="00EF103D"/>
    <w:rsid w:val="00EF19A3"/>
    <w:rsid w:val="00EF1F5A"/>
    <w:rsid w:val="00EF242C"/>
    <w:rsid w:val="00EF2B34"/>
    <w:rsid w:val="00EF3978"/>
    <w:rsid w:val="00EF3A62"/>
    <w:rsid w:val="00EF472B"/>
    <w:rsid w:val="00EF58F3"/>
    <w:rsid w:val="00EF5E53"/>
    <w:rsid w:val="00EF645E"/>
    <w:rsid w:val="00EF66EC"/>
    <w:rsid w:val="00EF67EC"/>
    <w:rsid w:val="00EF7C40"/>
    <w:rsid w:val="00F007A2"/>
    <w:rsid w:val="00F01025"/>
    <w:rsid w:val="00F01F49"/>
    <w:rsid w:val="00F0200A"/>
    <w:rsid w:val="00F02B0A"/>
    <w:rsid w:val="00F02B3F"/>
    <w:rsid w:val="00F03ED5"/>
    <w:rsid w:val="00F04227"/>
    <w:rsid w:val="00F0434B"/>
    <w:rsid w:val="00F04811"/>
    <w:rsid w:val="00F0488C"/>
    <w:rsid w:val="00F04FA9"/>
    <w:rsid w:val="00F056D2"/>
    <w:rsid w:val="00F057AB"/>
    <w:rsid w:val="00F06B2F"/>
    <w:rsid w:val="00F06F4A"/>
    <w:rsid w:val="00F07A2F"/>
    <w:rsid w:val="00F10454"/>
    <w:rsid w:val="00F10BC7"/>
    <w:rsid w:val="00F111AC"/>
    <w:rsid w:val="00F11A1C"/>
    <w:rsid w:val="00F11CF4"/>
    <w:rsid w:val="00F11F1D"/>
    <w:rsid w:val="00F11FB6"/>
    <w:rsid w:val="00F1224F"/>
    <w:rsid w:val="00F12B9A"/>
    <w:rsid w:val="00F13E2C"/>
    <w:rsid w:val="00F1491D"/>
    <w:rsid w:val="00F14C04"/>
    <w:rsid w:val="00F15118"/>
    <w:rsid w:val="00F15524"/>
    <w:rsid w:val="00F15BEF"/>
    <w:rsid w:val="00F161B0"/>
    <w:rsid w:val="00F16E5D"/>
    <w:rsid w:val="00F17053"/>
    <w:rsid w:val="00F20947"/>
    <w:rsid w:val="00F20C3E"/>
    <w:rsid w:val="00F21717"/>
    <w:rsid w:val="00F22085"/>
    <w:rsid w:val="00F2270F"/>
    <w:rsid w:val="00F2286E"/>
    <w:rsid w:val="00F22E88"/>
    <w:rsid w:val="00F22E95"/>
    <w:rsid w:val="00F2363E"/>
    <w:rsid w:val="00F23A13"/>
    <w:rsid w:val="00F23B29"/>
    <w:rsid w:val="00F24712"/>
    <w:rsid w:val="00F2475D"/>
    <w:rsid w:val="00F24AA0"/>
    <w:rsid w:val="00F24FAA"/>
    <w:rsid w:val="00F2570D"/>
    <w:rsid w:val="00F25F70"/>
    <w:rsid w:val="00F26446"/>
    <w:rsid w:val="00F26A1E"/>
    <w:rsid w:val="00F279B9"/>
    <w:rsid w:val="00F30D8A"/>
    <w:rsid w:val="00F30DDC"/>
    <w:rsid w:val="00F3116D"/>
    <w:rsid w:val="00F31444"/>
    <w:rsid w:val="00F326AB"/>
    <w:rsid w:val="00F3364D"/>
    <w:rsid w:val="00F34BCA"/>
    <w:rsid w:val="00F34E25"/>
    <w:rsid w:val="00F35998"/>
    <w:rsid w:val="00F35B76"/>
    <w:rsid w:val="00F36022"/>
    <w:rsid w:val="00F3614B"/>
    <w:rsid w:val="00F36C53"/>
    <w:rsid w:val="00F37371"/>
    <w:rsid w:val="00F37C46"/>
    <w:rsid w:val="00F37C53"/>
    <w:rsid w:val="00F40065"/>
    <w:rsid w:val="00F4024A"/>
    <w:rsid w:val="00F408FA"/>
    <w:rsid w:val="00F40DE5"/>
    <w:rsid w:val="00F4122C"/>
    <w:rsid w:val="00F413C7"/>
    <w:rsid w:val="00F4171E"/>
    <w:rsid w:val="00F421F8"/>
    <w:rsid w:val="00F42349"/>
    <w:rsid w:val="00F4270C"/>
    <w:rsid w:val="00F42776"/>
    <w:rsid w:val="00F428B6"/>
    <w:rsid w:val="00F42971"/>
    <w:rsid w:val="00F43141"/>
    <w:rsid w:val="00F436E5"/>
    <w:rsid w:val="00F437B7"/>
    <w:rsid w:val="00F43EEB"/>
    <w:rsid w:val="00F449B4"/>
    <w:rsid w:val="00F451B7"/>
    <w:rsid w:val="00F4592E"/>
    <w:rsid w:val="00F46103"/>
    <w:rsid w:val="00F463E6"/>
    <w:rsid w:val="00F46606"/>
    <w:rsid w:val="00F46AE0"/>
    <w:rsid w:val="00F4728B"/>
    <w:rsid w:val="00F478FF"/>
    <w:rsid w:val="00F502E5"/>
    <w:rsid w:val="00F50352"/>
    <w:rsid w:val="00F504EA"/>
    <w:rsid w:val="00F50DD5"/>
    <w:rsid w:val="00F50F6D"/>
    <w:rsid w:val="00F52B42"/>
    <w:rsid w:val="00F52FA3"/>
    <w:rsid w:val="00F531AC"/>
    <w:rsid w:val="00F532C7"/>
    <w:rsid w:val="00F536F9"/>
    <w:rsid w:val="00F53BD4"/>
    <w:rsid w:val="00F53FD3"/>
    <w:rsid w:val="00F540E4"/>
    <w:rsid w:val="00F546FB"/>
    <w:rsid w:val="00F550CF"/>
    <w:rsid w:val="00F550E1"/>
    <w:rsid w:val="00F553C2"/>
    <w:rsid w:val="00F55CC4"/>
    <w:rsid w:val="00F5744D"/>
    <w:rsid w:val="00F578EF"/>
    <w:rsid w:val="00F602B9"/>
    <w:rsid w:val="00F6053C"/>
    <w:rsid w:val="00F60D2B"/>
    <w:rsid w:val="00F61A55"/>
    <w:rsid w:val="00F61CC7"/>
    <w:rsid w:val="00F624DF"/>
    <w:rsid w:val="00F629CC"/>
    <w:rsid w:val="00F62ADC"/>
    <w:rsid w:val="00F62B28"/>
    <w:rsid w:val="00F63783"/>
    <w:rsid w:val="00F638C8"/>
    <w:rsid w:val="00F63B01"/>
    <w:rsid w:val="00F63DDE"/>
    <w:rsid w:val="00F63FB7"/>
    <w:rsid w:val="00F647F4"/>
    <w:rsid w:val="00F64CCD"/>
    <w:rsid w:val="00F65CF4"/>
    <w:rsid w:val="00F6693A"/>
    <w:rsid w:val="00F70DEF"/>
    <w:rsid w:val="00F70F6E"/>
    <w:rsid w:val="00F70F76"/>
    <w:rsid w:val="00F71114"/>
    <w:rsid w:val="00F728A1"/>
    <w:rsid w:val="00F72D92"/>
    <w:rsid w:val="00F72EE1"/>
    <w:rsid w:val="00F73825"/>
    <w:rsid w:val="00F73A0C"/>
    <w:rsid w:val="00F75ABF"/>
    <w:rsid w:val="00F772E1"/>
    <w:rsid w:val="00F77436"/>
    <w:rsid w:val="00F77B28"/>
    <w:rsid w:val="00F801C6"/>
    <w:rsid w:val="00F80F7B"/>
    <w:rsid w:val="00F81435"/>
    <w:rsid w:val="00F81CB0"/>
    <w:rsid w:val="00F825BE"/>
    <w:rsid w:val="00F831FB"/>
    <w:rsid w:val="00F83C23"/>
    <w:rsid w:val="00F84AD0"/>
    <w:rsid w:val="00F850DF"/>
    <w:rsid w:val="00F85E63"/>
    <w:rsid w:val="00F86068"/>
    <w:rsid w:val="00F870B4"/>
    <w:rsid w:val="00F875E0"/>
    <w:rsid w:val="00F8791C"/>
    <w:rsid w:val="00F87C49"/>
    <w:rsid w:val="00F90AD7"/>
    <w:rsid w:val="00F917D2"/>
    <w:rsid w:val="00F91859"/>
    <w:rsid w:val="00F91B9A"/>
    <w:rsid w:val="00F91D4D"/>
    <w:rsid w:val="00F91F3C"/>
    <w:rsid w:val="00F922A4"/>
    <w:rsid w:val="00F92525"/>
    <w:rsid w:val="00F92858"/>
    <w:rsid w:val="00F93C73"/>
    <w:rsid w:val="00F94952"/>
    <w:rsid w:val="00F95342"/>
    <w:rsid w:val="00F96331"/>
    <w:rsid w:val="00F96B12"/>
    <w:rsid w:val="00F96C06"/>
    <w:rsid w:val="00F97022"/>
    <w:rsid w:val="00F974DF"/>
    <w:rsid w:val="00F9787B"/>
    <w:rsid w:val="00FA34C6"/>
    <w:rsid w:val="00FA3780"/>
    <w:rsid w:val="00FA3F57"/>
    <w:rsid w:val="00FA409B"/>
    <w:rsid w:val="00FA4137"/>
    <w:rsid w:val="00FA457D"/>
    <w:rsid w:val="00FA4A85"/>
    <w:rsid w:val="00FA4C51"/>
    <w:rsid w:val="00FA4D1E"/>
    <w:rsid w:val="00FA564F"/>
    <w:rsid w:val="00FA5FDF"/>
    <w:rsid w:val="00FA6380"/>
    <w:rsid w:val="00FA6A1F"/>
    <w:rsid w:val="00FA7991"/>
    <w:rsid w:val="00FB0324"/>
    <w:rsid w:val="00FB1007"/>
    <w:rsid w:val="00FB1379"/>
    <w:rsid w:val="00FB259D"/>
    <w:rsid w:val="00FB2B28"/>
    <w:rsid w:val="00FB3236"/>
    <w:rsid w:val="00FB35B9"/>
    <w:rsid w:val="00FB3A1F"/>
    <w:rsid w:val="00FB3A68"/>
    <w:rsid w:val="00FB45E6"/>
    <w:rsid w:val="00FB4E14"/>
    <w:rsid w:val="00FB57C8"/>
    <w:rsid w:val="00FB5C16"/>
    <w:rsid w:val="00FB7645"/>
    <w:rsid w:val="00FB7E0A"/>
    <w:rsid w:val="00FC005F"/>
    <w:rsid w:val="00FC075C"/>
    <w:rsid w:val="00FC0E5F"/>
    <w:rsid w:val="00FC11A6"/>
    <w:rsid w:val="00FC15DA"/>
    <w:rsid w:val="00FC2DA5"/>
    <w:rsid w:val="00FC3396"/>
    <w:rsid w:val="00FC3657"/>
    <w:rsid w:val="00FC3922"/>
    <w:rsid w:val="00FC3EA3"/>
    <w:rsid w:val="00FC47B4"/>
    <w:rsid w:val="00FC56DE"/>
    <w:rsid w:val="00FC58DB"/>
    <w:rsid w:val="00FC692D"/>
    <w:rsid w:val="00FC7CAF"/>
    <w:rsid w:val="00FD0158"/>
    <w:rsid w:val="00FD0F83"/>
    <w:rsid w:val="00FD141D"/>
    <w:rsid w:val="00FD1FA7"/>
    <w:rsid w:val="00FD27A6"/>
    <w:rsid w:val="00FD2941"/>
    <w:rsid w:val="00FD2946"/>
    <w:rsid w:val="00FD3421"/>
    <w:rsid w:val="00FD364E"/>
    <w:rsid w:val="00FD3859"/>
    <w:rsid w:val="00FD3A0E"/>
    <w:rsid w:val="00FD457F"/>
    <w:rsid w:val="00FD4884"/>
    <w:rsid w:val="00FD4C55"/>
    <w:rsid w:val="00FD5138"/>
    <w:rsid w:val="00FD61A3"/>
    <w:rsid w:val="00FD72B0"/>
    <w:rsid w:val="00FD73C6"/>
    <w:rsid w:val="00FD73EC"/>
    <w:rsid w:val="00FD759F"/>
    <w:rsid w:val="00FD75DC"/>
    <w:rsid w:val="00FE026D"/>
    <w:rsid w:val="00FE05E8"/>
    <w:rsid w:val="00FE0EDF"/>
    <w:rsid w:val="00FE14FD"/>
    <w:rsid w:val="00FE2310"/>
    <w:rsid w:val="00FE2398"/>
    <w:rsid w:val="00FE2612"/>
    <w:rsid w:val="00FE2B14"/>
    <w:rsid w:val="00FE2F78"/>
    <w:rsid w:val="00FE47AD"/>
    <w:rsid w:val="00FE4D2D"/>
    <w:rsid w:val="00FE50A6"/>
    <w:rsid w:val="00FE639D"/>
    <w:rsid w:val="00FE6728"/>
    <w:rsid w:val="00FE7501"/>
    <w:rsid w:val="00FE7571"/>
    <w:rsid w:val="00FE7C6F"/>
    <w:rsid w:val="00FF05D5"/>
    <w:rsid w:val="00FF074A"/>
    <w:rsid w:val="00FF0A31"/>
    <w:rsid w:val="00FF1633"/>
    <w:rsid w:val="00FF2B86"/>
    <w:rsid w:val="00FF3BD8"/>
    <w:rsid w:val="00FF3BF1"/>
    <w:rsid w:val="00FF4878"/>
    <w:rsid w:val="00FF5580"/>
    <w:rsid w:val="00FF565B"/>
    <w:rsid w:val="00FF5881"/>
    <w:rsid w:val="00FF6474"/>
    <w:rsid w:val="00FF73AD"/>
    <w:rsid w:val="00FF77A9"/>
    <w:rsid w:val="00FF78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o:colormru v:ext="edit" colors="#ecf4dd,#eaecee,#fcec0a,#fcecdb,#f1daf5"/>
    </o:shapedefaults>
    <o:shapelayout v:ext="edit">
      <o:idmap v:ext="edit" data="1"/>
    </o:shapelayout>
  </w:shapeDefaults>
  <w:decimalSymbol w:val=","/>
  <w:listSeparator w:val=";"/>
  <w14:docId w14:val="2AEB640B"/>
  <w15:docId w15:val="{4905C160-BD5C-4117-8CEB-519BC20C71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/>
    <w:lsdException w:name="Colorful Grid Accent 1" w:uiPriority="29"/>
    <w:lsdException w:name="Light Shading Accent 2" w:uiPriority="30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EB1C91"/>
    <w:pPr>
      <w:spacing w:line="288" w:lineRule="auto"/>
    </w:pPr>
    <w:rPr>
      <w:rFonts w:ascii="Arial" w:eastAsia="Times New Roman" w:hAnsi="Arial"/>
      <w:szCs w:val="24"/>
    </w:rPr>
  </w:style>
  <w:style w:type="paragraph" w:styleId="Nadpis1">
    <w:name w:val="heading 1"/>
    <w:next w:val="Normln"/>
    <w:link w:val="Nadpis1Char"/>
    <w:uiPriority w:val="9"/>
    <w:qFormat/>
    <w:rsid w:val="007F0845"/>
    <w:pPr>
      <w:keepNext/>
      <w:keepLines/>
      <w:spacing w:after="200" w:line="288" w:lineRule="auto"/>
      <w:outlineLvl w:val="0"/>
    </w:pPr>
    <w:rPr>
      <w:rFonts w:ascii="Arial" w:eastAsia="MS Gothic" w:hAnsi="Arial"/>
      <w:b/>
      <w:bCs/>
      <w:color w:val="009BB4"/>
      <w:sz w:val="32"/>
      <w:szCs w:val="28"/>
    </w:rPr>
  </w:style>
  <w:style w:type="paragraph" w:styleId="Nadpis2">
    <w:name w:val="heading 2"/>
    <w:next w:val="Normln"/>
    <w:link w:val="Nadpis2Char"/>
    <w:uiPriority w:val="9"/>
    <w:qFormat/>
    <w:rsid w:val="007F0845"/>
    <w:pPr>
      <w:keepNext/>
      <w:keepLines/>
      <w:spacing w:line="288" w:lineRule="auto"/>
      <w:outlineLvl w:val="1"/>
    </w:pPr>
    <w:rPr>
      <w:rFonts w:ascii="Arial" w:eastAsia="MS Gothic" w:hAnsi="Arial"/>
      <w:b/>
      <w:bCs/>
      <w:color w:val="009BB4"/>
      <w:sz w:val="28"/>
      <w:szCs w:val="26"/>
    </w:rPr>
  </w:style>
  <w:style w:type="paragraph" w:styleId="Nadpis3">
    <w:name w:val="heading 3"/>
    <w:next w:val="Normln"/>
    <w:link w:val="Nadpis3Char"/>
    <w:uiPriority w:val="9"/>
    <w:qFormat/>
    <w:rsid w:val="007F0845"/>
    <w:pPr>
      <w:keepNext/>
      <w:keepLines/>
      <w:spacing w:line="288" w:lineRule="auto"/>
      <w:outlineLvl w:val="2"/>
    </w:pPr>
    <w:rPr>
      <w:rFonts w:ascii="Arial" w:eastAsia="MS Gothic" w:hAnsi="Arial"/>
      <w:b/>
      <w:bCs/>
      <w:color w:val="009BB4"/>
      <w:sz w:val="24"/>
      <w:szCs w:val="24"/>
    </w:rPr>
  </w:style>
  <w:style w:type="paragraph" w:styleId="Nadpis4">
    <w:name w:val="heading 4"/>
    <w:next w:val="Normln"/>
    <w:link w:val="Nadpis4Char"/>
    <w:uiPriority w:val="9"/>
    <w:qFormat/>
    <w:rsid w:val="005108C0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uiPriority w:val="99"/>
    <w:rsid w:val="00E71A58"/>
    <w:rPr>
      <w:color w:val="0000FF"/>
      <w:u w:val="single"/>
    </w:rPr>
  </w:style>
  <w:style w:type="paragraph" w:customStyle="1" w:styleId="Styl1">
    <w:name w:val="Styl1"/>
    <w:rsid w:val="00E71A58"/>
    <w:pPr>
      <w:suppressAutoHyphens/>
      <w:autoSpaceDE w:val="0"/>
    </w:pPr>
    <w:rPr>
      <w:rFonts w:ascii="Arial" w:eastAsia="Times New Roman" w:hAnsi="Arial"/>
      <w:sz w:val="24"/>
      <w:szCs w:val="24"/>
      <w:lang w:eastAsia="ar-SA"/>
    </w:rPr>
  </w:style>
  <w:style w:type="paragraph" w:styleId="Zhlav">
    <w:name w:val="header"/>
    <w:basedOn w:val="Normln"/>
    <w:link w:val="ZhlavChar"/>
    <w:uiPriority w:val="99"/>
    <w:unhideWhenUsed/>
    <w:rsid w:val="00E71A58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E71A58"/>
  </w:style>
  <w:style w:type="paragraph" w:styleId="Zpat">
    <w:name w:val="footer"/>
    <w:basedOn w:val="Normln"/>
    <w:link w:val="ZpatChar"/>
    <w:uiPriority w:val="99"/>
    <w:unhideWhenUsed/>
    <w:qFormat/>
    <w:rsid w:val="00E71A58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E71A58"/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rPr>
      <w:rFonts w:ascii="Tahoma" w:eastAsia="Calibri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basedOn w:val="Normln"/>
    <w:link w:val="ZkladnodstavecChar"/>
    <w:uiPriority w:val="99"/>
    <w:rsid w:val="001714F2"/>
    <w:pPr>
      <w:autoSpaceDE w:val="0"/>
      <w:autoSpaceDN w:val="0"/>
      <w:adjustRightInd w:val="0"/>
      <w:textAlignment w:val="center"/>
    </w:pPr>
    <w:rPr>
      <w:rFonts w:ascii="Minion Pro" w:eastAsia="Calibri" w:hAnsi="Minion Pro"/>
      <w:color w:val="000000"/>
      <w:sz w:val="24"/>
    </w:rPr>
  </w:style>
  <w:style w:type="paragraph" w:styleId="Nzev">
    <w:name w:val="Title"/>
    <w:next w:val="Normln"/>
    <w:link w:val="NzevChar"/>
    <w:uiPriority w:val="10"/>
    <w:qFormat/>
    <w:rsid w:val="007C3F6A"/>
    <w:pPr>
      <w:spacing w:line="288" w:lineRule="auto"/>
      <w:contextualSpacing/>
      <w:outlineLvl w:val="0"/>
    </w:pPr>
    <w:rPr>
      <w:rFonts w:ascii="Arial" w:eastAsia="MS Gothic" w:hAnsi="Arial"/>
      <w:b/>
      <w:caps/>
      <w:color w:val="009BB4"/>
      <w:sz w:val="56"/>
      <w:szCs w:val="52"/>
    </w:rPr>
  </w:style>
  <w:style w:type="character" w:customStyle="1" w:styleId="NzevChar">
    <w:name w:val="Název Char"/>
    <w:link w:val="Nzev"/>
    <w:uiPriority w:val="10"/>
    <w:rsid w:val="007C3F6A"/>
    <w:rPr>
      <w:rFonts w:ascii="Arial" w:eastAsia="MS Gothic" w:hAnsi="Arial"/>
      <w:b/>
      <w:caps/>
      <w:color w:val="009BB4"/>
      <w:sz w:val="56"/>
      <w:szCs w:val="52"/>
      <w:lang w:bidi="ar-SA"/>
    </w:rPr>
  </w:style>
  <w:style w:type="paragraph" w:styleId="Podnadpis">
    <w:name w:val="Subtitle"/>
    <w:next w:val="Normln"/>
    <w:link w:val="PodnadpisChar"/>
    <w:uiPriority w:val="11"/>
    <w:qFormat/>
    <w:rsid w:val="007F0845"/>
    <w:pPr>
      <w:numPr>
        <w:ilvl w:val="1"/>
      </w:numPr>
      <w:spacing w:line="288" w:lineRule="auto"/>
    </w:pPr>
    <w:rPr>
      <w:rFonts w:ascii="Arial" w:eastAsia="MS Gothic" w:hAnsi="Arial"/>
      <w:b/>
      <w:iCs/>
      <w:color w:val="009BB4"/>
      <w:sz w:val="28"/>
      <w:szCs w:val="24"/>
    </w:rPr>
  </w:style>
  <w:style w:type="character" w:customStyle="1" w:styleId="PodnadpisChar">
    <w:name w:val="Podnadpis Char"/>
    <w:link w:val="Podnadpis"/>
    <w:uiPriority w:val="11"/>
    <w:rsid w:val="007F0845"/>
    <w:rPr>
      <w:rFonts w:ascii="Arial" w:eastAsia="MS Gothic" w:hAnsi="Arial"/>
      <w:b/>
      <w:iCs/>
      <w:color w:val="009BB4"/>
      <w:sz w:val="28"/>
      <w:szCs w:val="24"/>
      <w:lang w:bidi="ar-SA"/>
    </w:rPr>
  </w:style>
  <w:style w:type="character" w:customStyle="1" w:styleId="Nadpis1Char">
    <w:name w:val="Nadpis 1 Char"/>
    <w:link w:val="Nadpis1"/>
    <w:uiPriority w:val="9"/>
    <w:rsid w:val="007F0845"/>
    <w:rPr>
      <w:rFonts w:ascii="Arial" w:eastAsia="MS Gothic" w:hAnsi="Arial"/>
      <w:b/>
      <w:bCs/>
      <w:color w:val="009BB4"/>
      <w:sz w:val="32"/>
      <w:szCs w:val="28"/>
      <w:lang w:bidi="ar-SA"/>
    </w:rPr>
  </w:style>
  <w:style w:type="character" w:customStyle="1" w:styleId="Nadpis2Char">
    <w:name w:val="Nadpis 2 Char"/>
    <w:link w:val="Nadpis2"/>
    <w:uiPriority w:val="9"/>
    <w:rsid w:val="007F0845"/>
    <w:rPr>
      <w:rFonts w:ascii="Arial" w:eastAsia="MS Gothic" w:hAnsi="Arial"/>
      <w:b/>
      <w:bCs/>
      <w:color w:val="009BB4"/>
      <w:sz w:val="28"/>
      <w:szCs w:val="26"/>
      <w:lang w:bidi="ar-SA"/>
    </w:rPr>
  </w:style>
  <w:style w:type="character" w:customStyle="1" w:styleId="Nadpis3Char">
    <w:name w:val="Nadpis 3 Char"/>
    <w:link w:val="Nadpis3"/>
    <w:uiPriority w:val="9"/>
    <w:rsid w:val="007F0845"/>
    <w:rPr>
      <w:rFonts w:ascii="Arial" w:eastAsia="MS Gothic" w:hAnsi="Arial"/>
      <w:b/>
      <w:bCs/>
      <w:color w:val="009BB4"/>
      <w:sz w:val="24"/>
      <w:szCs w:val="24"/>
      <w:lang w:bidi="ar-SA"/>
    </w:rPr>
  </w:style>
  <w:style w:type="character" w:customStyle="1" w:styleId="Nadpis4Char">
    <w:name w:val="Nadpis 4 Char"/>
    <w:link w:val="Nadpis4"/>
    <w:uiPriority w:val="9"/>
    <w:rsid w:val="005108C0"/>
    <w:rPr>
      <w:rFonts w:ascii="Arial" w:eastAsia="MS Gothic" w:hAnsi="Arial"/>
      <w:b/>
      <w:bCs/>
      <w:iCs/>
      <w:szCs w:val="24"/>
      <w:lang w:bidi="ar-SA"/>
    </w:rPr>
  </w:style>
  <w:style w:type="paragraph" w:customStyle="1" w:styleId="Stednmka21">
    <w:name w:val="Střední mřížka 21"/>
    <w:aliases w:val="Bez zarážky"/>
    <w:link w:val="Stednmka2Char"/>
    <w:uiPriority w:val="1"/>
    <w:qFormat/>
    <w:rsid w:val="008D2A16"/>
    <w:pPr>
      <w:spacing w:line="288" w:lineRule="auto"/>
    </w:pPr>
    <w:rPr>
      <w:rFonts w:ascii="Arial" w:eastAsia="Times New Roman" w:hAnsi="Arial"/>
      <w:szCs w:val="24"/>
    </w:rPr>
  </w:style>
  <w:style w:type="paragraph" w:customStyle="1" w:styleId="Box1">
    <w:name w:val="Box 1"/>
    <w:basedOn w:val="Zkladnodstavec"/>
    <w:next w:val="Normln"/>
    <w:qFormat/>
    <w:rsid w:val="007F0845"/>
    <w:pPr>
      <w:ind w:left="1134"/>
    </w:pPr>
    <w:rPr>
      <w:rFonts w:ascii="Arial" w:hAnsi="Arial" w:cs="Arial"/>
      <w:color w:val="009BB4"/>
      <w:sz w:val="20"/>
      <w:szCs w:val="20"/>
    </w:rPr>
  </w:style>
  <w:style w:type="paragraph" w:customStyle="1" w:styleId="Box2">
    <w:name w:val="Box 2"/>
    <w:basedOn w:val="Zkladnodstavec"/>
    <w:link w:val="Box2Char"/>
    <w:rsid w:val="00010702"/>
    <w:pPr>
      <w:shd w:val="clear" w:color="auto" w:fill="CCC0D9"/>
      <w:tabs>
        <w:tab w:val="left" w:pos="9638"/>
      </w:tabs>
      <w:ind w:left="1134" w:right="-1"/>
      <w:jc w:val="both"/>
    </w:pPr>
    <w:rPr>
      <w:rFonts w:ascii="Arial" w:hAnsi="Arial"/>
      <w:b/>
    </w:rPr>
  </w:style>
  <w:style w:type="paragraph" w:customStyle="1" w:styleId="Box">
    <w:name w:val="Box"/>
    <w:next w:val="Normln"/>
    <w:link w:val="BoxChar"/>
    <w:qFormat/>
    <w:rsid w:val="007C3F6A"/>
    <w:pPr>
      <w:shd w:val="clear" w:color="auto" w:fill="D9F0F4"/>
      <w:spacing w:line="288" w:lineRule="auto"/>
      <w:ind w:left="1134"/>
    </w:pPr>
    <w:rPr>
      <w:rFonts w:ascii="Arial" w:hAnsi="Arial"/>
      <w:color w:val="000000"/>
      <w:sz w:val="24"/>
      <w:szCs w:val="24"/>
    </w:rPr>
  </w:style>
  <w:style w:type="paragraph" w:customStyle="1" w:styleId="TL-Kontakty">
    <w:name w:val="TL - Kontakty"/>
    <w:next w:val="Normln"/>
    <w:link w:val="TL-KontaktyChar"/>
    <w:qFormat/>
    <w:rsid w:val="004F06F5"/>
    <w:pPr>
      <w:spacing w:after="80"/>
    </w:pPr>
    <w:rPr>
      <w:rFonts w:ascii="Arial" w:eastAsia="Times New Roman" w:hAnsi="Arial"/>
      <w:b/>
      <w:caps/>
      <w:color w:val="BD1B21"/>
      <w:sz w:val="24"/>
      <w:szCs w:val="24"/>
    </w:rPr>
  </w:style>
  <w:style w:type="character" w:customStyle="1" w:styleId="ZkladnodstavecChar">
    <w:name w:val="[Základní odstavec] Char"/>
    <w:link w:val="Zkladnodstavec"/>
    <w:uiPriority w:val="99"/>
    <w:rsid w:val="006710C9"/>
    <w:rPr>
      <w:rFonts w:ascii="Minion Pro" w:hAnsi="Minion Pro" w:cs="Minion Pro"/>
      <w:color w:val="000000"/>
      <w:sz w:val="24"/>
      <w:szCs w:val="24"/>
    </w:rPr>
  </w:style>
  <w:style w:type="character" w:customStyle="1" w:styleId="Box2Char">
    <w:name w:val="Box 2 Char"/>
    <w:link w:val="Box2"/>
    <w:rsid w:val="006710C9"/>
    <w:rPr>
      <w:rFonts w:ascii="Arial" w:hAnsi="Arial" w:cs="Arial"/>
      <w:b/>
      <w:color w:val="000000"/>
      <w:sz w:val="24"/>
      <w:szCs w:val="24"/>
      <w:shd w:val="clear" w:color="auto" w:fill="CCC0D9"/>
    </w:rPr>
  </w:style>
  <w:style w:type="character" w:customStyle="1" w:styleId="BoxChar">
    <w:name w:val="Box Char"/>
    <w:link w:val="Box"/>
    <w:rsid w:val="007C3F6A"/>
    <w:rPr>
      <w:rFonts w:ascii="Arial" w:hAnsi="Arial"/>
      <w:color w:val="000000"/>
      <w:sz w:val="24"/>
      <w:szCs w:val="24"/>
      <w:shd w:val="clear" w:color="auto" w:fill="D9F0F4"/>
      <w:lang w:bidi="ar-SA"/>
    </w:rPr>
  </w:style>
  <w:style w:type="paragraph" w:customStyle="1" w:styleId="TL-Identifikace">
    <w:name w:val="TL - Identifikace"/>
    <w:next w:val="Normln"/>
    <w:link w:val="TL-IdentifikaceChar"/>
    <w:qFormat/>
    <w:rsid w:val="004F06F5"/>
    <w:pPr>
      <w:spacing w:after="200" w:line="288" w:lineRule="auto"/>
    </w:pPr>
    <w:rPr>
      <w:rFonts w:ascii="Arial" w:eastAsia="Times New Roman" w:hAnsi="Arial"/>
      <w:sz w:val="24"/>
      <w:szCs w:val="24"/>
    </w:rPr>
  </w:style>
  <w:style w:type="character" w:customStyle="1" w:styleId="TL-KontaktyChar">
    <w:name w:val="TL - Kontakty Char"/>
    <w:link w:val="TL-Kontakty"/>
    <w:rsid w:val="004F06F5"/>
    <w:rPr>
      <w:rFonts w:ascii="Arial" w:eastAsia="Times New Roman" w:hAnsi="Arial"/>
      <w:b/>
      <w:caps/>
      <w:color w:val="BD1B21"/>
      <w:sz w:val="24"/>
      <w:szCs w:val="24"/>
      <w:lang w:bidi="ar-SA"/>
    </w:rPr>
  </w:style>
  <w:style w:type="character" w:customStyle="1" w:styleId="TL-IdentifikaceChar">
    <w:name w:val="TL - Identifikace Char"/>
    <w:link w:val="TL-Identifikace"/>
    <w:rsid w:val="004F06F5"/>
    <w:rPr>
      <w:rFonts w:ascii="Arial" w:eastAsia="Times New Roman" w:hAnsi="Arial"/>
      <w:sz w:val="24"/>
      <w:szCs w:val="24"/>
      <w:lang w:bidi="ar-SA"/>
    </w:rPr>
  </w:style>
  <w:style w:type="paragraph" w:customStyle="1" w:styleId="3372873BB58A4DED866D2BE34882C06C">
    <w:name w:val="3372873BB58A4DED866D2BE34882C06C"/>
    <w:rsid w:val="00EE3E78"/>
    <w:pPr>
      <w:spacing w:after="200" w:line="276" w:lineRule="auto"/>
    </w:pPr>
    <w:rPr>
      <w:rFonts w:eastAsia="MS Mincho"/>
      <w:sz w:val="22"/>
      <w:szCs w:val="22"/>
    </w:rPr>
  </w:style>
  <w:style w:type="paragraph" w:customStyle="1" w:styleId="233E5CD5853943F4BD7E8C4B124C0E1D">
    <w:name w:val="233E5CD5853943F4BD7E8C4B124C0E1D"/>
    <w:rsid w:val="00EE3E78"/>
    <w:pPr>
      <w:spacing w:after="200" w:line="276" w:lineRule="auto"/>
    </w:pPr>
    <w:rPr>
      <w:rFonts w:eastAsia="MS Mincho"/>
      <w:sz w:val="22"/>
      <w:szCs w:val="22"/>
    </w:rPr>
  </w:style>
  <w:style w:type="paragraph" w:customStyle="1" w:styleId="D345FF3D873148C5AE3FBF3267827368">
    <w:name w:val="D345FF3D873148C5AE3FBF3267827368"/>
    <w:rsid w:val="00EE3E78"/>
    <w:pPr>
      <w:spacing w:after="200" w:line="276" w:lineRule="auto"/>
    </w:pPr>
    <w:rPr>
      <w:rFonts w:eastAsia="MS Mincho"/>
      <w:sz w:val="22"/>
      <w:szCs w:val="22"/>
    </w:rPr>
  </w:style>
  <w:style w:type="character" w:customStyle="1" w:styleId="Stednmka2Char">
    <w:name w:val="Střední mřížka 2 Char"/>
    <w:aliases w:val="Bez zarážky Char"/>
    <w:link w:val="Stednmka21"/>
    <w:uiPriority w:val="1"/>
    <w:rsid w:val="00EE3E78"/>
    <w:rPr>
      <w:rFonts w:ascii="Arial" w:eastAsia="Times New Roman" w:hAnsi="Arial"/>
      <w:szCs w:val="24"/>
      <w:lang w:bidi="ar-SA"/>
    </w:rPr>
  </w:style>
  <w:style w:type="paragraph" w:customStyle="1" w:styleId="TL-identifikace-sted">
    <w:name w:val="TL - identifikace - střed"/>
    <w:basedOn w:val="Normln"/>
    <w:link w:val="TL-identifikace-stedChar"/>
    <w:qFormat/>
    <w:rsid w:val="006C113F"/>
    <w:pPr>
      <w:spacing w:after="200"/>
    </w:pPr>
    <w:rPr>
      <w:sz w:val="24"/>
    </w:rPr>
  </w:style>
  <w:style w:type="paragraph" w:customStyle="1" w:styleId="TL-Identifikace-dole">
    <w:name w:val="TL - Identifikace - dole"/>
    <w:basedOn w:val="Normln"/>
    <w:link w:val="TL-Identifikace-doleChar"/>
    <w:qFormat/>
    <w:rsid w:val="006C113F"/>
    <w:pPr>
      <w:spacing w:after="200"/>
    </w:pPr>
    <w:rPr>
      <w:szCs w:val="20"/>
      <w:lang w:eastAsia="ar-SA"/>
    </w:rPr>
  </w:style>
  <w:style w:type="character" w:customStyle="1" w:styleId="TL-identifikace-stedChar">
    <w:name w:val="TL - identifikace - střed Char"/>
    <w:link w:val="TL-identifikace-sted"/>
    <w:rsid w:val="006C113F"/>
    <w:rPr>
      <w:rFonts w:ascii="Arial" w:eastAsia="Times New Roman" w:hAnsi="Arial"/>
      <w:sz w:val="24"/>
      <w:szCs w:val="24"/>
    </w:rPr>
  </w:style>
  <w:style w:type="character" w:customStyle="1" w:styleId="TL-Identifikace-doleChar">
    <w:name w:val="TL - Identifikace - dole Char"/>
    <w:link w:val="TL-Identifikace-dole"/>
    <w:rsid w:val="006C113F"/>
    <w:rPr>
      <w:rFonts w:ascii="Arial" w:eastAsia="Times New Roman" w:hAnsi="Arial" w:cs="Arial"/>
      <w:lang w:eastAsia="ar-SA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BC6AC1"/>
    <w:pPr>
      <w:spacing w:before="480" w:after="0" w:line="276" w:lineRule="auto"/>
      <w:outlineLvl w:val="9"/>
    </w:pPr>
    <w:rPr>
      <w:rFonts w:ascii="Cambria" w:eastAsia="Times New Roman" w:hAnsi="Cambria"/>
      <w:color w:val="365F91"/>
      <w:sz w:val="28"/>
    </w:rPr>
  </w:style>
  <w:style w:type="paragraph" w:styleId="Obsah1">
    <w:name w:val="toc 1"/>
    <w:basedOn w:val="Normln"/>
    <w:next w:val="Normln"/>
    <w:autoRedefine/>
    <w:uiPriority w:val="39"/>
    <w:unhideWhenUsed/>
    <w:rsid w:val="00BC6AC1"/>
  </w:style>
  <w:style w:type="paragraph" w:styleId="Obsah2">
    <w:name w:val="toc 2"/>
    <w:basedOn w:val="Normln"/>
    <w:next w:val="Normln"/>
    <w:autoRedefine/>
    <w:uiPriority w:val="39"/>
    <w:unhideWhenUsed/>
    <w:rsid w:val="00BC6AC1"/>
    <w:pPr>
      <w:ind w:left="200"/>
    </w:pPr>
  </w:style>
  <w:style w:type="paragraph" w:styleId="Obsah3">
    <w:name w:val="toc 3"/>
    <w:basedOn w:val="Normln"/>
    <w:next w:val="Normln"/>
    <w:autoRedefine/>
    <w:uiPriority w:val="39"/>
    <w:unhideWhenUsed/>
    <w:rsid w:val="00BC6AC1"/>
    <w:pPr>
      <w:ind w:left="400"/>
    </w:pPr>
  </w:style>
  <w:style w:type="paragraph" w:styleId="Odstavecseseznamem">
    <w:name w:val="List Paragraph"/>
    <w:basedOn w:val="Normln"/>
    <w:uiPriority w:val="34"/>
    <w:qFormat/>
    <w:rsid w:val="00ED48F5"/>
    <w:pPr>
      <w:spacing w:line="240" w:lineRule="auto"/>
      <w:ind w:left="720"/>
      <w:contextualSpacing/>
      <w:jc w:val="both"/>
    </w:p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ED48F5"/>
    <w:pPr>
      <w:spacing w:line="240" w:lineRule="auto"/>
      <w:jc w:val="both"/>
    </w:pPr>
    <w:rPr>
      <w:szCs w:val="20"/>
    </w:rPr>
  </w:style>
  <w:style w:type="character" w:customStyle="1" w:styleId="TextpoznpodarouChar">
    <w:name w:val="Text pozn. pod čarou Char"/>
    <w:link w:val="Textpoznpodarou"/>
    <w:uiPriority w:val="99"/>
    <w:semiHidden/>
    <w:rsid w:val="00ED48F5"/>
    <w:rPr>
      <w:rFonts w:ascii="Arial" w:eastAsia="Times New Roman" w:hAnsi="Arial"/>
    </w:rPr>
  </w:style>
  <w:style w:type="character" w:styleId="Znakapoznpodarou">
    <w:name w:val="footnote reference"/>
    <w:uiPriority w:val="99"/>
    <w:semiHidden/>
    <w:unhideWhenUsed/>
    <w:rsid w:val="00ED48F5"/>
    <w:rPr>
      <w:vertAlign w:val="superscript"/>
    </w:rPr>
  </w:style>
  <w:style w:type="table" w:styleId="Mkatabulky">
    <w:name w:val="Table Grid"/>
    <w:basedOn w:val="Normlntabulka"/>
    <w:uiPriority w:val="59"/>
    <w:rsid w:val="00D72C5F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uiPriority w:val="99"/>
    <w:semiHidden/>
    <w:unhideWhenUsed/>
    <w:rsid w:val="00840E3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840E30"/>
    <w:rPr>
      <w:szCs w:val="20"/>
    </w:rPr>
  </w:style>
  <w:style w:type="character" w:customStyle="1" w:styleId="TextkomenteChar">
    <w:name w:val="Text komentáře Char"/>
    <w:link w:val="Textkomente"/>
    <w:uiPriority w:val="99"/>
    <w:rsid w:val="00840E30"/>
    <w:rPr>
      <w:rFonts w:ascii="Arial" w:eastAsia="Times New Roman" w:hAnsi="Arial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40E30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840E30"/>
    <w:rPr>
      <w:rFonts w:ascii="Arial" w:eastAsia="Times New Roman" w:hAnsi="Arial"/>
      <w:b/>
      <w:bCs/>
    </w:rPr>
  </w:style>
  <w:style w:type="character" w:styleId="Sledovanodkaz">
    <w:name w:val="FollowedHyperlink"/>
    <w:basedOn w:val="Standardnpsmoodstavce"/>
    <w:uiPriority w:val="99"/>
    <w:semiHidden/>
    <w:unhideWhenUsed/>
    <w:rsid w:val="005C0BF9"/>
    <w:rPr>
      <w:color w:val="800080" w:themeColor="followedHyperlink"/>
      <w:u w:val="single"/>
    </w:rPr>
  </w:style>
  <w:style w:type="character" w:customStyle="1" w:styleId="st">
    <w:name w:val="st"/>
    <w:basedOn w:val="Standardnpsmoodstavce"/>
    <w:rsid w:val="00BC1FBF"/>
  </w:style>
  <w:style w:type="table" w:styleId="Stednmka3zvraznn5">
    <w:name w:val="Medium Grid 3 Accent 5"/>
    <w:basedOn w:val="Normlntabulka"/>
    <w:uiPriority w:val="60"/>
    <w:rsid w:val="00FD3A0E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6F66A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6F66A0"/>
    <w:rPr>
      <w:rFonts w:ascii="Tahoma" w:eastAsia="Times New Roman" w:hAnsi="Tahoma" w:cs="Tahoma"/>
      <w:sz w:val="16"/>
      <w:szCs w:val="16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025144"/>
    <w:rPr>
      <w:color w:val="808080"/>
      <w:shd w:val="clear" w:color="auto" w:fill="E6E6E6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C90D47"/>
    <w:rPr>
      <w:color w:val="808080"/>
      <w:shd w:val="clear" w:color="auto" w:fill="E6E6E6"/>
    </w:rPr>
  </w:style>
  <w:style w:type="character" w:customStyle="1" w:styleId="Nevyeenzmnka3">
    <w:name w:val="Nevyřešená zmínka3"/>
    <w:basedOn w:val="Standardnpsmoodstavce"/>
    <w:uiPriority w:val="99"/>
    <w:semiHidden/>
    <w:unhideWhenUsed/>
    <w:rsid w:val="004C728B"/>
    <w:rPr>
      <w:color w:val="808080"/>
      <w:shd w:val="clear" w:color="auto" w:fill="E6E6E6"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69364F"/>
    <w:pPr>
      <w:spacing w:after="200" w:line="240" w:lineRule="auto"/>
    </w:pPr>
    <w:rPr>
      <w:i/>
      <w:iCs/>
      <w:color w:val="1F497D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8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3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6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8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9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67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08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04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808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063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19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865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07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737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2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22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8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39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690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7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3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230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05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20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45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8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63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3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61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324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37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42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69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96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83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8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9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2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5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2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08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69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chart" Target="charts/chart15.xml"/><Relationship Id="rId39" Type="http://schemas.openxmlformats.org/officeDocument/2006/relationships/chart" Target="charts/chart28.xml"/><Relationship Id="rId21" Type="http://schemas.openxmlformats.org/officeDocument/2006/relationships/chart" Target="charts/chart10.xml"/><Relationship Id="rId34" Type="http://schemas.openxmlformats.org/officeDocument/2006/relationships/chart" Target="charts/chart23.xml"/><Relationship Id="rId42" Type="http://schemas.openxmlformats.org/officeDocument/2006/relationships/header" Target="header2.xml"/><Relationship Id="rId55" Type="http://schemas.microsoft.com/office/2016/09/relationships/commentsIds" Target="commentsId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chart" Target="charts/chart7.xml"/><Relationship Id="rId29" Type="http://schemas.openxmlformats.org/officeDocument/2006/relationships/chart" Target="charts/chart18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4.xml"/><Relationship Id="rId24" Type="http://schemas.openxmlformats.org/officeDocument/2006/relationships/chart" Target="charts/chart13.xml"/><Relationship Id="rId32" Type="http://schemas.openxmlformats.org/officeDocument/2006/relationships/chart" Target="charts/chart21.xml"/><Relationship Id="rId37" Type="http://schemas.openxmlformats.org/officeDocument/2006/relationships/chart" Target="charts/chart26.xml"/><Relationship Id="rId40" Type="http://schemas.openxmlformats.org/officeDocument/2006/relationships/chart" Target="charts/chart29.xml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hart" Target="charts/chart6.xml"/><Relationship Id="rId23" Type="http://schemas.openxmlformats.org/officeDocument/2006/relationships/chart" Target="charts/chart12.xml"/><Relationship Id="rId28" Type="http://schemas.openxmlformats.org/officeDocument/2006/relationships/chart" Target="charts/chart17.xml"/><Relationship Id="rId36" Type="http://schemas.openxmlformats.org/officeDocument/2006/relationships/chart" Target="charts/chart25.xml"/><Relationship Id="rId10" Type="http://schemas.openxmlformats.org/officeDocument/2006/relationships/chart" Target="charts/chart3.xml"/><Relationship Id="rId19" Type="http://schemas.openxmlformats.org/officeDocument/2006/relationships/chart" Target="charts/chart8.xml"/><Relationship Id="rId31" Type="http://schemas.openxmlformats.org/officeDocument/2006/relationships/chart" Target="charts/chart20.xml"/><Relationship Id="rId44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chart" Target="charts/chart2.xml"/><Relationship Id="rId14" Type="http://schemas.openxmlformats.org/officeDocument/2006/relationships/image" Target="media/image2.png"/><Relationship Id="rId22" Type="http://schemas.openxmlformats.org/officeDocument/2006/relationships/chart" Target="charts/chart11.xml"/><Relationship Id="rId27" Type="http://schemas.openxmlformats.org/officeDocument/2006/relationships/chart" Target="charts/chart16.xml"/><Relationship Id="rId30" Type="http://schemas.openxmlformats.org/officeDocument/2006/relationships/chart" Target="charts/chart19.xml"/><Relationship Id="rId35" Type="http://schemas.openxmlformats.org/officeDocument/2006/relationships/chart" Target="charts/chart24.xml"/><Relationship Id="rId43" Type="http://schemas.openxmlformats.org/officeDocument/2006/relationships/footer" Target="footer1.xml"/><Relationship Id="rId8" Type="http://schemas.openxmlformats.org/officeDocument/2006/relationships/chart" Target="charts/chart1.xml"/><Relationship Id="rId3" Type="http://schemas.openxmlformats.org/officeDocument/2006/relationships/styles" Target="styles.xml"/><Relationship Id="rId12" Type="http://schemas.openxmlformats.org/officeDocument/2006/relationships/chart" Target="charts/chart5.xml"/><Relationship Id="rId17" Type="http://schemas.openxmlformats.org/officeDocument/2006/relationships/image" Target="media/image3.png"/><Relationship Id="rId25" Type="http://schemas.openxmlformats.org/officeDocument/2006/relationships/chart" Target="charts/chart14.xml"/><Relationship Id="rId33" Type="http://schemas.openxmlformats.org/officeDocument/2006/relationships/chart" Target="charts/chart22.xml"/><Relationship Id="rId38" Type="http://schemas.openxmlformats.org/officeDocument/2006/relationships/chart" Target="charts/chart27.xml"/><Relationship Id="rId46" Type="http://schemas.openxmlformats.org/officeDocument/2006/relationships/theme" Target="theme/theme1.xml"/><Relationship Id="rId20" Type="http://schemas.openxmlformats.org/officeDocument/2006/relationships/chart" Target="charts/chart9.xml"/><Relationship Id="rId41" Type="http://schemas.openxmlformats.org/officeDocument/2006/relationships/header" Target="header1.xml"/><Relationship Id="rId54" Type="http://schemas.microsoft.com/office/2018/08/relationships/commentsExtensible" Target="commentsExtensi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_PRACOVNI\02_Statistick&#233;%20&#250;lohy\00_GBOARD\07_Nep&#345;&#237;m&#225;%20podpora%20VaV\05_V&#253;stupy\03_Publikace\npvv2013\Tir&#225;&#382;\publikace%20bar_veda%20IT.dot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ABFS2\DATA\DATA\ZPRAC\TECHNOL\oddeleni_6302\1_V&#283;da,%20technologie%20a%20inovace\4_Inovace_V&#225;clav\4_V&#221;STUPY\4_2_web\2020_TZ\NVPVV18_grafy_final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List_aplikace_Microsoft_Excel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\\ABFS2\DATA\DATA\ZPRAC\TECHNOL\oddeleni_6302\1_V&#283;da,%20technologie%20a%20inovace\4_Inovace_V&#225;clav\4_V&#221;STUPY\4_2_web\2020_TZ\NVPVV18_grafy_final.xlsx" TargetMode="Externa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\\ABFS2\DATA\DATA\ZPRAC\TECHNOL\oddeleni_6302\1_V&#283;da,%20technologie%20a%20inovace\2_Ve&#345;ejn&#233;%20rozpo&#269;tov&#233;%20v&#253;daje%20VaV_V&#225;clav\2_Nep&#345;&#237;m&#225;%20ve&#345;ejn&#225;%20podpora%20VaV\TZ_2020\NVPVV18_grafy_final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\\ABFS2\DATA\DATA\ZPRAC\TECHNOL\oddeleni_6302\1_V&#283;da,%20technologie%20a%20inovace\2_Ve&#345;ejn&#233;%20rozpo&#269;tov&#233;%20v&#253;daje%20VaV_V&#225;clav\2_Nep&#345;&#237;m&#225;%20ve&#345;ejn&#225;%20podpora%20VaV\TZ_2020\NVPVV18_grafy_final.xlsx" TargetMode="Externa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\\ABFS2\DATA\DATA\ZPRAC\TECHNOL\oddeleni_6302\1_V&#283;da,%20technologie%20a%20inovace\2_Ve&#345;ejn&#233;%20rozpo&#269;tov&#233;%20v&#253;daje%20VaV_V&#225;clav\2_Nep&#345;&#237;m&#225;%20ve&#345;ejn&#225;%20podpora%20VaV\TZ_2020\NVPVV18_grafy_final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\\ABFS2\DATA\DATA\ZPRAC\TECHNOL\oddeleni_6302\1_V&#283;da,%20technologie%20a%20inovace\2_Ve&#345;ejn&#233;%20rozpo&#269;tov&#233;%20v&#253;daje%20VaV_V&#225;clav\2_Nep&#345;&#237;m&#225;%20ve&#345;ejn&#225;%20podpora%20VaV\TZ_2020\NVPVV18_grafy_final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\\ABFS2\DATA\DATA\ZPRAC\TECHNOL\oddeleni_6302\1_V&#283;da,%20technologie%20a%20inovace\2_Ve&#345;ejn&#233;%20rozpo&#269;tov&#233;%20v&#253;daje%20VaV_V&#225;clav\2_Nep&#345;&#237;m&#225;%20ve&#345;ejn&#225;%20podpora%20VaV\TZ_2020\NVPVV18_grafy_final.xlsx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oleObject" Target="file:///\\ABFS2\DATA\DATA\ZPRAC\TECHNOL\oddeleni_6302\1_V&#283;da,%20technologie%20a%20inovace\4_Inovace_V&#225;clav\4_V&#221;STUPY\4_2_web\2020_TZ\NVPVV18_grafy_final.xlsx" TargetMode="Externa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oleObject" Target="file:///D:\4_Vyzkum%20a%20vyvoj\4_Nep&#345;&#237;m&#225;%20ve&#345;ejna%20podpora\TZ2020\NVPVV18_grafy_final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oleObject" Target="file:///\\ABFS2\DATA\DATA\ZPRAC\TECHNOL\oddeleni_6302\1_V&#283;da,%20technologie%20a%20inovace\2_Ve&#345;ejn&#233;%20rozpo&#269;tov&#233;%20v&#253;daje%20VaV_V&#225;clav\2_Nep&#345;&#237;m&#225;%20ve&#345;ejn&#225;%20podpora%20VaV\TZ_2020\NVPVV18_grafy_final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oleObject" Target="file:///\\ABFS2\DATA\DATA\ZPRAC\TECHNOL\oddeleni_6302\1_V&#283;da,%20technologie%20a%20inovace\4_Inovace_V&#225;clav\4_V&#221;STUPY\4_2_web\2020_TZ\NVPVV18_grafy_final.xlsx" TargetMode="External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oleObject" Target="file:///\\ABFS2\DATA\DATA\ZPRAC\TECHNOL\oddeleni_6302\1_V&#283;da,%20technologie%20a%20inovace\4_Inovace_V&#225;clav\4_V&#221;STUPY\4_2_web\2020_TZ\NVPVV18_grafy_final.xlsx" TargetMode="External"/></Relationships>
</file>

<file path=word/charts/_rels/chart14.xml.rels><?xml version="1.0" encoding="UTF-8" standalone="yes"?>
<Relationships xmlns="http://schemas.openxmlformats.org/package/2006/relationships"><Relationship Id="rId3" Type="http://schemas.openxmlformats.org/officeDocument/2006/relationships/oleObject" Target="file:///D:\skarlandtova7414\6302\1_VaVaI\4_Neprima_podpora_Vasek\4_V&#221;STUPY\4_1_publikace\NVPVV_RR2018\1_Texty\NVPVV18_grafy_final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15.xml.rels><?xml version="1.0" encoding="UTF-8" standalone="yes"?>
<Relationships xmlns="http://schemas.openxmlformats.org/package/2006/relationships"><Relationship Id="rId3" Type="http://schemas.openxmlformats.org/officeDocument/2006/relationships/oleObject" Target="file:///D:\skarlandtova7414\6302\1_VaVaI\4_Neprima_podpora_Vasek\4_V&#221;STUPY\4_1_publikace\NVPVV_RR2018\1_Texty\NVPVV18_grafy_final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16.xml.rels><?xml version="1.0" encoding="UTF-8" standalone="yes"?>
<Relationships xmlns="http://schemas.openxmlformats.org/package/2006/relationships"><Relationship Id="rId3" Type="http://schemas.openxmlformats.org/officeDocument/2006/relationships/oleObject" Target="file:///D:\skarlandtova7414\6302\1_VaVaI\4_Neprima_podpora_Vasek\4_V&#221;STUPY\4_1_publikace\NVPVV_RR2018\1_Texty\NVPVV18_grafy_final.xlsx" TargetMode="External"/><Relationship Id="rId2" Type="http://schemas.microsoft.com/office/2011/relationships/chartColorStyle" Target="colors9.xml"/><Relationship Id="rId1" Type="http://schemas.microsoft.com/office/2011/relationships/chartStyle" Target="style9.xml"/></Relationships>
</file>

<file path=word/charts/_rels/chart17.xml.rels><?xml version="1.0" encoding="UTF-8" standalone="yes"?>
<Relationships xmlns="http://schemas.openxmlformats.org/package/2006/relationships"><Relationship Id="rId3" Type="http://schemas.openxmlformats.org/officeDocument/2006/relationships/oleObject" Target="file:///D:\skarlandtova7414\6302\1_VaVaI\4_Neprima_podpora_Vasek\4_V&#221;STUPY\4_1_publikace\NVPVV_RR2018\1_Texty\NVPVV18_grafy_final.xlsx" TargetMode="External"/><Relationship Id="rId2" Type="http://schemas.microsoft.com/office/2011/relationships/chartColorStyle" Target="colors10.xml"/><Relationship Id="rId1" Type="http://schemas.microsoft.com/office/2011/relationships/chartStyle" Target="style10.xml"/></Relationships>
</file>

<file path=word/charts/_rels/chart18.xml.rels><?xml version="1.0" encoding="UTF-8" standalone="yes"?>
<Relationships xmlns="http://schemas.openxmlformats.org/package/2006/relationships"><Relationship Id="rId3" Type="http://schemas.openxmlformats.org/officeDocument/2006/relationships/oleObject" Target="file:///D:\skarlandtova7414\6302\1_VaVaI\4_Neprima_podpora_Vasek\4_V&#221;STUPY\4_1_publikace\NVPVV_RR2018\1_Texty\NVPVV18_grafy_final.xlsx" TargetMode="External"/><Relationship Id="rId2" Type="http://schemas.microsoft.com/office/2011/relationships/chartColorStyle" Target="colors11.xml"/><Relationship Id="rId1" Type="http://schemas.microsoft.com/office/2011/relationships/chartStyle" Target="style11.xml"/></Relationships>
</file>

<file path=word/charts/_rels/chart19.xml.rels><?xml version="1.0" encoding="UTF-8" standalone="yes"?>
<Relationships xmlns="http://schemas.openxmlformats.org/package/2006/relationships"><Relationship Id="rId3" Type="http://schemas.openxmlformats.org/officeDocument/2006/relationships/oleObject" Target="file:///D:\skarlandtova7414\6302\1_VaVaI\4_Neprima_podpora_Vasek\4_V&#221;STUPY\4_1_publikace\NVPVV_RR2018\1_Texty\NVPVV18_grafy_final.xlsx" TargetMode="External"/><Relationship Id="rId2" Type="http://schemas.microsoft.com/office/2011/relationships/chartColorStyle" Target="colors12.xml"/><Relationship Id="rId1" Type="http://schemas.microsoft.com/office/2011/relationships/chartStyle" Target="style12.xml"/></Relationships>
</file>

<file path=word/charts/_rels/chart20.xml.rels><?xml version="1.0" encoding="UTF-8" standalone="yes"?>
<Relationships xmlns="http://schemas.openxmlformats.org/package/2006/relationships"><Relationship Id="rId3" Type="http://schemas.openxmlformats.org/officeDocument/2006/relationships/oleObject" Target="file:///D:\skarlandtova7414\6302\1_VaVaI\4_Neprima_podpora_Vasek\4_V&#221;STUPY\4_1_publikace\NVPVV_RR2018\1_Texty\NVPVV18_grafy_final.xlsx" TargetMode="External"/><Relationship Id="rId2" Type="http://schemas.microsoft.com/office/2011/relationships/chartColorStyle" Target="colors13.xml"/><Relationship Id="rId1" Type="http://schemas.microsoft.com/office/2011/relationships/chartStyle" Target="style13.xml"/></Relationships>
</file>

<file path=word/charts/_rels/chart2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skarlandtova7414\6302\1_VaVaI\4_Neprima_podpora_Vasek\4_V&#221;STUPY\4_1_publikace\NVPVV_RR2018\1_Texty\NVPVV18_grafy_final.xlsx" TargetMode="External"/><Relationship Id="rId2" Type="http://schemas.microsoft.com/office/2011/relationships/chartColorStyle" Target="colors14.xml"/><Relationship Id="rId1" Type="http://schemas.microsoft.com/office/2011/relationships/chartStyle" Target="style14.xml"/></Relationships>
</file>

<file path=word/charts/_rels/chart2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skarlandtova7414\6302\1_VaVaI\4_Neprima_podpora_Vasek\4_V&#221;STUPY\4_1_publikace\NVPVV_RR2018\1_Texty\NVPVV18_grafy_final.xlsx" TargetMode="External"/><Relationship Id="rId2" Type="http://schemas.microsoft.com/office/2011/relationships/chartColorStyle" Target="colors15.xml"/><Relationship Id="rId1" Type="http://schemas.microsoft.com/office/2011/relationships/chartStyle" Target="style15.xml"/></Relationships>
</file>

<file path=word/charts/_rels/chart2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skarlandtova7414\6302\1_VaVaI\4_Neprima_podpora_Vasek\4_V&#221;STUPY\4_1_publikace\NVPVV_RR2018\1_Texty\NVPVV18_grafy_final.xlsx" TargetMode="External"/><Relationship Id="rId2" Type="http://schemas.microsoft.com/office/2011/relationships/chartColorStyle" Target="colors16.xml"/><Relationship Id="rId1" Type="http://schemas.microsoft.com/office/2011/relationships/chartStyle" Target="style16.xml"/></Relationships>
</file>

<file path=word/charts/_rels/chart24.xml.rels><?xml version="1.0" encoding="UTF-8" standalone="yes"?>
<Relationships xmlns="http://schemas.openxmlformats.org/package/2006/relationships"><Relationship Id="rId3" Type="http://schemas.openxmlformats.org/officeDocument/2006/relationships/oleObject" Target="file:///D:\skarlandtova7414\6302\1_VaVaI\4_Neprima_podpora_Vasek\4_V&#221;STUPY\4_1_publikace\NVPVV_RR2018\1_Texty\NVPVV18_grafy_final.xlsx" TargetMode="External"/><Relationship Id="rId2" Type="http://schemas.microsoft.com/office/2011/relationships/chartColorStyle" Target="colors17.xml"/><Relationship Id="rId1" Type="http://schemas.microsoft.com/office/2011/relationships/chartStyle" Target="style17.xml"/></Relationships>
</file>

<file path=word/charts/_rels/chart25.xml.rels><?xml version="1.0" encoding="UTF-8" standalone="yes"?>
<Relationships xmlns="http://schemas.openxmlformats.org/package/2006/relationships"><Relationship Id="rId3" Type="http://schemas.openxmlformats.org/officeDocument/2006/relationships/oleObject" Target="file:///D:\skarlandtova7414\6302\1_VaVaI\4_Neprima_podpora_Vasek\4_V&#221;STUPY\4_1_publikace\NVPVV_RR2018\1_Texty\NVPVV18_grafy_final.xlsx" TargetMode="External"/><Relationship Id="rId2" Type="http://schemas.microsoft.com/office/2011/relationships/chartColorStyle" Target="colors18.xml"/><Relationship Id="rId1" Type="http://schemas.microsoft.com/office/2011/relationships/chartStyle" Target="style18.xml"/></Relationships>
</file>

<file path=word/charts/_rels/chart26.xml.rels><?xml version="1.0" encoding="UTF-8" standalone="yes"?>
<Relationships xmlns="http://schemas.openxmlformats.org/package/2006/relationships"><Relationship Id="rId1" Type="http://schemas.openxmlformats.org/officeDocument/2006/relationships/oleObject" Target="file:///D:\skarlandtova7414\6302\1_VaVaI\4_Neprima_podpora_Vasek\4_V&#221;STUPY\4_1_publikace\NVPVV_RR2018\1_Texty\NVPVV18_grafy_final.xlsx" TargetMode="External"/></Relationships>
</file>

<file path=word/charts/_rels/chart27.xml.rels><?xml version="1.0" encoding="UTF-8" standalone="yes"?>
<Relationships xmlns="http://schemas.openxmlformats.org/package/2006/relationships"><Relationship Id="rId1" Type="http://schemas.openxmlformats.org/officeDocument/2006/relationships/oleObject" Target="file:///\\ABFS2\DATA\DATA\ZPRAC\TECHNOL\oddeleni_6302\1_V&#283;da,%20technologie%20a%20inovace\2_Ve&#345;ejn&#233;%20rozpo&#269;tov&#233;%20v&#253;daje%20VaV_V&#225;clav\2_Nep&#345;&#237;m&#225;%20ve&#345;ejn&#225;%20podpora%20VaV\TZ_2020\NVPVV18_grafy_final.xlsx" TargetMode="External"/></Relationships>
</file>

<file path=word/charts/_rels/chart28.xml.rels><?xml version="1.0" encoding="UTF-8" standalone="yes"?>
<Relationships xmlns="http://schemas.openxmlformats.org/package/2006/relationships"><Relationship Id="rId3" Type="http://schemas.openxmlformats.org/officeDocument/2006/relationships/oleObject" Target="file:///\\ABFS2\DATA\DATA\ZPRAC\TECHNOL\oddeleni_6302\1_V&#283;da,%20technologie%20a%20inovace\2_Ve&#345;ejn&#233;%20rozpo&#269;tov&#233;%20v&#253;daje%20VaV_V&#225;clav\2_Nep&#345;&#237;m&#225;%20ve&#345;ejn&#225;%20podpora%20VaV\TZ_2020\NVPVV18_grafy_final.xlsx" TargetMode="External"/><Relationship Id="rId2" Type="http://schemas.microsoft.com/office/2011/relationships/chartColorStyle" Target="colors19.xml"/><Relationship Id="rId1" Type="http://schemas.microsoft.com/office/2011/relationships/chartStyle" Target="style19.xml"/></Relationships>
</file>

<file path=word/charts/_rels/chart29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1.xlsx"/><Relationship Id="rId2" Type="http://schemas.microsoft.com/office/2011/relationships/chartColorStyle" Target="colors20.xml"/><Relationship Id="rId1" Type="http://schemas.microsoft.com/office/2011/relationships/chartStyle" Target="style20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>
        <c:manualLayout>
          <c:layoutTarget val="inner"/>
          <c:xMode val="edge"/>
          <c:yMode val="edge"/>
          <c:x val="7.4946508943836865E-2"/>
          <c:y val="0.14562397451145509"/>
          <c:w val="0.85068752955649551"/>
          <c:h val="0.7344319336047713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'2019G1'!$A$27</c:f>
              <c:strCache>
                <c:ptCount val="1"/>
                <c:pt idx="0">
                  <c:v> Celkem (mld. Kč)</c:v>
                </c:pt>
              </c:strCache>
            </c:strRef>
          </c:tx>
          <c:spPr>
            <a:solidFill>
              <a:schemeClr val="accent5">
                <a:lumMod val="75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shade val="95000"/>
                          <a:satMod val="105000"/>
                        </a:scheme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'2019G1'!$C$26:$M$26</c:f>
              <c:numCache>
                <c:formatCode>@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 formatCode="General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'2019G1'!$C$27:$M$27</c:f>
              <c:numCache>
                <c:formatCode>#\ ##0.0</c:formatCode>
                <c:ptCount val="11"/>
                <c:pt idx="0">
                  <c:v>26.338965040000016</c:v>
                </c:pt>
                <c:pt idx="1">
                  <c:v>25.927055720000059</c:v>
                </c:pt>
                <c:pt idx="2">
                  <c:v>27.842911680000007</c:v>
                </c:pt>
                <c:pt idx="3">
                  <c:v>32.560394349999982</c:v>
                </c:pt>
                <c:pt idx="4">
                  <c:v>36.80123304</c:v>
                </c:pt>
                <c:pt idx="5">
                  <c:v>39.935677280000064</c:v>
                </c:pt>
                <c:pt idx="6">
                  <c:v>44.732845029999993</c:v>
                </c:pt>
                <c:pt idx="7">
                  <c:v>45.89357610000004</c:v>
                </c:pt>
                <c:pt idx="8">
                  <c:v>46.943269332821458</c:v>
                </c:pt>
                <c:pt idx="9">
                  <c:v>53.839745408767897</c:v>
                </c:pt>
                <c:pt idx="10">
                  <c:v>61.018150597940405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69A-4A1D-9775-B1D1DFF4E14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0"/>
        <c:axId val="277586304"/>
        <c:axId val="277587840"/>
      </c:barChart>
      <c:lineChart>
        <c:grouping val="standard"/>
        <c:varyColors val="0"/>
        <c:ser>
          <c:idx val="1"/>
          <c:order val="1"/>
          <c:tx>
            <c:strRef>
              <c:f>'2019G1'!$A$28</c:f>
              <c:strCache>
                <c:ptCount val="1"/>
                <c:pt idx="0">
                  <c:v> Podíl na výdajích na VaV v Česku celkem (%)</c:v>
                </c:pt>
              </c:strCache>
            </c:strRef>
          </c:tx>
          <c:spPr>
            <a:ln w="28575" cap="rnd" cmpd="sng" algn="ctr">
              <a:solidFill>
                <a:schemeClr val="accent5">
                  <a:tint val="77000"/>
                  <a:shade val="95000"/>
                  <a:satMod val="105000"/>
                </a:schemeClr>
              </a:solidFill>
              <a:prstDash val="solid"/>
              <a:round/>
            </a:ln>
            <a:effectLst/>
          </c:spPr>
          <c:marker>
            <c:symbol val="square"/>
            <c:size val="5"/>
            <c:spPr>
              <a:solidFill>
                <a:schemeClr val="bg1"/>
              </a:solidFill>
              <a:ln w="9525" cap="flat" cmpd="sng" algn="ctr">
                <a:solidFill>
                  <a:schemeClr val="accent5">
                    <a:tint val="77000"/>
                    <a:shade val="95000"/>
                    <a:satMod val="105000"/>
                  </a:schemeClr>
                </a:solidFill>
                <a:prstDash val="solid"/>
                <a:round/>
              </a:ln>
              <a:effectLst/>
            </c:spPr>
          </c:marker>
          <c:cat>
            <c:numRef>
              <c:f>'2019G1'!$C$26:$M$26</c:f>
              <c:numCache>
                <c:formatCode>@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 formatCode="General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'2019G1'!$C$28:$M$28</c:f>
              <c:numCache>
                <c:formatCode>0%</c:formatCode>
                <c:ptCount val="11"/>
                <c:pt idx="0">
                  <c:v>0.52813155884112883</c:v>
                </c:pt>
                <c:pt idx="1">
                  <c:v>0.50962653321900064</c:v>
                </c:pt>
                <c:pt idx="2">
                  <c:v>0.52560008558366356</c:v>
                </c:pt>
                <c:pt idx="3">
                  <c:v>0.5188626084668988</c:v>
                </c:pt>
                <c:pt idx="4">
                  <c:v>0.50858314969197682</c:v>
                </c:pt>
                <c:pt idx="5">
                  <c:v>0.51296005641771991</c:v>
                </c:pt>
                <c:pt idx="6">
                  <c:v>0.52562276318101187</c:v>
                </c:pt>
                <c:pt idx="7">
                  <c:v>0.51761585376131602</c:v>
                </c:pt>
                <c:pt idx="8">
                  <c:v>0.5859913015399778</c:v>
                </c:pt>
                <c:pt idx="9">
                  <c:v>0.59566449059615778</c:v>
                </c:pt>
                <c:pt idx="10">
                  <c:v>0.59382906011773817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969A-4A1D-9775-B1D1DFF4E14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724271256"/>
        <c:axId val="726864608"/>
      </c:lineChart>
      <c:catAx>
        <c:axId val="277586304"/>
        <c:scaling>
          <c:orientation val="minMax"/>
        </c:scaling>
        <c:delete val="0"/>
        <c:axPos val="b"/>
        <c:numFmt formatCode="@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77587840"/>
        <c:crosses val="autoZero"/>
        <c:auto val="1"/>
        <c:lblAlgn val="ctr"/>
        <c:lblOffset val="100"/>
        <c:noMultiLvlLbl val="0"/>
      </c:catAx>
      <c:valAx>
        <c:axId val="2775878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75000"/>
                </a:schemeClr>
              </a:solidFill>
              <a:prstDash val="solid"/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tint val="50000"/>
                  <a:shade val="95000"/>
                  <a:satMod val="105000"/>
                </a:schemeClr>
              </a:solidFill>
              <a:prstDash val="dashDot"/>
              <a:round/>
            </a:ln>
            <a:effectLst/>
          </c:spPr>
        </c:minorGridlines>
        <c:numFmt formatCode="#,##0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77586304"/>
        <c:crosses val="autoZero"/>
        <c:crossBetween val="between"/>
        <c:minorUnit val="5"/>
      </c:valAx>
      <c:valAx>
        <c:axId val="726864608"/>
        <c:scaling>
          <c:orientation val="minMax"/>
          <c:min val="0"/>
        </c:scaling>
        <c:delete val="0"/>
        <c:axPos val="r"/>
        <c:numFmt formatCode="0%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724271256"/>
        <c:crosses val="max"/>
        <c:crossBetween val="between"/>
      </c:valAx>
      <c:catAx>
        <c:axId val="724271256"/>
        <c:scaling>
          <c:orientation val="minMax"/>
        </c:scaling>
        <c:delete val="1"/>
        <c:axPos val="b"/>
        <c:numFmt formatCode="@" sourceLinked="1"/>
        <c:majorTickMark val="out"/>
        <c:minorTickMark val="none"/>
        <c:tickLblPos val="nextTo"/>
        <c:crossAx val="726864608"/>
        <c:crosses val="autoZero"/>
        <c:auto val="1"/>
        <c:lblAlgn val="ctr"/>
        <c:lblOffset val="100"/>
        <c:noMultiLvlLbl val="0"/>
      </c:catAx>
      <c:spPr>
        <a:solidFill>
          <a:schemeClr val="bg1"/>
        </a:solidFill>
        <a:ln>
          <a:noFill/>
        </a:ln>
        <a:effectLst/>
      </c:spPr>
    </c:plotArea>
    <c:legend>
      <c:legendPos val="t"/>
      <c:layout>
        <c:manualLayout>
          <c:xMode val="edge"/>
          <c:yMode val="edge"/>
          <c:x val="0.12821781359648399"/>
          <c:y val="5.2921719955898568E-2"/>
          <c:w val="0.76876370346608813"/>
          <c:h val="7.033970257576678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prstDash val="solid"/>
      <a:round/>
    </a:ln>
    <a:effectLst/>
  </c:spPr>
  <c:txPr>
    <a:bodyPr/>
    <a:lstStyle/>
    <a:p>
      <a:pPr>
        <a:defRPr sz="800" baseline="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>
        <c:manualLayout>
          <c:layoutTarget val="inner"/>
          <c:xMode val="edge"/>
          <c:yMode val="edge"/>
          <c:x val="6.1021211717633562E-2"/>
          <c:y val="5.5436507936507937E-2"/>
          <c:w val="0.70937111640748129"/>
          <c:h val="0.84245119047619044"/>
        </c:manualLayout>
      </c:layout>
      <c:lineChart>
        <c:grouping val="standard"/>
        <c:varyColors val="0"/>
        <c:ser>
          <c:idx val="0"/>
          <c:order val="0"/>
          <c:tx>
            <c:strRef>
              <c:f>'2019G2'!$A$13</c:f>
              <c:strCache>
                <c:ptCount val="1"/>
                <c:pt idx="0">
                  <c:v> CELKEM</c:v>
                </c:pt>
              </c:strCache>
            </c:strRef>
          </c:tx>
          <c:spPr>
            <a:ln>
              <a:solidFill>
                <a:schemeClr val="accent5">
                  <a:lumMod val="50000"/>
                </a:schemeClr>
              </a:solidFill>
            </a:ln>
          </c:spPr>
          <c:marker>
            <c:symbol val="circle"/>
            <c:size val="5"/>
            <c:spPr>
              <a:solidFill>
                <a:schemeClr val="bg1"/>
              </a:solidFill>
              <a:ln>
                <a:solidFill>
                  <a:schemeClr val="accent5">
                    <a:lumMod val="50000"/>
                  </a:schemeClr>
                </a:solidFill>
              </a:ln>
            </c:spPr>
          </c:marker>
          <c:dLbls>
            <c:spPr>
              <a:solidFill>
                <a:schemeClr val="accent5">
                  <a:lumMod val="40000"/>
                  <a:lumOff val="60000"/>
                </a:schemeClr>
              </a:solidFill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b="1"/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numRef>
              <c:f>'2019G2'!$B$12:$L$12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'2019G2'!$B$13:$L$13</c:f>
              <c:numCache>
                <c:formatCode>#\ ##0.0</c:formatCode>
                <c:ptCount val="11"/>
                <c:pt idx="0">
                  <c:v>4.501070377329996</c:v>
                </c:pt>
                <c:pt idx="1">
                  <c:v>5.0906391963999944</c:v>
                </c:pt>
                <c:pt idx="2">
                  <c:v>5.5985444846099979</c:v>
                </c:pt>
                <c:pt idx="3">
                  <c:v>7.6520194662199978</c:v>
                </c:pt>
                <c:pt idx="4">
                  <c:v>8.3112236428100008</c:v>
                </c:pt>
                <c:pt idx="5">
                  <c:v>7.9559086827799925</c:v>
                </c:pt>
                <c:pt idx="6">
                  <c:v>7.624737287470003</c:v>
                </c:pt>
                <c:pt idx="7">
                  <c:v>7.2117829907400006</c:v>
                </c:pt>
                <c:pt idx="8">
                  <c:v>5.2587251095333549</c:v>
                </c:pt>
                <c:pt idx="9">
                  <c:v>6.4938174729090816</c:v>
                </c:pt>
                <c:pt idx="10">
                  <c:v>7.6263661300682895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DC5A-4F17-BCAB-A2C8D11E61E7}"/>
            </c:ext>
          </c:extLst>
        </c:ser>
        <c:ser>
          <c:idx val="1"/>
          <c:order val="1"/>
          <c:tx>
            <c:strRef>
              <c:f>'2019G2'!$A$14</c:f>
              <c:strCache>
                <c:ptCount val="1"/>
                <c:pt idx="0">
                  <c:v> domácí přímá 
 - dotace ze SR ČR</c:v>
                </c:pt>
              </c:strCache>
            </c:strRef>
          </c:tx>
          <c:marker>
            <c:symbol val="circle"/>
            <c:size val="5"/>
            <c:spPr>
              <a:solidFill>
                <a:schemeClr val="bg1"/>
              </a:solidFill>
            </c:spPr>
          </c:marker>
          <c:cat>
            <c:numRef>
              <c:f>'2019G2'!$B$12:$L$12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'2019G2'!$B$14:$L$14</c:f>
              <c:numCache>
                <c:formatCode>#\ ##0.0</c:formatCode>
                <c:ptCount val="11"/>
                <c:pt idx="0">
                  <c:v>3.3273829099999963</c:v>
                </c:pt>
                <c:pt idx="1">
                  <c:v>3.6895768299999934</c:v>
                </c:pt>
                <c:pt idx="2">
                  <c:v>3.5974832299999999</c:v>
                </c:pt>
                <c:pt idx="3">
                  <c:v>4.5856046799999959</c:v>
                </c:pt>
                <c:pt idx="4">
                  <c:v>4.5621335199999988</c:v>
                </c:pt>
                <c:pt idx="5">
                  <c:v>3.9535794899999943</c:v>
                </c:pt>
                <c:pt idx="6">
                  <c:v>3.7780919500000025</c:v>
                </c:pt>
                <c:pt idx="7">
                  <c:v>3.1555031100000011</c:v>
                </c:pt>
                <c:pt idx="8">
                  <c:v>2.4589610536935615</c:v>
                </c:pt>
                <c:pt idx="9">
                  <c:v>3.0398476373829078</c:v>
                </c:pt>
                <c:pt idx="10">
                  <c:v>3.5454213618724535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DC5A-4F17-BCAB-A2C8D11E61E7}"/>
            </c:ext>
          </c:extLst>
        </c:ser>
        <c:ser>
          <c:idx val="2"/>
          <c:order val="2"/>
          <c:tx>
            <c:strRef>
              <c:f>'2019G2'!$A$15</c:f>
              <c:strCache>
                <c:ptCount val="1"/>
                <c:pt idx="0">
                  <c:v> domácí nepřímá 
 - daňová podpora</c:v>
                </c:pt>
              </c:strCache>
            </c:strRef>
          </c:tx>
          <c:marker>
            <c:symbol val="circle"/>
            <c:size val="5"/>
            <c:spPr>
              <a:solidFill>
                <a:schemeClr val="bg1"/>
              </a:solidFill>
            </c:spPr>
          </c:marker>
          <c:cat>
            <c:numRef>
              <c:f>'2019G2'!$B$12:$L$12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'2019G2'!$B$15:$L$15</c:f>
              <c:numCache>
                <c:formatCode>#\ ##0.0</c:formatCode>
                <c:ptCount val="11"/>
                <c:pt idx="0">
                  <c:v>1.0199534673299993</c:v>
                </c:pt>
                <c:pt idx="1">
                  <c:v>1.0492181064000008</c:v>
                </c:pt>
                <c:pt idx="2">
                  <c:v>1.3168555946099987</c:v>
                </c:pt>
                <c:pt idx="3">
                  <c:v>1.836426786220001</c:v>
                </c:pt>
                <c:pt idx="4">
                  <c:v>1.9826727428100019</c:v>
                </c:pt>
                <c:pt idx="5">
                  <c:v>2.2970599027799987</c:v>
                </c:pt>
                <c:pt idx="6">
                  <c:v>2.2633171474699991</c:v>
                </c:pt>
                <c:pt idx="7">
                  <c:v>2.5245865907399998</c:v>
                </c:pt>
                <c:pt idx="8">
                  <c:v>2.3844497657099981</c:v>
                </c:pt>
                <c:pt idx="9">
                  <c:v>2.5158111914600023</c:v>
                </c:pt>
                <c:pt idx="10">
                  <c:v>2.5830670887900005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DC5A-4F17-BCAB-A2C8D11E61E7}"/>
            </c:ext>
          </c:extLst>
        </c:ser>
        <c:ser>
          <c:idx val="3"/>
          <c:order val="3"/>
          <c:tx>
            <c:strRef>
              <c:f>'2019G2'!$A$16</c:f>
              <c:strCache>
                <c:ptCount val="1"/>
                <c:pt idx="0">
                  <c:v> zahraniční přímá  
 - zdroje z EU</c:v>
                </c:pt>
              </c:strCache>
            </c:strRef>
          </c:tx>
          <c:marker>
            <c:symbol val="circle"/>
            <c:size val="5"/>
            <c:spPr>
              <a:solidFill>
                <a:schemeClr val="bg1"/>
              </a:solidFill>
            </c:spPr>
          </c:marker>
          <c:cat>
            <c:numRef>
              <c:f>'2019G2'!$B$12:$L$12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'2019G2'!$B$16:$L$16</c:f>
              <c:numCache>
                <c:formatCode>#\ ##0.0</c:formatCode>
                <c:ptCount val="11"/>
                <c:pt idx="0">
                  <c:v>0.15373399999999998</c:v>
                </c:pt>
                <c:pt idx="1">
                  <c:v>0.35184426000000013</c:v>
                </c:pt>
                <c:pt idx="2">
                  <c:v>0.68420565999999972</c:v>
                </c:pt>
                <c:pt idx="3">
                  <c:v>1.2299879999999999</c:v>
                </c:pt>
                <c:pt idx="4">
                  <c:v>1.76641738</c:v>
                </c:pt>
                <c:pt idx="5">
                  <c:v>1.7052692900000002</c:v>
                </c:pt>
                <c:pt idx="6">
                  <c:v>1.5833281900000011</c:v>
                </c:pt>
                <c:pt idx="7">
                  <c:v>1.53169329</c:v>
                </c:pt>
                <c:pt idx="8">
                  <c:v>0.41531429012979493</c:v>
                </c:pt>
                <c:pt idx="9">
                  <c:v>0.93815864406617167</c:v>
                </c:pt>
                <c:pt idx="10">
                  <c:v>1.4978776794058353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DC5A-4F17-BCAB-A2C8D11E61E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77586304"/>
        <c:axId val="277587840"/>
      </c:lineChart>
      <c:catAx>
        <c:axId val="27758630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277587840"/>
        <c:crosses val="autoZero"/>
        <c:auto val="1"/>
        <c:lblAlgn val="ctr"/>
        <c:lblOffset val="100"/>
        <c:noMultiLvlLbl val="0"/>
      </c:catAx>
      <c:valAx>
        <c:axId val="277587840"/>
        <c:scaling>
          <c:orientation val="minMax"/>
          <c:max val="10"/>
        </c:scaling>
        <c:delete val="0"/>
        <c:axPos val="l"/>
        <c:majorGridlines>
          <c:spPr>
            <a:ln>
              <a:solidFill>
                <a:schemeClr val="bg1">
                  <a:lumMod val="75000"/>
                </a:schemeClr>
              </a:solidFill>
              <a:prstDash val="solid"/>
            </a:ln>
          </c:spPr>
        </c:majorGridlines>
        <c:minorGridlines>
          <c:spPr>
            <a:ln>
              <a:prstDash val="dash"/>
            </a:ln>
          </c:spPr>
        </c:minorGridlines>
        <c:numFmt formatCode="#,##0" sourceLinked="0"/>
        <c:majorTickMark val="out"/>
        <c:minorTickMark val="none"/>
        <c:tickLblPos val="nextTo"/>
        <c:crossAx val="277586304"/>
        <c:crosses val="autoZero"/>
        <c:crossBetween val="between"/>
        <c:majorUnit val="1"/>
        <c:minorUnit val="0.5"/>
      </c:valAx>
      <c:spPr>
        <a:ln>
          <a:solidFill>
            <a:schemeClr val="bg1">
              <a:lumMod val="75000"/>
            </a:schemeClr>
          </a:solidFill>
        </a:ln>
      </c:spPr>
    </c:plotArea>
    <c:legend>
      <c:legendPos val="r"/>
      <c:layout>
        <c:manualLayout>
          <c:xMode val="edge"/>
          <c:yMode val="edge"/>
          <c:x val="0.77754079380733232"/>
          <c:y val="0.16645790830721682"/>
          <c:w val="0.20793235389521522"/>
          <c:h val="0.68836052940190995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800" baseline="0">
          <a:latin typeface="Arial" panose="020B0604020202020204" pitchFamily="34" charset="0"/>
        </a:defRPr>
      </a:pPr>
      <a:endParaRPr lang="cs-CZ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>
        <c:manualLayout>
          <c:layoutTarget val="inner"/>
          <c:xMode val="edge"/>
          <c:yMode val="edge"/>
          <c:x val="6.9322537692395797E-2"/>
          <c:y val="5.5436507936507937E-2"/>
          <c:w val="0.69691910852120964"/>
          <c:h val="0.84245119047619044"/>
        </c:manualLayout>
      </c:layout>
      <c:lineChart>
        <c:grouping val="standard"/>
        <c:varyColors val="0"/>
        <c:ser>
          <c:idx val="0"/>
          <c:order val="0"/>
          <c:tx>
            <c:strRef>
              <c:f>'2019G3'!$A$17</c:f>
              <c:strCache>
                <c:ptCount val="1"/>
                <c:pt idx="0">
                  <c:v> CELKEM</c:v>
                </c:pt>
              </c:strCache>
            </c:strRef>
          </c:tx>
          <c:spPr>
            <a:ln>
              <a:solidFill>
                <a:schemeClr val="accent5">
                  <a:lumMod val="50000"/>
                </a:schemeClr>
              </a:solidFill>
            </a:ln>
          </c:spPr>
          <c:marker>
            <c:symbol val="circle"/>
            <c:size val="5"/>
            <c:spPr>
              <a:solidFill>
                <a:schemeClr val="bg1"/>
              </a:solidFill>
              <a:ln>
                <a:solidFill>
                  <a:schemeClr val="accent5">
                    <a:lumMod val="50000"/>
                  </a:schemeClr>
                </a:solidFill>
              </a:ln>
            </c:spPr>
          </c:marker>
          <c:dLbls>
            <c:numFmt formatCode="0.0%" sourceLinked="0"/>
            <c:spPr>
              <a:solidFill>
                <a:schemeClr val="accent5">
                  <a:lumMod val="40000"/>
                  <a:lumOff val="60000"/>
                </a:schemeClr>
              </a:solidFill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b="1"/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numRef>
              <c:f>'2019G3'!$B$16:$L$16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'2019G3'!$B$17:$L$17</c:f>
              <c:numCache>
                <c:formatCode>0%</c:formatCode>
                <c:ptCount val="11"/>
                <c:pt idx="0">
                  <c:v>0.17089166070816855</c:v>
                </c:pt>
                <c:pt idx="1">
                  <c:v>0.19634466988371105</c:v>
                </c:pt>
                <c:pt idx="2">
                  <c:v>0.20107611405568335</c:v>
                </c:pt>
                <c:pt idx="3">
                  <c:v>0.23501003654828276</c:v>
                </c:pt>
                <c:pt idx="4">
                  <c:v>0.22584090141154686</c:v>
                </c:pt>
                <c:pt idx="5">
                  <c:v>0.19921807327815977</c:v>
                </c:pt>
                <c:pt idx="6">
                  <c:v>0.1704505332123743</c:v>
                </c:pt>
                <c:pt idx="7">
                  <c:v>0.15714144774915448</c:v>
                </c:pt>
                <c:pt idx="8">
                  <c:v>0.11202298400330199</c:v>
                </c:pt>
                <c:pt idx="9">
                  <c:v>0.12061382206780553</c:v>
                </c:pt>
                <c:pt idx="10">
                  <c:v>0.12498520612857954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AD8C-494B-B245-AC052FA41E30}"/>
            </c:ext>
          </c:extLst>
        </c:ser>
        <c:ser>
          <c:idx val="1"/>
          <c:order val="1"/>
          <c:tx>
            <c:strRef>
              <c:f>'2019G3'!$A$18</c:f>
              <c:strCache>
                <c:ptCount val="1"/>
                <c:pt idx="0">
                  <c:v> domácí přímá 
 - dotace ze SR ČR</c:v>
                </c:pt>
              </c:strCache>
            </c:strRef>
          </c:tx>
          <c:marker>
            <c:symbol val="circle"/>
            <c:size val="5"/>
            <c:spPr>
              <a:solidFill>
                <a:schemeClr val="bg1"/>
              </a:solidFill>
            </c:spPr>
          </c:marker>
          <c:dLbls>
            <c:numFmt formatCode="0.0%" sourceLinked="0"/>
            <c:spPr>
              <a:noFill/>
              <a:ln>
                <a:noFill/>
              </a:ln>
              <a:effectLst/>
            </c:sp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numRef>
              <c:f>'2019G3'!$B$16:$L$16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'2019G3'!$B$18:$L$18</c:f>
              <c:numCache>
                <c:formatCode>0%</c:formatCode>
                <c:ptCount val="11"/>
                <c:pt idx="0">
                  <c:v>0.12632929596690007</c:v>
                </c:pt>
                <c:pt idx="1">
                  <c:v>0.14230604777671935</c:v>
                </c:pt>
                <c:pt idx="2">
                  <c:v>0.12920643039586005</c:v>
                </c:pt>
                <c:pt idx="3">
                  <c:v>0.14083381886313051</c:v>
                </c:pt>
                <c:pt idx="4">
                  <c:v>0.12396686586673125</c:v>
                </c:pt>
                <c:pt idx="5">
                  <c:v>9.8998683865566039E-2</c:v>
                </c:pt>
                <c:pt idx="6">
                  <c:v>8.4459013225432755E-2</c:v>
                </c:pt>
                <c:pt idx="7">
                  <c:v>6.8756967274119174E-2</c:v>
                </c:pt>
                <c:pt idx="8">
                  <c:v>5.2381546676262762E-2</c:v>
                </c:pt>
                <c:pt idx="9">
                  <c:v>5.6461032909859619E-2</c:v>
                </c:pt>
                <c:pt idx="10">
                  <c:v>5.8104372668288065E-2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AD8C-494B-B245-AC052FA41E30}"/>
            </c:ext>
          </c:extLst>
        </c:ser>
        <c:ser>
          <c:idx val="2"/>
          <c:order val="2"/>
          <c:tx>
            <c:strRef>
              <c:f>'2019G3'!$A$19</c:f>
              <c:strCache>
                <c:ptCount val="1"/>
                <c:pt idx="0">
                  <c:v> domácí nepřímá 
 - daňová podpora</c:v>
                </c:pt>
              </c:strCache>
            </c:strRef>
          </c:tx>
          <c:marker>
            <c:symbol val="circle"/>
            <c:size val="5"/>
            <c:spPr>
              <a:solidFill>
                <a:schemeClr val="bg1"/>
              </a:solidFill>
            </c:spPr>
          </c:marker>
          <c:cat>
            <c:numRef>
              <c:f>'2019G3'!$B$16:$L$16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'2019G3'!$B$19:$L$19</c:f>
              <c:numCache>
                <c:formatCode>0%</c:formatCode>
                <c:ptCount val="11"/>
                <c:pt idx="0">
                  <c:v>3.8725613002294317E-2</c:v>
                </c:pt>
                <c:pt idx="1">
                  <c:v>4.0468077738215265E-2</c:v>
                </c:pt>
                <c:pt idx="2">
                  <c:v>4.7295901008654842E-2</c:v>
                </c:pt>
                <c:pt idx="3">
                  <c:v>5.6400630977615933E-2</c:v>
                </c:pt>
                <c:pt idx="4">
                  <c:v>5.3875171537187204E-2</c:v>
                </c:pt>
                <c:pt idx="5">
                  <c:v>5.7518992019959414E-2</c:v>
                </c:pt>
                <c:pt idx="6">
                  <c:v>5.0596315659156323E-2</c:v>
                </c:pt>
                <c:pt idx="7">
                  <c:v>5.5009585333664984E-2</c:v>
                </c:pt>
                <c:pt idx="8">
                  <c:v>5.0794284241358893E-2</c:v>
                </c:pt>
                <c:pt idx="9">
                  <c:v>4.6727769092502022E-2</c:v>
                </c:pt>
                <c:pt idx="10">
                  <c:v>4.2332765963529369E-2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AD8C-494B-B245-AC052FA41E30}"/>
            </c:ext>
          </c:extLst>
        </c:ser>
        <c:ser>
          <c:idx val="3"/>
          <c:order val="3"/>
          <c:tx>
            <c:strRef>
              <c:f>'2019G3'!$A$20</c:f>
              <c:strCache>
                <c:ptCount val="1"/>
                <c:pt idx="0">
                  <c:v> zahraniční přímá  
 - zdroje z EU</c:v>
                </c:pt>
              </c:strCache>
            </c:strRef>
          </c:tx>
          <c:marker>
            <c:symbol val="circle"/>
            <c:size val="5"/>
            <c:spPr>
              <a:solidFill>
                <a:schemeClr val="bg1"/>
              </a:solidFill>
            </c:spPr>
          </c:marker>
          <c:cat>
            <c:numRef>
              <c:f>'2019G3'!$B$16:$L$16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'2019G3'!$B$20:$L$20</c:f>
              <c:numCache>
                <c:formatCode>0%</c:formatCode>
                <c:ptCount val="11"/>
                <c:pt idx="0">
                  <c:v>5.8367517389741703E-3</c:v>
                </c:pt>
                <c:pt idx="1">
                  <c:v>1.3570544368776454E-2</c:v>
                </c:pt>
                <c:pt idx="2">
                  <c:v>2.4573782651168455E-2</c:v>
                </c:pt>
                <c:pt idx="3">
                  <c:v>3.7775586707536314E-2</c:v>
                </c:pt>
                <c:pt idx="4">
                  <c:v>4.7998864007628372E-2</c:v>
                </c:pt>
                <c:pt idx="5">
                  <c:v>4.2700397392634315E-2</c:v>
                </c:pt>
                <c:pt idx="6">
                  <c:v>3.5395204327785215E-2</c:v>
                </c:pt>
                <c:pt idx="7">
                  <c:v>3.3374895141370306E-2</c:v>
                </c:pt>
                <c:pt idx="8">
                  <c:v>8.8471530856803465E-3</c:v>
                </c:pt>
                <c:pt idx="9">
                  <c:v>1.7425020065443896E-2</c:v>
                </c:pt>
                <c:pt idx="10">
                  <c:v>2.4548067496762093E-2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AD8C-494B-B245-AC052FA41E3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77586304"/>
        <c:axId val="277587840"/>
      </c:lineChart>
      <c:catAx>
        <c:axId val="27758630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277587840"/>
        <c:crosses val="autoZero"/>
        <c:auto val="1"/>
        <c:lblAlgn val="ctr"/>
        <c:lblOffset val="100"/>
        <c:noMultiLvlLbl val="0"/>
      </c:catAx>
      <c:valAx>
        <c:axId val="277587840"/>
        <c:scaling>
          <c:orientation val="minMax"/>
          <c:max val="0.26"/>
        </c:scaling>
        <c:delete val="0"/>
        <c:axPos val="l"/>
        <c:majorGridlines>
          <c:spPr>
            <a:ln>
              <a:solidFill>
                <a:schemeClr val="bg1">
                  <a:lumMod val="75000"/>
                </a:schemeClr>
              </a:solidFill>
              <a:prstDash val="solid"/>
            </a:ln>
          </c:spPr>
        </c:majorGridlines>
        <c:minorGridlines>
          <c:spPr>
            <a:ln>
              <a:prstDash val="dash"/>
            </a:ln>
          </c:spPr>
        </c:minorGridlines>
        <c:numFmt formatCode="0%" sourceLinked="0"/>
        <c:majorTickMark val="out"/>
        <c:minorTickMark val="none"/>
        <c:tickLblPos val="nextTo"/>
        <c:crossAx val="277586304"/>
        <c:crosses val="autoZero"/>
        <c:crossBetween val="between"/>
        <c:majorUnit val="2.0000000000000004E-2"/>
        <c:minorUnit val="1.0000000000000002E-2"/>
      </c:valAx>
      <c:spPr>
        <a:ln>
          <a:solidFill>
            <a:schemeClr val="bg1">
              <a:lumMod val="75000"/>
            </a:schemeClr>
          </a:solidFill>
        </a:ln>
      </c:spPr>
    </c:plotArea>
    <c:legend>
      <c:legendPos val="r"/>
      <c:layout>
        <c:manualLayout>
          <c:xMode val="edge"/>
          <c:yMode val="edge"/>
          <c:x val="0.77754079380733232"/>
          <c:y val="0.39057031826333349"/>
          <c:w val="0.20585701924750327"/>
          <c:h val="0.48554990014723265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800" baseline="0">
          <a:latin typeface="Arial" panose="020B0604020202020204" pitchFamily="34" charset="0"/>
        </a:defRPr>
      </a:pPr>
      <a:endParaRPr lang="cs-CZ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>
        <c:manualLayout>
          <c:layoutTarget val="inner"/>
          <c:xMode val="edge"/>
          <c:yMode val="edge"/>
          <c:x val="8.0329388560157797E-2"/>
          <c:y val="7.8017592592592597E-2"/>
          <c:w val="0.39109927679158446"/>
          <c:h val="0.67372418300653591"/>
        </c:manualLayout>
      </c:layout>
      <c:lineChart>
        <c:grouping val="standard"/>
        <c:varyColors val="0"/>
        <c:ser>
          <c:idx val="0"/>
          <c:order val="0"/>
          <c:tx>
            <c:strRef>
              <c:f>List1!$A$38</c:f>
              <c:strCache>
                <c:ptCount val="1"/>
                <c:pt idx="0">
                  <c:v> Podniky domácí</c:v>
                </c:pt>
              </c:strCache>
            </c:strRef>
          </c:tx>
          <c:spPr>
            <a:ln w="28575" cap="rnd" cmpd="sng" algn="ctr">
              <a:solidFill>
                <a:schemeClr val="accent5">
                  <a:shade val="76000"/>
                  <a:shade val="95000"/>
                  <a:satMod val="105000"/>
                </a:schemeClr>
              </a:solidFill>
              <a:prstDash val="solid"/>
              <a:round/>
            </a:ln>
            <a:effectLst/>
          </c:spPr>
          <c:marker>
            <c:symbol val="none"/>
          </c:marker>
          <c:cat>
            <c:numRef>
              <c:f>List1!$B$37:$L$37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List1!$B$38:$L$38</c:f>
              <c:numCache>
                <c:formatCode>#\ ##0.0</c:formatCode>
                <c:ptCount val="11"/>
                <c:pt idx="0">
                  <c:v>2.8773266161700048</c:v>
                </c:pt>
                <c:pt idx="1">
                  <c:v>3.2565113049999979</c:v>
                </c:pt>
                <c:pt idx="2">
                  <c:v>3.9136645652900013</c:v>
                </c:pt>
                <c:pt idx="3">
                  <c:v>4.9713404774599974</c:v>
                </c:pt>
                <c:pt idx="4">
                  <c:v>5.715304263309994</c:v>
                </c:pt>
                <c:pt idx="5">
                  <c:v>5.1000518072500043</c:v>
                </c:pt>
                <c:pt idx="6">
                  <c:v>5.2965487108100042</c:v>
                </c:pt>
                <c:pt idx="7">
                  <c:v>4.5553580541300018</c:v>
                </c:pt>
                <c:pt idx="8">
                  <c:v>3.3265837648957879</c:v>
                </c:pt>
                <c:pt idx="9">
                  <c:v>3.9770513444071067</c:v>
                </c:pt>
                <c:pt idx="10">
                  <c:v>4.8795717591115331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EB5D-4C3B-96DB-5C181D6F3B03}"/>
            </c:ext>
          </c:extLst>
        </c:ser>
        <c:ser>
          <c:idx val="1"/>
          <c:order val="1"/>
          <c:tx>
            <c:strRef>
              <c:f>List1!$A$39</c:f>
              <c:strCache>
                <c:ptCount val="1"/>
                <c:pt idx="0">
                  <c:v> Podniky pod zahraniční kontrolou</c:v>
                </c:pt>
              </c:strCache>
            </c:strRef>
          </c:tx>
          <c:spPr>
            <a:ln w="28575" cap="rnd" cmpd="sng" algn="ctr">
              <a:solidFill>
                <a:schemeClr val="accent5">
                  <a:tint val="77000"/>
                  <a:shade val="95000"/>
                  <a:satMod val="105000"/>
                </a:schemeClr>
              </a:solidFill>
              <a:prstDash val="solid"/>
              <a:round/>
            </a:ln>
            <a:effectLst/>
          </c:spPr>
          <c:marker>
            <c:symbol val="none"/>
          </c:marker>
          <c:cat>
            <c:numRef>
              <c:f>List1!$B$37:$L$37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List1!$B$39:$L$39</c:f>
              <c:numCache>
                <c:formatCode>#\ ##0.0</c:formatCode>
                <c:ptCount val="11"/>
                <c:pt idx="0">
                  <c:v>1.6049921911599996</c:v>
                </c:pt>
                <c:pt idx="1">
                  <c:v>1.7815698913999996</c:v>
                </c:pt>
                <c:pt idx="2">
                  <c:v>1.6753021493199998</c:v>
                </c:pt>
                <c:pt idx="3">
                  <c:v>2.2757161987599996</c:v>
                </c:pt>
                <c:pt idx="4">
                  <c:v>2.237167029500001</c:v>
                </c:pt>
                <c:pt idx="5">
                  <c:v>2.4681396755299994</c:v>
                </c:pt>
                <c:pt idx="6">
                  <c:v>2.3434345266600021</c:v>
                </c:pt>
                <c:pt idx="7">
                  <c:v>2.6187067866100011</c:v>
                </c:pt>
                <c:pt idx="8">
                  <c:v>1.918458991730386</c:v>
                </c:pt>
                <c:pt idx="9">
                  <c:v>2.4803551654819112</c:v>
                </c:pt>
                <c:pt idx="10">
                  <c:v>2.6917243796020358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EB5D-4C3B-96DB-5C181D6F3B0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77586304"/>
        <c:axId val="277587840"/>
      </c:lineChart>
      <c:catAx>
        <c:axId val="27758630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77587840"/>
        <c:crosses val="autoZero"/>
        <c:auto val="1"/>
        <c:lblAlgn val="ctr"/>
        <c:lblOffset val="100"/>
        <c:tickLblSkip val="2"/>
        <c:noMultiLvlLbl val="0"/>
      </c:catAx>
      <c:valAx>
        <c:axId val="277587840"/>
        <c:scaling>
          <c:orientation val="minMax"/>
          <c:max val="6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75000"/>
                </a:schemeClr>
              </a:solidFill>
              <a:prstDash val="solid"/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tint val="50000"/>
                  <a:shade val="95000"/>
                  <a:satMod val="105000"/>
                </a:schemeClr>
              </a:solidFill>
              <a:prstDash val="dashDot"/>
              <a:round/>
            </a:ln>
            <a:effectLst/>
          </c:spPr>
        </c:min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a) V mld. Kč</a:t>
                </a:r>
                <a:endParaRPr lang="en-US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800" b="1" i="0" u="none" strike="noStrike" kern="1200" baseline="0">
                  <a:solidFill>
                    <a:schemeClr val="tx1"/>
                  </a:solidFill>
                  <a:latin typeface="Arial" panose="020B0604020202020204" pitchFamily="34" charset="0"/>
                  <a:ea typeface="+mn-ea"/>
                  <a:cs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77586304"/>
        <c:crosses val="autoZero"/>
        <c:crossBetween val="between"/>
        <c:majorUnit val="1"/>
        <c:minorUnit val="0.5"/>
      </c:valAx>
      <c:spPr>
        <a:solidFill>
          <a:schemeClr val="bg1"/>
        </a:solidFill>
        <a:ln>
          <a:noFill/>
        </a:ln>
        <a:effectLst/>
      </c:spPr>
    </c:plotArea>
    <c:legend>
      <c:legendPos val="t"/>
      <c:layout>
        <c:manualLayout>
          <c:xMode val="edge"/>
          <c:yMode val="edge"/>
          <c:x val="0.1281878698224852"/>
          <c:y val="0.8767601307189542"/>
          <c:w val="0.83217915844838908"/>
          <c:h val="7.7037908496732033E-2"/>
        </c:manualLayout>
      </c:layout>
      <c:overlay val="0"/>
      <c:spPr>
        <a:noFill/>
        <a:ln>
          <a:solidFill>
            <a:schemeClr val="bg1">
              <a:lumMod val="50000"/>
            </a:schemeClr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prstDash val="solid"/>
      <a:round/>
    </a:ln>
    <a:effectLst/>
  </c:spPr>
  <c:txPr>
    <a:bodyPr/>
    <a:lstStyle/>
    <a:p>
      <a:pPr>
        <a:defRPr sz="800" baseline="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>
        <c:manualLayout>
          <c:layoutTarget val="inner"/>
          <c:xMode val="edge"/>
          <c:yMode val="edge"/>
          <c:x val="0.2268506436695413"/>
          <c:y val="4.5390576177977753E-2"/>
          <c:w val="0.74139632545931755"/>
          <c:h val="0.86900595758863475"/>
        </c:manualLayout>
      </c:layout>
      <c:lineChart>
        <c:grouping val="standard"/>
        <c:varyColors val="0"/>
        <c:ser>
          <c:idx val="2"/>
          <c:order val="0"/>
          <c:tx>
            <c:strRef>
              <c:f>List1!$A$42</c:f>
              <c:strCache>
                <c:ptCount val="1"/>
                <c:pt idx="0">
                  <c:v> Podniky domácí</c:v>
                </c:pt>
              </c:strCache>
            </c:strRef>
          </c:tx>
          <c:marker>
            <c:symbol val="none"/>
          </c:marker>
          <c:cat>
            <c:numRef>
              <c:f>List1!$B$41:$L$41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List1!$B$42:$L$42</c:f>
              <c:numCache>
                <c:formatCode>0.0%</c:formatCode>
                <c:ptCount val="11"/>
                <c:pt idx="0">
                  <c:v>0.29393460086319873</c:v>
                </c:pt>
                <c:pt idx="1">
                  <c:v>0.32117344657267094</c:v>
                </c:pt>
                <c:pt idx="2">
                  <c:v>0.3026484907601199</c:v>
                </c:pt>
                <c:pt idx="3">
                  <c:v>0.34549476691928066</c:v>
                </c:pt>
                <c:pt idx="4">
                  <c:v>0.35433990946828842</c:v>
                </c:pt>
                <c:pt idx="5">
                  <c:v>0.30874634851673105</c:v>
                </c:pt>
                <c:pt idx="6">
                  <c:v>0.29336019280973341</c:v>
                </c:pt>
                <c:pt idx="7">
                  <c:v>0.26291648950638452</c:v>
                </c:pt>
                <c:pt idx="8">
                  <c:v>0.21223488098086829</c:v>
                </c:pt>
                <c:pt idx="9">
                  <c:v>0.22732477972473608</c:v>
                </c:pt>
                <c:pt idx="10">
                  <c:v>0.25069117087988779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45C7-44A3-96EF-D37B3D28CC49}"/>
            </c:ext>
          </c:extLst>
        </c:ser>
        <c:ser>
          <c:idx val="3"/>
          <c:order val="1"/>
          <c:tx>
            <c:strRef>
              <c:f>List1!$A$43</c:f>
              <c:strCache>
                <c:ptCount val="1"/>
                <c:pt idx="0">
                  <c:v> Podniky pod zahraniční kontrolou</c:v>
                </c:pt>
              </c:strCache>
            </c:strRef>
          </c:tx>
          <c:marker>
            <c:symbol val="none"/>
          </c:marker>
          <c:cat>
            <c:numRef>
              <c:f>List1!$B$41:$L$41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List1!$B$43:$L$43</c:f>
              <c:numCache>
                <c:formatCode>0.0%</c:formatCode>
                <c:ptCount val="11"/>
                <c:pt idx="0">
                  <c:v>9.6264558709444045E-2</c:v>
                </c:pt>
                <c:pt idx="1">
                  <c:v>0.11229252232780336</c:v>
                </c:pt>
                <c:pt idx="2">
                  <c:v>0.11176528192381927</c:v>
                </c:pt>
                <c:pt idx="3">
                  <c:v>0.12792218370145078</c:v>
                </c:pt>
                <c:pt idx="4">
                  <c:v>0.11003520566120112</c:v>
                </c:pt>
                <c:pt idx="5">
                  <c:v>0.10699805019531004</c:v>
                </c:pt>
                <c:pt idx="6">
                  <c:v>8.7341531192877978E-2</c:v>
                </c:pt>
                <c:pt idx="7">
                  <c:v>9.1220859597176643E-2</c:v>
                </c:pt>
                <c:pt idx="8">
                  <c:v>6.108583292713804E-2</c:v>
                </c:pt>
                <c:pt idx="9">
                  <c:v>6.7277621721723871E-2</c:v>
                </c:pt>
                <c:pt idx="10">
                  <c:v>6.4055877787223936E-2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45C7-44A3-96EF-D37B3D28CC49}"/>
            </c:ext>
          </c:extLst>
        </c:ser>
        <c:ser>
          <c:idx val="0"/>
          <c:order val="2"/>
          <c:tx>
            <c:strRef>
              <c:f>List1!$A$42</c:f>
              <c:strCache>
                <c:ptCount val="1"/>
                <c:pt idx="0">
                  <c:v> Podniky domácí</c:v>
                </c:pt>
              </c:strCache>
            </c:strRef>
          </c:tx>
          <c:spPr>
            <a:ln w="28575" cap="rnd" cmpd="sng" algn="ctr">
              <a:solidFill>
                <a:schemeClr val="accent5">
                  <a:shade val="76000"/>
                  <a:shade val="95000"/>
                  <a:satMod val="105000"/>
                </a:schemeClr>
              </a:solidFill>
              <a:prstDash val="solid"/>
              <a:round/>
            </a:ln>
            <a:effectLst/>
          </c:spPr>
          <c:marker>
            <c:symbol val="none"/>
          </c:marker>
          <c:cat>
            <c:numRef>
              <c:f>List1!$B$41:$L$41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List1!$B$42:$L$42</c:f>
              <c:numCache>
                <c:formatCode>0.0%</c:formatCode>
                <c:ptCount val="11"/>
                <c:pt idx="0">
                  <c:v>0.29393460086319873</c:v>
                </c:pt>
                <c:pt idx="1">
                  <c:v>0.32117344657267094</c:v>
                </c:pt>
                <c:pt idx="2">
                  <c:v>0.3026484907601199</c:v>
                </c:pt>
                <c:pt idx="3">
                  <c:v>0.34549476691928066</c:v>
                </c:pt>
                <c:pt idx="4">
                  <c:v>0.35433990946828842</c:v>
                </c:pt>
                <c:pt idx="5">
                  <c:v>0.30874634851673105</c:v>
                </c:pt>
                <c:pt idx="6">
                  <c:v>0.29336019280973341</c:v>
                </c:pt>
                <c:pt idx="7">
                  <c:v>0.26291648950638452</c:v>
                </c:pt>
                <c:pt idx="8">
                  <c:v>0.21223488098086829</c:v>
                </c:pt>
                <c:pt idx="9">
                  <c:v>0.22732477972473608</c:v>
                </c:pt>
                <c:pt idx="10">
                  <c:v>0.25069117087988779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45C7-44A3-96EF-D37B3D28CC49}"/>
            </c:ext>
          </c:extLst>
        </c:ser>
        <c:ser>
          <c:idx val="1"/>
          <c:order val="3"/>
          <c:tx>
            <c:strRef>
              <c:f>List1!$A$43</c:f>
              <c:strCache>
                <c:ptCount val="1"/>
                <c:pt idx="0">
                  <c:v> Podniky pod zahraniční kontrolou</c:v>
                </c:pt>
              </c:strCache>
            </c:strRef>
          </c:tx>
          <c:spPr>
            <a:ln w="28575" cap="rnd" cmpd="sng" algn="ctr">
              <a:solidFill>
                <a:schemeClr val="accent5">
                  <a:tint val="77000"/>
                  <a:shade val="95000"/>
                  <a:satMod val="105000"/>
                </a:schemeClr>
              </a:solidFill>
              <a:prstDash val="solid"/>
              <a:round/>
            </a:ln>
            <a:effectLst/>
          </c:spPr>
          <c:marker>
            <c:symbol val="none"/>
          </c:marker>
          <c:cat>
            <c:numRef>
              <c:f>List1!$B$41:$L$41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List1!$B$43:$L$43</c:f>
              <c:numCache>
                <c:formatCode>0.0%</c:formatCode>
                <c:ptCount val="11"/>
                <c:pt idx="0">
                  <c:v>9.6264558709444045E-2</c:v>
                </c:pt>
                <c:pt idx="1">
                  <c:v>0.11229252232780336</c:v>
                </c:pt>
                <c:pt idx="2">
                  <c:v>0.11176528192381927</c:v>
                </c:pt>
                <c:pt idx="3">
                  <c:v>0.12792218370145078</c:v>
                </c:pt>
                <c:pt idx="4">
                  <c:v>0.11003520566120112</c:v>
                </c:pt>
                <c:pt idx="5">
                  <c:v>0.10699805019531004</c:v>
                </c:pt>
                <c:pt idx="6">
                  <c:v>8.7341531192877978E-2</c:v>
                </c:pt>
                <c:pt idx="7">
                  <c:v>9.1220859597176643E-2</c:v>
                </c:pt>
                <c:pt idx="8">
                  <c:v>6.108583292713804E-2</c:v>
                </c:pt>
                <c:pt idx="9">
                  <c:v>6.7277621721723871E-2</c:v>
                </c:pt>
                <c:pt idx="10">
                  <c:v>6.4055877787223936E-2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45C7-44A3-96EF-D37B3D28CC4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277586304"/>
        <c:axId val="277587840"/>
      </c:lineChart>
      <c:catAx>
        <c:axId val="27758630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77587840"/>
        <c:crosses val="autoZero"/>
        <c:auto val="1"/>
        <c:lblAlgn val="ctr"/>
        <c:lblOffset val="100"/>
        <c:tickLblSkip val="2"/>
        <c:noMultiLvlLbl val="0"/>
      </c:catAx>
      <c:valAx>
        <c:axId val="277587840"/>
        <c:scaling>
          <c:orientation val="minMax"/>
          <c:max val="0.4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75000"/>
                </a:schemeClr>
              </a:solidFill>
              <a:prstDash val="solid"/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tint val="50000"/>
                  <a:shade val="95000"/>
                  <a:satMod val="105000"/>
                </a:schemeClr>
              </a:solidFill>
              <a:prstDash val="dashDot"/>
              <a:round/>
            </a:ln>
            <a:effectLst/>
          </c:spPr>
        </c:min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b) % z celkových výdajů na VaV </a:t>
                </a:r>
              </a:p>
              <a:p>
                <a:pPr>
                  <a:defRPr sz="8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r>
                  <a:rPr lang="cs-CZ"/>
                  <a:t>v dané skupině podniků</a:t>
                </a:r>
                <a:endParaRPr lang="en-US"/>
              </a:p>
            </c:rich>
          </c:tx>
          <c:overlay val="0"/>
          <c:spPr>
            <a:noFill/>
            <a:ln>
              <a:noFill/>
            </a:ln>
            <a:effectLst/>
          </c:spPr>
        </c:title>
        <c:numFmt formatCode="0%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77586304"/>
        <c:crosses val="autoZero"/>
        <c:crossBetween val="between"/>
        <c:majorUnit val="5.000000000000001E-2"/>
        <c:minorUnit val="2.5000000000000005E-2"/>
      </c:valAx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prstDash val="solid"/>
      <a:round/>
    </a:ln>
    <a:effectLst/>
  </c:spPr>
  <c:txPr>
    <a:bodyPr/>
    <a:lstStyle/>
    <a:p>
      <a:pPr>
        <a:defRPr sz="800" baseline="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900" b="1" i="0" u="none" strike="noStrike" kern="1200" spc="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cs-CZ" sz="900" b="1">
                <a:solidFill>
                  <a:sysClr val="windowText" lastClr="000000"/>
                </a:solidFill>
              </a:rPr>
              <a:t>a) Domácí podniky </a:t>
            </a:r>
            <a:endParaRPr lang="en-US" sz="900" b="1">
              <a:solidFill>
                <a:sysClr val="windowText" lastClr="000000"/>
              </a:solidFill>
            </a:endParaRPr>
          </a:p>
        </c:rich>
      </c:tx>
      <c:layout>
        <c:manualLayout>
          <c:xMode val="edge"/>
          <c:yMode val="edge"/>
          <c:x val="0.19434615384615384"/>
          <c:y val="2.599415204678362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spc="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7.0961209730440497E-2"/>
          <c:y val="0.11520672514619883"/>
          <c:w val="0.41499490466798161"/>
          <c:h val="0.6144415204678364"/>
        </c:manualLayout>
      </c:layout>
      <c:barChart>
        <c:barDir val="col"/>
        <c:grouping val="percentStacked"/>
        <c:varyColors val="0"/>
        <c:ser>
          <c:idx val="0"/>
          <c:order val="0"/>
          <c:tx>
            <c:strRef>
              <c:f>List1!$A$97</c:f>
              <c:strCache>
                <c:ptCount val="1"/>
                <c:pt idx="0">
                  <c:v> Domácí přímá - dotace ze SR ČR</c:v>
                </c:pt>
              </c:strCache>
            </c:strRef>
          </c:tx>
          <c:spPr>
            <a:solidFill>
              <a:srgbClr val="39869B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List1!$B$95:$I$96</c:f>
              <c:multiLvlStrCache>
                <c:ptCount val="8"/>
                <c:lvl>
                  <c:pt idx="0">
                    <c:v>2013</c:v>
                  </c:pt>
                  <c:pt idx="1">
                    <c:v>2018</c:v>
                  </c:pt>
                  <c:pt idx="2">
                    <c:v>2013</c:v>
                  </c:pt>
                  <c:pt idx="3">
                    <c:v>2018</c:v>
                  </c:pt>
                  <c:pt idx="4">
                    <c:v>2013</c:v>
                  </c:pt>
                  <c:pt idx="5">
                    <c:v>2018</c:v>
                  </c:pt>
                  <c:pt idx="6">
                    <c:v>2013</c:v>
                  </c:pt>
                  <c:pt idx="7">
                    <c:v>2018</c:v>
                  </c:pt>
                </c:lvl>
                <c:lvl>
                  <c:pt idx="0">
                    <c:v>Celkem</c:v>
                  </c:pt>
                  <c:pt idx="2">
                    <c:v>malé</c:v>
                  </c:pt>
                  <c:pt idx="4">
                    <c:v>střední</c:v>
                  </c:pt>
                  <c:pt idx="6">
                    <c:v>velké</c:v>
                  </c:pt>
                </c:lvl>
              </c:multiLvlStrCache>
            </c:multiLvlStrRef>
          </c:cat>
          <c:val>
            <c:numRef>
              <c:f>List1!$B$97:$I$97</c:f>
              <c:numCache>
                <c:formatCode>#,##0</c:formatCode>
                <c:ptCount val="8"/>
                <c:pt idx="0">
                  <c:v>3133.6268700000037</c:v>
                </c:pt>
                <c:pt idx="1">
                  <c:v>2957.4277039766775</c:v>
                </c:pt>
                <c:pt idx="2">
                  <c:v>1030.9134699999997</c:v>
                </c:pt>
                <c:pt idx="3">
                  <c:v>927.68629257765781</c:v>
                </c:pt>
                <c:pt idx="4">
                  <c:v>1553.0021699999988</c:v>
                </c:pt>
                <c:pt idx="5">
                  <c:v>1302.1676798610417</c:v>
                </c:pt>
                <c:pt idx="6">
                  <c:v>549.71122999999989</c:v>
                </c:pt>
                <c:pt idx="7">
                  <c:v>727.57373153797823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C17-499B-8C93-3286FA177E2B}"/>
            </c:ext>
          </c:extLst>
        </c:ser>
        <c:ser>
          <c:idx val="1"/>
          <c:order val="1"/>
          <c:tx>
            <c:strRef>
              <c:f>List1!$A$98</c:f>
              <c:strCache>
                <c:ptCount val="1"/>
                <c:pt idx="0">
                  <c:v> Domácí nepřímá - daňová podpora</c:v>
                </c:pt>
              </c:strCache>
            </c:strRef>
          </c:tx>
          <c:spPr>
            <a:solidFill>
              <a:srgbClr val="46A1B9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List1!$B$95:$I$96</c:f>
              <c:multiLvlStrCache>
                <c:ptCount val="8"/>
                <c:lvl>
                  <c:pt idx="0">
                    <c:v>2013</c:v>
                  </c:pt>
                  <c:pt idx="1">
                    <c:v>2018</c:v>
                  </c:pt>
                  <c:pt idx="2">
                    <c:v>2013</c:v>
                  </c:pt>
                  <c:pt idx="3">
                    <c:v>2018</c:v>
                  </c:pt>
                  <c:pt idx="4">
                    <c:v>2013</c:v>
                  </c:pt>
                  <c:pt idx="5">
                    <c:v>2018</c:v>
                  </c:pt>
                  <c:pt idx="6">
                    <c:v>2013</c:v>
                  </c:pt>
                  <c:pt idx="7">
                    <c:v>2018</c:v>
                  </c:pt>
                </c:lvl>
                <c:lvl>
                  <c:pt idx="0">
                    <c:v>Celkem</c:v>
                  </c:pt>
                  <c:pt idx="2">
                    <c:v>malé</c:v>
                  </c:pt>
                  <c:pt idx="4">
                    <c:v>střední</c:v>
                  </c:pt>
                  <c:pt idx="6">
                    <c:v>velké</c:v>
                  </c:pt>
                </c:lvl>
              </c:multiLvlStrCache>
            </c:multiLvlStrRef>
          </c:cat>
          <c:val>
            <c:numRef>
              <c:f>List1!$B$98:$I$98</c:f>
              <c:numCache>
                <c:formatCode>#,##0</c:formatCode>
                <c:ptCount val="8"/>
                <c:pt idx="0">
                  <c:v>789.42753725</c:v>
                </c:pt>
                <c:pt idx="1">
                  <c:v>966.02420366000024</c:v>
                </c:pt>
                <c:pt idx="2">
                  <c:v>158.97720850000007</c:v>
                </c:pt>
                <c:pt idx="3">
                  <c:v>152.92653443000003</c:v>
                </c:pt>
                <c:pt idx="4">
                  <c:v>296.83984144999965</c:v>
                </c:pt>
                <c:pt idx="5">
                  <c:v>273.68777258999989</c:v>
                </c:pt>
                <c:pt idx="6">
                  <c:v>333.61048729999993</c:v>
                </c:pt>
                <c:pt idx="7">
                  <c:v>539.40989664000006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C17-499B-8C93-3286FA177E2B}"/>
            </c:ext>
          </c:extLst>
        </c:ser>
        <c:ser>
          <c:idx val="2"/>
          <c:order val="2"/>
          <c:tx>
            <c:strRef>
              <c:f>List1!$A$99</c:f>
              <c:strCache>
                <c:ptCount val="1"/>
                <c:pt idx="0">
                  <c:v> Zahraniční přímá - zdroje z EU</c:v>
                </c:pt>
              </c:strCache>
            </c:strRef>
          </c:tx>
          <c:spPr>
            <a:solidFill>
              <a:srgbClr val="7CBBCF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List1!$B$95:$I$96</c:f>
              <c:multiLvlStrCache>
                <c:ptCount val="8"/>
                <c:lvl>
                  <c:pt idx="0">
                    <c:v>2013</c:v>
                  </c:pt>
                  <c:pt idx="1">
                    <c:v>2018</c:v>
                  </c:pt>
                  <c:pt idx="2">
                    <c:v>2013</c:v>
                  </c:pt>
                  <c:pt idx="3">
                    <c:v>2018</c:v>
                  </c:pt>
                  <c:pt idx="4">
                    <c:v>2013</c:v>
                  </c:pt>
                  <c:pt idx="5">
                    <c:v>2018</c:v>
                  </c:pt>
                  <c:pt idx="6">
                    <c:v>2013</c:v>
                  </c:pt>
                  <c:pt idx="7">
                    <c:v>2018</c:v>
                  </c:pt>
                </c:lvl>
                <c:lvl>
                  <c:pt idx="0">
                    <c:v>Celkem</c:v>
                  </c:pt>
                  <c:pt idx="2">
                    <c:v>malé</c:v>
                  </c:pt>
                  <c:pt idx="4">
                    <c:v>střední</c:v>
                  </c:pt>
                  <c:pt idx="6">
                    <c:v>velké</c:v>
                  </c:pt>
                </c:lvl>
              </c:multiLvlStrCache>
            </c:multiLvlStrRef>
          </c:cat>
          <c:val>
            <c:numRef>
              <c:f>List1!$B$99:$I$99</c:f>
              <c:numCache>
                <c:formatCode>#,##0</c:formatCode>
                <c:ptCount val="8"/>
                <c:pt idx="0">
                  <c:v>1176.9974000000004</c:v>
                </c:pt>
                <c:pt idx="1">
                  <c:v>956.11985147485473</c:v>
                </c:pt>
                <c:pt idx="2">
                  <c:v>361.04438000000005</c:v>
                </c:pt>
                <c:pt idx="3">
                  <c:v>451.3643072516</c:v>
                </c:pt>
                <c:pt idx="4">
                  <c:v>766.07101999999998</c:v>
                </c:pt>
                <c:pt idx="5">
                  <c:v>326.48154422325501</c:v>
                </c:pt>
                <c:pt idx="6">
                  <c:v>49.881999999999998</c:v>
                </c:pt>
                <c:pt idx="7">
                  <c:v>178.27399999999997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4C17-499B-8C93-3286FA177E2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0"/>
        <c:overlap val="100"/>
        <c:axId val="492399887"/>
        <c:axId val="404226095"/>
      </c:barChart>
      <c:catAx>
        <c:axId val="492399887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04226095"/>
        <c:crosses val="autoZero"/>
        <c:auto val="1"/>
        <c:lblAlgn val="ctr"/>
        <c:lblOffset val="100"/>
        <c:noMultiLvlLbl val="0"/>
      </c:catAx>
      <c:valAx>
        <c:axId val="404226095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prstDash val="dash"/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92399887"/>
        <c:crosses val="autoZero"/>
        <c:crossBetween val="between"/>
      </c:valAx>
      <c:spPr>
        <a:noFill/>
        <a:ln>
          <a:solidFill>
            <a:schemeClr val="tx1">
              <a:lumMod val="15000"/>
              <a:lumOff val="85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0.05"/>
          <c:y val="0.90402368421052637"/>
          <c:w val="0.9"/>
          <c:h val="7.3695614035087731E-2"/>
        </c:manualLayout>
      </c:layout>
      <c:overlay val="0"/>
      <c:spPr>
        <a:noFill/>
        <a:ln>
          <a:solidFill>
            <a:schemeClr val="tx1"/>
          </a:solidFill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900" b="1" i="0" u="none" strike="noStrike" kern="1200" spc="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cs-CZ" sz="900" b="1">
                <a:solidFill>
                  <a:sysClr val="windowText" lastClr="000000"/>
                </a:solidFill>
              </a:rPr>
              <a:t>b) Podniky pod zahraniční kontrolou</a:t>
            </a:r>
            <a:endParaRPr lang="en-US" sz="900" b="1">
              <a:solidFill>
                <a:sysClr val="windowText" lastClr="000000"/>
              </a:solidFill>
            </a:endParaRP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spc="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0.10644781144781143"/>
          <c:y val="0.11567729443655608"/>
          <c:w val="0.8366582840236686"/>
          <c:h val="0.71724796695495041"/>
        </c:manualLayout>
      </c:layout>
      <c:barChart>
        <c:barDir val="col"/>
        <c:grouping val="percentStacked"/>
        <c:varyColors val="0"/>
        <c:ser>
          <c:idx val="0"/>
          <c:order val="0"/>
          <c:tx>
            <c:strRef>
              <c:f>List1!$A$104</c:f>
              <c:strCache>
                <c:ptCount val="1"/>
                <c:pt idx="0">
                  <c:v> Domácí přímá - dotace ze SR ČR</c:v>
                </c:pt>
              </c:strCache>
            </c:strRef>
          </c:tx>
          <c:spPr>
            <a:solidFill>
              <a:srgbClr val="39869B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List1!$B$102:$I$103</c:f>
              <c:multiLvlStrCache>
                <c:ptCount val="8"/>
                <c:lvl>
                  <c:pt idx="0">
                    <c:v>2013</c:v>
                  </c:pt>
                  <c:pt idx="1">
                    <c:v>2018</c:v>
                  </c:pt>
                  <c:pt idx="2">
                    <c:v>2013</c:v>
                  </c:pt>
                  <c:pt idx="3">
                    <c:v>2018</c:v>
                  </c:pt>
                  <c:pt idx="4">
                    <c:v>2013</c:v>
                  </c:pt>
                  <c:pt idx="5">
                    <c:v>2018</c:v>
                  </c:pt>
                  <c:pt idx="6">
                    <c:v>2013</c:v>
                  </c:pt>
                  <c:pt idx="7">
                    <c:v>2018</c:v>
                  </c:pt>
                </c:lvl>
                <c:lvl>
                  <c:pt idx="0">
                    <c:v>Celkem</c:v>
                  </c:pt>
                  <c:pt idx="2">
                    <c:v>malé</c:v>
                  </c:pt>
                  <c:pt idx="4">
                    <c:v>střední</c:v>
                  </c:pt>
                  <c:pt idx="6">
                    <c:v>velké</c:v>
                  </c:pt>
                </c:lvl>
              </c:multiLvlStrCache>
            </c:multiLvlStrRef>
          </c:cat>
          <c:val>
            <c:numRef>
              <c:f>List1!$B$104:$I$104</c:f>
              <c:numCache>
                <c:formatCode>#,##0</c:formatCode>
                <c:ptCount val="8"/>
                <c:pt idx="0">
                  <c:v>621.28141999999968</c:v>
                </c:pt>
                <c:pt idx="1">
                  <c:v>601.67849447203571</c:v>
                </c:pt>
                <c:pt idx="2">
                  <c:v>86.662910000000011</c:v>
                </c:pt>
                <c:pt idx="3">
                  <c:v>89.302667403725479</c:v>
                </c:pt>
                <c:pt idx="4">
                  <c:v>284.25772000000001</c:v>
                </c:pt>
                <c:pt idx="5">
                  <c:v>196.94282706830984</c:v>
                </c:pt>
                <c:pt idx="6">
                  <c:v>250.36078999999989</c:v>
                </c:pt>
                <c:pt idx="7">
                  <c:v>315.43299999999994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172-4BEB-9AA0-B1C516EC2F91}"/>
            </c:ext>
          </c:extLst>
        </c:ser>
        <c:ser>
          <c:idx val="1"/>
          <c:order val="1"/>
          <c:tx>
            <c:strRef>
              <c:f>List1!$A$105</c:f>
              <c:strCache>
                <c:ptCount val="1"/>
                <c:pt idx="0">
                  <c:v> Domácí nepřímá - daňová podpora</c:v>
                </c:pt>
              </c:strCache>
            </c:strRef>
          </c:tx>
          <c:spPr>
            <a:solidFill>
              <a:srgbClr val="46A1B9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List1!$B$102:$I$103</c:f>
              <c:multiLvlStrCache>
                <c:ptCount val="8"/>
                <c:lvl>
                  <c:pt idx="0">
                    <c:v>2013</c:v>
                  </c:pt>
                  <c:pt idx="1">
                    <c:v>2018</c:v>
                  </c:pt>
                  <c:pt idx="2">
                    <c:v>2013</c:v>
                  </c:pt>
                  <c:pt idx="3">
                    <c:v>2018</c:v>
                  </c:pt>
                  <c:pt idx="4">
                    <c:v>2013</c:v>
                  </c:pt>
                  <c:pt idx="5">
                    <c:v>2018</c:v>
                  </c:pt>
                  <c:pt idx="6">
                    <c:v>2013</c:v>
                  </c:pt>
                  <c:pt idx="7">
                    <c:v>2018</c:v>
                  </c:pt>
                </c:lvl>
                <c:lvl>
                  <c:pt idx="0">
                    <c:v>Celkem</c:v>
                  </c:pt>
                  <c:pt idx="2">
                    <c:v>malé</c:v>
                  </c:pt>
                  <c:pt idx="4">
                    <c:v>střední</c:v>
                  </c:pt>
                  <c:pt idx="6">
                    <c:v>velké</c:v>
                  </c:pt>
                </c:lvl>
              </c:multiLvlStrCache>
            </c:multiLvlStrRef>
          </c:cat>
          <c:val>
            <c:numRef>
              <c:f>List1!$B$105:$I$105</c:f>
              <c:numCache>
                <c:formatCode>#,##0</c:formatCode>
                <c:ptCount val="8"/>
                <c:pt idx="0">
                  <c:v>1507.6323655299996</c:v>
                </c:pt>
                <c:pt idx="1">
                  <c:v>1617.0428851299998</c:v>
                </c:pt>
                <c:pt idx="2">
                  <c:v>41.694676159999993</c:v>
                </c:pt>
                <c:pt idx="3">
                  <c:v>28.84841839000001</c:v>
                </c:pt>
                <c:pt idx="4">
                  <c:v>197.24419764000007</c:v>
                </c:pt>
                <c:pt idx="5">
                  <c:v>142.52260620000001</c:v>
                </c:pt>
                <c:pt idx="6">
                  <c:v>1268.69349173</c:v>
                </c:pt>
                <c:pt idx="7">
                  <c:v>1445.6718605399999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172-4BEB-9AA0-B1C516EC2F91}"/>
            </c:ext>
          </c:extLst>
        </c:ser>
        <c:ser>
          <c:idx val="2"/>
          <c:order val="2"/>
          <c:tx>
            <c:strRef>
              <c:f>List1!$A$106</c:f>
              <c:strCache>
                <c:ptCount val="1"/>
                <c:pt idx="0">
                  <c:v> Zahraniční přímá - zdroje z EU</c:v>
                </c:pt>
              </c:strCache>
            </c:strRef>
          </c:tx>
          <c:spPr>
            <a:solidFill>
              <a:srgbClr val="7CBBCF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List1!$B$102:$I$103</c:f>
              <c:multiLvlStrCache>
                <c:ptCount val="8"/>
                <c:lvl>
                  <c:pt idx="0">
                    <c:v>2013</c:v>
                  </c:pt>
                  <c:pt idx="1">
                    <c:v>2018</c:v>
                  </c:pt>
                  <c:pt idx="2">
                    <c:v>2013</c:v>
                  </c:pt>
                  <c:pt idx="3">
                    <c:v>2018</c:v>
                  </c:pt>
                  <c:pt idx="4">
                    <c:v>2013</c:v>
                  </c:pt>
                  <c:pt idx="5">
                    <c:v>2018</c:v>
                  </c:pt>
                  <c:pt idx="6">
                    <c:v>2013</c:v>
                  </c:pt>
                  <c:pt idx="7">
                    <c:v>2018</c:v>
                  </c:pt>
                </c:lvl>
                <c:lvl>
                  <c:pt idx="0">
                    <c:v>Celkem</c:v>
                  </c:pt>
                  <c:pt idx="2">
                    <c:v>malé</c:v>
                  </c:pt>
                  <c:pt idx="4">
                    <c:v>střední</c:v>
                  </c:pt>
                  <c:pt idx="6">
                    <c:v>velké</c:v>
                  </c:pt>
                </c:lvl>
              </c:multiLvlStrCache>
            </c:multiLvlStrRef>
          </c:cat>
          <c:val>
            <c:numRef>
              <c:f>List1!$B$106:$I$106</c:f>
              <c:numCache>
                <c:formatCode>#,##0</c:formatCode>
                <c:ptCount val="8"/>
                <c:pt idx="0">
                  <c:v>339.22589000000016</c:v>
                </c:pt>
                <c:pt idx="1">
                  <c:v>473.0030000000001</c:v>
                </c:pt>
                <c:pt idx="2">
                  <c:v>3.6026699999999998</c:v>
                </c:pt>
                <c:pt idx="3">
                  <c:v>62.511999999999993</c:v>
                </c:pt>
                <c:pt idx="4">
                  <c:v>248.35021999999998</c:v>
                </c:pt>
                <c:pt idx="5">
                  <c:v>33.175000000000004</c:v>
                </c:pt>
                <c:pt idx="6">
                  <c:v>87.27300000000001</c:v>
                </c:pt>
                <c:pt idx="7">
                  <c:v>377.31600000000003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2172-4BEB-9AA0-B1C516EC2F9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0"/>
        <c:overlap val="100"/>
        <c:axId val="492399887"/>
        <c:axId val="404226095"/>
      </c:barChart>
      <c:catAx>
        <c:axId val="492399887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04226095"/>
        <c:crosses val="autoZero"/>
        <c:auto val="1"/>
        <c:lblAlgn val="ctr"/>
        <c:lblOffset val="100"/>
        <c:noMultiLvlLbl val="0"/>
      </c:catAx>
      <c:valAx>
        <c:axId val="404226095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prstDash val="dash"/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92399887"/>
        <c:crosses val="autoZero"/>
        <c:crossBetween val="between"/>
      </c:valAx>
      <c:spPr>
        <a:noFill/>
        <a:ln>
          <a:solidFill>
            <a:schemeClr val="tx1">
              <a:lumMod val="15000"/>
              <a:lumOff val="85000"/>
            </a:schemeClr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>
        <c:manualLayout>
          <c:layoutTarget val="inner"/>
          <c:xMode val="edge"/>
          <c:yMode val="edge"/>
          <c:x val="6.9322537692395797E-2"/>
          <c:y val="5.5436507936507937E-2"/>
          <c:w val="0.68104966177764659"/>
          <c:h val="0.84245119047619044"/>
        </c:manualLayout>
      </c:layout>
      <c:lineChart>
        <c:grouping val="standard"/>
        <c:varyColors val="0"/>
        <c:ser>
          <c:idx val="0"/>
          <c:order val="0"/>
          <c:tx>
            <c:strRef>
              <c:f>'2019G4'!$A$70</c:f>
              <c:strCache>
                <c:ptCount val="1"/>
                <c:pt idx="0">
                  <c:v> CELKEM</c:v>
                </c:pt>
              </c:strCache>
            </c:strRef>
          </c:tx>
          <c:spPr>
            <a:ln>
              <a:solidFill>
                <a:schemeClr val="accent5">
                  <a:lumMod val="50000"/>
                </a:schemeClr>
              </a:solidFill>
            </a:ln>
          </c:spPr>
          <c:marker>
            <c:symbol val="circle"/>
            <c:size val="5"/>
            <c:spPr>
              <a:solidFill>
                <a:schemeClr val="bg1"/>
              </a:solidFill>
              <a:ln>
                <a:solidFill>
                  <a:schemeClr val="accent5">
                    <a:lumMod val="50000"/>
                  </a:schemeClr>
                </a:solidFill>
              </a:ln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b="1"/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numRef>
              <c:f>'2019G4'!$B$69:$L$69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'2019G4'!$B$70:$L$70</c:f>
              <c:numCache>
                <c:formatCode>0.00%</c:formatCode>
                <c:ptCount val="11"/>
                <c:pt idx="0">
                  <c:v>4.1524934658340243E-3</c:v>
                </c:pt>
                <c:pt idx="1">
                  <c:v>4.3621250533629075E-3</c:v>
                </c:pt>
                <c:pt idx="2">
                  <c:v>4.8397095651774155E-3</c:v>
                </c:pt>
                <c:pt idx="3">
                  <c:v>6.6221081225870341E-3</c:v>
                </c:pt>
                <c:pt idx="4">
                  <c:v>7.212183033529748E-3</c:v>
                </c:pt>
                <c:pt idx="5">
                  <c:v>6.7817918276242197E-3</c:v>
                </c:pt>
                <c:pt idx="6">
                  <c:v>6.2930719536542371E-3</c:v>
                </c:pt>
                <c:pt idx="7">
                  <c:v>5.558985439783554E-3</c:v>
                </c:pt>
                <c:pt idx="8">
                  <c:v>4.3109833600229377E-3</c:v>
                </c:pt>
                <c:pt idx="9">
                  <c:v>5.0741049498523073E-3</c:v>
                </c:pt>
                <c:pt idx="10">
                  <c:v>5.4436156480409748E-3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FC73-4C43-A948-B67E6C34529F}"/>
            </c:ext>
          </c:extLst>
        </c:ser>
        <c:ser>
          <c:idx val="1"/>
          <c:order val="1"/>
          <c:tx>
            <c:strRef>
              <c:f>'2019G4'!$A$71</c:f>
              <c:strCache>
                <c:ptCount val="1"/>
                <c:pt idx="0">
                  <c:v> domácí přímá 
 - dotace ze SR ČR</c:v>
                </c:pt>
              </c:strCache>
            </c:strRef>
          </c:tx>
          <c:marker>
            <c:symbol val="circle"/>
            <c:size val="5"/>
            <c:spPr>
              <a:solidFill>
                <a:schemeClr val="bg1"/>
              </a:solidFill>
            </c:spPr>
          </c:marker>
          <c:dLbls>
            <c:spPr>
              <a:noFill/>
              <a:ln>
                <a:noFill/>
              </a:ln>
              <a:effectLst/>
            </c:sp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numRef>
              <c:f>'2019G4'!$B$69:$L$69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'2019G4'!$B$71:$L$71</c:f>
              <c:numCache>
                <c:formatCode>0.00%</c:formatCode>
                <c:ptCount val="11"/>
                <c:pt idx="0">
                  <c:v>3.0697000121777474E-3</c:v>
                </c:pt>
                <c:pt idx="1">
                  <c:v>3.1615667317047196E-3</c:v>
                </c:pt>
                <c:pt idx="2">
                  <c:v>3.1098750839003474E-3</c:v>
                </c:pt>
                <c:pt idx="3">
                  <c:v>3.9684125389975906E-3</c:v>
                </c:pt>
                <c:pt idx="4">
                  <c:v>3.9588565274748097E-3</c:v>
                </c:pt>
                <c:pt idx="5">
                  <c:v>3.370118253516176E-3</c:v>
                </c:pt>
                <c:pt idx="6">
                  <c:v>3.1182457299798998E-3</c:v>
                </c:pt>
                <c:pt idx="7">
                  <c:v>2.4323244149477394E-3</c:v>
                </c:pt>
                <c:pt idx="8">
                  <c:v>2.0158004011656882E-3</c:v>
                </c:pt>
                <c:pt idx="9">
                  <c:v>2.3752601621449066E-3</c:v>
                </c:pt>
                <c:pt idx="10">
                  <c:v>2.5306824869441211E-3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FC73-4C43-A948-B67E6C34529F}"/>
            </c:ext>
          </c:extLst>
        </c:ser>
        <c:ser>
          <c:idx val="2"/>
          <c:order val="2"/>
          <c:tx>
            <c:strRef>
              <c:f>'2019G4'!$A$72</c:f>
              <c:strCache>
                <c:ptCount val="1"/>
                <c:pt idx="0">
                  <c:v> domácí nepřímá 
 - daňová podpora</c:v>
                </c:pt>
              </c:strCache>
            </c:strRef>
          </c:tx>
          <c:marker>
            <c:symbol val="circle"/>
            <c:size val="5"/>
            <c:spPr>
              <a:solidFill>
                <a:schemeClr val="bg1"/>
              </a:solidFill>
            </c:spPr>
          </c:marker>
          <c:cat>
            <c:numRef>
              <c:f>'2019G4'!$B$69:$L$69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'2019G4'!$B$72:$L$72</c:f>
              <c:numCache>
                <c:formatCode>0.00%</c:formatCode>
                <c:ptCount val="11"/>
                <c:pt idx="0">
                  <c:v>9.4096509351959082E-4</c:v>
                </c:pt>
                <c:pt idx="1">
                  <c:v>8.9906599383552375E-4</c:v>
                </c:pt>
                <c:pt idx="2">
                  <c:v>1.1383670585651102E-3</c:v>
                </c:pt>
                <c:pt idx="3">
                  <c:v>1.589255854777806E-3</c:v>
                </c:pt>
                <c:pt idx="4">
                  <c:v>1.7204925930619768E-3</c:v>
                </c:pt>
                <c:pt idx="5">
                  <c:v>1.958064464710934E-3</c:v>
                </c:pt>
                <c:pt idx="6">
                  <c:v>1.86802733339738E-3</c:v>
                </c:pt>
                <c:pt idx="7">
                  <c:v>1.9460014420035147E-3</c:v>
                </c:pt>
                <c:pt idx="8">
                  <c:v>1.9547177402658637E-3</c:v>
                </c:pt>
                <c:pt idx="9">
                  <c:v>1.9657913196261092E-3</c:v>
                </c:pt>
                <c:pt idx="10">
                  <c:v>1.8437646691309565E-3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FC73-4C43-A948-B67E6C34529F}"/>
            </c:ext>
          </c:extLst>
        </c:ser>
        <c:ser>
          <c:idx val="3"/>
          <c:order val="3"/>
          <c:tx>
            <c:strRef>
              <c:f>'2019G4'!$A$73</c:f>
              <c:strCache>
                <c:ptCount val="1"/>
                <c:pt idx="0">
                  <c:v> zahraniční přímá  
 - zdroje z EU</c:v>
                </c:pt>
              </c:strCache>
            </c:strRef>
          </c:tx>
          <c:marker>
            <c:symbol val="circle"/>
            <c:size val="5"/>
            <c:spPr>
              <a:solidFill>
                <a:schemeClr val="bg1"/>
              </a:solidFill>
            </c:spPr>
          </c:marker>
          <c:cat>
            <c:numRef>
              <c:f>'2019G4'!$B$69:$L$69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'2019G4'!$B$73:$L$73</c:f>
              <c:numCache>
                <c:formatCode>0.00%</c:formatCode>
                <c:ptCount val="11"/>
                <c:pt idx="0">
                  <c:v>1.41828360136686E-4</c:v>
                </c:pt>
                <c:pt idx="1">
                  <c:v>3.0149232782266473E-4</c:v>
                </c:pt>
                <c:pt idx="2">
                  <c:v>5.9146742271195846E-4</c:v>
                </c:pt>
                <c:pt idx="3">
                  <c:v>1.0644397288116368E-3</c:v>
                </c:pt>
                <c:pt idx="4">
                  <c:v>1.5328339129929618E-3</c:v>
                </c:pt>
                <c:pt idx="5">
                  <c:v>1.4536091093971097E-3</c:v>
                </c:pt>
                <c:pt idx="6">
                  <c:v>1.3067988902769568E-3</c:v>
                </c:pt>
                <c:pt idx="7">
                  <c:v>1.1806595828323006E-3</c:v>
                </c:pt>
                <c:pt idx="8">
                  <c:v>3.4046521859138612E-4</c:v>
                </c:pt>
                <c:pt idx="9">
                  <c:v>7.3305346808129161E-4</c:v>
                </c:pt>
                <c:pt idx="10">
                  <c:v>1.0691684919658972E-3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FC73-4C43-A948-B67E6C34529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77586304"/>
        <c:axId val="277587840"/>
      </c:lineChart>
      <c:catAx>
        <c:axId val="27758630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277587840"/>
        <c:crosses val="autoZero"/>
        <c:auto val="1"/>
        <c:lblAlgn val="ctr"/>
        <c:lblOffset val="100"/>
        <c:noMultiLvlLbl val="0"/>
      </c:catAx>
      <c:valAx>
        <c:axId val="277587840"/>
        <c:scaling>
          <c:orientation val="minMax"/>
          <c:max val="8.0000000000000019E-3"/>
        </c:scaling>
        <c:delete val="0"/>
        <c:axPos val="l"/>
        <c:majorGridlines>
          <c:spPr>
            <a:ln>
              <a:solidFill>
                <a:schemeClr val="bg1">
                  <a:lumMod val="75000"/>
                </a:schemeClr>
              </a:solidFill>
              <a:prstDash val="solid"/>
            </a:ln>
          </c:spPr>
        </c:majorGridlines>
        <c:numFmt formatCode="0.0%" sourceLinked="0"/>
        <c:majorTickMark val="out"/>
        <c:minorTickMark val="none"/>
        <c:tickLblPos val="nextTo"/>
        <c:crossAx val="277586304"/>
        <c:crosses val="autoZero"/>
        <c:crossBetween val="between"/>
        <c:majorUnit val="1.0000000000000002E-3"/>
        <c:minorUnit val="5.0000000000000012E-4"/>
      </c:valAx>
      <c:spPr>
        <a:ln>
          <a:solidFill>
            <a:schemeClr val="bg1">
              <a:lumMod val="75000"/>
            </a:schemeClr>
          </a:solidFill>
        </a:ln>
      </c:spPr>
    </c:plotArea>
    <c:legend>
      <c:legendPos val="r"/>
      <c:layout>
        <c:manualLayout>
          <c:xMode val="edge"/>
          <c:yMode val="edge"/>
          <c:x val="0.7692394552164844"/>
          <c:y val="0.24881032401437625"/>
          <c:w val="0.20585701924750327"/>
          <c:h val="0.55219031663595253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800" baseline="0">
          <a:latin typeface="Arial" panose="020B0604020202020204" pitchFamily="34" charset="0"/>
        </a:defRPr>
      </a:pPr>
      <a:endParaRPr lang="cs-CZ"/>
    </a:p>
  </c:tx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>
        <c:manualLayout>
          <c:layoutTarget val="inner"/>
          <c:xMode val="edge"/>
          <c:yMode val="edge"/>
          <c:x val="6.9322537692395797E-2"/>
          <c:y val="5.5436507936507937E-2"/>
          <c:w val="0.65407031135739147"/>
          <c:h val="0.84245119047619044"/>
        </c:manualLayout>
      </c:layout>
      <c:lineChart>
        <c:grouping val="standard"/>
        <c:varyColors val="0"/>
        <c:ser>
          <c:idx val="0"/>
          <c:order val="0"/>
          <c:tx>
            <c:strRef>
              <c:f>'2019G4'!$A$36</c:f>
              <c:strCache>
                <c:ptCount val="1"/>
                <c:pt idx="0">
                  <c:v> CELKEM</c:v>
                </c:pt>
              </c:strCache>
            </c:strRef>
          </c:tx>
          <c:spPr>
            <a:ln>
              <a:solidFill>
                <a:schemeClr val="accent5">
                  <a:lumMod val="50000"/>
                </a:schemeClr>
              </a:solidFill>
            </a:ln>
          </c:spPr>
          <c:marker>
            <c:symbol val="circle"/>
            <c:size val="5"/>
            <c:spPr>
              <a:solidFill>
                <a:schemeClr val="bg1"/>
              </a:solidFill>
              <a:ln>
                <a:solidFill>
                  <a:schemeClr val="accent5">
                    <a:lumMod val="50000"/>
                  </a:schemeClr>
                </a:solidFill>
              </a:ln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b="1"/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numRef>
              <c:f>'2019G4'!$B$35:$L$35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'2019G4'!$B$36:$L$36</c:f>
              <c:numCache>
                <c:formatCode>0.00%</c:formatCode>
                <c:ptCount val="11"/>
                <c:pt idx="0">
                  <c:v>1.1051476577395745E-3</c:v>
                </c:pt>
                <c:pt idx="1">
                  <c:v>1.2808944810578234E-3</c:v>
                </c:pt>
                <c:pt idx="2">
                  <c:v>1.407523067619037E-3</c:v>
                </c:pt>
                <c:pt idx="3">
                  <c:v>1.7951136016490831E-3</c:v>
                </c:pt>
                <c:pt idx="4">
                  <c:v>1.9575652484117878E-3</c:v>
                </c:pt>
                <c:pt idx="5">
                  <c:v>1.8411876551391267E-3</c:v>
                </c:pt>
                <c:pt idx="6">
                  <c:v>1.7675267120088635E-3</c:v>
                </c:pt>
                <c:pt idx="7">
                  <c:v>1.5692174740930989E-3</c:v>
                </c:pt>
                <c:pt idx="8">
                  <c:v>1.1029228478946793E-3</c:v>
                </c:pt>
                <c:pt idx="9">
                  <c:v>1.2866007431168356E-3</c:v>
                </c:pt>
                <c:pt idx="10">
                  <c:v>1.4311767870869782E-3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2515-4401-8818-5A3AE048C667}"/>
            </c:ext>
          </c:extLst>
        </c:ser>
        <c:ser>
          <c:idx val="1"/>
          <c:order val="1"/>
          <c:tx>
            <c:strRef>
              <c:f>'2019G4'!$A$37</c:f>
              <c:strCache>
                <c:ptCount val="1"/>
                <c:pt idx="0">
                  <c:v> domácí přímá 
 - dotace ze SR ČR</c:v>
                </c:pt>
              </c:strCache>
            </c:strRef>
          </c:tx>
          <c:marker>
            <c:symbol val="circle"/>
            <c:size val="5"/>
            <c:spPr>
              <a:solidFill>
                <a:schemeClr val="bg1"/>
              </a:solidFill>
            </c:spPr>
          </c:marker>
          <c:dLbls>
            <c:spPr>
              <a:noFill/>
              <a:ln>
                <a:noFill/>
              </a:ln>
              <a:effectLst/>
            </c:sp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numRef>
              <c:f>'2019G4'!$B$35:$L$35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'2019G4'!$B$37:$L$37</c:f>
              <c:numCache>
                <c:formatCode>0.00%</c:formatCode>
                <c:ptCount val="11"/>
                <c:pt idx="0">
                  <c:v>8.1347458585324505E-4</c:v>
                </c:pt>
                <c:pt idx="1">
                  <c:v>9.2442716012506535E-4</c:v>
                </c:pt>
                <c:pt idx="2">
                  <c:v>9.0251879386159738E-4</c:v>
                </c:pt>
                <c:pt idx="3">
                  <c:v>1.0390798846236316E-3</c:v>
                </c:pt>
                <c:pt idx="4">
                  <c:v>1.0430599283925359E-3</c:v>
                </c:pt>
                <c:pt idx="5">
                  <c:v>9.0973280727200327E-4</c:v>
                </c:pt>
                <c:pt idx="6">
                  <c:v>8.7581751216853695E-4</c:v>
                </c:pt>
                <c:pt idx="7">
                  <c:v>6.8660837772366594E-4</c:v>
                </c:pt>
                <c:pt idx="8">
                  <c:v>5.1572277913618876E-4</c:v>
                </c:pt>
                <c:pt idx="9">
                  <c:v>6.0227597180472273E-4</c:v>
                </c:pt>
                <c:pt idx="10">
                  <c:v>6.6533977873794005E-4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2515-4401-8818-5A3AE048C667}"/>
            </c:ext>
          </c:extLst>
        </c:ser>
        <c:ser>
          <c:idx val="2"/>
          <c:order val="2"/>
          <c:tx>
            <c:strRef>
              <c:f>'2019G4'!$A$38</c:f>
              <c:strCache>
                <c:ptCount val="1"/>
                <c:pt idx="0">
                  <c:v> domácí nepřímá 
 - daňová podpora</c:v>
                </c:pt>
              </c:strCache>
            </c:strRef>
          </c:tx>
          <c:marker>
            <c:symbol val="circle"/>
            <c:size val="5"/>
            <c:spPr>
              <a:solidFill>
                <a:schemeClr val="bg1"/>
              </a:solidFill>
            </c:spPr>
          </c:marker>
          <c:cat>
            <c:numRef>
              <c:f>'2019G4'!$B$35:$L$35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'2019G4'!$B$38:$L$38</c:f>
              <c:numCache>
                <c:formatCode>0.00%</c:formatCode>
                <c:ptCount val="11"/>
                <c:pt idx="0">
                  <c:v>2.5346990831032001E-4</c:v>
                </c:pt>
                <c:pt idx="1">
                  <c:v>2.669488357064115E-4</c:v>
                </c:pt>
                <c:pt idx="2">
                  <c:v>3.3233250689722354E-4</c:v>
                </c:pt>
                <c:pt idx="3">
                  <c:v>4.5526483046689744E-4</c:v>
                </c:pt>
                <c:pt idx="4">
                  <c:v>4.8835362510566761E-4</c:v>
                </c:pt>
                <c:pt idx="5">
                  <c:v>5.6051443556179748E-4</c:v>
                </c:pt>
                <c:pt idx="6">
                  <c:v>5.2467034142606459E-4</c:v>
                </c:pt>
                <c:pt idx="7">
                  <c:v>5.4932676123742145E-4</c:v>
                </c:pt>
                <c:pt idx="8">
                  <c:v>5.000953789143851E-4</c:v>
                </c:pt>
                <c:pt idx="9">
                  <c:v>4.9845018927272965E-4</c:v>
                </c:pt>
                <c:pt idx="10">
                  <c:v>4.8474274561631676E-4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2515-4401-8818-5A3AE048C667}"/>
            </c:ext>
          </c:extLst>
        </c:ser>
        <c:ser>
          <c:idx val="3"/>
          <c:order val="3"/>
          <c:tx>
            <c:strRef>
              <c:f>'2019G4'!$A$39</c:f>
              <c:strCache>
                <c:ptCount val="1"/>
                <c:pt idx="0">
                  <c:v> zahraniční přímá  
 - zdroje z EU</c:v>
                </c:pt>
              </c:strCache>
            </c:strRef>
          </c:tx>
          <c:marker>
            <c:symbol val="circle"/>
            <c:size val="5"/>
            <c:spPr>
              <a:solidFill>
                <a:schemeClr val="bg1"/>
              </a:solidFill>
            </c:spPr>
          </c:marker>
          <c:cat>
            <c:numRef>
              <c:f>'2019G4'!$B$35:$L$35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'2019G4'!$B$39:$L$39</c:f>
              <c:numCache>
                <c:formatCode>0.00%</c:formatCode>
                <c:ptCount val="11"/>
                <c:pt idx="0">
                  <c:v>3.8203163576009346E-5</c:v>
                </c:pt>
                <c:pt idx="1">
                  <c:v>8.9518485226346657E-5</c:v>
                </c:pt>
                <c:pt idx="2">
                  <c:v>1.7267176686021628E-4</c:v>
                </c:pt>
                <c:pt idx="3">
                  <c:v>3.0076888655855403E-4</c:v>
                </c:pt>
                <c:pt idx="4">
                  <c:v>4.2615169491358435E-4</c:v>
                </c:pt>
                <c:pt idx="5">
                  <c:v>3.7094041230532584E-4</c:v>
                </c:pt>
                <c:pt idx="6">
                  <c:v>3.670388584142618E-4</c:v>
                </c:pt>
                <c:pt idx="7">
                  <c:v>3.3328233513201135E-4</c:v>
                </c:pt>
                <c:pt idx="8">
                  <c:v>8.7104689844105164E-5</c:v>
                </c:pt>
                <c:pt idx="9">
                  <c:v>1.8587458203938323E-4</c:v>
                </c:pt>
                <c:pt idx="10">
                  <c:v>2.8109426273272123E-4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2515-4401-8818-5A3AE048C66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77586304"/>
        <c:axId val="277587840"/>
      </c:lineChart>
      <c:catAx>
        <c:axId val="27758630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277587840"/>
        <c:crosses val="autoZero"/>
        <c:auto val="1"/>
        <c:lblAlgn val="ctr"/>
        <c:lblOffset val="100"/>
        <c:noMultiLvlLbl val="0"/>
      </c:catAx>
      <c:valAx>
        <c:axId val="277587840"/>
        <c:scaling>
          <c:orientation val="minMax"/>
          <c:max val="2.0000000000000005E-3"/>
        </c:scaling>
        <c:delete val="0"/>
        <c:axPos val="l"/>
        <c:majorGridlines>
          <c:spPr>
            <a:ln>
              <a:solidFill>
                <a:schemeClr val="bg1">
                  <a:lumMod val="75000"/>
                </a:schemeClr>
              </a:solidFill>
              <a:prstDash val="solid"/>
            </a:ln>
          </c:spPr>
        </c:majorGridlines>
        <c:minorGridlines>
          <c:spPr>
            <a:ln>
              <a:prstDash val="dash"/>
            </a:ln>
          </c:spPr>
        </c:minorGridlines>
        <c:numFmt formatCode="0.00%" sourceLinked="0"/>
        <c:majorTickMark val="out"/>
        <c:minorTickMark val="none"/>
        <c:tickLblPos val="nextTo"/>
        <c:crossAx val="277586304"/>
        <c:crosses val="autoZero"/>
        <c:crossBetween val="between"/>
        <c:majorUnit val="5.0000000000000012E-4"/>
      </c:valAx>
      <c:spPr>
        <a:ln>
          <a:solidFill>
            <a:schemeClr val="bg1">
              <a:lumMod val="75000"/>
            </a:schemeClr>
          </a:solidFill>
        </a:ln>
      </c:spPr>
    </c:plotArea>
    <c:legend>
      <c:legendPos val="r"/>
      <c:layout>
        <c:manualLayout>
          <c:xMode val="edge"/>
          <c:yMode val="edge"/>
          <c:x val="0.75263677803478879"/>
          <c:y val="0.18347930976713017"/>
          <c:w val="0.22245969642919883"/>
          <c:h val="0.55219031663595253"/>
        </c:manualLayout>
      </c:layout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800" baseline="0">
          <a:latin typeface="Arial" panose="020B0604020202020204" pitchFamily="34" charset="0"/>
        </a:defRPr>
      </a:pPr>
      <a:endParaRPr lang="cs-CZ"/>
    </a:p>
  </c:tx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>
        <c:manualLayout>
          <c:layoutTarget val="inner"/>
          <c:xMode val="edge"/>
          <c:yMode val="edge"/>
          <c:x val="3.0847390926197218E-2"/>
          <c:y val="0.18776672418103754"/>
          <c:w val="0.89478664757413517"/>
          <c:h val="0.69228926744799801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'[NVPVV18_grafy_final.xlsx]2019G1'!$A$32</c:f>
              <c:strCache>
                <c:ptCount val="1"/>
                <c:pt idx="0">
                  <c:v> Celkem (mld. Kč)</c:v>
                </c:pt>
              </c:strCache>
            </c:strRef>
          </c:tx>
          <c:spPr>
            <a:solidFill>
              <a:srgbClr val="B5D4E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shade val="95000"/>
                          <a:satMod val="105000"/>
                        </a:scheme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'[NVPVV18_grafy_final.xlsx]2019G1'!$B$31:$L$31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'[NVPVV18_grafy_final.xlsx]2019G1'!$B$32:$L$32</c:f>
              <c:numCache>
                <c:formatCode>#\ ##0.0</c:formatCode>
                <c:ptCount val="11"/>
                <c:pt idx="0">
                  <c:v>22.342191259999989</c:v>
                </c:pt>
                <c:pt idx="1">
                  <c:v>24.300861220000005</c:v>
                </c:pt>
                <c:pt idx="2">
                  <c:v>23.538875409999985</c:v>
                </c:pt>
                <c:pt idx="3">
                  <c:v>26.179053030000031</c:v>
                </c:pt>
                <c:pt idx="4">
                  <c:v>26.616461850000025</c:v>
                </c:pt>
                <c:pt idx="5">
                  <c:v>27.045283730000069</c:v>
                </c:pt>
                <c:pt idx="6">
                  <c:v>28.03448045000005</c:v>
                </c:pt>
                <c:pt idx="7">
                  <c:v>28.562501869999998</c:v>
                </c:pt>
                <c:pt idx="8">
                  <c:v>28.534980418193335</c:v>
                </c:pt>
                <c:pt idx="9">
                  <c:v>31.232402071476429</c:v>
                </c:pt>
                <c:pt idx="10">
                  <c:v>35.03651519844869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121-42D1-81C5-4E1D958F7713}"/>
            </c:ext>
          </c:extLst>
        </c:ser>
        <c:ser>
          <c:idx val="1"/>
          <c:order val="1"/>
          <c:tx>
            <c:strRef>
              <c:f>'[NVPVV18_grafy_final.xlsx]2019G1'!$A$33</c:f>
              <c:strCache>
                <c:ptCount val="1"/>
                <c:pt idx="0">
                  <c:v> z toho v soukromých podnicích (mld. Kč)</c:v>
                </c:pt>
              </c:strCache>
            </c:strRef>
          </c:tx>
          <c:spPr>
            <a:solidFill>
              <a:srgbClr val="39869B"/>
            </a:solidFill>
            <a:ln>
              <a:noFill/>
            </a:ln>
            <a:effectLst/>
          </c:spPr>
          <c:invertIfNegative val="0"/>
          <c:dLbls>
            <c:spPr>
              <a:solidFill>
                <a:srgbClr val="B5D4E0"/>
              </a:solidFill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shade val="95000"/>
                          <a:satMod val="105000"/>
                        </a:scheme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'[NVPVV18_grafy_final.xlsx]2019G1'!$B$31:$L$31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'[NVPVV18_grafy_final.xlsx]2019G1'!$B$33:$L$33</c:f>
              <c:numCache>
                <c:formatCode>#\ ##0.0</c:formatCode>
                <c:ptCount val="11"/>
                <c:pt idx="0">
                  <c:v>3.3273829099999963</c:v>
                </c:pt>
                <c:pt idx="1">
                  <c:v>3.6895768299999934</c:v>
                </c:pt>
                <c:pt idx="2">
                  <c:v>3.5974832299999999</c:v>
                </c:pt>
                <c:pt idx="3">
                  <c:v>4.5856046799999959</c:v>
                </c:pt>
                <c:pt idx="4">
                  <c:v>4.5621335199999988</c:v>
                </c:pt>
                <c:pt idx="5">
                  <c:v>3.9535794899999943</c:v>
                </c:pt>
                <c:pt idx="6">
                  <c:v>3.7780919500000025</c:v>
                </c:pt>
                <c:pt idx="7">
                  <c:v>3.1555031100000011</c:v>
                </c:pt>
                <c:pt idx="8">
                  <c:v>2.4589610536935615</c:v>
                </c:pt>
                <c:pt idx="9">
                  <c:v>3.0398476373829078</c:v>
                </c:pt>
                <c:pt idx="10">
                  <c:v>3.5454213618724535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121-42D1-81C5-4E1D958F771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0"/>
        <c:overlap val="50"/>
        <c:axId val="277586304"/>
        <c:axId val="277587840"/>
      </c:barChart>
      <c:lineChart>
        <c:grouping val="standard"/>
        <c:varyColors val="0"/>
        <c:ser>
          <c:idx val="2"/>
          <c:order val="2"/>
          <c:tx>
            <c:strRef>
              <c:f>'[NVPVV18_grafy_final.xlsx]2019G1'!$A$34</c:f>
              <c:strCache>
                <c:ptCount val="1"/>
                <c:pt idx="0">
                  <c:v> Podíl soukromých podniků na celkové přímé podpoře VaV ze státního rozpočtu ČR (%)</c:v>
                </c:pt>
              </c:strCache>
            </c:strRef>
          </c:tx>
          <c:spPr>
            <a:ln w="28575" cap="rnd" cmpd="sng" algn="ctr">
              <a:solidFill>
                <a:srgbClr val="46A1B9"/>
              </a:solidFill>
              <a:prstDash val="solid"/>
              <a:round/>
            </a:ln>
            <a:effectLst/>
          </c:spPr>
          <c:marker>
            <c:symbol val="diamond"/>
            <c:size val="7"/>
            <c:spPr>
              <a:solidFill>
                <a:srgbClr val="39869B"/>
              </a:solidFill>
              <a:ln w="9525" cap="flat" cmpd="sng" algn="ctr">
                <a:solidFill>
                  <a:schemeClr val="accent5">
                    <a:tint val="65000"/>
                    <a:shade val="95000"/>
                    <a:satMod val="105000"/>
                  </a:schemeClr>
                </a:solidFill>
                <a:prstDash val="solid"/>
                <a:round/>
              </a:ln>
              <a:effectLst/>
            </c:spPr>
          </c:marker>
          <c:cat>
            <c:numRef>
              <c:f>'[NVPVV18_grafy_final.xlsx]2019G1'!$B$31:$L$31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'[NVPVV18_grafy_final.xlsx]2019G1'!$B$34:$L$34</c:f>
              <c:numCache>
                <c:formatCode>0.0%</c:formatCode>
                <c:ptCount val="11"/>
                <c:pt idx="0">
                  <c:v>0.14892822603112915</c:v>
                </c:pt>
                <c:pt idx="1">
                  <c:v>0.15182905645185166</c:v>
                </c:pt>
                <c:pt idx="2">
                  <c:v>0.15283156766578945</c:v>
                </c:pt>
                <c:pt idx="3">
                  <c:v>0.17516312277396348</c:v>
                </c:pt>
                <c:pt idx="4">
                  <c:v>0.17140270354904419</c:v>
                </c:pt>
                <c:pt idx="5">
                  <c:v>0.14618369433538142</c:v>
                </c:pt>
                <c:pt idx="6">
                  <c:v>0.13476589861325558</c:v>
                </c:pt>
                <c:pt idx="7">
                  <c:v>0.11047712572106</c:v>
                </c:pt>
                <c:pt idx="8">
                  <c:v>8.6173567237697382E-2</c:v>
                </c:pt>
                <c:pt idx="9">
                  <c:v>9.7329934163440643E-2</c:v>
                </c:pt>
                <c:pt idx="10">
                  <c:v>0.10119218026653044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8121-42D1-81C5-4E1D958F771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724271256"/>
        <c:axId val="726864608"/>
      </c:lineChart>
      <c:catAx>
        <c:axId val="27758630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77587840"/>
        <c:crosses val="autoZero"/>
        <c:auto val="1"/>
        <c:lblAlgn val="ctr"/>
        <c:lblOffset val="100"/>
        <c:noMultiLvlLbl val="0"/>
      </c:catAx>
      <c:valAx>
        <c:axId val="2775878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75000"/>
                </a:schemeClr>
              </a:solidFill>
              <a:prstDash val="solid"/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tint val="50000"/>
                  <a:shade val="95000"/>
                  <a:satMod val="105000"/>
                </a:schemeClr>
              </a:solidFill>
              <a:prstDash val="dashDot"/>
              <a:round/>
            </a:ln>
            <a:effectLst/>
          </c:spPr>
        </c:minorGridlines>
        <c:numFmt formatCode="#,##0" sourceLinked="0"/>
        <c:majorTickMark val="none"/>
        <c:minorTickMark val="none"/>
        <c:tickLblPos val="none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77586304"/>
        <c:crosses val="autoZero"/>
        <c:crossBetween val="between"/>
        <c:majorUnit val="10"/>
        <c:minorUnit val="2"/>
      </c:valAx>
      <c:valAx>
        <c:axId val="726864608"/>
        <c:scaling>
          <c:orientation val="minMax"/>
          <c:max val="0.2"/>
          <c:min val="0"/>
        </c:scaling>
        <c:delete val="0"/>
        <c:axPos val="r"/>
        <c:numFmt formatCode="0%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724271256"/>
        <c:crosses val="max"/>
        <c:crossBetween val="between"/>
        <c:majorUnit val="2.0000000000000004E-2"/>
        <c:minorUnit val="1.0000000000000002E-2"/>
      </c:valAx>
      <c:catAx>
        <c:axId val="724271256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726864608"/>
        <c:crosses val="autoZero"/>
        <c:auto val="1"/>
        <c:lblAlgn val="ctr"/>
        <c:lblOffset val="100"/>
        <c:noMultiLvlLbl val="0"/>
      </c:catAx>
      <c:spPr>
        <a:solidFill>
          <a:schemeClr val="bg1"/>
        </a:solidFill>
        <a:ln>
          <a:noFill/>
        </a:ln>
        <a:effectLst/>
      </c:spPr>
    </c:plotArea>
    <c:legend>
      <c:legendPos val="t"/>
      <c:layout>
        <c:manualLayout>
          <c:xMode val="edge"/>
          <c:yMode val="edge"/>
          <c:x val="7.9918779577164367E-2"/>
          <c:y val="3.5281146637265712E-2"/>
          <c:w val="0.8770406796588478"/>
          <c:h val="0.13041265275004091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prstDash val="solid"/>
      <a:round/>
    </a:ln>
    <a:effectLst/>
  </c:spPr>
  <c:txPr>
    <a:bodyPr/>
    <a:lstStyle/>
    <a:p>
      <a:pPr>
        <a:defRPr sz="800" baseline="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>
        <c:manualLayout>
          <c:layoutTarget val="inner"/>
          <c:xMode val="edge"/>
          <c:yMode val="edge"/>
          <c:x val="5.0988633770631661E-2"/>
          <c:y val="0.21520694370279372"/>
          <c:w val="0.88008694156825529"/>
          <c:h val="0.6648490479262416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'2019G1'!$A$83</c:f>
              <c:strCache>
                <c:ptCount val="1"/>
                <c:pt idx="0">
                  <c:v> Celkem (mld. Kč)</c:v>
                </c:pt>
              </c:strCache>
            </c:strRef>
          </c:tx>
          <c:spPr>
            <a:solidFill>
              <a:srgbClr val="B5D4E0"/>
            </a:solidFill>
            <a:ln>
              <a:noFill/>
            </a:ln>
            <a:effectLst/>
          </c:spPr>
          <c:invertIfNegative val="0"/>
          <c:cat>
            <c:numRef>
              <c:f>'2019G1'!$B$82:$L$82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'2019G1'!$B$83:$L$83</c:f>
              <c:numCache>
                <c:formatCode>#\ ##0.0</c:formatCode>
                <c:ptCount val="11"/>
                <c:pt idx="0">
                  <c:v>0.86306699999999925</c:v>
                </c:pt>
                <c:pt idx="1">
                  <c:v>1.1525472600000006</c:v>
                </c:pt>
                <c:pt idx="2">
                  <c:v>1.9988088199999998</c:v>
                </c:pt>
                <c:pt idx="3">
                  <c:v>5.9430411400000045</c:v>
                </c:pt>
                <c:pt idx="4">
                  <c:v>11.502577980000003</c:v>
                </c:pt>
                <c:pt idx="5">
                  <c:v>12.407306980000007</c:v>
                </c:pt>
                <c:pt idx="6">
                  <c:v>13.132098189999995</c:v>
                </c:pt>
                <c:pt idx="7">
                  <c:v>13.523926729999991</c:v>
                </c:pt>
                <c:pt idx="8">
                  <c:v>2.3169812901295335</c:v>
                </c:pt>
                <c:pt idx="9">
                  <c:v>3.9945347100193191</c:v>
                </c:pt>
                <c:pt idx="10">
                  <c:v>6.3089448514748563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8F3-4894-BC01-F20EF8AD9A2F}"/>
            </c:ext>
          </c:extLst>
        </c:ser>
        <c:ser>
          <c:idx val="1"/>
          <c:order val="1"/>
          <c:tx>
            <c:strRef>
              <c:f>'2019G1'!$A$84</c:f>
              <c:strCache>
                <c:ptCount val="1"/>
                <c:pt idx="0">
                  <c:v> z toho v soukromých podnicích (mld. Kč)</c:v>
                </c:pt>
              </c:strCache>
            </c:strRef>
          </c:tx>
          <c:spPr>
            <a:solidFill>
              <a:srgbClr val="39869B"/>
            </a:solidFill>
            <a:ln>
              <a:noFill/>
            </a:ln>
            <a:effectLst/>
          </c:spPr>
          <c:invertIfNegative val="0"/>
          <c:dLbls>
            <c:spPr>
              <a:solidFill>
                <a:srgbClr val="B5D4E0"/>
              </a:solidFill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shade val="95000"/>
                          <a:satMod val="105000"/>
                        </a:scheme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'2019G1'!$B$82:$L$82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'2019G1'!$B$84:$L$84</c:f>
              <c:numCache>
                <c:formatCode>#\ ##0.0</c:formatCode>
                <c:ptCount val="11"/>
                <c:pt idx="0">
                  <c:v>0.15373399999999998</c:v>
                </c:pt>
                <c:pt idx="1">
                  <c:v>0.35184426000000013</c:v>
                </c:pt>
                <c:pt idx="2">
                  <c:v>0.68420565999999972</c:v>
                </c:pt>
                <c:pt idx="3">
                  <c:v>1.2299879999999999</c:v>
                </c:pt>
                <c:pt idx="4">
                  <c:v>1.76641738</c:v>
                </c:pt>
                <c:pt idx="5">
                  <c:v>1.7052692900000002</c:v>
                </c:pt>
                <c:pt idx="6">
                  <c:v>1.5833281900000011</c:v>
                </c:pt>
                <c:pt idx="7">
                  <c:v>1.53169329</c:v>
                </c:pt>
                <c:pt idx="8">
                  <c:v>0.41531429012979493</c:v>
                </c:pt>
                <c:pt idx="9">
                  <c:v>0.93815864406617167</c:v>
                </c:pt>
                <c:pt idx="10">
                  <c:v>1.4978776794058353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8F3-4894-BC01-F20EF8AD9A2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0"/>
        <c:overlap val="50"/>
        <c:axId val="277586304"/>
        <c:axId val="277587840"/>
      </c:barChart>
      <c:lineChart>
        <c:grouping val="standard"/>
        <c:varyColors val="0"/>
        <c:ser>
          <c:idx val="2"/>
          <c:order val="2"/>
          <c:tx>
            <c:strRef>
              <c:f>'2019G1'!$A$85</c:f>
              <c:strCache>
                <c:ptCount val="1"/>
                <c:pt idx="0">
                  <c:v> Podíl soukromých podniků na celkové přímé podpoře VaV ze zdrojů EU (%)</c:v>
                </c:pt>
              </c:strCache>
            </c:strRef>
          </c:tx>
          <c:spPr>
            <a:ln w="28575" cap="rnd" cmpd="sng" algn="ctr">
              <a:solidFill>
                <a:srgbClr val="46A1B9"/>
              </a:solidFill>
              <a:prstDash val="solid"/>
              <a:round/>
            </a:ln>
            <a:effectLst/>
          </c:spPr>
          <c:marker>
            <c:symbol val="diamond"/>
            <c:size val="7"/>
            <c:spPr>
              <a:solidFill>
                <a:srgbClr val="39869B"/>
              </a:solidFill>
              <a:ln w="9525" cap="flat" cmpd="sng" algn="ctr">
                <a:solidFill>
                  <a:schemeClr val="accent5">
                    <a:tint val="65000"/>
                    <a:shade val="95000"/>
                    <a:satMod val="105000"/>
                  </a:schemeClr>
                </a:solidFill>
                <a:prstDash val="solid"/>
                <a:round/>
              </a:ln>
              <a:effectLst/>
            </c:spPr>
          </c:marker>
          <c:cat>
            <c:numRef>
              <c:f>'2019G1'!$B$82:$L$82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'2019G1'!$B$85:$L$85</c:f>
              <c:numCache>
                <c:formatCode>0.0%</c:formatCode>
                <c:ptCount val="11"/>
                <c:pt idx="0">
                  <c:v>0.17812522086929533</c:v>
                </c:pt>
                <c:pt idx="1">
                  <c:v>0.30527534289570041</c:v>
                </c:pt>
                <c:pt idx="2">
                  <c:v>0.34230670445010331</c:v>
                </c:pt>
                <c:pt idx="3">
                  <c:v>0.20696272683045888</c:v>
                </c:pt>
                <c:pt idx="4">
                  <c:v>0.15356708583687423</c:v>
                </c:pt>
                <c:pt idx="5">
                  <c:v>0.13744072688366732</c:v>
                </c:pt>
                <c:pt idx="6">
                  <c:v>0.12056932312657355</c:v>
                </c:pt>
                <c:pt idx="7">
                  <c:v>0.11325802931202372</c:v>
                </c:pt>
                <c:pt idx="8">
                  <c:v>0.17924801201419124</c:v>
                </c:pt>
                <c:pt idx="9">
                  <c:v>0.23486055627781349</c:v>
                </c:pt>
                <c:pt idx="10">
                  <c:v>0.23742126689468099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38F3-4894-BC01-F20EF8AD9A2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724271256"/>
        <c:axId val="726864608"/>
      </c:lineChart>
      <c:catAx>
        <c:axId val="27758630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77587840"/>
        <c:crosses val="autoZero"/>
        <c:auto val="1"/>
        <c:lblAlgn val="ctr"/>
        <c:lblOffset val="100"/>
        <c:noMultiLvlLbl val="0"/>
      </c:catAx>
      <c:valAx>
        <c:axId val="2775878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bg1">
                  <a:lumMod val="75000"/>
                </a:schemeClr>
              </a:solidFill>
              <a:prstDash val="solid"/>
              <a:round/>
            </a:ln>
            <a:effectLst/>
          </c:spPr>
        </c:majorGridlines>
        <c:minorGridlines>
          <c:spPr>
            <a:ln w="9525" cap="flat" cmpd="sng" algn="ctr">
              <a:solidFill>
                <a:schemeClr val="tx1">
                  <a:tint val="50000"/>
                  <a:shade val="95000"/>
                  <a:satMod val="105000"/>
                </a:schemeClr>
              </a:solidFill>
              <a:prstDash val="dash"/>
              <a:round/>
            </a:ln>
            <a:effectLst/>
          </c:spPr>
        </c:minorGridlines>
        <c:numFmt formatCode="#,##0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77586304"/>
        <c:crosses val="autoZero"/>
        <c:crossBetween val="between"/>
        <c:majorUnit val="2"/>
        <c:minorUnit val="1"/>
      </c:valAx>
      <c:valAx>
        <c:axId val="726864608"/>
        <c:scaling>
          <c:orientation val="minMax"/>
          <c:max val="0.4"/>
          <c:min val="0"/>
        </c:scaling>
        <c:delete val="0"/>
        <c:axPos val="r"/>
        <c:numFmt formatCode="0%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724271256"/>
        <c:crosses val="max"/>
        <c:crossBetween val="between"/>
        <c:majorUnit val="5.000000000000001E-2"/>
        <c:minorUnit val="1.0000000000000002E-2"/>
      </c:valAx>
      <c:catAx>
        <c:axId val="724271256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726864608"/>
        <c:crosses val="autoZero"/>
        <c:auto val="1"/>
        <c:lblAlgn val="ctr"/>
        <c:lblOffset val="100"/>
        <c:noMultiLvlLbl val="0"/>
      </c:catAx>
      <c:spPr>
        <a:solidFill>
          <a:schemeClr val="bg1"/>
        </a:solidFill>
        <a:ln>
          <a:noFill/>
        </a:ln>
        <a:effectLst/>
      </c:spPr>
    </c:plotArea>
    <c:legend>
      <c:legendPos val="t"/>
      <c:layout>
        <c:manualLayout>
          <c:xMode val="edge"/>
          <c:yMode val="edge"/>
          <c:x val="7.9918779577164367E-2"/>
          <c:y val="3.5281146637265712E-2"/>
          <c:w val="0.8770406796588478"/>
          <c:h val="0.1421727468307935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prstDash val="solid"/>
      <a:round/>
    </a:ln>
    <a:effectLst/>
  </c:spPr>
  <c:txPr>
    <a:bodyPr/>
    <a:lstStyle/>
    <a:p>
      <a:pPr>
        <a:defRPr sz="800" baseline="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'2019G5'!$A$20</c:f>
              <c:strCache>
                <c:ptCount val="1"/>
                <c:pt idx="0">
                  <c:v> Výše podpory (mld. Kč)</c:v>
                </c:pt>
              </c:strCache>
            </c:strRef>
          </c:tx>
          <c:spPr>
            <a:solidFill>
              <a:schemeClr val="accent5">
                <a:lumMod val="75000"/>
              </a:schemeClr>
            </a:solidFill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numRef>
              <c:f>'2019G5'!$B$19:$L$19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'2019G5'!$B$20:$L$20</c:f>
              <c:numCache>
                <c:formatCode>#\ ##0.0</c:formatCode>
                <c:ptCount val="11"/>
                <c:pt idx="0">
                  <c:v>1.0199925670200001</c:v>
                </c:pt>
                <c:pt idx="1">
                  <c:v>1.0492181064000001</c:v>
                </c:pt>
                <c:pt idx="2">
                  <c:v>1.31685559461</c:v>
                </c:pt>
                <c:pt idx="3">
                  <c:v>1.8364267862200001</c:v>
                </c:pt>
                <c:pt idx="4">
                  <c:v>1.9826727428099997</c:v>
                </c:pt>
                <c:pt idx="5">
                  <c:v>2.2970599027800001</c:v>
                </c:pt>
                <c:pt idx="6">
                  <c:v>2.2633171474700009</c:v>
                </c:pt>
                <c:pt idx="7">
                  <c:v>2.5245865907399989</c:v>
                </c:pt>
                <c:pt idx="8">
                  <c:v>2.3844497657099977</c:v>
                </c:pt>
                <c:pt idx="9">
                  <c:v>2.515811191460001</c:v>
                </c:pt>
                <c:pt idx="10">
                  <c:v>2.5830670887900005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5F1-4F67-B8B3-2BE3C7BFA91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axId val="270393728"/>
        <c:axId val="270395264"/>
      </c:barChart>
      <c:lineChart>
        <c:grouping val="standard"/>
        <c:varyColors val="0"/>
        <c:ser>
          <c:idx val="1"/>
          <c:order val="1"/>
          <c:tx>
            <c:strRef>
              <c:f>'2019G5'!$A$21</c:f>
              <c:strCache>
                <c:ptCount val="1"/>
                <c:pt idx="0">
                  <c:v> Podniky, které využily tuto podporu (počet)</c:v>
                </c:pt>
              </c:strCache>
            </c:strRef>
          </c:tx>
          <c:marker>
            <c:symbol val="square"/>
            <c:size val="5"/>
            <c:spPr>
              <a:solidFill>
                <a:schemeClr val="bg1"/>
              </a:solidFill>
            </c:spPr>
          </c:marker>
          <c:cat>
            <c:numRef>
              <c:f>'2019G5'!$B$19:$L$19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'2019G5'!$B$21:$L$21</c:f>
              <c:numCache>
                <c:formatCode>#,##0</c:formatCode>
                <c:ptCount val="11"/>
                <c:pt idx="0">
                  <c:v>596</c:v>
                </c:pt>
                <c:pt idx="1">
                  <c:v>632</c:v>
                </c:pt>
                <c:pt idx="2">
                  <c:v>716</c:v>
                </c:pt>
                <c:pt idx="3">
                  <c:v>859</c:v>
                </c:pt>
                <c:pt idx="4">
                  <c:v>1021</c:v>
                </c:pt>
                <c:pt idx="5">
                  <c:v>1120</c:v>
                </c:pt>
                <c:pt idx="6">
                  <c:v>1264</c:v>
                </c:pt>
                <c:pt idx="7">
                  <c:v>1306</c:v>
                </c:pt>
                <c:pt idx="8" formatCode="General">
                  <c:v>1248</c:v>
                </c:pt>
                <c:pt idx="9" formatCode="General">
                  <c:v>1135</c:v>
                </c:pt>
                <c:pt idx="10" formatCode="General">
                  <c:v>1037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E5F1-4F67-B8B3-2BE3C7BFA91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70665216"/>
        <c:axId val="270663680"/>
      </c:lineChart>
      <c:catAx>
        <c:axId val="27039372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270395264"/>
        <c:crosses val="autoZero"/>
        <c:auto val="1"/>
        <c:lblAlgn val="ctr"/>
        <c:lblOffset val="100"/>
        <c:noMultiLvlLbl val="0"/>
      </c:catAx>
      <c:valAx>
        <c:axId val="270395264"/>
        <c:scaling>
          <c:orientation val="minMax"/>
          <c:max val="3.5"/>
        </c:scaling>
        <c:delete val="0"/>
        <c:axPos val="l"/>
        <c:minorGridlines>
          <c:spPr>
            <a:ln>
              <a:noFill/>
            </a:ln>
          </c:spPr>
        </c:minorGridlines>
        <c:numFmt formatCode="#\ ##0.0" sourceLinked="1"/>
        <c:majorTickMark val="none"/>
        <c:minorTickMark val="none"/>
        <c:tickLblPos val="none"/>
        <c:crossAx val="270393728"/>
        <c:crosses val="autoZero"/>
        <c:crossBetween val="between"/>
        <c:majorUnit val="0.5"/>
        <c:minorUnit val="0.25"/>
      </c:valAx>
      <c:valAx>
        <c:axId val="270663680"/>
        <c:scaling>
          <c:orientation val="minMax"/>
          <c:max val="1400"/>
        </c:scaling>
        <c:delete val="0"/>
        <c:axPos val="r"/>
        <c:majorGridlines>
          <c:spPr>
            <a:ln>
              <a:solidFill>
                <a:schemeClr val="bg1">
                  <a:lumMod val="65000"/>
                </a:schemeClr>
              </a:solidFill>
              <a:prstDash val="solid"/>
            </a:ln>
          </c:spPr>
        </c:majorGridlines>
        <c:minorGridlines>
          <c:spPr>
            <a:ln>
              <a:solidFill>
                <a:schemeClr val="bg1">
                  <a:lumMod val="75000"/>
                </a:schemeClr>
              </a:solidFill>
              <a:prstDash val="dash"/>
            </a:ln>
          </c:spPr>
        </c:minorGridlines>
        <c:numFmt formatCode="#,##0" sourceLinked="1"/>
        <c:majorTickMark val="out"/>
        <c:minorTickMark val="none"/>
        <c:tickLblPos val="nextTo"/>
        <c:spPr>
          <a:ln>
            <a:solidFill>
              <a:schemeClr val="bg1">
                <a:lumMod val="75000"/>
              </a:schemeClr>
            </a:solidFill>
          </a:ln>
        </c:spPr>
        <c:crossAx val="270665216"/>
        <c:crosses val="max"/>
        <c:crossBetween val="between"/>
        <c:majorUnit val="200"/>
        <c:minorUnit val="100"/>
      </c:valAx>
      <c:catAx>
        <c:axId val="270665216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270663680"/>
        <c:crosses val="autoZero"/>
        <c:auto val="1"/>
        <c:lblAlgn val="ctr"/>
        <c:lblOffset val="100"/>
        <c:noMultiLvlLbl val="0"/>
      </c:catAx>
      <c:spPr>
        <a:ln>
          <a:solidFill>
            <a:schemeClr val="bg1">
              <a:lumMod val="75000"/>
            </a:schemeClr>
          </a:solidFill>
        </a:ln>
      </c:spPr>
    </c:plotArea>
    <c:legend>
      <c:legendPos val="t"/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800" baseline="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1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'2019G6'!$A$25</c:f>
              <c:strCache>
                <c:ptCount val="1"/>
                <c:pt idx="0">
                  <c:v> Celkem (mld. Kč)</c:v>
                </c:pt>
              </c:strCache>
            </c:strRef>
          </c:tx>
          <c:spPr>
            <a:solidFill>
              <a:schemeClr val="accent5">
                <a:lumMod val="75000"/>
              </a:schemeClr>
            </a:solidFill>
          </c:spPr>
          <c:invertIfNegative val="0"/>
          <c:cat>
            <c:numRef>
              <c:f>'2019G6'!$B$24:$L$24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'2019G6'!$B$25:$L$25</c:f>
              <c:numCache>
                <c:formatCode>#\ ##0.0</c:formatCode>
                <c:ptCount val="11"/>
                <c:pt idx="0">
                  <c:v>4.8571074620000001</c:v>
                </c:pt>
                <c:pt idx="1">
                  <c:v>5.2460905319999993</c:v>
                </c:pt>
                <c:pt idx="2">
                  <c:v>6.9308189189999982</c:v>
                </c:pt>
                <c:pt idx="3">
                  <c:v>9.6654041380000031</c:v>
                </c:pt>
                <c:pt idx="4">
                  <c:v>10.435119698999999</c:v>
                </c:pt>
                <c:pt idx="5">
                  <c:v>12.089788961999998</c:v>
                </c:pt>
                <c:pt idx="6">
                  <c:v>11.912195513000002</c:v>
                </c:pt>
                <c:pt idx="7">
                  <c:v>13.287297845999998</c:v>
                </c:pt>
                <c:pt idx="8">
                  <c:v>12.549735608999999</c:v>
                </c:pt>
                <c:pt idx="9">
                  <c:v>13.241111534</c:v>
                </c:pt>
                <c:pt idx="10">
                  <c:v>13.595089941000001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0D5-4799-8EC7-33184923113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76529536"/>
        <c:axId val="276531072"/>
      </c:barChart>
      <c:lineChart>
        <c:grouping val="standard"/>
        <c:varyColors val="0"/>
        <c:ser>
          <c:idx val="1"/>
          <c:order val="1"/>
          <c:tx>
            <c:strRef>
              <c:f>'2019G6'!$A$26</c:f>
              <c:strCache>
                <c:ptCount val="1"/>
                <c:pt idx="0">
                  <c:v> Připadající v průměru na jeden podnik, který využil tento odečet (mil. Kč)</c:v>
                </c:pt>
              </c:strCache>
            </c:strRef>
          </c:tx>
          <c:marker>
            <c:symbol val="triangle"/>
            <c:size val="5"/>
            <c:spPr>
              <a:solidFill>
                <a:schemeClr val="bg1"/>
              </a:solidFill>
            </c:spPr>
          </c:marker>
          <c:cat>
            <c:numRef>
              <c:f>'2019G6'!$B$24:$L$24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'2019G6'!$B$26:$L$26</c:f>
              <c:numCache>
                <c:formatCode>#\ ##0.0</c:formatCode>
                <c:ptCount val="11"/>
                <c:pt idx="0">
                  <c:v>8.1495091644295297</c:v>
                </c:pt>
                <c:pt idx="1">
                  <c:v>8.3007761582278476</c:v>
                </c:pt>
                <c:pt idx="2">
                  <c:v>9.6799146913407803</c:v>
                </c:pt>
                <c:pt idx="3">
                  <c:v>11.251925655413276</c:v>
                </c:pt>
                <c:pt idx="4">
                  <c:v>10.220489421155728</c:v>
                </c:pt>
                <c:pt idx="5">
                  <c:v>10.794454430357142</c:v>
                </c:pt>
                <c:pt idx="6">
                  <c:v>9.4242053109177242</c:v>
                </c:pt>
                <c:pt idx="7">
                  <c:v>10.174041229709033</c:v>
                </c:pt>
                <c:pt idx="8">
                  <c:v>10.055877891826922</c:v>
                </c:pt>
                <c:pt idx="9">
                  <c:v>11.666177562995589</c:v>
                </c:pt>
                <c:pt idx="10">
                  <c:v>13.110019229508199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E0D5-4799-8EC7-33184923113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76539264"/>
        <c:axId val="276537344"/>
      </c:lineChart>
      <c:catAx>
        <c:axId val="27652953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00"/>
            </a:pPr>
            <a:endParaRPr lang="cs-CZ"/>
          </a:p>
        </c:txPr>
        <c:crossAx val="276531072"/>
        <c:crosses val="autoZero"/>
        <c:auto val="1"/>
        <c:lblAlgn val="ctr"/>
        <c:lblOffset val="100"/>
        <c:noMultiLvlLbl val="0"/>
      </c:catAx>
      <c:valAx>
        <c:axId val="276531072"/>
        <c:scaling>
          <c:orientation val="minMax"/>
          <c:max val="14"/>
        </c:scaling>
        <c:delete val="0"/>
        <c:axPos val="l"/>
        <c:majorGridlines>
          <c:spPr>
            <a:ln cmpd="sng">
              <a:solidFill>
                <a:schemeClr val="bg1">
                  <a:lumMod val="75000"/>
                </a:schemeClr>
              </a:solidFill>
              <a:prstDash val="solid"/>
            </a:ln>
          </c:spPr>
        </c:majorGridlines>
        <c:minorGridlines>
          <c:spPr>
            <a:ln>
              <a:prstDash val="dash"/>
            </a:ln>
          </c:spPr>
        </c:minorGridlines>
        <c:title>
          <c:tx>
            <c:rich>
              <a:bodyPr rot="-5400000" vert="horz"/>
              <a:lstStyle/>
              <a:p>
                <a:pPr>
                  <a:defRPr sz="800"/>
                </a:pPr>
                <a:r>
                  <a:rPr lang="en-US" sz="800"/>
                  <a:t>ml</a:t>
                </a:r>
                <a:r>
                  <a:rPr lang="cs-CZ" sz="800"/>
                  <a:t>d</a:t>
                </a:r>
                <a:r>
                  <a:rPr lang="en-US" sz="800"/>
                  <a:t>. Kč</a:t>
                </a:r>
              </a:p>
            </c:rich>
          </c:tx>
          <c:overlay val="0"/>
        </c:title>
        <c:numFmt formatCode="#,##0" sourceLinked="0"/>
        <c:majorTickMark val="out"/>
        <c:minorTickMark val="none"/>
        <c:tickLblPos val="nextTo"/>
        <c:crossAx val="276529536"/>
        <c:crosses val="autoZero"/>
        <c:crossBetween val="between"/>
        <c:majorUnit val="2"/>
        <c:minorUnit val="1"/>
      </c:valAx>
      <c:valAx>
        <c:axId val="276537344"/>
        <c:scaling>
          <c:orientation val="minMax"/>
        </c:scaling>
        <c:delete val="0"/>
        <c:axPos val="r"/>
        <c:title>
          <c:tx>
            <c:rich>
              <a:bodyPr rot="-5400000" vert="horz"/>
              <a:lstStyle/>
              <a:p>
                <a:pPr>
                  <a:defRPr sz="800"/>
                </a:pPr>
                <a:r>
                  <a:rPr lang="en-US" sz="800"/>
                  <a:t>mil. Kč</a:t>
                </a:r>
              </a:p>
            </c:rich>
          </c:tx>
          <c:overlay val="0"/>
        </c:title>
        <c:numFmt formatCode="#,##0" sourceLinked="0"/>
        <c:majorTickMark val="out"/>
        <c:minorTickMark val="none"/>
        <c:tickLblPos val="nextTo"/>
        <c:crossAx val="276539264"/>
        <c:crosses val="max"/>
        <c:crossBetween val="between"/>
      </c:valAx>
      <c:catAx>
        <c:axId val="276539264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276537344"/>
        <c:crosses val="autoZero"/>
        <c:auto val="1"/>
        <c:lblAlgn val="ctr"/>
        <c:lblOffset val="100"/>
        <c:noMultiLvlLbl val="0"/>
      </c:catAx>
      <c:spPr>
        <a:ln>
          <a:solidFill>
            <a:schemeClr val="bg1">
              <a:lumMod val="75000"/>
            </a:schemeClr>
          </a:solidFill>
        </a:ln>
      </c:spPr>
    </c:plotArea>
    <c:legend>
      <c:legendPos val="t"/>
      <c:overlay val="0"/>
      <c:txPr>
        <a:bodyPr/>
        <a:lstStyle/>
        <a:p>
          <a:pPr>
            <a:defRPr sz="800"/>
          </a:pPr>
          <a:endParaRPr lang="cs-CZ"/>
        </a:p>
      </c:txPr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900" baseline="0">
          <a:latin typeface="Arial" panose="020B0604020202020204" pitchFamily="34" charset="0"/>
        </a:defRPr>
      </a:pPr>
      <a:endParaRPr lang="cs-CZ"/>
    </a:p>
  </c:txPr>
  <c:externalData r:id="rId1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>
        <c:manualLayout>
          <c:layoutTarget val="inner"/>
          <c:xMode val="edge"/>
          <c:yMode val="edge"/>
          <c:x val="7.2147810051816363E-2"/>
          <c:y val="7.7853822418510327E-2"/>
          <c:w val="0.89268286077290426"/>
          <c:h val="0.72708024337255051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'2019G8'!$N$3</c:f>
              <c:strCache>
                <c:ptCount val="1"/>
                <c:pt idx="0">
                  <c:v> méně než 0,1 mil. Kč</c:v>
                </c:pt>
              </c:strCache>
            </c:strRef>
          </c:tx>
          <c:spPr>
            <a:solidFill>
              <a:srgbClr val="39869B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'2019G8'!$P$2:$Z$2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'2019G8'!$P$3:$Z$3</c:f>
              <c:numCache>
                <c:formatCode>General</c:formatCode>
                <c:ptCount val="11"/>
                <c:pt idx="0">
                  <c:v>132</c:v>
                </c:pt>
                <c:pt idx="1">
                  <c:v>155</c:v>
                </c:pt>
                <c:pt idx="2">
                  <c:v>173</c:v>
                </c:pt>
                <c:pt idx="3">
                  <c:v>162</c:v>
                </c:pt>
                <c:pt idx="4">
                  <c:v>198</c:v>
                </c:pt>
                <c:pt idx="5">
                  <c:v>207</c:v>
                </c:pt>
                <c:pt idx="6">
                  <c:v>206</c:v>
                </c:pt>
                <c:pt idx="7">
                  <c:v>223</c:v>
                </c:pt>
                <c:pt idx="8">
                  <c:v>191</c:v>
                </c:pt>
                <c:pt idx="9">
                  <c:v>166</c:v>
                </c:pt>
                <c:pt idx="10">
                  <c:v>158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4B5-47EE-9DC4-CDD585C164DC}"/>
            </c:ext>
          </c:extLst>
        </c:ser>
        <c:ser>
          <c:idx val="1"/>
          <c:order val="1"/>
          <c:tx>
            <c:strRef>
              <c:f>'2019G8'!$N$4</c:f>
              <c:strCache>
                <c:ptCount val="1"/>
                <c:pt idx="0">
                  <c:v> 0,1-0,99 mil. Kč</c:v>
                </c:pt>
              </c:strCache>
            </c:strRef>
          </c:tx>
          <c:spPr>
            <a:solidFill>
              <a:srgbClr val="46A1B9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'2019G8'!$P$2:$Z$2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'2019G8'!$P$4:$Z$4</c:f>
              <c:numCache>
                <c:formatCode>General</c:formatCode>
                <c:ptCount val="11"/>
                <c:pt idx="0">
                  <c:v>318</c:v>
                </c:pt>
                <c:pt idx="1">
                  <c:v>334</c:v>
                </c:pt>
                <c:pt idx="2">
                  <c:v>369</c:v>
                </c:pt>
                <c:pt idx="3">
                  <c:v>468</c:v>
                </c:pt>
                <c:pt idx="4">
                  <c:v>536</c:v>
                </c:pt>
                <c:pt idx="5">
                  <c:v>577</c:v>
                </c:pt>
                <c:pt idx="6">
                  <c:v>678</c:v>
                </c:pt>
                <c:pt idx="7">
                  <c:v>694</c:v>
                </c:pt>
                <c:pt idx="8">
                  <c:v>665</c:v>
                </c:pt>
                <c:pt idx="9">
                  <c:v>620</c:v>
                </c:pt>
                <c:pt idx="10">
                  <c:v>561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4B5-47EE-9DC4-CDD585C164DC}"/>
            </c:ext>
          </c:extLst>
        </c:ser>
        <c:ser>
          <c:idx val="2"/>
          <c:order val="2"/>
          <c:tx>
            <c:strRef>
              <c:f>'2019G8'!$N$5</c:f>
              <c:strCache>
                <c:ptCount val="1"/>
                <c:pt idx="0">
                  <c:v> 1-9,99 mil. Kč</c:v>
                </c:pt>
              </c:strCache>
            </c:strRef>
          </c:tx>
          <c:spPr>
            <a:solidFill>
              <a:schemeClr val="accent5">
                <a:tint val="86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'2019G8'!$P$2:$Z$2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'2019G8'!$P$5:$Z$5</c:f>
              <c:numCache>
                <c:formatCode>General</c:formatCode>
                <c:ptCount val="11"/>
                <c:pt idx="0">
                  <c:v>136</c:v>
                </c:pt>
                <c:pt idx="1">
                  <c:v>132</c:v>
                </c:pt>
                <c:pt idx="2">
                  <c:v>157</c:v>
                </c:pt>
                <c:pt idx="3">
                  <c:v>210</c:v>
                </c:pt>
                <c:pt idx="4">
                  <c:v>264</c:v>
                </c:pt>
                <c:pt idx="5">
                  <c:v>304</c:v>
                </c:pt>
                <c:pt idx="6">
                  <c:v>340</c:v>
                </c:pt>
                <c:pt idx="7">
                  <c:v>350</c:v>
                </c:pt>
                <c:pt idx="8">
                  <c:v>353</c:v>
                </c:pt>
                <c:pt idx="9">
                  <c:v>316</c:v>
                </c:pt>
                <c:pt idx="10">
                  <c:v>275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74B5-47EE-9DC4-CDD585C164DC}"/>
            </c:ext>
          </c:extLst>
        </c:ser>
        <c:ser>
          <c:idx val="3"/>
          <c:order val="3"/>
          <c:tx>
            <c:strRef>
              <c:f>'2019G8'!$N$6</c:f>
              <c:strCache>
                <c:ptCount val="1"/>
                <c:pt idx="0">
                  <c:v> 10 mil. Kč a více</c:v>
                </c:pt>
              </c:strCache>
            </c:strRef>
          </c:tx>
          <c:spPr>
            <a:solidFill>
              <a:schemeClr val="accent5">
                <a:tint val="58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-2.6800665303654703E-2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74B5-47EE-9DC4-CDD585C164DC}"/>
                </c:ext>
              </c:extLst>
            </c:dLbl>
            <c:dLbl>
              <c:idx val="1"/>
              <c:layout>
                <c:manualLayout>
                  <c:x val="0"/>
                  <c:y val="-3.1267442854263819E-2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74B5-47EE-9DC4-CDD585C164DC}"/>
                </c:ext>
              </c:extLst>
            </c:dLbl>
            <c:dLbl>
              <c:idx val="2"/>
              <c:layout>
                <c:manualLayout>
                  <c:x val="-4.0465351542741529E-3"/>
                  <c:y val="-2.6800665303654703E-2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74B5-47EE-9DC4-CDD585C164DC}"/>
                </c:ext>
              </c:extLst>
            </c:dLbl>
            <c:dLbl>
              <c:idx val="3"/>
              <c:layout>
                <c:manualLayout>
                  <c:x val="-2.0232675771370764E-3"/>
                  <c:y val="-2.2333887753045584E-2"/>
                </c:manualLayout>
              </c:layout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74B5-47EE-9DC4-CDD585C164DC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+mn-cs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'2019G8'!$P$2:$Z$2</c:f>
              <c:numCache>
                <c:formatCode>General</c:formatCode>
                <c:ptCount val="11"/>
                <c:pt idx="0">
                  <c:v>2008</c:v>
                </c:pt>
                <c:pt idx="1">
                  <c:v>2009</c:v>
                </c:pt>
                <c:pt idx="2">
                  <c:v>2010</c:v>
                </c:pt>
                <c:pt idx="3">
                  <c:v>2011</c:v>
                </c:pt>
                <c:pt idx="4">
                  <c:v>2012</c:v>
                </c:pt>
                <c:pt idx="5">
                  <c:v>2013</c:v>
                </c:pt>
                <c:pt idx="6">
                  <c:v>2014</c:v>
                </c:pt>
                <c:pt idx="7">
                  <c:v>2015</c:v>
                </c:pt>
                <c:pt idx="8">
                  <c:v>2016</c:v>
                </c:pt>
                <c:pt idx="9">
                  <c:v>2017</c:v>
                </c:pt>
                <c:pt idx="10">
                  <c:v>2018</c:v>
                </c:pt>
              </c:numCache>
            </c:numRef>
          </c:cat>
          <c:val>
            <c:numRef>
              <c:f>'2019G8'!$P$6:$Z$6</c:f>
              <c:numCache>
                <c:formatCode>General</c:formatCode>
                <c:ptCount val="11"/>
                <c:pt idx="0">
                  <c:v>10</c:v>
                </c:pt>
                <c:pt idx="1">
                  <c:v>11</c:v>
                </c:pt>
                <c:pt idx="2">
                  <c:v>17</c:v>
                </c:pt>
                <c:pt idx="3">
                  <c:v>19</c:v>
                </c:pt>
                <c:pt idx="4">
                  <c:v>23</c:v>
                </c:pt>
                <c:pt idx="5">
                  <c:v>32</c:v>
                </c:pt>
                <c:pt idx="6">
                  <c:v>40</c:v>
                </c:pt>
                <c:pt idx="7">
                  <c:v>39</c:v>
                </c:pt>
                <c:pt idx="8">
                  <c:v>39</c:v>
                </c:pt>
                <c:pt idx="9">
                  <c:v>33</c:v>
                </c:pt>
                <c:pt idx="10">
                  <c:v>43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74B5-47EE-9DC4-CDD585C164D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60"/>
        <c:overlap val="100"/>
        <c:axId val="1029031408"/>
        <c:axId val="1029032656"/>
      </c:barChart>
      <c:catAx>
        <c:axId val="102903140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75000"/>
                <a:lumOff val="2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+mn-cs"/>
              </a:defRPr>
            </a:pPr>
            <a:endParaRPr lang="cs-CZ"/>
          </a:p>
        </c:txPr>
        <c:crossAx val="1029032656"/>
        <c:crosses val="autoZero"/>
        <c:auto val="1"/>
        <c:lblAlgn val="ctr"/>
        <c:lblOffset val="100"/>
        <c:noMultiLvlLbl val="0"/>
      </c:catAx>
      <c:valAx>
        <c:axId val="1029032656"/>
        <c:scaling>
          <c:orientation val="minMax"/>
          <c:max val="140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prstDash val="dash"/>
              <a:round/>
            </a:ln>
            <a:effectLst/>
          </c:spPr>
        </c:majorGridlines>
        <c:numFmt formatCode="General" sourceLinked="1"/>
        <c:majorTickMark val="out"/>
        <c:minorTickMark val="none"/>
        <c:tickLblPos val="nextTo"/>
        <c:spPr>
          <a:noFill/>
          <a:ln>
            <a:solidFill>
              <a:schemeClr val="tx1">
                <a:lumMod val="75000"/>
                <a:lumOff val="2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+mn-cs"/>
              </a:defRPr>
            </a:pPr>
            <a:endParaRPr lang="cs-CZ"/>
          </a:p>
        </c:txPr>
        <c:crossAx val="1029031408"/>
        <c:crosses val="autoZero"/>
        <c:crossBetween val="between"/>
      </c:valAx>
      <c:spPr>
        <a:noFill/>
        <a:ln>
          <a:solidFill>
            <a:schemeClr val="tx1">
              <a:lumMod val="15000"/>
              <a:lumOff val="85000"/>
            </a:schemeClr>
          </a:solidFill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+mn-cs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 baseline="0">
          <a:latin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8.6613298337707784E-2"/>
          <c:y val="7.7601410934744264E-2"/>
          <c:w val="0.8798345122113973"/>
          <c:h val="0.63240039439514506"/>
        </c:manualLayout>
      </c:layout>
      <c:barChart>
        <c:barDir val="bar"/>
        <c:grouping val="percentStacked"/>
        <c:varyColors val="0"/>
        <c:ser>
          <c:idx val="0"/>
          <c:order val="0"/>
          <c:tx>
            <c:strRef>
              <c:f>'2019G9'!$A$56</c:f>
              <c:strCache>
                <c:ptCount val="1"/>
                <c:pt idx="0">
                  <c:v> domácí podniky</c:v>
                </c:pt>
              </c:strCache>
            </c:strRef>
          </c:tx>
          <c:spPr>
            <a:solidFill>
              <a:srgbClr val="39869B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'2019G9'!$B$55:$C$55</c:f>
              <c:numCache>
                <c:formatCode>General</c:formatCode>
                <c:ptCount val="2"/>
                <c:pt idx="0">
                  <c:v>2008</c:v>
                </c:pt>
                <c:pt idx="1">
                  <c:v>2018</c:v>
                </c:pt>
              </c:numCache>
            </c:numRef>
          </c:cat>
          <c:val>
            <c:numRef>
              <c:f>'2019G9'!$B$56:$C$56</c:f>
              <c:numCache>
                <c:formatCode>#\ ##0" "</c:formatCode>
                <c:ptCount val="2"/>
                <c:pt idx="0">
                  <c:v>437</c:v>
                </c:pt>
                <c:pt idx="1">
                  <c:v>735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973-4A7E-AFF5-868991DE01EE}"/>
            </c:ext>
          </c:extLst>
        </c:ser>
        <c:ser>
          <c:idx val="1"/>
          <c:order val="1"/>
          <c:tx>
            <c:strRef>
              <c:f>'2019G9'!$A$57</c:f>
              <c:strCache>
                <c:ptCount val="1"/>
                <c:pt idx="0">
                  <c:v> pod zahraniční kontrolou</c:v>
                </c:pt>
              </c:strCache>
            </c:strRef>
          </c:tx>
          <c:spPr>
            <a:solidFill>
              <a:srgbClr val="7CBBCF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'2019G9'!$B$55:$C$55</c:f>
              <c:numCache>
                <c:formatCode>General</c:formatCode>
                <c:ptCount val="2"/>
                <c:pt idx="0">
                  <c:v>2008</c:v>
                </c:pt>
                <c:pt idx="1">
                  <c:v>2018</c:v>
                </c:pt>
              </c:numCache>
            </c:numRef>
          </c:cat>
          <c:val>
            <c:numRef>
              <c:f>'2019G9'!$B$57:$C$57</c:f>
              <c:numCache>
                <c:formatCode>#\ ##0" "</c:formatCode>
                <c:ptCount val="2"/>
                <c:pt idx="0">
                  <c:v>158</c:v>
                </c:pt>
                <c:pt idx="1">
                  <c:v>302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973-4A7E-AFF5-868991DE01E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0"/>
        <c:overlap val="100"/>
        <c:axId val="1126233391"/>
        <c:axId val="1126242127"/>
      </c:barChart>
      <c:catAx>
        <c:axId val="1126233391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6242127"/>
        <c:crosses val="autoZero"/>
        <c:auto val="1"/>
        <c:lblAlgn val="ctr"/>
        <c:lblOffset val="100"/>
        <c:noMultiLvlLbl val="0"/>
      </c:catAx>
      <c:valAx>
        <c:axId val="1126242127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prstDash val="dash"/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6233391"/>
        <c:crosses val="autoZero"/>
        <c:crossBetween val="between"/>
      </c:valAx>
      <c:spPr>
        <a:noFill/>
        <a:ln>
          <a:solidFill>
            <a:schemeClr val="bg1">
              <a:lumMod val="65000"/>
            </a:schemeClr>
          </a:solidFill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8.6613298337707784E-2"/>
          <c:y val="7.7601410934744264E-2"/>
          <c:w val="0.86829636920384956"/>
          <c:h val="0.59901147581927883"/>
        </c:manualLayout>
      </c:layout>
      <c:barChart>
        <c:barDir val="bar"/>
        <c:grouping val="percentStacked"/>
        <c:varyColors val="0"/>
        <c:ser>
          <c:idx val="0"/>
          <c:order val="0"/>
          <c:tx>
            <c:strRef>
              <c:f>'2019G9'!$A$63</c:f>
              <c:strCache>
                <c:ptCount val="1"/>
                <c:pt idx="0">
                  <c:v> domácí podniky</c:v>
                </c:pt>
              </c:strCache>
            </c:strRef>
          </c:tx>
          <c:spPr>
            <a:solidFill>
              <a:srgbClr val="39869B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'2019G9'!$B$62:$C$62</c:f>
              <c:numCache>
                <c:formatCode>General</c:formatCode>
                <c:ptCount val="2"/>
                <c:pt idx="0">
                  <c:v>2008</c:v>
                </c:pt>
                <c:pt idx="1">
                  <c:v>2018</c:v>
                </c:pt>
              </c:numCache>
            </c:numRef>
          </c:cat>
          <c:val>
            <c:numRef>
              <c:f>'2019G9'!$B$63:$C$63</c:f>
              <c:numCache>
                <c:formatCode>#\ ##0" "</c:formatCode>
                <c:ptCount val="2"/>
                <c:pt idx="0">
                  <c:v>313.97164616999999</c:v>
                </c:pt>
                <c:pt idx="1">
                  <c:v>966.02420366000058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80B-464B-B4D2-FE6011295DD5}"/>
            </c:ext>
          </c:extLst>
        </c:ser>
        <c:ser>
          <c:idx val="1"/>
          <c:order val="1"/>
          <c:tx>
            <c:strRef>
              <c:f>'2019G9'!$A$64</c:f>
              <c:strCache>
                <c:ptCount val="1"/>
                <c:pt idx="0">
                  <c:v> pod zahraniční kontrolou</c:v>
                </c:pt>
              </c:strCache>
            </c:strRef>
          </c:tx>
          <c:spPr>
            <a:solidFill>
              <a:srgbClr val="7CBBCF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'2019G9'!$B$62:$C$62</c:f>
              <c:numCache>
                <c:formatCode>General</c:formatCode>
                <c:ptCount val="2"/>
                <c:pt idx="0">
                  <c:v>2008</c:v>
                </c:pt>
                <c:pt idx="1">
                  <c:v>2018</c:v>
                </c:pt>
              </c:numCache>
            </c:numRef>
          </c:cat>
          <c:val>
            <c:numRef>
              <c:f>'2019G9'!$B$64:$C$64</c:f>
              <c:numCache>
                <c:formatCode>#\ ##0" "</c:formatCode>
                <c:ptCount val="2"/>
                <c:pt idx="0">
                  <c:v>705.98182116000055</c:v>
                </c:pt>
                <c:pt idx="1">
                  <c:v>1617.0428851299996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80B-464B-B4D2-FE6011295DD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0"/>
        <c:overlap val="100"/>
        <c:axId val="1126233391"/>
        <c:axId val="1126242127"/>
      </c:barChart>
      <c:catAx>
        <c:axId val="1126233391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6242127"/>
        <c:crosses val="autoZero"/>
        <c:auto val="1"/>
        <c:lblAlgn val="ctr"/>
        <c:lblOffset val="100"/>
        <c:noMultiLvlLbl val="0"/>
      </c:catAx>
      <c:valAx>
        <c:axId val="1126242127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prstDash val="dash"/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6233391"/>
        <c:crosses val="autoZero"/>
        <c:crossBetween val="between"/>
      </c:valAx>
      <c:spPr>
        <a:noFill/>
        <a:ln>
          <a:solidFill>
            <a:schemeClr val="bg1">
              <a:lumMod val="65000"/>
            </a:schemeClr>
          </a:solidFill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9779461942257218"/>
          <c:y val="6.3218390804597707E-2"/>
          <c:w val="0.76749817754499738"/>
          <c:h val="0.58978772430881143"/>
        </c:manualLayout>
      </c:layout>
      <c:barChart>
        <c:barDir val="bar"/>
        <c:grouping val="percentStacked"/>
        <c:varyColors val="0"/>
        <c:ser>
          <c:idx val="0"/>
          <c:order val="0"/>
          <c:tx>
            <c:strRef>
              <c:f>'2019G8'!$Y$67</c:f>
              <c:strCache>
                <c:ptCount val="1"/>
                <c:pt idx="0">
                  <c:v> méně než 1 mil. Kč</c:v>
                </c:pt>
              </c:strCache>
            </c:strRef>
          </c:tx>
          <c:spPr>
            <a:solidFill>
              <a:srgbClr val="39869B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'2019G8'!$Z$66:$AB$66</c:f>
              <c:strCache>
                <c:ptCount val="3"/>
                <c:pt idx="0">
                  <c:v>  Pod zahraniční
kontrolou</c:v>
                </c:pt>
                <c:pt idx="1">
                  <c:v>  Domácí</c:v>
                </c:pt>
                <c:pt idx="2">
                  <c:v>Podniky celkem</c:v>
                </c:pt>
              </c:strCache>
            </c:strRef>
          </c:cat>
          <c:val>
            <c:numRef>
              <c:f>'2019G8'!$Z$67:$AB$67</c:f>
              <c:numCache>
                <c:formatCode>#\ ##0" "</c:formatCode>
                <c:ptCount val="3"/>
                <c:pt idx="0">
                  <c:v>154</c:v>
                </c:pt>
                <c:pt idx="1">
                  <c:v>565</c:v>
                </c:pt>
                <c:pt idx="2">
                  <c:v>719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C7D-47D1-B7BF-E202EC0DC424}"/>
            </c:ext>
          </c:extLst>
        </c:ser>
        <c:ser>
          <c:idx val="1"/>
          <c:order val="1"/>
          <c:tx>
            <c:strRef>
              <c:f>'2019G8'!$Y$68</c:f>
              <c:strCache>
                <c:ptCount val="1"/>
                <c:pt idx="0">
                  <c:v> 1-9,9 mil. Kč</c:v>
                </c:pt>
              </c:strCache>
            </c:strRef>
          </c:tx>
          <c:spPr>
            <a:solidFill>
              <a:srgbClr val="46A1B9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'2019G8'!$Z$66:$AB$66</c:f>
              <c:strCache>
                <c:ptCount val="3"/>
                <c:pt idx="0">
                  <c:v>  Pod zahraniční
kontrolou</c:v>
                </c:pt>
                <c:pt idx="1">
                  <c:v>  Domácí</c:v>
                </c:pt>
                <c:pt idx="2">
                  <c:v>Podniky celkem</c:v>
                </c:pt>
              </c:strCache>
            </c:strRef>
          </c:cat>
          <c:val>
            <c:numRef>
              <c:f>'2019G8'!$Z$68:$AB$68</c:f>
              <c:numCache>
                <c:formatCode>#\ ##0" "</c:formatCode>
                <c:ptCount val="3"/>
                <c:pt idx="0">
                  <c:v>122</c:v>
                </c:pt>
                <c:pt idx="1">
                  <c:v>153</c:v>
                </c:pt>
                <c:pt idx="2">
                  <c:v>275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C7D-47D1-B7BF-E202EC0DC424}"/>
            </c:ext>
          </c:extLst>
        </c:ser>
        <c:ser>
          <c:idx val="2"/>
          <c:order val="2"/>
          <c:tx>
            <c:strRef>
              <c:f>'2019G8'!$Y$69</c:f>
              <c:strCache>
                <c:ptCount val="1"/>
                <c:pt idx="0">
                  <c:v> 10 mil. Kč a více</c:v>
                </c:pt>
              </c:strCache>
            </c:strRef>
          </c:tx>
          <c:spPr>
            <a:solidFill>
              <a:srgbClr val="7CBBCF"/>
            </a:solidFill>
            <a:ln>
              <a:noFill/>
            </a:ln>
            <a:effectLst/>
          </c:spPr>
          <c:invertIfNegative val="0"/>
          <c:dLbls>
            <c:dLbl>
              <c:idx val="1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BC7D-47D1-B7BF-E202EC0DC42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'2019G8'!$Z$66:$AB$66</c:f>
              <c:strCache>
                <c:ptCount val="3"/>
                <c:pt idx="0">
                  <c:v>  Pod zahraniční
kontrolou</c:v>
                </c:pt>
                <c:pt idx="1">
                  <c:v>  Domácí</c:v>
                </c:pt>
                <c:pt idx="2">
                  <c:v>Podniky celkem</c:v>
                </c:pt>
              </c:strCache>
            </c:strRef>
          </c:cat>
          <c:val>
            <c:numRef>
              <c:f>'2019G8'!$Z$69:$AB$69</c:f>
              <c:numCache>
                <c:formatCode>#\ ##0" "</c:formatCode>
                <c:ptCount val="3"/>
                <c:pt idx="0">
                  <c:v>26</c:v>
                </c:pt>
                <c:pt idx="1">
                  <c:v>17</c:v>
                </c:pt>
                <c:pt idx="2">
                  <c:v>43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BC7D-47D1-B7BF-E202EC0DC42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0"/>
        <c:overlap val="100"/>
        <c:axId val="492399887"/>
        <c:axId val="404226095"/>
      </c:barChart>
      <c:catAx>
        <c:axId val="492399887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04226095"/>
        <c:crosses val="autoZero"/>
        <c:auto val="1"/>
        <c:lblAlgn val="ctr"/>
        <c:lblOffset val="100"/>
        <c:noMultiLvlLbl val="0"/>
      </c:catAx>
      <c:valAx>
        <c:axId val="404226095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prstDash val="dash"/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92399887"/>
        <c:crosses val="autoZero"/>
        <c:crossBetween val="between"/>
      </c:valAx>
      <c:spPr>
        <a:noFill/>
        <a:ln>
          <a:solidFill>
            <a:schemeClr val="tx1">
              <a:lumMod val="15000"/>
              <a:lumOff val="85000"/>
            </a:schemeClr>
          </a:solidFill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6.8877374423624488E-2"/>
          <c:y val="8.9249492900608518E-2"/>
          <c:w val="0.89526550234898572"/>
          <c:h val="0.46894251808787596"/>
        </c:manualLayout>
      </c:layout>
      <c:barChart>
        <c:barDir val="bar"/>
        <c:grouping val="percentStacked"/>
        <c:varyColors val="0"/>
        <c:ser>
          <c:idx val="0"/>
          <c:order val="0"/>
          <c:tx>
            <c:strRef>
              <c:f>'2019G10'!$A$53</c:f>
              <c:strCache>
                <c:ptCount val="1"/>
                <c:pt idx="0">
                  <c:v>mikro podniky (0-9 zam. osob)</c:v>
                </c:pt>
              </c:strCache>
            </c:strRef>
          </c:tx>
          <c:spPr>
            <a:solidFill>
              <a:srgbClr val="39869B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'2019G10'!$B$52:$C$52</c:f>
              <c:numCache>
                <c:formatCode>General</c:formatCode>
                <c:ptCount val="2"/>
                <c:pt idx="0">
                  <c:v>2008</c:v>
                </c:pt>
                <c:pt idx="1">
                  <c:v>2018</c:v>
                </c:pt>
              </c:numCache>
            </c:numRef>
          </c:cat>
          <c:val>
            <c:numRef>
              <c:f>'2019G10'!$B$53:$C$53</c:f>
              <c:numCache>
                <c:formatCode>#\ ##0" "</c:formatCode>
                <c:ptCount val="2"/>
                <c:pt idx="0">
                  <c:v>89</c:v>
                </c:pt>
                <c:pt idx="1">
                  <c:v>128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397-449A-A4B1-C5C306E73B3D}"/>
            </c:ext>
          </c:extLst>
        </c:ser>
        <c:ser>
          <c:idx val="1"/>
          <c:order val="1"/>
          <c:tx>
            <c:strRef>
              <c:f>'2019G10'!$A$54</c:f>
              <c:strCache>
                <c:ptCount val="1"/>
                <c:pt idx="0">
                  <c:v>malé podniky (10-49 zam. osob)</c:v>
                </c:pt>
              </c:strCache>
            </c:strRef>
          </c:tx>
          <c:spPr>
            <a:solidFill>
              <a:srgbClr val="46A1B9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'2019G10'!$B$52:$C$52</c:f>
              <c:numCache>
                <c:formatCode>General</c:formatCode>
                <c:ptCount val="2"/>
                <c:pt idx="0">
                  <c:v>2008</c:v>
                </c:pt>
                <c:pt idx="1">
                  <c:v>2018</c:v>
                </c:pt>
              </c:numCache>
            </c:numRef>
          </c:cat>
          <c:val>
            <c:numRef>
              <c:f>'2019G10'!$B$54:$C$54</c:f>
              <c:numCache>
                <c:formatCode>#\ ##0" "</c:formatCode>
                <c:ptCount val="2"/>
                <c:pt idx="0">
                  <c:v>191</c:v>
                </c:pt>
                <c:pt idx="1">
                  <c:v>279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397-449A-A4B1-C5C306E73B3D}"/>
            </c:ext>
          </c:extLst>
        </c:ser>
        <c:ser>
          <c:idx val="2"/>
          <c:order val="2"/>
          <c:tx>
            <c:strRef>
              <c:f>'2019G10'!$A$55</c:f>
              <c:strCache>
                <c:ptCount val="1"/>
                <c:pt idx="0">
                  <c:v>střední podniky (50-249 zam. osob)</c:v>
                </c:pt>
              </c:strCache>
            </c:strRef>
          </c:tx>
          <c:spPr>
            <a:solidFill>
              <a:srgbClr val="7CBBCF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'2019G10'!$B$52:$C$52</c:f>
              <c:numCache>
                <c:formatCode>General</c:formatCode>
                <c:ptCount val="2"/>
                <c:pt idx="0">
                  <c:v>2008</c:v>
                </c:pt>
                <c:pt idx="1">
                  <c:v>2018</c:v>
                </c:pt>
              </c:numCache>
            </c:numRef>
          </c:cat>
          <c:val>
            <c:numRef>
              <c:f>'2019G10'!$B$55:$C$55</c:f>
              <c:numCache>
                <c:formatCode>#\ ##0" "</c:formatCode>
                <c:ptCount val="2"/>
                <c:pt idx="0">
                  <c:v>202</c:v>
                </c:pt>
                <c:pt idx="1">
                  <c:v>366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397-449A-A4B1-C5C306E73B3D}"/>
            </c:ext>
          </c:extLst>
        </c:ser>
        <c:ser>
          <c:idx val="3"/>
          <c:order val="3"/>
          <c:tx>
            <c:strRef>
              <c:f>'2019G10'!$A$56</c:f>
              <c:strCache>
                <c:ptCount val="1"/>
                <c:pt idx="0">
                  <c:v>velké podniky (250 a více zam. osob)</c:v>
                </c:pt>
              </c:strCache>
            </c:strRef>
          </c:tx>
          <c:spPr>
            <a:solidFill>
              <a:srgbClr val="B5D4E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'2019G10'!$B$52:$C$52</c:f>
              <c:numCache>
                <c:formatCode>General</c:formatCode>
                <c:ptCount val="2"/>
                <c:pt idx="0">
                  <c:v>2008</c:v>
                </c:pt>
                <c:pt idx="1">
                  <c:v>2018</c:v>
                </c:pt>
              </c:numCache>
            </c:numRef>
          </c:cat>
          <c:val>
            <c:numRef>
              <c:f>'2019G10'!$B$56:$C$56</c:f>
              <c:numCache>
                <c:formatCode>#\ ##0" "</c:formatCode>
                <c:ptCount val="2"/>
                <c:pt idx="0">
                  <c:v>113</c:v>
                </c:pt>
                <c:pt idx="1">
                  <c:v>264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3397-449A-A4B1-C5C306E73B3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0"/>
        <c:overlap val="100"/>
        <c:axId val="1126233391"/>
        <c:axId val="1126242127"/>
      </c:barChart>
      <c:catAx>
        <c:axId val="1126233391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6242127"/>
        <c:crosses val="autoZero"/>
        <c:auto val="1"/>
        <c:lblAlgn val="ctr"/>
        <c:lblOffset val="100"/>
        <c:noMultiLvlLbl val="0"/>
      </c:catAx>
      <c:valAx>
        <c:axId val="1126242127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prstDash val="dash"/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6233391"/>
        <c:crosses val="autoZero"/>
        <c:crossBetween val="between"/>
      </c:valAx>
      <c:spPr>
        <a:noFill/>
        <a:ln>
          <a:solidFill>
            <a:schemeClr val="bg1">
              <a:lumMod val="65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0.13843529493335799"/>
          <c:y val="0.72258676590375492"/>
          <c:w val="0.78409125253563217"/>
          <c:h val="0.22873169251409498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1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6.6668350227870016E-2"/>
          <c:y val="2.6443367122080213E-2"/>
          <c:w val="0.89862453049686941"/>
          <c:h val="0.49358453375346589"/>
        </c:manualLayout>
      </c:layout>
      <c:barChart>
        <c:barDir val="bar"/>
        <c:grouping val="percentStacked"/>
        <c:varyColors val="0"/>
        <c:ser>
          <c:idx val="0"/>
          <c:order val="0"/>
          <c:tx>
            <c:strRef>
              <c:f>'2019G10'!$A$60</c:f>
              <c:strCache>
                <c:ptCount val="1"/>
                <c:pt idx="0">
                  <c:v>mikro podniky (0-9 zam. osob)</c:v>
                </c:pt>
              </c:strCache>
            </c:strRef>
          </c:tx>
          <c:spPr>
            <a:solidFill>
              <a:srgbClr val="39869B"/>
            </a:solidFill>
            <a:ln>
              <a:noFill/>
            </a:ln>
            <a:effectLst/>
          </c:spPr>
          <c:invertIfNegative val="0"/>
          <c:cat>
            <c:numRef>
              <c:f>'2019G10'!$B$59:$C$59</c:f>
              <c:numCache>
                <c:formatCode>General</c:formatCode>
                <c:ptCount val="2"/>
                <c:pt idx="0">
                  <c:v>2008</c:v>
                </c:pt>
                <c:pt idx="1">
                  <c:v>2018</c:v>
                </c:pt>
              </c:numCache>
            </c:numRef>
          </c:cat>
          <c:val>
            <c:numRef>
              <c:f>'2019G10'!$B$60:$C$60</c:f>
              <c:numCache>
                <c:formatCode>#\ ##0" "</c:formatCode>
                <c:ptCount val="2"/>
                <c:pt idx="0">
                  <c:v>16.30048644</c:v>
                </c:pt>
                <c:pt idx="1">
                  <c:v>22.709112359999999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E12-468E-86FB-22385B5C9A43}"/>
            </c:ext>
          </c:extLst>
        </c:ser>
        <c:ser>
          <c:idx val="1"/>
          <c:order val="1"/>
          <c:tx>
            <c:strRef>
              <c:f>'2019G10'!$A$61</c:f>
              <c:strCache>
                <c:ptCount val="1"/>
                <c:pt idx="0">
                  <c:v>malé podniky (10-49 zam. osob)</c:v>
                </c:pt>
              </c:strCache>
            </c:strRef>
          </c:tx>
          <c:spPr>
            <a:solidFill>
              <a:srgbClr val="46A1B9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'2019G10'!$B$59:$C$59</c:f>
              <c:numCache>
                <c:formatCode>General</c:formatCode>
                <c:ptCount val="2"/>
                <c:pt idx="0">
                  <c:v>2008</c:v>
                </c:pt>
                <c:pt idx="1">
                  <c:v>2018</c:v>
                </c:pt>
              </c:numCache>
            </c:numRef>
          </c:cat>
          <c:val>
            <c:numRef>
              <c:f>'2019G10'!$B$61:$C$61</c:f>
              <c:numCache>
                <c:formatCode>#\ ##0" "</c:formatCode>
                <c:ptCount val="2"/>
                <c:pt idx="0">
                  <c:v>86.995494179999966</c:v>
                </c:pt>
                <c:pt idx="1">
                  <c:v>159.06584045999995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E12-468E-86FB-22385B5C9A43}"/>
            </c:ext>
          </c:extLst>
        </c:ser>
        <c:ser>
          <c:idx val="2"/>
          <c:order val="2"/>
          <c:tx>
            <c:strRef>
              <c:f>'2019G10'!$A$62</c:f>
              <c:strCache>
                <c:ptCount val="1"/>
                <c:pt idx="0">
                  <c:v>střední podniky (50-249 zam. osob)</c:v>
                </c:pt>
              </c:strCache>
            </c:strRef>
          </c:tx>
          <c:spPr>
            <a:solidFill>
              <a:srgbClr val="7CBBCF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'2019G10'!$B$59:$C$59</c:f>
              <c:numCache>
                <c:formatCode>General</c:formatCode>
                <c:ptCount val="2"/>
                <c:pt idx="0">
                  <c:v>2008</c:v>
                </c:pt>
                <c:pt idx="1">
                  <c:v>2018</c:v>
                </c:pt>
              </c:numCache>
            </c:numRef>
          </c:cat>
          <c:val>
            <c:numRef>
              <c:f>'2019G10'!$B$62:$C$62</c:f>
              <c:numCache>
                <c:formatCode>#\ ##0" "</c:formatCode>
                <c:ptCount val="2"/>
                <c:pt idx="0">
                  <c:v>210.63747011999993</c:v>
                </c:pt>
                <c:pt idx="1">
                  <c:v>416.21037879000005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6E12-468E-86FB-22385B5C9A43}"/>
            </c:ext>
          </c:extLst>
        </c:ser>
        <c:ser>
          <c:idx val="3"/>
          <c:order val="3"/>
          <c:tx>
            <c:strRef>
              <c:f>'2019G10'!$A$63</c:f>
              <c:strCache>
                <c:ptCount val="1"/>
                <c:pt idx="0">
                  <c:v>velké podniky (250 a více zam. osob)</c:v>
                </c:pt>
              </c:strCache>
            </c:strRef>
          </c:tx>
          <c:spPr>
            <a:solidFill>
              <a:srgbClr val="B5D4E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'2019G10'!$B$59:$C$59</c:f>
              <c:numCache>
                <c:formatCode>General</c:formatCode>
                <c:ptCount val="2"/>
                <c:pt idx="0">
                  <c:v>2008</c:v>
                </c:pt>
                <c:pt idx="1">
                  <c:v>2018</c:v>
                </c:pt>
              </c:numCache>
            </c:numRef>
          </c:cat>
          <c:val>
            <c:numRef>
              <c:f>'2019G10'!$B$63:$C$63</c:f>
              <c:numCache>
                <c:formatCode>#\ ##0" "</c:formatCode>
                <c:ptCount val="2"/>
                <c:pt idx="0">
                  <c:v>706.02001658999984</c:v>
                </c:pt>
                <c:pt idx="1">
                  <c:v>1985.0817571800005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6E12-468E-86FB-22385B5C9A4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0"/>
        <c:overlap val="100"/>
        <c:axId val="1126233391"/>
        <c:axId val="1126242127"/>
      </c:barChart>
      <c:catAx>
        <c:axId val="1126233391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6242127"/>
        <c:crosses val="autoZero"/>
        <c:auto val="1"/>
        <c:lblAlgn val="ctr"/>
        <c:lblOffset val="100"/>
        <c:noMultiLvlLbl val="0"/>
      </c:catAx>
      <c:valAx>
        <c:axId val="1126242127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prstDash val="dash"/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6233391"/>
        <c:crosses val="autoZero"/>
        <c:crossBetween val="between"/>
      </c:valAx>
      <c:spPr>
        <a:noFill/>
        <a:ln>
          <a:solidFill>
            <a:schemeClr val="bg1">
              <a:lumMod val="65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0.10222397748870733"/>
          <c:y val="0.69862334859090169"/>
          <c:w val="0.7912757221961676"/>
          <c:h val="0.248489917164937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21002169495360024"/>
          <c:y val="6.3218390804597707E-2"/>
          <c:w val="0.74488803060725672"/>
          <c:h val="0.62943885486536411"/>
        </c:manualLayout>
      </c:layout>
      <c:barChart>
        <c:barDir val="bar"/>
        <c:grouping val="percentStacked"/>
        <c:varyColors val="0"/>
        <c:ser>
          <c:idx val="0"/>
          <c:order val="0"/>
          <c:tx>
            <c:strRef>
              <c:f>'2019G8'!$K$87</c:f>
              <c:strCache>
                <c:ptCount val="1"/>
                <c:pt idx="0">
                  <c:v>méně než 0,1 mil. Kč</c:v>
                </c:pt>
              </c:strCache>
            </c:strRef>
          </c:tx>
          <c:spPr>
            <a:solidFill>
              <a:srgbClr val="39869B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'2019G8'!$L$86:$N$86</c:f>
              <c:strCache>
                <c:ptCount val="3"/>
                <c:pt idx="0">
                  <c:v>Velké podniky
(250 a více zaměstnanců)</c:v>
                </c:pt>
                <c:pt idx="1">
                  <c:v>Střední podniky
(50-249 zaměstnanců)</c:v>
                </c:pt>
                <c:pt idx="2">
                  <c:v>Malé podniky
(0-49 zaměstnanců)</c:v>
                </c:pt>
              </c:strCache>
            </c:strRef>
          </c:cat>
          <c:val>
            <c:numRef>
              <c:f>'2019G8'!$L$87:$N$87</c:f>
              <c:numCache>
                <c:formatCode>#\ ##0" "</c:formatCode>
                <c:ptCount val="3"/>
                <c:pt idx="0">
                  <c:v>18</c:v>
                </c:pt>
                <c:pt idx="1">
                  <c:v>29</c:v>
                </c:pt>
                <c:pt idx="2">
                  <c:v>111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C8F-4303-B18B-C755ED9885C8}"/>
            </c:ext>
          </c:extLst>
        </c:ser>
        <c:ser>
          <c:idx val="1"/>
          <c:order val="1"/>
          <c:tx>
            <c:strRef>
              <c:f>'2019G8'!$K$88</c:f>
              <c:strCache>
                <c:ptCount val="1"/>
                <c:pt idx="0">
                  <c:v>0,1-0,99 mil. Kč</c:v>
                </c:pt>
              </c:strCache>
            </c:strRef>
          </c:tx>
          <c:spPr>
            <a:solidFill>
              <a:srgbClr val="46A1B9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'2019G8'!$L$86:$N$86</c:f>
              <c:strCache>
                <c:ptCount val="3"/>
                <c:pt idx="0">
                  <c:v>Velké podniky
(250 a více zaměstnanců)</c:v>
                </c:pt>
                <c:pt idx="1">
                  <c:v>Střední podniky
(50-249 zaměstnanců)</c:v>
                </c:pt>
                <c:pt idx="2">
                  <c:v>Malé podniky
(0-49 zaměstnanců)</c:v>
                </c:pt>
              </c:strCache>
            </c:strRef>
          </c:cat>
          <c:val>
            <c:numRef>
              <c:f>'2019G8'!$L$88:$N$88</c:f>
              <c:numCache>
                <c:formatCode>#\ ##0" "</c:formatCode>
                <c:ptCount val="3"/>
                <c:pt idx="0">
                  <c:v>91</c:v>
                </c:pt>
                <c:pt idx="1">
                  <c:v>223</c:v>
                </c:pt>
                <c:pt idx="2">
                  <c:v>247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C8F-4303-B18B-C755ED9885C8}"/>
            </c:ext>
          </c:extLst>
        </c:ser>
        <c:ser>
          <c:idx val="2"/>
          <c:order val="2"/>
          <c:tx>
            <c:strRef>
              <c:f>'2019G8'!$K$89</c:f>
              <c:strCache>
                <c:ptCount val="1"/>
                <c:pt idx="0">
                  <c:v>1 mil. Kč a více</c:v>
                </c:pt>
              </c:strCache>
            </c:strRef>
          </c:tx>
          <c:spPr>
            <a:solidFill>
              <a:srgbClr val="7CBBCF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'2019G8'!$L$86:$N$86</c:f>
              <c:strCache>
                <c:ptCount val="3"/>
                <c:pt idx="0">
                  <c:v>Velké podniky
(250 a více zaměstnanců)</c:v>
                </c:pt>
                <c:pt idx="1">
                  <c:v>Střední podniky
(50-249 zaměstnanců)</c:v>
                </c:pt>
                <c:pt idx="2">
                  <c:v>Malé podniky
(0-49 zaměstnanců)</c:v>
                </c:pt>
              </c:strCache>
            </c:strRef>
          </c:cat>
          <c:val>
            <c:numRef>
              <c:f>'2019G8'!$L$89:$N$89</c:f>
              <c:numCache>
                <c:formatCode>#\ ##0" "</c:formatCode>
                <c:ptCount val="3"/>
                <c:pt idx="0">
                  <c:v>155</c:v>
                </c:pt>
                <c:pt idx="1">
                  <c:v>114</c:v>
                </c:pt>
                <c:pt idx="2">
                  <c:v>49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C8F-4303-B18B-C755ED9885C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0"/>
        <c:overlap val="100"/>
        <c:axId val="492399887"/>
        <c:axId val="404226095"/>
      </c:barChart>
      <c:catAx>
        <c:axId val="492399887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04226095"/>
        <c:crosses val="autoZero"/>
        <c:auto val="1"/>
        <c:lblAlgn val="ctr"/>
        <c:lblOffset val="100"/>
        <c:noMultiLvlLbl val="0"/>
      </c:catAx>
      <c:valAx>
        <c:axId val="404226095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prstDash val="dash"/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92399887"/>
        <c:crosses val="autoZero"/>
        <c:crossBetween val="between"/>
      </c:valAx>
      <c:spPr>
        <a:noFill/>
        <a:ln>
          <a:solidFill>
            <a:schemeClr val="tx1">
              <a:lumMod val="15000"/>
              <a:lumOff val="85000"/>
            </a:schemeClr>
          </a:solidFill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6.5068421121817197E-2"/>
          <c:y val="4.9607275733774284E-2"/>
          <c:w val="0.89062331576249132"/>
          <c:h val="0.50018326047400341"/>
        </c:manualLayout>
      </c:layout>
      <c:barChart>
        <c:barDir val="bar"/>
        <c:grouping val="percentStacked"/>
        <c:varyColors val="0"/>
        <c:ser>
          <c:idx val="0"/>
          <c:order val="0"/>
          <c:tx>
            <c:strRef>
              <c:f>'2019G11'!$S$3</c:f>
              <c:strCache>
                <c:ptCount val="1"/>
                <c:pt idx="0">
                  <c:v> Zpracovatelský průmysl</c:v>
                </c:pt>
              </c:strCache>
            </c:strRef>
          </c:tx>
          <c:spPr>
            <a:solidFill>
              <a:srgbClr val="39869B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'2019G11'!$T$2:$U$2</c:f>
              <c:numCache>
                <c:formatCode>General</c:formatCode>
                <c:ptCount val="2"/>
                <c:pt idx="0">
                  <c:v>2008</c:v>
                </c:pt>
                <c:pt idx="1">
                  <c:v>2018</c:v>
                </c:pt>
              </c:numCache>
            </c:numRef>
          </c:cat>
          <c:val>
            <c:numRef>
              <c:f>'2019G11'!$T$3:$U$3</c:f>
              <c:numCache>
                <c:formatCode>#\ ##0" "</c:formatCode>
                <c:ptCount val="2"/>
                <c:pt idx="0">
                  <c:v>337</c:v>
                </c:pt>
                <c:pt idx="1">
                  <c:v>593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205-4991-B930-BB43FE6456EE}"/>
            </c:ext>
          </c:extLst>
        </c:ser>
        <c:ser>
          <c:idx val="1"/>
          <c:order val="1"/>
          <c:tx>
            <c:strRef>
              <c:f>'2019G11'!$S$4</c:f>
              <c:strCache>
                <c:ptCount val="1"/>
                <c:pt idx="0">
                  <c:v> Informační a komunikační činnosti</c:v>
                </c:pt>
              </c:strCache>
            </c:strRef>
          </c:tx>
          <c:spPr>
            <a:solidFill>
              <a:srgbClr val="46A1B9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'2019G11'!$T$2:$U$2</c:f>
              <c:numCache>
                <c:formatCode>General</c:formatCode>
                <c:ptCount val="2"/>
                <c:pt idx="0">
                  <c:v>2008</c:v>
                </c:pt>
                <c:pt idx="1">
                  <c:v>2018</c:v>
                </c:pt>
              </c:numCache>
            </c:numRef>
          </c:cat>
          <c:val>
            <c:numRef>
              <c:f>'2019G11'!$T$4:$U$4</c:f>
              <c:numCache>
                <c:formatCode>#\ ##0" "</c:formatCode>
                <c:ptCount val="2"/>
                <c:pt idx="0">
                  <c:v>80</c:v>
                </c:pt>
                <c:pt idx="1">
                  <c:v>175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205-4991-B930-BB43FE6456EE}"/>
            </c:ext>
          </c:extLst>
        </c:ser>
        <c:ser>
          <c:idx val="2"/>
          <c:order val="2"/>
          <c:tx>
            <c:strRef>
              <c:f>'2019G11'!$S$5</c:f>
              <c:strCache>
                <c:ptCount val="1"/>
                <c:pt idx="0">
                  <c:v> Profesní, vědecké a technické činnosti</c:v>
                </c:pt>
              </c:strCache>
            </c:strRef>
          </c:tx>
          <c:spPr>
            <a:solidFill>
              <a:srgbClr val="7CBBCF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'2019G11'!$T$2:$U$2</c:f>
              <c:numCache>
                <c:formatCode>General</c:formatCode>
                <c:ptCount val="2"/>
                <c:pt idx="0">
                  <c:v>2008</c:v>
                </c:pt>
                <c:pt idx="1">
                  <c:v>2018</c:v>
                </c:pt>
              </c:numCache>
            </c:numRef>
          </c:cat>
          <c:val>
            <c:numRef>
              <c:f>'2019G11'!$T$5:$U$5</c:f>
              <c:numCache>
                <c:formatCode>#\ ##0" "</c:formatCode>
                <c:ptCount val="2"/>
                <c:pt idx="0">
                  <c:v>84</c:v>
                </c:pt>
                <c:pt idx="1">
                  <c:v>126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205-4991-B930-BB43FE6456EE}"/>
            </c:ext>
          </c:extLst>
        </c:ser>
        <c:ser>
          <c:idx val="3"/>
          <c:order val="3"/>
          <c:tx>
            <c:strRef>
              <c:f>'2019G11'!$S$6</c:f>
              <c:strCache>
                <c:ptCount val="1"/>
                <c:pt idx="0">
                  <c:v> Ostatní odvětví</c:v>
                </c:pt>
              </c:strCache>
            </c:strRef>
          </c:tx>
          <c:spPr>
            <a:solidFill>
              <a:srgbClr val="B5D4E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'2019G11'!$T$2:$U$2</c:f>
              <c:numCache>
                <c:formatCode>General</c:formatCode>
                <c:ptCount val="2"/>
                <c:pt idx="0">
                  <c:v>2008</c:v>
                </c:pt>
                <c:pt idx="1">
                  <c:v>2018</c:v>
                </c:pt>
              </c:numCache>
            </c:numRef>
          </c:cat>
          <c:val>
            <c:numRef>
              <c:f>'2019G11'!$T$6:$U$6</c:f>
              <c:numCache>
                <c:formatCode>#\ ##0" "</c:formatCode>
                <c:ptCount val="2"/>
                <c:pt idx="0">
                  <c:v>94</c:v>
                </c:pt>
                <c:pt idx="1">
                  <c:v>143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3205-4991-B930-BB43FE6456E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0"/>
        <c:overlap val="100"/>
        <c:axId val="1126233391"/>
        <c:axId val="1126242127"/>
      </c:barChart>
      <c:catAx>
        <c:axId val="1126233391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6242127"/>
        <c:crosses val="autoZero"/>
        <c:auto val="1"/>
        <c:lblAlgn val="ctr"/>
        <c:lblOffset val="100"/>
        <c:noMultiLvlLbl val="0"/>
      </c:catAx>
      <c:valAx>
        <c:axId val="1126242127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prstDash val="dash"/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6233391"/>
        <c:crosses val="autoZero"/>
        <c:crossBetween val="between"/>
      </c:valAx>
      <c:spPr>
        <a:noFill/>
        <a:ln>
          <a:solidFill>
            <a:schemeClr val="bg1">
              <a:lumMod val="65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0.14447602960314437"/>
          <c:y val="0.71731144189861762"/>
          <c:w val="0.75069735648653269"/>
          <c:h val="0.2330812823676081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6.6590042502028407E-2"/>
          <c:y val="2.455777527270878E-2"/>
          <c:w val="0.89874360472693182"/>
          <c:h val="0.56968320294731722"/>
        </c:manualLayout>
      </c:layout>
      <c:barChart>
        <c:barDir val="bar"/>
        <c:grouping val="percentStacked"/>
        <c:varyColors val="0"/>
        <c:ser>
          <c:idx val="0"/>
          <c:order val="0"/>
          <c:tx>
            <c:strRef>
              <c:f>'2019G11'!$S$11</c:f>
              <c:strCache>
                <c:ptCount val="1"/>
                <c:pt idx="0">
                  <c:v> Zpracovatelský průmysl</c:v>
                </c:pt>
              </c:strCache>
            </c:strRef>
          </c:tx>
          <c:spPr>
            <a:solidFill>
              <a:srgbClr val="39869B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'2019G11'!$T$10:$U$10</c:f>
              <c:numCache>
                <c:formatCode>General</c:formatCode>
                <c:ptCount val="2"/>
                <c:pt idx="0">
                  <c:v>2008</c:v>
                </c:pt>
                <c:pt idx="1">
                  <c:v>2018</c:v>
                </c:pt>
              </c:numCache>
            </c:numRef>
          </c:cat>
          <c:val>
            <c:numRef>
              <c:f>'2019G11'!$T$11:$U$11</c:f>
              <c:numCache>
                <c:formatCode>#\ ##0" "</c:formatCode>
                <c:ptCount val="2"/>
                <c:pt idx="0">
                  <c:v>786.08969943000011</c:v>
                </c:pt>
                <c:pt idx="1">
                  <c:v>1802.7919526200001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238-412D-8566-62465F65375F}"/>
            </c:ext>
          </c:extLst>
        </c:ser>
        <c:ser>
          <c:idx val="1"/>
          <c:order val="1"/>
          <c:tx>
            <c:strRef>
              <c:f>'2019G11'!$S$12</c:f>
              <c:strCache>
                <c:ptCount val="1"/>
                <c:pt idx="0">
                  <c:v> Informační a komunikační činnosti</c:v>
                </c:pt>
              </c:strCache>
            </c:strRef>
          </c:tx>
          <c:spPr>
            <a:solidFill>
              <a:srgbClr val="46A1B9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'2019G11'!$T$10:$U$10</c:f>
              <c:numCache>
                <c:formatCode>General</c:formatCode>
                <c:ptCount val="2"/>
                <c:pt idx="0">
                  <c:v>2008</c:v>
                </c:pt>
                <c:pt idx="1">
                  <c:v>2018</c:v>
                </c:pt>
              </c:numCache>
            </c:numRef>
          </c:cat>
          <c:val>
            <c:numRef>
              <c:f>'2019G11'!$T$12:$U$12</c:f>
              <c:numCache>
                <c:formatCode>#\ ##0" "</c:formatCode>
                <c:ptCount val="2"/>
                <c:pt idx="0">
                  <c:v>100.09086255</c:v>
                </c:pt>
                <c:pt idx="1">
                  <c:v>382.94503001999999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238-412D-8566-62465F65375F}"/>
            </c:ext>
          </c:extLst>
        </c:ser>
        <c:ser>
          <c:idx val="2"/>
          <c:order val="2"/>
          <c:tx>
            <c:strRef>
              <c:f>'2019G11'!$S$13</c:f>
              <c:strCache>
                <c:ptCount val="1"/>
                <c:pt idx="0">
                  <c:v> Profesní, vědecké a technické činnosti</c:v>
                </c:pt>
              </c:strCache>
            </c:strRef>
          </c:tx>
          <c:spPr>
            <a:solidFill>
              <a:srgbClr val="7CBBCF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'2019G11'!$T$10:$U$10</c:f>
              <c:numCache>
                <c:formatCode>General</c:formatCode>
                <c:ptCount val="2"/>
                <c:pt idx="0">
                  <c:v>2008</c:v>
                </c:pt>
                <c:pt idx="1">
                  <c:v>2018</c:v>
                </c:pt>
              </c:numCache>
            </c:numRef>
          </c:cat>
          <c:val>
            <c:numRef>
              <c:f>'2019G11'!$T$13:$U$13</c:f>
              <c:numCache>
                <c:formatCode>#\ ##0" "</c:formatCode>
                <c:ptCount val="2"/>
                <c:pt idx="0">
                  <c:v>56.373377970000021</c:v>
                </c:pt>
                <c:pt idx="1">
                  <c:v>225.77201344999989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E238-412D-8566-62465F65375F}"/>
            </c:ext>
          </c:extLst>
        </c:ser>
        <c:ser>
          <c:idx val="3"/>
          <c:order val="3"/>
          <c:tx>
            <c:strRef>
              <c:f>'2019G11'!$S$14</c:f>
              <c:strCache>
                <c:ptCount val="1"/>
                <c:pt idx="0">
                  <c:v> Ostatní odvětví</c:v>
                </c:pt>
              </c:strCache>
            </c:strRef>
          </c:tx>
          <c:spPr>
            <a:solidFill>
              <a:srgbClr val="B5D4E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'2019G11'!$T$10:$U$10</c:f>
              <c:numCache>
                <c:formatCode>General</c:formatCode>
                <c:ptCount val="2"/>
                <c:pt idx="0">
                  <c:v>2008</c:v>
                </c:pt>
                <c:pt idx="1">
                  <c:v>2018</c:v>
                </c:pt>
              </c:numCache>
            </c:numRef>
          </c:cat>
          <c:val>
            <c:numRef>
              <c:f>'2019G11'!$T$14:$U$14</c:f>
              <c:numCache>
                <c:formatCode>#\ ##0" "</c:formatCode>
                <c:ptCount val="2"/>
                <c:pt idx="0">
                  <c:v>77.399527379999725</c:v>
                </c:pt>
                <c:pt idx="1">
                  <c:v>171.55809270000057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E238-412D-8566-62465F65375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0"/>
        <c:overlap val="100"/>
        <c:axId val="1126233391"/>
        <c:axId val="1126242127"/>
      </c:barChart>
      <c:catAx>
        <c:axId val="1126233391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6242127"/>
        <c:crosses val="autoZero"/>
        <c:auto val="1"/>
        <c:lblAlgn val="ctr"/>
        <c:lblOffset val="100"/>
        <c:noMultiLvlLbl val="0"/>
      </c:catAx>
      <c:valAx>
        <c:axId val="1126242127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prstDash val="dash"/>
              <a:round/>
            </a:ln>
            <a:effectLst/>
          </c:spPr>
        </c:majorGridlines>
        <c:numFmt formatCode="0%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6233391"/>
        <c:crosses val="autoZero"/>
        <c:crossBetween val="between"/>
      </c:valAx>
      <c:spPr>
        <a:noFill/>
        <a:ln>
          <a:solidFill>
            <a:schemeClr val="bg1">
              <a:lumMod val="65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0.1874167090565895"/>
          <c:y val="0.74522219744886586"/>
          <c:w val="0.69991280988434901"/>
          <c:h val="0.21006841357945011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43319913552900352"/>
          <c:y val="5.0925925925925923E-2"/>
          <c:w val="0.53212645133937309"/>
          <c:h val="0.92037839020122481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rgbClr val="39869B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'2019G12A'!$B$74:$B$83</c:f>
              <c:strCache>
                <c:ptCount val="10"/>
                <c:pt idx="0">
                  <c:v>Farmaceutický průmysl (21)</c:v>
                </c:pt>
                <c:pt idx="1">
                  <c:v>Výr. ostatních dopr. prostředků a zařízení (30)</c:v>
                </c:pt>
                <c:pt idx="2">
                  <c:v>Automobilový průmysl (29)</c:v>
                </c:pt>
                <c:pt idx="3">
                  <c:v>Gumárenský a plastový průmysl (22)</c:v>
                </c:pt>
                <c:pt idx="4">
                  <c:v>Petrochemický a chemický průmysl (19-20)</c:v>
                </c:pt>
                <c:pt idx="5">
                  <c:v>Ostatní zpracovatelský průmysl (18, 32, 33)</c:v>
                </c:pt>
                <c:pt idx="6">
                  <c:v>Elektronický průmysl (26)</c:v>
                </c:pt>
                <c:pt idx="7">
                  <c:v>Elektrotechnický průmysl (27)</c:v>
                </c:pt>
                <c:pt idx="8">
                  <c:v>Výroba kovových konstrukcí a kov. výrobků (25)</c:v>
                </c:pt>
                <c:pt idx="9">
                  <c:v>Strojírenský průmysl (28)</c:v>
                </c:pt>
              </c:strCache>
            </c:strRef>
          </c:cat>
          <c:val>
            <c:numRef>
              <c:f>'2019G12A'!$C$74:$C$83</c:f>
              <c:numCache>
                <c:formatCode>#\ ##0" "</c:formatCode>
                <c:ptCount val="10"/>
                <c:pt idx="0">
                  <c:v>13</c:v>
                </c:pt>
                <c:pt idx="1">
                  <c:v>16</c:v>
                </c:pt>
                <c:pt idx="2">
                  <c:v>35</c:v>
                </c:pt>
                <c:pt idx="3">
                  <c:v>35</c:v>
                </c:pt>
                <c:pt idx="4">
                  <c:v>35</c:v>
                </c:pt>
                <c:pt idx="5">
                  <c:v>43</c:v>
                </c:pt>
                <c:pt idx="6">
                  <c:v>61</c:v>
                </c:pt>
                <c:pt idx="7">
                  <c:v>71</c:v>
                </c:pt>
                <c:pt idx="8">
                  <c:v>75</c:v>
                </c:pt>
                <c:pt idx="9">
                  <c:v>138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EC1-49C2-BFE0-446109AD8EE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0"/>
        <c:axId val="1126227983"/>
        <c:axId val="1126238383"/>
      </c:barChart>
      <c:catAx>
        <c:axId val="1126227983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6238383"/>
        <c:crosses val="autoZero"/>
        <c:auto val="1"/>
        <c:lblAlgn val="ctr"/>
        <c:lblOffset val="100"/>
        <c:noMultiLvlLbl val="0"/>
      </c:catAx>
      <c:valAx>
        <c:axId val="1126238383"/>
        <c:scaling>
          <c:orientation val="minMax"/>
        </c:scaling>
        <c:delete val="1"/>
        <c:axPos val="b"/>
        <c:numFmt formatCode="#\ ##0&quot; &quot;" sourceLinked="1"/>
        <c:majorTickMark val="none"/>
        <c:minorTickMark val="none"/>
        <c:tickLblPos val="nextTo"/>
        <c:crossAx val="1126227983"/>
        <c:crosses val="autoZero"/>
        <c:crossBetween val="between"/>
      </c:valAx>
      <c:spPr>
        <a:noFill/>
        <a:ln>
          <a:solidFill>
            <a:schemeClr val="bg1">
              <a:lumMod val="65000"/>
            </a:schemeClr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2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37612391575732357"/>
          <c:y val="3.0571690614490981E-2"/>
          <c:w val="0.58303462708515974"/>
          <c:h val="0.84554170869271128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rgbClr val="39869B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'2019G12A'!$E$74:$E$83</c:f>
              <c:strCache>
                <c:ptCount val="10"/>
                <c:pt idx="0">
                  <c:v>Gumárenský a plastový průmysl (22)</c:v>
                </c:pt>
                <c:pt idx="1">
                  <c:v>Farmaceutický průmysl (21)</c:v>
                </c:pt>
                <c:pt idx="2">
                  <c:v>Petrochemický a chemický průmysl (19-20)</c:v>
                </c:pt>
                <c:pt idx="3">
                  <c:v>Výroba kovových konstrukcí a kov. výrobků (25)</c:v>
                </c:pt>
                <c:pt idx="4">
                  <c:v>Ostatní zpracovatelský průmysl (18, 32, 33)</c:v>
                </c:pt>
                <c:pt idx="5">
                  <c:v>Elektronický průmysl (26)</c:v>
                </c:pt>
                <c:pt idx="6">
                  <c:v>Strojírenský průmysl (28)</c:v>
                </c:pt>
                <c:pt idx="7">
                  <c:v>Výr. ostatních dopr. prostředků a zařízení (30)</c:v>
                </c:pt>
                <c:pt idx="8">
                  <c:v>Elektrotechnický průmysl (27)</c:v>
                </c:pt>
                <c:pt idx="9">
                  <c:v>Automobilový průmysl (29)</c:v>
                </c:pt>
              </c:strCache>
            </c:strRef>
          </c:cat>
          <c:val>
            <c:numRef>
              <c:f>'2019G12A'!$F$74:$F$83</c:f>
              <c:numCache>
                <c:formatCode>#\ ##0" "</c:formatCode>
                <c:ptCount val="10"/>
                <c:pt idx="0">
                  <c:v>43.816109949999998</c:v>
                </c:pt>
                <c:pt idx="1">
                  <c:v>54.423853080000001</c:v>
                </c:pt>
                <c:pt idx="2">
                  <c:v>57.080805479999988</c:v>
                </c:pt>
                <c:pt idx="3">
                  <c:v>71.79496408</c:v>
                </c:pt>
                <c:pt idx="4">
                  <c:v>82.904924710000003</c:v>
                </c:pt>
                <c:pt idx="5">
                  <c:v>95.240274000000014</c:v>
                </c:pt>
                <c:pt idx="6">
                  <c:v>210.0501338</c:v>
                </c:pt>
                <c:pt idx="7">
                  <c:v>215.72924234999999</c:v>
                </c:pt>
                <c:pt idx="8">
                  <c:v>229.83468465000001</c:v>
                </c:pt>
                <c:pt idx="9">
                  <c:v>660.90410863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372-481B-B787-21D29162F19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0"/>
        <c:axId val="1126227983"/>
        <c:axId val="1126238383"/>
      </c:barChart>
      <c:catAx>
        <c:axId val="1126227983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6238383"/>
        <c:crosses val="autoZero"/>
        <c:auto val="1"/>
        <c:lblAlgn val="ctr"/>
        <c:lblOffset val="100"/>
        <c:noMultiLvlLbl val="0"/>
      </c:catAx>
      <c:valAx>
        <c:axId val="1126238383"/>
        <c:scaling>
          <c:orientation val="minMax"/>
        </c:scaling>
        <c:delete val="0"/>
        <c:axPos val="b"/>
        <c:numFmt formatCode="#\ ##0&quot; &quot;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26227983"/>
        <c:crosses val="autoZero"/>
        <c:crossBetween val="between"/>
      </c:valAx>
      <c:spPr>
        <a:noFill/>
        <a:ln>
          <a:solidFill>
            <a:schemeClr val="bg1">
              <a:lumMod val="65000"/>
            </a:schemeClr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9555749627897587"/>
          <c:y val="2.7917364600781685E-2"/>
          <c:w val="0.78194770376422085"/>
          <c:h val="0.91066443327749846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rgbClr val="39869B"/>
            </a:solidFill>
            <a:ln>
              <a:noFill/>
            </a:ln>
            <a:effectLst/>
          </c:spPr>
          <c:invertIfNegative val="0"/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0-6F24-46F6-BF4C-466A25593FB8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1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6F24-46F6-BF4C-466A25593FB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'2019G13A'!$A$94:$A$107</c:f>
              <c:strCache>
                <c:ptCount val="14"/>
                <c:pt idx="0">
                  <c:v>Karlovarský</c:v>
                </c:pt>
                <c:pt idx="1">
                  <c:v>Ústecký</c:v>
                </c:pt>
                <c:pt idx="2">
                  <c:v>Vysočina</c:v>
                </c:pt>
                <c:pt idx="3">
                  <c:v>Jihočeský</c:v>
                </c:pt>
                <c:pt idx="4">
                  <c:v>Liberecký</c:v>
                </c:pt>
                <c:pt idx="5">
                  <c:v>Královéhradecký</c:v>
                </c:pt>
                <c:pt idx="6">
                  <c:v>Olomoucký</c:v>
                </c:pt>
                <c:pt idx="7">
                  <c:v>Plzeňský</c:v>
                </c:pt>
                <c:pt idx="8">
                  <c:v>Pardubický</c:v>
                </c:pt>
                <c:pt idx="9">
                  <c:v>Středočeský</c:v>
                </c:pt>
                <c:pt idx="10">
                  <c:v>Zlínský</c:v>
                </c:pt>
                <c:pt idx="11">
                  <c:v>Moravskoslezský</c:v>
                </c:pt>
                <c:pt idx="12">
                  <c:v>Jihomoravský</c:v>
                </c:pt>
                <c:pt idx="13">
                  <c:v>Praha</c:v>
                </c:pt>
              </c:strCache>
            </c:strRef>
          </c:cat>
          <c:val>
            <c:numRef>
              <c:f>'2019G13A'!$B$94:$B$107</c:f>
              <c:numCache>
                <c:formatCode>#\ ##0" "</c:formatCode>
                <c:ptCount val="14"/>
                <c:pt idx="0">
                  <c:v>7</c:v>
                </c:pt>
                <c:pt idx="1">
                  <c:v>20</c:v>
                </c:pt>
                <c:pt idx="2">
                  <c:v>34</c:v>
                </c:pt>
                <c:pt idx="3">
                  <c:v>38</c:v>
                </c:pt>
                <c:pt idx="4">
                  <c:v>42</c:v>
                </c:pt>
                <c:pt idx="5">
                  <c:v>43</c:v>
                </c:pt>
                <c:pt idx="6">
                  <c:v>44</c:v>
                </c:pt>
                <c:pt idx="7">
                  <c:v>47</c:v>
                </c:pt>
                <c:pt idx="8">
                  <c:v>49</c:v>
                </c:pt>
                <c:pt idx="9">
                  <c:v>89</c:v>
                </c:pt>
                <c:pt idx="10">
                  <c:v>100</c:v>
                </c:pt>
                <c:pt idx="11">
                  <c:v>100</c:v>
                </c:pt>
                <c:pt idx="12">
                  <c:v>136</c:v>
                </c:pt>
                <c:pt idx="13">
                  <c:v>288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F24-46F6-BF4C-466A25593FB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0"/>
        <c:axId val="1243551455"/>
        <c:axId val="1243538143"/>
      </c:barChart>
      <c:catAx>
        <c:axId val="1243551455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243538143"/>
        <c:crosses val="autoZero"/>
        <c:auto val="1"/>
        <c:lblAlgn val="ctr"/>
        <c:lblOffset val="100"/>
        <c:noMultiLvlLbl val="0"/>
      </c:catAx>
      <c:valAx>
        <c:axId val="1243538143"/>
        <c:scaling>
          <c:orientation val="minMax"/>
          <c:max val="300"/>
        </c:scaling>
        <c:delete val="1"/>
        <c:axPos val="b"/>
        <c:numFmt formatCode="#\ ##0&quot; &quot;" sourceLinked="1"/>
        <c:majorTickMark val="out"/>
        <c:minorTickMark val="none"/>
        <c:tickLblPos val="nextTo"/>
        <c:crossAx val="1243551455"/>
        <c:crosses val="autoZero"/>
        <c:crossBetween val="between"/>
      </c:valAx>
      <c:spPr>
        <a:noFill/>
        <a:ln>
          <a:solidFill>
            <a:schemeClr val="bg1">
              <a:lumMod val="65000"/>
            </a:schemeClr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'2019G13A'!$B$109</c:f>
              <c:strCache>
                <c:ptCount val="1"/>
                <c:pt idx="0">
                  <c:v> celková nepřímá podpora - mil Kč</c:v>
                </c:pt>
              </c:strCache>
            </c:strRef>
          </c:tx>
          <c:spPr>
            <a:solidFill>
              <a:schemeClr val="accent5">
                <a:lumMod val="75000"/>
              </a:schemeClr>
            </a:solidFill>
          </c:spPr>
          <c:invertIfNegative val="0"/>
          <c:cat>
            <c:strRef>
              <c:f>'2019G13A'!$A$110:$A$123</c:f>
              <c:strCache>
                <c:ptCount val="14"/>
                <c:pt idx="0">
                  <c:v>Praha</c:v>
                </c:pt>
                <c:pt idx="1">
                  <c:v>Středočeský</c:v>
                </c:pt>
                <c:pt idx="2">
                  <c:v>Plzeňský</c:v>
                </c:pt>
                <c:pt idx="3">
                  <c:v>Jihomoravský</c:v>
                </c:pt>
                <c:pt idx="4">
                  <c:v>Moravskoslezský</c:v>
                </c:pt>
                <c:pt idx="5">
                  <c:v>Liberecký</c:v>
                </c:pt>
                <c:pt idx="6">
                  <c:v>Zlínský</c:v>
                </c:pt>
                <c:pt idx="7">
                  <c:v>Vysočina</c:v>
                </c:pt>
                <c:pt idx="8">
                  <c:v>Pardubický</c:v>
                </c:pt>
                <c:pt idx="9">
                  <c:v>Ústecký</c:v>
                </c:pt>
                <c:pt idx="10">
                  <c:v>Královéhradecký</c:v>
                </c:pt>
                <c:pt idx="11">
                  <c:v>Olomoucký</c:v>
                </c:pt>
                <c:pt idx="12">
                  <c:v>Jihočeský</c:v>
                </c:pt>
                <c:pt idx="13">
                  <c:v>Karlovarský</c:v>
                </c:pt>
              </c:strCache>
            </c:strRef>
          </c:cat>
          <c:val>
            <c:numRef>
              <c:f>'2019G13A'!$B$110:$B$123</c:f>
              <c:numCache>
                <c:formatCode>#\ ##0" "</c:formatCode>
                <c:ptCount val="14"/>
                <c:pt idx="0">
                  <c:v>781.09368504999986</c:v>
                </c:pt>
                <c:pt idx="1">
                  <c:v>631.37532551000015</c:v>
                </c:pt>
                <c:pt idx="2">
                  <c:v>220.31367292999997</c:v>
                </c:pt>
                <c:pt idx="3">
                  <c:v>185.79672823000004</c:v>
                </c:pt>
                <c:pt idx="4">
                  <c:v>158.85840378000003</c:v>
                </c:pt>
                <c:pt idx="5">
                  <c:v>148.90277940999999</c:v>
                </c:pt>
                <c:pt idx="6">
                  <c:v>137.46646680000001</c:v>
                </c:pt>
                <c:pt idx="7">
                  <c:v>89.864630219999995</c:v>
                </c:pt>
                <c:pt idx="8">
                  <c:v>60.004083350000002</c:v>
                </c:pt>
                <c:pt idx="9">
                  <c:v>41.36621195</c:v>
                </c:pt>
                <c:pt idx="10">
                  <c:v>40.979959050000005</c:v>
                </c:pt>
                <c:pt idx="11">
                  <c:v>35.29907133999999</c:v>
                </c:pt>
                <c:pt idx="12">
                  <c:v>33.443773970000002</c:v>
                </c:pt>
                <c:pt idx="13">
                  <c:v>18.302297199999998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BD5-4501-AE9A-04BDB6A4F33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0"/>
        <c:axId val="270393728"/>
        <c:axId val="270395264"/>
      </c:barChart>
      <c:lineChart>
        <c:grouping val="standard"/>
        <c:varyColors val="0"/>
        <c:ser>
          <c:idx val="1"/>
          <c:order val="1"/>
          <c:tx>
            <c:strRef>
              <c:f>'2019G13A'!$C$109</c:f>
              <c:strCache>
                <c:ptCount val="1"/>
                <c:pt idx="0">
                  <c:v> nepřímá podpora na jeden podnik - mil.Kč</c:v>
                </c:pt>
              </c:strCache>
            </c:strRef>
          </c:tx>
          <c:spPr>
            <a:ln>
              <a:noFill/>
            </a:ln>
          </c:spPr>
          <c:marker>
            <c:symbol val="diamond"/>
            <c:size val="11"/>
            <c:spPr>
              <a:solidFill>
                <a:srgbClr val="46A1B9"/>
              </a:solidFill>
              <a:ln w="25400">
                <a:solidFill>
                  <a:srgbClr val="B5D4E0"/>
                </a:solidFill>
              </a:ln>
            </c:spPr>
          </c:marker>
          <c:cat>
            <c:strRef>
              <c:f>'2019G13A'!$A$110:$A$123</c:f>
              <c:strCache>
                <c:ptCount val="14"/>
                <c:pt idx="0">
                  <c:v>Praha</c:v>
                </c:pt>
                <c:pt idx="1">
                  <c:v>Středočeský</c:v>
                </c:pt>
                <c:pt idx="2">
                  <c:v>Plzeňský</c:v>
                </c:pt>
                <c:pt idx="3">
                  <c:v>Jihomoravský</c:v>
                </c:pt>
                <c:pt idx="4">
                  <c:v>Moravskoslezský</c:v>
                </c:pt>
                <c:pt idx="5">
                  <c:v>Liberecký</c:v>
                </c:pt>
                <c:pt idx="6">
                  <c:v>Zlínský</c:v>
                </c:pt>
                <c:pt idx="7">
                  <c:v>Vysočina</c:v>
                </c:pt>
                <c:pt idx="8">
                  <c:v>Pardubický</c:v>
                </c:pt>
                <c:pt idx="9">
                  <c:v>Ústecký</c:v>
                </c:pt>
                <c:pt idx="10">
                  <c:v>Královéhradecký</c:v>
                </c:pt>
                <c:pt idx="11">
                  <c:v>Olomoucký</c:v>
                </c:pt>
                <c:pt idx="12">
                  <c:v>Jihočeský</c:v>
                </c:pt>
                <c:pt idx="13">
                  <c:v>Karlovarský</c:v>
                </c:pt>
              </c:strCache>
            </c:strRef>
          </c:cat>
          <c:val>
            <c:numRef>
              <c:f>'2019G13A'!$C$110:$C$123</c:f>
              <c:numCache>
                <c:formatCode>0.0</c:formatCode>
                <c:ptCount val="14"/>
                <c:pt idx="0">
                  <c:v>2.7121308508680553</c:v>
                </c:pt>
                <c:pt idx="1">
                  <c:v>7.0941047810112376</c:v>
                </c:pt>
                <c:pt idx="2">
                  <c:v>4.6875249559574463</c:v>
                </c:pt>
                <c:pt idx="3">
                  <c:v>1.3661524134558827</c:v>
                </c:pt>
                <c:pt idx="4">
                  <c:v>1.5885840378000002</c:v>
                </c:pt>
                <c:pt idx="5">
                  <c:v>3.5453042716666667</c:v>
                </c:pt>
                <c:pt idx="6">
                  <c:v>1.3746646680000001</c:v>
                </c:pt>
                <c:pt idx="7">
                  <c:v>2.6430773594117647</c:v>
                </c:pt>
                <c:pt idx="8">
                  <c:v>1.2245731295918367</c:v>
                </c:pt>
                <c:pt idx="9">
                  <c:v>2.0683105975</c:v>
                </c:pt>
                <c:pt idx="10">
                  <c:v>0.95302230348837225</c:v>
                </c:pt>
                <c:pt idx="11">
                  <c:v>0.80225162136363615</c:v>
                </c:pt>
                <c:pt idx="12">
                  <c:v>0.88009931500000005</c:v>
                </c:pt>
                <c:pt idx="13">
                  <c:v>2.6146138857142853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DBD5-4501-AE9A-04BDB6A4F33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70665216"/>
        <c:axId val="270663680"/>
      </c:lineChart>
      <c:catAx>
        <c:axId val="27039372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 rot="-5400000" vert="horz"/>
          <a:lstStyle/>
          <a:p>
            <a:pPr>
              <a:defRPr/>
            </a:pPr>
            <a:endParaRPr lang="cs-CZ"/>
          </a:p>
        </c:txPr>
        <c:crossAx val="270395264"/>
        <c:crosses val="autoZero"/>
        <c:auto val="1"/>
        <c:lblAlgn val="ctr"/>
        <c:lblOffset val="100"/>
        <c:noMultiLvlLbl val="0"/>
      </c:catAx>
      <c:valAx>
        <c:axId val="270395264"/>
        <c:scaling>
          <c:orientation val="minMax"/>
        </c:scaling>
        <c:delete val="0"/>
        <c:axPos val="l"/>
        <c:majorGridlines>
          <c:spPr>
            <a:ln>
              <a:solidFill>
                <a:schemeClr val="bg1">
                  <a:lumMod val="75000"/>
                </a:schemeClr>
              </a:solidFill>
              <a:prstDash val="dash"/>
            </a:ln>
          </c:spPr>
        </c:majorGridlines>
        <c:numFmt formatCode="#\ ##0&quot; &quot;" sourceLinked="1"/>
        <c:majorTickMark val="out"/>
        <c:minorTickMark val="none"/>
        <c:tickLblPos val="nextTo"/>
        <c:crossAx val="270393728"/>
        <c:crosses val="autoZero"/>
        <c:crossBetween val="between"/>
      </c:valAx>
      <c:valAx>
        <c:axId val="270663680"/>
        <c:scaling>
          <c:orientation val="minMax"/>
          <c:max val="9"/>
          <c:min val="0"/>
        </c:scaling>
        <c:delete val="0"/>
        <c:axPos val="r"/>
        <c:numFmt formatCode="0" sourceLinked="0"/>
        <c:majorTickMark val="out"/>
        <c:minorTickMark val="none"/>
        <c:tickLblPos val="nextTo"/>
        <c:crossAx val="270665216"/>
        <c:crosses val="max"/>
        <c:crossBetween val="between"/>
        <c:majorUnit val="1"/>
        <c:minorUnit val="0.5"/>
      </c:valAx>
      <c:catAx>
        <c:axId val="270665216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270663680"/>
        <c:crosses val="autoZero"/>
        <c:auto val="1"/>
        <c:lblAlgn val="ctr"/>
        <c:lblOffset val="100"/>
        <c:noMultiLvlLbl val="0"/>
      </c:catAx>
      <c:spPr>
        <a:ln>
          <a:solidFill>
            <a:schemeClr val="bg1">
              <a:lumMod val="75000"/>
            </a:schemeClr>
          </a:solidFill>
        </a:ln>
      </c:spPr>
    </c:plotArea>
    <c:legend>
      <c:legendPos val="t"/>
      <c:layout>
        <c:manualLayout>
          <c:xMode val="edge"/>
          <c:yMode val="edge"/>
          <c:x val="0.24105498709284562"/>
          <c:y val="3.6585365853658534E-2"/>
          <c:w val="0.63365453655657311"/>
          <c:h val="6.0347929069841877E-2"/>
        </c:manualLayout>
      </c:layout>
      <c:overlay val="0"/>
      <c:txPr>
        <a:bodyPr/>
        <a:lstStyle/>
        <a:p>
          <a:pPr>
            <a:defRPr>
              <a:solidFill>
                <a:schemeClr val="tx1"/>
              </a:solidFill>
            </a:defRPr>
          </a:pPr>
          <a:endParaRPr lang="cs-CZ"/>
        </a:p>
      </c:txPr>
    </c:legend>
    <c:plotVisOnly val="1"/>
    <c:dispBlanksAs val="gap"/>
    <c:showDLblsOverMax val="0"/>
  </c:chart>
  <c:spPr>
    <a:ln>
      <a:noFill/>
    </a:ln>
  </c:spPr>
  <c:txPr>
    <a:bodyPr/>
    <a:lstStyle/>
    <a:p>
      <a:pPr>
        <a:defRPr sz="800" baseline="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1">
    <c:autoUpdate val="0"/>
  </c:externalData>
</c:chartSpace>
</file>

<file path=word/charts/chart2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'2019G15'!$C$35</c:f>
              <c:strCache>
                <c:ptCount val="1"/>
                <c:pt idx="0">
                  <c:v>Volume of R&amp;D tax incentives, million current USD PPPs</c:v>
                </c:pt>
              </c:strCache>
            </c:strRef>
          </c:tx>
          <c:spPr>
            <a:solidFill>
              <a:srgbClr val="7CBBCF"/>
            </a:solidFill>
          </c:spPr>
          <c:invertIfNegative val="0"/>
          <c:dPt>
            <c:idx val="9"/>
            <c:invertIfNegative val="0"/>
            <c:bubble3D val="0"/>
            <c:spPr>
              <a:solidFill>
                <a:srgbClr val="39869B"/>
              </a:solidFill>
            </c:spPr>
            <c:extLst>
              <c:ext xmlns:c16="http://schemas.microsoft.com/office/drawing/2014/chart" uri="{C3380CC4-5D6E-409C-BE32-E72D297353CC}">
                <c16:uniqueId val="{00000001-A9C4-4F58-A029-D93EA323F8AA}"/>
              </c:ext>
            </c:extLst>
          </c:dPt>
          <c:dPt>
            <c:idx val="10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2-A9C4-4F58-A029-D93EA323F8AA}"/>
              </c:ext>
            </c:extLst>
          </c:dPt>
          <c:dPt>
            <c:idx val="11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3-A9C4-4F58-A029-D93EA323F8AA}"/>
              </c:ext>
            </c:extLst>
          </c:dPt>
          <c:dLbls>
            <c:dLbl>
              <c:idx val="0"/>
              <c:spPr/>
              <c:txPr>
                <a:bodyPr rot="-5400000" vert="horz"/>
                <a:lstStyle/>
                <a:p>
                  <a:pPr>
                    <a:defRPr/>
                  </a:pPr>
                  <a:endParaRPr lang="cs-CZ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A9C4-4F58-A029-D93EA323F8AA}"/>
                </c:ext>
              </c:extLst>
            </c:dLbl>
            <c:dLbl>
              <c:idx val="16"/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A9C4-4F58-A029-D93EA323F8AA}"/>
                </c:ext>
              </c:extLst>
            </c:dLbl>
            <c:dLbl>
              <c:idx val="17"/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6-A9C4-4F58-A029-D93EA323F8AA}"/>
                </c:ext>
              </c:extLst>
            </c:dLbl>
            <c:dLbl>
              <c:idx val="19"/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A9C4-4F58-A029-D93EA323F8AA}"/>
                </c:ext>
              </c:extLst>
            </c:dLbl>
            <c:dLbl>
              <c:idx val="20"/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8-A9C4-4F58-A029-D93EA323F8AA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-5400000" vert="horz"/>
              <a:lstStyle/>
              <a:p>
                <a:pPr>
                  <a:defRPr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'2019G15'!$B$36:$B$61</c:f>
              <c:strCache>
                <c:ptCount val="26"/>
                <c:pt idx="0">
                  <c:v>Francie</c:v>
                </c:pt>
                <c:pt idx="1">
                  <c:v>Velká Británie</c:v>
                </c:pt>
                <c:pt idx="2">
                  <c:v>Itálie</c:v>
                </c:pt>
                <c:pt idx="3">
                  <c:v>Belgie</c:v>
                </c:pt>
                <c:pt idx="4">
                  <c:v>Nizozemsko</c:v>
                </c:pt>
                <c:pt idx="5">
                  <c:v>Rakousko</c:v>
                </c:pt>
                <c:pt idx="6">
                  <c:v>Španělsko</c:v>
                </c:pt>
                <c:pt idx="7">
                  <c:v>Irsko</c:v>
                </c:pt>
                <c:pt idx="8">
                  <c:v>Portugalsko</c:v>
                </c:pt>
                <c:pt idx="9">
                  <c:v>Česko</c:v>
                </c:pt>
                <c:pt idx="10">
                  <c:v>Maďarsko</c:v>
                </c:pt>
                <c:pt idx="11">
                  <c:v>Slovinsko</c:v>
                </c:pt>
                <c:pt idx="12">
                  <c:v>Dánsko</c:v>
                </c:pt>
                <c:pt idx="13">
                  <c:v>Švédsko</c:v>
                </c:pt>
                <c:pt idx="14">
                  <c:v>Polsko</c:v>
                </c:pt>
                <c:pt idx="15">
                  <c:v>Rumunsko</c:v>
                </c:pt>
                <c:pt idx="16">
                  <c:v>Řecko</c:v>
                </c:pt>
                <c:pt idx="17">
                  <c:v>Litva</c:v>
                </c:pt>
                <c:pt idx="18">
                  <c:v>Slovensko</c:v>
                </c:pt>
                <c:pt idx="19">
                  <c:v>Malta</c:v>
                </c:pt>
                <c:pt idx="20">
                  <c:v>Lotyšsko</c:v>
                </c:pt>
                <c:pt idx="22">
                  <c:v>Japonsko</c:v>
                </c:pt>
                <c:pt idx="23">
                  <c:v>Rusko</c:v>
                </c:pt>
                <c:pt idx="24">
                  <c:v>Jižní Korea</c:v>
                </c:pt>
                <c:pt idx="25">
                  <c:v>Norsko</c:v>
                </c:pt>
              </c:strCache>
            </c:strRef>
          </c:cat>
          <c:val>
            <c:numRef>
              <c:f>'2019G15'!$C$36:$C$61</c:f>
              <c:numCache>
                <c:formatCode>#,##0</c:formatCode>
                <c:ptCount val="26"/>
                <c:pt idx="0">
                  <c:v>7964.0958511318804</c:v>
                </c:pt>
                <c:pt idx="1">
                  <c:v>6265.4747005724212</c:v>
                </c:pt>
                <c:pt idx="2">
                  <c:v>3920.9812931204715</c:v>
                </c:pt>
                <c:pt idx="3">
                  <c:v>1697.0511256386535</c:v>
                </c:pt>
                <c:pt idx="4">
                  <c:v>1495.155583961038</c:v>
                </c:pt>
                <c:pt idx="5">
                  <c:v>750.41585513269081</c:v>
                </c:pt>
                <c:pt idx="6">
                  <c:v>646.41438595231534</c:v>
                </c:pt>
                <c:pt idx="7">
                  <c:v>562.44622698635601</c:v>
                </c:pt>
                <c:pt idx="8">
                  <c:v>393.18836479472014</c:v>
                </c:pt>
                <c:pt idx="9">
                  <c:v>201.0601844309893</c:v>
                </c:pt>
                <c:pt idx="10">
                  <c:v>163.92726592173577</c:v>
                </c:pt>
                <c:pt idx="11">
                  <c:v>79.745943670019344</c:v>
                </c:pt>
                <c:pt idx="12">
                  <c:v>64.454861651013985</c:v>
                </c:pt>
                <c:pt idx="13">
                  <c:v>64.044752189259569</c:v>
                </c:pt>
                <c:pt idx="14">
                  <c:v>58.850584346249875</c:v>
                </c:pt>
                <c:pt idx="15">
                  <c:v>27.04273674747807</c:v>
                </c:pt>
                <c:pt idx="16">
                  <c:v>22.980950630403449</c:v>
                </c:pt>
                <c:pt idx="17">
                  <c:v>18.725407395814994</c:v>
                </c:pt>
                <c:pt idx="18">
                  <c:v>17.223374872952451</c:v>
                </c:pt>
                <c:pt idx="19">
                  <c:v>5.5000206250773447</c:v>
                </c:pt>
                <c:pt idx="20">
                  <c:v>1.4264209737777405</c:v>
                </c:pt>
                <c:pt idx="22">
                  <c:v>6499.5083300492615</c:v>
                </c:pt>
                <c:pt idx="23">
                  <c:v>3839.342919941681</c:v>
                </c:pt>
                <c:pt idx="24">
                  <c:v>2841.6930459809009</c:v>
                </c:pt>
                <c:pt idx="25">
                  <c:v>413.1949617518701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9-A9C4-4F58-A029-D93EA323F8A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0"/>
        <c:axId val="271622528"/>
        <c:axId val="271624064"/>
      </c:barChart>
      <c:catAx>
        <c:axId val="27162252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 rot="-5400000" vert="horz"/>
          <a:lstStyle/>
          <a:p>
            <a:pPr>
              <a:defRPr/>
            </a:pPr>
            <a:endParaRPr lang="cs-CZ"/>
          </a:p>
        </c:txPr>
        <c:crossAx val="271624064"/>
        <c:crosses val="autoZero"/>
        <c:auto val="1"/>
        <c:lblAlgn val="ctr"/>
        <c:lblOffset val="100"/>
        <c:noMultiLvlLbl val="0"/>
      </c:catAx>
      <c:valAx>
        <c:axId val="271624064"/>
        <c:scaling>
          <c:orientation val="minMax"/>
          <c:max val="10000"/>
          <c:min val="0"/>
        </c:scaling>
        <c:delete val="1"/>
        <c:axPos val="l"/>
        <c:numFmt formatCode="#,##0" sourceLinked="1"/>
        <c:majorTickMark val="out"/>
        <c:minorTickMark val="none"/>
        <c:tickLblPos val="nextTo"/>
        <c:crossAx val="271622528"/>
        <c:crosses val="autoZero"/>
        <c:crossBetween val="between"/>
      </c:valAx>
      <c:spPr>
        <a:ln>
          <a:solidFill>
            <a:schemeClr val="bg1">
              <a:lumMod val="65000"/>
            </a:schemeClr>
          </a:solidFill>
        </a:ln>
      </c:spPr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800" baseline="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1">
    <c:autoUpdate val="0"/>
  </c:externalData>
</c:chartSpace>
</file>

<file path=word/charts/chart2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rgbClr val="7CBBCF"/>
            </a:solidFill>
            <a:ln>
              <a:noFill/>
            </a:ln>
            <a:effectLst/>
          </c:spPr>
          <c:invertIfNegative val="0"/>
          <c:dPt>
            <c:idx val="9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36FF-4D1F-AA42-94AC2117B2E1}"/>
              </c:ext>
            </c:extLst>
          </c:dPt>
          <c:dPt>
            <c:idx val="10"/>
            <c:invertIfNegative val="0"/>
            <c:bubble3D val="0"/>
            <c:spPr>
              <a:solidFill>
                <a:srgbClr val="7CBBCF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2-36FF-4D1F-AA42-94AC2117B2E1}"/>
              </c:ext>
            </c:extLst>
          </c:dPt>
          <c:dPt>
            <c:idx val="11"/>
            <c:invertIfNegative val="0"/>
            <c:bubble3D val="0"/>
            <c:spPr>
              <a:solidFill>
                <a:srgbClr val="7CBBCF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4-36FF-4D1F-AA42-94AC2117B2E1}"/>
              </c:ext>
            </c:extLst>
          </c:dPt>
          <c:dPt>
            <c:idx val="12"/>
            <c:invertIfNegative val="0"/>
            <c:bubble3D val="0"/>
            <c:spPr>
              <a:solidFill>
                <a:srgbClr val="39869B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6-36FF-4D1F-AA42-94AC2117B2E1}"/>
              </c:ext>
            </c:extLst>
          </c:dPt>
          <c:dLbls>
            <c:dLbl>
              <c:idx val="0"/>
              <c:layout>
                <c:manualLayout>
                  <c:x val="0"/>
                  <c:y val="1.240370905193944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36FF-4D1F-AA42-94AC2117B2E1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'2019G16'!$B$3:$B$28</c:f>
              <c:strCache>
                <c:ptCount val="26"/>
                <c:pt idx="0">
                  <c:v>Francie</c:v>
                </c:pt>
                <c:pt idx="1">
                  <c:v>Itálie</c:v>
                </c:pt>
                <c:pt idx="2">
                  <c:v>Velká Británie</c:v>
                </c:pt>
                <c:pt idx="3">
                  <c:v>Portugalsko</c:v>
                </c:pt>
                <c:pt idx="4">
                  <c:v>Irsko</c:v>
                </c:pt>
                <c:pt idx="5">
                  <c:v>Belgie</c:v>
                </c:pt>
                <c:pt idx="6">
                  <c:v>Nizozemsko</c:v>
                </c:pt>
                <c:pt idx="7">
                  <c:v>Slovinsko</c:v>
                </c:pt>
                <c:pt idx="8">
                  <c:v>Rakousko</c:v>
                </c:pt>
                <c:pt idx="9">
                  <c:v>Litva</c:v>
                </c:pt>
                <c:pt idx="10">
                  <c:v>Maďarsko</c:v>
                </c:pt>
                <c:pt idx="11">
                  <c:v>Španělsko</c:v>
                </c:pt>
                <c:pt idx="12">
                  <c:v>Česko</c:v>
                </c:pt>
                <c:pt idx="13">
                  <c:v>Rumunsko</c:v>
                </c:pt>
                <c:pt idx="14">
                  <c:v>Slovensko</c:v>
                </c:pt>
                <c:pt idx="15">
                  <c:v>Lotyšsko</c:v>
                </c:pt>
                <c:pt idx="16">
                  <c:v>Řecko</c:v>
                </c:pt>
                <c:pt idx="17">
                  <c:v>Dánsko</c:v>
                </c:pt>
                <c:pt idx="18">
                  <c:v>Polsko</c:v>
                </c:pt>
                <c:pt idx="19">
                  <c:v>Švédsko</c:v>
                </c:pt>
                <c:pt idx="21">
                  <c:v>Rusko</c:v>
                </c:pt>
                <c:pt idx="22">
                  <c:v>Norsko</c:v>
                </c:pt>
                <c:pt idx="23">
                  <c:v>Japonsko</c:v>
                </c:pt>
                <c:pt idx="24">
                  <c:v>Jižní Korea</c:v>
                </c:pt>
                <c:pt idx="25">
                  <c:v>Spojené státy</c:v>
                </c:pt>
              </c:strCache>
            </c:strRef>
          </c:cat>
          <c:val>
            <c:numRef>
              <c:f>'2019G16'!$C$3:$C$28</c:f>
              <c:numCache>
                <c:formatCode>0.0%</c:formatCode>
                <c:ptCount val="26"/>
                <c:pt idx="0">
                  <c:v>0.19670000000000001</c:v>
                </c:pt>
                <c:pt idx="1">
                  <c:v>0.19030000000000002</c:v>
                </c:pt>
                <c:pt idx="2">
                  <c:v>0.18789999999999998</c:v>
                </c:pt>
                <c:pt idx="3">
                  <c:v>0.17499999999999999</c:v>
                </c:pt>
                <c:pt idx="4">
                  <c:v>0.16170000000000001</c:v>
                </c:pt>
                <c:pt idx="5">
                  <c:v>0.15909999999999999</c:v>
                </c:pt>
                <c:pt idx="6">
                  <c:v>0.13699999999999998</c:v>
                </c:pt>
                <c:pt idx="7">
                  <c:v>7.6700000000000004E-2</c:v>
                </c:pt>
                <c:pt idx="8">
                  <c:v>7.1399999999999991E-2</c:v>
                </c:pt>
                <c:pt idx="9">
                  <c:v>5.9900000000000002E-2</c:v>
                </c:pt>
                <c:pt idx="10">
                  <c:v>5.9000000000000004E-2</c:v>
                </c:pt>
                <c:pt idx="11">
                  <c:v>5.3600000000000002E-2</c:v>
                </c:pt>
                <c:pt idx="12">
                  <c:v>4.4299999999999999E-2</c:v>
                </c:pt>
                <c:pt idx="13">
                  <c:v>2.1700000000000001E-2</c:v>
                </c:pt>
                <c:pt idx="14">
                  <c:v>2.0499999999999997E-2</c:v>
                </c:pt>
                <c:pt idx="15">
                  <c:v>0.02</c:v>
                </c:pt>
                <c:pt idx="16">
                  <c:v>1.8600000000000002E-2</c:v>
                </c:pt>
                <c:pt idx="17">
                  <c:v>1.04E-2</c:v>
                </c:pt>
                <c:pt idx="18">
                  <c:v>7.8000000000000005E-3</c:v>
                </c:pt>
                <c:pt idx="19">
                  <c:v>5.1000000000000004E-3</c:v>
                </c:pt>
                <c:pt idx="21">
                  <c:v>0.1525</c:v>
                </c:pt>
                <c:pt idx="22">
                  <c:v>0.1143</c:v>
                </c:pt>
                <c:pt idx="23">
                  <c:v>4.8300000000000003E-2</c:v>
                </c:pt>
                <c:pt idx="24">
                  <c:v>3.9300000000000002E-2</c:v>
                </c:pt>
                <c:pt idx="25">
                  <c:v>3.6900000000000002E-2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36FF-4D1F-AA42-94AC2117B2E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60"/>
        <c:axId val="271110528"/>
        <c:axId val="271112064"/>
      </c:barChart>
      <c:catAx>
        <c:axId val="27111052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+mn-cs"/>
              </a:defRPr>
            </a:pPr>
            <a:endParaRPr lang="cs-CZ"/>
          </a:p>
        </c:txPr>
        <c:crossAx val="271112064"/>
        <c:crosses val="autoZero"/>
        <c:auto val="1"/>
        <c:lblAlgn val="ctr"/>
        <c:lblOffset val="100"/>
        <c:noMultiLvlLbl val="0"/>
      </c:catAx>
      <c:valAx>
        <c:axId val="271112064"/>
        <c:scaling>
          <c:orientation val="minMax"/>
          <c:max val="0.25"/>
          <c:min val="0"/>
        </c:scaling>
        <c:delete val="1"/>
        <c:axPos val="l"/>
        <c:numFmt formatCode="0.0%" sourceLinked="0"/>
        <c:majorTickMark val="out"/>
        <c:minorTickMark val="none"/>
        <c:tickLblPos val="nextTo"/>
        <c:crossAx val="271110528"/>
        <c:crosses val="autoZero"/>
        <c:crossBetween val="between"/>
        <c:majorUnit val="5.000000000000001E-2"/>
      </c:valAx>
      <c:spPr>
        <a:solidFill>
          <a:schemeClr val="bg1"/>
        </a:solidFill>
        <a:ln>
          <a:solidFill>
            <a:schemeClr val="bg1">
              <a:lumMod val="65000"/>
            </a:schemeClr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prstDash val="solid"/>
      <a:round/>
    </a:ln>
    <a:effectLst/>
  </c:spPr>
  <c:txPr>
    <a:bodyPr/>
    <a:lstStyle/>
    <a:p>
      <a:pPr>
        <a:defRPr sz="800" baseline="0">
          <a:latin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hart2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'2019G14'!$B$26</c:f>
              <c:strCache>
                <c:ptCount val="1"/>
                <c:pt idx="0">
                  <c:v>%</c:v>
                </c:pt>
              </c:strCache>
            </c:strRef>
          </c:tx>
          <c:spPr>
            <a:solidFill>
              <a:srgbClr val="7CBBCF"/>
            </a:solidFill>
            <a:ln>
              <a:noFill/>
            </a:ln>
            <a:effectLst/>
          </c:spPr>
          <c:invertIfNegative val="0"/>
          <c:dPt>
            <c:idx val="9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9D19-4AAD-B35C-05C122D98622}"/>
              </c:ext>
            </c:extLst>
          </c:dPt>
          <c:dPt>
            <c:idx val="10"/>
            <c:invertIfNegative val="0"/>
            <c:bubble3D val="0"/>
            <c:spPr>
              <a:solidFill>
                <a:srgbClr val="39869B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2-9D19-4AAD-B35C-05C122D98622}"/>
              </c:ext>
            </c:extLst>
          </c:dPt>
          <c:dPt>
            <c:idx val="11"/>
            <c:invertIfNegative val="0"/>
            <c:bubble3D val="0"/>
            <c:spPr>
              <a:solidFill>
                <a:srgbClr val="7CBBCF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4-9D19-4AAD-B35C-05C122D98622}"/>
              </c:ext>
            </c:extLst>
          </c:dPt>
          <c:dLbls>
            <c:dLbl>
              <c:idx val="0"/>
              <c:layout>
                <c:manualLayout>
                  <c:x val="0"/>
                  <c:y val="1.240370905193944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9D19-4AAD-B35C-05C122D9862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anchor="ctr" anchorCtr="1"/>
              <a:lstStyle/>
              <a:p>
                <a:pPr>
                  <a:defRPr sz="80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'2019G14'!$A$27:$A$51</c:f>
              <c:strCache>
                <c:ptCount val="25"/>
                <c:pt idx="0">
                  <c:v>Belgie</c:v>
                </c:pt>
                <c:pt idx="1">
                  <c:v>Francie</c:v>
                </c:pt>
                <c:pt idx="2">
                  <c:v>Velká Británie</c:v>
                </c:pt>
                <c:pt idx="3">
                  <c:v>Nizozemsko</c:v>
                </c:pt>
                <c:pt idx="4">
                  <c:v>Rakousko</c:v>
                </c:pt>
                <c:pt idx="5">
                  <c:v>Itálie</c:v>
                </c:pt>
                <c:pt idx="6">
                  <c:v>Irsko</c:v>
                </c:pt>
                <c:pt idx="7">
                  <c:v>Portugalsko</c:v>
                </c:pt>
                <c:pt idx="8">
                  <c:v>Slovinsko</c:v>
                </c:pt>
                <c:pt idx="9">
                  <c:v>Maďarsko</c:v>
                </c:pt>
                <c:pt idx="10">
                  <c:v>Česko</c:v>
                </c:pt>
                <c:pt idx="11">
                  <c:v>Španělsko</c:v>
                </c:pt>
                <c:pt idx="12">
                  <c:v>Dánsko</c:v>
                </c:pt>
                <c:pt idx="13">
                  <c:v>Litva</c:v>
                </c:pt>
                <c:pt idx="14">
                  <c:v>Švédsko</c:v>
                </c:pt>
                <c:pt idx="15">
                  <c:v>Slovensko</c:v>
                </c:pt>
                <c:pt idx="16">
                  <c:v>Řecko</c:v>
                </c:pt>
                <c:pt idx="17">
                  <c:v>Rumunsko</c:v>
                </c:pt>
                <c:pt idx="18">
                  <c:v>Polsko</c:v>
                </c:pt>
                <c:pt idx="19">
                  <c:v>Lotyšsko</c:v>
                </c:pt>
                <c:pt idx="21">
                  <c:v>Jižní Korea</c:v>
                </c:pt>
                <c:pt idx="22">
                  <c:v>Norsko</c:v>
                </c:pt>
                <c:pt idx="23">
                  <c:v>Japonsko</c:v>
                </c:pt>
                <c:pt idx="24">
                  <c:v>Rusko</c:v>
                </c:pt>
              </c:strCache>
            </c:strRef>
          </c:cat>
          <c:val>
            <c:numRef>
              <c:f>'2019G14'!$B$27:$B$51</c:f>
              <c:numCache>
                <c:formatCode>0.00%</c:formatCode>
                <c:ptCount val="25"/>
                <c:pt idx="0">
                  <c:v>3.019E-3</c:v>
                </c:pt>
                <c:pt idx="1">
                  <c:v>2.833E-3</c:v>
                </c:pt>
                <c:pt idx="2">
                  <c:v>2.1129999999999999E-3</c:v>
                </c:pt>
                <c:pt idx="3">
                  <c:v>1.604E-3</c:v>
                </c:pt>
                <c:pt idx="4">
                  <c:v>1.583E-3</c:v>
                </c:pt>
                <c:pt idx="5">
                  <c:v>1.5809999999999999E-3</c:v>
                </c:pt>
                <c:pt idx="6">
                  <c:v>1.5229999999999998E-3</c:v>
                </c:pt>
                <c:pt idx="7">
                  <c:v>1.1720000000000001E-3</c:v>
                </c:pt>
                <c:pt idx="8">
                  <c:v>1.067E-3</c:v>
                </c:pt>
                <c:pt idx="9">
                  <c:v>5.8200000000000005E-4</c:v>
                </c:pt>
                <c:pt idx="10">
                  <c:v>4.9899999999999999E-4</c:v>
                </c:pt>
                <c:pt idx="11">
                  <c:v>3.5499999999999996E-4</c:v>
                </c:pt>
                <c:pt idx="12">
                  <c:v>2.0599999999999999E-4</c:v>
                </c:pt>
                <c:pt idx="13">
                  <c:v>1.9800000000000002E-4</c:v>
                </c:pt>
                <c:pt idx="14">
                  <c:v>1.2400000000000001E-4</c:v>
                </c:pt>
                <c:pt idx="15">
                  <c:v>9.7999999999999997E-5</c:v>
                </c:pt>
                <c:pt idx="16" formatCode="0.000%">
                  <c:v>7.7999999999999999E-5</c:v>
                </c:pt>
                <c:pt idx="17" formatCode="0.000%">
                  <c:v>5.7999999999999994E-5</c:v>
                </c:pt>
                <c:pt idx="18" formatCode="0.000%">
                  <c:v>5.1999999999999997E-5</c:v>
                </c:pt>
                <c:pt idx="19" formatCode="0.000%">
                  <c:v>2.8E-5</c:v>
                </c:pt>
                <c:pt idx="21">
                  <c:v>1.4219999999999999E-3</c:v>
                </c:pt>
                <c:pt idx="22">
                  <c:v>1.2590000000000001E-3</c:v>
                </c:pt>
                <c:pt idx="23">
                  <c:v>1.222E-3</c:v>
                </c:pt>
                <c:pt idx="24">
                  <c:v>1.0140000000000001E-3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9D19-4AAD-B35C-05C122D9862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60"/>
        <c:axId val="271110528"/>
        <c:axId val="271112064"/>
      </c:barChart>
      <c:catAx>
        <c:axId val="27111052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+mn-cs"/>
              </a:defRPr>
            </a:pPr>
            <a:endParaRPr lang="cs-CZ"/>
          </a:p>
        </c:txPr>
        <c:crossAx val="271112064"/>
        <c:crosses val="autoZero"/>
        <c:auto val="1"/>
        <c:lblAlgn val="ctr"/>
        <c:lblOffset val="100"/>
        <c:noMultiLvlLbl val="0"/>
      </c:catAx>
      <c:valAx>
        <c:axId val="271112064"/>
        <c:scaling>
          <c:orientation val="minMax"/>
          <c:max val="4.000000000000001E-3"/>
          <c:min val="0"/>
        </c:scaling>
        <c:delete val="1"/>
        <c:axPos val="l"/>
        <c:numFmt formatCode="0.0%" sourceLinked="0"/>
        <c:majorTickMark val="out"/>
        <c:minorTickMark val="none"/>
        <c:tickLblPos val="nextTo"/>
        <c:crossAx val="271110528"/>
        <c:crosses val="autoZero"/>
        <c:crossBetween val="between"/>
        <c:majorUnit val="1.0000000000000013E-3"/>
      </c:valAx>
      <c:spPr>
        <a:solidFill>
          <a:schemeClr val="bg1"/>
        </a:solidFill>
        <a:ln>
          <a:solidFill>
            <a:schemeClr val="bg1">
              <a:lumMod val="65000"/>
            </a:schemeClr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prstDash val="solid"/>
      <a:round/>
    </a:ln>
    <a:effectLst/>
  </c:spPr>
  <c:txPr>
    <a:bodyPr/>
    <a:lstStyle/>
    <a:p>
      <a:pPr>
        <a:defRPr sz="800" baseline="0">
          <a:latin typeface="Arial" panose="020B0604020202020204" pitchFamily="34" charset="0"/>
        </a:defRPr>
      </a:pPr>
      <a:endParaRPr lang="cs-CZ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2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6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7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9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colors20.xml><?xml version="1.0" encoding="utf-8"?>
<cs:colorStyle xmlns:cs="http://schemas.microsoft.com/office/drawing/2012/chartStyle" xmlns:a="http://schemas.openxmlformats.org/drawingml/2006/main" meth="withinLinear" id="18">
  <a:schemeClr val="accent5"/>
</cs:colorStyle>
</file>

<file path=word/charts/style1.xml><?xml version="1.0" encoding="utf-8"?>
<cs:chartStyle xmlns:cs="http://schemas.microsoft.com/office/drawing/2012/chartStyle" xmlns:a="http://schemas.openxmlformats.org/drawingml/2006/main" id="107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107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107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6.xml><?xml version="1.0" encoding="utf-8"?>
<cs:chartStyle xmlns:cs="http://schemas.microsoft.com/office/drawing/2012/chartStyle" xmlns:a="http://schemas.openxmlformats.org/drawingml/2006/main" id="107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1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2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3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4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5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6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7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8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9.xml><?xml version="1.0" encoding="utf-8"?>
<cs:chartStyle xmlns:cs="http://schemas.microsoft.com/office/drawing/2012/chartStyle" xmlns:a="http://schemas.openxmlformats.org/drawingml/2006/main" id="102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>
      <a:schemeClr val="dk1">
        <a:tint val="95000"/>
      </a:schem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>
      <a:schemeClr val="dk1">
        <a:tint val="5000"/>
      </a:schem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20.xml><?xml version="1.0" encoding="utf-8"?>
<cs:chartStyle xmlns:cs="http://schemas.microsoft.com/office/drawing/2012/chartStyle" xmlns:a="http://schemas.openxmlformats.org/drawingml/2006/main" id="102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>
      <a:schemeClr val="dk1">
        <a:tint val="95000"/>
      </a:schem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>
      <a:schemeClr val="dk1">
        <a:tint val="5000"/>
      </a:schem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F6E21E-2968-465F-9F75-43CB8A985D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publikace bar_veda IT.dot</Template>
  <TotalTime>176</TotalTime>
  <Pages>16</Pages>
  <Words>4881</Words>
  <Characters>28798</Characters>
  <Application>Microsoft Office Word</Application>
  <DocSecurity>0</DocSecurity>
  <Lines>239</Lines>
  <Paragraphs>67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CSU</Company>
  <LinksUpToDate>false</LinksUpToDate>
  <CharactersWithSpaces>33612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Václav Sojka</dc:creator>
  <cp:lastModifiedBy>sojka7725</cp:lastModifiedBy>
  <cp:revision>27</cp:revision>
  <cp:lastPrinted>2019-03-29T09:51:00Z</cp:lastPrinted>
  <dcterms:created xsi:type="dcterms:W3CDTF">2020-04-06T14:34:00Z</dcterms:created>
  <dcterms:modified xsi:type="dcterms:W3CDTF">2020-04-06T19:33:00Z</dcterms:modified>
</cp:coreProperties>
</file>