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Pr="009C73E7" w:rsidRDefault="005124E9" w:rsidP="0097104F">
      <w:pPr>
        <w:pStyle w:val="Nadpis1"/>
        <w:rPr>
          <w:spacing w:val="-2"/>
        </w:rPr>
      </w:pPr>
      <w:bookmarkStart w:id="0" w:name="_GoBack"/>
      <w:bookmarkEnd w:id="0"/>
      <w:r w:rsidRPr="005124E9">
        <w:rPr>
          <w:rFonts w:cs="Arial"/>
        </w:rPr>
        <w:t>Vysoký meziroční růst cen potravin opět zrychlil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5124E9">
        <w:t>listopad</w:t>
      </w:r>
      <w:r w:rsidR="00250429">
        <w:t> 20</w:t>
      </w:r>
      <w:r w:rsidR="00D563FA">
        <w:t>2</w:t>
      </w:r>
      <w:r w:rsidR="009C73E7">
        <w:t>2</w:t>
      </w:r>
    </w:p>
    <w:p w:rsidR="0078029C" w:rsidRDefault="005124E9" w:rsidP="009C73E7">
      <w:pPr>
        <w:pStyle w:val="Perex"/>
      </w:pPr>
      <w:r w:rsidRPr="001A6012">
        <w:t>Spotřebitelské ceny meziměsíčně vzrostly o 1,2 %. Tento vývoj byl ovlivněn zejména vyššími cenami v oddíle bydlení a</w:t>
      </w:r>
      <w:r>
        <w:t> v oddíle potraviny a </w:t>
      </w:r>
      <w:r w:rsidRPr="001A6012">
        <w:t xml:space="preserve">nealkoholické nápoje. </w:t>
      </w:r>
      <w:r w:rsidRPr="001A6012">
        <w:rPr>
          <w:spacing w:val="-4"/>
        </w:rPr>
        <w:t>Meziročně vzrostly spotřebitelské ceny v listopadu o 16,2 %, což bylo o 1,1</w:t>
      </w:r>
      <w:r w:rsidRPr="001A6012">
        <w:t> procentního bodu více</w:t>
      </w:r>
      <w:r>
        <w:t xml:space="preserve"> než </w:t>
      </w:r>
      <w:r w:rsidRPr="001A6012">
        <w:t>v říjnu.</w:t>
      </w:r>
    </w:p>
    <w:p w:rsidR="00836FBD" w:rsidRPr="002E7BAD" w:rsidRDefault="00836FBD" w:rsidP="00836FBD">
      <w:pPr>
        <w:spacing w:after="0"/>
        <w:jc w:val="both"/>
        <w:rPr>
          <w:b/>
        </w:rPr>
      </w:pPr>
      <w:r w:rsidRPr="002E7BAD">
        <w:rPr>
          <w:b/>
        </w:rPr>
        <w:t>Meziměsíční srovnání</w:t>
      </w:r>
    </w:p>
    <w:p w:rsidR="005124E9" w:rsidRPr="001A6012" w:rsidRDefault="005124E9" w:rsidP="005124E9">
      <w:pPr>
        <w:pStyle w:val="Zkladntext"/>
        <w:tabs>
          <w:tab w:val="left" w:pos="4900"/>
        </w:tabs>
        <w:spacing w:after="240"/>
        <w:jc w:val="both"/>
        <w:rPr>
          <w:rFonts w:eastAsia="Calibri" w:cs="Arial"/>
          <w:i/>
          <w:iCs/>
          <w:szCs w:val="20"/>
        </w:rPr>
      </w:pPr>
      <w:r w:rsidRPr="001A6012">
        <w:rPr>
          <w:rFonts w:cs="Arial"/>
          <w:szCs w:val="20"/>
        </w:rPr>
        <w:t>Meziměsíčně vzrostly spotřebitelské ceny v listopadu o 1,2 %. V oddíle bydlení se zvýšily především ceny zemního plynu o 14,1 %, elektřiny o 3,9 %, tepla a</w:t>
      </w:r>
      <w:r>
        <w:rPr>
          <w:rFonts w:cs="Arial"/>
          <w:szCs w:val="20"/>
        </w:rPr>
        <w:t> teplé vody o 5,5 % a </w:t>
      </w:r>
      <w:r w:rsidRPr="001A6012">
        <w:rPr>
          <w:rFonts w:cs="Arial"/>
          <w:szCs w:val="20"/>
        </w:rPr>
        <w:t>tuhých paliv o 4,4 %</w:t>
      </w:r>
      <w:r w:rsidRPr="001A6012">
        <w:rPr>
          <w:rFonts w:eastAsia="Calibri" w:cs="Arial"/>
          <w:szCs w:val="20"/>
        </w:rPr>
        <w:t xml:space="preserve"> (více informací k indexu cen elektřiny: </w:t>
      </w:r>
      <w:hyperlink r:id="rId8" w:history="1">
        <w:r w:rsidRPr="001A6012">
          <w:rPr>
            <w:rStyle w:val="Hypertextovodkaz"/>
            <w:rFonts w:eastAsia="Calibri" w:cs="Arial"/>
            <w:szCs w:val="20"/>
          </w:rPr>
          <w:t>Poznámka</w:t>
        </w:r>
      </w:hyperlink>
      <w:r w:rsidRPr="001A6012">
        <w:rPr>
          <w:rFonts w:eastAsia="Calibri" w:cs="Arial"/>
          <w:szCs w:val="20"/>
        </w:rPr>
        <w:t xml:space="preserve">). V oddíle potraviny a nealkoholické nápoje byly </w:t>
      </w:r>
      <w:r w:rsidRPr="000A362A">
        <w:rPr>
          <w:rFonts w:eastAsia="Calibri" w:cs="Arial"/>
          <w:szCs w:val="20"/>
        </w:rPr>
        <w:t>vyšší zejména</w:t>
      </w:r>
      <w:r>
        <w:rPr>
          <w:rFonts w:eastAsia="Calibri" w:cs="Arial"/>
          <w:szCs w:val="20"/>
        </w:rPr>
        <w:t xml:space="preserve"> </w:t>
      </w:r>
      <w:r w:rsidRPr="001A6012">
        <w:rPr>
          <w:rFonts w:eastAsia="Calibri" w:cs="Arial"/>
          <w:szCs w:val="20"/>
        </w:rPr>
        <w:t>ceny ovoce o 4,9 %, vajec o 11,2 %, chleba o 3,1 %, brambor o 14,5 %, uzenin o 2,3 %, sýrů a tvarohů o 2,6 % a polotučného trvanlivého mléka o 6,2 %. V oddíle odívání a obuv byly vyšší ceny oděvů o 1,6 %. V</w:t>
      </w:r>
      <w:r>
        <w:rPr>
          <w:rFonts w:eastAsia="Calibri" w:cs="Arial"/>
          <w:szCs w:val="20"/>
        </w:rPr>
        <w:t> oddíle stravování a </w:t>
      </w:r>
      <w:r w:rsidRPr="001A6012">
        <w:rPr>
          <w:rFonts w:eastAsia="Calibri" w:cs="Arial"/>
          <w:szCs w:val="20"/>
        </w:rPr>
        <w:t>ubytování vzrostly zejména ceny stravovacích služeb o 1,0 %. Na snižování celkové cenové hladiny působily v listopadu především ceny v oddíle doprava, kde klesly</w:t>
      </w:r>
      <w:r>
        <w:rPr>
          <w:rFonts w:eastAsia="Calibri" w:cs="Arial"/>
          <w:szCs w:val="20"/>
        </w:rPr>
        <w:t xml:space="preserve"> ceny pohonných hmot a </w:t>
      </w:r>
      <w:r w:rsidRPr="001A6012">
        <w:rPr>
          <w:rFonts w:eastAsia="Calibri" w:cs="Arial"/>
          <w:szCs w:val="20"/>
        </w:rPr>
        <w:t>olejů o 1,7 % a automobilů o 0,6 %. Z potravin byly meziměsíčně nižší zejména ceny zeleniny o 2,9 %</w:t>
      </w:r>
      <w:r>
        <w:rPr>
          <w:rFonts w:eastAsia="Calibri" w:cs="Arial"/>
          <w:szCs w:val="20"/>
        </w:rPr>
        <w:t xml:space="preserve"> a </w:t>
      </w:r>
      <w:r w:rsidRPr="001A6012">
        <w:rPr>
          <w:rFonts w:eastAsia="Calibri" w:cs="Arial"/>
          <w:szCs w:val="20"/>
        </w:rPr>
        <w:t>ceny olejů a tuků o 1,8 %.</w:t>
      </w:r>
    </w:p>
    <w:p w:rsidR="005124E9" w:rsidRPr="001A6012" w:rsidRDefault="005124E9" w:rsidP="005124E9">
      <w:pPr>
        <w:pStyle w:val="Zkladntextodsazen2"/>
        <w:spacing w:after="240" w:line="288" w:lineRule="auto"/>
        <w:ind w:left="0"/>
        <w:rPr>
          <w:rFonts w:cs="Arial"/>
          <w:szCs w:val="20"/>
        </w:rPr>
      </w:pPr>
      <w:r w:rsidRPr="001A6012">
        <w:rPr>
          <w:rFonts w:cs="Arial"/>
          <w:szCs w:val="20"/>
        </w:rPr>
        <w:t>Ceny zboží úhrnem vzrostly o 1,8 % a</w:t>
      </w:r>
      <w:r>
        <w:rPr>
          <w:rFonts w:cs="Arial"/>
          <w:szCs w:val="20"/>
        </w:rPr>
        <w:t> </w:t>
      </w:r>
      <w:r w:rsidRPr="001A6012">
        <w:rPr>
          <w:rFonts w:cs="Arial"/>
          <w:szCs w:val="20"/>
        </w:rPr>
        <w:t>ceny služeb o 0,3 %.</w:t>
      </w:r>
    </w:p>
    <w:p w:rsidR="00BF4542" w:rsidRPr="00A3469B" w:rsidRDefault="005124E9" w:rsidP="005124E9">
      <w:pPr>
        <w:pStyle w:val="Zkladntextodsazen2"/>
        <w:spacing w:after="240" w:line="288" w:lineRule="auto"/>
        <w:ind w:left="0"/>
        <w:rPr>
          <w:rFonts w:cs="Arial"/>
          <w:szCs w:val="20"/>
        </w:rPr>
      </w:pPr>
      <w:r w:rsidRPr="001A6012">
        <w:rPr>
          <w:rFonts w:eastAsia="Times New Roman" w:cs="Arial"/>
          <w:i/>
          <w:szCs w:val="20"/>
          <w:lang w:eastAsia="cs-CZ"/>
        </w:rPr>
        <w:t>„</w:t>
      </w:r>
      <w:r w:rsidRPr="001A6012">
        <w:rPr>
          <w:i/>
        </w:rPr>
        <w:t>Spotřebitelské ceny vzrostly v listopadu oproti říjnu o 1,2 % a meziročně o 16,2 %. Celková cenová hladina tedy po měsíční pauze opět zrychlila svůj r</w:t>
      </w:r>
      <w:r>
        <w:rPr>
          <w:i/>
        </w:rPr>
        <w:t>ůst. Částečně k tomu přispěla i </w:t>
      </w:r>
      <w:r w:rsidRPr="001A6012">
        <w:rPr>
          <w:i/>
        </w:rPr>
        <w:t>loňská nižší srovnávací základna, kdy došlo k</w:t>
      </w:r>
      <w:r>
        <w:rPr>
          <w:i/>
        </w:rPr>
        <w:t> odpuštění DPH u cen elektřiny a </w:t>
      </w:r>
      <w:r w:rsidRPr="001A6012">
        <w:rPr>
          <w:i/>
        </w:rPr>
        <w:t xml:space="preserve">zemního plynu,“ </w:t>
      </w:r>
      <w:r w:rsidRPr="001A6012">
        <w:rPr>
          <w:rFonts w:eastAsia="Times New Roman" w:cs="Arial"/>
          <w:szCs w:val="20"/>
          <w:lang w:eastAsia="cs-CZ"/>
        </w:rPr>
        <w:t>uvádí Pavla Šedivá, vedoucí oddělení statistiky spotřebitelských cen ČSÚ.</w:t>
      </w:r>
    </w:p>
    <w:p w:rsidR="00836FBD" w:rsidRPr="002E7BAD" w:rsidRDefault="00836FBD" w:rsidP="00836FBD">
      <w:pPr>
        <w:pStyle w:val="Zkladntextodsazen2"/>
        <w:spacing w:after="0" w:line="288" w:lineRule="auto"/>
        <w:ind w:left="0"/>
        <w:rPr>
          <w:rFonts w:cs="Arial"/>
          <w:b/>
          <w:szCs w:val="20"/>
        </w:rPr>
      </w:pPr>
      <w:r w:rsidRPr="002E7BAD">
        <w:rPr>
          <w:rFonts w:cs="Arial"/>
          <w:b/>
          <w:szCs w:val="20"/>
        </w:rPr>
        <w:t>Meziroční srovnání</w:t>
      </w:r>
    </w:p>
    <w:p w:rsidR="005124E9" w:rsidRDefault="005124E9" w:rsidP="005124E9">
      <w:pPr>
        <w:jc w:val="both"/>
      </w:pPr>
      <w:r w:rsidRPr="001A6012">
        <w:t xml:space="preserve">Meziročně vzrostly spotřebitelské ceny v listopadu o 16,2 %, což bylo o 1,1 procentního bodu více než v říjnu. Toto </w:t>
      </w:r>
      <w:r w:rsidRPr="001A6012">
        <w:rPr>
          <w:b/>
        </w:rPr>
        <w:t>zrychlení</w:t>
      </w:r>
      <w:r w:rsidRPr="001A6012">
        <w:rPr>
          <w:rStyle w:val="Znakapoznpodarou"/>
          <w:rFonts w:cs="Arial"/>
          <w:szCs w:val="20"/>
        </w:rPr>
        <w:footnoteReference w:id="1"/>
      </w:r>
      <w:r w:rsidRPr="001A6012">
        <w:rPr>
          <w:vertAlign w:val="superscript"/>
        </w:rPr>
        <w:t>)</w:t>
      </w:r>
      <w:r w:rsidRPr="001A6012">
        <w:t xml:space="preserve"> meziročního cenového růstu </w:t>
      </w:r>
      <w:r w:rsidRPr="001A6012">
        <w:rPr>
          <w:rFonts w:cs="Arial"/>
          <w:szCs w:val="20"/>
        </w:rPr>
        <w:t>bylo ovlivněno zejména cenami v oddíle bydlení, kde se částečně projevila loňská nulová DPH u</w:t>
      </w:r>
      <w:r>
        <w:rPr>
          <w:rFonts w:cs="Arial"/>
          <w:szCs w:val="20"/>
        </w:rPr>
        <w:t> </w:t>
      </w:r>
      <w:r w:rsidRPr="001A6012">
        <w:rPr>
          <w:rFonts w:cs="Arial"/>
          <w:szCs w:val="20"/>
        </w:rPr>
        <w:t xml:space="preserve">cen elektřiny </w:t>
      </w:r>
      <w:r>
        <w:rPr>
          <w:rFonts w:cs="Arial"/>
          <w:szCs w:val="20"/>
        </w:rPr>
        <w:t>a </w:t>
      </w:r>
      <w:r w:rsidRPr="001A6012">
        <w:rPr>
          <w:rFonts w:cs="Arial"/>
          <w:szCs w:val="20"/>
        </w:rPr>
        <w:t xml:space="preserve">zemního plynu. Ceny </w:t>
      </w:r>
      <w:r w:rsidRPr="000A362A">
        <w:rPr>
          <w:rFonts w:cs="Arial"/>
          <w:szCs w:val="20"/>
        </w:rPr>
        <w:t>elektřiny byly vlivem vládních úsporných opatření v listopadu nižší o</w:t>
      </w:r>
      <w:r w:rsidRPr="001A6012">
        <w:rPr>
          <w:rFonts w:cs="Arial"/>
          <w:szCs w:val="20"/>
        </w:rPr>
        <w:t> 23,4 % (v říjnu pokles o 38,2 %)</w:t>
      </w:r>
      <w:r>
        <w:rPr>
          <w:rFonts w:cs="Arial"/>
          <w:szCs w:val="20"/>
        </w:rPr>
        <w:t xml:space="preserve"> a </w:t>
      </w:r>
      <w:r w:rsidRPr="001A6012">
        <w:rPr>
          <w:rFonts w:cs="Arial"/>
          <w:szCs w:val="20"/>
        </w:rPr>
        <w:t>ceny zemní</w:t>
      </w:r>
      <w:r>
        <w:rPr>
          <w:rFonts w:cs="Arial"/>
          <w:szCs w:val="20"/>
        </w:rPr>
        <w:t>ho plynu zrychlily svůj růst na </w:t>
      </w:r>
      <w:r w:rsidRPr="001A6012">
        <w:rPr>
          <w:rFonts w:cs="Arial"/>
          <w:szCs w:val="20"/>
        </w:rPr>
        <w:t>139,0</w:t>
      </w:r>
      <w:r>
        <w:rPr>
          <w:rFonts w:cs="Arial"/>
          <w:szCs w:val="20"/>
        </w:rPr>
        <w:t> % (v </w:t>
      </w:r>
      <w:r w:rsidRPr="001A6012">
        <w:rPr>
          <w:rFonts w:cs="Arial"/>
          <w:szCs w:val="20"/>
        </w:rPr>
        <w:t>říjnu růst o 85,3 %). Naopak v oddíle doprava zmírnil</w:t>
      </w:r>
      <w:r>
        <w:rPr>
          <w:rFonts w:cs="Arial"/>
          <w:szCs w:val="20"/>
        </w:rPr>
        <w:t xml:space="preserve"> růst cen automobilů na 12,7 % (v říjnu 14,4 %) a cen pohonných hmot a olejů na 14,5 % (v říjnu 21,7 %).</w:t>
      </w:r>
    </w:p>
    <w:p w:rsidR="005124E9" w:rsidRDefault="005124E9" w:rsidP="005124E9">
      <w:pPr>
        <w:jc w:val="both"/>
        <w:rPr>
          <w:rFonts w:cs="Arial"/>
          <w:szCs w:val="20"/>
        </w:rPr>
      </w:pPr>
      <w:r w:rsidRPr="00B3645D">
        <w:rPr>
          <w:rFonts w:cs="Arial"/>
          <w:szCs w:val="20"/>
        </w:rPr>
        <w:t xml:space="preserve">Na meziroční </w:t>
      </w:r>
      <w:r w:rsidRPr="00B3645D">
        <w:rPr>
          <w:rFonts w:cs="Arial"/>
          <w:b/>
          <w:szCs w:val="20"/>
        </w:rPr>
        <w:t>růst cenové hladiny</w:t>
      </w:r>
      <w:r w:rsidRPr="00B3645D">
        <w:rPr>
          <w:rFonts w:cs="Arial"/>
          <w:szCs w:val="20"/>
        </w:rPr>
        <w:t xml:space="preserve"> měly v</w:t>
      </w:r>
      <w:r>
        <w:rPr>
          <w:rFonts w:cs="Arial"/>
          <w:szCs w:val="20"/>
        </w:rPr>
        <w:t> listopadu největší vliv ceny v oddíle potraviny a nealkoholické nápoje a ceny v oddíle bydlení</w:t>
      </w:r>
      <w:r w:rsidRPr="000A362A">
        <w:rPr>
          <w:rFonts w:cs="Arial"/>
          <w:szCs w:val="20"/>
        </w:rPr>
        <w:t>. Cen</w:t>
      </w:r>
      <w:r>
        <w:rPr>
          <w:rFonts w:cs="Arial"/>
          <w:szCs w:val="20"/>
        </w:rPr>
        <w:t>y potravin meziročně vzrostly o 27,1 </w:t>
      </w:r>
      <w:r w:rsidRPr="000A362A">
        <w:rPr>
          <w:rFonts w:cs="Arial"/>
          <w:szCs w:val="20"/>
        </w:rPr>
        <w:t>% (v</w:t>
      </w:r>
      <w:r>
        <w:rPr>
          <w:rFonts w:cs="Arial"/>
          <w:szCs w:val="20"/>
        </w:rPr>
        <w:t> </w:t>
      </w:r>
      <w:r w:rsidRPr="000A362A">
        <w:rPr>
          <w:rFonts w:cs="Arial"/>
          <w:szCs w:val="20"/>
        </w:rPr>
        <w:t>říjnu o</w:t>
      </w:r>
      <w:r>
        <w:rPr>
          <w:rFonts w:cs="Arial"/>
          <w:szCs w:val="20"/>
        </w:rPr>
        <w:t> 26,2 </w:t>
      </w:r>
      <w:r w:rsidRPr="000A362A">
        <w:rPr>
          <w:rFonts w:cs="Arial"/>
          <w:szCs w:val="20"/>
        </w:rPr>
        <w:t>%). Vyšší byly zejména</w:t>
      </w:r>
      <w:r w:rsidRPr="00A235D6">
        <w:rPr>
          <w:rFonts w:cs="Arial"/>
          <w:szCs w:val="20"/>
        </w:rPr>
        <w:t xml:space="preserve"> ceny mouky </w:t>
      </w:r>
      <w:r>
        <w:rPr>
          <w:rFonts w:cs="Arial"/>
          <w:szCs w:val="20"/>
        </w:rPr>
        <w:t>o 48,3 %, polotučného trvanlivého mléka o 52,5 %, vajec o 71,9 %, olejů a tuků o 40,8 %, brambor o 42,4 % a cukru o 109,3 %. V </w:t>
      </w:r>
      <w:r w:rsidRPr="00B3645D">
        <w:rPr>
          <w:rFonts w:cs="Arial"/>
          <w:szCs w:val="20"/>
        </w:rPr>
        <w:t>oddíle bydlení kromě nákladů vlastnického bydlení vzrostly ceny nájemného z bytu o </w:t>
      </w:r>
      <w:r>
        <w:rPr>
          <w:rFonts w:cs="Arial"/>
          <w:szCs w:val="20"/>
        </w:rPr>
        <w:t>5,8</w:t>
      </w:r>
      <w:r w:rsidRPr="00B3645D">
        <w:rPr>
          <w:rFonts w:cs="Arial"/>
          <w:szCs w:val="20"/>
        </w:rPr>
        <w:t xml:space="preserve"> %, vodného o 5,3 %, stočného o 6,4 %, </w:t>
      </w:r>
      <w:r>
        <w:rPr>
          <w:rFonts w:cs="Arial"/>
          <w:szCs w:val="20"/>
        </w:rPr>
        <w:t>tuhých paliv o 68,8 % a </w:t>
      </w:r>
      <w:r w:rsidRPr="00B3645D">
        <w:rPr>
          <w:rFonts w:cs="Arial"/>
          <w:szCs w:val="20"/>
        </w:rPr>
        <w:t>tepla a teplé vody o </w:t>
      </w:r>
      <w:r>
        <w:rPr>
          <w:rFonts w:cs="Arial"/>
          <w:szCs w:val="20"/>
        </w:rPr>
        <w:t>30,2</w:t>
      </w:r>
      <w:r w:rsidRPr="00B3645D">
        <w:rPr>
          <w:rFonts w:cs="Arial"/>
          <w:szCs w:val="20"/>
        </w:rPr>
        <w:t xml:space="preserve"> %. </w:t>
      </w:r>
      <w:r>
        <w:rPr>
          <w:rFonts w:cs="Arial"/>
          <w:szCs w:val="20"/>
        </w:rPr>
        <w:t>Další v pořadí vlivu (i přes jeho oslabení) byly ceny v</w:t>
      </w:r>
      <w:r w:rsidRPr="00B3645D">
        <w:rPr>
          <w:rFonts w:cs="Arial"/>
          <w:szCs w:val="20"/>
        </w:rPr>
        <w:t> oddíle doprava</w:t>
      </w:r>
      <w:r>
        <w:rPr>
          <w:rFonts w:cs="Arial"/>
          <w:szCs w:val="20"/>
        </w:rPr>
        <w:t xml:space="preserve"> (nárůst o 13,6 %)</w:t>
      </w:r>
      <w:r w:rsidRPr="00B3645D">
        <w:rPr>
          <w:rFonts w:cs="Arial"/>
          <w:szCs w:val="20"/>
        </w:rPr>
        <w:t xml:space="preserve">. </w:t>
      </w:r>
      <w:r>
        <w:rPr>
          <w:rFonts w:cs="Arial"/>
          <w:szCs w:val="20"/>
        </w:rPr>
        <w:t>V oddíle stravování a ubytování vzrostly ceny stravovacích služeb o 26,0 %.</w:t>
      </w:r>
    </w:p>
    <w:p w:rsidR="005124E9" w:rsidRPr="00B3645D" w:rsidRDefault="005124E9" w:rsidP="005124E9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  <w:u w:val="single"/>
        </w:rPr>
      </w:pPr>
      <w:r w:rsidRPr="00B3645D">
        <w:rPr>
          <w:rFonts w:cs="Arial"/>
          <w:szCs w:val="20"/>
        </w:rPr>
        <w:t xml:space="preserve">Náklady vlastnického bydlení (imputované nájemné) </w:t>
      </w:r>
      <w:r>
        <w:rPr>
          <w:rFonts w:cs="Arial"/>
          <w:szCs w:val="20"/>
        </w:rPr>
        <w:t>se zvýšily</w:t>
      </w:r>
      <w:r w:rsidRPr="00B3645D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11,9</w:t>
      </w:r>
      <w:r w:rsidRPr="00B3645D">
        <w:rPr>
          <w:rFonts w:cs="Arial"/>
          <w:szCs w:val="20"/>
        </w:rPr>
        <w:t> % (v </w:t>
      </w:r>
      <w:r>
        <w:rPr>
          <w:rFonts w:cs="Arial"/>
          <w:szCs w:val="20"/>
        </w:rPr>
        <w:t>říjnu</w:t>
      </w:r>
      <w:r w:rsidRPr="00B3645D">
        <w:rPr>
          <w:rFonts w:cs="Arial"/>
          <w:szCs w:val="20"/>
        </w:rPr>
        <w:t xml:space="preserve"> </w:t>
      </w:r>
      <w:r w:rsidRPr="00C62F3F">
        <w:rPr>
          <w:rFonts w:cs="Arial"/>
          <w:szCs w:val="20"/>
        </w:rPr>
        <w:t>o 14</w:t>
      </w:r>
      <w:r>
        <w:rPr>
          <w:rFonts w:cs="Arial"/>
          <w:szCs w:val="20"/>
        </w:rPr>
        <w:t>,0</w:t>
      </w:r>
      <w:r w:rsidRPr="00B3645D">
        <w:rPr>
          <w:rFonts w:cs="Arial"/>
          <w:szCs w:val="20"/>
        </w:rPr>
        <w:t xml:space="preserve"> %) </w:t>
      </w:r>
      <w:r w:rsidRPr="000F6E27">
        <w:rPr>
          <w:rFonts w:cs="Arial"/>
          <w:szCs w:val="20"/>
        </w:rPr>
        <w:t xml:space="preserve">zejména v důsledku růstu cen stavebních </w:t>
      </w:r>
      <w:r w:rsidRPr="00A6102F">
        <w:rPr>
          <w:rFonts w:cs="Arial"/>
          <w:szCs w:val="20"/>
        </w:rPr>
        <w:t xml:space="preserve">materiálů a dále </w:t>
      </w:r>
      <w:r>
        <w:rPr>
          <w:rFonts w:cs="Arial"/>
          <w:szCs w:val="20"/>
        </w:rPr>
        <w:t>cen stavebních prací a </w:t>
      </w:r>
      <w:r w:rsidRPr="00A6102F">
        <w:rPr>
          <w:rFonts w:cs="Arial"/>
          <w:szCs w:val="20"/>
        </w:rPr>
        <w:t>cen nových bytů pro vlastní bydlení. Úhrnný index spotř</w:t>
      </w:r>
      <w:r w:rsidRPr="00B3645D">
        <w:rPr>
          <w:rFonts w:cs="Arial"/>
          <w:szCs w:val="20"/>
        </w:rPr>
        <w:t xml:space="preserve">ebitelských cen bez započtení nákladů vlastnického bydlení byl </w:t>
      </w:r>
      <w:r w:rsidRPr="00FC25E9">
        <w:rPr>
          <w:rFonts w:cs="Arial"/>
          <w:szCs w:val="20"/>
        </w:rPr>
        <w:t>116,8</w:t>
      </w:r>
      <w:r w:rsidRPr="00B3645D">
        <w:rPr>
          <w:rFonts w:cs="Arial"/>
          <w:szCs w:val="20"/>
        </w:rPr>
        <w:t xml:space="preserve"> %. (Více informací: </w:t>
      </w:r>
      <w:hyperlink r:id="rId9" w:history="1">
        <w:r w:rsidRPr="00B3645D">
          <w:rPr>
            <w:rStyle w:val="Hypertextovodkaz"/>
            <w:rFonts w:cs="Arial"/>
            <w:szCs w:val="20"/>
          </w:rPr>
          <w:t>Metodická poznámka</w:t>
        </w:r>
      </w:hyperlink>
      <w:r w:rsidRPr="00B3645D">
        <w:rPr>
          <w:rFonts w:cs="Arial"/>
          <w:szCs w:val="20"/>
        </w:rPr>
        <w:t>.)</w:t>
      </w:r>
    </w:p>
    <w:p w:rsidR="005124E9" w:rsidRPr="00B3645D" w:rsidRDefault="005124E9" w:rsidP="005124E9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B3645D">
        <w:rPr>
          <w:rFonts w:cs="Arial"/>
          <w:szCs w:val="20"/>
        </w:rPr>
        <w:t>Ceny zboží úhrnem vzrostly o </w:t>
      </w:r>
      <w:r>
        <w:rPr>
          <w:rFonts w:cs="Arial"/>
          <w:szCs w:val="20"/>
        </w:rPr>
        <w:t>18,5</w:t>
      </w:r>
      <w:r w:rsidRPr="00B3645D">
        <w:rPr>
          <w:rFonts w:cs="Arial"/>
          <w:szCs w:val="20"/>
        </w:rPr>
        <w:t> % a ceny služeb o 1</w:t>
      </w:r>
      <w:r>
        <w:rPr>
          <w:rFonts w:cs="Arial"/>
          <w:szCs w:val="20"/>
        </w:rPr>
        <w:t>2,7</w:t>
      </w:r>
      <w:r w:rsidRPr="00B3645D">
        <w:rPr>
          <w:rFonts w:cs="Arial"/>
          <w:szCs w:val="20"/>
        </w:rPr>
        <w:t> %.</w:t>
      </w:r>
    </w:p>
    <w:p w:rsidR="00AC79FA" w:rsidRDefault="005124E9" w:rsidP="005124E9">
      <w:pPr>
        <w:pStyle w:val="Zkladntext"/>
        <w:tabs>
          <w:tab w:val="left" w:pos="4900"/>
        </w:tabs>
        <w:spacing w:after="240"/>
        <w:jc w:val="both"/>
        <w:rPr>
          <w:rFonts w:eastAsia="Calibri" w:cs="Arial"/>
          <w:i/>
          <w:iCs/>
          <w:szCs w:val="20"/>
        </w:rPr>
      </w:pPr>
      <w:r w:rsidRPr="00B3645D">
        <w:rPr>
          <w:rFonts w:cs="Arial"/>
          <w:szCs w:val="20"/>
        </w:rPr>
        <w:lastRenderedPageBreak/>
        <w:t>Míra inflace vyjádřená přírůstkem průměrného indexu spotřebitelských cen za posledních 12 měsíců proti průměru předchozích 12 měsíců byla v </w:t>
      </w:r>
      <w:r>
        <w:rPr>
          <w:rFonts w:cs="Arial"/>
          <w:szCs w:val="20"/>
        </w:rPr>
        <w:t>listopadu</w:t>
      </w:r>
      <w:r w:rsidRPr="00B3645D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14,4</w:t>
      </w:r>
      <w:r w:rsidRPr="00B3645D">
        <w:rPr>
          <w:rFonts w:cs="Arial"/>
          <w:szCs w:val="20"/>
        </w:rPr>
        <w:t> % (v </w:t>
      </w:r>
      <w:r>
        <w:rPr>
          <w:rFonts w:cs="Arial"/>
          <w:szCs w:val="20"/>
        </w:rPr>
        <w:t>říjnu 13,5</w:t>
      </w:r>
      <w:r w:rsidRPr="00B3645D">
        <w:rPr>
          <w:rFonts w:cs="Arial"/>
          <w:szCs w:val="20"/>
        </w:rPr>
        <w:t> %).</w:t>
      </w:r>
    </w:p>
    <w:p w:rsidR="00F071F6" w:rsidRPr="00F071F6" w:rsidRDefault="00F071F6" w:rsidP="00F071F6">
      <w:pPr>
        <w:pStyle w:val="Zkladntextodsazen3"/>
        <w:keepNext/>
        <w:spacing w:after="0" w:line="288" w:lineRule="auto"/>
        <w:ind w:left="0"/>
        <w:rPr>
          <w:rFonts w:cs="Arial"/>
          <w:b/>
          <w:sz w:val="20"/>
          <w:szCs w:val="20"/>
        </w:rPr>
      </w:pPr>
      <w:r w:rsidRPr="00F071F6">
        <w:rPr>
          <w:rFonts w:cs="Arial"/>
          <w:b/>
          <w:bCs/>
          <w:sz w:val="20"/>
          <w:szCs w:val="20"/>
        </w:rPr>
        <w:t>Harmonizovaný index spotřebitelských cen</w:t>
      </w:r>
      <w:r w:rsidRPr="00F071F6">
        <w:rPr>
          <w:rFonts w:cs="Arial"/>
          <w:sz w:val="20"/>
          <w:szCs w:val="20"/>
        </w:rPr>
        <w:t xml:space="preserve"> (HICP)</w:t>
      </w:r>
      <w:r w:rsidRPr="00F071F6">
        <w:rPr>
          <w:rStyle w:val="Znakapoznpodarou"/>
          <w:rFonts w:cs="Arial"/>
          <w:sz w:val="20"/>
          <w:szCs w:val="20"/>
        </w:rPr>
        <w:footnoteReference w:id="2"/>
      </w:r>
      <w:r w:rsidRPr="00F071F6">
        <w:rPr>
          <w:rFonts w:cs="Arial"/>
          <w:sz w:val="20"/>
          <w:szCs w:val="20"/>
          <w:vertAlign w:val="superscript"/>
        </w:rPr>
        <w:t>)</w:t>
      </w:r>
    </w:p>
    <w:p w:rsidR="00F37293" w:rsidRPr="00F37293" w:rsidRDefault="005124E9" w:rsidP="00F37293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B3645D">
        <w:rPr>
          <w:rFonts w:cs="Arial"/>
          <w:sz w:val="20"/>
          <w:szCs w:val="20"/>
        </w:rPr>
        <w:t xml:space="preserve">Podle předběžných výpočtů </w:t>
      </w:r>
      <w:r>
        <w:rPr>
          <w:rFonts w:cs="Arial"/>
          <w:sz w:val="20"/>
          <w:szCs w:val="20"/>
        </w:rPr>
        <w:t>vzrostl</w:t>
      </w:r>
      <w:r w:rsidRPr="00B3645D">
        <w:rPr>
          <w:rFonts w:cs="Arial"/>
          <w:sz w:val="20"/>
          <w:szCs w:val="20"/>
        </w:rPr>
        <w:t xml:space="preserve"> </w:t>
      </w:r>
      <w:r w:rsidRPr="00B3645D">
        <w:rPr>
          <w:rFonts w:cs="Arial"/>
          <w:b/>
          <w:sz w:val="20"/>
          <w:szCs w:val="20"/>
        </w:rPr>
        <w:t>v </w:t>
      </w:r>
      <w:r>
        <w:rPr>
          <w:rFonts w:cs="Arial"/>
          <w:b/>
          <w:sz w:val="20"/>
          <w:szCs w:val="20"/>
        </w:rPr>
        <w:t>listopadu</w:t>
      </w:r>
      <w:r w:rsidRPr="00B3645D">
        <w:rPr>
          <w:rFonts w:cs="Arial"/>
          <w:b/>
          <w:sz w:val="20"/>
          <w:szCs w:val="20"/>
        </w:rPr>
        <w:t xml:space="preserve"> </w:t>
      </w:r>
      <w:r w:rsidRPr="00B3645D">
        <w:rPr>
          <w:rFonts w:cs="Arial"/>
          <w:sz w:val="20"/>
          <w:szCs w:val="20"/>
        </w:rPr>
        <w:t>HICP v </w:t>
      </w:r>
      <w:r w:rsidRPr="004B5EC8">
        <w:rPr>
          <w:rFonts w:cs="Arial"/>
          <w:sz w:val="20"/>
          <w:szCs w:val="20"/>
        </w:rPr>
        <w:t xml:space="preserve">Česku </w:t>
      </w:r>
      <w:r w:rsidRPr="004B5EC8">
        <w:rPr>
          <w:rFonts w:cs="Arial"/>
          <w:b/>
          <w:sz w:val="20"/>
          <w:szCs w:val="20"/>
        </w:rPr>
        <w:t>meziměsíčně</w:t>
      </w:r>
      <w:r w:rsidRPr="004B5EC8">
        <w:rPr>
          <w:rFonts w:cs="Arial"/>
          <w:sz w:val="20"/>
          <w:szCs w:val="20"/>
        </w:rPr>
        <w:t xml:space="preserve"> o 1,3 % a </w:t>
      </w:r>
      <w:r w:rsidRPr="004B5EC8">
        <w:rPr>
          <w:rFonts w:cs="Arial"/>
          <w:b/>
          <w:sz w:val="20"/>
          <w:szCs w:val="20"/>
        </w:rPr>
        <w:t xml:space="preserve">meziročně </w:t>
      </w:r>
      <w:r w:rsidRPr="004B5EC8">
        <w:rPr>
          <w:rFonts w:cs="Arial"/>
          <w:sz w:val="20"/>
          <w:szCs w:val="20"/>
        </w:rPr>
        <w:t>o</w:t>
      </w:r>
      <w:r w:rsidRPr="004B5EC8">
        <w:rPr>
          <w:rFonts w:cs="Arial"/>
          <w:b/>
          <w:sz w:val="20"/>
          <w:szCs w:val="20"/>
        </w:rPr>
        <w:t> </w:t>
      </w:r>
      <w:r w:rsidRPr="004B5EC8">
        <w:rPr>
          <w:rFonts w:cs="Arial"/>
          <w:sz w:val="20"/>
          <w:szCs w:val="20"/>
        </w:rPr>
        <w:t xml:space="preserve">17,2 % (v říjnu o 15,5 %). </w:t>
      </w:r>
      <w:r w:rsidRPr="004B5EC8">
        <w:rPr>
          <w:rFonts w:cs="Arial"/>
          <w:b/>
          <w:sz w:val="20"/>
          <w:szCs w:val="20"/>
        </w:rPr>
        <w:t>Podle bleskových odhadů</w:t>
      </w:r>
      <w:r w:rsidRPr="004B5EC8">
        <w:rPr>
          <w:rFonts w:cs="Arial"/>
          <w:sz w:val="20"/>
          <w:szCs w:val="20"/>
        </w:rPr>
        <w:t xml:space="preserve"> </w:t>
      </w:r>
      <w:proofErr w:type="spellStart"/>
      <w:r w:rsidRPr="004B5EC8">
        <w:rPr>
          <w:rFonts w:cs="Arial"/>
          <w:sz w:val="20"/>
          <w:szCs w:val="20"/>
        </w:rPr>
        <w:t>Eurostatu</w:t>
      </w:r>
      <w:proofErr w:type="spellEnd"/>
      <w:r w:rsidRPr="004B5EC8">
        <w:rPr>
          <w:rFonts w:cs="Arial"/>
          <w:b/>
          <w:sz w:val="20"/>
          <w:szCs w:val="20"/>
        </w:rPr>
        <w:t xml:space="preserve"> </w:t>
      </w:r>
      <w:r w:rsidRPr="00B92E0A">
        <w:rPr>
          <w:rFonts w:cs="Arial"/>
          <w:sz w:val="20"/>
          <w:szCs w:val="20"/>
        </w:rPr>
        <w:t>byla</w:t>
      </w:r>
      <w:r w:rsidRPr="00B92E0A">
        <w:rPr>
          <w:rFonts w:cs="Arial"/>
          <w:b/>
          <w:sz w:val="20"/>
          <w:szCs w:val="20"/>
        </w:rPr>
        <w:t xml:space="preserve"> meziroční</w:t>
      </w:r>
      <w:r w:rsidRPr="00B92E0A">
        <w:rPr>
          <w:rFonts w:cs="Arial"/>
          <w:sz w:val="20"/>
          <w:szCs w:val="20"/>
        </w:rPr>
        <w:t xml:space="preserve"> změna</w:t>
      </w:r>
      <w:r w:rsidRPr="00B3645D">
        <w:rPr>
          <w:rFonts w:cs="Arial"/>
          <w:sz w:val="20"/>
          <w:szCs w:val="20"/>
        </w:rPr>
        <w:t xml:space="preserve"> HICP </w:t>
      </w:r>
      <w:r w:rsidRPr="00B3645D">
        <w:rPr>
          <w:rFonts w:cs="Arial"/>
          <w:b/>
          <w:sz w:val="20"/>
          <w:szCs w:val="20"/>
        </w:rPr>
        <w:t>v </w:t>
      </w:r>
      <w:r>
        <w:rPr>
          <w:rFonts w:cs="Arial"/>
          <w:b/>
          <w:sz w:val="20"/>
          <w:szCs w:val="20"/>
        </w:rPr>
        <w:t>listopadu</w:t>
      </w:r>
      <w:r w:rsidRPr="00B3645D">
        <w:rPr>
          <w:rFonts w:cs="Arial"/>
          <w:b/>
          <w:bCs/>
          <w:sz w:val="20"/>
          <w:szCs w:val="20"/>
        </w:rPr>
        <w:t xml:space="preserve"> 2022 </w:t>
      </w:r>
      <w:r w:rsidRPr="00B3645D">
        <w:rPr>
          <w:rFonts w:cs="Arial"/>
          <w:sz w:val="20"/>
          <w:szCs w:val="20"/>
        </w:rPr>
        <w:t xml:space="preserve">za Eurozónu </w:t>
      </w:r>
      <w:r>
        <w:rPr>
          <w:rFonts w:cs="Arial"/>
          <w:sz w:val="20"/>
          <w:szCs w:val="20"/>
        </w:rPr>
        <w:t>10,0</w:t>
      </w:r>
      <w:r w:rsidRPr="00B3645D">
        <w:rPr>
          <w:rFonts w:cs="Arial"/>
          <w:sz w:val="20"/>
          <w:szCs w:val="20"/>
        </w:rPr>
        <w:t> % (v </w:t>
      </w:r>
      <w:r>
        <w:rPr>
          <w:rFonts w:cs="Arial"/>
          <w:sz w:val="20"/>
          <w:szCs w:val="20"/>
        </w:rPr>
        <w:t>říjnu</w:t>
      </w:r>
      <w:r w:rsidRPr="00B3645D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10,6</w:t>
      </w:r>
      <w:r w:rsidRPr="00B3645D">
        <w:rPr>
          <w:rFonts w:cs="Arial"/>
          <w:sz w:val="20"/>
          <w:szCs w:val="20"/>
        </w:rPr>
        <w:t xml:space="preserve"> %), na Slovensku </w:t>
      </w:r>
      <w:r>
        <w:rPr>
          <w:rFonts w:cs="Arial"/>
          <w:sz w:val="20"/>
          <w:szCs w:val="20"/>
        </w:rPr>
        <w:t>15,1</w:t>
      </w:r>
      <w:r w:rsidRPr="00B3645D">
        <w:rPr>
          <w:rFonts w:cs="Arial"/>
          <w:sz w:val="20"/>
          <w:szCs w:val="20"/>
        </w:rPr>
        <w:t> % a v Německu</w:t>
      </w:r>
      <w:r w:rsidRPr="00B3645D">
        <w:rPr>
          <w:rFonts w:cs="Arial"/>
          <w:bCs/>
          <w:sz w:val="20"/>
          <w:szCs w:val="20"/>
        </w:rPr>
        <w:t xml:space="preserve"> </w:t>
      </w:r>
      <w:r>
        <w:rPr>
          <w:rFonts w:cs="Arial"/>
          <w:bCs/>
          <w:sz w:val="20"/>
          <w:szCs w:val="20"/>
        </w:rPr>
        <w:t>11,3</w:t>
      </w:r>
      <w:r w:rsidRPr="00B3645D">
        <w:rPr>
          <w:rFonts w:cs="Arial"/>
          <w:bCs/>
          <w:sz w:val="20"/>
          <w:szCs w:val="20"/>
        </w:rPr>
        <w:t> %. Nejvyšší byla v </w:t>
      </w:r>
      <w:r>
        <w:rPr>
          <w:rFonts w:cs="Arial"/>
          <w:bCs/>
          <w:sz w:val="20"/>
          <w:szCs w:val="20"/>
        </w:rPr>
        <w:t>listopadu</w:t>
      </w:r>
      <w:r w:rsidRPr="00B3645D">
        <w:rPr>
          <w:rFonts w:cs="Arial"/>
          <w:bCs/>
          <w:sz w:val="20"/>
          <w:szCs w:val="20"/>
        </w:rPr>
        <w:t xml:space="preserve"> v </w:t>
      </w:r>
      <w:r>
        <w:rPr>
          <w:rFonts w:cs="Arial"/>
          <w:bCs/>
          <w:sz w:val="20"/>
          <w:szCs w:val="20"/>
        </w:rPr>
        <w:t>Lotyšsku</w:t>
      </w:r>
      <w:r w:rsidRPr="00B3645D">
        <w:rPr>
          <w:rFonts w:cs="Arial"/>
          <w:bCs/>
          <w:sz w:val="20"/>
          <w:szCs w:val="20"/>
        </w:rPr>
        <w:t xml:space="preserve"> (2</w:t>
      </w:r>
      <w:r>
        <w:rPr>
          <w:rFonts w:cs="Arial"/>
          <w:bCs/>
          <w:sz w:val="20"/>
          <w:szCs w:val="20"/>
        </w:rPr>
        <w:t>1,7</w:t>
      </w:r>
      <w:r w:rsidRPr="00B3645D">
        <w:rPr>
          <w:rFonts w:cs="Arial"/>
          <w:bCs/>
          <w:sz w:val="20"/>
          <w:szCs w:val="20"/>
        </w:rPr>
        <w:t> %). P</w:t>
      </w:r>
      <w:r w:rsidRPr="00B3645D">
        <w:rPr>
          <w:rFonts w:cs="Arial"/>
          <w:sz w:val="20"/>
          <w:szCs w:val="20"/>
        </w:rPr>
        <w:t xml:space="preserve">odle předběžných údajů </w:t>
      </w:r>
      <w:proofErr w:type="spellStart"/>
      <w:r w:rsidRPr="00B3645D">
        <w:rPr>
          <w:rFonts w:cs="Arial"/>
          <w:sz w:val="20"/>
          <w:szCs w:val="20"/>
        </w:rPr>
        <w:t>Eurostatu</w:t>
      </w:r>
      <w:proofErr w:type="spellEnd"/>
      <w:r w:rsidRPr="00B3645D">
        <w:rPr>
          <w:rFonts w:cs="Arial"/>
          <w:sz w:val="20"/>
          <w:szCs w:val="20"/>
        </w:rPr>
        <w:t xml:space="preserve"> byla </w:t>
      </w:r>
      <w:r w:rsidRPr="00B3645D">
        <w:rPr>
          <w:rFonts w:cs="Arial"/>
          <w:b/>
          <w:sz w:val="20"/>
          <w:szCs w:val="20"/>
        </w:rPr>
        <w:t>meziroční</w:t>
      </w:r>
      <w:r w:rsidRPr="00B3645D">
        <w:rPr>
          <w:rFonts w:cs="Arial"/>
          <w:sz w:val="20"/>
          <w:szCs w:val="20"/>
        </w:rPr>
        <w:t xml:space="preserve"> změna HICP </w:t>
      </w:r>
      <w:r w:rsidRPr="00B3645D">
        <w:rPr>
          <w:rFonts w:cs="Arial"/>
          <w:b/>
          <w:bCs/>
          <w:sz w:val="20"/>
          <w:szCs w:val="20"/>
        </w:rPr>
        <w:t xml:space="preserve">27 členských zemí EU </w:t>
      </w:r>
      <w:r w:rsidRPr="00B3645D">
        <w:rPr>
          <w:rFonts w:cs="Arial"/>
          <w:b/>
          <w:sz w:val="20"/>
          <w:szCs w:val="20"/>
        </w:rPr>
        <w:t>v </w:t>
      </w:r>
      <w:r>
        <w:rPr>
          <w:rFonts w:cs="Arial"/>
          <w:b/>
          <w:sz w:val="20"/>
          <w:szCs w:val="20"/>
        </w:rPr>
        <w:t>říjnu</w:t>
      </w:r>
      <w:r w:rsidRPr="00B3645D">
        <w:rPr>
          <w:rFonts w:cs="Arial"/>
          <w:b/>
          <w:sz w:val="20"/>
          <w:szCs w:val="20"/>
        </w:rPr>
        <w:t xml:space="preserve"> </w:t>
      </w:r>
      <w:r w:rsidRPr="00F50017">
        <w:rPr>
          <w:rFonts w:cs="Arial"/>
          <w:sz w:val="20"/>
          <w:szCs w:val="20"/>
        </w:rPr>
        <w:t>1</w:t>
      </w:r>
      <w:r>
        <w:rPr>
          <w:rFonts w:cs="Arial"/>
          <w:sz w:val="20"/>
          <w:szCs w:val="20"/>
        </w:rPr>
        <w:t>1,5</w:t>
      </w:r>
      <w:r w:rsidRPr="00B3645D">
        <w:rPr>
          <w:rFonts w:cs="Arial"/>
          <w:sz w:val="20"/>
          <w:szCs w:val="20"/>
        </w:rPr>
        <w:t> %, což bylo o 0,</w:t>
      </w:r>
      <w:r>
        <w:rPr>
          <w:rFonts w:cs="Arial"/>
          <w:sz w:val="20"/>
          <w:szCs w:val="20"/>
        </w:rPr>
        <w:t>6</w:t>
      </w:r>
      <w:r w:rsidRPr="00B3645D">
        <w:rPr>
          <w:rFonts w:cs="Arial"/>
          <w:sz w:val="20"/>
          <w:szCs w:val="20"/>
        </w:rPr>
        <w:t> procentního bodu více než v </w:t>
      </w:r>
      <w:r>
        <w:rPr>
          <w:rFonts w:cs="Arial"/>
          <w:sz w:val="20"/>
          <w:szCs w:val="20"/>
        </w:rPr>
        <w:t>září</w:t>
      </w:r>
      <w:r w:rsidRPr="00B3645D">
        <w:rPr>
          <w:rFonts w:cs="Arial"/>
          <w:sz w:val="20"/>
          <w:szCs w:val="20"/>
        </w:rPr>
        <w:t xml:space="preserve">. </w:t>
      </w:r>
      <w:r w:rsidRPr="00B3645D">
        <w:rPr>
          <w:rFonts w:cs="Arial"/>
          <w:bCs/>
          <w:sz w:val="20"/>
          <w:szCs w:val="20"/>
        </w:rPr>
        <w:t>Nejvíce ceny v </w:t>
      </w:r>
      <w:r>
        <w:rPr>
          <w:rFonts w:cs="Arial"/>
          <w:bCs/>
          <w:sz w:val="20"/>
          <w:szCs w:val="20"/>
        </w:rPr>
        <w:t>říjnu</w:t>
      </w:r>
      <w:r w:rsidRPr="00B3645D">
        <w:rPr>
          <w:rFonts w:cs="Arial"/>
          <w:bCs/>
          <w:sz w:val="20"/>
          <w:szCs w:val="20"/>
        </w:rPr>
        <w:t xml:space="preserve"> meziročně vzrostly v Estonsku (o </w:t>
      </w:r>
      <w:r>
        <w:rPr>
          <w:rFonts w:cs="Arial"/>
          <w:bCs/>
          <w:sz w:val="20"/>
          <w:szCs w:val="20"/>
        </w:rPr>
        <w:t>22,5</w:t>
      </w:r>
      <w:r w:rsidRPr="00B3645D">
        <w:rPr>
          <w:rFonts w:cs="Arial"/>
          <w:bCs/>
          <w:sz w:val="20"/>
          <w:szCs w:val="20"/>
        </w:rPr>
        <w:t xml:space="preserve"> %) a nejméně </w:t>
      </w:r>
      <w:r>
        <w:rPr>
          <w:rFonts w:cs="Arial"/>
          <w:bCs/>
          <w:sz w:val="20"/>
          <w:szCs w:val="20"/>
        </w:rPr>
        <w:t xml:space="preserve">ve Francii </w:t>
      </w:r>
      <w:r w:rsidRPr="00B3645D">
        <w:rPr>
          <w:rFonts w:cs="Arial"/>
          <w:bCs/>
          <w:sz w:val="20"/>
          <w:szCs w:val="20"/>
        </w:rPr>
        <w:t>(o </w:t>
      </w:r>
      <w:r>
        <w:rPr>
          <w:rFonts w:cs="Arial"/>
          <w:bCs/>
          <w:sz w:val="20"/>
          <w:szCs w:val="20"/>
        </w:rPr>
        <w:t>7,1</w:t>
      </w:r>
      <w:r w:rsidRPr="00B3645D">
        <w:rPr>
          <w:rFonts w:cs="Arial"/>
          <w:bCs/>
          <w:sz w:val="20"/>
          <w:szCs w:val="20"/>
        </w:rPr>
        <w:t> %).</w:t>
      </w:r>
    </w:p>
    <w:p w:rsidR="00E9519C" w:rsidRDefault="00F37293" w:rsidP="00F37293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F37293">
        <w:rPr>
          <w:rFonts w:cs="Arial"/>
          <w:sz w:val="20"/>
          <w:szCs w:val="20"/>
        </w:rPr>
        <w:t xml:space="preserve">(Více informací na internetových stránkách </w:t>
      </w:r>
      <w:proofErr w:type="spellStart"/>
      <w:r w:rsidRPr="00F37293">
        <w:rPr>
          <w:rFonts w:cs="Arial"/>
          <w:sz w:val="20"/>
          <w:szCs w:val="20"/>
        </w:rPr>
        <w:t>Eurostatu</w:t>
      </w:r>
      <w:proofErr w:type="spellEnd"/>
      <w:r w:rsidRPr="00F37293">
        <w:rPr>
          <w:rFonts w:cs="Arial"/>
          <w:sz w:val="20"/>
          <w:szCs w:val="20"/>
        </w:rPr>
        <w:t xml:space="preserve">: </w:t>
      </w:r>
      <w:hyperlink r:id="rId10" w:history="1">
        <w:r w:rsidRPr="00F37293">
          <w:rPr>
            <w:rStyle w:val="Hypertextovodkaz"/>
            <w:rFonts w:cs="Arial"/>
            <w:sz w:val="20"/>
            <w:szCs w:val="20"/>
          </w:rPr>
          <w:t>HICP</w:t>
        </w:r>
      </w:hyperlink>
      <w:r w:rsidRPr="00F37293">
        <w:rPr>
          <w:rFonts w:cs="Arial"/>
          <w:sz w:val="20"/>
          <w:szCs w:val="20"/>
        </w:rPr>
        <w:t>.)</w:t>
      </w:r>
    </w:p>
    <w:p w:rsidR="00DE0020" w:rsidRPr="00DE0020" w:rsidRDefault="00DE0020" w:rsidP="00DE0020">
      <w:pPr>
        <w:pStyle w:val="Zkladntext"/>
        <w:tabs>
          <w:tab w:val="left" w:pos="4900"/>
        </w:tabs>
        <w:spacing w:after="240"/>
        <w:jc w:val="both"/>
        <w:rPr>
          <w:rFonts w:cs="Arial"/>
          <w:strike/>
          <w:szCs w:val="20"/>
        </w:rPr>
      </w:pPr>
      <w:r w:rsidRPr="00DE0020">
        <w:rPr>
          <w:rFonts w:cs="Arial"/>
          <w:szCs w:val="20"/>
        </w:rPr>
        <w:t xml:space="preserve">Celková úroveň spotřebitelských cen </w:t>
      </w:r>
      <w:r w:rsidRPr="00DE0020">
        <w:rPr>
          <w:rFonts w:cs="Arial"/>
          <w:b/>
          <w:bCs/>
          <w:szCs w:val="20"/>
        </w:rPr>
        <w:t>domácností důchodců</w:t>
      </w:r>
      <w:r w:rsidRPr="00DE0020">
        <w:rPr>
          <w:rFonts w:cs="Arial"/>
          <w:szCs w:val="20"/>
        </w:rPr>
        <w:t xml:space="preserve"> v listopadu ve srovnání s předcházejícím měsícem vzrostla o 1,9 %. Největší vliv na tento vývoj mělo zvýšení cen v oddíle bydlení o 5,7 %. V tomto oddíle byly vyšší zejména ceny zemního plynu, elektřiny, tepla a teplé vody a tuhých paliv. V oddíle potraviny a nealkoholické nápoje ceny vzrostly o 1,8 %. V tomto oddíle se zvýšily zejména ceny vajec, ovoce, chleba, brambor a uzenin. Op</w:t>
      </w:r>
      <w:r w:rsidRPr="00DE0020">
        <w:rPr>
          <w:rFonts w:eastAsia="Calibri" w:cs="Arial"/>
          <w:szCs w:val="20"/>
        </w:rPr>
        <w:t>ačný vliv na změnu cenové hladiny měl</w:t>
      </w:r>
      <w:r w:rsidRPr="00DE0020">
        <w:rPr>
          <w:rFonts w:cs="Arial"/>
          <w:szCs w:val="20"/>
        </w:rPr>
        <w:t xml:space="preserve"> pokles cen v oddíle doprava o 0,7 %, kdy byly nižší </w:t>
      </w:r>
      <w:r>
        <w:rPr>
          <w:rFonts w:cs="Arial"/>
          <w:szCs w:val="20"/>
        </w:rPr>
        <w:t>především ceny pohonných hmot a </w:t>
      </w:r>
      <w:r w:rsidRPr="00DE0020">
        <w:rPr>
          <w:rFonts w:cs="Arial"/>
          <w:szCs w:val="20"/>
        </w:rPr>
        <w:t>olejů.</w:t>
      </w:r>
    </w:p>
    <w:p w:rsidR="00DE0020" w:rsidRPr="00DE0020" w:rsidRDefault="00DE0020" w:rsidP="00DE0020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DE0020">
        <w:rPr>
          <w:rFonts w:cs="Arial"/>
          <w:b/>
          <w:bCs/>
          <w:sz w:val="20"/>
          <w:szCs w:val="20"/>
        </w:rPr>
        <w:t>V hlavním městě Praze</w:t>
      </w:r>
      <w:r w:rsidRPr="00DE0020">
        <w:rPr>
          <w:rFonts w:cs="Arial"/>
          <w:sz w:val="20"/>
          <w:szCs w:val="20"/>
        </w:rPr>
        <w:t xml:space="preserve"> spotřebitelské ceny úhrnem ve srovnání s minulým měsícem vzrostly o 0,5 % (v Česku o 1,2 %). Největší vliv na tento vývoj mělo zvýšení cen v oddíle potraviny a nealkoholické nápoje o 1,8 % (v Česku také o 1,8 %). V tomto oddíle se zvýšily zejména ceny ovoce, vajec, brambor, chleba</w:t>
      </w:r>
      <w:r>
        <w:rPr>
          <w:rFonts w:cs="Arial"/>
          <w:sz w:val="20"/>
          <w:szCs w:val="20"/>
        </w:rPr>
        <w:t xml:space="preserve"> a </w:t>
      </w:r>
      <w:r w:rsidRPr="00DE0020">
        <w:rPr>
          <w:rFonts w:cs="Arial"/>
          <w:sz w:val="20"/>
          <w:szCs w:val="20"/>
        </w:rPr>
        <w:t>sýrů a tvarohů. V oddíle bydlení ceny vzrostly o 0,3 % (v Česku o 2,8 %) především vlivem vyšších cen zemního plynu. Na druhé straně došlo v Praze k poklesu spotřebitelských cen v oddíle doprava o 1,4</w:t>
      </w:r>
      <w:r>
        <w:rPr>
          <w:rFonts w:cs="Arial"/>
          <w:sz w:val="20"/>
          <w:szCs w:val="20"/>
        </w:rPr>
        <w:t> </w:t>
      </w:r>
      <w:r w:rsidRPr="00DE0020">
        <w:rPr>
          <w:rFonts w:cs="Arial"/>
          <w:sz w:val="20"/>
          <w:szCs w:val="20"/>
        </w:rPr>
        <w:t>% (v Česku pokles o 1,0 %) vlivem nižších cen pohonných hmot a</w:t>
      </w:r>
      <w:r>
        <w:rPr>
          <w:rFonts w:cs="Arial"/>
          <w:sz w:val="20"/>
          <w:szCs w:val="20"/>
        </w:rPr>
        <w:t> </w:t>
      </w:r>
      <w:r w:rsidRPr="00DE0020">
        <w:rPr>
          <w:rFonts w:cs="Arial"/>
          <w:sz w:val="20"/>
          <w:szCs w:val="20"/>
        </w:rPr>
        <w:t>olejů.</w:t>
      </w:r>
    </w:p>
    <w:p w:rsidR="00E9519C" w:rsidRPr="00A64F2C" w:rsidRDefault="00E9519C" w:rsidP="00E9519C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</w:p>
    <w:p w:rsidR="00E9519C" w:rsidRDefault="00E9519C" w:rsidP="00E9519C">
      <w:pPr>
        <w:pStyle w:val="Zkladntextodsazen3"/>
        <w:spacing w:after="240" w:line="288" w:lineRule="auto"/>
        <w:ind w:left="0"/>
        <w:jc w:val="center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* * *</w:t>
      </w:r>
    </w:p>
    <w:p w:rsidR="00AB345B" w:rsidRPr="00CE1347" w:rsidRDefault="00E9519C" w:rsidP="00E9519C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Od dubna 2022 jsou nově ve </w:t>
      </w:r>
      <w:hyperlink r:id="rId11" w:history="1">
        <w:r w:rsidRPr="008E1FDE">
          <w:rPr>
            <w:rStyle w:val="Hypertextovodkaz"/>
            <w:rFonts w:cs="Arial"/>
            <w:sz w:val="20"/>
            <w:szCs w:val="20"/>
          </w:rPr>
          <w:t>Veřejné databázi</w:t>
        </w:r>
      </w:hyperlink>
      <w:r>
        <w:rPr>
          <w:rFonts w:cs="Arial"/>
          <w:sz w:val="20"/>
          <w:szCs w:val="20"/>
        </w:rPr>
        <w:t xml:space="preserve"> souběžně s Rychlou informací zveřejňována data dle základního i podrobného členění klasifikace ECOICOP a spotřebitelské ceny vybraných druhů zboží a služeb.</w:t>
      </w:r>
    </w:p>
    <w:sectPr w:rsidR="00AB345B" w:rsidRPr="00CE1347" w:rsidSect="00EF11F7">
      <w:headerReference w:type="even" r:id="rId12"/>
      <w:headerReference w:type="default" r:id="rId13"/>
      <w:footerReference w:type="even" r:id="rId14"/>
      <w:footerReference w:type="default" r:id="rId15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5431" w:rsidRDefault="00F15431" w:rsidP="00E71A58">
      <w:r>
        <w:separator/>
      </w:r>
    </w:p>
  </w:endnote>
  <w:endnote w:type="continuationSeparator" w:id="0">
    <w:p w:rsidR="00F15431" w:rsidRDefault="00F15431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030091">
      <w:rPr>
        <w:szCs w:val="16"/>
      </w:rPr>
      <w:t>listopad</w:t>
    </w:r>
    <w:r w:rsidR="00A16F97">
      <w:rPr>
        <w:rStyle w:val="ZpatChar"/>
        <w:szCs w:val="16"/>
      </w:rPr>
      <w:t xml:space="preserve"> 202</w:t>
    </w:r>
    <w:r w:rsidR="000A023D">
      <w:rPr>
        <w:rStyle w:val="ZpatChar"/>
        <w:szCs w:val="16"/>
      </w:rPr>
      <w:t>2</w:t>
    </w:r>
    <w:r w:rsidRPr="00F1639F">
      <w:rPr>
        <w:rStyle w:val="ZpatChar"/>
        <w:szCs w:val="16"/>
      </w:rPr>
      <w:t xml:space="preserve"> / </w:t>
    </w:r>
    <w:r w:rsidR="00030091">
      <w:rPr>
        <w:rStyle w:val="ZpatChar"/>
        <w:i/>
        <w:szCs w:val="16"/>
      </w:rPr>
      <w:t>Novem</w:t>
    </w:r>
    <w:r w:rsidR="00B8718E">
      <w:rPr>
        <w:rStyle w:val="ZpatChar"/>
        <w:i/>
        <w:szCs w:val="16"/>
      </w:rPr>
      <w:t>ber</w:t>
    </w:r>
    <w:r>
      <w:rPr>
        <w:rStyle w:val="ZpatChar"/>
        <w:i/>
        <w:szCs w:val="16"/>
      </w:rPr>
      <w:t xml:space="preserve"> 20</w:t>
    </w:r>
    <w:r w:rsidR="0085490B">
      <w:rPr>
        <w:rStyle w:val="ZpatChar"/>
        <w:i/>
        <w:szCs w:val="16"/>
      </w:rPr>
      <w:t>2</w:t>
    </w:r>
    <w:r w:rsidR="000A023D">
      <w:rPr>
        <w:rStyle w:val="ZpatChar"/>
        <w:i/>
        <w:szCs w:val="16"/>
      </w:rPr>
      <w:t>2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5431" w:rsidRDefault="00F15431" w:rsidP="00E71A58">
      <w:r>
        <w:separator/>
      </w:r>
    </w:p>
  </w:footnote>
  <w:footnote w:type="continuationSeparator" w:id="0">
    <w:p w:rsidR="00F15431" w:rsidRDefault="00F15431" w:rsidP="00E71A58">
      <w:r>
        <w:continuationSeparator/>
      </w:r>
    </w:p>
  </w:footnote>
  <w:footnote w:id="1">
    <w:p w:rsidR="005124E9" w:rsidRPr="005124E9" w:rsidRDefault="005124E9" w:rsidP="005124E9">
      <w:pPr>
        <w:pStyle w:val="Textpoznpodarou"/>
        <w:spacing w:line="288" w:lineRule="auto"/>
        <w:contextualSpacing/>
        <w:jc w:val="both"/>
        <w:rPr>
          <w:lang w:val="cs-CZ"/>
        </w:rPr>
      </w:pPr>
      <w:r w:rsidRPr="005124E9">
        <w:rPr>
          <w:rStyle w:val="Znakapoznpodarou"/>
          <w:rFonts w:ascii="Arial" w:hAnsi="Arial" w:cs="Arial"/>
          <w:sz w:val="18"/>
          <w:szCs w:val="18"/>
          <w:lang w:val="cs-CZ"/>
        </w:rPr>
        <w:footnoteRef/>
      </w:r>
      <w:r w:rsidRPr="005124E9">
        <w:rPr>
          <w:rFonts w:ascii="Arial" w:hAnsi="Arial" w:cs="Arial"/>
          <w:sz w:val="18"/>
          <w:szCs w:val="18"/>
          <w:vertAlign w:val="superscript"/>
          <w:lang w:val="cs-CZ"/>
        </w:rPr>
        <w:t xml:space="preserve">) </w:t>
      </w:r>
      <w:r w:rsidRPr="00DE0020">
        <w:rPr>
          <w:rFonts w:ascii="Arial" w:hAnsi="Arial" w:cs="Arial"/>
          <w:b/>
          <w:i/>
          <w:sz w:val="18"/>
          <w:szCs w:val="18"/>
          <w:lang w:val="cs-CZ"/>
        </w:rPr>
        <w:t>Zrychlení/zpomalení</w:t>
      </w:r>
      <w:r w:rsidRPr="00DE0020">
        <w:rPr>
          <w:rFonts w:ascii="Arial" w:hAnsi="Arial" w:cs="Arial"/>
          <w:i/>
          <w:sz w:val="18"/>
          <w:szCs w:val="18"/>
          <w:lang w:val="cs-CZ"/>
        </w:rPr>
        <w:t xml:space="preserve"> růstu meziročního cenového indexu je rozdíl mezi aktuálním a předchozím meziročním indexem. Je proto závislé na změně aktuálního meziměsíčního indexu a zároveň na změně základny – meziměsíčního indexu (růstu/poklesu) ve stejném měsíci loňského roku.</w:t>
      </w:r>
    </w:p>
  </w:footnote>
  <w:footnote w:id="2">
    <w:p w:rsidR="00F071F6" w:rsidRPr="00056397" w:rsidRDefault="00F071F6" w:rsidP="006E7114">
      <w:pPr>
        <w:pStyle w:val="Poznamkytexty"/>
        <w:spacing w:line="288" w:lineRule="auto"/>
      </w:pPr>
      <w:r w:rsidRPr="00056397">
        <w:rPr>
          <w:rStyle w:val="Znakapoznpodarou"/>
        </w:rPr>
        <w:footnoteRef/>
      </w:r>
      <w:r w:rsidRPr="00056397">
        <w:rPr>
          <w:vertAlign w:val="superscript"/>
        </w:rPr>
        <w:t>)</w:t>
      </w:r>
      <w:r w:rsidRPr="00056397">
        <w:t xml:space="preserve"> HICP neobsahuje imputované nájemné.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209D"/>
    <w:rsid w:val="00004D5A"/>
    <w:rsid w:val="000056D5"/>
    <w:rsid w:val="00006C4F"/>
    <w:rsid w:val="0000767A"/>
    <w:rsid w:val="00010702"/>
    <w:rsid w:val="00010CD1"/>
    <w:rsid w:val="000234D6"/>
    <w:rsid w:val="00023D29"/>
    <w:rsid w:val="00025AEA"/>
    <w:rsid w:val="0002623C"/>
    <w:rsid w:val="00026389"/>
    <w:rsid w:val="00030091"/>
    <w:rsid w:val="00031821"/>
    <w:rsid w:val="00031AE0"/>
    <w:rsid w:val="000322EF"/>
    <w:rsid w:val="00033FCD"/>
    <w:rsid w:val="000373E6"/>
    <w:rsid w:val="00041CEC"/>
    <w:rsid w:val="00041E27"/>
    <w:rsid w:val="0004694F"/>
    <w:rsid w:val="000522E4"/>
    <w:rsid w:val="00056397"/>
    <w:rsid w:val="00060C89"/>
    <w:rsid w:val="000610E1"/>
    <w:rsid w:val="00061ECB"/>
    <w:rsid w:val="00062EC5"/>
    <w:rsid w:val="00062F22"/>
    <w:rsid w:val="000712B3"/>
    <w:rsid w:val="0007482F"/>
    <w:rsid w:val="0008263E"/>
    <w:rsid w:val="00082C19"/>
    <w:rsid w:val="00083837"/>
    <w:rsid w:val="0008422C"/>
    <w:rsid w:val="00085395"/>
    <w:rsid w:val="00087634"/>
    <w:rsid w:val="00087F2B"/>
    <w:rsid w:val="00091AD4"/>
    <w:rsid w:val="000965A4"/>
    <w:rsid w:val="00096884"/>
    <w:rsid w:val="000974D1"/>
    <w:rsid w:val="0009799E"/>
    <w:rsid w:val="000A023D"/>
    <w:rsid w:val="000A1183"/>
    <w:rsid w:val="000A136C"/>
    <w:rsid w:val="000A256D"/>
    <w:rsid w:val="000A3A2C"/>
    <w:rsid w:val="000B4400"/>
    <w:rsid w:val="000B4F84"/>
    <w:rsid w:val="000C3408"/>
    <w:rsid w:val="000C3674"/>
    <w:rsid w:val="000C39C1"/>
    <w:rsid w:val="000C55F1"/>
    <w:rsid w:val="000C6AFD"/>
    <w:rsid w:val="000D5637"/>
    <w:rsid w:val="000D694A"/>
    <w:rsid w:val="000E1D08"/>
    <w:rsid w:val="000E43A0"/>
    <w:rsid w:val="000E46C8"/>
    <w:rsid w:val="000E5CFC"/>
    <w:rsid w:val="000E6FBD"/>
    <w:rsid w:val="00100F5C"/>
    <w:rsid w:val="00101053"/>
    <w:rsid w:val="00104C4C"/>
    <w:rsid w:val="0012192F"/>
    <w:rsid w:val="00122F92"/>
    <w:rsid w:val="00125D69"/>
    <w:rsid w:val="001356B7"/>
    <w:rsid w:val="0013634B"/>
    <w:rsid w:val="001405FA"/>
    <w:rsid w:val="00141E67"/>
    <w:rsid w:val="001425C3"/>
    <w:rsid w:val="001429DB"/>
    <w:rsid w:val="00144715"/>
    <w:rsid w:val="00147D26"/>
    <w:rsid w:val="00155623"/>
    <w:rsid w:val="00157546"/>
    <w:rsid w:val="0016256B"/>
    <w:rsid w:val="00163793"/>
    <w:rsid w:val="001637B7"/>
    <w:rsid w:val="00167915"/>
    <w:rsid w:val="001706D6"/>
    <w:rsid w:val="001714F2"/>
    <w:rsid w:val="00176E2A"/>
    <w:rsid w:val="001778BB"/>
    <w:rsid w:val="001849F2"/>
    <w:rsid w:val="00184B08"/>
    <w:rsid w:val="00184B32"/>
    <w:rsid w:val="00185010"/>
    <w:rsid w:val="001869E7"/>
    <w:rsid w:val="0019038F"/>
    <w:rsid w:val="001927C2"/>
    <w:rsid w:val="001A552F"/>
    <w:rsid w:val="001B0D9B"/>
    <w:rsid w:val="001B2B92"/>
    <w:rsid w:val="001B2CA9"/>
    <w:rsid w:val="001B3110"/>
    <w:rsid w:val="001B4729"/>
    <w:rsid w:val="001B6146"/>
    <w:rsid w:val="001B6C09"/>
    <w:rsid w:val="001C05CD"/>
    <w:rsid w:val="001C0A89"/>
    <w:rsid w:val="001C34DB"/>
    <w:rsid w:val="001D043C"/>
    <w:rsid w:val="001D68B2"/>
    <w:rsid w:val="001E723E"/>
    <w:rsid w:val="001F4597"/>
    <w:rsid w:val="001F7337"/>
    <w:rsid w:val="00201F3A"/>
    <w:rsid w:val="00204B44"/>
    <w:rsid w:val="002118B9"/>
    <w:rsid w:val="00217C5B"/>
    <w:rsid w:val="0022139E"/>
    <w:rsid w:val="002252E0"/>
    <w:rsid w:val="002255F6"/>
    <w:rsid w:val="00227850"/>
    <w:rsid w:val="00230C6E"/>
    <w:rsid w:val="00231723"/>
    <w:rsid w:val="00231B76"/>
    <w:rsid w:val="00236443"/>
    <w:rsid w:val="002436BA"/>
    <w:rsid w:val="00244A15"/>
    <w:rsid w:val="00247319"/>
    <w:rsid w:val="002473C2"/>
    <w:rsid w:val="0024799E"/>
    <w:rsid w:val="00250429"/>
    <w:rsid w:val="00252480"/>
    <w:rsid w:val="00253C0F"/>
    <w:rsid w:val="0026303C"/>
    <w:rsid w:val="00264B76"/>
    <w:rsid w:val="00267CC0"/>
    <w:rsid w:val="00271465"/>
    <w:rsid w:val="00271612"/>
    <w:rsid w:val="00280C6E"/>
    <w:rsid w:val="00284103"/>
    <w:rsid w:val="00284581"/>
    <w:rsid w:val="00285412"/>
    <w:rsid w:val="002860E3"/>
    <w:rsid w:val="002901CD"/>
    <w:rsid w:val="002927A1"/>
    <w:rsid w:val="002A16D4"/>
    <w:rsid w:val="002A230C"/>
    <w:rsid w:val="002A3E2A"/>
    <w:rsid w:val="002B3598"/>
    <w:rsid w:val="002B43B9"/>
    <w:rsid w:val="002B6FD1"/>
    <w:rsid w:val="002C4142"/>
    <w:rsid w:val="002C43BD"/>
    <w:rsid w:val="002D0E59"/>
    <w:rsid w:val="002E02A1"/>
    <w:rsid w:val="002E16B1"/>
    <w:rsid w:val="002E4E4C"/>
    <w:rsid w:val="002E52F9"/>
    <w:rsid w:val="002E57D3"/>
    <w:rsid w:val="002E7290"/>
    <w:rsid w:val="002F19E0"/>
    <w:rsid w:val="00304771"/>
    <w:rsid w:val="003052D4"/>
    <w:rsid w:val="00306C5B"/>
    <w:rsid w:val="003209D6"/>
    <w:rsid w:val="0032656E"/>
    <w:rsid w:val="00332190"/>
    <w:rsid w:val="0033316C"/>
    <w:rsid w:val="00337127"/>
    <w:rsid w:val="00344668"/>
    <w:rsid w:val="003462D9"/>
    <w:rsid w:val="00360E5F"/>
    <w:rsid w:val="003657F3"/>
    <w:rsid w:val="003818DC"/>
    <w:rsid w:val="00382250"/>
    <w:rsid w:val="00385D98"/>
    <w:rsid w:val="00390FD1"/>
    <w:rsid w:val="003A0717"/>
    <w:rsid w:val="003A2B4D"/>
    <w:rsid w:val="003A414A"/>
    <w:rsid w:val="003A478C"/>
    <w:rsid w:val="003A4FE4"/>
    <w:rsid w:val="003A5525"/>
    <w:rsid w:val="003A6B38"/>
    <w:rsid w:val="003B320E"/>
    <w:rsid w:val="003B5A32"/>
    <w:rsid w:val="003C3490"/>
    <w:rsid w:val="003C5B95"/>
    <w:rsid w:val="003D3BEB"/>
    <w:rsid w:val="003D463A"/>
    <w:rsid w:val="003D6920"/>
    <w:rsid w:val="003E0D5C"/>
    <w:rsid w:val="003E4C91"/>
    <w:rsid w:val="003E6213"/>
    <w:rsid w:val="003F313C"/>
    <w:rsid w:val="003F551C"/>
    <w:rsid w:val="0040015F"/>
    <w:rsid w:val="00400CF2"/>
    <w:rsid w:val="00407468"/>
    <w:rsid w:val="00407C13"/>
    <w:rsid w:val="00410638"/>
    <w:rsid w:val="00410DDA"/>
    <w:rsid w:val="00417272"/>
    <w:rsid w:val="0042164C"/>
    <w:rsid w:val="00432A58"/>
    <w:rsid w:val="00434617"/>
    <w:rsid w:val="00435D9F"/>
    <w:rsid w:val="00435DF6"/>
    <w:rsid w:val="00440900"/>
    <w:rsid w:val="004441A0"/>
    <w:rsid w:val="004461E0"/>
    <w:rsid w:val="00446306"/>
    <w:rsid w:val="004472CA"/>
    <w:rsid w:val="004534F7"/>
    <w:rsid w:val="00455224"/>
    <w:rsid w:val="00456343"/>
    <w:rsid w:val="004568EB"/>
    <w:rsid w:val="004635FA"/>
    <w:rsid w:val="00464079"/>
    <w:rsid w:val="00466ECE"/>
    <w:rsid w:val="00474328"/>
    <w:rsid w:val="00474BB3"/>
    <w:rsid w:val="00476240"/>
    <w:rsid w:val="00476439"/>
    <w:rsid w:val="0047735C"/>
    <w:rsid w:val="004776BC"/>
    <w:rsid w:val="0048139F"/>
    <w:rsid w:val="00481E40"/>
    <w:rsid w:val="004820A4"/>
    <w:rsid w:val="00482B64"/>
    <w:rsid w:val="004845F1"/>
    <w:rsid w:val="004847E4"/>
    <w:rsid w:val="00484ECE"/>
    <w:rsid w:val="00486A14"/>
    <w:rsid w:val="00486FFD"/>
    <w:rsid w:val="004915CB"/>
    <w:rsid w:val="00493EB8"/>
    <w:rsid w:val="00497660"/>
    <w:rsid w:val="004A05A3"/>
    <w:rsid w:val="004A1103"/>
    <w:rsid w:val="004A1719"/>
    <w:rsid w:val="004A3212"/>
    <w:rsid w:val="004A4132"/>
    <w:rsid w:val="004A61C5"/>
    <w:rsid w:val="004A77DF"/>
    <w:rsid w:val="004B1417"/>
    <w:rsid w:val="004B520C"/>
    <w:rsid w:val="004B55B7"/>
    <w:rsid w:val="004B6468"/>
    <w:rsid w:val="004C1B7A"/>
    <w:rsid w:val="004C384C"/>
    <w:rsid w:val="004C3867"/>
    <w:rsid w:val="004C4CD0"/>
    <w:rsid w:val="004C70DC"/>
    <w:rsid w:val="004D0211"/>
    <w:rsid w:val="004D0570"/>
    <w:rsid w:val="004D0794"/>
    <w:rsid w:val="004E0291"/>
    <w:rsid w:val="004F06F5"/>
    <w:rsid w:val="004F1C34"/>
    <w:rsid w:val="004F33A0"/>
    <w:rsid w:val="00500157"/>
    <w:rsid w:val="005108C0"/>
    <w:rsid w:val="00511873"/>
    <w:rsid w:val="005124E9"/>
    <w:rsid w:val="0051289C"/>
    <w:rsid w:val="00512A2F"/>
    <w:rsid w:val="00513B7E"/>
    <w:rsid w:val="005145F4"/>
    <w:rsid w:val="00515C74"/>
    <w:rsid w:val="005172A6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41B7A"/>
    <w:rsid w:val="00542307"/>
    <w:rsid w:val="005537A0"/>
    <w:rsid w:val="0055599F"/>
    <w:rsid w:val="00556D68"/>
    <w:rsid w:val="00563C8C"/>
    <w:rsid w:val="005647BF"/>
    <w:rsid w:val="00565FFB"/>
    <w:rsid w:val="00570388"/>
    <w:rsid w:val="005705F1"/>
    <w:rsid w:val="0057364B"/>
    <w:rsid w:val="00574773"/>
    <w:rsid w:val="00576105"/>
    <w:rsid w:val="00583FFD"/>
    <w:rsid w:val="005911BE"/>
    <w:rsid w:val="00593152"/>
    <w:rsid w:val="005933F8"/>
    <w:rsid w:val="005A10F2"/>
    <w:rsid w:val="005A21E0"/>
    <w:rsid w:val="005A28FF"/>
    <w:rsid w:val="005A3DF8"/>
    <w:rsid w:val="005A5549"/>
    <w:rsid w:val="005B0AA7"/>
    <w:rsid w:val="005B121D"/>
    <w:rsid w:val="005B1F6C"/>
    <w:rsid w:val="005B336F"/>
    <w:rsid w:val="005B77D2"/>
    <w:rsid w:val="005B7A04"/>
    <w:rsid w:val="005C06ED"/>
    <w:rsid w:val="005C2A6E"/>
    <w:rsid w:val="005D5802"/>
    <w:rsid w:val="005D7890"/>
    <w:rsid w:val="005D7D83"/>
    <w:rsid w:val="005E1698"/>
    <w:rsid w:val="005E3A03"/>
    <w:rsid w:val="005E7C78"/>
    <w:rsid w:val="005F1318"/>
    <w:rsid w:val="005F3EB1"/>
    <w:rsid w:val="00600800"/>
    <w:rsid w:val="00601E5C"/>
    <w:rsid w:val="00601E98"/>
    <w:rsid w:val="00604307"/>
    <w:rsid w:val="0060487F"/>
    <w:rsid w:val="00604EAD"/>
    <w:rsid w:val="006104FB"/>
    <w:rsid w:val="00612A2F"/>
    <w:rsid w:val="00616E05"/>
    <w:rsid w:val="00624093"/>
    <w:rsid w:val="006374F8"/>
    <w:rsid w:val="006404A7"/>
    <w:rsid w:val="006451E4"/>
    <w:rsid w:val="00645B33"/>
    <w:rsid w:val="006516CB"/>
    <w:rsid w:val="00653E2F"/>
    <w:rsid w:val="00654256"/>
    <w:rsid w:val="00657E6A"/>
    <w:rsid w:val="00657E87"/>
    <w:rsid w:val="006618D2"/>
    <w:rsid w:val="00664803"/>
    <w:rsid w:val="00665BA4"/>
    <w:rsid w:val="00667AF2"/>
    <w:rsid w:val="0067030C"/>
    <w:rsid w:val="006710C9"/>
    <w:rsid w:val="00674D89"/>
    <w:rsid w:val="00675E37"/>
    <w:rsid w:val="0068174E"/>
    <w:rsid w:val="006817A4"/>
    <w:rsid w:val="00681990"/>
    <w:rsid w:val="00681DCE"/>
    <w:rsid w:val="0068260E"/>
    <w:rsid w:val="00682860"/>
    <w:rsid w:val="00685ACC"/>
    <w:rsid w:val="00686D7A"/>
    <w:rsid w:val="00687FD6"/>
    <w:rsid w:val="0069322B"/>
    <w:rsid w:val="00695BEF"/>
    <w:rsid w:val="006967DF"/>
    <w:rsid w:val="006969D4"/>
    <w:rsid w:val="006977F6"/>
    <w:rsid w:val="00697A13"/>
    <w:rsid w:val="006A109C"/>
    <w:rsid w:val="006A6488"/>
    <w:rsid w:val="006B344A"/>
    <w:rsid w:val="006B72D3"/>
    <w:rsid w:val="006B78D8"/>
    <w:rsid w:val="006C0F67"/>
    <w:rsid w:val="006C113F"/>
    <w:rsid w:val="006C2B3A"/>
    <w:rsid w:val="006C56D4"/>
    <w:rsid w:val="006C6924"/>
    <w:rsid w:val="006C7809"/>
    <w:rsid w:val="006C7CA6"/>
    <w:rsid w:val="006D3E8A"/>
    <w:rsid w:val="006D61F6"/>
    <w:rsid w:val="006E089A"/>
    <w:rsid w:val="006E1D2E"/>
    <w:rsid w:val="006E279A"/>
    <w:rsid w:val="006E313B"/>
    <w:rsid w:val="006E539E"/>
    <w:rsid w:val="006E7114"/>
    <w:rsid w:val="006F259A"/>
    <w:rsid w:val="006F53E6"/>
    <w:rsid w:val="006F6DBD"/>
    <w:rsid w:val="00706AD4"/>
    <w:rsid w:val="007140BE"/>
    <w:rsid w:val="007211F5"/>
    <w:rsid w:val="0072465B"/>
    <w:rsid w:val="0072569E"/>
    <w:rsid w:val="00725BB5"/>
    <w:rsid w:val="00730AE8"/>
    <w:rsid w:val="00741493"/>
    <w:rsid w:val="00745811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29C"/>
    <w:rsid w:val="00780EF1"/>
    <w:rsid w:val="00785ACB"/>
    <w:rsid w:val="00785B86"/>
    <w:rsid w:val="00790764"/>
    <w:rsid w:val="00793BF7"/>
    <w:rsid w:val="007944EB"/>
    <w:rsid w:val="0079453C"/>
    <w:rsid w:val="00794677"/>
    <w:rsid w:val="00795A42"/>
    <w:rsid w:val="007A2B58"/>
    <w:rsid w:val="007A55DC"/>
    <w:rsid w:val="007A581E"/>
    <w:rsid w:val="007A717C"/>
    <w:rsid w:val="007B614A"/>
    <w:rsid w:val="007B6689"/>
    <w:rsid w:val="007B71A0"/>
    <w:rsid w:val="007C0501"/>
    <w:rsid w:val="007C2204"/>
    <w:rsid w:val="007D40DF"/>
    <w:rsid w:val="007E61EE"/>
    <w:rsid w:val="007E6665"/>
    <w:rsid w:val="007E7E61"/>
    <w:rsid w:val="007F0845"/>
    <w:rsid w:val="00802CAD"/>
    <w:rsid w:val="00807C82"/>
    <w:rsid w:val="0081142E"/>
    <w:rsid w:val="00812C93"/>
    <w:rsid w:val="008133DB"/>
    <w:rsid w:val="00816905"/>
    <w:rsid w:val="00821467"/>
    <w:rsid w:val="00821FF6"/>
    <w:rsid w:val="008226BD"/>
    <w:rsid w:val="0082513C"/>
    <w:rsid w:val="00830749"/>
    <w:rsid w:val="0083143E"/>
    <w:rsid w:val="00831CDE"/>
    <w:rsid w:val="00834304"/>
    <w:rsid w:val="00834FAA"/>
    <w:rsid w:val="00836086"/>
    <w:rsid w:val="00836FBD"/>
    <w:rsid w:val="008408FE"/>
    <w:rsid w:val="0084433D"/>
    <w:rsid w:val="0084708F"/>
    <w:rsid w:val="008477C8"/>
    <w:rsid w:val="0085114D"/>
    <w:rsid w:val="00852217"/>
    <w:rsid w:val="008533D8"/>
    <w:rsid w:val="0085490B"/>
    <w:rsid w:val="00855408"/>
    <w:rsid w:val="00856D65"/>
    <w:rsid w:val="008604FF"/>
    <w:rsid w:val="00861B41"/>
    <w:rsid w:val="00862451"/>
    <w:rsid w:val="00863434"/>
    <w:rsid w:val="00865E4C"/>
    <w:rsid w:val="008701E4"/>
    <w:rsid w:val="00871BC7"/>
    <w:rsid w:val="008743F9"/>
    <w:rsid w:val="00875A32"/>
    <w:rsid w:val="00876086"/>
    <w:rsid w:val="00882762"/>
    <w:rsid w:val="0088448E"/>
    <w:rsid w:val="00884704"/>
    <w:rsid w:val="008873D4"/>
    <w:rsid w:val="0089223D"/>
    <w:rsid w:val="00892A56"/>
    <w:rsid w:val="00893E85"/>
    <w:rsid w:val="00894031"/>
    <w:rsid w:val="008A77FC"/>
    <w:rsid w:val="008B162C"/>
    <w:rsid w:val="008B3591"/>
    <w:rsid w:val="008B457A"/>
    <w:rsid w:val="008B71DC"/>
    <w:rsid w:val="008B75BA"/>
    <w:rsid w:val="008B7C02"/>
    <w:rsid w:val="008B7D2B"/>
    <w:rsid w:val="008C0049"/>
    <w:rsid w:val="008C0E88"/>
    <w:rsid w:val="008C7F1F"/>
    <w:rsid w:val="008D1E6A"/>
    <w:rsid w:val="008D2A16"/>
    <w:rsid w:val="008D2CC1"/>
    <w:rsid w:val="008D4DAD"/>
    <w:rsid w:val="008D516D"/>
    <w:rsid w:val="008E1E87"/>
    <w:rsid w:val="008E2677"/>
    <w:rsid w:val="008E2C57"/>
    <w:rsid w:val="008E2CD9"/>
    <w:rsid w:val="008E31FF"/>
    <w:rsid w:val="008E6F06"/>
    <w:rsid w:val="008F029B"/>
    <w:rsid w:val="008F09C3"/>
    <w:rsid w:val="008F0B5C"/>
    <w:rsid w:val="008F3FC9"/>
    <w:rsid w:val="008F585B"/>
    <w:rsid w:val="009003A8"/>
    <w:rsid w:val="00902500"/>
    <w:rsid w:val="00902EFF"/>
    <w:rsid w:val="00904791"/>
    <w:rsid w:val="0091155E"/>
    <w:rsid w:val="00912A92"/>
    <w:rsid w:val="0091728D"/>
    <w:rsid w:val="009210A4"/>
    <w:rsid w:val="0092180B"/>
    <w:rsid w:val="00921F14"/>
    <w:rsid w:val="00924AC8"/>
    <w:rsid w:val="0092597A"/>
    <w:rsid w:val="00927F90"/>
    <w:rsid w:val="00930CFE"/>
    <w:rsid w:val="00930ED1"/>
    <w:rsid w:val="00937AE2"/>
    <w:rsid w:val="00940DE4"/>
    <w:rsid w:val="0094427A"/>
    <w:rsid w:val="009459B2"/>
    <w:rsid w:val="00951F5F"/>
    <w:rsid w:val="00956240"/>
    <w:rsid w:val="00960242"/>
    <w:rsid w:val="00965CD5"/>
    <w:rsid w:val="0097104F"/>
    <w:rsid w:val="00971E7D"/>
    <w:rsid w:val="00974923"/>
    <w:rsid w:val="00977888"/>
    <w:rsid w:val="00980D3D"/>
    <w:rsid w:val="00981AEC"/>
    <w:rsid w:val="0098332C"/>
    <w:rsid w:val="00986C98"/>
    <w:rsid w:val="00992CF3"/>
    <w:rsid w:val="00994229"/>
    <w:rsid w:val="009957A3"/>
    <w:rsid w:val="009968D6"/>
    <w:rsid w:val="009A1CAB"/>
    <w:rsid w:val="009A60D1"/>
    <w:rsid w:val="009A7403"/>
    <w:rsid w:val="009A7F1A"/>
    <w:rsid w:val="009B4736"/>
    <w:rsid w:val="009B6FD3"/>
    <w:rsid w:val="009C1750"/>
    <w:rsid w:val="009C2E29"/>
    <w:rsid w:val="009C554B"/>
    <w:rsid w:val="009C719E"/>
    <w:rsid w:val="009C73E7"/>
    <w:rsid w:val="009D3ACD"/>
    <w:rsid w:val="009E2F95"/>
    <w:rsid w:val="009E5DDB"/>
    <w:rsid w:val="009F1DD4"/>
    <w:rsid w:val="009F4CA7"/>
    <w:rsid w:val="00A050D2"/>
    <w:rsid w:val="00A10D66"/>
    <w:rsid w:val="00A14114"/>
    <w:rsid w:val="00A16F97"/>
    <w:rsid w:val="00A209A9"/>
    <w:rsid w:val="00A23E43"/>
    <w:rsid w:val="00A25225"/>
    <w:rsid w:val="00A30F65"/>
    <w:rsid w:val="00A33C97"/>
    <w:rsid w:val="00A3469B"/>
    <w:rsid w:val="00A351AD"/>
    <w:rsid w:val="00A418BC"/>
    <w:rsid w:val="00A4414A"/>
    <w:rsid w:val="00A457A9"/>
    <w:rsid w:val="00A462F0"/>
    <w:rsid w:val="00A46DE0"/>
    <w:rsid w:val="00A50D73"/>
    <w:rsid w:val="00A5135D"/>
    <w:rsid w:val="00A516BB"/>
    <w:rsid w:val="00A52CAD"/>
    <w:rsid w:val="00A53FC7"/>
    <w:rsid w:val="00A55671"/>
    <w:rsid w:val="00A62CE1"/>
    <w:rsid w:val="00A66C37"/>
    <w:rsid w:val="00A6741E"/>
    <w:rsid w:val="00A75799"/>
    <w:rsid w:val="00A75E40"/>
    <w:rsid w:val="00A77D1D"/>
    <w:rsid w:val="00A80BFB"/>
    <w:rsid w:val="00A857C0"/>
    <w:rsid w:val="00A87EBC"/>
    <w:rsid w:val="00A94D1E"/>
    <w:rsid w:val="00A971A3"/>
    <w:rsid w:val="00AA2996"/>
    <w:rsid w:val="00AA52BF"/>
    <w:rsid w:val="00AA559A"/>
    <w:rsid w:val="00AA765E"/>
    <w:rsid w:val="00AB24DE"/>
    <w:rsid w:val="00AB2AF1"/>
    <w:rsid w:val="00AB345B"/>
    <w:rsid w:val="00AC04E1"/>
    <w:rsid w:val="00AC12B4"/>
    <w:rsid w:val="00AC1F42"/>
    <w:rsid w:val="00AC79FA"/>
    <w:rsid w:val="00AD306C"/>
    <w:rsid w:val="00AE09B3"/>
    <w:rsid w:val="00AE1A83"/>
    <w:rsid w:val="00AE45C6"/>
    <w:rsid w:val="00AF7B3E"/>
    <w:rsid w:val="00AF7E5F"/>
    <w:rsid w:val="00B00913"/>
    <w:rsid w:val="00B01593"/>
    <w:rsid w:val="00B06F83"/>
    <w:rsid w:val="00B10A4D"/>
    <w:rsid w:val="00B15543"/>
    <w:rsid w:val="00B17E71"/>
    <w:rsid w:val="00B17FDE"/>
    <w:rsid w:val="00B2379C"/>
    <w:rsid w:val="00B24C2D"/>
    <w:rsid w:val="00B2687D"/>
    <w:rsid w:val="00B3175E"/>
    <w:rsid w:val="00B32DDB"/>
    <w:rsid w:val="00B34528"/>
    <w:rsid w:val="00B35002"/>
    <w:rsid w:val="00B36E6A"/>
    <w:rsid w:val="00B402FC"/>
    <w:rsid w:val="00B40E75"/>
    <w:rsid w:val="00B4155F"/>
    <w:rsid w:val="00B45E3F"/>
    <w:rsid w:val="00B46604"/>
    <w:rsid w:val="00B46BB2"/>
    <w:rsid w:val="00B47A70"/>
    <w:rsid w:val="00B51030"/>
    <w:rsid w:val="00B5316B"/>
    <w:rsid w:val="00B55F5E"/>
    <w:rsid w:val="00B5752E"/>
    <w:rsid w:val="00B61F7E"/>
    <w:rsid w:val="00B63A11"/>
    <w:rsid w:val="00B64C24"/>
    <w:rsid w:val="00B6608F"/>
    <w:rsid w:val="00B679FB"/>
    <w:rsid w:val="00B7312B"/>
    <w:rsid w:val="00B76D1E"/>
    <w:rsid w:val="00B80B4A"/>
    <w:rsid w:val="00B80EC6"/>
    <w:rsid w:val="00B8718E"/>
    <w:rsid w:val="00B91D5E"/>
    <w:rsid w:val="00B92D1D"/>
    <w:rsid w:val="00B938C5"/>
    <w:rsid w:val="00B95940"/>
    <w:rsid w:val="00B96603"/>
    <w:rsid w:val="00BB46F3"/>
    <w:rsid w:val="00BB4CB1"/>
    <w:rsid w:val="00BB4F98"/>
    <w:rsid w:val="00BB4FF4"/>
    <w:rsid w:val="00BC33D1"/>
    <w:rsid w:val="00BC7154"/>
    <w:rsid w:val="00BD366B"/>
    <w:rsid w:val="00BD6D50"/>
    <w:rsid w:val="00BE126A"/>
    <w:rsid w:val="00BE18B9"/>
    <w:rsid w:val="00BE239E"/>
    <w:rsid w:val="00BE2495"/>
    <w:rsid w:val="00BE3108"/>
    <w:rsid w:val="00BE3DE7"/>
    <w:rsid w:val="00BF11BB"/>
    <w:rsid w:val="00BF1578"/>
    <w:rsid w:val="00BF4542"/>
    <w:rsid w:val="00C02ABF"/>
    <w:rsid w:val="00C031B4"/>
    <w:rsid w:val="00C03B89"/>
    <w:rsid w:val="00C21F94"/>
    <w:rsid w:val="00C224A7"/>
    <w:rsid w:val="00C25A18"/>
    <w:rsid w:val="00C27913"/>
    <w:rsid w:val="00C32C9E"/>
    <w:rsid w:val="00C33B68"/>
    <w:rsid w:val="00C36A79"/>
    <w:rsid w:val="00C40515"/>
    <w:rsid w:val="00C405D4"/>
    <w:rsid w:val="00C41BCD"/>
    <w:rsid w:val="00C43300"/>
    <w:rsid w:val="00C4513B"/>
    <w:rsid w:val="00C54697"/>
    <w:rsid w:val="00C73885"/>
    <w:rsid w:val="00C747B1"/>
    <w:rsid w:val="00C7712F"/>
    <w:rsid w:val="00C82191"/>
    <w:rsid w:val="00C90CF4"/>
    <w:rsid w:val="00C92EB6"/>
    <w:rsid w:val="00C93389"/>
    <w:rsid w:val="00C9445F"/>
    <w:rsid w:val="00CA2A0E"/>
    <w:rsid w:val="00CA3080"/>
    <w:rsid w:val="00CA5EC5"/>
    <w:rsid w:val="00CB32BD"/>
    <w:rsid w:val="00CB4930"/>
    <w:rsid w:val="00CB51D1"/>
    <w:rsid w:val="00CC0249"/>
    <w:rsid w:val="00CC2E7D"/>
    <w:rsid w:val="00CD0D84"/>
    <w:rsid w:val="00CD10A5"/>
    <w:rsid w:val="00CD2076"/>
    <w:rsid w:val="00CE0758"/>
    <w:rsid w:val="00CE1347"/>
    <w:rsid w:val="00CE670B"/>
    <w:rsid w:val="00CF031A"/>
    <w:rsid w:val="00CF51EC"/>
    <w:rsid w:val="00CF73AE"/>
    <w:rsid w:val="00D040DD"/>
    <w:rsid w:val="00D07F46"/>
    <w:rsid w:val="00D12A2B"/>
    <w:rsid w:val="00D13986"/>
    <w:rsid w:val="00D20C94"/>
    <w:rsid w:val="00D25200"/>
    <w:rsid w:val="00D25F28"/>
    <w:rsid w:val="00D26279"/>
    <w:rsid w:val="00D262E9"/>
    <w:rsid w:val="00D271BB"/>
    <w:rsid w:val="00D27973"/>
    <w:rsid w:val="00D3124A"/>
    <w:rsid w:val="00D31BA1"/>
    <w:rsid w:val="00D3300A"/>
    <w:rsid w:val="00D33DFB"/>
    <w:rsid w:val="00D50F46"/>
    <w:rsid w:val="00D559EE"/>
    <w:rsid w:val="00D563FA"/>
    <w:rsid w:val="00D5777E"/>
    <w:rsid w:val="00D66223"/>
    <w:rsid w:val="00D770D1"/>
    <w:rsid w:val="00D8084C"/>
    <w:rsid w:val="00D8694F"/>
    <w:rsid w:val="00D903A9"/>
    <w:rsid w:val="00DA41E3"/>
    <w:rsid w:val="00DA4E55"/>
    <w:rsid w:val="00DA7C0C"/>
    <w:rsid w:val="00DB0550"/>
    <w:rsid w:val="00DB2EC8"/>
    <w:rsid w:val="00DB4C3C"/>
    <w:rsid w:val="00DB5695"/>
    <w:rsid w:val="00DC4155"/>
    <w:rsid w:val="00DC440D"/>
    <w:rsid w:val="00DC5B3B"/>
    <w:rsid w:val="00DD129F"/>
    <w:rsid w:val="00DD1FAB"/>
    <w:rsid w:val="00DD263B"/>
    <w:rsid w:val="00DD685B"/>
    <w:rsid w:val="00DE0020"/>
    <w:rsid w:val="00DE40E0"/>
    <w:rsid w:val="00DE479F"/>
    <w:rsid w:val="00DF42FF"/>
    <w:rsid w:val="00DF4DD4"/>
    <w:rsid w:val="00DF5285"/>
    <w:rsid w:val="00DF5B53"/>
    <w:rsid w:val="00DF5CA0"/>
    <w:rsid w:val="00DF6A25"/>
    <w:rsid w:val="00E003DF"/>
    <w:rsid w:val="00E00EA3"/>
    <w:rsid w:val="00E01C0E"/>
    <w:rsid w:val="00E03F9A"/>
    <w:rsid w:val="00E04694"/>
    <w:rsid w:val="00E061E4"/>
    <w:rsid w:val="00E11D2E"/>
    <w:rsid w:val="00E125EE"/>
    <w:rsid w:val="00E12B1E"/>
    <w:rsid w:val="00E1438A"/>
    <w:rsid w:val="00E14EC2"/>
    <w:rsid w:val="00E17262"/>
    <w:rsid w:val="00E17C35"/>
    <w:rsid w:val="00E17D21"/>
    <w:rsid w:val="00E24880"/>
    <w:rsid w:val="00E253A2"/>
    <w:rsid w:val="00E2708E"/>
    <w:rsid w:val="00E3309D"/>
    <w:rsid w:val="00E342F6"/>
    <w:rsid w:val="00E50156"/>
    <w:rsid w:val="00E53470"/>
    <w:rsid w:val="00E539F6"/>
    <w:rsid w:val="00E641C2"/>
    <w:rsid w:val="00E6519D"/>
    <w:rsid w:val="00E67696"/>
    <w:rsid w:val="00E71212"/>
    <w:rsid w:val="00E71A58"/>
    <w:rsid w:val="00E72A7A"/>
    <w:rsid w:val="00E73614"/>
    <w:rsid w:val="00E75C94"/>
    <w:rsid w:val="00E83AB5"/>
    <w:rsid w:val="00E83E46"/>
    <w:rsid w:val="00E84A2B"/>
    <w:rsid w:val="00E907D8"/>
    <w:rsid w:val="00E93820"/>
    <w:rsid w:val="00E93F6D"/>
    <w:rsid w:val="00E9519C"/>
    <w:rsid w:val="00E96E34"/>
    <w:rsid w:val="00EA0C68"/>
    <w:rsid w:val="00EB68E4"/>
    <w:rsid w:val="00EC03D7"/>
    <w:rsid w:val="00EC0592"/>
    <w:rsid w:val="00EC115B"/>
    <w:rsid w:val="00EC33ED"/>
    <w:rsid w:val="00ED62C6"/>
    <w:rsid w:val="00ED64C1"/>
    <w:rsid w:val="00EE1958"/>
    <w:rsid w:val="00EE3446"/>
    <w:rsid w:val="00EE3E78"/>
    <w:rsid w:val="00EE4B1B"/>
    <w:rsid w:val="00EF0294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071F6"/>
    <w:rsid w:val="00F130E9"/>
    <w:rsid w:val="00F14EF0"/>
    <w:rsid w:val="00F15431"/>
    <w:rsid w:val="00F15AAA"/>
    <w:rsid w:val="00F15BEF"/>
    <w:rsid w:val="00F1639F"/>
    <w:rsid w:val="00F24407"/>
    <w:rsid w:val="00F24FAA"/>
    <w:rsid w:val="00F312B4"/>
    <w:rsid w:val="00F32BBB"/>
    <w:rsid w:val="00F3364D"/>
    <w:rsid w:val="00F37293"/>
    <w:rsid w:val="00F437CC"/>
    <w:rsid w:val="00F44D24"/>
    <w:rsid w:val="00F47067"/>
    <w:rsid w:val="00F510D8"/>
    <w:rsid w:val="00F525EB"/>
    <w:rsid w:val="00F54FF4"/>
    <w:rsid w:val="00F63DDE"/>
    <w:rsid w:val="00F63FB7"/>
    <w:rsid w:val="00F64334"/>
    <w:rsid w:val="00F649D2"/>
    <w:rsid w:val="00F64B7F"/>
    <w:rsid w:val="00F6602B"/>
    <w:rsid w:val="00F72119"/>
    <w:rsid w:val="00F7312B"/>
    <w:rsid w:val="00F731B6"/>
    <w:rsid w:val="00F73A0C"/>
    <w:rsid w:val="00F756DB"/>
    <w:rsid w:val="00F760F5"/>
    <w:rsid w:val="00F76AAE"/>
    <w:rsid w:val="00F77CB6"/>
    <w:rsid w:val="00F85066"/>
    <w:rsid w:val="00F91B42"/>
    <w:rsid w:val="00F9241A"/>
    <w:rsid w:val="00F943EC"/>
    <w:rsid w:val="00F96717"/>
    <w:rsid w:val="00FA16F5"/>
    <w:rsid w:val="00FA1FD4"/>
    <w:rsid w:val="00FA2B9F"/>
    <w:rsid w:val="00FA5D4D"/>
    <w:rsid w:val="00FA6941"/>
    <w:rsid w:val="00FB1D79"/>
    <w:rsid w:val="00FC079A"/>
    <w:rsid w:val="00FC0E5F"/>
    <w:rsid w:val="00FC1A95"/>
    <w:rsid w:val="00FC3FCB"/>
    <w:rsid w:val="00FC56DE"/>
    <w:rsid w:val="00FC684B"/>
    <w:rsid w:val="00FC72F6"/>
    <w:rsid w:val="00FD18B0"/>
    <w:rsid w:val="00FD33AA"/>
    <w:rsid w:val="00FD3E0F"/>
    <w:rsid w:val="00FD573D"/>
    <w:rsid w:val="00FE1335"/>
    <w:rsid w:val="00FE2F78"/>
    <w:rsid w:val="00FF1247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3563138F"/>
  <w15:docId w15:val="{4DF688C0-4C65-4263-8667-7431B5625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231723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ap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231723"/>
    <w:rPr>
      <w:rFonts w:ascii="Arial" w:eastAsia="MS Gothic" w:hAnsi="Arial"/>
      <w:b/>
      <w:bCs/>
      <w:cap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04791"/>
    <w:pPr>
      <w:autoSpaceDE w:val="0"/>
      <w:autoSpaceDN w:val="0"/>
      <w:adjustRightInd w:val="0"/>
      <w:spacing w:before="120" w:after="280" w:line="288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33C97"/>
    <w:pPr>
      <w:spacing w:after="120" w:line="300" w:lineRule="exact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33C97"/>
    <w:rPr>
      <w:rFonts w:ascii="Arial" w:hAnsi="Arial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5705F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csu/czso/poznamka-ke-spotrebitelskym-cenam-energii-listopad-2022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db.czso.cz/vdbvo2/faces/cs/index.jsf?page=statistiky&amp;katalog=31779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ec.europa.eu/eurostat/web/hicp/data/main-table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zso.cz/csu/czso/metodicke-poznamky-k-indexu-spotrebitelskych-cen-imputovane-najemne" TargetMode="External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67EDD-8E63-4CF6-9FD9-44FB427F4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458</TotalTime>
  <Pages>2</Pages>
  <Words>861</Words>
  <Characters>5085</Characters>
  <Application>Microsoft Office Word</Application>
  <DocSecurity>0</DocSecurity>
  <Lines>42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5935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Henkrichová Jana</cp:lastModifiedBy>
  <cp:revision>210</cp:revision>
  <cp:lastPrinted>2017-01-18T13:33:00Z</cp:lastPrinted>
  <dcterms:created xsi:type="dcterms:W3CDTF">2017-02-09T16:27:00Z</dcterms:created>
  <dcterms:modified xsi:type="dcterms:W3CDTF">2022-12-13T10:36:00Z</dcterms:modified>
</cp:coreProperties>
</file>