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8E156" w14:textId="77777777" w:rsidR="00693FEC" w:rsidRPr="00F204DA" w:rsidRDefault="00693FEC" w:rsidP="00693FEC">
      <w:pPr>
        <w:pStyle w:val="Nadpis1"/>
      </w:pPr>
      <w:bookmarkStart w:id="0" w:name="_Toc193366675"/>
      <w:bookmarkStart w:id="1" w:name="_Toc176767109"/>
      <w:r>
        <w:t>4</w:t>
      </w:r>
      <w:bookmarkStart w:id="2" w:name="_Toc19090679"/>
      <w:bookmarkStart w:id="3" w:name="_Toc74643856"/>
      <w:bookmarkStart w:id="4" w:name="_Toc42852411"/>
      <w:bookmarkStart w:id="5" w:name="_Toc74643857"/>
      <w:bookmarkEnd w:id="2"/>
      <w:r>
        <w:t>. Vnější vztahy</w:t>
      </w:r>
      <w:bookmarkEnd w:id="0"/>
    </w:p>
    <w:tbl>
      <w:tblPr>
        <w:tblW w:w="9677" w:type="dxa"/>
        <w:tblInd w:w="-1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8"/>
        <w:gridCol w:w="252"/>
        <w:gridCol w:w="2811"/>
        <w:gridCol w:w="57"/>
        <w:gridCol w:w="4809"/>
      </w:tblGrid>
      <w:tr w:rsidR="00693FEC" w14:paraId="70C9A9A8" w14:textId="77777777" w:rsidTr="00247EE7">
        <w:trPr>
          <w:trHeight w:val="145"/>
        </w:trPr>
        <w:tc>
          <w:tcPr>
            <w:tcW w:w="1748" w:type="dxa"/>
            <w:hideMark/>
          </w:tcPr>
          <w:p w14:paraId="78E97B6D" w14:textId="77777777" w:rsidR="00693FEC" w:rsidRDefault="00693FEC" w:rsidP="00247EE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Vývoz loni rostl.</w:t>
            </w:r>
          </w:p>
        </w:tc>
        <w:tc>
          <w:tcPr>
            <w:tcW w:w="252" w:type="dxa"/>
          </w:tcPr>
          <w:p w14:paraId="303106F9" w14:textId="77777777" w:rsidR="00693FEC" w:rsidRDefault="00693FEC" w:rsidP="00247EE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77" w:type="dxa"/>
            <w:gridSpan w:val="3"/>
            <w:hideMark/>
          </w:tcPr>
          <w:p w14:paraId="63E55A64" w14:textId="77777777" w:rsidR="00693FEC" w:rsidRDefault="00693FEC" w:rsidP="00247EE7">
            <w:pPr>
              <w:spacing w:after="18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Celková hodnota vývozu zboží</w:t>
            </w:r>
            <w:r>
              <w:rPr>
                <w:rStyle w:val="Znakapoznpodarou"/>
                <w:spacing w:val="-4"/>
                <w:lang w:eastAsia="en-US"/>
              </w:rPr>
              <w:footnoteReference w:id="1"/>
            </w:r>
            <w:r>
              <w:rPr>
                <w:spacing w:val="-4"/>
                <w:lang w:eastAsia="en-US"/>
              </w:rPr>
              <w:t xml:space="preserve"> v běžných cenách v roce 2024 dosáhla 4 649,1 mld. korun a meziročně byla vyšší o 206,7 mld. (4,7 %). Ceny zahraničního obchodu navázaly loni na předchozí turbulentní vývoj přírůstkem</w:t>
            </w:r>
            <w:r>
              <w:rPr>
                <w:rStyle w:val="Znakapoznpodarou"/>
                <w:spacing w:val="-4"/>
                <w:lang w:eastAsia="en-US"/>
              </w:rPr>
              <w:footnoteReference w:id="2"/>
            </w:r>
            <w:r>
              <w:rPr>
                <w:spacing w:val="-4"/>
                <w:lang w:eastAsia="en-US"/>
              </w:rPr>
              <w:t xml:space="preserve">, takže velkou část ze solidního růstu exportu lze přičíst cenovým posunům. V průběhu roku se meziroční dynamika vývozu značně proměňovala (−0,2 %, 4,4 % a 10,5 % v 1. až 3. kvartálu). V samotném 4. čtvrtletí pak přírůstek exportu zboží opět oslabil na 4,5 % a vývoz dosáhl celkem 1 184,2 mld. korun (+51,2 mld.). Podle sezónně očištěných údajů export zboží ve 4. čtvrtletí mezičtvrtletně klesl o 0,6 %. Šlo o první pokles od 3. čtvrtletí 2023.   </w:t>
            </w:r>
          </w:p>
        </w:tc>
      </w:tr>
      <w:tr w:rsidR="00693FEC" w14:paraId="6EA43EA2" w14:textId="77777777" w:rsidTr="00247EE7">
        <w:trPr>
          <w:trHeight w:val="150"/>
        </w:trPr>
        <w:tc>
          <w:tcPr>
            <w:tcW w:w="1748" w:type="dxa"/>
            <w:vMerge w:val="restart"/>
          </w:tcPr>
          <w:p w14:paraId="037E917D" w14:textId="77777777" w:rsidR="00693FEC" w:rsidRDefault="00693FEC" w:rsidP="00247EE7">
            <w:pPr>
              <w:pStyle w:val="Marginlie"/>
              <w:rPr>
                <w:lang w:eastAsia="en-US"/>
              </w:rPr>
            </w:pPr>
          </w:p>
        </w:tc>
        <w:tc>
          <w:tcPr>
            <w:tcW w:w="252" w:type="dxa"/>
            <w:vMerge w:val="restart"/>
          </w:tcPr>
          <w:p w14:paraId="29A01AD7" w14:textId="77777777" w:rsidR="00693FEC" w:rsidRDefault="00693FEC" w:rsidP="00247EE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77" w:type="dxa"/>
            <w:gridSpan w:val="3"/>
          </w:tcPr>
          <w:p w14:paraId="7E3266F2" w14:textId="77777777" w:rsidR="00693FEC" w:rsidRDefault="00693FEC" w:rsidP="00247EE7">
            <w:pPr>
              <w:spacing w:after="0"/>
              <w:rPr>
                <w:spacing w:val="-4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 xml:space="preserve">Graf č. 9 Vývoz a dovoz zboží </w:t>
            </w:r>
            <w:r>
              <w:rPr>
                <w:rFonts w:cs="Arial"/>
                <w:bCs/>
                <w:color w:val="000000"/>
                <w:szCs w:val="20"/>
                <w:lang w:eastAsia="en-US"/>
              </w:rPr>
              <w:t>(meziročně v %)</w:t>
            </w: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 xml:space="preserve"> a bilance zahraničního obchodu se zbožím </w:t>
            </w:r>
            <w:r>
              <w:rPr>
                <w:rFonts w:cs="Arial"/>
                <w:bCs/>
                <w:color w:val="000000"/>
                <w:szCs w:val="20"/>
                <w:lang w:eastAsia="en-US"/>
              </w:rPr>
              <w:t>(v mld. korun, pravá osa)</w:t>
            </w: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 xml:space="preserve"> </w:t>
            </w:r>
          </w:p>
        </w:tc>
      </w:tr>
      <w:tr w:rsidR="00693FEC" w14:paraId="6A7D6958" w14:textId="77777777" w:rsidTr="00247EE7">
        <w:tblPrEx>
          <w:tblCellMar>
            <w:left w:w="70" w:type="dxa"/>
            <w:right w:w="70" w:type="dxa"/>
          </w:tblCellMar>
        </w:tblPrEx>
        <w:trPr>
          <w:trHeight w:val="150"/>
        </w:trPr>
        <w:tc>
          <w:tcPr>
            <w:tcW w:w="1748" w:type="dxa"/>
            <w:vMerge/>
          </w:tcPr>
          <w:p w14:paraId="2E03BC45" w14:textId="77777777" w:rsidR="00693FEC" w:rsidRDefault="00693FEC" w:rsidP="00247EE7">
            <w:pPr>
              <w:pStyle w:val="Marginlie"/>
              <w:rPr>
                <w:lang w:eastAsia="en-US"/>
              </w:rPr>
            </w:pPr>
          </w:p>
        </w:tc>
        <w:tc>
          <w:tcPr>
            <w:tcW w:w="252" w:type="dxa"/>
            <w:vMerge/>
          </w:tcPr>
          <w:p w14:paraId="605A80CD" w14:textId="77777777" w:rsidR="00693FEC" w:rsidRDefault="00693FEC" w:rsidP="00247EE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77" w:type="dxa"/>
            <w:gridSpan w:val="3"/>
          </w:tcPr>
          <w:p w14:paraId="0B0C1B3B" w14:textId="77777777" w:rsidR="00693FEC" w:rsidRDefault="00693FEC" w:rsidP="00247EE7">
            <w:pPr>
              <w:spacing w:after="0"/>
              <w:rPr>
                <w:spacing w:val="-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403F450" wp14:editId="56C096C6">
                  <wp:extent cx="4752000" cy="3492000"/>
                  <wp:effectExtent l="0" t="0" r="0" b="0"/>
                  <wp:docPr id="11" name="Graf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693FEC" w14:paraId="5EE4C2EF" w14:textId="77777777" w:rsidTr="00247EE7">
        <w:trPr>
          <w:trHeight w:val="150"/>
        </w:trPr>
        <w:tc>
          <w:tcPr>
            <w:tcW w:w="1748" w:type="dxa"/>
            <w:vMerge/>
          </w:tcPr>
          <w:p w14:paraId="683F36AC" w14:textId="77777777" w:rsidR="00693FEC" w:rsidRDefault="00693FEC" w:rsidP="00247EE7">
            <w:pPr>
              <w:pStyle w:val="Marginlie"/>
              <w:rPr>
                <w:lang w:eastAsia="en-US"/>
              </w:rPr>
            </w:pPr>
          </w:p>
        </w:tc>
        <w:tc>
          <w:tcPr>
            <w:tcW w:w="252" w:type="dxa"/>
            <w:vMerge/>
          </w:tcPr>
          <w:p w14:paraId="5C215F4A" w14:textId="77777777" w:rsidR="00693FEC" w:rsidRDefault="00693FEC" w:rsidP="00247EE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77" w:type="dxa"/>
            <w:gridSpan w:val="3"/>
          </w:tcPr>
          <w:p w14:paraId="07518EED" w14:textId="77777777" w:rsidR="00693FEC" w:rsidRDefault="00693FEC" w:rsidP="00247EE7">
            <w:pPr>
              <w:spacing w:after="180"/>
              <w:jc w:val="right"/>
              <w:rPr>
                <w:spacing w:val="-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Zdroj: ČSÚ</w:t>
            </w:r>
          </w:p>
        </w:tc>
      </w:tr>
      <w:tr w:rsidR="00693FEC" w14:paraId="3E7ED250" w14:textId="77777777" w:rsidTr="00247EE7">
        <w:trPr>
          <w:trHeight w:val="145"/>
        </w:trPr>
        <w:tc>
          <w:tcPr>
            <w:tcW w:w="1748" w:type="dxa"/>
          </w:tcPr>
          <w:p w14:paraId="09172471" w14:textId="77777777" w:rsidR="00693FEC" w:rsidRDefault="00693FEC" w:rsidP="00247EE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Výrazněji rostl vývoz mimo EU.</w:t>
            </w:r>
          </w:p>
        </w:tc>
        <w:tc>
          <w:tcPr>
            <w:tcW w:w="252" w:type="dxa"/>
          </w:tcPr>
          <w:p w14:paraId="57DDBFD1" w14:textId="77777777" w:rsidR="00693FEC" w:rsidRDefault="00693FEC" w:rsidP="00247EE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77" w:type="dxa"/>
            <w:gridSpan w:val="3"/>
          </w:tcPr>
          <w:p w14:paraId="71149AAD" w14:textId="32FB27C4" w:rsidR="00693FEC" w:rsidRDefault="00693FEC" w:rsidP="003A2B5E">
            <w:pPr>
              <w:spacing w:after="22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V kumulaci za celý rok 2024 výrazně vzrostl export do zemí mimo EU (+141,9 mld. korun, 16,2 %). Naopak vývoz do EU se zvýšil jen mírně (+64,6 mld. korun, 1,8 %). Mezi destinacemi, kam se loni nejvíce zvýšila hodnota exportu, figurovala na prvním místě Velká Británie (+39,3 mld. korun, 22,0 %)</w:t>
            </w:r>
            <w:r>
              <w:rPr>
                <w:rStyle w:val="Znakapoznpodarou"/>
                <w:spacing w:val="-4"/>
                <w:lang w:eastAsia="en-US"/>
              </w:rPr>
              <w:footnoteReference w:id="3"/>
            </w:r>
            <w:r>
              <w:rPr>
                <w:spacing w:val="-4"/>
                <w:lang w:eastAsia="en-US"/>
              </w:rPr>
              <w:t xml:space="preserve"> a vysoko se umístily rovněž Spojené státy americké (+21,1 mld., 18,8 %). V absolutních číslech byl výrazný i přírůstek vývozu do Polska </w:t>
            </w:r>
            <w:r>
              <w:rPr>
                <w:spacing w:val="-4"/>
                <w:lang w:eastAsia="en-US"/>
              </w:rPr>
              <w:br/>
              <w:t>(+24,6 mld. korun, 7,7 %) a Německa (+19,1 mld., 1,4 %), ale zejména u Německa zůstává dynamika exportu relativně nízká. Okolo úrovně 10 mld. korun se pohybovaly přírůstky exportu do Turecka (+11,1 mld., 16,9 %), Číny (+9,9 mld., 23,0 %), Singapuru (+9,5 mld., 129,5 %) a Ukrajiny (+9,2 mld., 25,7 %). K menším exportním destinacím, u kterých byl loni zaznamenán procentuálně výrazný přírůstek vývozu, patřily Japonsko (+5,9 mld., 49,6 %)</w:t>
            </w:r>
            <w:r>
              <w:rPr>
                <w:rStyle w:val="Znakapoznpodarou"/>
                <w:spacing w:val="-4"/>
                <w:lang w:eastAsia="en-US"/>
              </w:rPr>
              <w:footnoteReference w:id="4"/>
            </w:r>
            <w:r>
              <w:rPr>
                <w:spacing w:val="-4"/>
                <w:lang w:eastAsia="en-US"/>
              </w:rPr>
              <w:t>, Spojené arabské emiráty (+4,4 mld., 29,5 %), Ázerbájdžán (+2,0 mld., 46,7 %)</w:t>
            </w:r>
            <w:r>
              <w:rPr>
                <w:rStyle w:val="Znakapoznpodarou"/>
                <w:spacing w:val="-4"/>
                <w:lang w:eastAsia="en-US"/>
              </w:rPr>
              <w:footnoteReference w:id="5"/>
            </w:r>
            <w:r>
              <w:rPr>
                <w:spacing w:val="-4"/>
                <w:lang w:eastAsia="en-US"/>
              </w:rPr>
              <w:t xml:space="preserve"> nebo </w:t>
            </w:r>
            <w:r>
              <w:rPr>
                <w:spacing w:val="-4"/>
                <w:lang w:eastAsia="en-US"/>
              </w:rPr>
              <w:lastRenderedPageBreak/>
              <w:t>Malajsie (+1,9 mld., 57,1 %)</w:t>
            </w:r>
            <w:r>
              <w:rPr>
                <w:rStyle w:val="Znakapoznpodarou"/>
                <w:spacing w:val="-4"/>
                <w:lang w:eastAsia="en-US"/>
              </w:rPr>
              <w:footnoteReference w:id="6"/>
            </w:r>
            <w:r>
              <w:rPr>
                <w:spacing w:val="-4"/>
                <w:lang w:eastAsia="en-US"/>
              </w:rPr>
              <w:t xml:space="preserve">. Loni nebylo zaznamenáno mnoho poklesů exportu </w:t>
            </w:r>
            <w:r>
              <w:rPr>
                <w:spacing w:val="-4"/>
                <w:lang w:eastAsia="en-US"/>
              </w:rPr>
              <w:br/>
              <w:t>a nejvýraznější byly v případě vývozu do Švédska (−3,6 mld. korun, −4,9 %), Finska (−3,1</w:t>
            </w:r>
            <w:r w:rsidR="003A2B5E">
              <w:rPr>
                <w:spacing w:val="-4"/>
                <w:lang w:eastAsia="en-US"/>
              </w:rPr>
              <w:t> </w:t>
            </w:r>
            <w:r>
              <w:rPr>
                <w:spacing w:val="-4"/>
                <w:lang w:eastAsia="en-US"/>
              </w:rPr>
              <w:t xml:space="preserve">mld., −13,4 %), Rakouska (−2,9 mld., −1,6 %) a Nizozemska (−2,6 mld., −1,7 %).    </w:t>
            </w:r>
          </w:p>
        </w:tc>
      </w:tr>
      <w:tr w:rsidR="00693FEC" w14:paraId="6E43EEC9" w14:textId="77777777" w:rsidTr="00247EE7">
        <w:trPr>
          <w:trHeight w:val="145"/>
        </w:trPr>
        <w:tc>
          <w:tcPr>
            <w:tcW w:w="1748" w:type="dxa"/>
          </w:tcPr>
          <w:p w14:paraId="22571D75" w14:textId="77777777" w:rsidR="00693FEC" w:rsidRDefault="00693FEC" w:rsidP="00247EE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Vyšší růst exportu mimo EU přetrval i na konci roku.</w:t>
            </w:r>
          </w:p>
        </w:tc>
        <w:tc>
          <w:tcPr>
            <w:tcW w:w="252" w:type="dxa"/>
          </w:tcPr>
          <w:p w14:paraId="0311D58B" w14:textId="77777777" w:rsidR="00693FEC" w:rsidRDefault="00693FEC" w:rsidP="00247EE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77" w:type="dxa"/>
            <w:gridSpan w:val="3"/>
          </w:tcPr>
          <w:p w14:paraId="5E39E646" w14:textId="166DA4B8" w:rsidR="00693FEC" w:rsidRDefault="00693FEC" w:rsidP="003A2B5E">
            <w:pPr>
              <w:spacing w:after="22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Rovněž v samotném 4. čtvrtletí 2024 přírůstek exportu do EU (+13,4 mld. korun, 1,5 %)</w:t>
            </w:r>
            <w:r w:rsidR="003A2B5E">
              <w:rPr>
                <w:spacing w:val="-4"/>
                <w:lang w:eastAsia="en-US"/>
              </w:rPr>
              <w:t> </w:t>
            </w:r>
            <w:r>
              <w:rPr>
                <w:spacing w:val="-4"/>
                <w:lang w:eastAsia="en-US"/>
              </w:rPr>
              <w:t xml:space="preserve">zaostával za vývozem do mimounijních zemí (+37,9 mld., 16,3 %). Nejvíce rostl export do Německa (viz Tabulka č. 2) a nadále vysoko figuroval přírůstek exportu do Velké Británie a Polska. Výrazně se na růstu exportu podílely mimounijní destinace – Spojené státy americké, Ukrajina, Izrael, Belgie nebo Turecko. Mezi menšinou zemí, kam meziročně export zboží klesl, vynikaly Francie a Itálie.   </w:t>
            </w:r>
          </w:p>
        </w:tc>
      </w:tr>
      <w:tr w:rsidR="00693FEC" w14:paraId="78704523" w14:textId="77777777" w:rsidTr="00247EE7">
        <w:trPr>
          <w:trHeight w:val="145"/>
        </w:trPr>
        <w:tc>
          <w:tcPr>
            <w:tcW w:w="1748" w:type="dxa"/>
          </w:tcPr>
          <w:p w14:paraId="3F2C8051" w14:textId="77777777" w:rsidR="00693FEC" w:rsidRDefault="00693FEC" w:rsidP="00247EE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Motorová vozidla v roce 2024 nejvíce přispěla k růstu vývozu…</w:t>
            </w:r>
          </w:p>
        </w:tc>
        <w:tc>
          <w:tcPr>
            <w:tcW w:w="252" w:type="dxa"/>
          </w:tcPr>
          <w:p w14:paraId="29438176" w14:textId="77777777" w:rsidR="00693FEC" w:rsidRDefault="00693FEC" w:rsidP="00247EE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77" w:type="dxa"/>
            <w:gridSpan w:val="3"/>
          </w:tcPr>
          <w:p w14:paraId="1DCA6423" w14:textId="77777777" w:rsidR="00693FEC" w:rsidRDefault="00693FEC" w:rsidP="00247EE7">
            <w:pPr>
              <w:spacing w:after="18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Nejvíce loni vzrostla hodnota exportu motorových vozidel (+74,6 mld. korun, 6,1 %), přírůstek ale oslabil ve srovnání s předchozími dvěma lety. Silně rostl také vývoz počítačů, elektronických a optických přístrojů (+56,1 mld. korun, 15,2 %), potravinářských výrobků (+21,5 mld., 12,8 %), elektrických zařízení (+15,9 mld., 3,5 %), chemických látek a přípravků (+14,3 mld., 6,9 %) a pryžových a plastových výrobků (+11,5 mld., 5,4 %). Rostl také export ostatních výrobků zpracovatelského průmyslu (+9,1 mld. korun, 9,3 %), oblasti sběru, přípravy k likvidaci a likvidaci odpadu (+7,5 mld., 19,1 %), základních farmaceutických výrobků a přípravků (+7,2 mld., 10,7 %), kovodělných výrobků (+6,8 mld., 2,5 %) nebo papíru a výrobků z něj (+5,3 mld., 6,7 %). Loni se nedařilo strojírenství, což také vedlo k poklesu exportu strojů a zařízení o 12,3 mld. korun (−2,4 %) a klesla také hodnota vývozu základních kovů (−9,4 mld., −5,9 %) a koksu a rafinovaných ropných produktů (−8,8 mld., −17,2 %). </w:t>
            </w:r>
          </w:p>
        </w:tc>
      </w:tr>
      <w:tr w:rsidR="00693FEC" w14:paraId="3A0F8C89" w14:textId="77777777" w:rsidTr="00247EE7">
        <w:trPr>
          <w:trHeight w:val="145"/>
        </w:trPr>
        <w:tc>
          <w:tcPr>
            <w:tcW w:w="1748" w:type="dxa"/>
          </w:tcPr>
          <w:p w14:paraId="06195949" w14:textId="77777777" w:rsidR="00693FEC" w:rsidRDefault="00693FEC" w:rsidP="00247EE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…v samotném 4. čtvrtletí byl ale jen mírný přírůstek jejich exportu.</w:t>
            </w:r>
          </w:p>
        </w:tc>
        <w:tc>
          <w:tcPr>
            <w:tcW w:w="252" w:type="dxa"/>
          </w:tcPr>
          <w:p w14:paraId="15830BE1" w14:textId="77777777" w:rsidR="00693FEC" w:rsidRDefault="00693FEC" w:rsidP="00247EE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77" w:type="dxa"/>
            <w:gridSpan w:val="3"/>
          </w:tcPr>
          <w:p w14:paraId="5F6B7FB8" w14:textId="77777777" w:rsidR="00693FEC" w:rsidRDefault="00693FEC" w:rsidP="00247EE7">
            <w:pPr>
              <w:spacing w:after="18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Ve 4. čtvrtletí výrazně oslabil růst exportu motorových vozidel, která v prvních třech čtvrtinách roku nejvíce přispívala k celkovému navýšení vývozu. Nejvíce tak v závěru roku rostl export počítačů, elektronických a optických přístrojů a zařízení (viz Tabulka č. 1), elektrických zařízení, elektřiny, plynu, páry a klimatizovaného vzduchu a potravinářských výrobků. Klesal vývoz menšiny druhů výrobků, nejvíce strojů a zařízení a koksu a rafinovaných ropných výrobků.</w:t>
            </w:r>
          </w:p>
        </w:tc>
      </w:tr>
      <w:tr w:rsidR="00693FEC" w14:paraId="442E3008" w14:textId="77777777" w:rsidTr="00247EE7">
        <w:trPr>
          <w:trHeight w:val="170"/>
        </w:trPr>
        <w:tc>
          <w:tcPr>
            <w:tcW w:w="4811" w:type="dxa"/>
            <w:gridSpan w:val="3"/>
            <w:hideMark/>
          </w:tcPr>
          <w:p w14:paraId="018F43AF" w14:textId="77777777" w:rsidR="00693FEC" w:rsidRDefault="00693FEC" w:rsidP="00247EE7">
            <w:pPr>
              <w:spacing w:after="0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Tabulka č. 1 Oddíly klasifikace CPA s největším </w:t>
            </w:r>
          </w:p>
          <w:p w14:paraId="702430DE" w14:textId="77777777" w:rsidR="00693FEC" w:rsidRDefault="00693FEC" w:rsidP="00247EE7">
            <w:pPr>
              <w:spacing w:after="0"/>
              <w:jc w:val="left"/>
              <w:rPr>
                <w:spacing w:val="-4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vlivem na vývoj vývozu zboží ve 4. čtvrtletí 2024 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US"/>
              </w:rPr>
              <w:t>(meziročně)</w:t>
            </w:r>
          </w:p>
        </w:tc>
        <w:tc>
          <w:tcPr>
            <w:tcW w:w="57" w:type="dxa"/>
          </w:tcPr>
          <w:p w14:paraId="37739981" w14:textId="77777777" w:rsidR="00693FEC" w:rsidRDefault="00693FEC" w:rsidP="00247EE7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4809" w:type="dxa"/>
            <w:hideMark/>
          </w:tcPr>
          <w:p w14:paraId="68D4BB9C" w14:textId="77777777" w:rsidR="00693FEC" w:rsidRDefault="00693FEC" w:rsidP="00247EE7">
            <w:pPr>
              <w:spacing w:after="0"/>
              <w:jc w:val="left"/>
              <w:rPr>
                <w:spacing w:val="-4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Tabulka č. 2 Země s největším vlivem na vývoj vývozu zboží ve 4. čtvrtletí 2024 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US"/>
              </w:rPr>
              <w:t>(meziročně)</w:t>
            </w:r>
          </w:p>
        </w:tc>
      </w:tr>
      <w:tr w:rsidR="00693FEC" w14:paraId="07DE2DF6" w14:textId="77777777" w:rsidTr="00247EE7">
        <w:trPr>
          <w:trHeight w:val="170"/>
        </w:trPr>
        <w:tc>
          <w:tcPr>
            <w:tcW w:w="4811" w:type="dxa"/>
            <w:gridSpan w:val="3"/>
            <w:hideMark/>
          </w:tcPr>
          <w:tbl>
            <w:tblPr>
              <w:tblW w:w="481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7"/>
              <w:gridCol w:w="700"/>
              <w:gridCol w:w="700"/>
            </w:tblGrid>
            <w:tr w:rsidR="00693FEC" w:rsidRPr="00CB4865" w14:paraId="574118D3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F56D03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3D837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mld. Kč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AA4CD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693FEC" w:rsidRPr="00CB4865" w14:paraId="5BDA3776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23403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Počítače, elektron. a opt. přístroje a zařízení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23D5F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+12,8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916BD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+12,8</w:t>
                  </w:r>
                </w:p>
              </w:tc>
            </w:tr>
            <w:tr w:rsidR="00693FEC" w:rsidRPr="00CB4865" w14:paraId="6F3C0C08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E8BCC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Elektrická zařízení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5FA75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+8,9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6432E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+8,0</w:t>
                  </w:r>
                </w:p>
              </w:tc>
            </w:tr>
            <w:tr w:rsidR="00693FEC" w:rsidRPr="00CB4865" w14:paraId="71AC13B5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68451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Elektřina, plyn, pára a klimatizovaný vzduch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2F098B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+6,7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DE58D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+52,7</w:t>
                  </w:r>
                </w:p>
              </w:tc>
            </w:tr>
            <w:tr w:rsidR="00693FEC" w:rsidRPr="00CB4865" w14:paraId="41B69699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CFD83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Potravinářské výrobky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6870B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+5,8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7A5F5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+12,8</w:t>
                  </w:r>
                </w:p>
              </w:tc>
            </w:tr>
            <w:tr w:rsidR="00693FEC" w:rsidRPr="00CB4865" w14:paraId="479B4141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BC4952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Chemické látky a přípravky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58B2F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+4,1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94CFC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+7,6</w:t>
                  </w:r>
                </w:p>
              </w:tc>
            </w:tr>
            <w:tr w:rsidR="00693FEC" w:rsidRPr="00CB4865" w14:paraId="67FD5344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32F0F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Pryžové a plastové výrobky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12120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+2,7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097D3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+5,4</w:t>
                  </w:r>
                </w:p>
              </w:tc>
            </w:tr>
            <w:tr w:rsidR="00693FEC" w:rsidRPr="00CB4865" w14:paraId="5DA06446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03AD4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Ostatní výrobky zpracovatelského průmyslu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DE321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+2,7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4F5C9A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+10,4</w:t>
                  </w:r>
                </w:p>
              </w:tc>
            </w:tr>
            <w:tr w:rsidR="00693FEC" w:rsidRPr="00CB4865" w14:paraId="2D45527A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33B3A9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Motorová vozidla (kromě motocyklů) a díly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03940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+2,4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14AF5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+0,7</w:t>
                  </w:r>
                </w:p>
              </w:tc>
            </w:tr>
            <w:tr w:rsidR="00693FEC" w:rsidRPr="00CB4865" w14:paraId="5ED089A2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9D202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Kovodělné výrobky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7A7FB3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1E23A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+2,8</w:t>
                  </w:r>
                </w:p>
              </w:tc>
            </w:tr>
            <w:tr w:rsidR="00693FEC" w:rsidRPr="00CB4865" w14:paraId="77F2811B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CFF65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Ostatní dopravní prostředky a zařízení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1E7C9E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9F7258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+7,9</w:t>
                  </w:r>
                </w:p>
              </w:tc>
            </w:tr>
            <w:tr w:rsidR="00693FEC" w:rsidRPr="00CB4865" w14:paraId="19F573BA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4FD6F4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Papír a výrobky z papíru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62914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2C753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+7,7</w:t>
                  </w:r>
                </w:p>
              </w:tc>
            </w:tr>
            <w:tr w:rsidR="00693FEC" w:rsidRPr="00CB4865" w14:paraId="2FCC6A41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55F5D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Oděvy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87259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+0,8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17B6CB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+12,2</w:t>
                  </w:r>
                </w:p>
              </w:tc>
            </w:tr>
            <w:tr w:rsidR="00693FEC" w:rsidRPr="00CB4865" w14:paraId="7DEDD5FF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1517A7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Usně a související výrobky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94BEA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1,0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23F94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19,7</w:t>
                  </w:r>
                </w:p>
              </w:tc>
            </w:tr>
            <w:tr w:rsidR="00693FEC" w:rsidRPr="00CB4865" w14:paraId="215443CF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7918C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Koks a rafinované ropné produkty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76FB6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1,3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E5A0BD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10,4</w:t>
                  </w:r>
                </w:p>
              </w:tc>
            </w:tr>
            <w:tr w:rsidR="00693FEC" w:rsidRPr="00CB4865" w14:paraId="100CAC66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A2B2D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Stroje a zařízení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7220E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2,8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826294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</w:tr>
          </w:tbl>
          <w:p w14:paraId="513E765B" w14:textId="77777777" w:rsidR="00693FEC" w:rsidRDefault="00693FEC" w:rsidP="00247EE7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57" w:type="dxa"/>
          </w:tcPr>
          <w:p w14:paraId="644F6ED4" w14:textId="77777777" w:rsidR="00693FEC" w:rsidRDefault="00693FEC" w:rsidP="00247EE7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4809" w:type="dxa"/>
            <w:hideMark/>
          </w:tcPr>
          <w:tbl>
            <w:tblPr>
              <w:tblW w:w="47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62"/>
              <w:gridCol w:w="700"/>
              <w:gridCol w:w="700"/>
            </w:tblGrid>
            <w:tr w:rsidR="00693FEC" w:rsidRPr="00CB4865" w14:paraId="358FD6A0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5B98D3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ascii="Times New Roman" w:hAnsi="Times New Roman"/>
                      <w:sz w:val="24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2C061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mld. Kč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9B0807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693FEC" w:rsidRPr="00CB4865" w14:paraId="406E1580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9891F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Německo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7E51A9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+6,0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FB3B6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+1,8</w:t>
                  </w:r>
                </w:p>
              </w:tc>
            </w:tr>
            <w:tr w:rsidR="00693FEC" w:rsidRPr="00CB4865" w14:paraId="54AAAABE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B94CF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Velká Británie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8A3B7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+5,8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D6724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+12,7</w:t>
                  </w:r>
                </w:p>
              </w:tc>
            </w:tr>
            <w:tr w:rsidR="00693FEC" w:rsidRPr="00CB4865" w14:paraId="6DCFD59C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50C9F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Polsko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A2022E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+5,7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3A976D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+6,5</w:t>
                  </w:r>
                </w:p>
              </w:tc>
            </w:tr>
            <w:tr w:rsidR="00693FEC" w:rsidRPr="00CB4865" w14:paraId="2EB532E3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42B788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Spojené státy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americké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87D1F7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+5,5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EF0B5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+19,3</w:t>
                  </w:r>
                </w:p>
              </w:tc>
            </w:tr>
            <w:tr w:rsidR="00693FEC" w:rsidRPr="00CB4865" w14:paraId="1AE29D6C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DEDDA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Izrael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AB7A9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+4,1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4A4C9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+116,4</w:t>
                  </w:r>
                </w:p>
              </w:tc>
            </w:tr>
            <w:tr w:rsidR="00693FEC" w:rsidRPr="00CB4865" w14:paraId="1C4FD5DC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BDE904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Ukrajina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0FB72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+4,1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B18B7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+37,3</w:t>
                  </w:r>
                </w:p>
              </w:tc>
            </w:tr>
            <w:tr w:rsidR="00693FEC" w:rsidRPr="00CB4865" w14:paraId="14EFA263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C274C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Belgie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C684C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+3,6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A15B5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+14,7</w:t>
                  </w:r>
                </w:p>
              </w:tc>
            </w:tr>
            <w:tr w:rsidR="00693FEC" w:rsidRPr="00CB4865" w14:paraId="2F7C2B2B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57D71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Turecko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A2AD9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+3,0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EA95A8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+16,0</w:t>
                  </w:r>
                </w:p>
              </w:tc>
            </w:tr>
            <w:tr w:rsidR="00693FEC" w:rsidRPr="00CB4865" w14:paraId="4FC098FE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0E1FE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Rakousko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AB127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+2,7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B03E1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+6,4</w:t>
                  </w:r>
                </w:p>
              </w:tc>
            </w:tr>
            <w:tr w:rsidR="00693FEC" w:rsidRPr="00CB4865" w14:paraId="1A427EC7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A2257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Singapur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423D2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+2,0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EFC51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+121,9</w:t>
                  </w:r>
                </w:p>
              </w:tc>
            </w:tr>
            <w:tr w:rsidR="00693FEC" w:rsidRPr="00CB4865" w14:paraId="606AF38E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6597C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Čína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39E93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72D8A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+14,1</w:t>
                  </w:r>
                </w:p>
              </w:tc>
            </w:tr>
            <w:tr w:rsidR="00693FEC" w:rsidRPr="00CB4865" w14:paraId="2C0F11BE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0E7910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Ázerbájdžán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71290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FD730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+94,5</w:t>
                  </w:r>
                </w:p>
              </w:tc>
            </w:tr>
            <w:tr w:rsidR="00693FEC" w:rsidRPr="00CB4865" w14:paraId="490238D1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287047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Jižní Korea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82DDA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B41122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+40,1</w:t>
                  </w:r>
                </w:p>
              </w:tc>
            </w:tr>
            <w:tr w:rsidR="00693FEC" w:rsidRPr="00CB4865" w14:paraId="071F14C6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4A803E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Itálie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26ADF4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EC44FA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2,6</w:t>
                  </w:r>
                </w:p>
              </w:tc>
            </w:tr>
            <w:tr w:rsidR="00693FEC" w:rsidRPr="00CB4865" w14:paraId="3E3BFC01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C9D43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Francie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9E90F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EB67F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4,7</w:t>
                  </w:r>
                </w:p>
              </w:tc>
            </w:tr>
          </w:tbl>
          <w:p w14:paraId="1E3F9259" w14:textId="77777777" w:rsidR="00693FEC" w:rsidRDefault="00693FEC" w:rsidP="00247EE7">
            <w:pPr>
              <w:spacing w:after="0"/>
              <w:rPr>
                <w:spacing w:val="-4"/>
                <w:lang w:eastAsia="en-US"/>
              </w:rPr>
            </w:pPr>
          </w:p>
        </w:tc>
      </w:tr>
      <w:tr w:rsidR="00693FEC" w14:paraId="39461F37" w14:textId="77777777" w:rsidTr="00247EE7">
        <w:trPr>
          <w:trHeight w:val="170"/>
        </w:trPr>
        <w:tc>
          <w:tcPr>
            <w:tcW w:w="4811" w:type="dxa"/>
            <w:gridSpan w:val="3"/>
            <w:hideMark/>
          </w:tcPr>
          <w:p w14:paraId="7195F0BC" w14:textId="77777777" w:rsidR="00693FEC" w:rsidRDefault="00693FEC" w:rsidP="00247EE7">
            <w:pPr>
              <w:jc w:val="right"/>
              <w:rPr>
                <w:spacing w:val="-4"/>
                <w:sz w:val="16"/>
                <w:szCs w:val="16"/>
                <w:lang w:eastAsia="en-US"/>
              </w:rPr>
            </w:pPr>
            <w:r>
              <w:rPr>
                <w:spacing w:val="-4"/>
                <w:sz w:val="16"/>
                <w:szCs w:val="16"/>
                <w:lang w:eastAsia="en-US"/>
              </w:rPr>
              <w:t>Zdroj: ČSÚ</w:t>
            </w:r>
          </w:p>
        </w:tc>
        <w:tc>
          <w:tcPr>
            <w:tcW w:w="57" w:type="dxa"/>
          </w:tcPr>
          <w:p w14:paraId="2041493F" w14:textId="77777777" w:rsidR="00693FEC" w:rsidRDefault="00693FEC" w:rsidP="00247EE7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4809" w:type="dxa"/>
            <w:hideMark/>
          </w:tcPr>
          <w:p w14:paraId="03A3AD90" w14:textId="77777777" w:rsidR="00693FEC" w:rsidRDefault="00693FEC" w:rsidP="00247EE7">
            <w:pPr>
              <w:spacing w:after="0"/>
              <w:ind w:right="21"/>
              <w:jc w:val="right"/>
              <w:rPr>
                <w:spacing w:val="-4"/>
                <w:lang w:eastAsia="en-US"/>
              </w:rPr>
            </w:pPr>
            <w:r>
              <w:rPr>
                <w:spacing w:val="-4"/>
                <w:sz w:val="16"/>
                <w:szCs w:val="16"/>
                <w:lang w:eastAsia="en-US"/>
              </w:rPr>
              <w:t>Zdroj: ČSÚ</w:t>
            </w:r>
          </w:p>
        </w:tc>
      </w:tr>
      <w:tr w:rsidR="00693FEC" w14:paraId="7CD4AEEF" w14:textId="77777777" w:rsidTr="00247EE7">
        <w:trPr>
          <w:trHeight w:val="145"/>
        </w:trPr>
        <w:tc>
          <w:tcPr>
            <w:tcW w:w="1748" w:type="dxa"/>
            <w:hideMark/>
          </w:tcPr>
          <w:p w14:paraId="522859C5" w14:textId="77777777" w:rsidR="00693FEC" w:rsidRDefault="00693FEC" w:rsidP="00247EE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Dovoz loni vzrostl mírně.</w:t>
            </w:r>
          </w:p>
        </w:tc>
        <w:tc>
          <w:tcPr>
            <w:tcW w:w="252" w:type="dxa"/>
          </w:tcPr>
          <w:p w14:paraId="7108BDC5" w14:textId="77777777" w:rsidR="00693FEC" w:rsidRDefault="00693FEC" w:rsidP="00247EE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77" w:type="dxa"/>
            <w:gridSpan w:val="3"/>
            <w:hideMark/>
          </w:tcPr>
          <w:p w14:paraId="77651B49" w14:textId="7B65AB91" w:rsidR="00693FEC" w:rsidRDefault="00693FEC" w:rsidP="003A2B5E">
            <w:pPr>
              <w:spacing w:after="18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Hodnota dovozu zboží loni celkem vzrostla o 101,2 mld. korun (2,3 %) a dosáhla 4 421,1 mld. Ceny dovozu rostly mírněji než u vývozu</w:t>
            </w:r>
            <w:r>
              <w:rPr>
                <w:rStyle w:val="Znakapoznpodarou"/>
                <w:spacing w:val="-4"/>
                <w:lang w:eastAsia="en-US"/>
              </w:rPr>
              <w:footnoteReference w:id="7"/>
            </w:r>
            <w:r>
              <w:rPr>
                <w:spacing w:val="-4"/>
                <w:lang w:eastAsia="en-US"/>
              </w:rPr>
              <w:t>. Meziroční růst importu byl výraznější ve druhé polovině roku (−4,0 %, 1,4 %, 7,5 % a 5,0 % v 1. až 4. čtvrtletí). Ve 4.</w:t>
            </w:r>
            <w:r w:rsidR="003A2B5E">
              <w:rPr>
                <w:spacing w:val="-4"/>
                <w:lang w:eastAsia="en-US"/>
              </w:rPr>
              <w:t> </w:t>
            </w:r>
            <w:r>
              <w:rPr>
                <w:spacing w:val="-4"/>
                <w:lang w:eastAsia="en-US"/>
              </w:rPr>
              <w:t>kvartálu hodnota dovozu zboží meziročně vzrostla o 54,2 mld. korun na 1 140,4 mld. Přírůstek dovozu byl tak v závěru roku nominálně vyšší než navýšení vývozu, což mimo jiné odráželo i oživenou spotřebitelskou poptávku při současném útlumu v exportně orientovaném průmyslu. Mezičtvrtletně se podle sezónně očištěných údajů dovoz ve 4.</w:t>
            </w:r>
            <w:r w:rsidR="003A2B5E">
              <w:rPr>
                <w:spacing w:val="-4"/>
                <w:lang w:eastAsia="en-US"/>
              </w:rPr>
              <w:t> </w:t>
            </w:r>
            <w:r>
              <w:rPr>
                <w:spacing w:val="-4"/>
                <w:lang w:eastAsia="en-US"/>
              </w:rPr>
              <w:t xml:space="preserve">kvartálu zvýšil o 0,7 %. </w:t>
            </w:r>
          </w:p>
        </w:tc>
      </w:tr>
      <w:tr w:rsidR="00693FEC" w14:paraId="739E8B2B" w14:textId="77777777" w:rsidTr="00247EE7">
        <w:trPr>
          <w:trHeight w:val="145"/>
        </w:trPr>
        <w:tc>
          <w:tcPr>
            <w:tcW w:w="1748" w:type="dxa"/>
          </w:tcPr>
          <w:p w14:paraId="06480AED" w14:textId="77777777" w:rsidR="00693FEC" w:rsidRDefault="00693FEC" w:rsidP="00247EE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Více rostl import z EU.</w:t>
            </w:r>
          </w:p>
        </w:tc>
        <w:tc>
          <w:tcPr>
            <w:tcW w:w="252" w:type="dxa"/>
          </w:tcPr>
          <w:p w14:paraId="14D7E291" w14:textId="77777777" w:rsidR="00693FEC" w:rsidRDefault="00693FEC" w:rsidP="00247EE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77" w:type="dxa"/>
            <w:gridSpan w:val="3"/>
          </w:tcPr>
          <w:p w14:paraId="391B9E8E" w14:textId="77777777" w:rsidR="00693FEC" w:rsidRDefault="00693FEC" w:rsidP="00247EE7">
            <w:pPr>
              <w:spacing w:after="18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Poměrně mírný celkový přírůstek dovozu byl loni z větší části podpořen importem z EU (+74,7 mld. korun, 2,8 %). Dovoz ze zemí mimo EU vzrostl mírněji (+26,2 mld., 1,6 %). Nejvíce vzrostl dovoz z Polska (+29,1 mld. korun, 7,5 %), Tchaj-wanu (+14,7 mld., 50,0 %)</w:t>
            </w:r>
            <w:r>
              <w:rPr>
                <w:rStyle w:val="Znakapoznpodarou"/>
                <w:spacing w:val="-4"/>
                <w:lang w:eastAsia="en-US"/>
              </w:rPr>
              <w:footnoteReference w:id="8"/>
            </w:r>
            <w:r>
              <w:rPr>
                <w:spacing w:val="-4"/>
                <w:lang w:eastAsia="en-US"/>
              </w:rPr>
              <w:t>, Německa (+13,8 mld., 1,4 %), Číny (+12,3 mld., 2,3 %), Slovenska (+11,7 mld., 5,2 %) a Ázerbájdžánu (+9,9 mld., 33,3 %). Mezi zeměmi, odkud se dovezlo meziročně méně, dominovalo především Norsko (−30,9 mld. korun −35,9 %), kde byl výsledek ovlivněn poklesem cen zemního plynu, a také Velká Británie (−10,2 mld., −13,2 %). Výrazné procentuální změny dovozu byly loni zaznamenány také u Bulharska (+5,6 mld. korun, 25,7 %), Jižní Afriky (−5,2 mld., −31,3 %) nebo Hongkongu (+0,4 mld., 23,3 %). V samotném 4. čtvrtletí vzrostl dovoz z EU o 33,0 mld. korun (4,9 %) a z mimounijních zemí o 21,6 mld. (5,3 %). Nejvíce rostl import z Číny (viz Tabulka č. 4) následovaný výrazným navýšením u Polska a Slovenska. Mezi významnějšími přírůstky dále figurují Německo, Rusko, Bulharsko, Itálie nebo Rakousko. Velký propad byl zaznamenán u dovozu z Norska.</w:t>
            </w:r>
          </w:p>
        </w:tc>
      </w:tr>
      <w:tr w:rsidR="00693FEC" w14:paraId="74C7CA22" w14:textId="77777777" w:rsidTr="00247EE7">
        <w:trPr>
          <w:trHeight w:val="170"/>
        </w:trPr>
        <w:tc>
          <w:tcPr>
            <w:tcW w:w="4811" w:type="dxa"/>
            <w:gridSpan w:val="3"/>
            <w:hideMark/>
          </w:tcPr>
          <w:p w14:paraId="244DEBCE" w14:textId="77777777" w:rsidR="00693FEC" w:rsidRDefault="00693FEC" w:rsidP="00247EE7">
            <w:pPr>
              <w:spacing w:after="0"/>
              <w:jc w:val="left"/>
              <w:rPr>
                <w:spacing w:val="-4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Tabulka č. 3 Oddíly klasifikace CPA s největším vlivem na vývoj dovozu zboží ve 4. čtvrtletí 2024 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US"/>
              </w:rPr>
              <w:t>(meziročně)</w:t>
            </w:r>
          </w:p>
        </w:tc>
        <w:tc>
          <w:tcPr>
            <w:tcW w:w="57" w:type="dxa"/>
          </w:tcPr>
          <w:p w14:paraId="5C5C08FD" w14:textId="77777777" w:rsidR="00693FEC" w:rsidRDefault="00693FEC" w:rsidP="00247EE7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4809" w:type="dxa"/>
            <w:hideMark/>
          </w:tcPr>
          <w:p w14:paraId="51D1B2DE" w14:textId="77777777" w:rsidR="00693FEC" w:rsidRDefault="00693FEC" w:rsidP="00247EE7">
            <w:pPr>
              <w:spacing w:after="0"/>
              <w:jc w:val="left"/>
              <w:rPr>
                <w:spacing w:val="-4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Tabulka č. 4 Země s největším vlivem na vývoj dovozu zboží ve 4. čtvrtletí 2024 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US"/>
              </w:rPr>
              <w:t>(meziročně)</w:t>
            </w:r>
          </w:p>
        </w:tc>
      </w:tr>
      <w:tr w:rsidR="00693FEC" w:rsidRPr="005A40B7" w14:paraId="43A45DD3" w14:textId="77777777" w:rsidTr="00247EE7">
        <w:trPr>
          <w:trHeight w:val="170"/>
        </w:trPr>
        <w:tc>
          <w:tcPr>
            <w:tcW w:w="4811" w:type="dxa"/>
            <w:gridSpan w:val="3"/>
            <w:hideMark/>
          </w:tcPr>
          <w:tbl>
            <w:tblPr>
              <w:tblW w:w="481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7"/>
              <w:gridCol w:w="700"/>
              <w:gridCol w:w="700"/>
            </w:tblGrid>
            <w:tr w:rsidR="00693FEC" w:rsidRPr="00CB4865" w14:paraId="710BC9DD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2723D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5599E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mld. Kč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BB281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693FEC" w:rsidRPr="00CB4865" w14:paraId="5F4CF275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C1CAB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Počítače, elektron. a opt. přístroje a zařízení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F4AFDA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+17,9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B0F0B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+14,4</w:t>
                  </w:r>
                </w:p>
              </w:tc>
            </w:tr>
            <w:tr w:rsidR="00693FEC" w:rsidRPr="00CB4865" w14:paraId="18767491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E6E10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Kovodělné výrobky, kromě strojů a zařízení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12372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+16,0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998C3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+32,7</w:t>
                  </w:r>
                </w:p>
              </w:tc>
            </w:tr>
            <w:tr w:rsidR="00693FEC" w:rsidRPr="00CB4865" w14:paraId="2D82306E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29EBE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Potravinářské výrobky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709E1D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+7,6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E9621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+12,9</w:t>
                  </w:r>
                </w:p>
              </w:tc>
            </w:tr>
            <w:tr w:rsidR="00693FEC" w:rsidRPr="00CB4865" w14:paraId="10239CEB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8A787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Základní kovy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8FDAE4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+4,9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D5430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+6,9</w:t>
                  </w:r>
                </w:p>
              </w:tc>
            </w:tr>
            <w:tr w:rsidR="00693FEC" w:rsidRPr="00CB4865" w14:paraId="0A07461A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79101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Elektrická zařízení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29E97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+4,7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AEEC9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+4,4</w:t>
                  </w:r>
                </w:p>
              </w:tc>
            </w:tr>
            <w:tr w:rsidR="00693FEC" w:rsidRPr="00CB4865" w14:paraId="21B6AB93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1905F2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Elektřina, plyn, pára a klimatizovaný vzduch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05FF16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+3,4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17D799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+64,8</w:t>
                  </w:r>
                </w:p>
              </w:tc>
            </w:tr>
            <w:tr w:rsidR="00693FEC" w:rsidRPr="00CB4865" w14:paraId="6B57AAA2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0F992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Ostatní výrobky zpracovatelského průmyslu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347B5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+2,8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72B35D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+11,2</w:t>
                  </w:r>
                </w:p>
              </w:tc>
            </w:tr>
            <w:tr w:rsidR="00693FEC" w:rsidRPr="00CB4865" w14:paraId="49B1E322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9FD5E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Produkty zemědělství a myslivosti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9C402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+2,5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A157CA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+15,8</w:t>
                  </w:r>
                </w:p>
              </w:tc>
            </w:tr>
            <w:tr w:rsidR="00693FEC" w:rsidRPr="00CB4865" w14:paraId="2E51EDE9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367D7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Tabákové výrobky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390CD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6DF51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+49,6</w:t>
                  </w:r>
                </w:p>
              </w:tc>
            </w:tr>
            <w:tr w:rsidR="00693FEC" w:rsidRPr="00CB4865" w14:paraId="21F3C4D0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0C210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Chemické látky a chemické přípravky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19F0D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F9B41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+1,9</w:t>
                  </w:r>
                </w:p>
              </w:tc>
            </w:tr>
            <w:tr w:rsidR="00693FEC" w:rsidRPr="00CB4865" w14:paraId="429262B9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21BE2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Oděvy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84690B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EB0D3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+7,4</w:t>
                  </w:r>
                </w:p>
              </w:tc>
            </w:tr>
            <w:tr w:rsidR="00693FEC" w:rsidRPr="00CB4865" w14:paraId="0245883B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22568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Základní farmaceutické výrobky a přípravky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1C438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19674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+3,3</w:t>
                  </w:r>
                </w:p>
              </w:tc>
            </w:tr>
            <w:tr w:rsidR="00693FEC" w:rsidRPr="00CB4865" w14:paraId="2038FCE7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87F9BA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Stroje a zařízení j. n.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43A8D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2,1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C705DE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2,2</w:t>
                  </w:r>
                </w:p>
              </w:tc>
            </w:tr>
            <w:tr w:rsidR="00693FEC" w:rsidRPr="00CB4865" w14:paraId="5FC1B5CC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AE8EF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Motorová vozidla (kromě motocyklů) a díly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6E972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2,3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C6A557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1,3</w:t>
                  </w:r>
                </w:p>
              </w:tc>
            </w:tr>
            <w:tr w:rsidR="00693FEC" w:rsidRPr="00CB4865" w14:paraId="1269D120" w14:textId="77777777" w:rsidTr="00247EE7">
              <w:trPr>
                <w:trHeight w:val="255"/>
              </w:trPr>
              <w:tc>
                <w:tcPr>
                  <w:tcW w:w="3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683FFC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Ropa a zemní plyn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6B6291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9,6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11B1C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19,0</w:t>
                  </w:r>
                </w:p>
              </w:tc>
            </w:tr>
          </w:tbl>
          <w:p w14:paraId="008864D6" w14:textId="77777777" w:rsidR="00693FEC" w:rsidRPr="005A40B7" w:rsidRDefault="00693FEC" w:rsidP="00247EE7">
            <w:pPr>
              <w:spacing w:after="0"/>
              <w:rPr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57" w:type="dxa"/>
          </w:tcPr>
          <w:p w14:paraId="0B911FAA" w14:textId="77777777" w:rsidR="00693FEC" w:rsidRPr="005A40B7" w:rsidRDefault="00693FEC" w:rsidP="00247EE7">
            <w:pPr>
              <w:spacing w:after="0"/>
              <w:rPr>
                <w:spacing w:val="-4"/>
                <w:sz w:val="16"/>
                <w:szCs w:val="16"/>
                <w:lang w:eastAsia="en-US"/>
              </w:rPr>
            </w:pPr>
          </w:p>
        </w:tc>
        <w:tc>
          <w:tcPr>
            <w:tcW w:w="4809" w:type="dxa"/>
            <w:hideMark/>
          </w:tcPr>
          <w:tbl>
            <w:tblPr>
              <w:tblW w:w="476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62"/>
              <w:gridCol w:w="700"/>
              <w:gridCol w:w="700"/>
            </w:tblGrid>
            <w:tr w:rsidR="00693FEC" w:rsidRPr="00CB4865" w14:paraId="4F31B574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87FE5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F4FF0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mld. Kč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AA751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%</w:t>
                  </w:r>
                </w:p>
              </w:tc>
            </w:tr>
            <w:tr w:rsidR="00693FEC" w:rsidRPr="00CB4865" w14:paraId="5EF26B5C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AF3B0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Čína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38AE4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+18,5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43282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+14,3</w:t>
                  </w:r>
                </w:p>
              </w:tc>
            </w:tr>
            <w:tr w:rsidR="00693FEC" w:rsidRPr="00CB4865" w14:paraId="68D0A087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D82DD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Polsko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6214FA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+10,4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B999B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+10,8</w:t>
                  </w:r>
                </w:p>
              </w:tc>
            </w:tr>
            <w:tr w:rsidR="00693FEC" w:rsidRPr="00CB4865" w14:paraId="743BF149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B575A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Slovensko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42D849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+9,5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03207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+16,6</w:t>
                  </w:r>
                </w:p>
              </w:tc>
            </w:tr>
            <w:tr w:rsidR="00693FEC" w:rsidRPr="00CB4865" w14:paraId="4CBE6476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A466F2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Rusko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E1B45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+4,9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8F93D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+21,7</w:t>
                  </w:r>
                </w:p>
              </w:tc>
            </w:tr>
            <w:tr w:rsidR="00693FEC" w:rsidRPr="00CB4865" w14:paraId="4231FC43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20F1C3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Německo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79915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+4,2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E8B343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+1,7</w:t>
                  </w:r>
                </w:p>
              </w:tc>
            </w:tr>
            <w:tr w:rsidR="00693FEC" w:rsidRPr="00CB4865" w14:paraId="74B4A161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A777E6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Bulharsko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AF7910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+2,8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C431BC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+47,0</w:t>
                  </w:r>
                </w:p>
              </w:tc>
            </w:tr>
            <w:tr w:rsidR="00693FEC" w:rsidRPr="00CB4865" w14:paraId="1225FA0B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00D42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Itálie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9831B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+2,7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76C62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+5,7</w:t>
                  </w:r>
                </w:p>
              </w:tc>
            </w:tr>
            <w:tr w:rsidR="00693FEC" w:rsidRPr="00CB4865" w14:paraId="5295DC30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63703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Rakousko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93EB6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+2,7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D7B70A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+9,4</w:t>
                  </w:r>
                </w:p>
              </w:tc>
            </w:tr>
            <w:tr w:rsidR="00693FEC" w:rsidRPr="00CB4865" w14:paraId="237A1B7E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D0A4F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Ukrajina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14F9F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+2,3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82EDA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+34,4</w:t>
                  </w:r>
                </w:p>
              </w:tc>
            </w:tr>
            <w:tr w:rsidR="00693FEC" w:rsidRPr="00CB4865" w14:paraId="1BFCF1B3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7D7064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Thajsko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D67F8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+1,8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A856A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+33,1</w:t>
                  </w:r>
                </w:p>
              </w:tc>
            </w:tr>
            <w:tr w:rsidR="00693FEC" w:rsidRPr="00CB4865" w14:paraId="6C149432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130B9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Kazachstán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71B19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2,0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E76B84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30,4</w:t>
                  </w:r>
                </w:p>
              </w:tc>
            </w:tr>
            <w:tr w:rsidR="00693FEC" w:rsidRPr="00CB4865" w14:paraId="4D5EF03D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863C12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Maďarsko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B6CC1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2,1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82FCF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8,2</w:t>
                  </w:r>
                </w:p>
              </w:tc>
            </w:tr>
            <w:tr w:rsidR="00693FEC" w:rsidRPr="00CB4865" w14:paraId="1565BE02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333E68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Velká Británie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EE0B5A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2,7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640EE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14,1</w:t>
                  </w:r>
                </w:p>
              </w:tc>
            </w:tr>
            <w:tr w:rsidR="00693FEC" w:rsidRPr="00CB4865" w14:paraId="45C0C170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71A81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Spojené státy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americké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0C785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3,1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2E826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9,5</w:t>
                  </w:r>
                </w:p>
              </w:tc>
            </w:tr>
            <w:tr w:rsidR="00693FEC" w:rsidRPr="00CB4865" w14:paraId="1C5C0CBE" w14:textId="77777777" w:rsidTr="00247EE7">
              <w:trPr>
                <w:trHeight w:val="255"/>
              </w:trPr>
              <w:tc>
                <w:tcPr>
                  <w:tcW w:w="3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9B20B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Norsko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C006FE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9,7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D9248C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50,9</w:t>
                  </w:r>
                </w:p>
              </w:tc>
            </w:tr>
          </w:tbl>
          <w:p w14:paraId="12618E7F" w14:textId="77777777" w:rsidR="00693FEC" w:rsidRPr="005A40B7" w:rsidRDefault="00693FEC" w:rsidP="00247EE7">
            <w:pPr>
              <w:spacing w:after="0"/>
              <w:rPr>
                <w:spacing w:val="-4"/>
                <w:sz w:val="16"/>
                <w:szCs w:val="16"/>
                <w:lang w:eastAsia="en-US"/>
              </w:rPr>
            </w:pPr>
          </w:p>
        </w:tc>
      </w:tr>
      <w:tr w:rsidR="00693FEC" w14:paraId="68DA3C18" w14:textId="77777777" w:rsidTr="00247EE7">
        <w:trPr>
          <w:trHeight w:val="170"/>
        </w:trPr>
        <w:tc>
          <w:tcPr>
            <w:tcW w:w="4811" w:type="dxa"/>
            <w:gridSpan w:val="3"/>
            <w:hideMark/>
          </w:tcPr>
          <w:p w14:paraId="13B050A1" w14:textId="77777777" w:rsidR="00693FEC" w:rsidRDefault="00693FEC" w:rsidP="00247EE7">
            <w:pPr>
              <w:jc w:val="right"/>
              <w:rPr>
                <w:spacing w:val="-4"/>
                <w:sz w:val="16"/>
                <w:szCs w:val="16"/>
                <w:lang w:eastAsia="en-US"/>
              </w:rPr>
            </w:pPr>
            <w:r>
              <w:rPr>
                <w:spacing w:val="-4"/>
                <w:sz w:val="16"/>
                <w:szCs w:val="16"/>
                <w:lang w:eastAsia="en-US"/>
              </w:rPr>
              <w:t>Zdroj: ČSÚ</w:t>
            </w:r>
          </w:p>
        </w:tc>
        <w:tc>
          <w:tcPr>
            <w:tcW w:w="57" w:type="dxa"/>
          </w:tcPr>
          <w:p w14:paraId="6E11F652" w14:textId="77777777" w:rsidR="00693FEC" w:rsidRDefault="00693FEC" w:rsidP="00247EE7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4809" w:type="dxa"/>
            <w:hideMark/>
          </w:tcPr>
          <w:p w14:paraId="42238CB8" w14:textId="77777777" w:rsidR="00693FEC" w:rsidRDefault="00693FEC" w:rsidP="00247EE7">
            <w:pPr>
              <w:spacing w:after="0"/>
              <w:ind w:right="21"/>
              <w:jc w:val="right"/>
              <w:rPr>
                <w:spacing w:val="-4"/>
                <w:lang w:eastAsia="en-US"/>
              </w:rPr>
            </w:pPr>
            <w:r>
              <w:rPr>
                <w:spacing w:val="-4"/>
                <w:sz w:val="16"/>
                <w:szCs w:val="16"/>
                <w:lang w:eastAsia="en-US"/>
              </w:rPr>
              <w:t>Zdroj: ČSÚ</w:t>
            </w:r>
          </w:p>
        </w:tc>
      </w:tr>
      <w:tr w:rsidR="00693FEC" w14:paraId="099AB895" w14:textId="77777777" w:rsidTr="00247EE7">
        <w:trPr>
          <w:trHeight w:val="145"/>
        </w:trPr>
        <w:tc>
          <w:tcPr>
            <w:tcW w:w="1748" w:type="dxa"/>
          </w:tcPr>
          <w:p w14:paraId="174048FA" w14:textId="77777777" w:rsidR="00693FEC" w:rsidRDefault="00693FEC" w:rsidP="00247EE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 xml:space="preserve">Hodnota dovozu ropy </w:t>
            </w:r>
            <w:r>
              <w:rPr>
                <w:lang w:eastAsia="en-US"/>
              </w:rPr>
              <w:br/>
              <w:t>a zemního plynu se propadla.</w:t>
            </w:r>
          </w:p>
        </w:tc>
        <w:tc>
          <w:tcPr>
            <w:tcW w:w="252" w:type="dxa"/>
          </w:tcPr>
          <w:p w14:paraId="183C53A6" w14:textId="77777777" w:rsidR="00693FEC" w:rsidRDefault="00693FEC" w:rsidP="00247EE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77" w:type="dxa"/>
            <w:gridSpan w:val="3"/>
          </w:tcPr>
          <w:p w14:paraId="5D61BCF4" w14:textId="77777777" w:rsidR="00693FEC" w:rsidRDefault="00693FEC" w:rsidP="00247EE7">
            <w:pPr>
              <w:spacing w:after="18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Loni nejvíce vzrostl dovoz počítačů, elektronických a optických přístrojů a zařízení (+52,5 mld. korun, 11,4 %), potravinářských výrobků (+26,6 mld., 12,1 %), kovodělných výrobků (+19,8 mld., 10,1 %), motorových vozidel a dílů (+14,0 mld., 2,1 %) a základních farmaceutických výrobků a přípravků (+10,7 mld., 8,3 %). Pod vlivem vývoje cen se naopak výrazně propadla hodnota dovozu ropy a zemního plynu (−24,4 mld. korun, −13,4 %). Výrazně nižší byl import elektrických zařízení (−19,1 mld., −4,2 %)</w:t>
            </w:r>
            <w:r>
              <w:rPr>
                <w:rStyle w:val="Znakapoznpodarou"/>
                <w:spacing w:val="-4"/>
                <w:lang w:eastAsia="en-US"/>
              </w:rPr>
              <w:footnoteReference w:id="9"/>
            </w:r>
            <w:r>
              <w:rPr>
                <w:spacing w:val="-4"/>
                <w:lang w:eastAsia="en-US"/>
              </w:rPr>
              <w:t xml:space="preserve"> a oslabení v domácím průmyslu a utlumení investiční aktivity se projevilo poklesem importu strojů a zařízení (−18,4 mld., −4,5 %). V samotném 4. čtvrtletí se značně zvýšil dovoz počítačů, </w:t>
            </w:r>
            <w:r>
              <w:rPr>
                <w:spacing w:val="-4"/>
                <w:lang w:eastAsia="en-US"/>
              </w:rPr>
              <w:lastRenderedPageBreak/>
              <w:t>elektronických a optických přístrojů a zařízení (viz Tabulka č. 3) a kovodělných výrobků. Mírněji narůstal import potravinářských výrobků, elektrických zařízení a základních kovů. Meziročně klesl dovoz ropy a zemního plynu, strojů a zařízení a motorových vozidel.</w:t>
            </w:r>
          </w:p>
        </w:tc>
      </w:tr>
      <w:tr w:rsidR="00693FEC" w14:paraId="05865474" w14:textId="77777777" w:rsidTr="00247EE7">
        <w:trPr>
          <w:trHeight w:val="145"/>
        </w:trPr>
        <w:tc>
          <w:tcPr>
            <w:tcW w:w="1748" w:type="dxa"/>
            <w:hideMark/>
          </w:tcPr>
          <w:p w14:paraId="0FA7DABD" w14:textId="77777777" w:rsidR="00693FEC" w:rsidRDefault="00693FEC" w:rsidP="00247EE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Bilance zahraničního obchodu se zbožím loni dosáhla mohutného přebytku.</w:t>
            </w:r>
          </w:p>
        </w:tc>
        <w:tc>
          <w:tcPr>
            <w:tcW w:w="252" w:type="dxa"/>
          </w:tcPr>
          <w:p w14:paraId="357F3763" w14:textId="77777777" w:rsidR="00693FEC" w:rsidRDefault="00693FEC" w:rsidP="00247EE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77" w:type="dxa"/>
            <w:gridSpan w:val="3"/>
            <w:hideMark/>
          </w:tcPr>
          <w:p w14:paraId="6C7CA9AD" w14:textId="77777777" w:rsidR="00693FEC" w:rsidRDefault="00693FEC" w:rsidP="00247EE7">
            <w:pPr>
              <w:spacing w:after="18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>Bilance zahraničního obchodu se zbožím v kumulaci od začátku roku dosáhla přebytku 228,0 mld. korun, což byla nejvyšší zaznamenaná hodnota v dostupné časové řadě. Meziročně se přebytek zlepšil o 105,5 mld. korun. Zaznamenaný nárůst přebytku byl dosažen v 1. až 3. čtvrtletí roku (+43,0 mld. korun, +35,4 mld. a +30,1 mld.). Ve 4. čtvrtletí 2024 celková bilance zahraničního obchodu se zbožím dosáhla přebytku 43,7 mld. korun, což byl meziročně o 2,9 mld. horší výsledek</w:t>
            </w:r>
            <w:r>
              <w:rPr>
                <w:rStyle w:val="Znakapoznpodarou"/>
                <w:spacing w:val="-4"/>
                <w:lang w:eastAsia="en-US"/>
              </w:rPr>
              <w:footnoteReference w:id="10"/>
            </w:r>
            <w:r>
              <w:rPr>
                <w:spacing w:val="-4"/>
                <w:lang w:eastAsia="en-US"/>
              </w:rPr>
              <w:t>. Ve 4. čtvrtletí se podle sezónně očištěných údajů mezičtvrtletně zhoršil přebytek bilance zahraničního obchodu.</w:t>
            </w:r>
          </w:p>
        </w:tc>
      </w:tr>
      <w:tr w:rsidR="00693FEC" w14:paraId="0587C253" w14:textId="77777777" w:rsidTr="00247EE7">
        <w:trPr>
          <w:trHeight w:val="145"/>
        </w:trPr>
        <w:tc>
          <w:tcPr>
            <w:tcW w:w="1748" w:type="dxa"/>
          </w:tcPr>
          <w:p w14:paraId="0D628A56" w14:textId="77777777" w:rsidR="00693FEC" w:rsidRDefault="00693FEC" w:rsidP="00247EE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 xml:space="preserve">Za meziročním zlepšením přebytku stál loni obchod s EU. </w:t>
            </w:r>
          </w:p>
        </w:tc>
        <w:tc>
          <w:tcPr>
            <w:tcW w:w="252" w:type="dxa"/>
          </w:tcPr>
          <w:p w14:paraId="1861AE75" w14:textId="77777777" w:rsidR="00693FEC" w:rsidRDefault="00693FEC" w:rsidP="00247EE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77" w:type="dxa"/>
            <w:gridSpan w:val="3"/>
          </w:tcPr>
          <w:p w14:paraId="766E6E3B" w14:textId="77777777" w:rsidR="00693FEC" w:rsidRDefault="00693FEC" w:rsidP="00247EE7">
            <w:pPr>
              <w:spacing w:after="180"/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Loňské celkové zlepšení bilance zahraničního obchodu se zbožím bylo způsobeno snížením deficitu obchodu se zeměmi mimo EU o 115,7 mld. korun. Naopak přebytek obchodu s EU se snížil o 10,1 mld. Nejvíce se loni zlepšila bilance obchodu s Velkou Británií (+49,5 mld. korun), Norskem (+33,9 mld.), Spojenými státy americkými (+19,0 mld.), Tureckem (+12,3 mld.) a Singapurem (+10,2 mld.). Nejvýraznější zhoršení bilance bylo zaznamenáno v případě obchodu s Tchaj-wanem (−13,3 mld. korun). Ve 4. čtvrtletí se celkově meziročně zhoršila bilance obchodu s EU o 19,6 mld. korun, zatímco </w:t>
            </w:r>
            <w:r>
              <w:rPr>
                <w:spacing w:val="-4"/>
                <w:lang w:eastAsia="en-US"/>
              </w:rPr>
              <w:br/>
              <w:t xml:space="preserve">u mimounijních zemí došlo k dalšímu zlepšení o 16,3 mld. Celkem převažovaly země, </w:t>
            </w:r>
            <w:r>
              <w:rPr>
                <w:spacing w:val="-4"/>
                <w:lang w:eastAsia="en-US"/>
              </w:rPr>
              <w:br/>
              <w:t>u kterých bylo zaznamenáno zhoršení bilance. Ve směru celkového meziročního zhoršení salda obchodu se zbožím nejvíc působil obchod s Čínou (viz Tabulka č. 6) a Slovenskem. Následovaly menší příspěvky Ruska, Polska nebo Itálie. Ve 4. čtvrtletí se naopak meziročně zlepšila bilance obchodu s Norskem, Velkou Británií a Spojenými státy americkými. Významný byl také příspěvek Belgie nebo Izraele.</w:t>
            </w:r>
          </w:p>
        </w:tc>
      </w:tr>
      <w:tr w:rsidR="00693FEC" w14:paraId="2A91A06C" w14:textId="77777777" w:rsidTr="00247EE7">
        <w:trPr>
          <w:trHeight w:val="170"/>
        </w:trPr>
        <w:tc>
          <w:tcPr>
            <w:tcW w:w="4811" w:type="dxa"/>
            <w:gridSpan w:val="3"/>
            <w:hideMark/>
          </w:tcPr>
          <w:p w14:paraId="4436AB6A" w14:textId="77777777" w:rsidR="00693FEC" w:rsidRDefault="00693FEC" w:rsidP="00247EE7">
            <w:pPr>
              <w:spacing w:after="0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Tabulka č. 5 Oddíly klasifikace CPA s největším </w:t>
            </w:r>
          </w:p>
          <w:p w14:paraId="005AE35E" w14:textId="77777777" w:rsidR="00693FEC" w:rsidRDefault="00693FEC" w:rsidP="00247EE7">
            <w:pPr>
              <w:spacing w:after="0"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vlivem na vývoj bilance zahraničního obchodu se zbožím ve 4. čtvrtletí 2024 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US"/>
              </w:rPr>
              <w:t>(meziročně)</w:t>
            </w:r>
          </w:p>
        </w:tc>
        <w:tc>
          <w:tcPr>
            <w:tcW w:w="57" w:type="dxa"/>
          </w:tcPr>
          <w:p w14:paraId="39D1492B" w14:textId="77777777" w:rsidR="00693FEC" w:rsidRDefault="00693FEC" w:rsidP="00247EE7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4809" w:type="dxa"/>
            <w:hideMark/>
          </w:tcPr>
          <w:p w14:paraId="2CF0BD0F" w14:textId="77777777" w:rsidR="00693FEC" w:rsidRDefault="00693FEC" w:rsidP="00247EE7">
            <w:pPr>
              <w:spacing w:after="0"/>
              <w:jc w:val="left"/>
              <w:rPr>
                <w:spacing w:val="-4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Tabulka č. 6 Země s největším vlivem na vývoj bilance zahraničního obchodu se zbožím ve 4. čtvrtletí 2024 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en-US"/>
              </w:rPr>
              <w:t>(meziročně)</w:t>
            </w:r>
          </w:p>
        </w:tc>
      </w:tr>
      <w:tr w:rsidR="00693FEC" w14:paraId="041D0987" w14:textId="77777777" w:rsidTr="00247EE7">
        <w:trPr>
          <w:trHeight w:val="170"/>
        </w:trPr>
        <w:tc>
          <w:tcPr>
            <w:tcW w:w="4811" w:type="dxa"/>
            <w:gridSpan w:val="3"/>
            <w:hideMark/>
          </w:tcPr>
          <w:tbl>
            <w:tblPr>
              <w:tblW w:w="482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26"/>
              <w:gridCol w:w="700"/>
            </w:tblGrid>
            <w:tr w:rsidR="00693FEC" w:rsidRPr="00CB4865" w14:paraId="53103B65" w14:textId="77777777" w:rsidTr="00247EE7">
              <w:trPr>
                <w:trHeight w:val="255"/>
              </w:trPr>
              <w:tc>
                <w:tcPr>
                  <w:tcW w:w="41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41D03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99C466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mld. Kč</w:t>
                  </w:r>
                </w:p>
              </w:tc>
            </w:tr>
            <w:tr w:rsidR="00693FEC" w:rsidRPr="00CB4865" w14:paraId="59B9DBA8" w14:textId="77777777" w:rsidTr="00247EE7">
              <w:trPr>
                <w:trHeight w:val="255"/>
              </w:trPr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37054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Ropa a zemní plyn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B909CD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+9,8</w:t>
                  </w:r>
                </w:p>
              </w:tc>
            </w:tr>
            <w:tr w:rsidR="00693FEC" w:rsidRPr="00CB4865" w14:paraId="3D3F1BEC" w14:textId="77777777" w:rsidTr="00247EE7">
              <w:trPr>
                <w:trHeight w:val="255"/>
              </w:trPr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2CA23C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Motorová vozidla (kromě motocyklů) a díly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58A859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+4,7</w:t>
                  </w:r>
                </w:p>
              </w:tc>
            </w:tr>
            <w:tr w:rsidR="00693FEC" w:rsidRPr="00CB4865" w14:paraId="6D2D9804" w14:textId="77777777" w:rsidTr="00247EE7">
              <w:trPr>
                <w:trHeight w:val="255"/>
              </w:trPr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F126A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Elektrická zařízení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232A3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+4,1</w:t>
                  </w:r>
                </w:p>
              </w:tc>
            </w:tr>
            <w:tr w:rsidR="00693FEC" w:rsidRPr="00CB4865" w14:paraId="70399412" w14:textId="77777777" w:rsidTr="00247EE7">
              <w:trPr>
                <w:trHeight w:val="255"/>
              </w:trPr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DB496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Elektřina, plyn, pára a klimatizovaný vzduch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59DF5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+3,3</w:t>
                  </w:r>
                </w:p>
              </w:tc>
            </w:tr>
            <w:tr w:rsidR="00693FEC" w:rsidRPr="00CB4865" w14:paraId="7694BD26" w14:textId="77777777" w:rsidTr="00247EE7">
              <w:trPr>
                <w:trHeight w:val="255"/>
              </w:trPr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26F19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Ostatní dopravní prostředky a zařízení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CF5F6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+2,5</w:t>
                  </w:r>
                </w:p>
              </w:tc>
            </w:tr>
            <w:tr w:rsidR="00693FEC" w:rsidRPr="00CB4865" w14:paraId="0059EA06" w14:textId="77777777" w:rsidTr="00247EE7">
              <w:trPr>
                <w:trHeight w:val="255"/>
              </w:trPr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95264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Chemické látky a přípravky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A9C46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+2,4</w:t>
                  </w:r>
                </w:p>
              </w:tc>
            </w:tr>
            <w:tr w:rsidR="00693FEC" w:rsidRPr="00CB4865" w14:paraId="40E6ADFC" w14:textId="77777777" w:rsidTr="00247EE7">
              <w:trPr>
                <w:trHeight w:val="255"/>
              </w:trPr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38B53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Pryžové a plastové výrobky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4A9E6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+1,9</w:t>
                  </w:r>
                </w:p>
              </w:tc>
            </w:tr>
            <w:tr w:rsidR="00693FEC" w:rsidRPr="00CB4865" w14:paraId="73C8236F" w14:textId="77777777" w:rsidTr="00247EE7">
              <w:trPr>
                <w:trHeight w:val="255"/>
              </w:trPr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D68E5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Černé a hnědé uhlí a lignit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9E1CEA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+1,0</w:t>
                  </w:r>
                </w:p>
              </w:tc>
            </w:tr>
            <w:tr w:rsidR="00693FEC" w:rsidRPr="00CB4865" w14:paraId="15E497A6" w14:textId="77777777" w:rsidTr="00247EE7">
              <w:trPr>
                <w:trHeight w:val="255"/>
              </w:trPr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43EC7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Usně a související výrobky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93009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1,2</w:t>
                  </w:r>
                </w:p>
              </w:tc>
            </w:tr>
            <w:tr w:rsidR="00693FEC" w:rsidRPr="00CB4865" w14:paraId="2A8A5C20" w14:textId="77777777" w:rsidTr="00247EE7">
              <w:trPr>
                <w:trHeight w:val="255"/>
              </w:trPr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A6EA1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Tabákové výrobky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930097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1,5</w:t>
                  </w:r>
                </w:p>
              </w:tc>
            </w:tr>
            <w:tr w:rsidR="00693FEC" w:rsidRPr="00CB4865" w14:paraId="11D2DE5A" w14:textId="77777777" w:rsidTr="00247EE7">
              <w:trPr>
                <w:trHeight w:val="255"/>
              </w:trPr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D051B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Potravinářské výrobky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9893E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1,8</w:t>
                  </w:r>
                </w:p>
              </w:tc>
            </w:tr>
            <w:tr w:rsidR="00693FEC" w:rsidRPr="00CB4865" w14:paraId="4471649C" w14:textId="77777777" w:rsidTr="00247EE7">
              <w:trPr>
                <w:trHeight w:val="255"/>
              </w:trPr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8D977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Produkty zemědělství a myslivosti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ABA1F8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2,0</w:t>
                  </w:r>
                </w:p>
              </w:tc>
            </w:tr>
            <w:tr w:rsidR="00693FEC" w:rsidRPr="00CB4865" w14:paraId="736E0B9F" w14:textId="77777777" w:rsidTr="00247EE7">
              <w:trPr>
                <w:trHeight w:val="255"/>
              </w:trPr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D9361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Počítače, elektron. a opt. přístroje a zařízení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7BE0DA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5,0</w:t>
                  </w:r>
                </w:p>
              </w:tc>
            </w:tr>
            <w:tr w:rsidR="00693FEC" w:rsidRPr="00CB4865" w14:paraId="4734F512" w14:textId="77777777" w:rsidTr="00247EE7">
              <w:trPr>
                <w:trHeight w:val="255"/>
              </w:trPr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0B956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Základní kovy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30BB4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5,5</w:t>
                  </w:r>
                </w:p>
              </w:tc>
            </w:tr>
            <w:tr w:rsidR="00693FEC" w:rsidRPr="00CB4865" w14:paraId="06B21D0B" w14:textId="77777777" w:rsidTr="00247EE7">
              <w:trPr>
                <w:trHeight w:val="255"/>
              </w:trPr>
              <w:tc>
                <w:tcPr>
                  <w:tcW w:w="41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A96F8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Kovodělné výrobky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kromě strojů a zařízení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E835C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14,1</w:t>
                  </w:r>
                </w:p>
              </w:tc>
            </w:tr>
          </w:tbl>
          <w:p w14:paraId="7A10E072" w14:textId="77777777" w:rsidR="00693FEC" w:rsidRDefault="00693FEC" w:rsidP="00247EE7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57" w:type="dxa"/>
          </w:tcPr>
          <w:p w14:paraId="747F711E" w14:textId="77777777" w:rsidR="00693FEC" w:rsidRDefault="00693FEC" w:rsidP="00247EE7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4809" w:type="dxa"/>
            <w:hideMark/>
          </w:tcPr>
          <w:tbl>
            <w:tblPr>
              <w:tblW w:w="477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71"/>
              <w:gridCol w:w="700"/>
            </w:tblGrid>
            <w:tr w:rsidR="00693FEC" w:rsidRPr="00CB4865" w14:paraId="322E7548" w14:textId="77777777" w:rsidTr="00247EE7">
              <w:trPr>
                <w:trHeight w:val="255"/>
              </w:trPr>
              <w:tc>
                <w:tcPr>
                  <w:tcW w:w="40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387E7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Cs w:val="20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219A6F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mld. Kč</w:t>
                  </w:r>
                </w:p>
              </w:tc>
            </w:tr>
            <w:tr w:rsidR="00693FEC" w:rsidRPr="00CB4865" w14:paraId="1515F5B0" w14:textId="77777777" w:rsidTr="00247EE7">
              <w:trPr>
                <w:trHeight w:val="255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626A5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Norsko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55976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+9,8</w:t>
                  </w:r>
                </w:p>
              </w:tc>
            </w:tr>
            <w:tr w:rsidR="00693FEC" w:rsidRPr="00CB4865" w14:paraId="1AA9A2EA" w14:textId="77777777" w:rsidTr="00247EE7">
              <w:trPr>
                <w:trHeight w:val="255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F111F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Spojené státy</w:t>
                  </w: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americké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07DDE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+8,7</w:t>
                  </w:r>
                </w:p>
              </w:tc>
            </w:tr>
            <w:tr w:rsidR="00693FEC" w:rsidRPr="00CB4865" w14:paraId="0C783355" w14:textId="77777777" w:rsidTr="00247EE7">
              <w:trPr>
                <w:trHeight w:val="255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DBA8BF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Velká Británie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E59B01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+8,6</w:t>
                  </w:r>
                </w:p>
              </w:tc>
            </w:tr>
            <w:tr w:rsidR="00693FEC" w:rsidRPr="00CB4865" w14:paraId="7F5EDC42" w14:textId="77777777" w:rsidTr="00247EE7">
              <w:trPr>
                <w:trHeight w:val="255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5FFAB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Izrael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3E4160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+4,1</w:t>
                  </w:r>
                </w:p>
              </w:tc>
            </w:tr>
            <w:tr w:rsidR="00693FEC" w:rsidRPr="00CB4865" w14:paraId="63161B24" w14:textId="77777777" w:rsidTr="00247EE7">
              <w:trPr>
                <w:trHeight w:val="255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34CEC1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Belgie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CA8D8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+4,1</w:t>
                  </w:r>
                </w:p>
              </w:tc>
            </w:tr>
            <w:tr w:rsidR="00693FEC" w:rsidRPr="00CB4865" w14:paraId="791BD091" w14:textId="77777777" w:rsidTr="00247EE7">
              <w:trPr>
                <w:trHeight w:val="255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C2884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Turecko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4B3421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+2,8</w:t>
                  </w:r>
                </w:p>
              </w:tc>
            </w:tr>
            <w:tr w:rsidR="00693FEC" w:rsidRPr="00CB4865" w14:paraId="52191338" w14:textId="77777777" w:rsidTr="00247EE7">
              <w:trPr>
                <w:trHeight w:val="255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D512C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Kazachstán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FE09F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+2,0</w:t>
                  </w:r>
                </w:p>
              </w:tc>
            </w:tr>
            <w:tr w:rsidR="00693FEC" w:rsidRPr="00CB4865" w14:paraId="45212299" w14:textId="77777777" w:rsidTr="00247EE7">
              <w:trPr>
                <w:trHeight w:val="255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33512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Jižní Afrika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7B254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+1,9</w:t>
                  </w:r>
                </w:p>
              </w:tc>
            </w:tr>
            <w:tr w:rsidR="00693FEC" w:rsidRPr="00CB4865" w14:paraId="74354DAE" w14:textId="77777777" w:rsidTr="00247EE7">
              <w:trPr>
                <w:trHeight w:val="255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391882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Španělsko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DED4B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2,1</w:t>
                  </w:r>
                </w:p>
              </w:tc>
            </w:tr>
            <w:tr w:rsidR="00693FEC" w:rsidRPr="00CB4865" w14:paraId="69ACFBFE" w14:textId="77777777" w:rsidTr="00247EE7">
              <w:trPr>
                <w:trHeight w:val="255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1FA95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Bulharsko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6EF09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2,6</w:t>
                  </w:r>
                </w:p>
              </w:tc>
            </w:tr>
            <w:tr w:rsidR="00693FEC" w:rsidRPr="00CB4865" w14:paraId="2F29EEC6" w14:textId="77777777" w:rsidTr="00247EE7">
              <w:trPr>
                <w:trHeight w:val="255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4C234E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Itálie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32D9D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3,9</w:t>
                  </w:r>
                </w:p>
              </w:tc>
            </w:tr>
            <w:tr w:rsidR="00693FEC" w:rsidRPr="00CB4865" w14:paraId="15907606" w14:textId="77777777" w:rsidTr="00247EE7">
              <w:trPr>
                <w:trHeight w:val="255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B9FCD1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Polsko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4C46D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4,7</w:t>
                  </w:r>
                </w:p>
              </w:tc>
            </w:tr>
            <w:tr w:rsidR="00693FEC" w:rsidRPr="00CB4865" w14:paraId="76EC5F12" w14:textId="77777777" w:rsidTr="00247EE7">
              <w:trPr>
                <w:trHeight w:val="255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C7149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Rusko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62E4B3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5,2</w:t>
                  </w:r>
                </w:p>
              </w:tc>
            </w:tr>
            <w:tr w:rsidR="00693FEC" w:rsidRPr="00CB4865" w14:paraId="3D04C45C" w14:textId="77777777" w:rsidTr="00247EE7">
              <w:trPr>
                <w:trHeight w:val="255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830A5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Slovensko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F1491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10,4</w:t>
                  </w:r>
                </w:p>
              </w:tc>
            </w:tr>
            <w:tr w:rsidR="00693FEC" w:rsidRPr="00CB4865" w14:paraId="7E084FA1" w14:textId="77777777" w:rsidTr="00247EE7">
              <w:trPr>
                <w:trHeight w:val="255"/>
              </w:trPr>
              <w:tc>
                <w:tcPr>
                  <w:tcW w:w="4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DD469" w14:textId="77777777" w:rsidR="00693FEC" w:rsidRPr="00CB4865" w:rsidRDefault="00693FEC" w:rsidP="00247EE7">
                  <w:pPr>
                    <w:spacing w:after="0" w:line="240" w:lineRule="auto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Čína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ABBEE" w14:textId="77777777" w:rsidR="00693FEC" w:rsidRPr="00CB4865" w:rsidRDefault="00693FEC" w:rsidP="00247EE7">
                  <w:pPr>
                    <w:spacing w:after="0" w:line="240" w:lineRule="auto"/>
                    <w:jc w:val="righ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>−</w:t>
                  </w:r>
                  <w:r w:rsidRPr="00CB4865">
                    <w:rPr>
                      <w:rFonts w:cs="Arial"/>
                      <w:color w:val="000000"/>
                      <w:sz w:val="16"/>
                      <w:szCs w:val="16"/>
                    </w:rPr>
                    <w:t>16,8</w:t>
                  </w:r>
                </w:p>
              </w:tc>
            </w:tr>
          </w:tbl>
          <w:p w14:paraId="1FE3E035" w14:textId="77777777" w:rsidR="00693FEC" w:rsidRDefault="00693FEC" w:rsidP="00247EE7">
            <w:pPr>
              <w:spacing w:after="0"/>
              <w:rPr>
                <w:spacing w:val="-4"/>
                <w:lang w:eastAsia="en-US"/>
              </w:rPr>
            </w:pPr>
          </w:p>
        </w:tc>
      </w:tr>
      <w:tr w:rsidR="00693FEC" w14:paraId="4E023FFB" w14:textId="77777777" w:rsidTr="00247EE7">
        <w:trPr>
          <w:trHeight w:val="170"/>
        </w:trPr>
        <w:tc>
          <w:tcPr>
            <w:tcW w:w="4811" w:type="dxa"/>
            <w:gridSpan w:val="3"/>
            <w:hideMark/>
          </w:tcPr>
          <w:p w14:paraId="69034354" w14:textId="77777777" w:rsidR="00693FEC" w:rsidRDefault="00693FEC" w:rsidP="00247EE7">
            <w:pPr>
              <w:jc w:val="right"/>
              <w:rPr>
                <w:spacing w:val="-4"/>
                <w:sz w:val="16"/>
                <w:szCs w:val="16"/>
                <w:lang w:eastAsia="en-US"/>
              </w:rPr>
            </w:pPr>
            <w:r>
              <w:rPr>
                <w:spacing w:val="-4"/>
                <w:sz w:val="16"/>
                <w:szCs w:val="16"/>
                <w:lang w:eastAsia="en-US"/>
              </w:rPr>
              <w:t>Zdroj: ČSÚ</w:t>
            </w:r>
          </w:p>
        </w:tc>
        <w:tc>
          <w:tcPr>
            <w:tcW w:w="57" w:type="dxa"/>
          </w:tcPr>
          <w:p w14:paraId="3D3ACBB3" w14:textId="77777777" w:rsidR="00693FEC" w:rsidRDefault="00693FEC" w:rsidP="00247EE7">
            <w:pPr>
              <w:spacing w:after="0"/>
              <w:rPr>
                <w:spacing w:val="-4"/>
                <w:lang w:eastAsia="en-US"/>
              </w:rPr>
            </w:pPr>
          </w:p>
        </w:tc>
        <w:tc>
          <w:tcPr>
            <w:tcW w:w="4809" w:type="dxa"/>
            <w:hideMark/>
          </w:tcPr>
          <w:p w14:paraId="13A5783C" w14:textId="77777777" w:rsidR="00693FEC" w:rsidRDefault="00693FEC" w:rsidP="00247EE7">
            <w:pPr>
              <w:spacing w:after="0"/>
              <w:ind w:right="21"/>
              <w:jc w:val="right"/>
              <w:rPr>
                <w:spacing w:val="-4"/>
                <w:lang w:eastAsia="en-US"/>
              </w:rPr>
            </w:pPr>
            <w:r>
              <w:rPr>
                <w:spacing w:val="-4"/>
                <w:sz w:val="16"/>
                <w:szCs w:val="16"/>
                <w:lang w:eastAsia="en-US"/>
              </w:rPr>
              <w:t>Zdroj: ČSÚ</w:t>
            </w:r>
          </w:p>
        </w:tc>
      </w:tr>
      <w:tr w:rsidR="00693FEC" w14:paraId="6184F917" w14:textId="77777777" w:rsidTr="00247EE7">
        <w:trPr>
          <w:trHeight w:val="150"/>
        </w:trPr>
        <w:tc>
          <w:tcPr>
            <w:tcW w:w="1748" w:type="dxa"/>
          </w:tcPr>
          <w:p w14:paraId="475D6423" w14:textId="77777777" w:rsidR="00693FEC" w:rsidRDefault="00693FEC" w:rsidP="00247EE7">
            <w:pPr>
              <w:pStyle w:val="Marginlie"/>
              <w:rPr>
                <w:lang w:eastAsia="en-US"/>
              </w:rPr>
            </w:pPr>
            <w:r>
              <w:rPr>
                <w:lang w:eastAsia="en-US"/>
              </w:rPr>
              <w:t>Přebytek obchodu s motorovými vozidly loni celkově vzrostl, v závěru roku se ale meziročně zhoršil.</w:t>
            </w:r>
          </w:p>
        </w:tc>
        <w:tc>
          <w:tcPr>
            <w:tcW w:w="252" w:type="dxa"/>
          </w:tcPr>
          <w:p w14:paraId="64D77864" w14:textId="77777777" w:rsidR="00693FEC" w:rsidRDefault="00693FEC" w:rsidP="00247EE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77" w:type="dxa"/>
            <w:gridSpan w:val="3"/>
          </w:tcPr>
          <w:p w14:paraId="393280D3" w14:textId="77777777" w:rsidR="00693FEC" w:rsidRDefault="00693FEC" w:rsidP="00247EE7">
            <w:pPr>
              <w:rPr>
                <w:spacing w:val="-4"/>
                <w:lang w:eastAsia="en-US"/>
              </w:rPr>
            </w:pPr>
            <w:r>
              <w:rPr>
                <w:spacing w:val="-4"/>
                <w:lang w:eastAsia="en-US"/>
              </w:rPr>
              <w:t xml:space="preserve">V loňském roce ve směru zlepšení bilance zahraničního obchodu nejvíce působil obchod s motorovými vozidly (+60,5 mld. korun), elektrickými zařízeními (+35,0 mld.), ropou a zemním plynem (+25,1 mld.) a černým a hnědým uhlím a lignitem (+10,1 mld.). Zhoršovalo se naopak saldo obchodu s koksem a rafinovanými ropnými produkty (−18,0 mld. korun), kovodělnými výrobky (−13,0 mld.) a základními kovy (−12,2 mld.). V samotném 4. čtvrtletí se meziročně zhoršovala bilance zahraničního obchodu </w:t>
            </w:r>
            <w:r>
              <w:rPr>
                <w:spacing w:val="-4"/>
                <w:lang w:eastAsia="en-US"/>
              </w:rPr>
              <w:lastRenderedPageBreak/>
              <w:t>u převažujícího podílu výrobků, ale největší vliv na celkovém propadu přebytku mělo velké snížení přebytku obchodu s kovodělnými výrobky (viz Tabulka č. 5). Výrazně se zhoršila rovněž bilance obchodu s počítači, elektronickými a optickými přístroji a zařízeními a základními kovy. Naopak u ropy a zemního plynu se deficit zmírnil a ve směru zlepšení celkové bilance působil také obchod s motorovými vozidly, elektrickými zařízeními nebo elektřinou.</w:t>
            </w:r>
          </w:p>
        </w:tc>
      </w:tr>
      <w:tr w:rsidR="00693FEC" w14:paraId="11A49A85" w14:textId="77777777" w:rsidTr="00247EE7">
        <w:trPr>
          <w:trHeight w:val="170"/>
        </w:trPr>
        <w:tc>
          <w:tcPr>
            <w:tcW w:w="1748" w:type="dxa"/>
            <w:vMerge w:val="restart"/>
          </w:tcPr>
          <w:p w14:paraId="4554CA69" w14:textId="77777777" w:rsidR="00693FEC" w:rsidRDefault="00693FEC" w:rsidP="00247EE7">
            <w:pPr>
              <w:pStyle w:val="Marginlie"/>
              <w:rPr>
                <w:lang w:eastAsia="en-US"/>
              </w:rPr>
            </w:pPr>
          </w:p>
        </w:tc>
        <w:tc>
          <w:tcPr>
            <w:tcW w:w="252" w:type="dxa"/>
            <w:vMerge w:val="restart"/>
          </w:tcPr>
          <w:p w14:paraId="60E5FCED" w14:textId="77777777" w:rsidR="00693FEC" w:rsidRDefault="00693FEC" w:rsidP="00247EE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77" w:type="dxa"/>
            <w:gridSpan w:val="3"/>
          </w:tcPr>
          <w:p w14:paraId="722507AE" w14:textId="77777777" w:rsidR="00693FEC" w:rsidRDefault="00693FEC" w:rsidP="00247EE7">
            <w:pPr>
              <w:spacing w:after="0"/>
              <w:rPr>
                <w:spacing w:val="-4"/>
                <w:lang w:eastAsia="en-US"/>
              </w:rPr>
            </w:pP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 xml:space="preserve">Graf č. 10 Vývoz a dovoz zboží </w:t>
            </w:r>
            <w:r>
              <w:rPr>
                <w:rFonts w:cs="Arial"/>
                <w:bCs/>
                <w:color w:val="000000"/>
                <w:szCs w:val="20"/>
                <w:lang w:eastAsia="en-US"/>
              </w:rPr>
              <w:t>(meziročně v %)</w:t>
            </w:r>
            <w:r>
              <w:rPr>
                <w:rFonts w:cs="Arial"/>
                <w:b/>
                <w:bCs/>
                <w:color w:val="000000"/>
                <w:szCs w:val="20"/>
                <w:lang w:eastAsia="en-US"/>
              </w:rPr>
              <w:t xml:space="preserve"> a bilance zahraničního obchodu se zbožím </w:t>
            </w:r>
            <w:r>
              <w:rPr>
                <w:rFonts w:cs="Arial"/>
                <w:bCs/>
                <w:color w:val="000000"/>
                <w:szCs w:val="20"/>
                <w:lang w:eastAsia="en-US"/>
              </w:rPr>
              <w:t>(v mld. korun, pravá osa)</w:t>
            </w:r>
          </w:p>
        </w:tc>
      </w:tr>
      <w:tr w:rsidR="00693FEC" w14:paraId="605C99FE" w14:textId="77777777" w:rsidTr="00247EE7">
        <w:tblPrEx>
          <w:tblCellMar>
            <w:left w:w="70" w:type="dxa"/>
            <w:right w:w="70" w:type="dxa"/>
          </w:tblCellMar>
        </w:tblPrEx>
        <w:trPr>
          <w:trHeight w:val="170"/>
        </w:trPr>
        <w:tc>
          <w:tcPr>
            <w:tcW w:w="1748" w:type="dxa"/>
            <w:vMerge/>
          </w:tcPr>
          <w:p w14:paraId="72C8A0FA" w14:textId="77777777" w:rsidR="00693FEC" w:rsidRDefault="00693FEC" w:rsidP="00247EE7">
            <w:pPr>
              <w:pStyle w:val="Marginlie"/>
              <w:rPr>
                <w:lang w:eastAsia="en-US"/>
              </w:rPr>
            </w:pPr>
          </w:p>
        </w:tc>
        <w:tc>
          <w:tcPr>
            <w:tcW w:w="252" w:type="dxa"/>
            <w:vMerge/>
          </w:tcPr>
          <w:p w14:paraId="15D48DA9" w14:textId="77777777" w:rsidR="00693FEC" w:rsidRDefault="00693FEC" w:rsidP="00247EE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77" w:type="dxa"/>
            <w:gridSpan w:val="3"/>
          </w:tcPr>
          <w:p w14:paraId="164B432C" w14:textId="77777777" w:rsidR="00693FEC" w:rsidRDefault="00693FEC" w:rsidP="00247EE7">
            <w:pPr>
              <w:spacing w:after="0"/>
              <w:rPr>
                <w:spacing w:val="-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565118E" wp14:editId="015F5672">
                  <wp:extent cx="4770000" cy="3540625"/>
                  <wp:effectExtent l="0" t="0" r="0" b="3175"/>
                  <wp:docPr id="14" name="Graf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E34A376-5955-451A-B8E8-536A257FF3C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693FEC" w14:paraId="3E135A56" w14:textId="77777777" w:rsidTr="00247EE7">
        <w:trPr>
          <w:trHeight w:val="170"/>
        </w:trPr>
        <w:tc>
          <w:tcPr>
            <w:tcW w:w="1748" w:type="dxa"/>
            <w:vMerge/>
          </w:tcPr>
          <w:p w14:paraId="5B8C8927" w14:textId="77777777" w:rsidR="00693FEC" w:rsidRDefault="00693FEC" w:rsidP="00247EE7">
            <w:pPr>
              <w:pStyle w:val="Marginlie"/>
              <w:rPr>
                <w:lang w:eastAsia="en-US"/>
              </w:rPr>
            </w:pPr>
          </w:p>
        </w:tc>
        <w:tc>
          <w:tcPr>
            <w:tcW w:w="252" w:type="dxa"/>
            <w:vMerge/>
          </w:tcPr>
          <w:p w14:paraId="39767BE1" w14:textId="77777777" w:rsidR="00693FEC" w:rsidRDefault="00693FEC" w:rsidP="00247EE7">
            <w:pPr>
              <w:pStyle w:val="Textpoznpodarou"/>
              <w:jc w:val="both"/>
              <w:rPr>
                <w:spacing w:val="-4"/>
                <w:lang w:eastAsia="en-US"/>
              </w:rPr>
            </w:pPr>
          </w:p>
        </w:tc>
        <w:tc>
          <w:tcPr>
            <w:tcW w:w="7677" w:type="dxa"/>
            <w:gridSpan w:val="3"/>
          </w:tcPr>
          <w:p w14:paraId="117B30FF" w14:textId="77777777" w:rsidR="00693FEC" w:rsidRDefault="00693FEC" w:rsidP="00247EE7">
            <w:pPr>
              <w:jc w:val="right"/>
              <w:rPr>
                <w:spacing w:val="-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Zdroj: ČSÚ</w:t>
            </w:r>
          </w:p>
        </w:tc>
      </w:tr>
      <w:bookmarkEnd w:id="3"/>
      <w:bookmarkEnd w:id="4"/>
      <w:bookmarkEnd w:id="5"/>
    </w:tbl>
    <w:p w14:paraId="077D7BD3" w14:textId="77777777" w:rsidR="00693FEC" w:rsidRDefault="00693FEC" w:rsidP="00693FEC">
      <w:pPr>
        <w:spacing w:after="0" w:line="240" w:lineRule="auto"/>
        <w:jc w:val="left"/>
        <w:rPr>
          <w:rFonts w:eastAsia="MS Gothic"/>
          <w:bCs/>
          <w:color w:val="71818C"/>
          <w:sz w:val="2"/>
          <w:szCs w:val="2"/>
        </w:rPr>
      </w:pPr>
    </w:p>
    <w:p w14:paraId="77AF8314" w14:textId="4F4635C1" w:rsidR="00693FEC" w:rsidRDefault="00693FEC">
      <w:pPr>
        <w:spacing w:after="0" w:line="240" w:lineRule="auto"/>
        <w:jc w:val="left"/>
        <w:rPr>
          <w:rFonts w:eastAsia="MS Gothic"/>
          <w:b/>
          <w:bCs/>
          <w:color w:val="86BF5E"/>
          <w:sz w:val="32"/>
          <w:szCs w:val="28"/>
        </w:rPr>
      </w:pPr>
      <w:bookmarkStart w:id="6" w:name="_GoBack"/>
      <w:bookmarkEnd w:id="6"/>
    </w:p>
    <w:bookmarkEnd w:id="1"/>
    <w:sectPr w:rsidR="00693FEC" w:rsidSect="00A41174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1134" w:bottom="1418" w:left="1134" w:header="680" w:footer="680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2EF3C" w14:textId="77777777" w:rsidR="002B48B4" w:rsidRDefault="002B48B4" w:rsidP="00E71A58">
      <w:r>
        <w:separator/>
      </w:r>
    </w:p>
  </w:endnote>
  <w:endnote w:type="continuationSeparator" w:id="0">
    <w:p w14:paraId="70B7E2B6" w14:textId="77777777" w:rsidR="002B48B4" w:rsidRDefault="002B48B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8" w14:textId="200FB088" w:rsidR="002B48B4" w:rsidRPr="00932443" w:rsidRDefault="002B48B4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2143298A" wp14:editId="2143298B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1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A41174">
      <w:rPr>
        <w:szCs w:val="16"/>
      </w:rPr>
      <w:t>26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rok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9" w14:textId="4D5817FF" w:rsidR="002B48B4" w:rsidRPr="00932443" w:rsidRDefault="002B48B4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57216" behindDoc="0" locked="0" layoutInCell="1" allowOverlap="1" wp14:anchorId="2143298C" wp14:editId="2143298D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2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2443">
      <w:rPr>
        <w:szCs w:val="16"/>
      </w:rPr>
      <w:tab/>
    </w:r>
    <w:r>
      <w:rPr>
        <w:szCs w:val="16"/>
      </w:rPr>
      <w:t>rok 2024</w:t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A41174">
      <w:rPr>
        <w:rStyle w:val="ZpatChar"/>
        <w:szCs w:val="16"/>
      </w:rPr>
      <w:t>27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0D8F6" w14:textId="77777777" w:rsidR="002B48B4" w:rsidRDefault="002B48B4" w:rsidP="00EA4302">
      <w:pPr>
        <w:spacing w:after="0"/>
      </w:pPr>
      <w:r>
        <w:separator/>
      </w:r>
    </w:p>
  </w:footnote>
  <w:footnote w:type="continuationSeparator" w:id="0">
    <w:p w14:paraId="70CDBF0C" w14:textId="77777777" w:rsidR="002B48B4" w:rsidRDefault="002B48B4" w:rsidP="00E71A58">
      <w:r>
        <w:continuationSeparator/>
      </w:r>
    </w:p>
  </w:footnote>
  <w:footnote w:id="1">
    <w:p w14:paraId="41840F6F" w14:textId="77777777" w:rsidR="002B48B4" w:rsidRPr="001F1881" w:rsidRDefault="002B48B4" w:rsidP="00693FEC">
      <w:pPr>
        <w:pStyle w:val="Textpoznpodarou"/>
        <w:rPr>
          <w:rFonts w:cs="Arial"/>
          <w:iCs/>
          <w:sz w:val="16"/>
          <w:szCs w:val="16"/>
        </w:rPr>
      </w:pPr>
      <w:r w:rsidRPr="00B6522D">
        <w:rPr>
          <w:rStyle w:val="Znakapoznpodarou"/>
          <w:rFonts w:cs="Arial"/>
          <w:i/>
          <w:sz w:val="16"/>
          <w:szCs w:val="16"/>
        </w:rPr>
        <w:footnoteRef/>
      </w:r>
      <w:r w:rsidRPr="00B6522D">
        <w:rPr>
          <w:rFonts w:cs="Arial"/>
          <w:i/>
          <w:iCs/>
          <w:sz w:val="16"/>
          <w:szCs w:val="16"/>
        </w:rPr>
        <w:t xml:space="preserve"> </w:t>
      </w:r>
      <w:r w:rsidRPr="00B6522D">
        <w:rPr>
          <w:rStyle w:val="Zdraznn"/>
          <w:rFonts w:cs="Arial"/>
          <w:i w:val="0"/>
          <w:sz w:val="16"/>
          <w:szCs w:val="16"/>
          <w:bdr w:val="none" w:sz="0" w:space="0" w:color="auto" w:frame="1"/>
          <w:shd w:val="clear" w:color="auto" w:fill="FFFFFF"/>
        </w:rPr>
        <w:t>Údaje za zahraniční obchod se zbožím jsou od roku 2020 přepočítávány aktualizovanou metodou založenou na vyšší míře detailu, viz </w:t>
      </w:r>
      <w:hyperlink r:id="rId1" w:history="1">
        <w:r w:rsidRPr="00B6522D">
          <w:rPr>
            <w:rStyle w:val="Hypertextovodkaz"/>
            <w:rFonts w:cs="Arial"/>
            <w:i/>
            <w:sz w:val="16"/>
            <w:szCs w:val="16"/>
            <w:bdr w:val="none" w:sz="0" w:space="0" w:color="auto" w:frame="1"/>
            <w:shd w:val="clear" w:color="auto" w:fill="FFFFFF"/>
          </w:rPr>
          <w:t>https://www.czso.cz/csu/czso/aktualizace-metody-propoctu-zahranicni-obchod-se-zbozim</w:t>
        </w:r>
      </w:hyperlink>
      <w:r w:rsidRPr="00B6522D">
        <w:rPr>
          <w:rStyle w:val="Hypertextovodkaz"/>
          <w:rFonts w:cs="Arial"/>
          <w:i/>
          <w:sz w:val="16"/>
          <w:szCs w:val="16"/>
          <w:bdr w:val="none" w:sz="0" w:space="0" w:color="auto" w:frame="1"/>
          <w:shd w:val="clear" w:color="auto" w:fill="FFFFFF"/>
        </w:rPr>
        <w:t xml:space="preserve">. </w:t>
      </w:r>
      <w:r w:rsidRPr="00B6522D">
        <w:rPr>
          <w:sz w:val="16"/>
          <w:szCs w:val="16"/>
        </w:rPr>
        <w:t>Není-li uvedeno jinak, jsou všechny údaje</w:t>
      </w:r>
      <w:r w:rsidRPr="001F1881">
        <w:rPr>
          <w:sz w:val="16"/>
          <w:szCs w:val="16"/>
        </w:rPr>
        <w:t xml:space="preserve"> sezónně neočištěné a v běžných cenách.</w:t>
      </w:r>
    </w:p>
  </w:footnote>
  <w:footnote w:id="2">
    <w:p w14:paraId="0250DBC3" w14:textId="77777777" w:rsidR="002B48B4" w:rsidRPr="001F1881" w:rsidRDefault="002B48B4" w:rsidP="00693FEC">
      <w:pPr>
        <w:pStyle w:val="Textpoznpodarou"/>
        <w:rPr>
          <w:sz w:val="16"/>
          <w:szCs w:val="16"/>
        </w:rPr>
      </w:pPr>
      <w:r w:rsidRPr="000A5229">
        <w:rPr>
          <w:rStyle w:val="Znakapoznpodarou"/>
          <w:sz w:val="16"/>
          <w:szCs w:val="16"/>
        </w:rPr>
        <w:footnoteRef/>
      </w:r>
      <w:r w:rsidRPr="000A5229">
        <w:rPr>
          <w:sz w:val="16"/>
          <w:szCs w:val="16"/>
        </w:rPr>
        <w:t xml:space="preserve"> Ceny vývozu zboží</w:t>
      </w:r>
      <w:r>
        <w:rPr>
          <w:sz w:val="16"/>
          <w:szCs w:val="16"/>
        </w:rPr>
        <w:t xml:space="preserve"> za celý rok 2024 vzrostly o 3,1 %. V samotném 4. čtvrtletí byly ceny exportu meziročně vyšší o 4,1 % </w:t>
      </w:r>
      <w:r>
        <w:rPr>
          <w:sz w:val="16"/>
          <w:szCs w:val="16"/>
        </w:rPr>
        <w:br/>
        <w:t xml:space="preserve">a mezičtvrtletně o 0,9 %. </w:t>
      </w:r>
    </w:p>
  </w:footnote>
  <w:footnote w:id="3">
    <w:p w14:paraId="730B7CE3" w14:textId="77777777" w:rsidR="002B48B4" w:rsidRPr="00B20923" w:rsidRDefault="002B48B4" w:rsidP="00693FEC">
      <w:pPr>
        <w:pStyle w:val="Textpoznpodarou"/>
        <w:rPr>
          <w:sz w:val="16"/>
          <w:szCs w:val="16"/>
        </w:rPr>
      </w:pPr>
      <w:r w:rsidRPr="00B20923">
        <w:rPr>
          <w:rStyle w:val="Znakapoznpodarou"/>
          <w:sz w:val="16"/>
          <w:szCs w:val="16"/>
        </w:rPr>
        <w:footnoteRef/>
      </w:r>
      <w:r w:rsidRPr="00B2092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 přírůstku se z většiny podílela </w:t>
      </w:r>
      <w:r w:rsidRPr="00B20923">
        <w:rPr>
          <w:sz w:val="16"/>
          <w:szCs w:val="16"/>
        </w:rPr>
        <w:t>motorov</w:t>
      </w:r>
      <w:r>
        <w:rPr>
          <w:sz w:val="16"/>
          <w:szCs w:val="16"/>
        </w:rPr>
        <w:t>á</w:t>
      </w:r>
      <w:r w:rsidRPr="00B20923">
        <w:rPr>
          <w:sz w:val="16"/>
          <w:szCs w:val="16"/>
        </w:rPr>
        <w:t xml:space="preserve"> vozidl</w:t>
      </w:r>
      <w:r>
        <w:rPr>
          <w:sz w:val="16"/>
          <w:szCs w:val="16"/>
        </w:rPr>
        <w:t>a a jejich díly</w:t>
      </w:r>
      <w:r w:rsidRPr="00B20923">
        <w:rPr>
          <w:sz w:val="16"/>
          <w:szCs w:val="16"/>
        </w:rPr>
        <w:t>.</w:t>
      </w:r>
    </w:p>
  </w:footnote>
  <w:footnote w:id="4">
    <w:p w14:paraId="1AC30163" w14:textId="77777777" w:rsidR="002B48B4" w:rsidRPr="002834F1" w:rsidRDefault="002B48B4" w:rsidP="00693FEC">
      <w:pPr>
        <w:pStyle w:val="Textpoznpodarou"/>
        <w:rPr>
          <w:sz w:val="16"/>
          <w:szCs w:val="16"/>
        </w:rPr>
      </w:pPr>
      <w:r w:rsidRPr="002834F1">
        <w:rPr>
          <w:rStyle w:val="Znakapoznpodarou"/>
          <w:sz w:val="16"/>
          <w:szCs w:val="16"/>
        </w:rPr>
        <w:footnoteRef/>
      </w:r>
      <w:r w:rsidRPr="002834F1">
        <w:rPr>
          <w:sz w:val="16"/>
          <w:szCs w:val="16"/>
        </w:rPr>
        <w:t xml:space="preserve"> U Singapuru i Japonska narostl zejména export počítačů, elektronických a optických přístrojů a zařízení.</w:t>
      </w:r>
    </w:p>
  </w:footnote>
  <w:footnote w:id="5">
    <w:p w14:paraId="4618F32E" w14:textId="77777777" w:rsidR="002B48B4" w:rsidRPr="002834F1" w:rsidRDefault="002B48B4" w:rsidP="00693FEC">
      <w:pPr>
        <w:pStyle w:val="Textpoznpodarou"/>
        <w:rPr>
          <w:sz w:val="16"/>
          <w:szCs w:val="16"/>
        </w:rPr>
      </w:pPr>
      <w:r w:rsidRPr="002834F1">
        <w:rPr>
          <w:rStyle w:val="Znakapoznpodarou"/>
          <w:sz w:val="16"/>
          <w:szCs w:val="16"/>
        </w:rPr>
        <w:footnoteRef/>
      </w:r>
      <w:r w:rsidRPr="002834F1">
        <w:rPr>
          <w:sz w:val="16"/>
          <w:szCs w:val="16"/>
        </w:rPr>
        <w:t xml:space="preserve"> Přírůstky v řádu desítek procent zde trvají od roku 2021, zejména v oblasti počítačů a elektroniky. Loni výrazně narostl také vývoz motorových vozidel.</w:t>
      </w:r>
    </w:p>
  </w:footnote>
  <w:footnote w:id="6">
    <w:p w14:paraId="4635F8BD" w14:textId="77777777" w:rsidR="002B48B4" w:rsidRDefault="002B48B4" w:rsidP="00693FEC">
      <w:pPr>
        <w:pStyle w:val="Textpoznpodarou"/>
      </w:pPr>
      <w:r w:rsidRPr="002834F1">
        <w:rPr>
          <w:rStyle w:val="Znakapoznpodarou"/>
          <w:sz w:val="16"/>
          <w:szCs w:val="16"/>
        </w:rPr>
        <w:footnoteRef/>
      </w:r>
      <w:r w:rsidRPr="002834F1">
        <w:rPr>
          <w:sz w:val="16"/>
          <w:szCs w:val="16"/>
        </w:rPr>
        <w:t xml:space="preserve"> Nárůsty napříč různými oddíly klasifikace CPA</w:t>
      </w:r>
      <w:r>
        <w:rPr>
          <w:sz w:val="16"/>
          <w:szCs w:val="16"/>
        </w:rPr>
        <w:t xml:space="preserve"> (</w:t>
      </w:r>
      <w:r w:rsidRPr="002834F1">
        <w:rPr>
          <w:sz w:val="16"/>
          <w:szCs w:val="16"/>
        </w:rPr>
        <w:t>chemické látky a přípravky, počítače, stroje a zařízení</w:t>
      </w:r>
      <w:r>
        <w:rPr>
          <w:sz w:val="16"/>
          <w:szCs w:val="16"/>
        </w:rPr>
        <w:t>,</w:t>
      </w:r>
      <w:r w:rsidRPr="002834F1">
        <w:rPr>
          <w:sz w:val="16"/>
          <w:szCs w:val="16"/>
        </w:rPr>
        <w:t xml:space="preserve"> motorová vozidla a díly</w:t>
      </w:r>
      <w:r>
        <w:rPr>
          <w:sz w:val="16"/>
          <w:szCs w:val="16"/>
        </w:rPr>
        <w:t>)</w:t>
      </w:r>
      <w:r w:rsidRPr="002834F1">
        <w:rPr>
          <w:sz w:val="16"/>
          <w:szCs w:val="16"/>
        </w:rPr>
        <w:t>.</w:t>
      </w:r>
      <w:r>
        <w:t xml:space="preserve">  </w:t>
      </w:r>
    </w:p>
  </w:footnote>
  <w:footnote w:id="7">
    <w:p w14:paraId="1F943A03" w14:textId="77777777" w:rsidR="002B48B4" w:rsidRPr="000A5229" w:rsidRDefault="002B48B4" w:rsidP="00693FEC">
      <w:pPr>
        <w:pStyle w:val="Textpoznpodarou"/>
        <w:rPr>
          <w:sz w:val="16"/>
          <w:szCs w:val="16"/>
        </w:rPr>
      </w:pPr>
      <w:r w:rsidRPr="000A5229">
        <w:rPr>
          <w:rStyle w:val="Znakapoznpodarou"/>
          <w:sz w:val="16"/>
          <w:szCs w:val="16"/>
        </w:rPr>
        <w:footnoteRef/>
      </w:r>
      <w:r w:rsidRPr="000A5229">
        <w:rPr>
          <w:sz w:val="16"/>
          <w:szCs w:val="16"/>
        </w:rPr>
        <w:t xml:space="preserve"> Ceny dovozu zboží byly </w:t>
      </w:r>
      <w:r>
        <w:rPr>
          <w:sz w:val="16"/>
          <w:szCs w:val="16"/>
        </w:rPr>
        <w:t>v roce 2024 vyšší o 1,5 %. V</w:t>
      </w:r>
      <w:r w:rsidRPr="000A5229">
        <w:rPr>
          <w:sz w:val="16"/>
          <w:szCs w:val="16"/>
        </w:rPr>
        <w:t>e</w:t>
      </w:r>
      <w:r>
        <w:rPr>
          <w:sz w:val="16"/>
          <w:szCs w:val="16"/>
        </w:rPr>
        <w:t xml:space="preserve"> 4</w:t>
      </w:r>
      <w:r w:rsidRPr="000A5229">
        <w:rPr>
          <w:sz w:val="16"/>
          <w:szCs w:val="16"/>
        </w:rPr>
        <w:t xml:space="preserve">. čtvrtletí </w:t>
      </w:r>
      <w:r>
        <w:rPr>
          <w:sz w:val="16"/>
          <w:szCs w:val="16"/>
        </w:rPr>
        <w:t xml:space="preserve">ceny importu </w:t>
      </w:r>
      <w:r w:rsidRPr="000A5229">
        <w:rPr>
          <w:sz w:val="16"/>
          <w:szCs w:val="16"/>
        </w:rPr>
        <w:t xml:space="preserve">meziročně </w:t>
      </w:r>
      <w:r>
        <w:rPr>
          <w:sz w:val="16"/>
          <w:szCs w:val="16"/>
        </w:rPr>
        <w:t>vzrostly o 2,2 % a mezičtvrtletně o 0,9 %.</w:t>
      </w:r>
    </w:p>
  </w:footnote>
  <w:footnote w:id="8">
    <w:p w14:paraId="14824648" w14:textId="77777777" w:rsidR="002B48B4" w:rsidRPr="001F1881" w:rsidRDefault="002B48B4" w:rsidP="00693FEC">
      <w:pPr>
        <w:pStyle w:val="Textpoznpodarou"/>
        <w:rPr>
          <w:sz w:val="16"/>
          <w:szCs w:val="16"/>
        </w:rPr>
      </w:pPr>
      <w:r w:rsidRPr="000A5229">
        <w:rPr>
          <w:rStyle w:val="Znakapoznpodarou"/>
          <w:sz w:val="16"/>
          <w:szCs w:val="16"/>
        </w:rPr>
        <w:footnoteRef/>
      </w:r>
      <w:r w:rsidRPr="000A5229">
        <w:rPr>
          <w:sz w:val="16"/>
          <w:szCs w:val="16"/>
        </w:rPr>
        <w:t xml:space="preserve"> N</w:t>
      </w:r>
      <w:r w:rsidRPr="000A5229">
        <w:rPr>
          <w:spacing w:val="-4"/>
          <w:sz w:val="16"/>
          <w:szCs w:val="16"/>
          <w:lang w:eastAsia="en-US"/>
        </w:rPr>
        <w:t>árůst u Tchaj-wanu souvisel s nárůstem dovozu počítačů a elektronických a optických přístrojů.</w:t>
      </w:r>
    </w:p>
  </w:footnote>
  <w:footnote w:id="9">
    <w:p w14:paraId="64CEECAE" w14:textId="77777777" w:rsidR="002B48B4" w:rsidRPr="00370717" w:rsidRDefault="002B48B4" w:rsidP="00693FEC">
      <w:pPr>
        <w:pStyle w:val="Textpoznpodarou"/>
        <w:rPr>
          <w:sz w:val="16"/>
          <w:szCs w:val="16"/>
        </w:rPr>
      </w:pPr>
      <w:r w:rsidRPr="00370717">
        <w:rPr>
          <w:rStyle w:val="Znakapoznpodarou"/>
          <w:sz w:val="16"/>
          <w:szCs w:val="16"/>
        </w:rPr>
        <w:footnoteRef/>
      </w:r>
      <w:r w:rsidRPr="00370717">
        <w:rPr>
          <w:sz w:val="16"/>
          <w:szCs w:val="16"/>
        </w:rPr>
        <w:t xml:space="preserve"> Letošní pokles souvisí s</w:t>
      </w:r>
      <w:r>
        <w:rPr>
          <w:sz w:val="16"/>
          <w:szCs w:val="16"/>
        </w:rPr>
        <w:t xml:space="preserve"> loňskou </w:t>
      </w:r>
      <w:r w:rsidRPr="00370717">
        <w:rPr>
          <w:sz w:val="16"/>
          <w:szCs w:val="16"/>
        </w:rPr>
        <w:t>vysokou srovnávací základnou u</w:t>
      </w:r>
      <w:r>
        <w:rPr>
          <w:sz w:val="16"/>
          <w:szCs w:val="16"/>
        </w:rPr>
        <w:t xml:space="preserve"> výrobků potřebných k instalaci fotovoltaických elektráren (zejména baterie). Dovoz vrcholil v první polovině roku 2023 a následně začal klesat.</w:t>
      </w:r>
      <w:r w:rsidRPr="00370717">
        <w:rPr>
          <w:sz w:val="16"/>
          <w:szCs w:val="16"/>
        </w:rPr>
        <w:t xml:space="preserve"> </w:t>
      </w:r>
    </w:p>
  </w:footnote>
  <w:footnote w:id="10">
    <w:p w14:paraId="715AB5B6" w14:textId="77777777" w:rsidR="002B48B4" w:rsidRPr="008C2D39" w:rsidRDefault="002B48B4" w:rsidP="00693FEC">
      <w:pPr>
        <w:pStyle w:val="Textpoznpodarou"/>
        <w:rPr>
          <w:sz w:val="16"/>
          <w:szCs w:val="16"/>
        </w:rPr>
      </w:pPr>
      <w:r w:rsidRPr="008C2D39">
        <w:rPr>
          <w:rStyle w:val="Znakapoznpodarou"/>
          <w:sz w:val="16"/>
          <w:szCs w:val="16"/>
        </w:rPr>
        <w:footnoteRef/>
      </w:r>
      <w:r w:rsidRPr="008C2D39">
        <w:rPr>
          <w:sz w:val="16"/>
          <w:szCs w:val="16"/>
        </w:rPr>
        <w:t xml:space="preserve"> </w:t>
      </w:r>
      <w:r>
        <w:rPr>
          <w:sz w:val="16"/>
          <w:szCs w:val="16"/>
        </w:rPr>
        <w:t>Z pohledu historických časových řad jde stále o výrazný přebytek. Ve 4. kvartálu obvykle bilance dosahuje nižších přebytků ve srovnání se zbytkem roku.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6" w14:textId="3C11EE3B" w:rsidR="002B48B4" w:rsidRPr="00C27E4F" w:rsidRDefault="002B48B4" w:rsidP="00C27E4F">
    <w:pPr>
      <w:pStyle w:val="Zhlav"/>
    </w:pPr>
    <w:r>
      <w:t>Vývoj ekonomiky České republiky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32987" w14:textId="4F78F164" w:rsidR="002B48B4" w:rsidRPr="006F5416" w:rsidRDefault="002B48B4" w:rsidP="00937AE2">
    <w:pPr>
      <w:pStyle w:val="Zhlav"/>
    </w:pPr>
    <w:r>
      <w:t>Vývoj ekonomiky 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95764B"/>
    <w:multiLevelType w:val="hybridMultilevel"/>
    <w:tmpl w:val="84788BC8"/>
    <w:lvl w:ilvl="0" w:tplc="1B96A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3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558D6"/>
    <w:multiLevelType w:val="hybridMultilevel"/>
    <w:tmpl w:val="1B90B8E0"/>
    <w:lvl w:ilvl="0" w:tplc="4B66ED1E">
      <w:start w:val="1"/>
      <w:numFmt w:val="decimal"/>
      <w:lvlText w:val="%1."/>
      <w:lvlJc w:val="left"/>
      <w:pPr>
        <w:ind w:left="49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25" w:hanging="360"/>
      </w:pPr>
    </w:lvl>
    <w:lvl w:ilvl="2" w:tplc="0405001B" w:tentative="1">
      <w:start w:val="1"/>
      <w:numFmt w:val="lowerRoman"/>
      <w:lvlText w:val="%3."/>
      <w:lvlJc w:val="right"/>
      <w:pPr>
        <w:ind w:left="6345" w:hanging="180"/>
      </w:pPr>
    </w:lvl>
    <w:lvl w:ilvl="3" w:tplc="0405000F" w:tentative="1">
      <w:start w:val="1"/>
      <w:numFmt w:val="decimal"/>
      <w:lvlText w:val="%4."/>
      <w:lvlJc w:val="left"/>
      <w:pPr>
        <w:ind w:left="7065" w:hanging="360"/>
      </w:pPr>
    </w:lvl>
    <w:lvl w:ilvl="4" w:tplc="04050019" w:tentative="1">
      <w:start w:val="1"/>
      <w:numFmt w:val="lowerLetter"/>
      <w:lvlText w:val="%5."/>
      <w:lvlJc w:val="left"/>
      <w:pPr>
        <w:ind w:left="7785" w:hanging="360"/>
      </w:pPr>
    </w:lvl>
    <w:lvl w:ilvl="5" w:tplc="0405001B" w:tentative="1">
      <w:start w:val="1"/>
      <w:numFmt w:val="lowerRoman"/>
      <w:lvlText w:val="%6."/>
      <w:lvlJc w:val="right"/>
      <w:pPr>
        <w:ind w:left="8505" w:hanging="180"/>
      </w:pPr>
    </w:lvl>
    <w:lvl w:ilvl="6" w:tplc="0405000F" w:tentative="1">
      <w:start w:val="1"/>
      <w:numFmt w:val="decimal"/>
      <w:lvlText w:val="%7."/>
      <w:lvlJc w:val="left"/>
      <w:pPr>
        <w:ind w:left="9225" w:hanging="360"/>
      </w:pPr>
    </w:lvl>
    <w:lvl w:ilvl="7" w:tplc="04050019" w:tentative="1">
      <w:start w:val="1"/>
      <w:numFmt w:val="lowerLetter"/>
      <w:lvlText w:val="%8."/>
      <w:lvlJc w:val="left"/>
      <w:pPr>
        <w:ind w:left="9945" w:hanging="360"/>
      </w:pPr>
    </w:lvl>
    <w:lvl w:ilvl="8" w:tplc="0405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26" w15:restartNumberingAfterBreak="0">
    <w:nsid w:val="479678F7"/>
    <w:multiLevelType w:val="hybridMultilevel"/>
    <w:tmpl w:val="A4DE7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567A6"/>
    <w:multiLevelType w:val="hybridMultilevel"/>
    <w:tmpl w:val="50E0FC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D405E1"/>
    <w:multiLevelType w:val="multilevel"/>
    <w:tmpl w:val="5FCA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EF3AA7"/>
    <w:multiLevelType w:val="multilevel"/>
    <w:tmpl w:val="9092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B048D2"/>
    <w:multiLevelType w:val="hybridMultilevel"/>
    <w:tmpl w:val="D2A0FC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747AF"/>
    <w:multiLevelType w:val="hybridMultilevel"/>
    <w:tmpl w:val="76204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51B2D"/>
    <w:multiLevelType w:val="hybridMultilevel"/>
    <w:tmpl w:val="054EEC40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A7946"/>
    <w:multiLevelType w:val="multilevel"/>
    <w:tmpl w:val="6F3E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5"/>
  </w:num>
  <w:num w:numId="13">
    <w:abstractNumId w:val="29"/>
  </w:num>
  <w:num w:numId="14">
    <w:abstractNumId w:val="14"/>
  </w:num>
  <w:num w:numId="15">
    <w:abstractNumId w:val="20"/>
  </w:num>
  <w:num w:numId="16">
    <w:abstractNumId w:val="16"/>
  </w:num>
  <w:num w:numId="17">
    <w:abstractNumId w:val="30"/>
  </w:num>
  <w:num w:numId="18">
    <w:abstractNumId w:val="21"/>
  </w:num>
  <w:num w:numId="19">
    <w:abstractNumId w:val="32"/>
  </w:num>
  <w:num w:numId="20">
    <w:abstractNumId w:val="37"/>
  </w:num>
  <w:num w:numId="21">
    <w:abstractNumId w:val="28"/>
  </w:num>
  <w:num w:numId="22">
    <w:abstractNumId w:val="19"/>
  </w:num>
  <w:num w:numId="23">
    <w:abstractNumId w:val="17"/>
  </w:num>
  <w:num w:numId="24">
    <w:abstractNumId w:val="18"/>
  </w:num>
  <w:num w:numId="25">
    <w:abstractNumId w:val="35"/>
  </w:num>
  <w:num w:numId="26">
    <w:abstractNumId w:val="36"/>
  </w:num>
  <w:num w:numId="27">
    <w:abstractNumId w:val="37"/>
  </w:num>
  <w:num w:numId="28">
    <w:abstractNumId w:val="13"/>
  </w:num>
  <w:num w:numId="29">
    <w:abstractNumId w:val="23"/>
  </w:num>
  <w:num w:numId="30">
    <w:abstractNumId w:val="22"/>
  </w:num>
  <w:num w:numId="31">
    <w:abstractNumId w:val="10"/>
  </w:num>
  <w:num w:numId="32">
    <w:abstractNumId w:val="24"/>
  </w:num>
  <w:num w:numId="33">
    <w:abstractNumId w:val="12"/>
  </w:num>
  <w:num w:numId="34">
    <w:abstractNumId w:val="39"/>
  </w:num>
  <w:num w:numId="35">
    <w:abstractNumId w:val="11"/>
  </w:num>
  <w:num w:numId="36">
    <w:abstractNumId w:val="31"/>
  </w:num>
  <w:num w:numId="37">
    <w:abstractNumId w:val="26"/>
  </w:num>
  <w:num w:numId="38">
    <w:abstractNumId w:val="25"/>
  </w:num>
  <w:num w:numId="39">
    <w:abstractNumId w:val="33"/>
  </w:num>
  <w:num w:numId="40">
    <w:abstractNumId w:val="3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6385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62"/>
    <w:rsid w:val="0000209D"/>
    <w:rsid w:val="00004D5A"/>
    <w:rsid w:val="000056D5"/>
    <w:rsid w:val="00006ABD"/>
    <w:rsid w:val="0000767A"/>
    <w:rsid w:val="00010256"/>
    <w:rsid w:val="00010702"/>
    <w:rsid w:val="00011912"/>
    <w:rsid w:val="0002195D"/>
    <w:rsid w:val="000234D6"/>
    <w:rsid w:val="00023D29"/>
    <w:rsid w:val="00026389"/>
    <w:rsid w:val="00031AE0"/>
    <w:rsid w:val="000322EF"/>
    <w:rsid w:val="00033FCD"/>
    <w:rsid w:val="00040D10"/>
    <w:rsid w:val="00041CEC"/>
    <w:rsid w:val="0004694F"/>
    <w:rsid w:val="000522E4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5135"/>
    <w:rsid w:val="000974D1"/>
    <w:rsid w:val="0009799E"/>
    <w:rsid w:val="000A1183"/>
    <w:rsid w:val="000A256D"/>
    <w:rsid w:val="000A3A2C"/>
    <w:rsid w:val="000A5265"/>
    <w:rsid w:val="000A57D4"/>
    <w:rsid w:val="000B7C8D"/>
    <w:rsid w:val="000C3408"/>
    <w:rsid w:val="000C6AFD"/>
    <w:rsid w:val="000D5637"/>
    <w:rsid w:val="000E6FBD"/>
    <w:rsid w:val="00100F5C"/>
    <w:rsid w:val="00101CDA"/>
    <w:rsid w:val="00102C41"/>
    <w:rsid w:val="00104C4C"/>
    <w:rsid w:val="00117623"/>
    <w:rsid w:val="0012192F"/>
    <w:rsid w:val="001224E5"/>
    <w:rsid w:val="00124940"/>
    <w:rsid w:val="00125D69"/>
    <w:rsid w:val="001405FA"/>
    <w:rsid w:val="001425C3"/>
    <w:rsid w:val="001476BD"/>
    <w:rsid w:val="001612F4"/>
    <w:rsid w:val="0016256B"/>
    <w:rsid w:val="00163793"/>
    <w:rsid w:val="001706D6"/>
    <w:rsid w:val="001714F2"/>
    <w:rsid w:val="00175B9F"/>
    <w:rsid w:val="00181BBC"/>
    <w:rsid w:val="00184B08"/>
    <w:rsid w:val="00185010"/>
    <w:rsid w:val="0019143B"/>
    <w:rsid w:val="001A0487"/>
    <w:rsid w:val="001A552F"/>
    <w:rsid w:val="001B2CA9"/>
    <w:rsid w:val="001B3110"/>
    <w:rsid w:val="001B4729"/>
    <w:rsid w:val="001B6310"/>
    <w:rsid w:val="001B6C09"/>
    <w:rsid w:val="001C05CD"/>
    <w:rsid w:val="001C3924"/>
    <w:rsid w:val="001D40D7"/>
    <w:rsid w:val="001D48D4"/>
    <w:rsid w:val="001D68B2"/>
    <w:rsid w:val="001E1C2E"/>
    <w:rsid w:val="001E504C"/>
    <w:rsid w:val="001E6062"/>
    <w:rsid w:val="001F4597"/>
    <w:rsid w:val="00203DA4"/>
    <w:rsid w:val="002118B9"/>
    <w:rsid w:val="00213E46"/>
    <w:rsid w:val="00214CF7"/>
    <w:rsid w:val="00217C5B"/>
    <w:rsid w:val="0022139E"/>
    <w:rsid w:val="00222729"/>
    <w:rsid w:val="002252E0"/>
    <w:rsid w:val="002255F6"/>
    <w:rsid w:val="00227850"/>
    <w:rsid w:val="00227A53"/>
    <w:rsid w:val="00230C6E"/>
    <w:rsid w:val="00233CD7"/>
    <w:rsid w:val="00236443"/>
    <w:rsid w:val="00241B06"/>
    <w:rsid w:val="00242C10"/>
    <w:rsid w:val="002436BA"/>
    <w:rsid w:val="00244A15"/>
    <w:rsid w:val="0024661A"/>
    <w:rsid w:val="00247319"/>
    <w:rsid w:val="0024799E"/>
    <w:rsid w:val="00247EE7"/>
    <w:rsid w:val="00253C0F"/>
    <w:rsid w:val="002558C1"/>
    <w:rsid w:val="00271465"/>
    <w:rsid w:val="0028207A"/>
    <w:rsid w:val="00285412"/>
    <w:rsid w:val="00291640"/>
    <w:rsid w:val="00295A5D"/>
    <w:rsid w:val="002A1407"/>
    <w:rsid w:val="002A16D4"/>
    <w:rsid w:val="002A230C"/>
    <w:rsid w:val="002A66B0"/>
    <w:rsid w:val="002B2299"/>
    <w:rsid w:val="002B4845"/>
    <w:rsid w:val="002B48B4"/>
    <w:rsid w:val="002C2FE9"/>
    <w:rsid w:val="002C43BD"/>
    <w:rsid w:val="002D0E59"/>
    <w:rsid w:val="002E02A1"/>
    <w:rsid w:val="002E42AC"/>
    <w:rsid w:val="002E4E4C"/>
    <w:rsid w:val="00302ADD"/>
    <w:rsid w:val="00304771"/>
    <w:rsid w:val="0030495D"/>
    <w:rsid w:val="003052D4"/>
    <w:rsid w:val="00306C5B"/>
    <w:rsid w:val="003103E0"/>
    <w:rsid w:val="00314F9F"/>
    <w:rsid w:val="003209D6"/>
    <w:rsid w:val="00321924"/>
    <w:rsid w:val="0032656E"/>
    <w:rsid w:val="00332190"/>
    <w:rsid w:val="0034335E"/>
    <w:rsid w:val="00344668"/>
    <w:rsid w:val="003462D9"/>
    <w:rsid w:val="00360C86"/>
    <w:rsid w:val="00360FBC"/>
    <w:rsid w:val="00362E90"/>
    <w:rsid w:val="00364FA0"/>
    <w:rsid w:val="003657F3"/>
    <w:rsid w:val="00366591"/>
    <w:rsid w:val="0038123E"/>
    <w:rsid w:val="003818DC"/>
    <w:rsid w:val="00384327"/>
    <w:rsid w:val="00385D98"/>
    <w:rsid w:val="003A2B4D"/>
    <w:rsid w:val="003A2B5E"/>
    <w:rsid w:val="003A2D12"/>
    <w:rsid w:val="003A478C"/>
    <w:rsid w:val="003A5525"/>
    <w:rsid w:val="003A6B38"/>
    <w:rsid w:val="003B461F"/>
    <w:rsid w:val="003B5A32"/>
    <w:rsid w:val="003C3490"/>
    <w:rsid w:val="003C6550"/>
    <w:rsid w:val="003C7E62"/>
    <w:rsid w:val="003D6920"/>
    <w:rsid w:val="003E48F2"/>
    <w:rsid w:val="003E4C91"/>
    <w:rsid w:val="003E62A5"/>
    <w:rsid w:val="003F313C"/>
    <w:rsid w:val="003F37FC"/>
    <w:rsid w:val="003F4B2C"/>
    <w:rsid w:val="003F551C"/>
    <w:rsid w:val="003F62B0"/>
    <w:rsid w:val="003F72ED"/>
    <w:rsid w:val="003F7D23"/>
    <w:rsid w:val="00400DF4"/>
    <w:rsid w:val="00407C13"/>
    <w:rsid w:val="0041041D"/>
    <w:rsid w:val="00410638"/>
    <w:rsid w:val="0041501E"/>
    <w:rsid w:val="004159C3"/>
    <w:rsid w:val="00416EB7"/>
    <w:rsid w:val="00432A58"/>
    <w:rsid w:val="00434617"/>
    <w:rsid w:val="00440900"/>
    <w:rsid w:val="00441BF6"/>
    <w:rsid w:val="00443556"/>
    <w:rsid w:val="004441A0"/>
    <w:rsid w:val="004455BA"/>
    <w:rsid w:val="0045078A"/>
    <w:rsid w:val="0045086D"/>
    <w:rsid w:val="00451504"/>
    <w:rsid w:val="004607BF"/>
    <w:rsid w:val="00460FB3"/>
    <w:rsid w:val="0046627E"/>
    <w:rsid w:val="00476240"/>
    <w:rsid w:val="00476439"/>
    <w:rsid w:val="0047735C"/>
    <w:rsid w:val="004776BC"/>
    <w:rsid w:val="0048139F"/>
    <w:rsid w:val="00481E40"/>
    <w:rsid w:val="00484ECE"/>
    <w:rsid w:val="00485567"/>
    <w:rsid w:val="004915CB"/>
    <w:rsid w:val="004924DC"/>
    <w:rsid w:val="004A14E4"/>
    <w:rsid w:val="004A3212"/>
    <w:rsid w:val="004A5494"/>
    <w:rsid w:val="004A61C5"/>
    <w:rsid w:val="004A77DF"/>
    <w:rsid w:val="004B1417"/>
    <w:rsid w:val="004B55B7"/>
    <w:rsid w:val="004B5A60"/>
    <w:rsid w:val="004B6468"/>
    <w:rsid w:val="004B7125"/>
    <w:rsid w:val="004C384C"/>
    <w:rsid w:val="004C3867"/>
    <w:rsid w:val="004C4CD0"/>
    <w:rsid w:val="004C70DC"/>
    <w:rsid w:val="004D0211"/>
    <w:rsid w:val="004D0794"/>
    <w:rsid w:val="004D5C93"/>
    <w:rsid w:val="004E1288"/>
    <w:rsid w:val="004E7C6B"/>
    <w:rsid w:val="004F06F5"/>
    <w:rsid w:val="004F33A0"/>
    <w:rsid w:val="0050689D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2E62"/>
    <w:rsid w:val="0053324C"/>
    <w:rsid w:val="00534A28"/>
    <w:rsid w:val="00541508"/>
    <w:rsid w:val="00543498"/>
    <w:rsid w:val="00545512"/>
    <w:rsid w:val="00553016"/>
    <w:rsid w:val="0055599F"/>
    <w:rsid w:val="00556995"/>
    <w:rsid w:val="00556D68"/>
    <w:rsid w:val="00563EB8"/>
    <w:rsid w:val="005647BF"/>
    <w:rsid w:val="00564AF1"/>
    <w:rsid w:val="0057364B"/>
    <w:rsid w:val="00574773"/>
    <w:rsid w:val="0058308D"/>
    <w:rsid w:val="00583FFD"/>
    <w:rsid w:val="005911BE"/>
    <w:rsid w:val="00593152"/>
    <w:rsid w:val="005A10F2"/>
    <w:rsid w:val="005A21E0"/>
    <w:rsid w:val="005A28FF"/>
    <w:rsid w:val="005A3DF8"/>
    <w:rsid w:val="005A5113"/>
    <w:rsid w:val="005A5549"/>
    <w:rsid w:val="005A7038"/>
    <w:rsid w:val="005B121D"/>
    <w:rsid w:val="005C06ED"/>
    <w:rsid w:val="005C2609"/>
    <w:rsid w:val="005C6CF0"/>
    <w:rsid w:val="005D5802"/>
    <w:rsid w:val="005D7119"/>
    <w:rsid w:val="005D7890"/>
    <w:rsid w:val="005E7C78"/>
    <w:rsid w:val="005F18C5"/>
    <w:rsid w:val="005F3EB1"/>
    <w:rsid w:val="005F46D8"/>
    <w:rsid w:val="005F5469"/>
    <w:rsid w:val="00603FF5"/>
    <w:rsid w:val="00604307"/>
    <w:rsid w:val="0060487F"/>
    <w:rsid w:val="00604EAD"/>
    <w:rsid w:val="006104FB"/>
    <w:rsid w:val="00612A2F"/>
    <w:rsid w:val="00616E05"/>
    <w:rsid w:val="00622275"/>
    <w:rsid w:val="00624093"/>
    <w:rsid w:val="00625F8F"/>
    <w:rsid w:val="006350D5"/>
    <w:rsid w:val="006404A7"/>
    <w:rsid w:val="006451E4"/>
    <w:rsid w:val="00645B33"/>
    <w:rsid w:val="006516CB"/>
    <w:rsid w:val="00656FC8"/>
    <w:rsid w:val="00657E87"/>
    <w:rsid w:val="00664803"/>
    <w:rsid w:val="0066504F"/>
    <w:rsid w:val="00665BA4"/>
    <w:rsid w:val="00667AF2"/>
    <w:rsid w:val="006710C9"/>
    <w:rsid w:val="006741AC"/>
    <w:rsid w:val="00674D89"/>
    <w:rsid w:val="00675E37"/>
    <w:rsid w:val="0068174E"/>
    <w:rsid w:val="00681DCE"/>
    <w:rsid w:val="0068260E"/>
    <w:rsid w:val="00693FEC"/>
    <w:rsid w:val="00695BEF"/>
    <w:rsid w:val="006977F6"/>
    <w:rsid w:val="00697A13"/>
    <w:rsid w:val="006A109C"/>
    <w:rsid w:val="006B0F92"/>
    <w:rsid w:val="006B173A"/>
    <w:rsid w:val="006B344A"/>
    <w:rsid w:val="006B78D8"/>
    <w:rsid w:val="006C113F"/>
    <w:rsid w:val="006C123E"/>
    <w:rsid w:val="006C1752"/>
    <w:rsid w:val="006C56D4"/>
    <w:rsid w:val="006C6924"/>
    <w:rsid w:val="006C7CA6"/>
    <w:rsid w:val="006D3E8A"/>
    <w:rsid w:val="006D61F6"/>
    <w:rsid w:val="006E279A"/>
    <w:rsid w:val="006E313B"/>
    <w:rsid w:val="006E4254"/>
    <w:rsid w:val="006E7227"/>
    <w:rsid w:val="006F438E"/>
    <w:rsid w:val="006F5416"/>
    <w:rsid w:val="006F7076"/>
    <w:rsid w:val="00705242"/>
    <w:rsid w:val="00706AD4"/>
    <w:rsid w:val="00707150"/>
    <w:rsid w:val="007140BE"/>
    <w:rsid w:val="007211F5"/>
    <w:rsid w:val="00723946"/>
    <w:rsid w:val="007240E2"/>
    <w:rsid w:val="00725BB5"/>
    <w:rsid w:val="00730AE8"/>
    <w:rsid w:val="00730F1B"/>
    <w:rsid w:val="00741493"/>
    <w:rsid w:val="00752180"/>
    <w:rsid w:val="00753CAB"/>
    <w:rsid w:val="00755202"/>
    <w:rsid w:val="00755D3A"/>
    <w:rsid w:val="007578D3"/>
    <w:rsid w:val="007609C6"/>
    <w:rsid w:val="00760EA4"/>
    <w:rsid w:val="0076175D"/>
    <w:rsid w:val="00763B85"/>
    <w:rsid w:val="00764744"/>
    <w:rsid w:val="0076521E"/>
    <w:rsid w:val="007661E9"/>
    <w:rsid w:val="00773220"/>
    <w:rsid w:val="00776169"/>
    <w:rsid w:val="00776527"/>
    <w:rsid w:val="00780EF1"/>
    <w:rsid w:val="00790711"/>
    <w:rsid w:val="00790764"/>
    <w:rsid w:val="0079124F"/>
    <w:rsid w:val="0079453C"/>
    <w:rsid w:val="00794677"/>
    <w:rsid w:val="00797445"/>
    <w:rsid w:val="007A516D"/>
    <w:rsid w:val="007B6689"/>
    <w:rsid w:val="007C6BBD"/>
    <w:rsid w:val="007D40DF"/>
    <w:rsid w:val="007E29B4"/>
    <w:rsid w:val="007E435A"/>
    <w:rsid w:val="007E7E61"/>
    <w:rsid w:val="007E7FCE"/>
    <w:rsid w:val="007F0845"/>
    <w:rsid w:val="007F708D"/>
    <w:rsid w:val="00800216"/>
    <w:rsid w:val="00801E13"/>
    <w:rsid w:val="00807C82"/>
    <w:rsid w:val="00810C82"/>
    <w:rsid w:val="00814B15"/>
    <w:rsid w:val="00816905"/>
    <w:rsid w:val="00821777"/>
    <w:rsid w:val="00821FF6"/>
    <w:rsid w:val="00822574"/>
    <w:rsid w:val="00825C4D"/>
    <w:rsid w:val="0083143E"/>
    <w:rsid w:val="00831CDE"/>
    <w:rsid w:val="00834304"/>
    <w:rsid w:val="00834FAA"/>
    <w:rsid w:val="0083516C"/>
    <w:rsid w:val="00836086"/>
    <w:rsid w:val="00846121"/>
    <w:rsid w:val="008462A8"/>
    <w:rsid w:val="0084708F"/>
    <w:rsid w:val="008477C8"/>
    <w:rsid w:val="0085114D"/>
    <w:rsid w:val="00852217"/>
    <w:rsid w:val="00855408"/>
    <w:rsid w:val="00856D65"/>
    <w:rsid w:val="00861B41"/>
    <w:rsid w:val="00861BE3"/>
    <w:rsid w:val="00863434"/>
    <w:rsid w:val="00865E4C"/>
    <w:rsid w:val="008701E4"/>
    <w:rsid w:val="00871069"/>
    <w:rsid w:val="00875A32"/>
    <w:rsid w:val="00876086"/>
    <w:rsid w:val="008825B0"/>
    <w:rsid w:val="00884AD6"/>
    <w:rsid w:val="008873D4"/>
    <w:rsid w:val="0089126C"/>
    <w:rsid w:val="0089296D"/>
    <w:rsid w:val="00893E85"/>
    <w:rsid w:val="00894031"/>
    <w:rsid w:val="00895508"/>
    <w:rsid w:val="008A6CB4"/>
    <w:rsid w:val="008B5CF6"/>
    <w:rsid w:val="008B7C02"/>
    <w:rsid w:val="008B7D2B"/>
    <w:rsid w:val="008C0049"/>
    <w:rsid w:val="008C0E88"/>
    <w:rsid w:val="008C53CB"/>
    <w:rsid w:val="008D1E6A"/>
    <w:rsid w:val="008D2A16"/>
    <w:rsid w:val="008E2C57"/>
    <w:rsid w:val="008E31FF"/>
    <w:rsid w:val="008E6F06"/>
    <w:rsid w:val="008E7FC9"/>
    <w:rsid w:val="008F029B"/>
    <w:rsid w:val="008F3FC9"/>
    <w:rsid w:val="008F585B"/>
    <w:rsid w:val="009003A8"/>
    <w:rsid w:val="00902500"/>
    <w:rsid w:val="00902EFF"/>
    <w:rsid w:val="00906401"/>
    <w:rsid w:val="0091155E"/>
    <w:rsid w:val="00912A92"/>
    <w:rsid w:val="0091728D"/>
    <w:rsid w:val="0092180B"/>
    <w:rsid w:val="00921F14"/>
    <w:rsid w:val="009231A3"/>
    <w:rsid w:val="00924AC8"/>
    <w:rsid w:val="0092597A"/>
    <w:rsid w:val="00925E75"/>
    <w:rsid w:val="00930FB1"/>
    <w:rsid w:val="0093139F"/>
    <w:rsid w:val="00932443"/>
    <w:rsid w:val="00937AE2"/>
    <w:rsid w:val="0094427A"/>
    <w:rsid w:val="00945245"/>
    <w:rsid w:val="0095759C"/>
    <w:rsid w:val="009721DB"/>
    <w:rsid w:val="0097239B"/>
    <w:rsid w:val="00974923"/>
    <w:rsid w:val="009808F7"/>
    <w:rsid w:val="00980D3D"/>
    <w:rsid w:val="009855E1"/>
    <w:rsid w:val="00987A30"/>
    <w:rsid w:val="00992CF3"/>
    <w:rsid w:val="00994868"/>
    <w:rsid w:val="009968D6"/>
    <w:rsid w:val="009A1CAB"/>
    <w:rsid w:val="009A60D1"/>
    <w:rsid w:val="009B6FD3"/>
    <w:rsid w:val="009C1750"/>
    <w:rsid w:val="009C2E29"/>
    <w:rsid w:val="009C554B"/>
    <w:rsid w:val="009C719E"/>
    <w:rsid w:val="009C7A10"/>
    <w:rsid w:val="009D3ACD"/>
    <w:rsid w:val="009E5273"/>
    <w:rsid w:val="009E5DDB"/>
    <w:rsid w:val="009F4CA7"/>
    <w:rsid w:val="00A10D66"/>
    <w:rsid w:val="00A14114"/>
    <w:rsid w:val="00A1537C"/>
    <w:rsid w:val="00A16413"/>
    <w:rsid w:val="00A16E1D"/>
    <w:rsid w:val="00A17D5B"/>
    <w:rsid w:val="00A17EB2"/>
    <w:rsid w:val="00A23E43"/>
    <w:rsid w:val="00A25216"/>
    <w:rsid w:val="00A30F65"/>
    <w:rsid w:val="00A33A89"/>
    <w:rsid w:val="00A40EAC"/>
    <w:rsid w:val="00A40EDD"/>
    <w:rsid w:val="00A41174"/>
    <w:rsid w:val="00A418BC"/>
    <w:rsid w:val="00A4206C"/>
    <w:rsid w:val="00A46DE0"/>
    <w:rsid w:val="00A47FCA"/>
    <w:rsid w:val="00A50D73"/>
    <w:rsid w:val="00A52CAD"/>
    <w:rsid w:val="00A53FC7"/>
    <w:rsid w:val="00A62CE1"/>
    <w:rsid w:val="00A668A3"/>
    <w:rsid w:val="00A6741E"/>
    <w:rsid w:val="00A75E40"/>
    <w:rsid w:val="00A77D1D"/>
    <w:rsid w:val="00A84A6A"/>
    <w:rsid w:val="00A857C0"/>
    <w:rsid w:val="00A90FED"/>
    <w:rsid w:val="00AA2996"/>
    <w:rsid w:val="00AA52BF"/>
    <w:rsid w:val="00AA559A"/>
    <w:rsid w:val="00AB2AF1"/>
    <w:rsid w:val="00AB535B"/>
    <w:rsid w:val="00AC45BD"/>
    <w:rsid w:val="00AD168E"/>
    <w:rsid w:val="00AD306C"/>
    <w:rsid w:val="00AD4F16"/>
    <w:rsid w:val="00AD68C4"/>
    <w:rsid w:val="00AE09B3"/>
    <w:rsid w:val="00AE0ED3"/>
    <w:rsid w:val="00AE1A83"/>
    <w:rsid w:val="00AE31A7"/>
    <w:rsid w:val="00AF6128"/>
    <w:rsid w:val="00B00913"/>
    <w:rsid w:val="00B01593"/>
    <w:rsid w:val="00B023F2"/>
    <w:rsid w:val="00B04705"/>
    <w:rsid w:val="00B07BBB"/>
    <w:rsid w:val="00B10A4D"/>
    <w:rsid w:val="00B14BC1"/>
    <w:rsid w:val="00B17E71"/>
    <w:rsid w:val="00B17FDE"/>
    <w:rsid w:val="00B2379C"/>
    <w:rsid w:val="00B25189"/>
    <w:rsid w:val="00B2687D"/>
    <w:rsid w:val="00B26897"/>
    <w:rsid w:val="00B32DDB"/>
    <w:rsid w:val="00B34528"/>
    <w:rsid w:val="00B34CC9"/>
    <w:rsid w:val="00B402FC"/>
    <w:rsid w:val="00B439DA"/>
    <w:rsid w:val="00B46604"/>
    <w:rsid w:val="00B530CD"/>
    <w:rsid w:val="00B55F5E"/>
    <w:rsid w:val="00B5752E"/>
    <w:rsid w:val="00B63A11"/>
    <w:rsid w:val="00B63B6A"/>
    <w:rsid w:val="00B64C24"/>
    <w:rsid w:val="00B6608F"/>
    <w:rsid w:val="00B679FB"/>
    <w:rsid w:val="00B71EF7"/>
    <w:rsid w:val="00B76D1E"/>
    <w:rsid w:val="00B8028A"/>
    <w:rsid w:val="00B80EC6"/>
    <w:rsid w:val="00B84CF6"/>
    <w:rsid w:val="00B92D1D"/>
    <w:rsid w:val="00B938C5"/>
    <w:rsid w:val="00B95940"/>
    <w:rsid w:val="00BA6C2B"/>
    <w:rsid w:val="00BB46F3"/>
    <w:rsid w:val="00BB4CB1"/>
    <w:rsid w:val="00BB4F98"/>
    <w:rsid w:val="00BC5C12"/>
    <w:rsid w:val="00BC7154"/>
    <w:rsid w:val="00BC731E"/>
    <w:rsid w:val="00BD366B"/>
    <w:rsid w:val="00BD6D50"/>
    <w:rsid w:val="00BE18B9"/>
    <w:rsid w:val="00BE2495"/>
    <w:rsid w:val="00BF1578"/>
    <w:rsid w:val="00BF723F"/>
    <w:rsid w:val="00C21F94"/>
    <w:rsid w:val="00C27913"/>
    <w:rsid w:val="00C27E4F"/>
    <w:rsid w:val="00C32964"/>
    <w:rsid w:val="00C33B68"/>
    <w:rsid w:val="00C36A79"/>
    <w:rsid w:val="00C401D2"/>
    <w:rsid w:val="00C405D4"/>
    <w:rsid w:val="00C4431F"/>
    <w:rsid w:val="00C4513B"/>
    <w:rsid w:val="00C5390B"/>
    <w:rsid w:val="00C54697"/>
    <w:rsid w:val="00C65535"/>
    <w:rsid w:val="00C71E85"/>
    <w:rsid w:val="00C72884"/>
    <w:rsid w:val="00C73885"/>
    <w:rsid w:val="00C747B1"/>
    <w:rsid w:val="00C82191"/>
    <w:rsid w:val="00C83134"/>
    <w:rsid w:val="00C85545"/>
    <w:rsid w:val="00C90CF4"/>
    <w:rsid w:val="00C92EB6"/>
    <w:rsid w:val="00C93389"/>
    <w:rsid w:val="00CA0914"/>
    <w:rsid w:val="00CA6AB4"/>
    <w:rsid w:val="00CB4930"/>
    <w:rsid w:val="00CC2E7D"/>
    <w:rsid w:val="00CD10A5"/>
    <w:rsid w:val="00CD2076"/>
    <w:rsid w:val="00CD29B5"/>
    <w:rsid w:val="00CD6331"/>
    <w:rsid w:val="00CE670B"/>
    <w:rsid w:val="00CF4908"/>
    <w:rsid w:val="00CF51EC"/>
    <w:rsid w:val="00CF73AE"/>
    <w:rsid w:val="00D040DD"/>
    <w:rsid w:val="00D075BE"/>
    <w:rsid w:val="00D13986"/>
    <w:rsid w:val="00D21D83"/>
    <w:rsid w:val="00D235B7"/>
    <w:rsid w:val="00D23C02"/>
    <w:rsid w:val="00D25F28"/>
    <w:rsid w:val="00D26071"/>
    <w:rsid w:val="00D27973"/>
    <w:rsid w:val="00D35E1A"/>
    <w:rsid w:val="00D42211"/>
    <w:rsid w:val="00D50F46"/>
    <w:rsid w:val="00D567C6"/>
    <w:rsid w:val="00D57677"/>
    <w:rsid w:val="00D66223"/>
    <w:rsid w:val="00D71625"/>
    <w:rsid w:val="00D751DA"/>
    <w:rsid w:val="00D8084C"/>
    <w:rsid w:val="00D915EA"/>
    <w:rsid w:val="00D96855"/>
    <w:rsid w:val="00DA48C1"/>
    <w:rsid w:val="00DA7C0C"/>
    <w:rsid w:val="00DB08A9"/>
    <w:rsid w:val="00DB2EC8"/>
    <w:rsid w:val="00DB5FC0"/>
    <w:rsid w:val="00DB6566"/>
    <w:rsid w:val="00DC1E84"/>
    <w:rsid w:val="00DC48F1"/>
    <w:rsid w:val="00DC5B3B"/>
    <w:rsid w:val="00DD129F"/>
    <w:rsid w:val="00DD4EFE"/>
    <w:rsid w:val="00DE02BD"/>
    <w:rsid w:val="00DF42FF"/>
    <w:rsid w:val="00DF5908"/>
    <w:rsid w:val="00E01C0E"/>
    <w:rsid w:val="00E03F9A"/>
    <w:rsid w:val="00E04694"/>
    <w:rsid w:val="00E063CE"/>
    <w:rsid w:val="00E12B1E"/>
    <w:rsid w:val="00E17262"/>
    <w:rsid w:val="00E253A2"/>
    <w:rsid w:val="00E3309D"/>
    <w:rsid w:val="00E43C1C"/>
    <w:rsid w:val="00E47EBA"/>
    <w:rsid w:val="00E50156"/>
    <w:rsid w:val="00E51643"/>
    <w:rsid w:val="00E53470"/>
    <w:rsid w:val="00E53874"/>
    <w:rsid w:val="00E539F6"/>
    <w:rsid w:val="00E6519D"/>
    <w:rsid w:val="00E67696"/>
    <w:rsid w:val="00E71A58"/>
    <w:rsid w:val="00E72A7A"/>
    <w:rsid w:val="00E75C94"/>
    <w:rsid w:val="00E920F4"/>
    <w:rsid w:val="00E93820"/>
    <w:rsid w:val="00E94A86"/>
    <w:rsid w:val="00E96143"/>
    <w:rsid w:val="00EA0987"/>
    <w:rsid w:val="00EA0C68"/>
    <w:rsid w:val="00EA32BC"/>
    <w:rsid w:val="00EA4302"/>
    <w:rsid w:val="00EB39C7"/>
    <w:rsid w:val="00EB3D8F"/>
    <w:rsid w:val="00EB4511"/>
    <w:rsid w:val="00EC03D7"/>
    <w:rsid w:val="00ED62C6"/>
    <w:rsid w:val="00ED64C1"/>
    <w:rsid w:val="00EE3446"/>
    <w:rsid w:val="00EE3E78"/>
    <w:rsid w:val="00EE4B1B"/>
    <w:rsid w:val="00EE7F19"/>
    <w:rsid w:val="00EF150D"/>
    <w:rsid w:val="00EF1F5A"/>
    <w:rsid w:val="00EF47BF"/>
    <w:rsid w:val="00EF6DB3"/>
    <w:rsid w:val="00F04811"/>
    <w:rsid w:val="00F0488C"/>
    <w:rsid w:val="00F10F11"/>
    <w:rsid w:val="00F15AAA"/>
    <w:rsid w:val="00F15BEF"/>
    <w:rsid w:val="00F24407"/>
    <w:rsid w:val="00F24931"/>
    <w:rsid w:val="00F24FAA"/>
    <w:rsid w:val="00F3364D"/>
    <w:rsid w:val="00F437CC"/>
    <w:rsid w:val="00F44537"/>
    <w:rsid w:val="00F44B6A"/>
    <w:rsid w:val="00F47067"/>
    <w:rsid w:val="00F50FC3"/>
    <w:rsid w:val="00F52106"/>
    <w:rsid w:val="00F525EB"/>
    <w:rsid w:val="00F63DDE"/>
    <w:rsid w:val="00F63FB7"/>
    <w:rsid w:val="00F6421B"/>
    <w:rsid w:val="00F649D2"/>
    <w:rsid w:val="00F6602B"/>
    <w:rsid w:val="00F66FD9"/>
    <w:rsid w:val="00F67C4E"/>
    <w:rsid w:val="00F73A0C"/>
    <w:rsid w:val="00F756DB"/>
    <w:rsid w:val="00F84E7D"/>
    <w:rsid w:val="00F85066"/>
    <w:rsid w:val="00F87A4D"/>
    <w:rsid w:val="00F9785E"/>
    <w:rsid w:val="00FA5D4D"/>
    <w:rsid w:val="00FA60AD"/>
    <w:rsid w:val="00FA7115"/>
    <w:rsid w:val="00FB0EE2"/>
    <w:rsid w:val="00FB4423"/>
    <w:rsid w:val="00FB542E"/>
    <w:rsid w:val="00FC0E5F"/>
    <w:rsid w:val="00FC1A95"/>
    <w:rsid w:val="00FC56DE"/>
    <w:rsid w:val="00FC684B"/>
    <w:rsid w:val="00FD3265"/>
    <w:rsid w:val="00FD5F92"/>
    <w:rsid w:val="00FD66F9"/>
    <w:rsid w:val="00FE2F78"/>
    <w:rsid w:val="00FF4082"/>
    <w:rsid w:val="00FF7090"/>
    <w:rsid w:val="00FF7B96"/>
    <w:rsid w:val="0274CEEB"/>
    <w:rsid w:val="11D0C0D9"/>
    <w:rsid w:val="1C7F89FF"/>
    <w:rsid w:val="304DB734"/>
    <w:rsid w:val="30D0B3BE"/>
    <w:rsid w:val="55C2456F"/>
    <w:rsid w:val="614CA75B"/>
    <w:rsid w:val="6B2670A5"/>
    <w:rsid w:val="6E1EAC99"/>
    <w:rsid w:val="7BDB84E4"/>
    <w:rsid w:val="7DB2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o:colormru v:ext="edit" colors="#ecf4dd,#eaecee,#fcec0a,#fcecdb,#f1daf5"/>
    </o:shapedefaults>
    <o:shapelayout v:ext="edit">
      <o:idmap v:ext="edit" data="2"/>
    </o:shapelayout>
  </w:shapeDefaults>
  <w:decimalSymbol w:val=","/>
  <w:listSeparator w:val=";"/>
  <w14:docId w14:val="21432897"/>
  <w15:docId w15:val="{3A7C6927-7F52-4209-ABA9-A0ACA865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EA0987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86BF5E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EA0987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86BF5E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EA0987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86BF5E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41041D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86BF5E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EA0987"/>
    <w:rPr>
      <w:rFonts w:ascii="Arial" w:eastAsia="MS Gothic" w:hAnsi="Arial"/>
      <w:b/>
      <w:bCs/>
      <w:color w:val="86BF5E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EA0987"/>
    <w:rPr>
      <w:rFonts w:ascii="Arial" w:eastAsia="MS Gothic" w:hAnsi="Arial"/>
      <w:b/>
      <w:bCs/>
      <w:color w:val="86BF5E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EA0987"/>
    <w:rPr>
      <w:rFonts w:ascii="Arial" w:eastAsia="MS Gothic" w:hAnsi="Arial"/>
      <w:b/>
      <w:bCs/>
      <w:color w:val="86BF5E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41041D"/>
    <w:rPr>
      <w:rFonts w:ascii="Arial" w:eastAsia="MS Gothic" w:hAnsi="Arial"/>
      <w:b/>
      <w:bCs/>
      <w:iCs/>
      <w:color w:val="86BF5E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0A57D4"/>
    <w:pPr>
      <w:spacing w:after="80" w:line="288" w:lineRule="auto"/>
    </w:pPr>
    <w:rPr>
      <w:rFonts w:ascii="Arial" w:eastAsia="Times New Roman" w:hAnsi="Arial"/>
      <w:b/>
      <w:color w:val="86BF5E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EA0987"/>
    <w:pPr>
      <w:shd w:val="clear" w:color="auto" w:fill="F0F6E9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EA0987"/>
    <w:pPr>
      <w:spacing w:before="240" w:after="240" w:line="276" w:lineRule="auto"/>
      <w:contextualSpacing/>
      <w:jc w:val="both"/>
    </w:pPr>
    <w:rPr>
      <w:rFonts w:ascii="Arial" w:hAnsi="Arial" w:cs="Arial"/>
      <w:color w:val="86BF5E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0A57D4"/>
    <w:pPr>
      <w:spacing w:after="40"/>
      <w:contextualSpacing/>
    </w:pPr>
    <w:rPr>
      <w:b/>
      <w:caps/>
      <w:sz w:val="24"/>
    </w:rPr>
  </w:style>
  <w:style w:type="paragraph" w:customStyle="1" w:styleId="TLKontakty">
    <w:name w:val="TL Kontakty"/>
    <w:qFormat/>
    <w:rsid w:val="000A57D4"/>
    <w:pPr>
      <w:spacing w:after="160" w:line="259" w:lineRule="auto"/>
      <w:contextualSpacing/>
    </w:pPr>
    <w:rPr>
      <w:rFonts w:ascii="Arial" w:eastAsia="Times New Roman" w:hAnsi="Arial"/>
      <w:b/>
      <w:color w:val="86BF5E"/>
      <w:lang w:eastAsia="cs-CZ"/>
    </w:rPr>
  </w:style>
  <w:style w:type="paragraph" w:styleId="Nzev">
    <w:name w:val="Title"/>
    <w:link w:val="NzevChar"/>
    <w:uiPriority w:val="10"/>
    <w:qFormat/>
    <w:rsid w:val="001E6062"/>
    <w:pPr>
      <w:spacing w:line="288" w:lineRule="auto"/>
    </w:pPr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1E6062"/>
    <w:rPr>
      <w:rFonts w:ascii="Arial" w:eastAsia="Times New Roman" w:hAnsi="Arial"/>
      <w:b/>
      <w:bCs/>
      <w:caps/>
      <w:color w:val="000000" w:themeColor="text1"/>
      <w:kern w:val="28"/>
      <w:sz w:val="56"/>
      <w:szCs w:val="32"/>
      <w:lang w:eastAsia="cs-CZ"/>
    </w:rPr>
  </w:style>
  <w:style w:type="paragraph" w:styleId="Podnadpis">
    <w:name w:val="Subtitle"/>
    <w:link w:val="PodnadpisChar"/>
    <w:uiPriority w:val="11"/>
    <w:qFormat/>
    <w:rsid w:val="001E6062"/>
    <w:pPr>
      <w:spacing w:line="288" w:lineRule="auto"/>
    </w:pPr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1E6062"/>
    <w:rPr>
      <w:rFonts w:ascii="Arial" w:eastAsia="Times New Roman" w:hAnsi="Arial" w:cs="Arial"/>
      <w:b/>
      <w:color w:val="000000" w:themeColor="text1"/>
      <w:sz w:val="28"/>
      <w:szCs w:val="24"/>
      <w:lang w:eastAsia="cs-CZ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7"/>
      </w:num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EA0987"/>
    <w:pPr>
      <w:shd w:val="clear" w:color="auto" w:fill="F0F6E9"/>
      <w:spacing w:before="240" w:after="240" w:line="276" w:lineRule="auto"/>
      <w:ind w:left="709"/>
      <w:contextualSpacing/>
      <w:jc w:val="both"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EA0987"/>
    <w:pPr>
      <w:spacing w:before="240" w:after="240" w:line="276" w:lineRule="auto"/>
      <w:ind w:left="709"/>
      <w:contextualSpacing/>
      <w:jc w:val="both"/>
    </w:pPr>
    <w:rPr>
      <w:rFonts w:ascii="Arial" w:hAnsi="Arial" w:cs="Arial"/>
      <w:b/>
      <w:color w:val="86BF5E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1E6062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32"/>
    <w:qFormat/>
    <w:rsid w:val="001E6062"/>
    <w:rPr>
      <w:b/>
      <w:bCs/>
      <w:smallCaps/>
      <w:color w:val="000000" w:themeColor="text1"/>
      <w:spacing w:val="5"/>
    </w:rPr>
  </w:style>
  <w:style w:type="character" w:styleId="Znakapoznpodarou">
    <w:name w:val="footnote reference"/>
    <w:basedOn w:val="Standardnpsmoodstavce"/>
    <w:rsid w:val="00E063CE"/>
    <w:rPr>
      <w:rFonts w:cs="Times New Roman"/>
      <w:vertAlign w:val="superscript"/>
    </w:rPr>
  </w:style>
  <w:style w:type="paragraph" w:customStyle="1" w:styleId="Nadpis11">
    <w:name w:val="Nadpis 11"/>
    <w:basedOn w:val="Normln"/>
    <w:uiPriority w:val="9"/>
    <w:qFormat/>
    <w:rsid w:val="008A6CB4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8A6CB4"/>
    <w:pPr>
      <w:spacing w:after="0" w:line="240" w:lineRule="auto"/>
      <w:jc w:val="left"/>
    </w:pPr>
    <w:rPr>
      <w:rFonts w:eastAsia="Calibri"/>
      <w:szCs w:val="20"/>
    </w:rPr>
  </w:style>
  <w:style w:type="character" w:styleId="Zdraznn">
    <w:name w:val="Emphasis"/>
    <w:basedOn w:val="Standardnpsmoodstavce"/>
    <w:uiPriority w:val="20"/>
    <w:qFormat/>
    <w:rsid w:val="00C4431F"/>
    <w:rPr>
      <w:i/>
      <w:iCs/>
    </w:rPr>
  </w:style>
  <w:style w:type="character" w:customStyle="1" w:styleId="normaltextrun">
    <w:name w:val="normaltextrun"/>
    <w:basedOn w:val="Standardnpsmoodstavce"/>
    <w:rsid w:val="00C4431F"/>
  </w:style>
  <w:style w:type="paragraph" w:customStyle="1" w:styleId="paragraph">
    <w:name w:val="paragraph"/>
    <w:basedOn w:val="Normln"/>
    <w:rsid w:val="00C4431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eop">
    <w:name w:val="eop"/>
    <w:basedOn w:val="Standardnpsmoodstavce"/>
    <w:rsid w:val="00C4431F"/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603FF5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455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551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5512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55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5512"/>
    <w:rPr>
      <w:rFonts w:ascii="Arial" w:eastAsia="Times New Roman" w:hAnsi="Arial"/>
      <w:b/>
      <w:bCs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54551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4551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545512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customStyle="1" w:styleId="spelle">
    <w:name w:val="spelle"/>
    <w:basedOn w:val="Standardnpsmoodstavce"/>
    <w:rsid w:val="00545512"/>
  </w:style>
  <w:style w:type="paragraph" w:styleId="Revize">
    <w:name w:val="Revision"/>
    <w:hidden/>
    <w:uiPriority w:val="99"/>
    <w:semiHidden/>
    <w:rsid w:val="00545512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45512"/>
  </w:style>
  <w:style w:type="character" w:customStyle="1" w:styleId="tabulka">
    <w:name w:val="tabulka"/>
    <w:basedOn w:val="Standardnpsmoodstavce"/>
    <w:rsid w:val="00545512"/>
  </w:style>
  <w:style w:type="paragraph" w:customStyle="1" w:styleId="Default">
    <w:name w:val="Default"/>
    <w:rsid w:val="0054551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4551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455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45512"/>
    <w:rPr>
      <w:rFonts w:ascii="Courier New" w:eastAsia="Times New Roman" w:hAnsi="Courier New" w:cs="Courier New"/>
      <w:lang w:eastAsia="cs-CZ"/>
    </w:rPr>
  </w:style>
  <w:style w:type="paragraph" w:customStyle="1" w:styleId="cay">
    <w:name w:val="c_ay"/>
    <w:basedOn w:val="Normln"/>
    <w:rsid w:val="0054551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cew">
    <w:name w:val="c_ew"/>
    <w:basedOn w:val="Standardnpsmoodstavce"/>
    <w:rsid w:val="00545512"/>
  </w:style>
  <w:style w:type="character" w:styleId="Sledovanodkaz">
    <w:name w:val="FollowedHyperlink"/>
    <w:basedOn w:val="Standardnpsmoodstavce"/>
    <w:uiPriority w:val="99"/>
    <w:semiHidden/>
    <w:unhideWhenUsed/>
    <w:rsid w:val="00545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aktualizace-metody-propoctu-zahranicni-obchod-se-zbozi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324074074074073E-2"/>
          <c:y val="4.0005727376861394E-2"/>
          <c:w val="0.88059911616161612"/>
          <c:h val="0.76044243986254301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'Vnější vztahy'!$E$6</c:f>
              <c:strCache>
                <c:ptCount val="1"/>
                <c:pt idx="0">
                  <c:v>Bilance</c:v>
                </c:pt>
              </c:strCache>
            </c:strRef>
          </c:tx>
          <c:spPr>
            <a:solidFill>
              <a:srgbClr val="A6A6A6"/>
            </a:solidFill>
            <a:ln>
              <a:noFill/>
            </a:ln>
            <a:effectLst/>
          </c:spPr>
          <c:invertIfNegative val="0"/>
          <c:cat>
            <c:multiLvlStrRef>
              <c:f>'Vnější vztahy'!$A$7:$B$30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'Vnější vztahy'!$E$7:$E$30</c:f>
              <c:numCache>
                <c:formatCode>0.0</c:formatCode>
                <c:ptCount val="24"/>
                <c:pt idx="0">
                  <c:v>48.244762452000003</c:v>
                </c:pt>
                <c:pt idx="1">
                  <c:v>56.993667721000001</c:v>
                </c:pt>
                <c:pt idx="2">
                  <c:v>27.532477373999999</c:v>
                </c:pt>
                <c:pt idx="3">
                  <c:v>12.923809864000001</c:v>
                </c:pt>
                <c:pt idx="4">
                  <c:v>36.182428658999996</c:v>
                </c:pt>
                <c:pt idx="5">
                  <c:v>9.2911503559999993</c:v>
                </c:pt>
                <c:pt idx="6">
                  <c:v>55.286836668000007</c:v>
                </c:pt>
                <c:pt idx="7">
                  <c:v>78.879761297999991</c:v>
                </c:pt>
                <c:pt idx="8">
                  <c:v>60.916821217999995</c:v>
                </c:pt>
                <c:pt idx="9">
                  <c:v>13.848192235000001</c:v>
                </c:pt>
                <c:pt idx="10">
                  <c:v>-54.700282055000002</c:v>
                </c:pt>
                <c:pt idx="11">
                  <c:v>-29.269374235000001</c:v>
                </c:pt>
                <c:pt idx="12">
                  <c:v>-12.635912592</c:v>
                </c:pt>
                <c:pt idx="13">
                  <c:v>-73.225200095999995</c:v>
                </c:pt>
                <c:pt idx="14">
                  <c:v>-64.314002961</c:v>
                </c:pt>
                <c:pt idx="15">
                  <c:v>-54.639469009000003</c:v>
                </c:pt>
                <c:pt idx="16">
                  <c:v>40.885161205999999</c:v>
                </c:pt>
                <c:pt idx="17">
                  <c:v>36.180839551999995</c:v>
                </c:pt>
                <c:pt idx="18">
                  <c:v>-1.2235418870000001</c:v>
                </c:pt>
                <c:pt idx="19">
                  <c:v>46.660049057999998</c:v>
                </c:pt>
                <c:pt idx="20">
                  <c:v>83.861406485000003</c:v>
                </c:pt>
                <c:pt idx="21">
                  <c:v>71.623099046000007</c:v>
                </c:pt>
                <c:pt idx="22">
                  <c:v>28.836845807000003</c:v>
                </c:pt>
                <c:pt idx="23">
                  <c:v>43.716757235999999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EC-4A03-AF72-6AC771E3CA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1842150016"/>
        <c:axId val="1842137120"/>
      </c:barChart>
      <c:lineChart>
        <c:grouping val="standard"/>
        <c:varyColors val="0"/>
        <c:ser>
          <c:idx val="0"/>
          <c:order val="0"/>
          <c:tx>
            <c:strRef>
              <c:f>'Vnější vztahy'!$C$6</c:f>
              <c:strCache>
                <c:ptCount val="1"/>
                <c:pt idx="0">
                  <c:v>Vývoz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dash"/>
            <c:size val="9"/>
            <c:spPr>
              <a:solidFill>
                <a:srgbClr val="0071BC"/>
              </a:solidFill>
              <a:ln w="9525">
                <a:noFill/>
              </a:ln>
              <a:effectLst/>
            </c:spPr>
          </c:marker>
          <c:cat>
            <c:multiLvlStrRef>
              <c:f>'Vnější vztahy'!$A$7:$B$30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'Vnější vztahy'!$C$7:$C$30</c:f>
              <c:numCache>
                <c:formatCode>0.0</c:formatCode>
                <c:ptCount val="24"/>
                <c:pt idx="0">
                  <c:v>3.7143750821000054</c:v>
                </c:pt>
                <c:pt idx="1">
                  <c:v>3.3683840658000008</c:v>
                </c:pt>
                <c:pt idx="2">
                  <c:v>4.8286280231999967</c:v>
                </c:pt>
                <c:pt idx="3">
                  <c:v>-3.1636168855000051</c:v>
                </c:pt>
                <c:pt idx="4">
                  <c:v>-6.4135636115999972</c:v>
                </c:pt>
                <c:pt idx="5">
                  <c:v>-25.037497579399997</c:v>
                </c:pt>
                <c:pt idx="6">
                  <c:v>-3.5785611728999953</c:v>
                </c:pt>
                <c:pt idx="7">
                  <c:v>7.411852265899995</c:v>
                </c:pt>
                <c:pt idx="8">
                  <c:v>10.962313304399999</c:v>
                </c:pt>
                <c:pt idx="9">
                  <c:v>41.981094956100009</c:v>
                </c:pt>
                <c:pt idx="10">
                  <c:v>3.4515742189000065</c:v>
                </c:pt>
                <c:pt idx="11">
                  <c:v>2.749198525500006</c:v>
                </c:pt>
                <c:pt idx="12">
                  <c:v>8.0064988441999958</c:v>
                </c:pt>
                <c:pt idx="13">
                  <c:v>11.287163968300007</c:v>
                </c:pt>
                <c:pt idx="14">
                  <c:v>22.470879917399998</c:v>
                </c:pt>
                <c:pt idx="15">
                  <c:v>13.234980039600003</c:v>
                </c:pt>
                <c:pt idx="16">
                  <c:v>10.691327997000002</c:v>
                </c:pt>
                <c:pt idx="17">
                  <c:v>0.90534101039999371</c:v>
                </c:pt>
                <c:pt idx="18">
                  <c:v>-6.7264620790000009</c:v>
                </c:pt>
                <c:pt idx="19">
                  <c:v>-1.1504207308999952</c:v>
                </c:pt>
                <c:pt idx="20">
                  <c:v>-0.1781985149000036</c:v>
                </c:pt>
                <c:pt idx="21" formatCode="General">
                  <c:v>4.4477201289000021</c:v>
                </c:pt>
                <c:pt idx="22" formatCode="General">
                  <c:v>10.501310061400005</c:v>
                </c:pt>
                <c:pt idx="23" formatCode="General">
                  <c:v>4.5227802535000023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3EC-4A03-AF72-6AC771E3CA3D}"/>
            </c:ext>
          </c:extLst>
        </c:ser>
        <c:ser>
          <c:idx val="1"/>
          <c:order val="1"/>
          <c:tx>
            <c:strRef>
              <c:f>'Vnější vztahy'!$D$6</c:f>
              <c:strCache>
                <c:ptCount val="1"/>
                <c:pt idx="0">
                  <c:v>Dovoz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dash"/>
            <c:size val="9"/>
            <c:spPr>
              <a:solidFill>
                <a:srgbClr val="BD1B21"/>
              </a:solidFill>
              <a:ln w="9525">
                <a:noFill/>
              </a:ln>
              <a:effectLst/>
            </c:spPr>
          </c:marker>
          <c:cat>
            <c:multiLvlStrRef>
              <c:f>'Vnější vztahy'!$A$7:$B$30</c:f>
              <c:multiLvlStrCache>
                <c:ptCount val="24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  <c:pt idx="8">
                    <c:v>2021</c:v>
                  </c:pt>
                  <c:pt idx="12">
                    <c:v>2022</c:v>
                  </c:pt>
                  <c:pt idx="16">
                    <c:v>2023</c:v>
                  </c:pt>
                  <c:pt idx="20">
                    <c:v>2024</c:v>
                  </c:pt>
                </c:lvl>
              </c:multiLvlStrCache>
            </c:multiLvlStrRef>
          </c:cat>
          <c:val>
            <c:numRef>
              <c:f>'Vnější vztahy'!$D$7:$D$30</c:f>
              <c:numCache>
                <c:formatCode>0.0</c:formatCode>
                <c:ptCount val="24"/>
                <c:pt idx="0">
                  <c:v>4.8123766788999944</c:v>
                </c:pt>
                <c:pt idx="1">
                  <c:v>1.0619237693999963</c:v>
                </c:pt>
                <c:pt idx="2">
                  <c:v>1.0984183013000006</c:v>
                </c:pt>
                <c:pt idx="3">
                  <c:v>-3.3198043863000066</c:v>
                </c:pt>
                <c:pt idx="4">
                  <c:v>-5.3981676209999989</c:v>
                </c:pt>
                <c:pt idx="5">
                  <c:v>-21.285728278400001</c:v>
                </c:pt>
                <c:pt idx="6">
                  <c:v>-6.8912364523999941</c:v>
                </c:pt>
                <c:pt idx="7">
                  <c:v>0.22314936540000474</c:v>
                </c:pt>
                <c:pt idx="8">
                  <c:v>8.4767312925000056</c:v>
                </c:pt>
                <c:pt idx="9">
                  <c:v>41.887499316600014</c:v>
                </c:pt>
                <c:pt idx="10">
                  <c:v>17.303793961099998</c:v>
                </c:pt>
                <c:pt idx="11">
                  <c:v>14.923030300799994</c:v>
                </c:pt>
                <c:pt idx="12">
                  <c:v>16.659765110899997</c:v>
                </c:pt>
                <c:pt idx="13">
                  <c:v>20.193090002000005</c:v>
                </c:pt>
                <c:pt idx="14">
                  <c:v>22.188267180799997</c:v>
                </c:pt>
                <c:pt idx="15">
                  <c:v>15.2991180633</c:v>
                </c:pt>
                <c:pt idx="16">
                  <c:v>5.5018043466999984</c:v>
                </c:pt>
                <c:pt idx="17">
                  <c:v>-8.2960208406999953</c:v>
                </c:pt>
                <c:pt idx="18">
                  <c:v>-11.801975368499996</c:v>
                </c:pt>
                <c:pt idx="19">
                  <c:v>-9.5344571271999996</c:v>
                </c:pt>
                <c:pt idx="20">
                  <c:v>-4.0372515911000022</c:v>
                </c:pt>
                <c:pt idx="21" formatCode="General">
                  <c:v>1.3635382479999976</c:v>
                </c:pt>
                <c:pt idx="22" formatCode="General">
                  <c:v>7.5449746000000033</c:v>
                </c:pt>
                <c:pt idx="23" formatCode="General">
                  <c:v>4.988011342799993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3EC-4A03-AF72-6AC771E3CA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1653648"/>
        <c:axId val="1621653232"/>
      </c:lineChart>
      <c:catAx>
        <c:axId val="162165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621653232"/>
        <c:crosses val="autoZero"/>
        <c:auto val="1"/>
        <c:lblAlgn val="ctr"/>
        <c:lblOffset val="100"/>
        <c:noMultiLvlLbl val="0"/>
      </c:catAx>
      <c:valAx>
        <c:axId val="1621653232"/>
        <c:scaling>
          <c:orientation val="minMax"/>
          <c:min val="-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621653648"/>
        <c:crosses val="autoZero"/>
        <c:crossBetween val="between"/>
      </c:valAx>
      <c:valAx>
        <c:axId val="1842137120"/>
        <c:scaling>
          <c:orientation val="minMax"/>
          <c:min val="-80"/>
        </c:scaling>
        <c:delete val="0"/>
        <c:axPos val="r"/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842150016"/>
        <c:crosses val="max"/>
        <c:crossBetween val="between"/>
      </c:valAx>
      <c:catAx>
        <c:axId val="18421500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84213712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7334595959595941E-2"/>
          <c:y val="0.9241869988545246"/>
          <c:w val="0.85464057239057234"/>
          <c:h val="5.39916953035509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069916774474014E-2"/>
          <c:y val="4.15424531457926E-2"/>
          <c:w val="0.88202003907252513"/>
          <c:h val="0.82832098852603697"/>
        </c:manualLayout>
      </c:layout>
      <c:barChart>
        <c:barDir val="col"/>
        <c:grouping val="clustered"/>
        <c:varyColors val="0"/>
        <c:ser>
          <c:idx val="2"/>
          <c:order val="2"/>
          <c:tx>
            <c:strRef>
              <c:f>'Vnější vztahy_a'!$D$4</c:f>
              <c:strCache>
                <c:ptCount val="1"/>
                <c:pt idx="0">
                  <c:v>Bilance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'Vnější vztahy_a'!$A$9:$A$23</c:f>
              <c:strCach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 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</c:strCache>
            </c:strRef>
          </c:cat>
          <c:val>
            <c:numRef>
              <c:f>'Vnější vztahy_a'!$D$9:$D$23</c:f>
              <c:numCache>
                <c:formatCode>General</c:formatCode>
                <c:ptCount val="15"/>
                <c:pt idx="0">
                  <c:v>-20.579000000000001</c:v>
                </c:pt>
                <c:pt idx="1">
                  <c:v>11.977</c:v>
                </c:pt>
                <c:pt idx="2">
                  <c:v>64.41</c:v>
                </c:pt>
                <c:pt idx="3">
                  <c:v>106.518</c:v>
                </c:pt>
                <c:pt idx="4">
                  <c:v>146.00899999999999</c:v>
                </c:pt>
                <c:pt idx="5">
                  <c:v>130.97677807700001</c:v>
                </c:pt>
                <c:pt idx="6">
                  <c:v>163.65449183600001</c:v>
                </c:pt>
                <c:pt idx="7">
                  <c:v>163.466347926</c:v>
                </c:pt>
                <c:pt idx="8">
                  <c:v>98.465823833000002</c:v>
                </c:pt>
                <c:pt idx="9">
                  <c:v>145.69471741100003</c:v>
                </c:pt>
                <c:pt idx="10">
                  <c:v>179.640176981</c:v>
                </c:pt>
                <c:pt idx="11">
                  <c:v>-9.2046428370000104</c:v>
                </c:pt>
                <c:pt idx="12">
                  <c:v>-204.81458465799997</c:v>
                </c:pt>
                <c:pt idx="13">
                  <c:v>122.50250792899999</c:v>
                </c:pt>
                <c:pt idx="14">
                  <c:v>228.03810857400001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5E-4F17-B380-73301C2BA9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axId val="1171842912"/>
        <c:axId val="1599917024"/>
      </c:barChart>
      <c:lineChart>
        <c:grouping val="standard"/>
        <c:varyColors val="0"/>
        <c:ser>
          <c:idx val="0"/>
          <c:order val="0"/>
          <c:tx>
            <c:strRef>
              <c:f>'Vnější vztahy_a'!$B$4</c:f>
              <c:strCache>
                <c:ptCount val="1"/>
                <c:pt idx="0">
                  <c:v>Vývoz</c:v>
                </c:pt>
              </c:strCache>
            </c:strRef>
          </c:tx>
          <c:spPr>
            <a:ln w="6350" cap="rnd">
              <a:noFill/>
              <a:prstDash val="sysDot"/>
              <a:round/>
            </a:ln>
            <a:effectLst/>
          </c:spPr>
          <c:marker>
            <c:symbol val="dash"/>
            <c:size val="10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'Vnější vztahy_a'!$A$9:$A$23</c:f>
              <c:strCach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 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</c:strCache>
            </c:strRef>
          </c:cat>
          <c:val>
            <c:numRef>
              <c:f>'Vnější vztahy_a'!$B$9:$B$23</c:f>
              <c:numCache>
                <c:formatCode>General</c:formatCode>
                <c:ptCount val="15"/>
                <c:pt idx="0">
                  <c:v>14.827022335007905</c:v>
                </c:pt>
                <c:pt idx="1">
                  <c:v>10.112037607700053</c:v>
                </c:pt>
                <c:pt idx="2">
                  <c:v>6.0251090942966021</c:v>
                </c:pt>
                <c:pt idx="3">
                  <c:v>2.2153513610284965</c:v>
                </c:pt>
                <c:pt idx="4">
                  <c:v>13.027208809035864</c:v>
                </c:pt>
                <c:pt idx="5">
                  <c:v>3.612768163576892</c:v>
                </c:pt>
                <c:pt idx="6">
                  <c:v>1.1074296541764621</c:v>
                </c:pt>
                <c:pt idx="7">
                  <c:v>6.4802705295808352</c:v>
                </c:pt>
                <c:pt idx="8">
                  <c:v>2.9418083571864679</c:v>
                </c:pt>
                <c:pt idx="9">
                  <c:v>2.0884439685547518</c:v>
                </c:pt>
                <c:pt idx="10">
                  <c:v>-7.0747075448299643</c:v>
                </c:pt>
                <c:pt idx="11">
                  <c:v>13.140723420675538</c:v>
                </c:pt>
                <c:pt idx="12">
                  <c:v>13.550170704130682</c:v>
                </c:pt>
                <c:pt idx="13">
                  <c:v>0.79694469771656307</c:v>
                </c:pt>
                <c:pt idx="14">
                  <c:v>4.6525170878743634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C5E-4F17-B380-73301C2BA955}"/>
            </c:ext>
          </c:extLst>
        </c:ser>
        <c:ser>
          <c:idx val="1"/>
          <c:order val="1"/>
          <c:tx>
            <c:strRef>
              <c:f>'Vnější vztahy_a'!$C$4</c:f>
              <c:strCache>
                <c:ptCount val="1"/>
                <c:pt idx="0">
                  <c:v>Dovoz</c:v>
                </c:pt>
              </c:strCache>
            </c:strRef>
          </c:tx>
          <c:spPr>
            <a:ln w="6350" cap="rnd">
              <a:noFill/>
              <a:prstDash val="sysDot"/>
              <a:round/>
            </a:ln>
            <a:effectLst/>
          </c:spPr>
          <c:marker>
            <c:symbol val="dash"/>
            <c:size val="10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'Vnější vztahy_a'!$A$9:$A$23</c:f>
              <c:strCache>
                <c:ptCount val="15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 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  <c:pt idx="14">
                  <c:v>2024</c:v>
                </c:pt>
              </c:strCache>
            </c:strRef>
          </c:cat>
          <c:val>
            <c:numRef>
              <c:f>'Vnější vztahy_a'!$C$9:$C$23</c:f>
              <c:numCache>
                <c:formatCode>General</c:formatCode>
                <c:ptCount val="15"/>
                <c:pt idx="0">
                  <c:v>17.636423931022911</c:v>
                </c:pt>
                <c:pt idx="1">
                  <c:v>8.6415161627225725</c:v>
                </c:pt>
                <c:pt idx="2">
                  <c:v>4.0042767307394715</c:v>
                </c:pt>
                <c:pt idx="3">
                  <c:v>0.68681070942259659</c:v>
                </c:pt>
                <c:pt idx="4">
                  <c:v>12.071376353644107</c:v>
                </c:pt>
                <c:pt idx="5">
                  <c:v>4.2889556626306211</c:v>
                </c:pt>
                <c:pt idx="6">
                  <c:v>0.11038963287046219</c:v>
                </c:pt>
                <c:pt idx="7">
                  <c:v>6.8245079237178157</c:v>
                </c:pt>
                <c:pt idx="8">
                  <c:v>5.0260247733996914</c:v>
                </c:pt>
                <c:pt idx="9">
                  <c:v>0.80432261722676923</c:v>
                </c:pt>
                <c:pt idx="10">
                  <c:v>-8.3226511448622933</c:v>
                </c:pt>
                <c:pt idx="11">
                  <c:v>19.675778990593603</c:v>
                </c:pt>
                <c:pt idx="12">
                  <c:v>18.545883799731584</c:v>
                </c:pt>
                <c:pt idx="13">
                  <c:v>-6.3353146664739706</c:v>
                </c:pt>
                <c:pt idx="14">
                  <c:v>2.3414633609236661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C5E-4F17-B380-73301C2BA9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3910352"/>
        <c:axId val="1603910768"/>
      </c:lineChart>
      <c:catAx>
        <c:axId val="1603910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603910768"/>
        <c:crosses val="autoZero"/>
        <c:auto val="1"/>
        <c:lblAlgn val="ctr"/>
        <c:lblOffset val="100"/>
        <c:noMultiLvlLbl val="0"/>
      </c:catAx>
      <c:valAx>
        <c:axId val="1603910768"/>
        <c:scaling>
          <c:orientation val="minMax"/>
          <c:max val="21"/>
          <c:min val="-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603910352"/>
        <c:crosses val="autoZero"/>
        <c:crossBetween val="between"/>
        <c:majorUnit val="3"/>
      </c:valAx>
      <c:valAx>
        <c:axId val="1599917024"/>
        <c:scaling>
          <c:orientation val="minMax"/>
          <c:max val="240"/>
          <c:min val="-24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cs-CZ"/>
          </a:p>
        </c:txPr>
        <c:crossAx val="1171842912"/>
        <c:crosses val="max"/>
        <c:crossBetween val="between"/>
        <c:majorUnit val="40"/>
      </c:valAx>
      <c:catAx>
        <c:axId val="11718429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9991702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1326213683763958E-2"/>
          <c:y val="0.92486185348631933"/>
          <c:w val="0.92928082460835815"/>
          <c:h val="5.60656590812783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 baseline="0">
          <a:solidFill>
            <a:sysClr val="windowText" lastClr="000000"/>
          </a:solidFill>
          <a:latin typeface="Arial" panose="020B0604020202020204" pitchFamily="34" charset="0"/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4C7C21F48A488F44995C5F8FB06D" ma:contentTypeVersion="11" ma:contentTypeDescription="Vytvoří nový dokument" ma:contentTypeScope="" ma:versionID="1df8c39b067b5d25b5f5e865a8e6deb3">
  <xsd:schema xmlns:xsd="http://www.w3.org/2001/XMLSchema" xmlns:xs="http://www.w3.org/2001/XMLSchema" xmlns:p="http://schemas.microsoft.com/office/2006/metadata/properties" xmlns:ns3="b8c0c86d-151e-4fca-b0d5-747e6692fa1d" targetNamespace="http://schemas.microsoft.com/office/2006/metadata/properties" ma:root="true" ma:fieldsID="0a1e36cc980726b26aea9439dfb6e5b7" ns3:_="">
    <xsd:import namespace="b8c0c86d-151e-4fca-b0d5-747e6692fa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86d-151e-4fca-b0d5-747e6692f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8A1E1-1E99-4B4F-B9B5-70567730AA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681AD-41B0-431A-9D34-CF6700A12FAC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8c0c86d-151e-4fca-b0d5-747e6692fa1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D187BB0-665D-4788-984B-3D69493B5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86d-151e-4fca-b0d5-747e6692f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2F2309-3E4A-4123-B0B0-6839CC4E4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1943</Words>
  <Characters>11470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Jana</dc:creator>
  <cp:keywords/>
  <cp:lastModifiedBy>Zábojníková Karolína</cp:lastModifiedBy>
  <cp:revision>4</cp:revision>
  <cp:lastPrinted>2014-07-17T14:07:00Z</cp:lastPrinted>
  <dcterms:created xsi:type="dcterms:W3CDTF">2025-03-20T11:47:00Z</dcterms:created>
  <dcterms:modified xsi:type="dcterms:W3CDTF">2025-03-20T12:01:00Z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0x01010070204C7C21F48A488F44995C5F8FB06D</vt:lpwstr>
  </property>
  <property fmtid="{D5CDD505-2E9C-101B-9397-08002B2CF9AE}" pid="3" name="Názevformuláře">
    <vt:lpwstr>Publikace CZ barevné - vícetematické analýzy
</vt:lpwstr>
  </property>
  <property fmtid="{D5CDD505-2E9C-101B-9397-08002B2CF9AE}" pid="4" name="Vazbanaprocesnídoménu">
    <vt:lpwstr>;#4. Komunikace a propagace;#</vt:lpwstr>
  </property>
  <property fmtid="{D5CDD505-2E9C-101B-9397-08002B2CF9AE}" pid="5" name="Vazbanadefiničnípředpis">
    <vt:lpwstr>Manuál ke zveřejňování produktů ČSÚ
</vt:lpwstr>
  </property>
  <property fmtid="{D5CDD505-2E9C-101B-9397-08002B2CF9AE}" pid="6" name="Ustanovení">
    <vt:lpwstr>část první čl. 2, odst. 3b,c; část pátá; příloha 1
</vt:lpwstr>
  </property>
  <property fmtid="{D5CDD505-2E9C-101B-9397-08002B2CF9AE}" pid="7" name="Účinnostod">
    <vt:filetime>2018-04-17T07:00:00Z</vt:filetime>
  </property>
  <property fmtid="{D5CDD505-2E9C-101B-9397-08002B2CF9AE}" pid="8" name="Označení">
    <vt:lpwstr>Form_c444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