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ED" w:rsidRPr="00F04AED" w:rsidRDefault="00F04AED" w:rsidP="00F04AED">
      <w:pPr>
        <w:pStyle w:val="Nzev"/>
        <w:spacing w:before="120"/>
        <w:rPr>
          <w:caps/>
        </w:rPr>
      </w:pPr>
      <w:r w:rsidRPr="00F04AED">
        <w:rPr>
          <w:caps/>
        </w:rPr>
        <w:t>Meziroční inflace se mírně zvýšila</w:t>
      </w:r>
    </w:p>
    <w:p w:rsidR="00F04AED" w:rsidRPr="00F04AED" w:rsidRDefault="00F04AED" w:rsidP="00F04AED">
      <w:pPr>
        <w:pStyle w:val="Podtitulek"/>
        <w:spacing w:before="120" w:line="240" w:lineRule="auto"/>
        <w:jc w:val="center"/>
        <w:rPr>
          <w:sz w:val="24"/>
          <w:szCs w:val="24"/>
        </w:rPr>
      </w:pPr>
      <w:r w:rsidRPr="00F04AED">
        <w:rPr>
          <w:sz w:val="24"/>
          <w:szCs w:val="24"/>
        </w:rPr>
        <w:t>Indexy spotřebitelských cen – květen 2014</w:t>
      </w:r>
    </w:p>
    <w:p w:rsidR="00F04AED" w:rsidRPr="00560E9F" w:rsidRDefault="00F04AED" w:rsidP="00F04AED">
      <w:pPr>
        <w:pStyle w:val="Perex"/>
        <w:spacing w:before="120" w:line="240" w:lineRule="auto"/>
        <w:rPr>
          <w:szCs w:val="20"/>
        </w:rPr>
      </w:pPr>
      <w:r>
        <w:t xml:space="preserve">Spotřebitelské ceny vzrostly v květnu proti dubnu o 0,1 %. </w:t>
      </w:r>
      <w:r w:rsidRPr="00D44F8D">
        <w:t xml:space="preserve">Tento vývoj ovlivnilo </w:t>
      </w:r>
      <w:r>
        <w:t xml:space="preserve">zvýšení cen v oddíle alkoholické nápoje a tabák. </w:t>
      </w:r>
      <w:r w:rsidRPr="00560E9F">
        <w:t xml:space="preserve">Meziroční růst spotřebitelských cen </w:t>
      </w:r>
      <w:r>
        <w:t>se v květnu zvýšil na 0,4 % z 0,1 % v dubnu.</w:t>
      </w:r>
    </w:p>
    <w:p w:rsidR="00F04AED" w:rsidRDefault="00F04AED" w:rsidP="00F04AED">
      <w:pPr>
        <w:spacing w:before="120" w:line="240" w:lineRule="auto"/>
        <w:rPr>
          <w:rFonts w:cs="Arial"/>
          <w:szCs w:val="20"/>
        </w:rPr>
      </w:pPr>
      <w:r w:rsidRPr="0057712D">
        <w:rPr>
          <w:rFonts w:cs="Arial"/>
          <w:b/>
          <w:bCs/>
          <w:szCs w:val="20"/>
        </w:rPr>
        <w:t xml:space="preserve">Meziměsíční </w:t>
      </w:r>
      <w:r w:rsidRPr="00FD0D02">
        <w:rPr>
          <w:rFonts w:cs="Arial"/>
          <w:bCs/>
          <w:szCs w:val="20"/>
        </w:rPr>
        <w:t>růst</w:t>
      </w:r>
      <w:r>
        <w:rPr>
          <w:rFonts w:cs="Arial"/>
          <w:b/>
          <w:bCs/>
          <w:szCs w:val="20"/>
        </w:rPr>
        <w:t xml:space="preserve"> </w:t>
      </w:r>
      <w:r w:rsidRPr="00E32C7D">
        <w:rPr>
          <w:rFonts w:cs="Arial"/>
          <w:bCs/>
          <w:szCs w:val="20"/>
        </w:rPr>
        <w:t>cen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v oddíle alkoholické nápoje a tabák ovlivnilo zvýšení cen lihovin o 2,7 %, piva o 2,5 % a vína o 1,2 %. V oddíle zdraví se zvýšily ceny léků a jejich doplatků o 0,7 % a ceny lázeňských pobytů o 7,9 %. V oddíle doprava vzrostly ceny pohonných hmot o 0,6 %.</w:t>
      </w:r>
    </w:p>
    <w:p w:rsidR="00F04AED" w:rsidRDefault="00F04AED" w:rsidP="00F04AED">
      <w:pPr>
        <w:spacing w:before="120" w:line="240" w:lineRule="auto"/>
        <w:rPr>
          <w:rFonts w:cs="Arial"/>
          <w:szCs w:val="20"/>
        </w:rPr>
      </w:pPr>
      <w:r w:rsidRPr="0057712D">
        <w:rPr>
          <w:rFonts w:cs="Arial"/>
          <w:szCs w:val="20"/>
        </w:rPr>
        <w:t>Na </w:t>
      </w:r>
      <w:r>
        <w:rPr>
          <w:rFonts w:cs="Arial"/>
          <w:szCs w:val="20"/>
        </w:rPr>
        <w:t>snížení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celkové úrovně spotřebitelských cen </w:t>
      </w:r>
      <w:r>
        <w:rPr>
          <w:rFonts w:cs="Arial"/>
          <w:szCs w:val="20"/>
        </w:rPr>
        <w:t xml:space="preserve">v květnu </w:t>
      </w:r>
      <w:r w:rsidRPr="0057712D">
        <w:rPr>
          <w:rFonts w:cs="Arial"/>
          <w:szCs w:val="20"/>
        </w:rPr>
        <w:t xml:space="preserve">působil </w:t>
      </w:r>
      <w:r w:rsidRPr="008F3897">
        <w:rPr>
          <w:rFonts w:cs="Arial"/>
          <w:szCs w:val="20"/>
        </w:rPr>
        <w:t>pokles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cen </w:t>
      </w:r>
      <w:r>
        <w:rPr>
          <w:rFonts w:cs="Arial"/>
          <w:szCs w:val="20"/>
        </w:rPr>
        <w:t xml:space="preserve">v oddíle potraviny a nealkoholické nápoje zejména v důsledku snížení </w:t>
      </w:r>
      <w:r w:rsidRPr="009557F2">
        <w:rPr>
          <w:rFonts w:cs="Arial"/>
          <w:szCs w:val="20"/>
        </w:rPr>
        <w:t xml:space="preserve">cen ovoce o 4,6 %, </w:t>
      </w:r>
      <w:r>
        <w:rPr>
          <w:rFonts w:cs="Arial"/>
          <w:szCs w:val="20"/>
        </w:rPr>
        <w:t>mouky o 1,5 %, rýže o 2,6 %, sýrů o 0,6 %, jogurtů o</w:t>
      </w:r>
      <w:r>
        <w:t xml:space="preserve"> 2,4 %, jedlých olejů o 1,7 %, </w:t>
      </w:r>
      <w:r>
        <w:rPr>
          <w:rFonts w:cs="Arial"/>
          <w:szCs w:val="20"/>
        </w:rPr>
        <w:t>polévek a omáček o 3,8 %, soli a koření o 1,6 %, nealkoholických nápojů o 0,5 %. Naopak vyšší než v dubnu byly zejména ceny chleba o 1,0 %, běžného pečiva o 2,6 %, hovězího masa o 0,9 %, ryb o 2,4 %, vajec o 2,9 %, cukru o 2,2 %, čokolády a čokoládových výrobků o 1,2 %, cukrovinek nečokoládových o 4,7 %.</w:t>
      </w:r>
    </w:p>
    <w:p w:rsidR="00F04AED" w:rsidRDefault="00F04AED" w:rsidP="00F04AED">
      <w:pPr>
        <w:pStyle w:val="Zkladntextodsazen2"/>
        <w:spacing w:before="120" w:after="0" w:line="240" w:lineRule="auto"/>
        <w:ind w:left="0"/>
        <w:rPr>
          <w:rFonts w:cs="Arial"/>
          <w:szCs w:val="20"/>
        </w:rPr>
      </w:pPr>
      <w:r w:rsidRPr="0057712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0,2 %</w:t>
      </w:r>
      <w:r>
        <w:t xml:space="preserve">, zatímco </w:t>
      </w:r>
      <w:r>
        <w:rPr>
          <w:rFonts w:cs="Arial"/>
          <w:szCs w:val="20"/>
        </w:rPr>
        <w:t>ceny služeb o 0,1</w:t>
      </w:r>
      <w:r w:rsidRPr="0057712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klesly.</w:t>
      </w:r>
    </w:p>
    <w:p w:rsidR="00F04AED" w:rsidRDefault="00F04AED" w:rsidP="00F04AED">
      <w:pPr>
        <w:pStyle w:val="Zkladntext"/>
        <w:tabs>
          <w:tab w:val="left" w:pos="4900"/>
        </w:tabs>
        <w:spacing w:before="120"/>
        <w:rPr>
          <w:i w:val="0"/>
          <w:sz w:val="20"/>
          <w:szCs w:val="20"/>
        </w:rPr>
      </w:pPr>
      <w:r w:rsidRPr="003B32C0">
        <w:rPr>
          <w:rFonts w:cs="Arial"/>
          <w:b/>
          <w:i w:val="0"/>
          <w:sz w:val="20"/>
          <w:szCs w:val="20"/>
        </w:rPr>
        <w:t>Meziročně</w:t>
      </w:r>
      <w:r w:rsidRPr="003B32C0">
        <w:rPr>
          <w:rFonts w:cs="Arial"/>
          <w:i w:val="0"/>
          <w:sz w:val="20"/>
          <w:szCs w:val="20"/>
        </w:rPr>
        <w:t xml:space="preserve"> vzrostly spotřebitelské ceny v </w:t>
      </w:r>
      <w:r>
        <w:rPr>
          <w:rFonts w:cs="Arial"/>
          <w:i w:val="0"/>
          <w:sz w:val="20"/>
          <w:szCs w:val="20"/>
        </w:rPr>
        <w:t>květnu</w:t>
      </w:r>
      <w:r w:rsidRPr="003B32C0">
        <w:rPr>
          <w:rFonts w:cs="Arial"/>
          <w:i w:val="0"/>
          <w:sz w:val="20"/>
          <w:szCs w:val="20"/>
        </w:rPr>
        <w:t xml:space="preserve"> o 0,</w:t>
      </w:r>
      <w:r>
        <w:rPr>
          <w:rFonts w:cs="Arial"/>
          <w:i w:val="0"/>
          <w:sz w:val="20"/>
          <w:szCs w:val="20"/>
        </w:rPr>
        <w:t>4</w:t>
      </w:r>
      <w:r w:rsidRPr="003B32C0">
        <w:rPr>
          <w:rFonts w:cs="Arial"/>
          <w:i w:val="0"/>
          <w:sz w:val="20"/>
          <w:szCs w:val="20"/>
        </w:rPr>
        <w:t xml:space="preserve"> %, </w:t>
      </w:r>
      <w:r>
        <w:rPr>
          <w:rFonts w:cs="Arial"/>
          <w:i w:val="0"/>
          <w:sz w:val="20"/>
          <w:szCs w:val="20"/>
        </w:rPr>
        <w:t>což je o 0,3 procentního bodu více</w:t>
      </w:r>
      <w:r w:rsidRPr="003B32C0">
        <w:rPr>
          <w:rFonts w:cs="Arial"/>
          <w:i w:val="0"/>
          <w:sz w:val="20"/>
          <w:szCs w:val="20"/>
        </w:rPr>
        <w:t xml:space="preserve"> než v </w:t>
      </w:r>
      <w:r>
        <w:rPr>
          <w:rFonts w:cs="Arial"/>
          <w:i w:val="0"/>
          <w:sz w:val="20"/>
          <w:szCs w:val="20"/>
        </w:rPr>
        <w:t>dub</w:t>
      </w:r>
      <w:r w:rsidRPr="003B32C0">
        <w:rPr>
          <w:rFonts w:cs="Arial"/>
          <w:i w:val="0"/>
          <w:sz w:val="20"/>
          <w:szCs w:val="20"/>
        </w:rPr>
        <w:t xml:space="preserve">nu. </w:t>
      </w:r>
      <w:r>
        <w:rPr>
          <w:rFonts w:cs="Arial"/>
          <w:i w:val="0"/>
          <w:sz w:val="20"/>
          <w:szCs w:val="20"/>
        </w:rPr>
        <w:t xml:space="preserve">Zrychlení meziročního cenového růstu nastalo </w:t>
      </w:r>
      <w:r w:rsidRPr="003B32C0">
        <w:rPr>
          <w:rFonts w:cs="Arial"/>
          <w:i w:val="0"/>
          <w:sz w:val="20"/>
          <w:szCs w:val="20"/>
        </w:rPr>
        <w:t xml:space="preserve">v oddíle </w:t>
      </w:r>
      <w:r>
        <w:rPr>
          <w:rFonts w:cs="Arial"/>
          <w:i w:val="0"/>
          <w:sz w:val="20"/>
          <w:szCs w:val="20"/>
        </w:rPr>
        <w:t xml:space="preserve">alkoholické </w:t>
      </w:r>
      <w:proofErr w:type="gramStart"/>
      <w:r w:rsidRPr="003B32C0">
        <w:rPr>
          <w:rFonts w:cs="Arial"/>
          <w:i w:val="0"/>
          <w:sz w:val="20"/>
          <w:szCs w:val="20"/>
        </w:rPr>
        <w:t>nápoje</w:t>
      </w:r>
      <w:proofErr w:type="gramEnd"/>
      <w:r>
        <w:rPr>
          <w:rFonts w:cs="Arial"/>
          <w:i w:val="0"/>
          <w:sz w:val="20"/>
          <w:szCs w:val="20"/>
        </w:rPr>
        <w:t xml:space="preserve"> </w:t>
      </w:r>
      <w:r w:rsidRPr="003B32C0">
        <w:rPr>
          <w:rFonts w:cs="Arial"/>
          <w:i w:val="0"/>
          <w:sz w:val="20"/>
          <w:szCs w:val="20"/>
        </w:rPr>
        <w:t>a tabák</w:t>
      </w:r>
      <w:r>
        <w:rPr>
          <w:rFonts w:cs="Arial"/>
          <w:i w:val="0"/>
          <w:sz w:val="20"/>
          <w:szCs w:val="20"/>
        </w:rPr>
        <w:t xml:space="preserve"> </w:t>
      </w:r>
      <w:r w:rsidRPr="003B32C0">
        <w:rPr>
          <w:rFonts w:cs="Arial"/>
          <w:i w:val="0"/>
          <w:sz w:val="20"/>
          <w:szCs w:val="20"/>
        </w:rPr>
        <w:t xml:space="preserve">zejména vlivem cen </w:t>
      </w:r>
      <w:r>
        <w:rPr>
          <w:rFonts w:cs="Arial"/>
          <w:i w:val="0"/>
          <w:sz w:val="20"/>
          <w:szCs w:val="20"/>
        </w:rPr>
        <w:t>vína</w:t>
      </w:r>
      <w:r w:rsidRPr="003B32C0">
        <w:rPr>
          <w:rFonts w:cs="Arial"/>
          <w:i w:val="0"/>
          <w:sz w:val="20"/>
          <w:szCs w:val="20"/>
        </w:rPr>
        <w:t xml:space="preserve">, které </w:t>
      </w:r>
      <w:r>
        <w:rPr>
          <w:rFonts w:cs="Arial"/>
          <w:i w:val="0"/>
          <w:sz w:val="20"/>
          <w:szCs w:val="20"/>
        </w:rPr>
        <w:t>byly</w:t>
      </w:r>
      <w:r w:rsidRPr="003B32C0">
        <w:rPr>
          <w:rFonts w:cs="Arial"/>
          <w:i w:val="0"/>
          <w:sz w:val="20"/>
          <w:szCs w:val="20"/>
        </w:rPr>
        <w:t xml:space="preserve"> v </w:t>
      </w:r>
      <w:r>
        <w:rPr>
          <w:rFonts w:cs="Arial"/>
          <w:i w:val="0"/>
          <w:sz w:val="20"/>
          <w:szCs w:val="20"/>
        </w:rPr>
        <w:t>květnu</w:t>
      </w:r>
      <w:r w:rsidRPr="003B32C0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vyšší o 5,9 % </w:t>
      </w:r>
      <w:r w:rsidRPr="003B32C0">
        <w:rPr>
          <w:rFonts w:cs="Arial"/>
          <w:i w:val="0"/>
          <w:sz w:val="20"/>
          <w:szCs w:val="20"/>
        </w:rPr>
        <w:t xml:space="preserve">(v </w:t>
      </w:r>
      <w:r>
        <w:rPr>
          <w:rFonts w:cs="Arial"/>
          <w:i w:val="0"/>
          <w:sz w:val="20"/>
          <w:szCs w:val="20"/>
        </w:rPr>
        <w:t>dubnu o 3</w:t>
      </w:r>
      <w:r w:rsidRPr="003B32C0">
        <w:rPr>
          <w:rFonts w:cs="Arial"/>
          <w:i w:val="0"/>
          <w:sz w:val="20"/>
          <w:szCs w:val="20"/>
        </w:rPr>
        <w:t xml:space="preserve">,9 %). </w:t>
      </w:r>
      <w:r>
        <w:rPr>
          <w:rFonts w:cs="Arial"/>
          <w:i w:val="0"/>
          <w:sz w:val="20"/>
          <w:szCs w:val="20"/>
        </w:rPr>
        <w:t xml:space="preserve">V oddíle bydlení se zmírnil pokles cen, a tím i jejich vliv na snižování inflace, v důsledku vývoje cen zemního plynu, které byly v květnu nižší o 3,1 % (v dubnu o 9,1 %). Podobně v oddíle pošty a telekomunikace se snížil pokles cen telefonických </w:t>
      </w:r>
      <w:r w:rsidRPr="0062167E">
        <w:rPr>
          <w:rFonts w:cs="Arial"/>
          <w:i w:val="0"/>
          <w:sz w:val="20"/>
          <w:szCs w:val="20"/>
        </w:rPr>
        <w:t xml:space="preserve">a telefaxových služeb na 4,8 % ze 7,9 % v dubnu. V oddíle doprava přešly ceny </w:t>
      </w:r>
      <w:r>
        <w:rPr>
          <w:rFonts w:cs="Arial"/>
          <w:i w:val="0"/>
          <w:sz w:val="20"/>
          <w:szCs w:val="20"/>
        </w:rPr>
        <w:t xml:space="preserve">pohonných hmot </w:t>
      </w:r>
      <w:r w:rsidRPr="0062167E">
        <w:rPr>
          <w:rFonts w:cs="Arial"/>
          <w:i w:val="0"/>
          <w:sz w:val="20"/>
          <w:szCs w:val="20"/>
        </w:rPr>
        <w:t>z poklesu o 0,</w:t>
      </w:r>
      <w:r>
        <w:rPr>
          <w:rFonts w:cs="Arial"/>
          <w:i w:val="0"/>
          <w:sz w:val="20"/>
          <w:szCs w:val="20"/>
        </w:rPr>
        <w:t>4 %</w:t>
      </w:r>
      <w:r w:rsidRPr="0062167E">
        <w:rPr>
          <w:i w:val="0"/>
          <w:sz w:val="20"/>
          <w:szCs w:val="20"/>
        </w:rPr>
        <w:t xml:space="preserve"> v dubnu v růst </w:t>
      </w:r>
      <w:r>
        <w:rPr>
          <w:i w:val="0"/>
          <w:sz w:val="20"/>
          <w:szCs w:val="20"/>
        </w:rPr>
        <w:t>o 1,9</w:t>
      </w:r>
      <w:r w:rsidRPr="0062167E">
        <w:rPr>
          <w:i w:val="0"/>
          <w:sz w:val="20"/>
          <w:szCs w:val="20"/>
        </w:rPr>
        <w:t> % v</w:t>
      </w:r>
      <w:r>
        <w:rPr>
          <w:i w:val="0"/>
          <w:sz w:val="20"/>
          <w:szCs w:val="20"/>
        </w:rPr>
        <w:t> </w:t>
      </w:r>
      <w:r w:rsidRPr="0062167E">
        <w:rPr>
          <w:i w:val="0"/>
          <w:sz w:val="20"/>
          <w:szCs w:val="20"/>
        </w:rPr>
        <w:t>květnu</w:t>
      </w:r>
      <w:r>
        <w:rPr>
          <w:i w:val="0"/>
          <w:sz w:val="20"/>
          <w:szCs w:val="20"/>
        </w:rPr>
        <w:t>.</w:t>
      </w:r>
    </w:p>
    <w:p w:rsidR="00F04AED" w:rsidRDefault="00F04AED" w:rsidP="00F04AED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9A5A4C">
        <w:rPr>
          <w:rFonts w:cs="Arial"/>
          <w:i w:val="0"/>
          <w:sz w:val="20"/>
          <w:szCs w:val="20"/>
        </w:rPr>
        <w:t>Největší vliv na</w:t>
      </w:r>
      <w:bookmarkStart w:id="0" w:name="_GoBack"/>
      <w:bookmarkEnd w:id="0"/>
      <w:r w:rsidRPr="009A5A4C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zvyšování meziročního růstu </w:t>
      </w:r>
      <w:r w:rsidRPr="009A5A4C">
        <w:rPr>
          <w:rFonts w:cs="Arial"/>
          <w:i w:val="0"/>
          <w:sz w:val="20"/>
          <w:szCs w:val="20"/>
        </w:rPr>
        <w:t>spotřebitelských cen</w:t>
      </w:r>
      <w:r>
        <w:rPr>
          <w:rFonts w:cs="Arial"/>
          <w:i w:val="0"/>
          <w:sz w:val="20"/>
          <w:szCs w:val="20"/>
        </w:rPr>
        <w:t xml:space="preserve"> </w:t>
      </w:r>
      <w:r w:rsidRPr="009A5A4C">
        <w:rPr>
          <w:rFonts w:cs="Arial"/>
          <w:i w:val="0"/>
          <w:sz w:val="20"/>
          <w:szCs w:val="20"/>
        </w:rPr>
        <w:t>měly</w:t>
      </w:r>
      <w:r>
        <w:rPr>
          <w:rFonts w:cs="Arial"/>
          <w:i w:val="0"/>
          <w:sz w:val="20"/>
          <w:szCs w:val="20"/>
        </w:rPr>
        <w:t xml:space="preserve"> nadále </w:t>
      </w:r>
      <w:r w:rsidRPr="009A5A4C">
        <w:rPr>
          <w:rFonts w:cs="Arial"/>
          <w:i w:val="0"/>
          <w:sz w:val="20"/>
          <w:szCs w:val="20"/>
        </w:rPr>
        <w:t>ceny v oddíle potraviny a nealkoholické nápoje</w:t>
      </w:r>
      <w:r>
        <w:rPr>
          <w:rFonts w:cs="Arial"/>
          <w:i w:val="0"/>
          <w:sz w:val="20"/>
          <w:szCs w:val="20"/>
        </w:rPr>
        <w:t xml:space="preserve">. </w:t>
      </w:r>
      <w:r w:rsidRPr="00930190">
        <w:rPr>
          <w:rFonts w:cs="Arial"/>
          <w:i w:val="0"/>
          <w:sz w:val="20"/>
          <w:szCs w:val="20"/>
        </w:rPr>
        <w:t>Ceny pekárenských výrobků a obilovin vzrostly o 1,3 %, masa o 3,5 %, ryb o 4,5 %, mléka o 15,2 %, sýrů o 10,7 %, jogurtů o 20,3 %, ostatních mléčných výrobků o 9,2 %, másla o 7,3 %. Naopak ceny</w:t>
      </w:r>
      <w:r>
        <w:rPr>
          <w:rFonts w:cs="Arial"/>
          <w:i w:val="0"/>
          <w:sz w:val="20"/>
          <w:szCs w:val="20"/>
        </w:rPr>
        <w:t xml:space="preserve"> jedlých olejů klesly o 5,1</w:t>
      </w:r>
      <w:r w:rsidRPr="00930190">
        <w:rPr>
          <w:rFonts w:cs="Arial"/>
          <w:i w:val="0"/>
          <w:sz w:val="20"/>
          <w:szCs w:val="20"/>
        </w:rPr>
        <w:t> %, ovoce o 3,6 %, zeleniny o 5,1 %, cukru o 1,1 %,</w:t>
      </w:r>
      <w:r>
        <w:rPr>
          <w:rFonts w:cs="Arial"/>
          <w:i w:val="0"/>
          <w:sz w:val="20"/>
          <w:szCs w:val="20"/>
        </w:rPr>
        <w:t xml:space="preserve"> </w:t>
      </w:r>
      <w:r w:rsidRPr="00930190">
        <w:rPr>
          <w:rFonts w:cs="Arial"/>
          <w:i w:val="0"/>
          <w:sz w:val="20"/>
          <w:szCs w:val="20"/>
        </w:rPr>
        <w:t>polévek a omáček o 5,7 %, nealkoholických nápojů o 1,9 %.</w:t>
      </w:r>
    </w:p>
    <w:p w:rsidR="00F04AED" w:rsidRPr="009E2F4A" w:rsidRDefault="00F04AED" w:rsidP="00F04AED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DB7E36">
        <w:rPr>
          <w:rFonts w:cs="Arial"/>
          <w:i w:val="0"/>
          <w:sz w:val="20"/>
          <w:szCs w:val="20"/>
        </w:rPr>
        <w:t>Na snižování meziročního cenového růstu působily</w:t>
      </w:r>
      <w:r>
        <w:rPr>
          <w:rFonts w:cs="Arial"/>
          <w:i w:val="0"/>
          <w:sz w:val="20"/>
          <w:szCs w:val="20"/>
        </w:rPr>
        <w:t xml:space="preserve"> nejvíce</w:t>
      </w:r>
      <w:r w:rsidRPr="00DB7E36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(i přes oslabení jejich vlivu) </w:t>
      </w:r>
      <w:r w:rsidRPr="00DB7E36">
        <w:rPr>
          <w:rFonts w:cs="Arial"/>
          <w:i w:val="0"/>
          <w:sz w:val="20"/>
          <w:szCs w:val="20"/>
        </w:rPr>
        <w:t xml:space="preserve">ceny </w:t>
      </w:r>
      <w:r>
        <w:rPr>
          <w:rFonts w:cs="Arial"/>
          <w:i w:val="0"/>
          <w:sz w:val="20"/>
          <w:szCs w:val="20"/>
        </w:rPr>
        <w:t xml:space="preserve">v oddíle </w:t>
      </w:r>
      <w:r w:rsidRPr="00DB7E36">
        <w:rPr>
          <w:rFonts w:cs="Arial"/>
          <w:i w:val="0"/>
          <w:sz w:val="20"/>
          <w:szCs w:val="20"/>
        </w:rPr>
        <w:t>bydlení</w:t>
      </w:r>
      <w:r>
        <w:rPr>
          <w:rFonts w:cs="Arial"/>
          <w:i w:val="0"/>
          <w:sz w:val="20"/>
          <w:szCs w:val="20"/>
        </w:rPr>
        <w:t>.</w:t>
      </w:r>
      <w:r w:rsidRPr="00DB7E36">
        <w:rPr>
          <w:rFonts w:cs="Arial"/>
          <w:i w:val="0"/>
          <w:sz w:val="20"/>
          <w:szCs w:val="20"/>
        </w:rPr>
        <w:t xml:space="preserve"> </w:t>
      </w:r>
      <w:r w:rsidRPr="009E2F4A">
        <w:rPr>
          <w:rFonts w:cs="Arial"/>
          <w:i w:val="0"/>
          <w:sz w:val="20"/>
          <w:szCs w:val="20"/>
        </w:rPr>
        <w:t>Ceny elektřiny byly meziročně nižší o 10,5 % a zemního plynu o 3,1 %. Ceny čistého nájemného vzrostly o 0,7 %, vodného o 3,4 %, stočného o</w:t>
      </w:r>
      <w:r>
        <w:rPr>
          <w:rFonts w:cs="Arial"/>
          <w:i w:val="0"/>
          <w:sz w:val="20"/>
          <w:szCs w:val="20"/>
        </w:rPr>
        <w:t xml:space="preserve"> 3,2 %.</w:t>
      </w:r>
    </w:p>
    <w:p w:rsidR="00F04AED" w:rsidRPr="00C93508" w:rsidRDefault="00F04AED" w:rsidP="00F04AED">
      <w:pPr>
        <w:pStyle w:val="Zkladntext"/>
        <w:spacing w:before="120"/>
        <w:rPr>
          <w:rFonts w:cs="Arial"/>
          <w:i w:val="0"/>
          <w:sz w:val="20"/>
          <w:szCs w:val="20"/>
        </w:rPr>
      </w:pPr>
      <w:r w:rsidRPr="00C93508">
        <w:rPr>
          <w:rFonts w:cs="Arial"/>
          <w:i w:val="0"/>
          <w:sz w:val="20"/>
          <w:szCs w:val="20"/>
        </w:rPr>
        <w:t>Ceny zboží úhrnem vzrostly o 0,3 % a ceny služeb o 0,6 %. Úhrnný index spotřebitelských cen bez započtení imputovaného nájemného byl meziročně 100,3 %.</w:t>
      </w:r>
    </w:p>
    <w:p w:rsidR="00F04AED" w:rsidRPr="00C93508" w:rsidRDefault="00F04AED" w:rsidP="00F04AED">
      <w:pPr>
        <w:pStyle w:val="Zkladntext"/>
        <w:spacing w:before="120"/>
        <w:rPr>
          <w:rFonts w:cs="Arial"/>
          <w:bCs/>
          <w:i w:val="0"/>
          <w:sz w:val="20"/>
          <w:szCs w:val="20"/>
        </w:rPr>
      </w:pPr>
      <w:r w:rsidRPr="00C93508">
        <w:rPr>
          <w:rFonts w:cs="Arial"/>
          <w:i w:val="0"/>
          <w:sz w:val="20"/>
          <w:szCs w:val="20"/>
        </w:rPr>
        <w:t xml:space="preserve">Míra inflace vyjádřená přírůstkem </w:t>
      </w:r>
      <w:r w:rsidRPr="00C93508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květnu 0,8</w:t>
      </w:r>
      <w:r w:rsidRPr="00C93508">
        <w:rPr>
          <w:rFonts w:cs="Arial"/>
          <w:bCs/>
          <w:i w:val="0"/>
          <w:sz w:val="20"/>
          <w:szCs w:val="20"/>
        </w:rPr>
        <w:t xml:space="preserve"> %.</w:t>
      </w:r>
    </w:p>
    <w:p w:rsidR="00F04AED" w:rsidRDefault="00F04AED" w:rsidP="00F04AED">
      <w:pPr>
        <w:pStyle w:val="Zkladntextodsazen3"/>
        <w:spacing w:before="120" w:after="0" w:line="240" w:lineRule="auto"/>
        <w:ind w:left="0"/>
        <w:rPr>
          <w:rFonts w:cs="Arial"/>
          <w:sz w:val="20"/>
          <w:szCs w:val="20"/>
        </w:rPr>
      </w:pPr>
      <w:r w:rsidRPr="009F55AA">
        <w:rPr>
          <w:rFonts w:cs="Arial"/>
          <w:sz w:val="20"/>
          <w:szCs w:val="20"/>
        </w:rPr>
        <w:t xml:space="preserve">Meziroční přírůstek průměrného </w:t>
      </w:r>
      <w:r w:rsidRPr="009F55AA">
        <w:rPr>
          <w:rFonts w:cs="Arial"/>
          <w:b/>
          <w:bCs/>
          <w:sz w:val="20"/>
          <w:szCs w:val="20"/>
        </w:rPr>
        <w:t>harmonizovaného indexu spotřebitelských cen</w:t>
      </w:r>
      <w:r w:rsidRPr="009F55AA">
        <w:rPr>
          <w:rFonts w:cs="Arial"/>
          <w:sz w:val="20"/>
          <w:szCs w:val="20"/>
        </w:rPr>
        <w:t xml:space="preserve"> (HICP)</w:t>
      </w:r>
      <w:r w:rsidRPr="009F55AA">
        <w:rPr>
          <w:rStyle w:val="Znakapoznpodarou"/>
          <w:rFonts w:cs="Arial"/>
          <w:sz w:val="20"/>
          <w:szCs w:val="20"/>
        </w:rPr>
        <w:footnoteReference w:id="1"/>
      </w:r>
      <w:r w:rsidRPr="009F55AA">
        <w:rPr>
          <w:rFonts w:cs="Arial"/>
          <w:sz w:val="20"/>
          <w:szCs w:val="20"/>
          <w:vertAlign w:val="superscript"/>
        </w:rPr>
        <w:t>)</w:t>
      </w:r>
      <w:r w:rsidRPr="009F55AA">
        <w:rPr>
          <w:rFonts w:cs="Arial"/>
          <w:sz w:val="20"/>
          <w:szCs w:val="20"/>
        </w:rPr>
        <w:t xml:space="preserve"> </w:t>
      </w:r>
      <w:r w:rsidRPr="009F55AA">
        <w:rPr>
          <w:rFonts w:cs="Arial"/>
          <w:b/>
          <w:bCs/>
          <w:sz w:val="20"/>
          <w:szCs w:val="20"/>
        </w:rPr>
        <w:t>28 členských zemí EU</w:t>
      </w:r>
      <w:r w:rsidRPr="009F55AA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9F55AA">
        <w:rPr>
          <w:rFonts w:cs="Arial"/>
          <w:sz w:val="20"/>
          <w:szCs w:val="20"/>
        </w:rPr>
        <w:t>Eurostatu</w:t>
      </w:r>
      <w:proofErr w:type="spellEnd"/>
      <w:r w:rsidRPr="009F55AA">
        <w:rPr>
          <w:rFonts w:cs="Arial"/>
          <w:sz w:val="20"/>
          <w:szCs w:val="20"/>
        </w:rPr>
        <w:t xml:space="preserve"> </w:t>
      </w:r>
      <w:r w:rsidRPr="009F55AA">
        <w:rPr>
          <w:rFonts w:cs="Arial"/>
          <w:b/>
          <w:sz w:val="20"/>
          <w:szCs w:val="20"/>
        </w:rPr>
        <w:t xml:space="preserve">v dubnu 0,8 %, </w:t>
      </w:r>
      <w:r w:rsidRPr="009F55AA">
        <w:rPr>
          <w:rFonts w:cs="Arial"/>
          <w:sz w:val="20"/>
          <w:szCs w:val="20"/>
        </w:rPr>
        <w:t xml:space="preserve">což je o 0,2 procentního bodu více než v březnu. Nejvíce vzrostly ceny v Rakousku a Rumunsku (shodně o 1,6 %). Naopak v sedmi zemích EU zaznamenaly ceny pokles, z toho nejvíce v Řecku o 1,6 % a v Bulharsku o 1,3 %. Na Slovensku klesly ceny v dubnu stejně jako v březnu o 0,2 %. V Německu zrychlil růst cen na 1,1 % z 0,9 % v březnu. Podle předběžných výpočtů vzrostl </w:t>
      </w:r>
      <w:r w:rsidRPr="009F55AA">
        <w:rPr>
          <w:rFonts w:cs="Arial"/>
          <w:b/>
          <w:sz w:val="20"/>
          <w:szCs w:val="20"/>
        </w:rPr>
        <w:t>v květnu</w:t>
      </w:r>
      <w:r w:rsidRPr="009F55AA">
        <w:rPr>
          <w:rFonts w:cs="Arial"/>
          <w:sz w:val="20"/>
          <w:szCs w:val="20"/>
        </w:rPr>
        <w:t xml:space="preserve"> HICP v ČR </w:t>
      </w:r>
      <w:r w:rsidRPr="009F55AA">
        <w:rPr>
          <w:rFonts w:cs="Arial"/>
          <w:b/>
          <w:bCs/>
          <w:sz w:val="20"/>
          <w:szCs w:val="20"/>
        </w:rPr>
        <w:t xml:space="preserve">meziměsíčně </w:t>
      </w:r>
      <w:r w:rsidRPr="009F55AA">
        <w:rPr>
          <w:rFonts w:cs="Arial"/>
          <w:bCs/>
          <w:sz w:val="20"/>
          <w:szCs w:val="20"/>
        </w:rPr>
        <w:t>o</w:t>
      </w:r>
      <w:r w:rsidRPr="009F55AA">
        <w:rPr>
          <w:rFonts w:cs="Arial"/>
          <w:b/>
          <w:bCs/>
          <w:sz w:val="20"/>
          <w:szCs w:val="20"/>
        </w:rPr>
        <w:t> </w:t>
      </w:r>
      <w:r w:rsidRPr="009F55AA">
        <w:rPr>
          <w:rFonts w:cs="Arial"/>
          <w:sz w:val="20"/>
          <w:szCs w:val="20"/>
        </w:rPr>
        <w:t>0,1 % a </w:t>
      </w:r>
      <w:r w:rsidRPr="009F55AA">
        <w:rPr>
          <w:rFonts w:cs="Arial"/>
          <w:b/>
          <w:bCs/>
          <w:sz w:val="20"/>
          <w:szCs w:val="20"/>
        </w:rPr>
        <w:t xml:space="preserve">meziročně </w:t>
      </w:r>
      <w:r w:rsidRPr="009F55AA">
        <w:rPr>
          <w:rFonts w:cs="Arial"/>
          <w:bCs/>
          <w:sz w:val="20"/>
          <w:szCs w:val="20"/>
        </w:rPr>
        <w:t>o 0,5 % (v dubnu o</w:t>
      </w:r>
      <w:r>
        <w:rPr>
          <w:rFonts w:cs="Arial"/>
          <w:bCs/>
          <w:sz w:val="20"/>
          <w:szCs w:val="20"/>
        </w:rPr>
        <w:t> </w:t>
      </w:r>
      <w:r w:rsidRPr="009F55AA">
        <w:rPr>
          <w:rFonts w:cs="Arial"/>
          <w:bCs/>
          <w:sz w:val="20"/>
          <w:szCs w:val="20"/>
        </w:rPr>
        <w:t xml:space="preserve">0,2 %). </w:t>
      </w:r>
      <w:r w:rsidRPr="009F55AA">
        <w:rPr>
          <w:rFonts w:cs="Arial"/>
          <w:sz w:val="20"/>
          <w:szCs w:val="20"/>
        </w:rPr>
        <w:t>Bleskový odhad meziroční změny HICP pro</w:t>
      </w:r>
      <w:r w:rsidRPr="009F55AA">
        <w:rPr>
          <w:rFonts w:cs="Arial"/>
          <w:b/>
          <w:bCs/>
          <w:sz w:val="20"/>
          <w:szCs w:val="20"/>
        </w:rPr>
        <w:t> </w:t>
      </w:r>
      <w:proofErr w:type="spellStart"/>
      <w:r w:rsidRPr="009F55AA">
        <w:rPr>
          <w:rFonts w:cs="Arial"/>
          <w:b/>
          <w:bCs/>
          <w:sz w:val="20"/>
          <w:szCs w:val="20"/>
        </w:rPr>
        <w:t>eurozónu</w:t>
      </w:r>
      <w:proofErr w:type="spellEnd"/>
      <w:r w:rsidRPr="009F55AA">
        <w:rPr>
          <w:rFonts w:cs="Arial"/>
          <w:b/>
          <w:bCs/>
          <w:sz w:val="20"/>
          <w:szCs w:val="20"/>
        </w:rPr>
        <w:t xml:space="preserve"> </w:t>
      </w:r>
      <w:r w:rsidRPr="009F55AA">
        <w:rPr>
          <w:rFonts w:cs="Arial"/>
          <w:b/>
          <w:sz w:val="20"/>
          <w:szCs w:val="20"/>
        </w:rPr>
        <w:t>za</w:t>
      </w:r>
      <w:r w:rsidRPr="009F55AA">
        <w:rPr>
          <w:rFonts w:cs="Arial"/>
          <w:b/>
          <w:bCs/>
          <w:sz w:val="20"/>
          <w:szCs w:val="20"/>
        </w:rPr>
        <w:t> květen 2014</w:t>
      </w:r>
      <w:r w:rsidRPr="009F55AA">
        <w:rPr>
          <w:rFonts w:cs="Arial"/>
          <w:sz w:val="20"/>
          <w:szCs w:val="20"/>
        </w:rPr>
        <w:t xml:space="preserve"> je 0,5 %, jak uvedl </w:t>
      </w:r>
      <w:proofErr w:type="spellStart"/>
      <w:r w:rsidRPr="009F55AA">
        <w:rPr>
          <w:rFonts w:cs="Arial"/>
          <w:sz w:val="20"/>
          <w:szCs w:val="20"/>
        </w:rPr>
        <w:t>Eurostat</w:t>
      </w:r>
      <w:proofErr w:type="spellEnd"/>
      <w:r w:rsidRPr="009F55A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9F55AA">
        <w:rPr>
          <w:rFonts w:cs="Arial"/>
          <w:sz w:val="20"/>
          <w:szCs w:val="20"/>
        </w:rPr>
        <w:t>Eurostatu</w:t>
      </w:r>
      <w:proofErr w:type="spellEnd"/>
      <w:r w:rsidRPr="009F55AA">
        <w:rPr>
          <w:rFonts w:cs="Arial"/>
          <w:sz w:val="20"/>
          <w:szCs w:val="20"/>
        </w:rPr>
        <w:t xml:space="preserve">: </w:t>
      </w:r>
      <w:hyperlink r:id="rId6" w:history="1">
        <w:r w:rsidRPr="009F55AA">
          <w:rPr>
            <w:rStyle w:val="Hypertextovodkaz"/>
            <w:sz w:val="20"/>
            <w:szCs w:val="20"/>
          </w:rPr>
          <w:t>HICP</w:t>
        </w:r>
      </w:hyperlink>
      <w:r w:rsidRPr="009F55AA">
        <w:rPr>
          <w:rFonts w:cs="Arial"/>
          <w:sz w:val="20"/>
          <w:szCs w:val="20"/>
        </w:rPr>
        <w:t>).</w:t>
      </w:r>
    </w:p>
    <w:p w:rsidR="00F04AED" w:rsidRDefault="00F04AED" w:rsidP="00F04AED">
      <w:pPr>
        <w:pStyle w:val="Zkladntextodsazen3"/>
        <w:spacing w:before="120"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F04AED" w:rsidRDefault="00F04AED" w:rsidP="00F04AED">
      <w:pPr>
        <w:pStyle w:val="Zkladntextodsazen3"/>
        <w:spacing w:before="120" w:line="240" w:lineRule="auto"/>
        <w:ind w:left="0"/>
        <w:rPr>
          <w:rFonts w:cs="Arial"/>
          <w:sz w:val="20"/>
          <w:szCs w:val="20"/>
        </w:rPr>
      </w:pPr>
      <w:r w:rsidRPr="00C26066">
        <w:rPr>
          <w:rFonts w:cs="Arial"/>
          <w:sz w:val="20"/>
          <w:szCs w:val="20"/>
        </w:rPr>
        <w:t xml:space="preserve">Od ledna 2014 </w:t>
      </w:r>
      <w:r w:rsidRPr="00AE5FCF">
        <w:rPr>
          <w:rFonts w:cs="Arial"/>
          <w:sz w:val="20"/>
          <w:szCs w:val="20"/>
        </w:rPr>
        <w:t>jsou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indexy spotřebitelských cen počítány na aktualizovaných vahách. Váhy vycházejí z výdajů domácností roku 2012. </w:t>
      </w:r>
      <w:r w:rsidRPr="00D74808">
        <w:rPr>
          <w:rFonts w:cs="Arial"/>
          <w:sz w:val="20"/>
          <w:szCs w:val="20"/>
        </w:rPr>
        <w:t xml:space="preserve">Nově vypočítávané indexy </w:t>
      </w:r>
      <w:r>
        <w:rPr>
          <w:rFonts w:cs="Arial"/>
          <w:sz w:val="20"/>
          <w:szCs w:val="20"/>
        </w:rPr>
        <w:t xml:space="preserve">jsou </w:t>
      </w:r>
      <w:r w:rsidRPr="00D74808">
        <w:rPr>
          <w:rFonts w:cs="Arial"/>
          <w:sz w:val="20"/>
          <w:szCs w:val="20"/>
        </w:rPr>
        <w:t>na všech úrovních spotřebního koše řetězeny k původnímu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základu rok 2005 = 100. Tím </w:t>
      </w:r>
      <w:r>
        <w:rPr>
          <w:rFonts w:cs="Arial"/>
          <w:sz w:val="20"/>
          <w:szCs w:val="20"/>
        </w:rPr>
        <w:t xml:space="preserve">je </w:t>
      </w:r>
      <w:r w:rsidRPr="00C26066">
        <w:rPr>
          <w:rFonts w:cs="Arial"/>
          <w:sz w:val="20"/>
          <w:szCs w:val="20"/>
        </w:rPr>
        <w:t xml:space="preserve">zajištěno pokračování dosavadní časové řady </w:t>
      </w:r>
      <w:r>
        <w:rPr>
          <w:rFonts w:cs="Arial"/>
          <w:sz w:val="20"/>
          <w:szCs w:val="20"/>
        </w:rPr>
        <w:t xml:space="preserve">indexů se základem </w:t>
      </w:r>
      <w:r w:rsidRPr="00C26066">
        <w:rPr>
          <w:rFonts w:cs="Arial"/>
          <w:sz w:val="20"/>
          <w:szCs w:val="20"/>
        </w:rPr>
        <w:t xml:space="preserve">rok 2005 = 100, ze které </w:t>
      </w:r>
      <w:r>
        <w:rPr>
          <w:rFonts w:cs="Arial"/>
          <w:sz w:val="20"/>
          <w:szCs w:val="20"/>
        </w:rPr>
        <w:t>jsou</w:t>
      </w:r>
      <w:r w:rsidRPr="00C26066">
        <w:rPr>
          <w:rFonts w:cs="Arial"/>
          <w:sz w:val="20"/>
          <w:szCs w:val="20"/>
        </w:rPr>
        <w:t xml:space="preserve"> počítány indexy k dalším základům (předchozí měsíc = 100, stejné období minulého roku = 100 a index klouzavých průměrů za po</w:t>
      </w:r>
      <w:r>
        <w:rPr>
          <w:rFonts w:cs="Arial"/>
          <w:sz w:val="20"/>
          <w:szCs w:val="20"/>
        </w:rPr>
        <w:t>sledních 12 měsíců k průměru 12</w:t>
      </w:r>
      <w:r w:rsidRPr="00C26066">
        <w:rPr>
          <w:rFonts w:cs="Arial"/>
          <w:sz w:val="20"/>
          <w:szCs w:val="20"/>
        </w:rPr>
        <w:t xml:space="preserve"> předcházejících měsíců).</w:t>
      </w:r>
    </w:p>
    <w:p w:rsidR="00F04AED" w:rsidRDefault="00F04AED" w:rsidP="00F04AED">
      <w:pPr>
        <w:pStyle w:val="Zkladntextodsazen3"/>
        <w:spacing w:before="12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Nový spotřební koš naleznete na internetových stránkách ČSÚ: </w:t>
      </w:r>
      <w:hyperlink r:id="rId7" w:anchor="sk" w:history="1">
        <w:r>
          <w:rPr>
            <w:rStyle w:val="Hypertextovodkaz"/>
            <w:rFonts w:cs="Arial"/>
            <w:sz w:val="20"/>
            <w:szCs w:val="20"/>
          </w:rPr>
          <w:t>spotřební koš</w:t>
        </w:r>
      </w:hyperlink>
      <w:r>
        <w:rPr>
          <w:rFonts w:cs="Arial"/>
          <w:sz w:val="20"/>
          <w:szCs w:val="20"/>
        </w:rPr>
        <w:t xml:space="preserve"> </w:t>
      </w:r>
    </w:p>
    <w:p w:rsidR="00297D47" w:rsidRPr="00F04AED" w:rsidRDefault="00297D47" w:rsidP="00F04AED">
      <w:pPr>
        <w:spacing w:before="120" w:line="228" w:lineRule="auto"/>
        <w:rPr>
          <w:szCs w:val="20"/>
        </w:rPr>
      </w:pPr>
    </w:p>
    <w:sectPr w:rsidR="00297D47" w:rsidRPr="00F04AED" w:rsidSect="008C3834">
      <w:footerReference w:type="default" r:id="rId8"/>
      <w:pgSz w:w="11906" w:h="16838"/>
      <w:pgMar w:top="993" w:right="1133" w:bottom="993" w:left="1134" w:header="708" w:footer="3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447" w:rsidRDefault="00DD0447" w:rsidP="008C3834">
      <w:pPr>
        <w:spacing w:line="240" w:lineRule="auto"/>
      </w:pPr>
      <w:r>
        <w:separator/>
      </w:r>
    </w:p>
  </w:endnote>
  <w:endnote w:type="continuationSeparator" w:id="0">
    <w:p w:rsidR="00DD0447" w:rsidRDefault="00DD0447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  <w:jc w:val="center"/>
    </w:pPr>
    <w:r>
      <w:t>3</w:t>
    </w:r>
  </w:p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447" w:rsidRDefault="00DD0447" w:rsidP="008C3834">
      <w:pPr>
        <w:spacing w:line="240" w:lineRule="auto"/>
      </w:pPr>
      <w:r>
        <w:separator/>
      </w:r>
    </w:p>
  </w:footnote>
  <w:footnote w:type="continuationSeparator" w:id="0">
    <w:p w:rsidR="00DD0447" w:rsidRDefault="00DD0447" w:rsidP="008C3834">
      <w:pPr>
        <w:spacing w:line="240" w:lineRule="auto"/>
      </w:pPr>
      <w:r>
        <w:continuationSeparator/>
      </w:r>
    </w:p>
  </w:footnote>
  <w:footnote w:id="1">
    <w:p w:rsidR="00F04AED" w:rsidRDefault="00F04AED" w:rsidP="00F04AED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13C77"/>
    <w:rsid w:val="00020834"/>
    <w:rsid w:val="00023D3B"/>
    <w:rsid w:val="000E345D"/>
    <w:rsid w:val="001145D6"/>
    <w:rsid w:val="00150AD2"/>
    <w:rsid w:val="0018077B"/>
    <w:rsid w:val="0018137E"/>
    <w:rsid w:val="001858EF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23EB0"/>
    <w:rsid w:val="00380909"/>
    <w:rsid w:val="00384E86"/>
    <w:rsid w:val="003B78D7"/>
    <w:rsid w:val="003D1F96"/>
    <w:rsid w:val="003E0C74"/>
    <w:rsid w:val="004102C7"/>
    <w:rsid w:val="004127A6"/>
    <w:rsid w:val="004828D6"/>
    <w:rsid w:val="004A23B0"/>
    <w:rsid w:val="004E157A"/>
    <w:rsid w:val="004E42A1"/>
    <w:rsid w:val="005C742B"/>
    <w:rsid w:val="005F7A6D"/>
    <w:rsid w:val="006018E5"/>
    <w:rsid w:val="0066105E"/>
    <w:rsid w:val="0067046B"/>
    <w:rsid w:val="006B6F19"/>
    <w:rsid w:val="006E6E86"/>
    <w:rsid w:val="0070777D"/>
    <w:rsid w:val="0073782D"/>
    <w:rsid w:val="007E69C2"/>
    <w:rsid w:val="00803C0D"/>
    <w:rsid w:val="00820ECF"/>
    <w:rsid w:val="008C3834"/>
    <w:rsid w:val="008E23B3"/>
    <w:rsid w:val="00900D08"/>
    <w:rsid w:val="00910650"/>
    <w:rsid w:val="00954772"/>
    <w:rsid w:val="00986BAE"/>
    <w:rsid w:val="009D7280"/>
    <w:rsid w:val="009E320A"/>
    <w:rsid w:val="00AE5A76"/>
    <w:rsid w:val="00B04D86"/>
    <w:rsid w:val="00B67728"/>
    <w:rsid w:val="00BF1447"/>
    <w:rsid w:val="00C026A2"/>
    <w:rsid w:val="00C06D31"/>
    <w:rsid w:val="00C15407"/>
    <w:rsid w:val="00C51FC0"/>
    <w:rsid w:val="00C708E7"/>
    <w:rsid w:val="00C75051"/>
    <w:rsid w:val="00CF291B"/>
    <w:rsid w:val="00D839A7"/>
    <w:rsid w:val="00DA31FA"/>
    <w:rsid w:val="00DD0447"/>
    <w:rsid w:val="00DF6361"/>
    <w:rsid w:val="00DF7C28"/>
    <w:rsid w:val="00E31EA7"/>
    <w:rsid w:val="00E9287C"/>
    <w:rsid w:val="00E9477D"/>
    <w:rsid w:val="00E96BFA"/>
    <w:rsid w:val="00EB4260"/>
    <w:rsid w:val="00EE79EB"/>
    <w:rsid w:val="00EF15EB"/>
    <w:rsid w:val="00F04AED"/>
    <w:rsid w:val="00F2499C"/>
    <w:rsid w:val="00FB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zso.cz/csu/redakce.nsf/i/mira_infl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4372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2014-06-06T08:38:00Z</dcterms:created>
  <dcterms:modified xsi:type="dcterms:W3CDTF">2014-06-06T08:38:00Z</dcterms:modified>
</cp:coreProperties>
</file>