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DD553" w14:textId="2AD9006A" w:rsidR="0039398D" w:rsidRPr="00C00147" w:rsidRDefault="0039398D" w:rsidP="00783576">
      <w:pPr>
        <w:pStyle w:val="Nadpis1"/>
        <w:rPr>
          <w:lang w:val="en-GB"/>
        </w:rPr>
      </w:pPr>
      <w:bookmarkStart w:id="0" w:name="_Toc66719928"/>
      <w:bookmarkStart w:id="1" w:name="_Toc19090676"/>
      <w:bookmarkStart w:id="2" w:name="_Toc58605372"/>
      <w:bookmarkStart w:id="3" w:name="_Toc85106895"/>
      <w:r w:rsidRPr="00C00147">
        <w:rPr>
          <w:lang w:val="en-GB"/>
        </w:rPr>
        <w:t>2.</w:t>
      </w:r>
      <w:r w:rsidR="00152C86" w:rsidRPr="00C00147">
        <w:rPr>
          <w:lang w:val="en-GB"/>
        </w:rPr>
        <w:t xml:space="preserve"> </w:t>
      </w:r>
      <w:r w:rsidR="00C00147">
        <w:rPr>
          <w:lang w:val="en-GB"/>
        </w:rPr>
        <w:t>Overall Economic Performance</w:t>
      </w:r>
      <w:bookmarkEnd w:id="3"/>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39398D" w:rsidRPr="009110F7" w14:paraId="17C118A4" w14:textId="77777777" w:rsidTr="00AF7277">
        <w:trPr>
          <w:trHeight w:val="145"/>
        </w:trPr>
        <w:tc>
          <w:tcPr>
            <w:tcW w:w="1806" w:type="dxa"/>
            <w:shd w:val="clear" w:color="auto" w:fill="auto"/>
            <w:tcMar>
              <w:left w:w="0" w:type="dxa"/>
            </w:tcMar>
          </w:tcPr>
          <w:p w14:paraId="7E0DC729" w14:textId="0B58A4B4" w:rsidR="0039398D" w:rsidRPr="00754962" w:rsidRDefault="00754962" w:rsidP="00AF7277">
            <w:pPr>
              <w:pStyle w:val="Marginlie"/>
              <w:rPr>
                <w:lang w:val="en-GB"/>
              </w:rPr>
            </w:pPr>
            <w:r w:rsidRPr="00754962">
              <w:rPr>
                <w:lang w:val="en-GB"/>
              </w:rPr>
              <w:t>The Gross domestic product substantially expanded year-on-year in Q</w:t>
            </w:r>
            <w:r w:rsidR="0039398D" w:rsidRPr="00754962">
              <w:rPr>
                <w:lang w:val="en-GB"/>
              </w:rPr>
              <w:t>2.</w:t>
            </w:r>
            <w:r w:rsidRPr="00754962">
              <w:rPr>
                <w:lang w:val="en-GB"/>
              </w:rPr>
              <w:t xml:space="preserve"> </w:t>
            </w:r>
          </w:p>
        </w:tc>
        <w:tc>
          <w:tcPr>
            <w:tcW w:w="223" w:type="dxa"/>
            <w:shd w:val="clear" w:color="auto" w:fill="auto"/>
            <w:tcMar>
              <w:left w:w="0" w:type="dxa"/>
            </w:tcMar>
          </w:tcPr>
          <w:p w14:paraId="719E7364" w14:textId="77777777" w:rsidR="0039398D" w:rsidRPr="00754962" w:rsidRDefault="0039398D" w:rsidP="00AF7277">
            <w:pPr>
              <w:pStyle w:val="Textpoznpodarou"/>
              <w:jc w:val="both"/>
              <w:rPr>
                <w:spacing w:val="-4"/>
                <w:lang w:val="en-GB"/>
              </w:rPr>
            </w:pPr>
          </w:p>
        </w:tc>
        <w:tc>
          <w:tcPr>
            <w:tcW w:w="7610" w:type="dxa"/>
            <w:shd w:val="clear" w:color="auto" w:fill="auto"/>
            <w:tcMar>
              <w:left w:w="0" w:type="dxa"/>
            </w:tcMar>
          </w:tcPr>
          <w:p w14:paraId="66BDBB23" w14:textId="7E6BEC17" w:rsidR="0039398D" w:rsidRPr="00754962" w:rsidRDefault="000B6543" w:rsidP="00AF7277">
            <w:pPr>
              <w:rPr>
                <w:spacing w:val="-2"/>
                <w:lang w:val="en-GB"/>
              </w:rPr>
            </w:pPr>
            <w:r>
              <w:rPr>
                <w:spacing w:val="-2"/>
                <w:lang w:val="en-GB"/>
              </w:rPr>
              <w:t>The counter pandemic measures, which were restricting trade and services and stood behind the downturn of the domestic consumption in the last year were eased during Q</w:t>
            </w:r>
            <w:r w:rsidR="0039398D" w:rsidRPr="00754962">
              <w:rPr>
                <w:spacing w:val="-2"/>
                <w:lang w:val="en-GB"/>
              </w:rPr>
              <w:t>2</w:t>
            </w:r>
            <w:r>
              <w:rPr>
                <w:spacing w:val="-2"/>
                <w:lang w:val="en-GB"/>
              </w:rPr>
              <w:t xml:space="preserve"> </w:t>
            </w:r>
            <w:r w:rsidR="0039398D" w:rsidRPr="00754962">
              <w:rPr>
                <w:spacing w:val="-2"/>
                <w:lang w:val="en-GB"/>
              </w:rPr>
              <w:t>2021</w:t>
            </w:r>
            <w:r>
              <w:rPr>
                <w:spacing w:val="-2"/>
                <w:lang w:val="en-GB"/>
              </w:rPr>
              <w:t xml:space="preserve">. The Gross domestic product thus increased by </w:t>
            </w:r>
            <w:r w:rsidR="0039398D" w:rsidRPr="00754962">
              <w:rPr>
                <w:spacing w:val="-2"/>
                <w:lang w:val="en-GB"/>
              </w:rPr>
              <w:t>1</w:t>
            </w:r>
            <w:r>
              <w:rPr>
                <w:spacing w:val="-2"/>
                <w:lang w:val="en-GB"/>
              </w:rPr>
              <w:t>.</w:t>
            </w:r>
            <w:r w:rsidR="0039398D" w:rsidRPr="00754962">
              <w:rPr>
                <w:spacing w:val="-2"/>
                <w:lang w:val="en-GB"/>
              </w:rPr>
              <w:t>0%</w:t>
            </w:r>
            <w:r w:rsidR="0039398D" w:rsidRPr="00754962">
              <w:rPr>
                <w:rStyle w:val="Znakapoznpodarou"/>
                <w:rFonts w:cs="Arial"/>
                <w:spacing w:val="-2"/>
                <w:lang w:val="en-GB"/>
              </w:rPr>
              <w:footnoteReference w:id="1"/>
            </w:r>
            <w:r>
              <w:rPr>
                <w:spacing w:val="-2"/>
                <w:lang w:val="en-GB"/>
              </w:rPr>
              <w:t xml:space="preserve"> compared to Q1</w:t>
            </w:r>
            <w:r w:rsidR="0039398D" w:rsidRPr="00754962">
              <w:rPr>
                <w:spacing w:val="-2"/>
                <w:lang w:val="en-GB"/>
              </w:rPr>
              <w:t xml:space="preserve">. </w:t>
            </w:r>
            <w:r w:rsidR="008C43F2">
              <w:rPr>
                <w:spacing w:val="-2"/>
                <w:lang w:val="en-GB"/>
              </w:rPr>
              <w:t xml:space="preserve">Mainly the domestic consumption and also investment activity contributed to the increase. </w:t>
            </w:r>
            <w:r w:rsidR="009E3531">
              <w:rPr>
                <w:spacing w:val="-2"/>
                <w:lang w:val="en-GB"/>
              </w:rPr>
              <w:t xml:space="preserve">On the contrary, the foreign demand had a negative influence. </w:t>
            </w:r>
            <w:r w:rsidR="00782AAD">
              <w:rPr>
                <w:spacing w:val="-2"/>
                <w:lang w:val="en-GB"/>
              </w:rPr>
              <w:t xml:space="preserve">The increase thus lagged behind the EU average and also behind the market outlook, which was caused especially by the </w:t>
            </w:r>
            <w:r w:rsidR="00782AAD" w:rsidRPr="00782AAD">
              <w:rPr>
                <w:spacing w:val="-2"/>
                <w:lang w:val="en-GB"/>
              </w:rPr>
              <w:t>obstacles, which the industry faced due to shortage of some components. T</w:t>
            </w:r>
            <w:r w:rsidR="009E3531" w:rsidRPr="00782AAD">
              <w:rPr>
                <w:spacing w:val="-2"/>
                <w:lang w:val="en-GB"/>
              </w:rPr>
              <w:t xml:space="preserve">his year’s GDP was by </w:t>
            </w:r>
            <w:r w:rsidR="0039398D" w:rsidRPr="00782AAD">
              <w:rPr>
                <w:spacing w:val="-2"/>
                <w:lang w:val="en-GB"/>
              </w:rPr>
              <w:t>8</w:t>
            </w:r>
            <w:r w:rsidR="009E3531" w:rsidRPr="00782AAD">
              <w:rPr>
                <w:spacing w:val="-2"/>
                <w:lang w:val="en-GB"/>
              </w:rPr>
              <w:t>.</w:t>
            </w:r>
            <w:r w:rsidR="0039398D" w:rsidRPr="00782AAD">
              <w:rPr>
                <w:spacing w:val="-2"/>
                <w:lang w:val="en-GB"/>
              </w:rPr>
              <w:t>2%</w:t>
            </w:r>
            <w:r w:rsidR="009E3531" w:rsidRPr="00782AAD">
              <w:rPr>
                <w:spacing w:val="-2"/>
                <w:lang w:val="en-GB"/>
              </w:rPr>
              <w:t xml:space="preserve"> higher</w:t>
            </w:r>
            <w:r w:rsidR="00782AAD" w:rsidRPr="00782AAD">
              <w:rPr>
                <w:spacing w:val="-2"/>
                <w:lang w:val="en-GB"/>
              </w:rPr>
              <w:t xml:space="preserve"> compared to last year’s Q2, which was hit by the deepest GDP slump in the history of independent CR.</w:t>
            </w:r>
            <w:r w:rsidR="00782AAD">
              <w:rPr>
                <w:spacing w:val="-2"/>
                <w:lang w:val="en-GB"/>
              </w:rPr>
              <w:t xml:space="preserve"> </w:t>
            </w:r>
            <w:r w:rsidR="009D2145">
              <w:rPr>
                <w:spacing w:val="-2"/>
                <w:lang w:val="en-GB"/>
              </w:rPr>
              <w:t>All expenditure components with the foreign demand, which suffered an extraordinary shock just in the last year</w:t>
            </w:r>
            <w:r w:rsidR="009D2145">
              <w:rPr>
                <w:spacing w:val="-2"/>
                <w:lang w:val="en-US"/>
              </w:rPr>
              <w:t>’</w:t>
            </w:r>
            <w:r w:rsidR="009D2145">
              <w:rPr>
                <w:spacing w:val="-2"/>
              </w:rPr>
              <w:t>s Q2</w:t>
            </w:r>
            <w:r w:rsidR="009D2145">
              <w:rPr>
                <w:spacing w:val="-2"/>
                <w:lang w:val="en-GB"/>
              </w:rPr>
              <w:t xml:space="preserve"> in the lead, contributed to this outcome. </w:t>
            </w:r>
            <w:r w:rsidR="005C4443">
              <w:rPr>
                <w:spacing w:val="-2"/>
                <w:lang w:val="en-GB"/>
              </w:rPr>
              <w:t xml:space="preserve">Domestic consumption </w:t>
            </w:r>
            <w:r w:rsidR="0039398D" w:rsidRPr="00782AAD">
              <w:rPr>
                <w:spacing w:val="-2"/>
                <w:lang w:val="en-GB"/>
              </w:rPr>
              <w:t>(</w:t>
            </w:r>
            <w:r w:rsidR="005C4443">
              <w:rPr>
                <w:spacing w:val="-2"/>
                <w:lang w:val="en-GB"/>
              </w:rPr>
              <w:t>of both households and government institutions</w:t>
            </w:r>
            <w:r w:rsidR="0039398D" w:rsidRPr="00782AAD">
              <w:rPr>
                <w:spacing w:val="-2"/>
                <w:lang w:val="en-GB"/>
              </w:rPr>
              <w:t>) a</w:t>
            </w:r>
            <w:r w:rsidR="005C4443">
              <w:rPr>
                <w:spacing w:val="-2"/>
                <w:lang w:val="en-GB"/>
              </w:rPr>
              <w:t>nd investment also grew</w:t>
            </w:r>
            <w:r w:rsidR="0039398D" w:rsidRPr="00782AAD">
              <w:rPr>
                <w:spacing w:val="-2"/>
                <w:lang w:val="en-GB"/>
              </w:rPr>
              <w:t xml:space="preserve">. </w:t>
            </w:r>
            <w:r w:rsidR="007805DD">
              <w:rPr>
                <w:spacing w:val="-2"/>
                <w:lang w:val="en-GB"/>
              </w:rPr>
              <w:t xml:space="preserve">Large part of the strong increase can be ascribed to the weak basis – comparison with data in year 2015 prices shows, that the GDP still slightly lagged behind the precrisis Q2 2019 and even the same period of year </w:t>
            </w:r>
            <w:r w:rsidR="0039398D" w:rsidRPr="00782AAD">
              <w:rPr>
                <w:spacing w:val="-2"/>
                <w:lang w:val="en-GB"/>
              </w:rPr>
              <w:t>2018</w:t>
            </w:r>
            <w:r w:rsidR="007805DD">
              <w:rPr>
                <w:spacing w:val="-2"/>
                <w:lang w:val="en-GB"/>
              </w:rPr>
              <w:t xml:space="preserve"> in this year</w:t>
            </w:r>
            <w:r w:rsidR="007805DD">
              <w:rPr>
                <w:spacing w:val="-2"/>
                <w:lang w:val="en-US"/>
              </w:rPr>
              <w:t>’</w:t>
            </w:r>
            <w:r w:rsidR="007805DD">
              <w:rPr>
                <w:spacing w:val="-2"/>
              </w:rPr>
              <w:t>s Q2</w:t>
            </w:r>
            <w:r w:rsidR="0039398D" w:rsidRPr="00782AAD">
              <w:rPr>
                <w:spacing w:val="-2"/>
                <w:lang w:val="en-GB"/>
              </w:rPr>
              <w:t>.</w:t>
            </w:r>
          </w:p>
        </w:tc>
      </w:tr>
      <w:tr w:rsidR="0039398D" w:rsidRPr="009110F7" w14:paraId="1EF56BC3" w14:textId="77777777" w:rsidTr="00AF7277">
        <w:trPr>
          <w:trHeight w:val="170"/>
        </w:trPr>
        <w:tc>
          <w:tcPr>
            <w:tcW w:w="1806" w:type="dxa"/>
            <w:vMerge w:val="restart"/>
            <w:shd w:val="clear" w:color="auto" w:fill="auto"/>
            <w:tcMar>
              <w:left w:w="0" w:type="dxa"/>
            </w:tcMar>
          </w:tcPr>
          <w:p w14:paraId="65DB06C5" w14:textId="77777777" w:rsidR="0039398D" w:rsidRDefault="0039398D" w:rsidP="00AF7277">
            <w:pPr>
              <w:pStyle w:val="Marginlie"/>
            </w:pPr>
          </w:p>
        </w:tc>
        <w:tc>
          <w:tcPr>
            <w:tcW w:w="223" w:type="dxa"/>
            <w:vMerge w:val="restart"/>
            <w:shd w:val="clear" w:color="auto" w:fill="auto"/>
            <w:tcMar>
              <w:left w:w="0" w:type="dxa"/>
            </w:tcMar>
          </w:tcPr>
          <w:p w14:paraId="1E9FA071" w14:textId="77777777" w:rsidR="0039398D" w:rsidRDefault="0039398D" w:rsidP="00AF7277">
            <w:pPr>
              <w:pStyle w:val="Textpoznpodarou"/>
              <w:jc w:val="both"/>
              <w:rPr>
                <w:spacing w:val="-4"/>
              </w:rPr>
            </w:pPr>
          </w:p>
        </w:tc>
        <w:tc>
          <w:tcPr>
            <w:tcW w:w="7610" w:type="dxa"/>
            <w:shd w:val="clear" w:color="auto" w:fill="auto"/>
            <w:tcMar>
              <w:left w:w="0" w:type="dxa"/>
            </w:tcMar>
          </w:tcPr>
          <w:p w14:paraId="6CDABF9A" w14:textId="41EBCDFB" w:rsidR="0039398D" w:rsidRPr="00D721B4" w:rsidRDefault="009B72CB" w:rsidP="00AF7277">
            <w:pPr>
              <w:spacing w:after="0"/>
              <w:rPr>
                <w:b/>
                <w:szCs w:val="20"/>
              </w:rPr>
            </w:pPr>
            <w:r>
              <w:rPr>
                <w:rFonts w:cs="Arial"/>
                <w:b/>
                <w:bCs/>
                <w:color w:val="000000"/>
                <w:szCs w:val="20"/>
              </w:rPr>
              <w:t xml:space="preserve">Chart </w:t>
            </w:r>
            <w:r w:rsidR="0039398D" w:rsidRPr="00D721B4">
              <w:rPr>
                <w:rFonts w:cs="Arial"/>
                <w:b/>
                <w:bCs/>
                <w:color w:val="000000"/>
                <w:szCs w:val="20"/>
              </w:rPr>
              <w:t>1</w:t>
            </w:r>
            <w:r w:rsidR="0039398D">
              <w:rPr>
                <w:rFonts w:cs="Arial"/>
                <w:b/>
                <w:bCs/>
                <w:color w:val="000000"/>
                <w:szCs w:val="20"/>
              </w:rPr>
              <w:t xml:space="preserve"> </w:t>
            </w:r>
            <w:r w:rsidR="0039398D" w:rsidRPr="00D721B4">
              <w:rPr>
                <w:rFonts w:cs="Arial"/>
                <w:b/>
                <w:bCs/>
                <w:color w:val="000000"/>
                <w:szCs w:val="20"/>
              </w:rPr>
              <w:t xml:space="preserve"> </w:t>
            </w:r>
            <w:r w:rsidR="00560162" w:rsidRPr="00D970F7">
              <w:rPr>
                <w:rFonts w:cs="Arial"/>
                <w:b/>
                <w:bCs/>
                <w:color w:val="000000"/>
                <w:sz w:val="18"/>
                <w:szCs w:val="18"/>
                <w:lang w:val="en-GB"/>
              </w:rPr>
              <w:t>GDP</w:t>
            </w:r>
            <w:r w:rsidR="00560162" w:rsidRPr="00D970F7">
              <w:rPr>
                <w:rFonts w:cs="Arial"/>
                <w:b/>
                <w:sz w:val="18"/>
                <w:szCs w:val="18"/>
                <w:lang w:val="en-GB" w:eastAsia="en-US"/>
              </w:rPr>
              <w:t xml:space="preserve"> (volume indices, adjusted for seasonal and calendar effects, in %)</w:t>
            </w:r>
          </w:p>
        </w:tc>
      </w:tr>
      <w:tr w:rsidR="0039398D" w:rsidRPr="009110F7" w14:paraId="45374ED6" w14:textId="77777777" w:rsidTr="007A7B8F">
        <w:tblPrEx>
          <w:tblCellMar>
            <w:left w:w="70" w:type="dxa"/>
            <w:right w:w="70" w:type="dxa"/>
          </w:tblCellMar>
        </w:tblPrEx>
        <w:trPr>
          <w:trHeight w:val="170"/>
        </w:trPr>
        <w:tc>
          <w:tcPr>
            <w:tcW w:w="1806" w:type="dxa"/>
            <w:vMerge/>
            <w:shd w:val="clear" w:color="auto" w:fill="auto"/>
          </w:tcPr>
          <w:p w14:paraId="4833D235" w14:textId="77777777" w:rsidR="0039398D" w:rsidRPr="009110F7" w:rsidRDefault="0039398D" w:rsidP="00AF7277">
            <w:pPr>
              <w:pStyle w:val="Marginlie"/>
            </w:pPr>
          </w:p>
        </w:tc>
        <w:tc>
          <w:tcPr>
            <w:tcW w:w="223" w:type="dxa"/>
            <w:vMerge/>
            <w:shd w:val="clear" w:color="auto" w:fill="auto"/>
          </w:tcPr>
          <w:p w14:paraId="07142834" w14:textId="77777777" w:rsidR="0039398D" w:rsidRPr="009110F7" w:rsidRDefault="0039398D" w:rsidP="00AF7277">
            <w:pPr>
              <w:pStyle w:val="Textpoznpodarou"/>
              <w:jc w:val="both"/>
              <w:rPr>
                <w:spacing w:val="-4"/>
              </w:rPr>
            </w:pPr>
          </w:p>
        </w:tc>
        <w:tc>
          <w:tcPr>
            <w:tcW w:w="7610" w:type="dxa"/>
            <w:shd w:val="clear" w:color="auto" w:fill="auto"/>
          </w:tcPr>
          <w:p w14:paraId="2B570A6A" w14:textId="38D8F2D9" w:rsidR="0039398D" w:rsidRPr="009110F7" w:rsidRDefault="007A7B8F" w:rsidP="00AF7277">
            <w:pPr>
              <w:spacing w:after="0"/>
            </w:pPr>
            <w:r>
              <w:rPr>
                <w:noProof/>
              </w:rPr>
              <w:drawing>
                <wp:inline distT="0" distB="0" distL="0" distR="0" wp14:anchorId="75E94F7D" wp14:editId="1BE1BE58">
                  <wp:extent cx="4737600" cy="3553200"/>
                  <wp:effectExtent l="0" t="0" r="6350" b="0"/>
                  <wp:docPr id="23" name="Graf 2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9398D" w:rsidRPr="009110F7" w14:paraId="5D15BEB7" w14:textId="77777777" w:rsidTr="00AF7277">
        <w:trPr>
          <w:trHeight w:val="170"/>
        </w:trPr>
        <w:tc>
          <w:tcPr>
            <w:tcW w:w="1806" w:type="dxa"/>
            <w:vMerge/>
            <w:shd w:val="clear" w:color="auto" w:fill="auto"/>
            <w:tcMar>
              <w:left w:w="0" w:type="dxa"/>
            </w:tcMar>
          </w:tcPr>
          <w:p w14:paraId="75D848C5" w14:textId="77777777" w:rsidR="0039398D" w:rsidRPr="009110F7" w:rsidRDefault="0039398D" w:rsidP="00AF7277">
            <w:pPr>
              <w:pStyle w:val="Marginlie"/>
            </w:pPr>
          </w:p>
        </w:tc>
        <w:tc>
          <w:tcPr>
            <w:tcW w:w="223" w:type="dxa"/>
            <w:vMerge/>
            <w:shd w:val="clear" w:color="auto" w:fill="auto"/>
            <w:tcMar>
              <w:left w:w="0" w:type="dxa"/>
            </w:tcMar>
          </w:tcPr>
          <w:p w14:paraId="056CB664" w14:textId="77777777" w:rsidR="0039398D" w:rsidRPr="009110F7" w:rsidRDefault="0039398D" w:rsidP="00AF7277">
            <w:pPr>
              <w:pStyle w:val="Textpoznpodarou"/>
              <w:jc w:val="both"/>
              <w:rPr>
                <w:spacing w:val="-4"/>
              </w:rPr>
            </w:pPr>
          </w:p>
        </w:tc>
        <w:tc>
          <w:tcPr>
            <w:tcW w:w="7610" w:type="dxa"/>
            <w:shd w:val="clear" w:color="auto" w:fill="auto"/>
            <w:tcMar>
              <w:left w:w="0" w:type="dxa"/>
            </w:tcMar>
          </w:tcPr>
          <w:p w14:paraId="369DC184" w14:textId="29CB6E0E" w:rsidR="00560162" w:rsidRPr="009B72CB" w:rsidRDefault="009B72CB" w:rsidP="007A7B8F">
            <w:pPr>
              <w:spacing w:after="220"/>
              <w:rPr>
                <w:b/>
                <w:bCs/>
                <w:sz w:val="16"/>
                <w:szCs w:val="16"/>
              </w:rPr>
            </w:pPr>
            <w:r>
              <w:rPr>
                <w:sz w:val="14"/>
                <w:szCs w:val="14"/>
              </w:rPr>
              <w:t>Source</w:t>
            </w:r>
            <w:r w:rsidR="0039398D">
              <w:rPr>
                <w:sz w:val="14"/>
                <w:szCs w:val="14"/>
              </w:rPr>
              <w:t xml:space="preserve">: </w:t>
            </w:r>
            <w:r>
              <w:rPr>
                <w:sz w:val="14"/>
                <w:szCs w:val="14"/>
              </w:rPr>
              <w:t>CZSO</w:t>
            </w:r>
            <w:r w:rsidR="0039398D">
              <w:rPr>
                <w:sz w:val="14"/>
                <w:szCs w:val="14"/>
              </w:rPr>
              <w:t>, Eurostat</w:t>
            </w:r>
          </w:p>
        </w:tc>
      </w:tr>
      <w:tr w:rsidR="0039398D" w:rsidRPr="009110F7" w14:paraId="1F17E810" w14:textId="77777777" w:rsidTr="00AF7277">
        <w:trPr>
          <w:trHeight w:val="145"/>
        </w:trPr>
        <w:tc>
          <w:tcPr>
            <w:tcW w:w="1806" w:type="dxa"/>
            <w:shd w:val="clear" w:color="auto" w:fill="auto"/>
            <w:tcMar>
              <w:left w:w="0" w:type="dxa"/>
            </w:tcMar>
          </w:tcPr>
          <w:p w14:paraId="2642638D" w14:textId="57877D40" w:rsidR="0039398D" w:rsidRPr="000406A0" w:rsidRDefault="000406A0" w:rsidP="00AF7277">
            <w:pPr>
              <w:pStyle w:val="Marginlie"/>
              <w:rPr>
                <w:lang w:val="en-GB"/>
              </w:rPr>
            </w:pPr>
            <w:r w:rsidRPr="000406A0">
              <w:rPr>
                <w:lang w:val="en-GB"/>
              </w:rPr>
              <w:t xml:space="preserve">European economies are also gradually recovering. </w:t>
            </w:r>
          </w:p>
        </w:tc>
        <w:tc>
          <w:tcPr>
            <w:tcW w:w="223" w:type="dxa"/>
            <w:shd w:val="clear" w:color="auto" w:fill="auto"/>
            <w:tcMar>
              <w:left w:w="0" w:type="dxa"/>
            </w:tcMar>
          </w:tcPr>
          <w:p w14:paraId="5BF1CF5E" w14:textId="77777777" w:rsidR="0039398D" w:rsidRPr="000406A0" w:rsidRDefault="0039398D" w:rsidP="00AF7277">
            <w:pPr>
              <w:pStyle w:val="Textpoznpodarou"/>
              <w:jc w:val="both"/>
              <w:rPr>
                <w:spacing w:val="-4"/>
                <w:lang w:val="en-GB"/>
              </w:rPr>
            </w:pPr>
          </w:p>
        </w:tc>
        <w:tc>
          <w:tcPr>
            <w:tcW w:w="7610" w:type="dxa"/>
            <w:shd w:val="clear" w:color="auto" w:fill="auto"/>
            <w:tcMar>
              <w:left w:w="0" w:type="dxa"/>
            </w:tcMar>
          </w:tcPr>
          <w:p w14:paraId="66AD3D5C" w14:textId="753FC676" w:rsidR="0039398D" w:rsidRPr="000406A0" w:rsidRDefault="00A71FE9" w:rsidP="00F5615B">
            <w:pPr>
              <w:rPr>
                <w:lang w:val="en-GB"/>
              </w:rPr>
            </w:pPr>
            <w:r>
              <w:rPr>
                <w:lang w:val="en-GB"/>
              </w:rPr>
              <w:t xml:space="preserve">The GDP in the EU expanded by </w:t>
            </w:r>
            <w:r w:rsidR="0039398D" w:rsidRPr="000406A0">
              <w:rPr>
                <w:lang w:val="en-GB"/>
              </w:rPr>
              <w:t>1</w:t>
            </w:r>
            <w:r>
              <w:rPr>
                <w:lang w:val="en-GB"/>
              </w:rPr>
              <w:t>.</w:t>
            </w:r>
            <w:r w:rsidR="0039398D" w:rsidRPr="000406A0">
              <w:rPr>
                <w:lang w:val="en-GB"/>
              </w:rPr>
              <w:t>9%</w:t>
            </w:r>
            <w:r w:rsidR="0039398D" w:rsidRPr="000406A0">
              <w:rPr>
                <w:rStyle w:val="Znakapoznpodarou"/>
                <w:lang w:val="en-GB"/>
              </w:rPr>
              <w:footnoteReference w:id="2"/>
            </w:r>
            <w:r>
              <w:rPr>
                <w:lang w:val="en-GB"/>
              </w:rPr>
              <w:t xml:space="preserve"> compared to Q1</w:t>
            </w:r>
            <w:r w:rsidR="0039398D" w:rsidRPr="000406A0">
              <w:rPr>
                <w:lang w:val="en-GB"/>
              </w:rPr>
              <w:t>.</w:t>
            </w:r>
            <w:r>
              <w:rPr>
                <w:lang w:val="en-GB"/>
              </w:rPr>
              <w:t xml:space="preserve"> Quarter-on-quarter addition followed after two quarters of decreases and it was influenced mainly by the strengthening domestic demand. </w:t>
            </w:r>
            <w:r w:rsidR="00A12D51">
              <w:rPr>
                <w:lang w:val="en-GB"/>
              </w:rPr>
              <w:t xml:space="preserve">Apart from Malta and Croatia, the GDP grew in all EU countries quarter-on-quarter. The economies of Portugal </w:t>
            </w:r>
            <w:r w:rsidR="0039398D" w:rsidRPr="000406A0">
              <w:rPr>
                <w:lang w:val="en-GB"/>
              </w:rPr>
              <w:t>(4</w:t>
            </w:r>
            <w:r w:rsidR="00A12D51">
              <w:rPr>
                <w:lang w:val="en-GB"/>
              </w:rPr>
              <w:t>.</w:t>
            </w:r>
            <w:r w:rsidR="0039398D" w:rsidRPr="000406A0">
              <w:rPr>
                <w:lang w:val="en-GB"/>
              </w:rPr>
              <w:t>9%), L</w:t>
            </w:r>
            <w:r w:rsidR="00556F6D">
              <w:rPr>
                <w:lang w:val="en-GB"/>
              </w:rPr>
              <w:t xml:space="preserve">atvia </w:t>
            </w:r>
            <w:r w:rsidR="0039398D" w:rsidRPr="000406A0">
              <w:rPr>
                <w:lang w:val="en-GB"/>
              </w:rPr>
              <w:t>(4</w:t>
            </w:r>
            <w:r w:rsidR="00556F6D">
              <w:rPr>
                <w:lang w:val="en-GB"/>
              </w:rPr>
              <w:t>.</w:t>
            </w:r>
            <w:r w:rsidR="0039398D" w:rsidRPr="000406A0">
              <w:rPr>
                <w:lang w:val="en-GB"/>
              </w:rPr>
              <w:t>4%)</w:t>
            </w:r>
            <w:r w:rsidR="00556F6D">
              <w:rPr>
                <w:lang w:val="en-GB"/>
              </w:rPr>
              <w:t xml:space="preserve"> and Estonia </w:t>
            </w:r>
            <w:r w:rsidR="0039398D" w:rsidRPr="000406A0">
              <w:rPr>
                <w:lang w:val="en-GB"/>
              </w:rPr>
              <w:t>(4</w:t>
            </w:r>
            <w:r w:rsidR="00556F6D">
              <w:rPr>
                <w:lang w:val="en-GB"/>
              </w:rPr>
              <w:t>.</w:t>
            </w:r>
            <w:r w:rsidR="0039398D" w:rsidRPr="000406A0">
              <w:rPr>
                <w:lang w:val="en-GB"/>
              </w:rPr>
              <w:t>3%)</w:t>
            </w:r>
            <w:r w:rsidR="00556F6D">
              <w:rPr>
                <w:lang w:val="en-GB"/>
              </w:rPr>
              <w:t xml:space="preserve"> grew the strongest</w:t>
            </w:r>
            <w:r w:rsidR="0039398D" w:rsidRPr="000406A0">
              <w:rPr>
                <w:lang w:val="en-GB"/>
              </w:rPr>
              <w:t>.</w:t>
            </w:r>
            <w:r w:rsidR="00556F6D">
              <w:rPr>
                <w:lang w:val="en-GB"/>
              </w:rPr>
              <w:t xml:space="preserve"> Development of neighbouring Austria was also however favourable, Polish and Slovakian economies were also improving at above average rate. </w:t>
            </w:r>
            <w:r w:rsidR="00CF5F83">
              <w:rPr>
                <w:lang w:val="en-GB"/>
              </w:rPr>
              <w:t xml:space="preserve">The CR </w:t>
            </w:r>
            <w:r w:rsidR="0039398D" w:rsidRPr="000406A0">
              <w:rPr>
                <w:lang w:val="en-GB"/>
              </w:rPr>
              <w:t>(1</w:t>
            </w:r>
            <w:r w:rsidR="00CF5F83">
              <w:rPr>
                <w:lang w:val="en-GB"/>
              </w:rPr>
              <w:t>.</w:t>
            </w:r>
            <w:r w:rsidR="0039398D" w:rsidRPr="000406A0">
              <w:rPr>
                <w:lang w:val="en-GB"/>
              </w:rPr>
              <w:t>0%)</w:t>
            </w:r>
            <w:r w:rsidR="00CF5F83">
              <w:rPr>
                <w:lang w:val="en-GB"/>
              </w:rPr>
              <w:t xml:space="preserve"> but also large economies France </w:t>
            </w:r>
            <w:r w:rsidR="0039398D" w:rsidRPr="000406A0">
              <w:rPr>
                <w:lang w:val="en-GB"/>
              </w:rPr>
              <w:t>(1</w:t>
            </w:r>
            <w:r w:rsidR="00CF5F83">
              <w:rPr>
                <w:lang w:val="en-GB"/>
              </w:rPr>
              <w:t>.</w:t>
            </w:r>
            <w:r w:rsidR="0039398D" w:rsidRPr="000406A0">
              <w:rPr>
                <w:lang w:val="en-GB"/>
              </w:rPr>
              <w:t>1%)</w:t>
            </w:r>
            <w:r w:rsidR="00CF5F83">
              <w:rPr>
                <w:lang w:val="en-GB"/>
              </w:rPr>
              <w:t xml:space="preserve"> and Germany </w:t>
            </w:r>
            <w:r w:rsidR="0039398D" w:rsidRPr="000406A0">
              <w:rPr>
                <w:lang w:val="en-GB"/>
              </w:rPr>
              <w:t>(1</w:t>
            </w:r>
            <w:r w:rsidR="00CF5F83">
              <w:rPr>
                <w:lang w:val="en-GB"/>
              </w:rPr>
              <w:t>.</w:t>
            </w:r>
            <w:r w:rsidR="0039398D" w:rsidRPr="000406A0">
              <w:rPr>
                <w:lang w:val="en-GB"/>
              </w:rPr>
              <w:t>6%)</w:t>
            </w:r>
            <w:r w:rsidR="00CF5F83">
              <w:rPr>
                <w:lang w:val="en-GB"/>
              </w:rPr>
              <w:t xml:space="preserve"> counted among countries with the lowest quarter-on-quarter increase</w:t>
            </w:r>
            <w:r w:rsidR="0039398D" w:rsidRPr="000406A0">
              <w:rPr>
                <w:lang w:val="en-GB"/>
              </w:rPr>
              <w:t>.</w:t>
            </w:r>
            <w:r w:rsidR="003D6134">
              <w:rPr>
                <w:lang w:val="en-GB"/>
              </w:rPr>
              <w:t xml:space="preserve"> Total GDP in the European Union was by </w:t>
            </w:r>
            <w:r w:rsidR="0039398D" w:rsidRPr="000406A0">
              <w:rPr>
                <w:lang w:val="en-GB"/>
              </w:rPr>
              <w:t>13</w:t>
            </w:r>
            <w:r w:rsidR="003D6134">
              <w:rPr>
                <w:lang w:val="en-GB"/>
              </w:rPr>
              <w:t>.</w:t>
            </w:r>
            <w:r w:rsidR="0039398D" w:rsidRPr="000406A0">
              <w:rPr>
                <w:lang w:val="en-GB"/>
              </w:rPr>
              <w:t>2%</w:t>
            </w:r>
            <w:r w:rsidR="003D6134">
              <w:rPr>
                <w:lang w:val="en-GB"/>
              </w:rPr>
              <w:t xml:space="preserve"> higher year-on-year in Q2</w:t>
            </w:r>
            <w:r w:rsidR="0039398D" w:rsidRPr="000406A0">
              <w:rPr>
                <w:lang w:val="en-GB"/>
              </w:rPr>
              <w:t xml:space="preserve">, </w:t>
            </w:r>
            <w:r w:rsidR="003D6134">
              <w:rPr>
                <w:lang w:val="en-GB"/>
              </w:rPr>
              <w:t xml:space="preserve">which was of </w:t>
            </w:r>
            <w:r w:rsidR="003D6134">
              <w:rPr>
                <w:lang w:val="en-GB"/>
              </w:rPr>
              <w:lastRenderedPageBreak/>
              <w:t>course similarly to the CR to a large part affected by the low basis of the last year</w:t>
            </w:r>
            <w:r w:rsidR="003D6134">
              <w:rPr>
                <w:lang w:val="en-US"/>
              </w:rPr>
              <w:t>’</w:t>
            </w:r>
            <w:r w:rsidR="003D6134">
              <w:t>s Q</w:t>
            </w:r>
            <w:r w:rsidR="0039398D" w:rsidRPr="000406A0">
              <w:rPr>
                <w:lang w:val="en-GB"/>
              </w:rPr>
              <w:t>2.</w:t>
            </w:r>
            <w:r w:rsidR="003D6134">
              <w:rPr>
                <w:lang w:val="en-GB"/>
              </w:rPr>
              <w:t xml:space="preserve"> </w:t>
            </w:r>
            <w:r w:rsidR="00556F6D">
              <w:rPr>
                <w:lang w:val="en-GB"/>
              </w:rPr>
              <w:t xml:space="preserve">All EU countries were thus economically growing year-on-year. </w:t>
            </w:r>
            <w:r w:rsidR="0008658A">
              <w:rPr>
                <w:lang w:val="en-GB"/>
              </w:rPr>
              <w:t xml:space="preserve">Look on the precrisis period however shows, that the real GDP in the EU falls behind the level of year </w:t>
            </w:r>
            <w:r w:rsidR="0039398D" w:rsidRPr="000406A0">
              <w:rPr>
                <w:lang w:val="en-GB"/>
              </w:rPr>
              <w:t>2019</w:t>
            </w:r>
            <w:r w:rsidR="0008658A">
              <w:rPr>
                <w:lang w:val="en-GB"/>
              </w:rPr>
              <w:t xml:space="preserve"> by </w:t>
            </w:r>
            <w:r w:rsidR="0039398D" w:rsidRPr="000406A0">
              <w:rPr>
                <w:lang w:val="en-GB"/>
              </w:rPr>
              <w:t>2</w:t>
            </w:r>
            <w:r w:rsidR="0008658A">
              <w:rPr>
                <w:lang w:val="en-GB"/>
              </w:rPr>
              <w:t>.</w:t>
            </w:r>
            <w:r w:rsidR="0039398D" w:rsidRPr="000406A0">
              <w:rPr>
                <w:lang w:val="en-GB"/>
              </w:rPr>
              <w:t>3%</w:t>
            </w:r>
            <w:r w:rsidR="0039398D" w:rsidRPr="000406A0">
              <w:rPr>
                <w:rStyle w:val="Znakapoznpodarou"/>
                <w:lang w:val="en-GB"/>
              </w:rPr>
              <w:footnoteReference w:id="3"/>
            </w:r>
            <w:r w:rsidR="0039398D" w:rsidRPr="000406A0">
              <w:rPr>
                <w:lang w:val="en-GB"/>
              </w:rPr>
              <w:t>.</w:t>
            </w:r>
            <w:r w:rsidR="0008658A">
              <w:rPr>
                <w:lang w:val="en-GB"/>
              </w:rPr>
              <w:t xml:space="preserve"> The real GDP was lower in the majority </w:t>
            </w:r>
            <w:r w:rsidR="008872A7">
              <w:rPr>
                <w:lang w:val="en-GB"/>
              </w:rPr>
              <w:t xml:space="preserve">of </w:t>
            </w:r>
            <w:r w:rsidR="0008658A">
              <w:rPr>
                <w:lang w:val="en-GB"/>
              </w:rPr>
              <w:t xml:space="preserve">countries than in Q2 </w:t>
            </w:r>
            <w:r w:rsidR="0039398D" w:rsidRPr="000406A0">
              <w:rPr>
                <w:lang w:val="en-GB"/>
              </w:rPr>
              <w:t>2019,</w:t>
            </w:r>
            <w:r w:rsidR="0008658A">
              <w:rPr>
                <w:lang w:val="en-GB"/>
              </w:rPr>
              <w:t xml:space="preserve"> while Spain </w:t>
            </w:r>
            <w:r w:rsidR="006D26CE" w:rsidRPr="000406A0">
              <w:rPr>
                <w:lang w:val="en-GB"/>
              </w:rPr>
              <w:t>(–6</w:t>
            </w:r>
            <w:r w:rsidR="0008658A">
              <w:rPr>
                <w:lang w:val="en-GB"/>
              </w:rPr>
              <w:t>.</w:t>
            </w:r>
            <w:r w:rsidR="006D26CE" w:rsidRPr="000406A0">
              <w:rPr>
                <w:lang w:val="en-GB"/>
              </w:rPr>
              <w:t>1%) a</w:t>
            </w:r>
            <w:r w:rsidR="0008658A">
              <w:rPr>
                <w:lang w:val="en-GB"/>
              </w:rPr>
              <w:t xml:space="preserve">nd Italy </w:t>
            </w:r>
            <w:r w:rsidR="0039398D" w:rsidRPr="000406A0">
              <w:rPr>
                <w:lang w:val="en-GB"/>
              </w:rPr>
              <w:t>(–4</w:t>
            </w:r>
            <w:r w:rsidR="0008658A">
              <w:rPr>
                <w:lang w:val="en-GB"/>
              </w:rPr>
              <w:t>.</w:t>
            </w:r>
            <w:r w:rsidR="0039398D" w:rsidRPr="000406A0">
              <w:rPr>
                <w:lang w:val="en-GB"/>
              </w:rPr>
              <w:t>0%)</w:t>
            </w:r>
            <w:r w:rsidR="0008658A">
              <w:rPr>
                <w:lang w:val="en-GB"/>
              </w:rPr>
              <w:t xml:space="preserve"> lagged behind the most</w:t>
            </w:r>
            <w:r w:rsidR="0039398D" w:rsidRPr="000406A0">
              <w:rPr>
                <w:lang w:val="en-GB"/>
              </w:rPr>
              <w:t xml:space="preserve">. </w:t>
            </w:r>
            <w:r w:rsidR="00EE5D97">
              <w:rPr>
                <w:lang w:val="en-GB"/>
              </w:rPr>
              <w:t xml:space="preserve">However the CR also ranked high in this comparison </w:t>
            </w:r>
            <w:r w:rsidR="0039398D" w:rsidRPr="000406A0">
              <w:rPr>
                <w:spacing w:val="-4"/>
                <w:lang w:val="en-GB"/>
              </w:rPr>
              <w:t>(–3</w:t>
            </w:r>
            <w:r w:rsidR="00EE5D97">
              <w:rPr>
                <w:spacing w:val="-4"/>
                <w:lang w:val="en-GB"/>
              </w:rPr>
              <w:t>.</w:t>
            </w:r>
            <w:r w:rsidR="0039398D" w:rsidRPr="000406A0">
              <w:rPr>
                <w:spacing w:val="-4"/>
                <w:lang w:val="en-GB"/>
              </w:rPr>
              <w:t>7%)</w:t>
            </w:r>
            <w:r w:rsidR="00EE5D97">
              <w:rPr>
                <w:spacing w:val="-4"/>
                <w:lang w:val="en-GB"/>
              </w:rPr>
              <w:t xml:space="preserve"> and France </w:t>
            </w:r>
            <w:r w:rsidR="0039398D" w:rsidRPr="000406A0">
              <w:rPr>
                <w:spacing w:val="-4"/>
                <w:lang w:val="en-GB"/>
              </w:rPr>
              <w:t>(</w:t>
            </w:r>
            <w:r w:rsidR="00C706D2" w:rsidRPr="000406A0">
              <w:rPr>
                <w:spacing w:val="-4"/>
                <w:lang w:val="en-GB"/>
              </w:rPr>
              <w:t>–</w:t>
            </w:r>
            <w:r w:rsidR="006D26CE" w:rsidRPr="000406A0">
              <w:rPr>
                <w:spacing w:val="-4"/>
                <w:lang w:val="en-GB"/>
              </w:rPr>
              <w:t>3</w:t>
            </w:r>
            <w:r w:rsidR="00EE5D97">
              <w:rPr>
                <w:spacing w:val="-4"/>
                <w:lang w:val="en-GB"/>
              </w:rPr>
              <w:t>.</w:t>
            </w:r>
            <w:r w:rsidR="006D26CE" w:rsidRPr="000406A0">
              <w:rPr>
                <w:spacing w:val="-4"/>
                <w:lang w:val="en-GB"/>
              </w:rPr>
              <w:t>4%),</w:t>
            </w:r>
            <w:r w:rsidR="00EE5D97">
              <w:rPr>
                <w:spacing w:val="-4"/>
                <w:lang w:val="en-GB"/>
              </w:rPr>
              <w:t xml:space="preserve"> Germany </w:t>
            </w:r>
            <w:r w:rsidR="0039398D" w:rsidRPr="000406A0">
              <w:rPr>
                <w:lang w:val="en-GB"/>
              </w:rPr>
              <w:t>(–2</w:t>
            </w:r>
            <w:r w:rsidR="00EE5D97">
              <w:rPr>
                <w:lang w:val="en-GB"/>
              </w:rPr>
              <w:t>.</w:t>
            </w:r>
            <w:r w:rsidR="0039398D" w:rsidRPr="000406A0">
              <w:rPr>
                <w:lang w:val="en-GB"/>
              </w:rPr>
              <w:t>9%)</w:t>
            </w:r>
            <w:r w:rsidR="00EE5D97">
              <w:rPr>
                <w:lang w:val="en-GB"/>
              </w:rPr>
              <w:t xml:space="preserve"> or Austria </w:t>
            </w:r>
            <w:r w:rsidR="00A84AEA">
              <w:rPr>
                <w:lang w:val="en-GB"/>
              </w:rPr>
              <w:t xml:space="preserve">           </w:t>
            </w:r>
            <w:r w:rsidR="0039398D" w:rsidRPr="000406A0">
              <w:rPr>
                <w:lang w:val="en-GB"/>
              </w:rPr>
              <w:t>(</w:t>
            </w:r>
            <w:r w:rsidR="00C706D2" w:rsidRPr="000406A0">
              <w:rPr>
                <w:lang w:val="en-GB"/>
              </w:rPr>
              <w:t>–</w:t>
            </w:r>
            <w:r w:rsidR="0039398D" w:rsidRPr="000406A0">
              <w:rPr>
                <w:lang w:val="en-GB"/>
              </w:rPr>
              <w:t>2</w:t>
            </w:r>
            <w:r w:rsidR="00EE5D97">
              <w:rPr>
                <w:lang w:val="en-GB"/>
              </w:rPr>
              <w:t>.</w:t>
            </w:r>
            <w:r w:rsidR="0039398D" w:rsidRPr="000406A0">
              <w:rPr>
                <w:lang w:val="en-GB"/>
              </w:rPr>
              <w:t xml:space="preserve">7%), </w:t>
            </w:r>
            <w:r w:rsidR="00EE5D97">
              <w:rPr>
                <w:lang w:val="en-GB"/>
              </w:rPr>
              <w:t>often countries with strong motor vehicle industry, also dived by an above average rate compared to Q2 2019</w:t>
            </w:r>
            <w:r w:rsidR="0039398D" w:rsidRPr="000406A0">
              <w:rPr>
                <w:lang w:val="en-GB"/>
              </w:rPr>
              <w:t xml:space="preserve">. </w:t>
            </w:r>
            <w:r w:rsidR="008266CE">
              <w:rPr>
                <w:lang w:val="en-GB"/>
              </w:rPr>
              <w:t>Baltic states, Ireland, Romania, Slovenia, Poland, Hungary, Denmark and Sweden belonged to countries, which manage returning to the precrisis level</w:t>
            </w:r>
            <w:r w:rsidR="0039398D" w:rsidRPr="000406A0">
              <w:rPr>
                <w:lang w:val="en-GB"/>
              </w:rPr>
              <w:t>.</w:t>
            </w:r>
          </w:p>
        </w:tc>
      </w:tr>
      <w:tr w:rsidR="0039398D" w:rsidRPr="009110F7" w14:paraId="22E9244C" w14:textId="77777777" w:rsidTr="00AF7277">
        <w:trPr>
          <w:trHeight w:val="145"/>
        </w:trPr>
        <w:tc>
          <w:tcPr>
            <w:tcW w:w="1806" w:type="dxa"/>
            <w:shd w:val="clear" w:color="auto" w:fill="auto"/>
            <w:tcMar>
              <w:left w:w="0" w:type="dxa"/>
            </w:tcMar>
          </w:tcPr>
          <w:p w14:paraId="732E6807" w14:textId="38D13FF8" w:rsidR="0039398D" w:rsidRPr="009B72CB" w:rsidRDefault="009B72CB" w:rsidP="00AF7277">
            <w:pPr>
              <w:pStyle w:val="Marginlie"/>
              <w:rPr>
                <w:lang w:val="en-GB"/>
              </w:rPr>
            </w:pPr>
            <w:r w:rsidRPr="009B72CB">
              <w:rPr>
                <w:lang w:val="en-GB"/>
              </w:rPr>
              <w:lastRenderedPageBreak/>
              <w:t>Volume of paid out wages and salaries sharply hiked up in Q2</w:t>
            </w:r>
            <w:r w:rsidR="0039398D" w:rsidRPr="009B72CB">
              <w:rPr>
                <w:lang w:val="en-GB"/>
              </w:rPr>
              <w:t>.</w:t>
            </w:r>
          </w:p>
        </w:tc>
        <w:tc>
          <w:tcPr>
            <w:tcW w:w="223" w:type="dxa"/>
            <w:shd w:val="clear" w:color="auto" w:fill="auto"/>
            <w:tcMar>
              <w:left w:w="0" w:type="dxa"/>
            </w:tcMar>
          </w:tcPr>
          <w:p w14:paraId="5659D9EA" w14:textId="77777777" w:rsidR="0039398D" w:rsidRPr="009B72CB" w:rsidRDefault="0039398D" w:rsidP="00AF7277">
            <w:pPr>
              <w:pStyle w:val="Textpoznpodarou"/>
              <w:jc w:val="both"/>
              <w:rPr>
                <w:spacing w:val="-4"/>
                <w:lang w:val="en-GB"/>
              </w:rPr>
            </w:pPr>
          </w:p>
        </w:tc>
        <w:tc>
          <w:tcPr>
            <w:tcW w:w="7610" w:type="dxa"/>
            <w:shd w:val="clear" w:color="auto" w:fill="auto"/>
            <w:tcMar>
              <w:left w:w="0" w:type="dxa"/>
            </w:tcMar>
          </w:tcPr>
          <w:p w14:paraId="5009CC22" w14:textId="4FBA0B82" w:rsidR="0039398D" w:rsidRPr="009B72CB" w:rsidRDefault="009B72CB" w:rsidP="00AF7277">
            <w:pPr>
              <w:rPr>
                <w:spacing w:val="-2"/>
                <w:lang w:val="en-GB"/>
              </w:rPr>
            </w:pPr>
            <w:r w:rsidRPr="009B72CB">
              <w:rPr>
                <w:spacing w:val="-2"/>
                <w:lang w:val="en-GB"/>
              </w:rPr>
              <w:t xml:space="preserve">Volume of paid out wages and salaries expanded by </w:t>
            </w:r>
            <w:r w:rsidR="0039398D" w:rsidRPr="009B72CB">
              <w:rPr>
                <w:spacing w:val="-2"/>
                <w:lang w:val="en-GB"/>
              </w:rPr>
              <w:t>17</w:t>
            </w:r>
            <w:r w:rsidRPr="009B72CB">
              <w:rPr>
                <w:spacing w:val="-2"/>
                <w:lang w:val="en-GB"/>
              </w:rPr>
              <w:t>.</w:t>
            </w:r>
            <w:r w:rsidR="0039398D" w:rsidRPr="009B72CB">
              <w:rPr>
                <w:spacing w:val="-2"/>
                <w:lang w:val="en-GB"/>
              </w:rPr>
              <w:t>7%</w:t>
            </w:r>
            <w:r w:rsidRPr="009B72CB">
              <w:rPr>
                <w:spacing w:val="-2"/>
                <w:lang w:val="en-GB"/>
              </w:rPr>
              <w:t xml:space="preserve"> year-on-year in Q2</w:t>
            </w:r>
            <w:r w:rsidR="0039398D" w:rsidRPr="009B72CB">
              <w:rPr>
                <w:spacing w:val="-2"/>
                <w:lang w:val="en-GB"/>
              </w:rPr>
              <w:t xml:space="preserve">. </w:t>
            </w:r>
            <w:r w:rsidRPr="009B72CB">
              <w:rPr>
                <w:spacing w:val="-2"/>
                <w:lang w:val="en-GB"/>
              </w:rPr>
              <w:t>Compared to Q</w:t>
            </w:r>
            <w:r w:rsidR="0039398D" w:rsidRPr="009B72CB">
              <w:rPr>
                <w:spacing w:val="-2"/>
                <w:lang w:val="en-GB"/>
              </w:rPr>
              <w:t>1</w:t>
            </w:r>
            <w:r w:rsidRPr="009B72CB">
              <w:rPr>
                <w:spacing w:val="-2"/>
                <w:lang w:val="en-GB"/>
              </w:rPr>
              <w:t xml:space="preserve">, the volume of paid out wages and salaries increased by </w:t>
            </w:r>
            <w:r w:rsidR="0039398D" w:rsidRPr="009B72CB">
              <w:rPr>
                <w:spacing w:val="-2"/>
                <w:lang w:val="en-GB"/>
              </w:rPr>
              <w:t>7</w:t>
            </w:r>
            <w:r w:rsidRPr="009B72CB">
              <w:rPr>
                <w:spacing w:val="-2"/>
                <w:lang w:val="en-GB"/>
              </w:rPr>
              <w:t>.</w:t>
            </w:r>
            <w:r w:rsidR="0039398D" w:rsidRPr="009B72CB">
              <w:rPr>
                <w:spacing w:val="-2"/>
                <w:lang w:val="en-GB"/>
              </w:rPr>
              <w:t xml:space="preserve">4%. </w:t>
            </w:r>
            <w:r>
              <w:rPr>
                <w:spacing w:val="-2"/>
                <w:lang w:val="en-GB"/>
              </w:rPr>
              <w:t>Extraordinarily high year-on-year increase was affected by the low basis of the last year</w:t>
            </w:r>
            <w:r>
              <w:rPr>
                <w:spacing w:val="-2"/>
                <w:lang w:val="en-US"/>
              </w:rPr>
              <w:t>’</w:t>
            </w:r>
            <w:r>
              <w:rPr>
                <w:spacing w:val="-2"/>
              </w:rPr>
              <w:t>s Q</w:t>
            </w:r>
            <w:r w:rsidR="0039398D" w:rsidRPr="009B72CB">
              <w:rPr>
                <w:spacing w:val="-2"/>
                <w:lang w:val="en-GB"/>
              </w:rPr>
              <w:t>2</w:t>
            </w:r>
            <w:r>
              <w:rPr>
                <w:spacing w:val="-2"/>
                <w:lang w:val="en-GB"/>
              </w:rPr>
              <w:t xml:space="preserve">. </w:t>
            </w:r>
            <w:r w:rsidR="00C618D5">
              <w:rPr>
                <w:spacing w:val="-2"/>
                <w:lang w:val="en-GB"/>
              </w:rPr>
              <w:t xml:space="preserve">It was linked to the markedly lower number of hours worked. </w:t>
            </w:r>
            <w:r w:rsidR="006E3861">
              <w:rPr>
                <w:spacing w:val="-2"/>
                <w:lang w:val="en-GB"/>
              </w:rPr>
              <w:t>In addition, more bonuses were paid out in this year</w:t>
            </w:r>
            <w:r w:rsidR="006E3861">
              <w:rPr>
                <w:spacing w:val="-2"/>
                <w:lang w:val="en-US"/>
              </w:rPr>
              <w:t>’</w:t>
            </w:r>
            <w:r w:rsidR="006E3861">
              <w:rPr>
                <w:spacing w:val="-2"/>
              </w:rPr>
              <w:t>s Q</w:t>
            </w:r>
            <w:r w:rsidR="0039398D" w:rsidRPr="009B72CB">
              <w:rPr>
                <w:spacing w:val="-2"/>
                <w:lang w:val="en-GB"/>
              </w:rPr>
              <w:t>2.</w:t>
            </w:r>
            <w:r w:rsidR="006E3861">
              <w:rPr>
                <w:spacing w:val="-2"/>
                <w:lang w:val="en-GB"/>
              </w:rPr>
              <w:t xml:space="preserve"> </w:t>
            </w:r>
            <w:r w:rsidR="00C618D5">
              <w:rPr>
                <w:spacing w:val="-2"/>
                <w:lang w:val="en-GB"/>
              </w:rPr>
              <w:t>Wages and salaries grew by</w:t>
            </w:r>
            <w:r w:rsidR="006E3861">
              <w:rPr>
                <w:spacing w:val="-2"/>
                <w:lang w:val="en-GB"/>
              </w:rPr>
              <w:t xml:space="preserve"> </w:t>
            </w:r>
            <w:r w:rsidR="0039398D" w:rsidRPr="009B72CB">
              <w:rPr>
                <w:spacing w:val="-2"/>
                <w:lang w:val="en-GB"/>
              </w:rPr>
              <w:t>15</w:t>
            </w:r>
            <w:r w:rsidR="006E3861">
              <w:rPr>
                <w:spacing w:val="-2"/>
                <w:lang w:val="en-GB"/>
              </w:rPr>
              <w:t>.</w:t>
            </w:r>
            <w:r w:rsidR="0039398D" w:rsidRPr="009B72CB">
              <w:rPr>
                <w:spacing w:val="-2"/>
                <w:lang w:val="en-GB"/>
              </w:rPr>
              <w:t>3%</w:t>
            </w:r>
            <w:r w:rsidR="0039398D" w:rsidRPr="009B72CB">
              <w:rPr>
                <w:rStyle w:val="Znakapoznpodarou"/>
                <w:spacing w:val="-2"/>
                <w:lang w:val="en-GB"/>
              </w:rPr>
              <w:footnoteReference w:id="4"/>
            </w:r>
            <w:r w:rsidR="00C618D5">
              <w:rPr>
                <w:spacing w:val="-2"/>
                <w:lang w:val="en-GB"/>
              </w:rPr>
              <w:t xml:space="preserve"> in real terms year-on-year</w:t>
            </w:r>
            <w:r w:rsidR="0039398D" w:rsidRPr="009B72CB">
              <w:rPr>
                <w:spacing w:val="-2"/>
                <w:lang w:val="en-GB"/>
              </w:rPr>
              <w:t>.</w:t>
            </w:r>
            <w:r w:rsidR="00C618D5">
              <w:rPr>
                <w:spacing w:val="-2"/>
                <w:lang w:val="en-GB"/>
              </w:rPr>
              <w:t xml:space="preserve"> </w:t>
            </w:r>
            <w:r w:rsidR="00A00DAE">
              <w:rPr>
                <w:spacing w:val="-2"/>
                <w:lang w:val="en-GB"/>
              </w:rPr>
              <w:t xml:space="preserve">The volume of wages and salaries grew the most in real estate activities </w:t>
            </w:r>
            <w:r w:rsidR="0039398D" w:rsidRPr="009B72CB">
              <w:rPr>
                <w:spacing w:val="-2"/>
                <w:lang w:val="en-GB"/>
              </w:rPr>
              <w:t>(25</w:t>
            </w:r>
            <w:r w:rsidR="00A00DAE">
              <w:rPr>
                <w:spacing w:val="-2"/>
                <w:lang w:val="en-GB"/>
              </w:rPr>
              <w:t>.</w:t>
            </w:r>
            <w:r w:rsidR="0039398D" w:rsidRPr="009B72CB">
              <w:rPr>
                <w:spacing w:val="-2"/>
                <w:lang w:val="en-GB"/>
              </w:rPr>
              <w:t>4%),</w:t>
            </w:r>
            <w:r w:rsidR="00A00DAE">
              <w:rPr>
                <w:spacing w:val="-2"/>
                <w:lang w:val="en-GB"/>
              </w:rPr>
              <w:t xml:space="preserve"> in branches with the prevalence of government institutions</w:t>
            </w:r>
            <w:r w:rsidR="0039398D" w:rsidRPr="009B72CB">
              <w:rPr>
                <w:rStyle w:val="Znakapoznpodarou"/>
                <w:spacing w:val="-2"/>
                <w:lang w:val="en-GB"/>
              </w:rPr>
              <w:footnoteReference w:id="5"/>
            </w:r>
            <w:r w:rsidR="0039398D" w:rsidRPr="009B72CB">
              <w:rPr>
                <w:spacing w:val="-2"/>
                <w:lang w:val="en-GB"/>
              </w:rPr>
              <w:t xml:space="preserve"> (23</w:t>
            </w:r>
            <w:r w:rsidR="00A00DAE">
              <w:rPr>
                <w:spacing w:val="-2"/>
                <w:lang w:val="en-GB"/>
              </w:rPr>
              <w:t>.</w:t>
            </w:r>
            <w:r w:rsidR="0039398D" w:rsidRPr="009B72CB">
              <w:rPr>
                <w:spacing w:val="-2"/>
                <w:lang w:val="en-GB"/>
              </w:rPr>
              <w:t>1%),</w:t>
            </w:r>
            <w:r w:rsidR="00A00DAE">
              <w:rPr>
                <w:spacing w:val="-2"/>
                <w:lang w:val="en-GB"/>
              </w:rPr>
              <w:t xml:space="preserve"> in manufacturing </w:t>
            </w:r>
            <w:r w:rsidR="0039398D" w:rsidRPr="009B72CB">
              <w:rPr>
                <w:spacing w:val="-2"/>
                <w:lang w:val="en-GB"/>
              </w:rPr>
              <w:t>(21</w:t>
            </w:r>
            <w:r w:rsidR="00A00DAE">
              <w:rPr>
                <w:spacing w:val="-2"/>
                <w:lang w:val="en-GB"/>
              </w:rPr>
              <w:t>.</w:t>
            </w:r>
            <w:r w:rsidR="0039398D" w:rsidRPr="009B72CB">
              <w:rPr>
                <w:spacing w:val="-2"/>
                <w:lang w:val="en-GB"/>
              </w:rPr>
              <w:t>6%),</w:t>
            </w:r>
            <w:r w:rsidR="00A00DAE">
              <w:rPr>
                <w:spacing w:val="-2"/>
                <w:lang w:val="en-GB"/>
              </w:rPr>
              <w:t xml:space="preserve"> in other activities and in trading group, transportation, accommodations an</w:t>
            </w:r>
            <w:r w:rsidR="006E3861">
              <w:rPr>
                <w:spacing w:val="-2"/>
                <w:lang w:val="en-GB"/>
              </w:rPr>
              <w:t>d</w:t>
            </w:r>
            <w:r w:rsidR="00A00DAE">
              <w:rPr>
                <w:spacing w:val="-2"/>
                <w:lang w:val="en-GB"/>
              </w:rPr>
              <w:t xml:space="preserve"> food service </w:t>
            </w:r>
            <w:r w:rsidR="0039398D" w:rsidRPr="009B72CB">
              <w:rPr>
                <w:spacing w:val="-2"/>
                <w:lang w:val="en-GB"/>
              </w:rPr>
              <w:t>(17</w:t>
            </w:r>
            <w:r w:rsidR="00A00DAE">
              <w:rPr>
                <w:spacing w:val="-2"/>
                <w:lang w:val="en-GB"/>
              </w:rPr>
              <w:t>.</w:t>
            </w:r>
            <w:r w:rsidR="0039398D" w:rsidRPr="009B72CB">
              <w:rPr>
                <w:spacing w:val="-2"/>
                <w:lang w:val="en-GB"/>
              </w:rPr>
              <w:t xml:space="preserve">3%). </w:t>
            </w:r>
            <w:r w:rsidR="006E3861">
              <w:rPr>
                <w:spacing w:val="-2"/>
                <w:lang w:val="en-GB"/>
              </w:rPr>
              <w:t xml:space="preserve">Nevertheless also construction </w:t>
            </w:r>
            <w:r w:rsidR="0039398D" w:rsidRPr="009B72CB">
              <w:rPr>
                <w:spacing w:val="-2"/>
                <w:lang w:val="en-GB"/>
              </w:rPr>
              <w:t>(11</w:t>
            </w:r>
            <w:r w:rsidR="006E3861">
              <w:rPr>
                <w:spacing w:val="-2"/>
                <w:lang w:val="en-GB"/>
              </w:rPr>
              <w:t>.</w:t>
            </w:r>
            <w:r w:rsidR="0039398D" w:rsidRPr="009B72CB">
              <w:rPr>
                <w:spacing w:val="-2"/>
                <w:lang w:val="en-GB"/>
              </w:rPr>
              <w:t>3%)</w:t>
            </w:r>
            <w:r w:rsidR="006E3861">
              <w:rPr>
                <w:spacing w:val="-2"/>
                <w:lang w:val="en-GB"/>
              </w:rPr>
              <w:t xml:space="preserve"> and information and communication </w:t>
            </w:r>
            <w:r w:rsidR="0039398D" w:rsidRPr="009B72CB">
              <w:rPr>
                <w:spacing w:val="-2"/>
                <w:lang w:val="en-GB"/>
              </w:rPr>
              <w:t>(8</w:t>
            </w:r>
            <w:r w:rsidR="006E3861">
              <w:rPr>
                <w:spacing w:val="-2"/>
                <w:lang w:val="en-GB"/>
              </w:rPr>
              <w:t>.</w:t>
            </w:r>
            <w:r w:rsidR="0039398D" w:rsidRPr="009B72CB">
              <w:rPr>
                <w:spacing w:val="-2"/>
                <w:lang w:val="en-GB"/>
              </w:rPr>
              <w:t xml:space="preserve">0%), </w:t>
            </w:r>
            <w:r w:rsidR="006E3861">
              <w:rPr>
                <w:spacing w:val="-2"/>
                <w:lang w:val="en-GB"/>
              </w:rPr>
              <w:t xml:space="preserve">where the growth was also supported by increased employment to a large extent and also agriculture, forestry and fishing </w:t>
            </w:r>
            <w:r w:rsidR="0039398D" w:rsidRPr="009B72CB">
              <w:rPr>
                <w:spacing w:val="-2"/>
                <w:lang w:val="en-GB"/>
              </w:rPr>
              <w:t>(</w:t>
            </w:r>
            <w:r w:rsidR="006E3861">
              <w:rPr>
                <w:spacing w:val="-2"/>
                <w:lang w:val="en-GB"/>
              </w:rPr>
              <w:t>7.</w:t>
            </w:r>
            <w:r w:rsidR="0039398D" w:rsidRPr="009B72CB">
              <w:rPr>
                <w:spacing w:val="-2"/>
                <w:lang w:val="en-GB"/>
              </w:rPr>
              <w:t>0%)</w:t>
            </w:r>
            <w:r w:rsidR="006E3861">
              <w:rPr>
                <w:spacing w:val="-2"/>
                <w:lang w:val="en-GB"/>
              </w:rPr>
              <w:t xml:space="preserve"> also recorded strong rates of growth</w:t>
            </w:r>
            <w:r w:rsidR="0039398D" w:rsidRPr="009B72CB">
              <w:rPr>
                <w:spacing w:val="-2"/>
                <w:lang w:val="en-GB"/>
              </w:rPr>
              <w:t xml:space="preserve">. </w:t>
            </w:r>
            <w:r w:rsidR="006E3861">
              <w:rPr>
                <w:spacing w:val="-2"/>
                <w:lang w:val="en-GB"/>
              </w:rPr>
              <w:t xml:space="preserve">The only branch experiencing decrease was financial and insurance services </w:t>
            </w:r>
            <w:r w:rsidR="0039398D" w:rsidRPr="009B72CB">
              <w:rPr>
                <w:spacing w:val="-2"/>
                <w:lang w:val="en-GB"/>
              </w:rPr>
              <w:t>(–2</w:t>
            </w:r>
            <w:r w:rsidR="006E3861">
              <w:rPr>
                <w:spacing w:val="-2"/>
                <w:lang w:val="en-GB"/>
              </w:rPr>
              <w:t>.</w:t>
            </w:r>
            <w:r w:rsidR="0039398D" w:rsidRPr="009B72CB">
              <w:rPr>
                <w:spacing w:val="-2"/>
                <w:lang w:val="en-GB"/>
              </w:rPr>
              <w:t>7%).</w:t>
            </w:r>
          </w:p>
        </w:tc>
      </w:tr>
      <w:tr w:rsidR="0039398D" w:rsidRPr="009110F7" w14:paraId="7F46C9A0" w14:textId="77777777" w:rsidTr="00AF7277">
        <w:trPr>
          <w:trHeight w:val="170"/>
        </w:trPr>
        <w:tc>
          <w:tcPr>
            <w:tcW w:w="1806" w:type="dxa"/>
            <w:vMerge w:val="restart"/>
            <w:shd w:val="clear" w:color="auto" w:fill="auto"/>
            <w:tcMar>
              <w:left w:w="0" w:type="dxa"/>
            </w:tcMar>
          </w:tcPr>
          <w:p w14:paraId="65223952" w14:textId="77777777" w:rsidR="0039398D" w:rsidRDefault="0039398D" w:rsidP="00AF7277">
            <w:pPr>
              <w:pStyle w:val="Marginlie"/>
            </w:pPr>
          </w:p>
        </w:tc>
        <w:tc>
          <w:tcPr>
            <w:tcW w:w="223" w:type="dxa"/>
            <w:vMerge w:val="restart"/>
            <w:shd w:val="clear" w:color="auto" w:fill="auto"/>
            <w:tcMar>
              <w:left w:w="0" w:type="dxa"/>
            </w:tcMar>
          </w:tcPr>
          <w:p w14:paraId="6CFDE417" w14:textId="77777777" w:rsidR="0039398D" w:rsidRDefault="0039398D" w:rsidP="00AF7277">
            <w:pPr>
              <w:pStyle w:val="Textpoznpodarou"/>
              <w:jc w:val="both"/>
              <w:rPr>
                <w:spacing w:val="-4"/>
              </w:rPr>
            </w:pPr>
          </w:p>
        </w:tc>
        <w:tc>
          <w:tcPr>
            <w:tcW w:w="7610" w:type="dxa"/>
            <w:shd w:val="clear" w:color="auto" w:fill="auto"/>
            <w:tcMar>
              <w:left w:w="0" w:type="dxa"/>
            </w:tcMar>
          </w:tcPr>
          <w:p w14:paraId="6324365F" w14:textId="3149F823" w:rsidR="0039398D" w:rsidRPr="00D721B4" w:rsidRDefault="003D062A" w:rsidP="00AF7277">
            <w:pPr>
              <w:spacing w:after="0"/>
              <w:rPr>
                <w:szCs w:val="20"/>
              </w:rPr>
            </w:pPr>
            <w:r>
              <w:rPr>
                <w:b/>
                <w:szCs w:val="20"/>
              </w:rPr>
              <w:t xml:space="preserve">Chart </w:t>
            </w:r>
            <w:r w:rsidR="0039398D" w:rsidRPr="00D721B4">
              <w:rPr>
                <w:b/>
                <w:szCs w:val="20"/>
              </w:rPr>
              <w:t>2</w:t>
            </w:r>
            <w:r w:rsidR="0039398D">
              <w:rPr>
                <w:b/>
                <w:szCs w:val="20"/>
              </w:rPr>
              <w:t xml:space="preserve"> </w:t>
            </w:r>
            <w:r w:rsidR="0039398D" w:rsidRPr="00D721B4">
              <w:rPr>
                <w:b/>
                <w:szCs w:val="20"/>
              </w:rPr>
              <w:t xml:space="preserve"> </w:t>
            </w:r>
            <w:r w:rsidR="00B22760" w:rsidRPr="00422629">
              <w:rPr>
                <w:b/>
                <w:szCs w:val="20"/>
                <w:lang w:val="en-GB"/>
              </w:rPr>
              <w:t xml:space="preserve">Contribution of expenditure items to real GDP </w:t>
            </w:r>
            <w:r w:rsidR="00B22760" w:rsidRPr="0092617A">
              <w:rPr>
                <w:b/>
                <w:szCs w:val="20"/>
                <w:lang w:val="en-GB"/>
              </w:rPr>
              <w:t>change</w:t>
            </w:r>
            <w:r w:rsidR="00B22760" w:rsidRPr="0092617A">
              <w:rPr>
                <w:rFonts w:cs="Arial"/>
                <w:b/>
                <w:szCs w:val="20"/>
                <w:lang w:val="en-GB" w:eastAsia="en-US"/>
              </w:rPr>
              <w:t xml:space="preserve">* </w:t>
            </w:r>
            <w:r w:rsidR="00B22760" w:rsidRPr="00694D84">
              <w:rPr>
                <w:rFonts w:cs="Arial"/>
                <w:bCs/>
                <w:szCs w:val="20"/>
                <w:lang w:val="en-GB" w:eastAsia="en-US"/>
              </w:rPr>
              <w:t>(volume indices, year-on-year growth, contributions in p.p., GDP in %)</w:t>
            </w:r>
          </w:p>
        </w:tc>
      </w:tr>
      <w:tr w:rsidR="0039398D" w:rsidRPr="009110F7" w14:paraId="5AD982C0" w14:textId="77777777" w:rsidTr="00E4439C">
        <w:tblPrEx>
          <w:tblCellMar>
            <w:left w:w="70" w:type="dxa"/>
            <w:right w:w="70" w:type="dxa"/>
          </w:tblCellMar>
        </w:tblPrEx>
        <w:trPr>
          <w:trHeight w:val="170"/>
        </w:trPr>
        <w:tc>
          <w:tcPr>
            <w:tcW w:w="1806" w:type="dxa"/>
            <w:vMerge/>
            <w:shd w:val="clear" w:color="auto" w:fill="auto"/>
          </w:tcPr>
          <w:p w14:paraId="59B20DA3" w14:textId="77777777" w:rsidR="0039398D" w:rsidRDefault="0039398D" w:rsidP="00AF7277">
            <w:pPr>
              <w:pStyle w:val="Marginlie"/>
            </w:pPr>
          </w:p>
        </w:tc>
        <w:tc>
          <w:tcPr>
            <w:tcW w:w="223" w:type="dxa"/>
            <w:vMerge/>
            <w:shd w:val="clear" w:color="auto" w:fill="auto"/>
          </w:tcPr>
          <w:p w14:paraId="1EC212A3" w14:textId="77777777" w:rsidR="0039398D" w:rsidRDefault="0039398D" w:rsidP="00AF7277">
            <w:pPr>
              <w:pStyle w:val="Textpoznpodarou"/>
              <w:jc w:val="both"/>
              <w:rPr>
                <w:spacing w:val="-4"/>
              </w:rPr>
            </w:pPr>
          </w:p>
        </w:tc>
        <w:tc>
          <w:tcPr>
            <w:tcW w:w="7610" w:type="dxa"/>
            <w:shd w:val="clear" w:color="auto" w:fill="auto"/>
          </w:tcPr>
          <w:p w14:paraId="1651CAB0" w14:textId="77872565" w:rsidR="0039398D" w:rsidRDefault="00E4439C" w:rsidP="00AF7277">
            <w:pPr>
              <w:spacing w:after="0"/>
            </w:pPr>
            <w:r>
              <w:rPr>
                <w:noProof/>
              </w:rPr>
              <w:drawing>
                <wp:inline distT="0" distB="0" distL="0" distR="0" wp14:anchorId="16B2874F" wp14:editId="70FC0457">
                  <wp:extent cx="4737600" cy="3553200"/>
                  <wp:effectExtent l="0" t="0" r="6350" b="0"/>
                  <wp:docPr id="25" name="Graf 2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9398D" w:rsidRPr="009110F7" w14:paraId="3A0E057C" w14:textId="77777777" w:rsidTr="00AF7277">
        <w:trPr>
          <w:trHeight w:val="170"/>
        </w:trPr>
        <w:tc>
          <w:tcPr>
            <w:tcW w:w="1806" w:type="dxa"/>
            <w:vMerge/>
            <w:shd w:val="clear" w:color="auto" w:fill="auto"/>
            <w:tcMar>
              <w:left w:w="0" w:type="dxa"/>
            </w:tcMar>
          </w:tcPr>
          <w:p w14:paraId="6579DE28" w14:textId="77777777" w:rsidR="0039398D" w:rsidRDefault="0039398D" w:rsidP="00AF7277">
            <w:pPr>
              <w:pStyle w:val="Marginlie"/>
            </w:pPr>
          </w:p>
        </w:tc>
        <w:tc>
          <w:tcPr>
            <w:tcW w:w="223" w:type="dxa"/>
            <w:vMerge/>
            <w:shd w:val="clear" w:color="auto" w:fill="auto"/>
            <w:tcMar>
              <w:left w:w="0" w:type="dxa"/>
            </w:tcMar>
          </w:tcPr>
          <w:p w14:paraId="0F4C9FA4" w14:textId="77777777" w:rsidR="0039398D" w:rsidRDefault="0039398D" w:rsidP="00AF7277">
            <w:pPr>
              <w:pStyle w:val="Textpoznpodarou"/>
              <w:jc w:val="both"/>
              <w:rPr>
                <w:spacing w:val="-4"/>
              </w:rPr>
            </w:pPr>
          </w:p>
        </w:tc>
        <w:tc>
          <w:tcPr>
            <w:tcW w:w="7610" w:type="dxa"/>
            <w:shd w:val="clear" w:color="auto" w:fill="auto"/>
            <w:tcMar>
              <w:left w:w="0" w:type="dxa"/>
            </w:tcMar>
          </w:tcPr>
          <w:p w14:paraId="09951AC4" w14:textId="13C4BACB" w:rsidR="0039398D" w:rsidRDefault="003D062A" w:rsidP="00AF7277">
            <w:pPr>
              <w:spacing w:after="0"/>
              <w:rPr>
                <w:sz w:val="14"/>
                <w:szCs w:val="14"/>
              </w:rPr>
            </w:pPr>
            <w:r>
              <w:rPr>
                <w:sz w:val="14"/>
                <w:szCs w:val="14"/>
              </w:rPr>
              <w:t>Source</w:t>
            </w:r>
            <w:r w:rsidR="0039398D">
              <w:rPr>
                <w:sz w:val="14"/>
                <w:szCs w:val="14"/>
              </w:rPr>
              <w:t xml:space="preserve">: </w:t>
            </w:r>
            <w:r>
              <w:rPr>
                <w:sz w:val="14"/>
                <w:szCs w:val="14"/>
              </w:rPr>
              <w:t>CZSO</w:t>
            </w:r>
          </w:p>
          <w:p w14:paraId="38308FEB" w14:textId="1BCD0FEC" w:rsidR="006779F0" w:rsidRPr="00E4439C" w:rsidRDefault="0039398D" w:rsidP="00E4439C">
            <w:pPr>
              <w:rPr>
                <w:sz w:val="14"/>
                <w:szCs w:val="14"/>
              </w:rPr>
            </w:pPr>
            <w:r>
              <w:rPr>
                <w:sz w:val="14"/>
                <w:szCs w:val="14"/>
              </w:rPr>
              <w:t xml:space="preserve">* </w:t>
            </w:r>
            <w:r w:rsidR="00F51AA9" w:rsidRPr="0092617A">
              <w:rPr>
                <w:sz w:val="14"/>
                <w:szCs w:val="14"/>
                <w:lang w:val="en-GB"/>
              </w:rPr>
              <w:t xml:space="preserve">after exclusion of </w:t>
            </w:r>
            <w:r w:rsidR="00F51AA9">
              <w:rPr>
                <w:sz w:val="14"/>
                <w:szCs w:val="14"/>
                <w:lang w:val="en-GB"/>
              </w:rPr>
              <w:t xml:space="preserve">imports </w:t>
            </w:r>
            <w:r w:rsidR="00F51AA9" w:rsidRPr="0092617A">
              <w:rPr>
                <w:sz w:val="14"/>
                <w:szCs w:val="14"/>
                <w:lang w:val="en-GB"/>
              </w:rPr>
              <w:t>for final use</w:t>
            </w:r>
            <w:r w:rsidR="00F51AA9">
              <w:rPr>
                <w:sz w:val="14"/>
                <w:szCs w:val="14"/>
              </w:rPr>
              <w:t xml:space="preserve"> </w:t>
            </w:r>
          </w:p>
        </w:tc>
      </w:tr>
      <w:tr w:rsidR="0039398D" w:rsidRPr="009110F7" w14:paraId="4BE5C60E" w14:textId="77777777" w:rsidTr="00AF7277">
        <w:trPr>
          <w:trHeight w:val="145"/>
        </w:trPr>
        <w:tc>
          <w:tcPr>
            <w:tcW w:w="1806" w:type="dxa"/>
            <w:shd w:val="clear" w:color="auto" w:fill="auto"/>
            <w:tcMar>
              <w:left w:w="0" w:type="dxa"/>
            </w:tcMar>
          </w:tcPr>
          <w:p w14:paraId="46F53B17" w14:textId="369A10BE" w:rsidR="0039398D" w:rsidRPr="00EE5D97" w:rsidRDefault="0039398D" w:rsidP="00AF7277">
            <w:pPr>
              <w:pStyle w:val="Marginlie"/>
              <w:rPr>
                <w:lang w:val="en-GB"/>
              </w:rPr>
            </w:pPr>
            <w:r w:rsidRPr="00EE5D97">
              <w:rPr>
                <w:lang w:val="en-GB"/>
              </w:rPr>
              <w:lastRenderedPageBreak/>
              <w:t>Dom</w:t>
            </w:r>
            <w:r w:rsidR="00DF62FA">
              <w:rPr>
                <w:lang w:val="en-GB"/>
              </w:rPr>
              <w:t xml:space="preserve">estic consumption started to rise thanks to easing of restrictions. </w:t>
            </w:r>
          </w:p>
        </w:tc>
        <w:tc>
          <w:tcPr>
            <w:tcW w:w="223" w:type="dxa"/>
            <w:shd w:val="clear" w:color="auto" w:fill="auto"/>
            <w:tcMar>
              <w:left w:w="0" w:type="dxa"/>
            </w:tcMar>
          </w:tcPr>
          <w:p w14:paraId="48E8C16A" w14:textId="77777777" w:rsidR="0039398D" w:rsidRPr="00EE5D97" w:rsidRDefault="0039398D" w:rsidP="00AF7277">
            <w:pPr>
              <w:pStyle w:val="Textpoznpodarou"/>
              <w:jc w:val="both"/>
              <w:rPr>
                <w:spacing w:val="-4"/>
                <w:lang w:val="en-GB"/>
              </w:rPr>
            </w:pPr>
          </w:p>
        </w:tc>
        <w:tc>
          <w:tcPr>
            <w:tcW w:w="7610" w:type="dxa"/>
            <w:shd w:val="clear" w:color="auto" w:fill="auto"/>
            <w:tcMar>
              <w:left w:w="0" w:type="dxa"/>
            </w:tcMar>
          </w:tcPr>
          <w:p w14:paraId="2450D41B" w14:textId="097CC8B8" w:rsidR="0039398D" w:rsidRPr="00EE5D97" w:rsidRDefault="00DF62FA" w:rsidP="00F5615B">
            <w:pPr>
              <w:rPr>
                <w:lang w:val="en-GB"/>
              </w:rPr>
            </w:pPr>
            <w:r>
              <w:rPr>
                <w:spacing w:val="-2"/>
                <w:lang w:val="en-GB"/>
              </w:rPr>
              <w:t xml:space="preserve">The domestic consumption increased by </w:t>
            </w:r>
            <w:r w:rsidR="0039398D" w:rsidRPr="00EE5D97">
              <w:rPr>
                <w:spacing w:val="-2"/>
                <w:lang w:val="en-GB"/>
              </w:rPr>
              <w:t>4</w:t>
            </w:r>
            <w:r>
              <w:rPr>
                <w:spacing w:val="-2"/>
                <w:lang w:val="en-GB"/>
              </w:rPr>
              <w:t>.</w:t>
            </w:r>
            <w:r w:rsidR="0039398D" w:rsidRPr="00EE5D97">
              <w:rPr>
                <w:spacing w:val="-2"/>
                <w:lang w:val="en-GB"/>
              </w:rPr>
              <w:t>2%</w:t>
            </w:r>
            <w:r>
              <w:rPr>
                <w:spacing w:val="-2"/>
                <w:lang w:val="en-GB"/>
              </w:rPr>
              <w:t xml:space="preserve"> quarter-on-quarter in Q2</w:t>
            </w:r>
            <w:r w:rsidR="0039398D" w:rsidRPr="00EE5D97">
              <w:rPr>
                <w:spacing w:val="-2"/>
                <w:lang w:val="en-GB"/>
              </w:rPr>
              <w:t xml:space="preserve">. </w:t>
            </w:r>
            <w:r w:rsidR="00076132">
              <w:rPr>
                <w:spacing w:val="-2"/>
                <w:lang w:val="en-GB"/>
              </w:rPr>
              <w:t xml:space="preserve">Mainly the consumption of households, which had more purchasing possibilities compared to Q1, was growing </w:t>
            </w:r>
            <w:r w:rsidR="0039398D" w:rsidRPr="00EE5D97">
              <w:rPr>
                <w:spacing w:val="-2"/>
                <w:lang w:val="en-GB"/>
              </w:rPr>
              <w:t>(6</w:t>
            </w:r>
            <w:r w:rsidR="00076132">
              <w:rPr>
                <w:spacing w:val="-2"/>
                <w:lang w:val="en-GB"/>
              </w:rPr>
              <w:t>.</w:t>
            </w:r>
            <w:r w:rsidR="0039398D" w:rsidRPr="00EE5D97">
              <w:rPr>
                <w:spacing w:val="-2"/>
                <w:lang w:val="en-GB"/>
              </w:rPr>
              <w:t>5%)</w:t>
            </w:r>
            <w:r w:rsidR="00076132">
              <w:rPr>
                <w:spacing w:val="-2"/>
                <w:lang w:val="en-GB"/>
              </w:rPr>
              <w:t xml:space="preserve">. </w:t>
            </w:r>
            <w:r>
              <w:rPr>
                <w:spacing w:val="-2"/>
                <w:lang w:val="en-GB"/>
              </w:rPr>
              <w:t xml:space="preserve">The addition was at the same time stronger compared to Q3 of the last </w:t>
            </w:r>
            <w:r w:rsidR="006B0BC4">
              <w:rPr>
                <w:spacing w:val="-2"/>
                <w:lang w:val="en-GB"/>
              </w:rPr>
              <w:t>year when</w:t>
            </w:r>
            <w:r>
              <w:rPr>
                <w:spacing w:val="-2"/>
                <w:lang w:val="en-GB"/>
              </w:rPr>
              <w:t xml:space="preserve"> the restrictions were also loosened. </w:t>
            </w:r>
            <w:r w:rsidR="006B0BC4">
              <w:rPr>
                <w:spacing w:val="-2"/>
                <w:lang w:val="en-GB"/>
              </w:rPr>
              <w:t xml:space="preserve">The current development however shows the realisation of </w:t>
            </w:r>
            <w:r w:rsidR="001D54EB">
              <w:rPr>
                <w:spacing w:val="-2"/>
                <w:lang w:val="en-GB"/>
              </w:rPr>
              <w:t>delayed</w:t>
            </w:r>
            <w:r w:rsidR="006B0BC4">
              <w:rPr>
                <w:spacing w:val="-2"/>
                <w:lang w:val="en-GB"/>
              </w:rPr>
              <w:t xml:space="preserve"> consumption of households</w:t>
            </w:r>
            <w:r w:rsidR="0039398D" w:rsidRPr="00EE5D97">
              <w:rPr>
                <w:spacing w:val="-2"/>
                <w:lang w:val="en-GB"/>
              </w:rPr>
              <w:t xml:space="preserve">. </w:t>
            </w:r>
            <w:r w:rsidR="00076132">
              <w:rPr>
                <w:spacing w:val="-2"/>
                <w:lang w:val="en-GB"/>
              </w:rPr>
              <w:t xml:space="preserve">On the contrary, the consumption of government institutions stagnated </w:t>
            </w:r>
            <w:r w:rsidR="0039398D" w:rsidRPr="00EE5D97">
              <w:rPr>
                <w:spacing w:val="-2"/>
                <w:lang w:val="en-GB"/>
              </w:rPr>
              <w:t>(</w:t>
            </w:r>
            <w:r w:rsidR="00C706D2" w:rsidRPr="00EE5D97">
              <w:rPr>
                <w:lang w:val="en-GB"/>
              </w:rPr>
              <w:t>–</w:t>
            </w:r>
            <w:r w:rsidR="0039398D" w:rsidRPr="00EE5D97">
              <w:rPr>
                <w:spacing w:val="-2"/>
                <w:lang w:val="en-GB"/>
              </w:rPr>
              <w:t>0</w:t>
            </w:r>
            <w:r w:rsidR="00076132">
              <w:rPr>
                <w:spacing w:val="-2"/>
                <w:lang w:val="en-GB"/>
              </w:rPr>
              <w:t>.</w:t>
            </w:r>
            <w:r w:rsidR="0039398D" w:rsidRPr="00EE5D97">
              <w:rPr>
                <w:spacing w:val="-2"/>
                <w:lang w:val="en-GB"/>
              </w:rPr>
              <w:t>2%).</w:t>
            </w:r>
            <w:r w:rsidR="00076132">
              <w:rPr>
                <w:spacing w:val="-2"/>
                <w:lang w:val="en-GB"/>
              </w:rPr>
              <w:t xml:space="preserve"> The consumption increased by </w:t>
            </w:r>
            <w:r w:rsidR="0039398D" w:rsidRPr="00EE5D97">
              <w:rPr>
                <w:spacing w:val="-2"/>
                <w:lang w:val="en-GB"/>
              </w:rPr>
              <w:t>6</w:t>
            </w:r>
            <w:r w:rsidR="00076132">
              <w:rPr>
                <w:spacing w:val="-2"/>
                <w:lang w:val="en-GB"/>
              </w:rPr>
              <w:t>.</w:t>
            </w:r>
            <w:r w:rsidR="0039398D" w:rsidRPr="00EE5D97">
              <w:rPr>
                <w:spacing w:val="-2"/>
                <w:lang w:val="en-GB"/>
              </w:rPr>
              <w:t>0%</w:t>
            </w:r>
            <w:r w:rsidR="00076132">
              <w:rPr>
                <w:spacing w:val="-2"/>
                <w:lang w:val="en-GB"/>
              </w:rPr>
              <w:t xml:space="preserve"> year-on-year and it contributed </w:t>
            </w:r>
            <w:r w:rsidR="0039398D" w:rsidRPr="00EE5D97">
              <w:rPr>
                <w:spacing w:val="-2"/>
                <w:lang w:val="en-GB"/>
              </w:rPr>
              <w:t>1</w:t>
            </w:r>
            <w:r w:rsidR="00076132">
              <w:rPr>
                <w:spacing w:val="-2"/>
                <w:lang w:val="en-GB"/>
              </w:rPr>
              <w:t>.</w:t>
            </w:r>
            <w:r w:rsidR="0039398D" w:rsidRPr="00EE5D97">
              <w:rPr>
                <w:spacing w:val="-2"/>
                <w:lang w:val="en-GB"/>
              </w:rPr>
              <w:t>8 p.</w:t>
            </w:r>
            <w:r w:rsidR="00076132">
              <w:rPr>
                <w:spacing w:val="-2"/>
                <w:lang w:val="en-GB"/>
              </w:rPr>
              <w:t>p</w:t>
            </w:r>
            <w:r w:rsidR="0039398D" w:rsidRPr="00EE5D97">
              <w:rPr>
                <w:spacing w:val="-2"/>
                <w:lang w:val="en-GB"/>
              </w:rPr>
              <w:t>.</w:t>
            </w:r>
            <w:r w:rsidR="0039398D" w:rsidRPr="00EE5D97">
              <w:rPr>
                <w:rStyle w:val="Znakapoznpodarou"/>
                <w:spacing w:val="-2"/>
                <w:lang w:val="en-GB"/>
              </w:rPr>
              <w:footnoteReference w:id="6"/>
            </w:r>
            <w:r w:rsidR="00076132">
              <w:rPr>
                <w:spacing w:val="-2"/>
                <w:lang w:val="en-GB"/>
              </w:rPr>
              <w:t xml:space="preserve"> to the GDP growth.</w:t>
            </w:r>
            <w:r w:rsidR="0039398D" w:rsidRPr="00EE5D97">
              <w:rPr>
                <w:spacing w:val="-2"/>
                <w:lang w:val="en-GB"/>
              </w:rPr>
              <w:t xml:space="preserve"> </w:t>
            </w:r>
            <w:r w:rsidR="000D572F">
              <w:rPr>
                <w:spacing w:val="-2"/>
                <w:lang w:val="en-GB"/>
              </w:rPr>
              <w:t xml:space="preserve">Addition of the household consumption was again substantial </w:t>
            </w:r>
            <w:r w:rsidR="0039398D" w:rsidRPr="00EE5D97">
              <w:rPr>
                <w:spacing w:val="-2"/>
                <w:lang w:val="en-GB"/>
              </w:rPr>
              <w:t>(7</w:t>
            </w:r>
            <w:r w:rsidR="000D572F">
              <w:rPr>
                <w:spacing w:val="-2"/>
                <w:lang w:val="en-GB"/>
              </w:rPr>
              <w:t>.</w:t>
            </w:r>
            <w:r w:rsidR="0039398D" w:rsidRPr="00EE5D97">
              <w:rPr>
                <w:spacing w:val="-2"/>
                <w:lang w:val="en-GB"/>
              </w:rPr>
              <w:t>4%),</w:t>
            </w:r>
            <w:r w:rsidR="000D572F">
              <w:rPr>
                <w:spacing w:val="-2"/>
                <w:lang w:val="en-GB"/>
              </w:rPr>
              <w:t xml:space="preserve"> in case of government institutions it attained </w:t>
            </w:r>
            <w:r w:rsidR="0039398D" w:rsidRPr="00EE5D97">
              <w:rPr>
                <w:spacing w:val="-2"/>
                <w:lang w:val="en-GB"/>
              </w:rPr>
              <w:t>3</w:t>
            </w:r>
            <w:r w:rsidR="000D572F">
              <w:rPr>
                <w:spacing w:val="-2"/>
                <w:lang w:val="en-GB"/>
              </w:rPr>
              <w:t>.</w:t>
            </w:r>
            <w:r w:rsidR="0039398D" w:rsidRPr="00EE5D97">
              <w:rPr>
                <w:spacing w:val="-2"/>
                <w:lang w:val="en-GB"/>
              </w:rPr>
              <w:t xml:space="preserve">0%. </w:t>
            </w:r>
            <w:r w:rsidR="0096321C">
              <w:rPr>
                <w:spacing w:val="-2"/>
                <w:lang w:val="en-GB"/>
              </w:rPr>
              <w:t>The segments of durable goods and services left behind in the preceding quarters of course gained a major growth impulse – the consumption of goods of medium term durability</w:t>
            </w:r>
            <w:r w:rsidR="0039398D" w:rsidRPr="00EE5D97">
              <w:rPr>
                <w:rStyle w:val="Znakapoznpodarou"/>
                <w:spacing w:val="-2"/>
                <w:lang w:val="en-GB"/>
              </w:rPr>
              <w:footnoteReference w:id="7"/>
            </w:r>
            <w:r w:rsidR="0096321C">
              <w:rPr>
                <w:spacing w:val="-2"/>
                <w:lang w:val="en-GB"/>
              </w:rPr>
              <w:t xml:space="preserve"> jumped up by </w:t>
            </w:r>
            <w:r w:rsidR="0039398D" w:rsidRPr="00EE5D97">
              <w:rPr>
                <w:spacing w:val="-2"/>
                <w:lang w:val="en-GB"/>
              </w:rPr>
              <w:t>26</w:t>
            </w:r>
            <w:r w:rsidR="0096321C">
              <w:rPr>
                <w:spacing w:val="-2"/>
                <w:lang w:val="en-GB"/>
              </w:rPr>
              <w:t>.</w:t>
            </w:r>
            <w:r w:rsidR="0039398D" w:rsidRPr="00EE5D97">
              <w:rPr>
                <w:spacing w:val="-2"/>
                <w:lang w:val="en-GB"/>
              </w:rPr>
              <w:t>5%</w:t>
            </w:r>
            <w:r w:rsidR="0039398D" w:rsidRPr="00EE5D97">
              <w:rPr>
                <w:rStyle w:val="Znakapoznpodarou"/>
                <w:lang w:val="en-GB"/>
              </w:rPr>
              <w:footnoteReference w:id="8"/>
            </w:r>
            <w:r w:rsidR="0096321C">
              <w:rPr>
                <w:spacing w:val="-2"/>
                <w:lang w:val="en-GB"/>
              </w:rPr>
              <w:t xml:space="preserve"> quarter-on-quarter</w:t>
            </w:r>
            <w:r w:rsidR="0039398D" w:rsidRPr="00EE5D97">
              <w:rPr>
                <w:spacing w:val="-2"/>
                <w:lang w:val="en-GB"/>
              </w:rPr>
              <w:t>,</w:t>
            </w:r>
            <w:r w:rsidR="0096321C">
              <w:rPr>
                <w:spacing w:val="-2"/>
                <w:lang w:val="en-GB"/>
              </w:rPr>
              <w:t xml:space="preserve"> goods with long-term durability by </w:t>
            </w:r>
            <w:r w:rsidR="0039398D" w:rsidRPr="00EE5D97">
              <w:rPr>
                <w:spacing w:val="-2"/>
                <w:lang w:val="en-GB"/>
              </w:rPr>
              <w:t>6</w:t>
            </w:r>
            <w:r w:rsidR="0096321C">
              <w:rPr>
                <w:spacing w:val="-2"/>
                <w:lang w:val="en-GB"/>
              </w:rPr>
              <w:t>.</w:t>
            </w:r>
            <w:r w:rsidR="0039398D" w:rsidRPr="00EE5D97">
              <w:rPr>
                <w:spacing w:val="-2"/>
                <w:lang w:val="en-GB"/>
              </w:rPr>
              <w:t>4% a</w:t>
            </w:r>
            <w:r w:rsidR="006E4D8C">
              <w:rPr>
                <w:spacing w:val="-2"/>
                <w:lang w:val="en-GB"/>
              </w:rPr>
              <w:t xml:space="preserve">nd services by </w:t>
            </w:r>
            <w:r w:rsidR="0039398D" w:rsidRPr="00EE5D97">
              <w:rPr>
                <w:spacing w:val="-2"/>
                <w:lang w:val="en-GB"/>
              </w:rPr>
              <w:t>7</w:t>
            </w:r>
            <w:r w:rsidR="006E4D8C">
              <w:rPr>
                <w:spacing w:val="-2"/>
                <w:lang w:val="en-GB"/>
              </w:rPr>
              <w:t>.</w:t>
            </w:r>
            <w:r w:rsidR="0039398D" w:rsidRPr="00EE5D97">
              <w:rPr>
                <w:spacing w:val="-2"/>
                <w:lang w:val="en-GB"/>
              </w:rPr>
              <w:t xml:space="preserve">6%. </w:t>
            </w:r>
            <w:r w:rsidR="003E2DBA">
              <w:rPr>
                <w:spacing w:val="-2"/>
                <w:lang w:val="en-GB"/>
              </w:rPr>
              <w:t xml:space="preserve">Consumption of non-durable goods also strongly grew quarter-on-quarter </w:t>
            </w:r>
            <w:r w:rsidR="0039398D" w:rsidRPr="00EE5D97">
              <w:rPr>
                <w:spacing w:val="-2"/>
                <w:lang w:val="en-GB"/>
              </w:rPr>
              <w:t>(4</w:t>
            </w:r>
            <w:r w:rsidR="003E2DBA">
              <w:rPr>
                <w:spacing w:val="-2"/>
                <w:lang w:val="en-GB"/>
              </w:rPr>
              <w:t>.</w:t>
            </w:r>
            <w:r w:rsidR="0039398D" w:rsidRPr="00EE5D97">
              <w:rPr>
                <w:spacing w:val="-2"/>
                <w:lang w:val="en-GB"/>
              </w:rPr>
              <w:t>3%).</w:t>
            </w:r>
          </w:p>
        </w:tc>
      </w:tr>
      <w:tr w:rsidR="0039398D" w:rsidRPr="009110F7" w14:paraId="635A3CF2" w14:textId="77777777" w:rsidTr="00AF7277">
        <w:trPr>
          <w:trHeight w:val="145"/>
        </w:trPr>
        <w:tc>
          <w:tcPr>
            <w:tcW w:w="1806" w:type="dxa"/>
            <w:shd w:val="clear" w:color="auto" w:fill="auto"/>
            <w:tcMar>
              <w:left w:w="0" w:type="dxa"/>
            </w:tcMar>
          </w:tcPr>
          <w:p w14:paraId="48EBF468" w14:textId="69CA0683" w:rsidR="0039398D" w:rsidRPr="00EE5D97" w:rsidRDefault="0039398D" w:rsidP="00AF7277">
            <w:pPr>
              <w:pStyle w:val="Marginlie"/>
              <w:rPr>
                <w:lang w:val="en-GB"/>
              </w:rPr>
            </w:pPr>
            <w:r w:rsidRPr="00EE5D97">
              <w:rPr>
                <w:lang w:val="en-GB"/>
              </w:rPr>
              <w:t>Invest</w:t>
            </w:r>
            <w:r w:rsidR="00DF62FA">
              <w:rPr>
                <w:lang w:val="en-GB"/>
              </w:rPr>
              <w:t xml:space="preserve">ment expenditures recorded considerable revival. </w:t>
            </w:r>
          </w:p>
        </w:tc>
        <w:tc>
          <w:tcPr>
            <w:tcW w:w="223" w:type="dxa"/>
            <w:shd w:val="clear" w:color="auto" w:fill="auto"/>
            <w:tcMar>
              <w:left w:w="0" w:type="dxa"/>
            </w:tcMar>
          </w:tcPr>
          <w:p w14:paraId="1F0C1426" w14:textId="77777777" w:rsidR="0039398D" w:rsidRPr="00EE5D97" w:rsidRDefault="0039398D" w:rsidP="00AF7277">
            <w:pPr>
              <w:pStyle w:val="Textpoznpodarou"/>
              <w:jc w:val="both"/>
              <w:rPr>
                <w:spacing w:val="-4"/>
                <w:lang w:val="en-GB"/>
              </w:rPr>
            </w:pPr>
          </w:p>
        </w:tc>
        <w:tc>
          <w:tcPr>
            <w:tcW w:w="7610" w:type="dxa"/>
            <w:shd w:val="clear" w:color="auto" w:fill="auto"/>
            <w:tcMar>
              <w:left w:w="0" w:type="dxa"/>
            </w:tcMar>
          </w:tcPr>
          <w:p w14:paraId="2D6DAB88" w14:textId="647185E4" w:rsidR="0039398D" w:rsidRPr="00EE5D97" w:rsidRDefault="005365BD" w:rsidP="002D5473">
            <w:pPr>
              <w:rPr>
                <w:lang w:val="en-GB"/>
              </w:rPr>
            </w:pPr>
            <w:r>
              <w:rPr>
                <w:lang w:val="en-GB"/>
              </w:rPr>
              <w:t xml:space="preserve">Gross fixed capital expenditures rose by </w:t>
            </w:r>
            <w:r w:rsidR="0039398D" w:rsidRPr="00EE5D97">
              <w:rPr>
                <w:lang w:val="en-GB"/>
              </w:rPr>
              <w:t>4</w:t>
            </w:r>
            <w:r>
              <w:rPr>
                <w:lang w:val="en-GB"/>
              </w:rPr>
              <w:t>.</w:t>
            </w:r>
            <w:r w:rsidR="0039398D" w:rsidRPr="00EE5D97">
              <w:rPr>
                <w:lang w:val="en-GB"/>
              </w:rPr>
              <w:t>3%</w:t>
            </w:r>
            <w:r>
              <w:rPr>
                <w:lang w:val="en-GB"/>
              </w:rPr>
              <w:t xml:space="preserve"> quarter-on-quarter and by </w:t>
            </w:r>
            <w:r w:rsidR="0039398D" w:rsidRPr="00EE5D97">
              <w:rPr>
                <w:lang w:val="en-GB"/>
              </w:rPr>
              <w:t>13</w:t>
            </w:r>
            <w:r>
              <w:rPr>
                <w:lang w:val="en-GB"/>
              </w:rPr>
              <w:t>.</w:t>
            </w:r>
            <w:r w:rsidR="0039398D" w:rsidRPr="00EE5D97">
              <w:rPr>
                <w:lang w:val="en-GB"/>
              </w:rPr>
              <w:t>0%</w:t>
            </w:r>
            <w:r>
              <w:rPr>
                <w:lang w:val="en-GB"/>
              </w:rPr>
              <w:t xml:space="preserve"> year-on-year in Q2</w:t>
            </w:r>
            <w:r w:rsidR="0039398D" w:rsidRPr="00EE5D97">
              <w:rPr>
                <w:lang w:val="en-GB"/>
              </w:rPr>
              <w:t xml:space="preserve">. </w:t>
            </w:r>
            <w:r w:rsidR="000D572F">
              <w:rPr>
                <w:lang w:val="en-GB"/>
              </w:rPr>
              <w:t xml:space="preserve">Contribution of gross capital formation to the year-on-year GDP growth reached </w:t>
            </w:r>
            <w:r w:rsidR="0039398D" w:rsidRPr="00EE5D97">
              <w:rPr>
                <w:lang w:val="en-GB"/>
              </w:rPr>
              <w:t>1</w:t>
            </w:r>
            <w:r w:rsidR="000D572F">
              <w:rPr>
                <w:lang w:val="en-GB"/>
              </w:rPr>
              <w:t>.</w:t>
            </w:r>
            <w:r w:rsidR="0039398D" w:rsidRPr="00EE5D97">
              <w:rPr>
                <w:lang w:val="en-GB"/>
              </w:rPr>
              <w:t>6 p.</w:t>
            </w:r>
            <w:r w:rsidR="000D572F">
              <w:rPr>
                <w:lang w:val="en-GB"/>
              </w:rPr>
              <w:t xml:space="preserve">p. </w:t>
            </w:r>
            <w:r w:rsidR="002D5473">
              <w:rPr>
                <w:lang w:val="en-GB"/>
              </w:rPr>
              <w:t>The change of inventories played a significant role especially in the year-on-year comparison. Increase of inventories of unfinished production and finished products of industrial businesses thus notably contributed to the year-on-year increase of gross capital formation</w:t>
            </w:r>
            <w:r w:rsidR="0039398D" w:rsidRPr="00EE5D97">
              <w:rPr>
                <w:rStyle w:val="Znakapoznpodarou"/>
                <w:lang w:val="en-GB"/>
              </w:rPr>
              <w:footnoteReference w:id="9"/>
            </w:r>
            <w:r w:rsidR="0039398D" w:rsidRPr="00EE5D97">
              <w:rPr>
                <w:lang w:val="en-GB"/>
              </w:rPr>
              <w:t xml:space="preserve">. </w:t>
            </w:r>
            <w:r w:rsidR="00D940AB">
              <w:rPr>
                <w:lang w:val="en-GB"/>
              </w:rPr>
              <w:t xml:space="preserve">Expenditures on gross fixed capital formation increased by </w:t>
            </w:r>
            <w:r w:rsidR="0039398D" w:rsidRPr="00EE5D97">
              <w:rPr>
                <w:lang w:val="en-GB"/>
              </w:rPr>
              <w:t>4</w:t>
            </w:r>
            <w:r w:rsidR="00D940AB">
              <w:rPr>
                <w:lang w:val="en-GB"/>
              </w:rPr>
              <w:t>.</w:t>
            </w:r>
            <w:r w:rsidR="0039398D" w:rsidRPr="00EE5D97">
              <w:rPr>
                <w:lang w:val="en-GB"/>
              </w:rPr>
              <w:t>2%</w:t>
            </w:r>
            <w:r w:rsidR="00D940AB">
              <w:rPr>
                <w:lang w:val="en-GB"/>
              </w:rPr>
              <w:t xml:space="preserve"> quarter-on-quarter and year-on-year rise </w:t>
            </w:r>
            <w:r w:rsidR="00660874">
              <w:rPr>
                <w:lang w:val="en-GB"/>
              </w:rPr>
              <w:t xml:space="preserve">attained </w:t>
            </w:r>
            <w:r w:rsidR="0039398D" w:rsidRPr="00EE5D97">
              <w:rPr>
                <w:lang w:val="en-GB"/>
              </w:rPr>
              <w:t>1</w:t>
            </w:r>
            <w:r w:rsidR="00660874">
              <w:rPr>
                <w:lang w:val="en-GB"/>
              </w:rPr>
              <w:t>.</w:t>
            </w:r>
            <w:r w:rsidR="0039398D" w:rsidRPr="00EE5D97">
              <w:rPr>
                <w:lang w:val="en-GB"/>
              </w:rPr>
              <w:t>5%.</w:t>
            </w:r>
            <w:r w:rsidR="00660874">
              <w:rPr>
                <w:lang w:val="en-GB"/>
              </w:rPr>
              <w:t xml:space="preserve"> </w:t>
            </w:r>
            <w:r w:rsidR="0039398D" w:rsidRPr="00EE5D97">
              <w:rPr>
                <w:lang w:val="en-GB"/>
              </w:rPr>
              <w:t>Invest</w:t>
            </w:r>
            <w:r w:rsidR="00DB3697">
              <w:rPr>
                <w:lang w:val="en-GB"/>
              </w:rPr>
              <w:t>ment went up at the same time for the first time since Q</w:t>
            </w:r>
            <w:r w:rsidR="0039398D" w:rsidRPr="00EE5D97">
              <w:rPr>
                <w:lang w:val="en-GB"/>
              </w:rPr>
              <w:t>4</w:t>
            </w:r>
            <w:r w:rsidR="00DB3697">
              <w:rPr>
                <w:lang w:val="en-GB"/>
              </w:rPr>
              <w:t xml:space="preserve"> </w:t>
            </w:r>
            <w:r w:rsidR="0039398D" w:rsidRPr="00EE5D97">
              <w:rPr>
                <w:lang w:val="en-GB"/>
              </w:rPr>
              <w:t xml:space="preserve">2019. </w:t>
            </w:r>
            <w:r w:rsidR="00BA2867">
              <w:rPr>
                <w:lang w:val="en-GB"/>
              </w:rPr>
              <w:t>Comparison of data adjusted for price effects indicates, that investment lag behind the period before the arrival of pandemics in this year</w:t>
            </w:r>
            <w:r w:rsidR="00BA2867">
              <w:rPr>
                <w:lang w:val="en-US"/>
              </w:rPr>
              <w:t>’</w:t>
            </w:r>
            <w:r w:rsidR="00BA2867">
              <w:t xml:space="preserve">s Q2 so far. </w:t>
            </w:r>
            <w:r w:rsidR="00D940AB">
              <w:rPr>
                <w:lang w:val="en-GB"/>
              </w:rPr>
              <w:t xml:space="preserve">Type classification of gross fixed capital formation indirectly proves the boost of investment of non-financial businesses </w:t>
            </w:r>
            <w:r w:rsidR="0039398D" w:rsidRPr="00EE5D97">
              <w:rPr>
                <w:lang w:val="en-GB"/>
              </w:rPr>
              <w:t xml:space="preserve">– </w:t>
            </w:r>
            <w:r w:rsidR="00402473">
              <w:rPr>
                <w:lang w:val="en-GB"/>
              </w:rPr>
              <w:t xml:space="preserve">expenditures on transport equipment </w:t>
            </w:r>
            <w:r w:rsidR="0039398D" w:rsidRPr="00EE5D97">
              <w:rPr>
                <w:lang w:val="en-GB"/>
              </w:rPr>
              <w:t>(10</w:t>
            </w:r>
            <w:r w:rsidR="00402473">
              <w:rPr>
                <w:lang w:val="en-GB"/>
              </w:rPr>
              <w:t>.</w:t>
            </w:r>
            <w:r w:rsidR="0039398D" w:rsidRPr="00EE5D97">
              <w:rPr>
                <w:lang w:val="en-GB"/>
              </w:rPr>
              <w:t>2%)</w:t>
            </w:r>
            <w:r w:rsidR="00402473">
              <w:rPr>
                <w:lang w:val="en-GB"/>
              </w:rPr>
              <w:t xml:space="preserve"> </w:t>
            </w:r>
            <w:r w:rsidR="00D006D3">
              <w:rPr>
                <w:lang w:val="en-GB"/>
              </w:rPr>
              <w:t>Strongly grew</w:t>
            </w:r>
            <w:r w:rsidR="00402473">
              <w:rPr>
                <w:lang w:val="en-GB"/>
              </w:rPr>
              <w:t xml:space="preserve"> quarter-on-quarter</w:t>
            </w:r>
            <w:r w:rsidR="0039398D" w:rsidRPr="00EE5D97">
              <w:rPr>
                <w:lang w:val="en-GB"/>
              </w:rPr>
              <w:t xml:space="preserve"> a</w:t>
            </w:r>
            <w:r w:rsidR="00EE5572">
              <w:rPr>
                <w:lang w:val="en-GB"/>
              </w:rPr>
              <w:t xml:space="preserve">nd </w:t>
            </w:r>
            <w:r w:rsidR="00EB3B2B">
              <w:rPr>
                <w:lang w:val="en-GB"/>
              </w:rPr>
              <w:t>the increase of investment into ICT and other</w:t>
            </w:r>
            <w:r w:rsidR="00B7649A">
              <w:rPr>
                <w:lang w:val="en-GB"/>
              </w:rPr>
              <w:t xml:space="preserve"> machinery and equipment </w:t>
            </w:r>
            <w:r w:rsidR="0039398D" w:rsidRPr="00EE5D97">
              <w:rPr>
                <w:lang w:val="en-GB"/>
              </w:rPr>
              <w:t>(4</w:t>
            </w:r>
            <w:r w:rsidR="00B7649A">
              <w:rPr>
                <w:lang w:val="en-GB"/>
              </w:rPr>
              <w:t>.</w:t>
            </w:r>
            <w:r w:rsidR="0039398D" w:rsidRPr="00EE5D97">
              <w:rPr>
                <w:lang w:val="en-GB"/>
              </w:rPr>
              <w:t>8%)</w:t>
            </w:r>
            <w:r w:rsidR="00EE5572">
              <w:rPr>
                <w:lang w:val="en-GB"/>
              </w:rPr>
              <w:t xml:space="preserve"> also accelerated</w:t>
            </w:r>
            <w:r w:rsidR="0039398D" w:rsidRPr="00EE5D97">
              <w:rPr>
                <w:lang w:val="en-GB"/>
              </w:rPr>
              <w:t>.</w:t>
            </w:r>
            <w:r w:rsidR="00EE5572">
              <w:rPr>
                <w:lang w:val="en-GB"/>
              </w:rPr>
              <w:t xml:space="preserve"> Investment into products of intellectual property rose by 1.0%</w:t>
            </w:r>
            <w:r w:rsidR="0039398D" w:rsidRPr="00EE5D97">
              <w:rPr>
                <w:lang w:val="en-GB"/>
              </w:rPr>
              <w:t xml:space="preserve">. </w:t>
            </w:r>
            <w:r w:rsidR="002E6E2E">
              <w:rPr>
                <w:lang w:val="en-GB"/>
              </w:rPr>
              <w:t>The addition to investment</w:t>
            </w:r>
            <w:r w:rsidR="00081941">
              <w:rPr>
                <w:lang w:val="en-GB"/>
              </w:rPr>
              <w:t>s</w:t>
            </w:r>
            <w:r w:rsidR="002E6E2E">
              <w:rPr>
                <w:lang w:val="en-GB"/>
              </w:rPr>
              <w:t xml:space="preserve"> into dwellings, </w:t>
            </w:r>
            <w:r w:rsidR="00081941">
              <w:rPr>
                <w:lang w:val="en-GB"/>
              </w:rPr>
              <w:t>dominated by h</w:t>
            </w:r>
            <w:r w:rsidR="002E6E2E">
              <w:rPr>
                <w:lang w:val="en-GB"/>
              </w:rPr>
              <w:t xml:space="preserve">ouseholds, was also very strong </w:t>
            </w:r>
            <w:r w:rsidR="0039398D" w:rsidRPr="00EE5D97">
              <w:rPr>
                <w:lang w:val="en-GB"/>
              </w:rPr>
              <w:t>(9</w:t>
            </w:r>
            <w:r w:rsidR="002E6E2E">
              <w:rPr>
                <w:lang w:val="en-GB"/>
              </w:rPr>
              <w:t>.</w:t>
            </w:r>
            <w:r w:rsidR="0039398D" w:rsidRPr="00EE5D97">
              <w:rPr>
                <w:lang w:val="en-GB"/>
              </w:rPr>
              <w:t>9%).</w:t>
            </w:r>
            <w:r w:rsidR="002E6E2E">
              <w:rPr>
                <w:lang w:val="en-GB"/>
              </w:rPr>
              <w:t xml:space="preserve"> Investment into buildings and structures also mildly grew quarter-on-quarter </w:t>
            </w:r>
            <w:r w:rsidR="0039398D" w:rsidRPr="00EE5D97">
              <w:rPr>
                <w:lang w:val="en-GB"/>
              </w:rPr>
              <w:t>(0</w:t>
            </w:r>
            <w:r w:rsidR="002E6E2E">
              <w:rPr>
                <w:lang w:val="en-GB"/>
              </w:rPr>
              <w:t>.</w:t>
            </w:r>
            <w:r w:rsidR="0039398D" w:rsidRPr="00EE5D97">
              <w:rPr>
                <w:lang w:val="en-GB"/>
              </w:rPr>
              <w:t>3%).</w:t>
            </w:r>
            <w:r w:rsidR="002E6E2E">
              <w:rPr>
                <w:lang w:val="en-GB"/>
              </w:rPr>
              <w:t xml:space="preserve"> </w:t>
            </w:r>
            <w:r w:rsidR="00BA44F9">
              <w:rPr>
                <w:lang w:val="en-GB"/>
              </w:rPr>
              <w:t xml:space="preserve">Investment into other buildings and structures </w:t>
            </w:r>
            <w:r w:rsidR="0039398D" w:rsidRPr="00EE5D97">
              <w:rPr>
                <w:lang w:val="en-GB"/>
              </w:rPr>
              <w:t>(–4</w:t>
            </w:r>
            <w:r w:rsidR="00BA44F9">
              <w:rPr>
                <w:lang w:val="en-GB"/>
              </w:rPr>
              <w:t>.</w:t>
            </w:r>
            <w:r w:rsidR="0039398D" w:rsidRPr="00EE5D97">
              <w:rPr>
                <w:lang w:val="en-GB"/>
              </w:rPr>
              <w:t>2%)</w:t>
            </w:r>
            <w:r w:rsidR="00BA44F9">
              <w:rPr>
                <w:lang w:val="en-GB"/>
              </w:rPr>
              <w:t xml:space="preserve"> as well as products of intellectual property</w:t>
            </w:r>
            <w:r w:rsidR="009F6D92">
              <w:rPr>
                <w:lang w:val="en-GB"/>
              </w:rPr>
              <w:t xml:space="preserve">          </w:t>
            </w:r>
            <w:r w:rsidR="00BA44F9">
              <w:rPr>
                <w:lang w:val="en-GB"/>
              </w:rPr>
              <w:t xml:space="preserve"> </w:t>
            </w:r>
            <w:r w:rsidR="0039398D" w:rsidRPr="00EE5D97">
              <w:rPr>
                <w:lang w:val="en-GB"/>
              </w:rPr>
              <w:t>(–0</w:t>
            </w:r>
            <w:r w:rsidR="00BA44F9">
              <w:rPr>
                <w:lang w:val="en-GB"/>
              </w:rPr>
              <w:t>.</w:t>
            </w:r>
            <w:r w:rsidR="0039398D" w:rsidRPr="00EE5D97">
              <w:rPr>
                <w:lang w:val="en-GB"/>
              </w:rPr>
              <w:t>5%)</w:t>
            </w:r>
            <w:r w:rsidR="00BA44F9">
              <w:rPr>
                <w:lang w:val="en-GB"/>
              </w:rPr>
              <w:t xml:space="preserve"> however still lagged behind in comparison to the last year</w:t>
            </w:r>
            <w:r w:rsidR="00BA44F9">
              <w:rPr>
                <w:lang w:val="en-US"/>
              </w:rPr>
              <w:t>’</w:t>
            </w:r>
            <w:r w:rsidR="00BA44F9">
              <w:t>s Q2</w:t>
            </w:r>
            <w:r w:rsidR="0039398D" w:rsidRPr="00EE5D97">
              <w:rPr>
                <w:lang w:val="en-GB"/>
              </w:rPr>
              <w:t xml:space="preserve">. </w:t>
            </w:r>
            <w:r w:rsidR="00BA44F9">
              <w:rPr>
                <w:lang w:val="en-GB"/>
              </w:rPr>
              <w:t xml:space="preserve">In contrast, the expenditures on dwellings were by </w:t>
            </w:r>
            <w:r w:rsidR="0039398D" w:rsidRPr="00EE5D97">
              <w:rPr>
                <w:lang w:val="en-GB"/>
              </w:rPr>
              <w:t>9</w:t>
            </w:r>
            <w:r w:rsidR="00BA44F9">
              <w:rPr>
                <w:lang w:val="en-GB"/>
              </w:rPr>
              <w:t>.</w:t>
            </w:r>
            <w:r w:rsidR="0039398D" w:rsidRPr="00EE5D97">
              <w:rPr>
                <w:lang w:val="en-GB"/>
              </w:rPr>
              <w:t>7%</w:t>
            </w:r>
            <w:r w:rsidR="00BA44F9">
              <w:rPr>
                <w:lang w:val="en-GB"/>
              </w:rPr>
              <w:t xml:space="preserve"> higher</w:t>
            </w:r>
            <w:r w:rsidR="0039398D" w:rsidRPr="00EE5D97">
              <w:rPr>
                <w:lang w:val="en-GB"/>
              </w:rPr>
              <w:t xml:space="preserve">, </w:t>
            </w:r>
            <w:r w:rsidR="00BA44F9">
              <w:rPr>
                <w:lang w:val="en-GB"/>
              </w:rPr>
              <w:t xml:space="preserve">on </w:t>
            </w:r>
            <w:r w:rsidR="0039398D" w:rsidRPr="00EE5D97">
              <w:rPr>
                <w:lang w:val="en-GB"/>
              </w:rPr>
              <w:t>ICT a</w:t>
            </w:r>
            <w:r w:rsidR="00BA44F9">
              <w:rPr>
                <w:lang w:val="en-GB"/>
              </w:rPr>
              <w:t xml:space="preserve">nd other machinery and equipment by </w:t>
            </w:r>
            <w:r w:rsidR="0039398D" w:rsidRPr="00EE5D97">
              <w:rPr>
                <w:lang w:val="en-GB"/>
              </w:rPr>
              <w:t>2</w:t>
            </w:r>
            <w:r w:rsidR="00BA44F9">
              <w:rPr>
                <w:lang w:val="en-GB"/>
              </w:rPr>
              <w:t>.</w:t>
            </w:r>
            <w:r w:rsidR="0039398D" w:rsidRPr="00EE5D97">
              <w:rPr>
                <w:lang w:val="en-GB"/>
              </w:rPr>
              <w:t>7%</w:t>
            </w:r>
            <w:r w:rsidR="00BA44F9">
              <w:rPr>
                <w:lang w:val="en-GB"/>
              </w:rPr>
              <w:t xml:space="preserve"> and on transport equipment by </w:t>
            </w:r>
            <w:r w:rsidR="0039398D" w:rsidRPr="00EE5D97">
              <w:rPr>
                <w:lang w:val="en-GB"/>
              </w:rPr>
              <w:t>1</w:t>
            </w:r>
            <w:r w:rsidR="00BA44F9">
              <w:rPr>
                <w:lang w:val="en-GB"/>
              </w:rPr>
              <w:t>.</w:t>
            </w:r>
            <w:r w:rsidR="0039398D" w:rsidRPr="00EE5D97">
              <w:rPr>
                <w:lang w:val="en-GB"/>
              </w:rPr>
              <w:t>9%.</w:t>
            </w:r>
          </w:p>
        </w:tc>
      </w:tr>
      <w:tr w:rsidR="0039398D" w:rsidRPr="009110F7" w14:paraId="471E63DB" w14:textId="77777777" w:rsidTr="00AF7277">
        <w:trPr>
          <w:trHeight w:val="145"/>
        </w:trPr>
        <w:tc>
          <w:tcPr>
            <w:tcW w:w="1806" w:type="dxa"/>
            <w:shd w:val="clear" w:color="auto" w:fill="auto"/>
            <w:tcMar>
              <w:left w:w="0" w:type="dxa"/>
            </w:tcMar>
          </w:tcPr>
          <w:p w14:paraId="17E10721" w14:textId="491B97AD" w:rsidR="0039398D" w:rsidRPr="00EE5572" w:rsidRDefault="00BA44F9" w:rsidP="00AF7277">
            <w:pPr>
              <w:pStyle w:val="Marginlie"/>
              <w:rPr>
                <w:lang w:val="en-GB"/>
              </w:rPr>
            </w:pPr>
            <w:r>
              <w:rPr>
                <w:lang w:val="en-GB"/>
              </w:rPr>
              <w:t>Foreign trade balance</w:t>
            </w:r>
            <w:r w:rsidR="00F72104">
              <w:rPr>
                <w:lang w:val="en-GB"/>
              </w:rPr>
              <w:t xml:space="preserve"> contributed to the year-on-year GDP growth, </w:t>
            </w:r>
            <w:r w:rsidR="00BD5825">
              <w:rPr>
                <w:lang w:val="en-GB"/>
              </w:rPr>
              <w:t xml:space="preserve">its surplus was however among the lowest for the last years. </w:t>
            </w:r>
          </w:p>
        </w:tc>
        <w:tc>
          <w:tcPr>
            <w:tcW w:w="223" w:type="dxa"/>
            <w:shd w:val="clear" w:color="auto" w:fill="auto"/>
            <w:tcMar>
              <w:left w:w="0" w:type="dxa"/>
            </w:tcMar>
          </w:tcPr>
          <w:p w14:paraId="2EDB3017" w14:textId="77777777" w:rsidR="0039398D" w:rsidRPr="00EE5572" w:rsidRDefault="0039398D" w:rsidP="00AF7277">
            <w:pPr>
              <w:pStyle w:val="Textpoznpodarou"/>
              <w:jc w:val="both"/>
              <w:rPr>
                <w:spacing w:val="-4"/>
                <w:lang w:val="en-GB"/>
              </w:rPr>
            </w:pPr>
          </w:p>
        </w:tc>
        <w:tc>
          <w:tcPr>
            <w:tcW w:w="7610" w:type="dxa"/>
            <w:shd w:val="clear" w:color="auto" w:fill="auto"/>
            <w:tcMar>
              <w:left w:w="0" w:type="dxa"/>
            </w:tcMar>
          </w:tcPr>
          <w:p w14:paraId="29D0B78D" w14:textId="11E9BBD8" w:rsidR="0039398D" w:rsidRPr="008D73E0" w:rsidRDefault="00C167F9" w:rsidP="00AF7277">
            <w:pPr>
              <w:rPr>
                <w:lang w:val="en-GB"/>
              </w:rPr>
            </w:pPr>
            <w:r w:rsidRPr="008D73E0">
              <w:rPr>
                <w:lang w:val="en-GB"/>
              </w:rPr>
              <w:t xml:space="preserve">Industry and consequently also foreign trade was not restricted during the Autumn and Winter wave of epidemics anymore. Quarter-on-quarter real increase of export of goods and services thus arrived at </w:t>
            </w:r>
            <w:r w:rsidR="0039398D" w:rsidRPr="008D73E0">
              <w:rPr>
                <w:lang w:val="en-GB"/>
              </w:rPr>
              <w:t>0</w:t>
            </w:r>
            <w:r w:rsidRPr="008D73E0">
              <w:rPr>
                <w:lang w:val="en-GB"/>
              </w:rPr>
              <w:t>.</w:t>
            </w:r>
            <w:r w:rsidR="0039398D" w:rsidRPr="008D73E0">
              <w:rPr>
                <w:lang w:val="en-GB"/>
              </w:rPr>
              <w:t>6%</w:t>
            </w:r>
            <w:r w:rsidR="0039398D" w:rsidRPr="008D73E0">
              <w:rPr>
                <w:rStyle w:val="Znakapoznpodarou"/>
                <w:lang w:val="en-GB"/>
              </w:rPr>
              <w:footnoteReference w:id="10"/>
            </w:r>
            <w:r w:rsidR="0039398D" w:rsidRPr="008D73E0">
              <w:rPr>
                <w:lang w:val="en-GB"/>
              </w:rPr>
              <w:t xml:space="preserve">. </w:t>
            </w:r>
            <w:r w:rsidR="003504AE" w:rsidRPr="008D73E0">
              <w:rPr>
                <w:lang w:val="en-GB"/>
              </w:rPr>
              <w:t xml:space="preserve">In that the export of goods dropped by </w:t>
            </w:r>
            <w:r w:rsidR="0039398D" w:rsidRPr="008D73E0">
              <w:rPr>
                <w:lang w:val="en-GB"/>
              </w:rPr>
              <w:t>0</w:t>
            </w:r>
            <w:r w:rsidR="003504AE" w:rsidRPr="008D73E0">
              <w:rPr>
                <w:lang w:val="en-GB"/>
              </w:rPr>
              <w:t>.</w:t>
            </w:r>
            <w:r w:rsidR="0039398D" w:rsidRPr="008D73E0">
              <w:rPr>
                <w:lang w:val="en-GB"/>
              </w:rPr>
              <w:t>7%,</w:t>
            </w:r>
            <w:r w:rsidR="003504AE" w:rsidRPr="008D73E0">
              <w:rPr>
                <w:lang w:val="en-GB"/>
              </w:rPr>
              <w:t xml:space="preserve"> while the export of services rose by </w:t>
            </w:r>
            <w:r w:rsidR="0039398D" w:rsidRPr="008D73E0">
              <w:rPr>
                <w:lang w:val="en-GB"/>
              </w:rPr>
              <w:t>8</w:t>
            </w:r>
            <w:r w:rsidR="003504AE" w:rsidRPr="008D73E0">
              <w:rPr>
                <w:lang w:val="en-GB"/>
              </w:rPr>
              <w:t>.</w:t>
            </w:r>
            <w:r w:rsidR="0039398D" w:rsidRPr="008D73E0">
              <w:rPr>
                <w:lang w:val="en-GB"/>
              </w:rPr>
              <w:t xml:space="preserve">7%. </w:t>
            </w:r>
            <w:r w:rsidR="003504AE" w:rsidRPr="008D73E0">
              <w:rPr>
                <w:lang w:val="en-GB"/>
              </w:rPr>
              <w:t xml:space="preserve">On the contrary, the import </w:t>
            </w:r>
            <w:r w:rsidR="005E6041" w:rsidRPr="008D73E0">
              <w:rPr>
                <w:lang w:val="en-GB"/>
              </w:rPr>
              <w:t xml:space="preserve">lifted by substantial </w:t>
            </w:r>
            <w:r w:rsidR="0039398D" w:rsidRPr="008D73E0">
              <w:rPr>
                <w:lang w:val="en-GB"/>
              </w:rPr>
              <w:t>4</w:t>
            </w:r>
            <w:r w:rsidR="005E6041" w:rsidRPr="008D73E0">
              <w:rPr>
                <w:lang w:val="en-GB"/>
              </w:rPr>
              <w:t>.</w:t>
            </w:r>
            <w:r w:rsidR="0039398D" w:rsidRPr="008D73E0">
              <w:rPr>
                <w:lang w:val="en-GB"/>
              </w:rPr>
              <w:t>9%</w:t>
            </w:r>
            <w:r w:rsidR="005E6041" w:rsidRPr="008D73E0">
              <w:rPr>
                <w:lang w:val="en-GB"/>
              </w:rPr>
              <w:t xml:space="preserve"> quarter-on-quarter</w:t>
            </w:r>
            <w:r w:rsidR="0039398D" w:rsidRPr="008D73E0">
              <w:rPr>
                <w:lang w:val="en-GB"/>
              </w:rPr>
              <w:t xml:space="preserve"> a</w:t>
            </w:r>
            <w:r w:rsidR="003504AE" w:rsidRPr="008D73E0">
              <w:rPr>
                <w:lang w:val="en-GB"/>
              </w:rPr>
              <w:t xml:space="preserve">nd it can be assumed, that part of this increase is connected also to the heightened investment activity of businesses. This notable difference between the dynamics of export and import </w:t>
            </w:r>
            <w:r w:rsidR="005E6041" w:rsidRPr="008D73E0">
              <w:rPr>
                <w:lang w:val="en-GB"/>
              </w:rPr>
              <w:t xml:space="preserve">led to the quarter-on-quarter worsening of the balance of foreign trade, </w:t>
            </w:r>
            <w:r w:rsidR="008B7149" w:rsidRPr="008D73E0">
              <w:rPr>
                <w:lang w:val="en-GB"/>
              </w:rPr>
              <w:t>which made the foreign demand to be the only factor operating in the direction of quarter-on-quarter GDP decrease</w:t>
            </w:r>
            <w:r w:rsidR="0039398D" w:rsidRPr="008D73E0">
              <w:rPr>
                <w:lang w:val="en-GB"/>
              </w:rPr>
              <w:t>.</w:t>
            </w:r>
            <w:r w:rsidR="006B7795" w:rsidRPr="008D73E0">
              <w:rPr>
                <w:lang w:val="en-GB"/>
              </w:rPr>
              <w:t xml:space="preserve"> Export increased by </w:t>
            </w:r>
            <w:r w:rsidR="0039398D" w:rsidRPr="008D73E0">
              <w:rPr>
                <w:lang w:val="en-GB"/>
              </w:rPr>
              <w:t>30</w:t>
            </w:r>
            <w:r w:rsidR="006B7795" w:rsidRPr="008D73E0">
              <w:rPr>
                <w:lang w:val="en-GB"/>
              </w:rPr>
              <w:t>.</w:t>
            </w:r>
            <w:r w:rsidR="0039398D" w:rsidRPr="008D73E0">
              <w:rPr>
                <w:lang w:val="en-GB"/>
              </w:rPr>
              <w:t>6%</w:t>
            </w:r>
            <w:r w:rsidR="006B7795" w:rsidRPr="008D73E0">
              <w:rPr>
                <w:lang w:val="en-GB"/>
              </w:rPr>
              <w:t xml:space="preserve"> year-on-year</w:t>
            </w:r>
            <w:r w:rsidR="0039398D" w:rsidRPr="008D73E0">
              <w:rPr>
                <w:lang w:val="en-GB"/>
              </w:rPr>
              <w:t xml:space="preserve">, </w:t>
            </w:r>
            <w:r w:rsidR="006B7795" w:rsidRPr="008D73E0">
              <w:rPr>
                <w:lang w:val="en-GB"/>
              </w:rPr>
              <w:t xml:space="preserve">which is however affected by weak comparative period and similarly import expanded by </w:t>
            </w:r>
            <w:r w:rsidR="0039398D" w:rsidRPr="008D73E0">
              <w:rPr>
                <w:lang w:val="en-GB"/>
              </w:rPr>
              <w:t>31</w:t>
            </w:r>
            <w:r w:rsidR="006B7795" w:rsidRPr="008D73E0">
              <w:rPr>
                <w:lang w:val="en-GB"/>
              </w:rPr>
              <w:t>.</w:t>
            </w:r>
            <w:r w:rsidR="0039398D" w:rsidRPr="008D73E0">
              <w:rPr>
                <w:lang w:val="en-GB"/>
              </w:rPr>
              <w:t xml:space="preserve">3%. </w:t>
            </w:r>
            <w:r w:rsidR="006B7795" w:rsidRPr="008D73E0">
              <w:rPr>
                <w:lang w:val="en-GB"/>
              </w:rPr>
              <w:t xml:space="preserve">The foreign trade balance was gauged at surplus of </w:t>
            </w:r>
            <w:r w:rsidR="0039398D" w:rsidRPr="008D73E0">
              <w:rPr>
                <w:lang w:val="en-GB"/>
              </w:rPr>
              <w:t>56</w:t>
            </w:r>
            <w:r w:rsidR="006B7795" w:rsidRPr="008D73E0">
              <w:rPr>
                <w:lang w:val="en-GB"/>
              </w:rPr>
              <w:t>.</w:t>
            </w:r>
            <w:r w:rsidR="0039398D" w:rsidRPr="008D73E0">
              <w:rPr>
                <w:lang w:val="en-GB"/>
              </w:rPr>
              <w:t>3</w:t>
            </w:r>
            <w:r w:rsidR="006B7795" w:rsidRPr="008D73E0">
              <w:rPr>
                <w:lang w:val="en-GB"/>
              </w:rPr>
              <w:t xml:space="preserve"> CZK bn in Q2</w:t>
            </w:r>
            <w:r w:rsidR="0039398D" w:rsidRPr="008D73E0">
              <w:rPr>
                <w:lang w:val="en-GB"/>
              </w:rPr>
              <w:t>,</w:t>
            </w:r>
            <w:r w:rsidR="006B7795" w:rsidRPr="008D73E0">
              <w:rPr>
                <w:lang w:val="en-GB"/>
              </w:rPr>
              <w:t xml:space="preserve"> </w:t>
            </w:r>
            <w:r w:rsidR="00A63235" w:rsidRPr="008D73E0">
              <w:rPr>
                <w:lang w:val="en-GB"/>
              </w:rPr>
              <w:t xml:space="preserve">which is by </w:t>
            </w:r>
            <w:r w:rsidR="0039398D" w:rsidRPr="008D73E0">
              <w:rPr>
                <w:lang w:val="en-GB"/>
              </w:rPr>
              <w:t>15</w:t>
            </w:r>
            <w:r w:rsidR="000D1BD6">
              <w:rPr>
                <w:lang w:val="en-GB"/>
              </w:rPr>
              <w:t>.</w:t>
            </w:r>
            <w:r w:rsidR="0039398D" w:rsidRPr="008D73E0">
              <w:rPr>
                <w:lang w:val="en-GB"/>
              </w:rPr>
              <w:t>0 </w:t>
            </w:r>
            <w:r w:rsidR="00A63235" w:rsidRPr="008D73E0">
              <w:rPr>
                <w:lang w:val="en-GB"/>
              </w:rPr>
              <w:t>bn better result year-on-year</w:t>
            </w:r>
            <w:r w:rsidR="008D73E0" w:rsidRPr="008D73E0">
              <w:rPr>
                <w:lang w:val="en-GB"/>
              </w:rPr>
              <w:t xml:space="preserve">, thus the resulting contribution of foreign demand to the year-on-year GDP growth reached </w:t>
            </w:r>
            <w:r w:rsidR="0039398D" w:rsidRPr="008D73E0">
              <w:rPr>
                <w:lang w:val="en-GB"/>
              </w:rPr>
              <w:t>4</w:t>
            </w:r>
            <w:r w:rsidR="008D73E0" w:rsidRPr="008D73E0">
              <w:rPr>
                <w:lang w:val="en-GB"/>
              </w:rPr>
              <w:t>.</w:t>
            </w:r>
            <w:r w:rsidR="0039398D" w:rsidRPr="008D73E0">
              <w:rPr>
                <w:lang w:val="en-GB"/>
              </w:rPr>
              <w:t>8 p.</w:t>
            </w:r>
            <w:r w:rsidR="008D73E0" w:rsidRPr="008D73E0">
              <w:rPr>
                <w:lang w:val="en-GB"/>
              </w:rPr>
              <w:t>p.</w:t>
            </w:r>
            <w:r w:rsidR="0039398D" w:rsidRPr="008D73E0">
              <w:rPr>
                <w:lang w:val="en-GB"/>
              </w:rPr>
              <w:t xml:space="preserve"> </w:t>
            </w:r>
            <w:r w:rsidR="00914374" w:rsidRPr="008D73E0">
              <w:rPr>
                <w:lang w:val="en-GB"/>
              </w:rPr>
              <w:t>With the exception of the last year’s Q</w:t>
            </w:r>
            <w:r w:rsidR="0039398D" w:rsidRPr="008D73E0">
              <w:rPr>
                <w:lang w:val="en-GB"/>
              </w:rPr>
              <w:t>2</w:t>
            </w:r>
            <w:r w:rsidR="00914374" w:rsidRPr="008D73E0">
              <w:rPr>
                <w:lang w:val="en-GB"/>
              </w:rPr>
              <w:t xml:space="preserve">, it represents </w:t>
            </w:r>
            <w:r w:rsidR="008A2091" w:rsidRPr="008D73E0">
              <w:rPr>
                <w:lang w:val="en-GB"/>
              </w:rPr>
              <w:t>the weakest surplus since Q</w:t>
            </w:r>
            <w:r w:rsidR="0039398D" w:rsidRPr="008D73E0">
              <w:rPr>
                <w:lang w:val="en-GB"/>
              </w:rPr>
              <w:t>2</w:t>
            </w:r>
            <w:r w:rsidR="008A2091" w:rsidRPr="008D73E0">
              <w:rPr>
                <w:lang w:val="en-GB"/>
              </w:rPr>
              <w:t xml:space="preserve"> </w:t>
            </w:r>
            <w:r w:rsidR="0039398D" w:rsidRPr="008D73E0">
              <w:rPr>
                <w:lang w:val="en-GB"/>
              </w:rPr>
              <w:t>2015.</w:t>
            </w:r>
            <w:r w:rsidR="0033794E" w:rsidRPr="008D73E0">
              <w:rPr>
                <w:lang w:val="en-GB"/>
              </w:rPr>
              <w:t xml:space="preserve"> </w:t>
            </w:r>
            <w:r w:rsidR="0033794E" w:rsidRPr="008D73E0">
              <w:rPr>
                <w:lang w:val="en-GB"/>
              </w:rPr>
              <w:lastRenderedPageBreak/>
              <w:t>Surplus of trade with goods</w:t>
            </w:r>
            <w:r w:rsidR="008D73E0" w:rsidRPr="008D73E0">
              <w:rPr>
                <w:lang w:val="en-GB"/>
              </w:rPr>
              <w:t xml:space="preserve"> </w:t>
            </w:r>
            <w:r w:rsidR="0039398D" w:rsidRPr="008D73E0">
              <w:rPr>
                <w:lang w:val="en-GB"/>
              </w:rPr>
              <w:t>(+10</w:t>
            </w:r>
            <w:r w:rsidR="008D73E0" w:rsidRPr="008D73E0">
              <w:rPr>
                <w:lang w:val="en-GB"/>
              </w:rPr>
              <w:t>.</w:t>
            </w:r>
            <w:r w:rsidR="0039398D" w:rsidRPr="008D73E0">
              <w:rPr>
                <w:lang w:val="en-GB"/>
              </w:rPr>
              <w:t>8</w:t>
            </w:r>
            <w:r w:rsidR="008D73E0" w:rsidRPr="008D73E0">
              <w:rPr>
                <w:lang w:val="en-GB"/>
              </w:rPr>
              <w:t xml:space="preserve"> CZK bn</w:t>
            </w:r>
            <w:r w:rsidR="0039398D" w:rsidRPr="008D73E0">
              <w:rPr>
                <w:lang w:val="en-GB"/>
              </w:rPr>
              <w:t xml:space="preserve">) </w:t>
            </w:r>
            <w:r w:rsidR="008D73E0" w:rsidRPr="008D73E0">
              <w:rPr>
                <w:lang w:val="en-GB"/>
              </w:rPr>
              <w:t xml:space="preserve">as well as services </w:t>
            </w:r>
            <w:r w:rsidR="0039398D" w:rsidRPr="008D73E0">
              <w:rPr>
                <w:lang w:val="en-GB"/>
              </w:rPr>
              <w:t>(+4</w:t>
            </w:r>
            <w:r w:rsidR="008D73E0" w:rsidRPr="008D73E0">
              <w:rPr>
                <w:lang w:val="en-GB"/>
              </w:rPr>
              <w:t>.</w:t>
            </w:r>
            <w:r w:rsidR="0039398D" w:rsidRPr="008D73E0">
              <w:rPr>
                <w:lang w:val="en-GB"/>
              </w:rPr>
              <w:t>2</w:t>
            </w:r>
            <w:r w:rsidR="008D73E0" w:rsidRPr="008D73E0">
              <w:rPr>
                <w:lang w:val="en-GB"/>
              </w:rPr>
              <w:t xml:space="preserve"> bn</w:t>
            </w:r>
            <w:r w:rsidR="0039398D" w:rsidRPr="008D73E0">
              <w:rPr>
                <w:lang w:val="en-GB"/>
              </w:rPr>
              <w:t>)</w:t>
            </w:r>
            <w:r w:rsidR="0033794E" w:rsidRPr="008D73E0">
              <w:rPr>
                <w:lang w:val="en-GB"/>
              </w:rPr>
              <w:t xml:space="preserve"> improved</w:t>
            </w:r>
            <w:r w:rsidR="0039398D" w:rsidRPr="008D73E0">
              <w:rPr>
                <w:lang w:val="en-GB"/>
              </w:rPr>
              <w:t xml:space="preserve">, </w:t>
            </w:r>
            <w:r w:rsidR="0033794E" w:rsidRPr="008D73E0">
              <w:rPr>
                <w:lang w:val="en-GB"/>
              </w:rPr>
              <w:t xml:space="preserve">but the value of </w:t>
            </w:r>
            <w:r w:rsidR="0039398D" w:rsidRPr="008D73E0">
              <w:rPr>
                <w:lang w:val="en-GB"/>
              </w:rPr>
              <w:t>30</w:t>
            </w:r>
            <w:r w:rsidR="0033794E" w:rsidRPr="008D73E0">
              <w:rPr>
                <w:lang w:val="en-GB"/>
              </w:rPr>
              <w:t>.</w:t>
            </w:r>
            <w:r w:rsidR="0039398D" w:rsidRPr="008D73E0">
              <w:rPr>
                <w:lang w:val="en-GB"/>
              </w:rPr>
              <w:t>2</w:t>
            </w:r>
            <w:r w:rsidR="0033794E" w:rsidRPr="008D73E0">
              <w:rPr>
                <w:lang w:val="en-GB"/>
              </w:rPr>
              <w:t xml:space="preserve"> bn for the trade balance with goods was apart from the last year’s Q2 the worst since Q</w:t>
            </w:r>
            <w:r w:rsidR="0039398D" w:rsidRPr="008D73E0">
              <w:rPr>
                <w:lang w:val="en-GB"/>
              </w:rPr>
              <w:t>4</w:t>
            </w:r>
            <w:r w:rsidR="0033794E" w:rsidRPr="008D73E0">
              <w:rPr>
                <w:lang w:val="en-GB"/>
              </w:rPr>
              <w:t xml:space="preserve"> </w:t>
            </w:r>
            <w:r w:rsidR="0039398D" w:rsidRPr="008D73E0">
              <w:rPr>
                <w:lang w:val="en-GB"/>
              </w:rPr>
              <w:t>2012.</w:t>
            </w:r>
          </w:p>
        </w:tc>
      </w:tr>
      <w:tr w:rsidR="0039398D" w:rsidRPr="009110F7" w14:paraId="710C72D5" w14:textId="77777777" w:rsidTr="00AF7277">
        <w:trPr>
          <w:trHeight w:val="145"/>
        </w:trPr>
        <w:tc>
          <w:tcPr>
            <w:tcW w:w="1806" w:type="dxa"/>
            <w:shd w:val="clear" w:color="auto" w:fill="auto"/>
            <w:tcMar>
              <w:left w:w="0" w:type="dxa"/>
            </w:tcMar>
          </w:tcPr>
          <w:p w14:paraId="73E994E8" w14:textId="196452D4" w:rsidR="0039398D" w:rsidRPr="004D363B" w:rsidRDefault="004D363B" w:rsidP="00AF7277">
            <w:pPr>
              <w:pStyle w:val="Marginlie"/>
              <w:rPr>
                <w:lang w:val="en-GB"/>
              </w:rPr>
            </w:pPr>
            <w:r w:rsidRPr="004D363B">
              <w:rPr>
                <w:lang w:val="en-GB"/>
              </w:rPr>
              <w:lastRenderedPageBreak/>
              <w:t xml:space="preserve">Easing of restrictions in trade and services aided the quarter-on-quarter growth of the gross value added. </w:t>
            </w:r>
          </w:p>
        </w:tc>
        <w:tc>
          <w:tcPr>
            <w:tcW w:w="223" w:type="dxa"/>
            <w:shd w:val="clear" w:color="auto" w:fill="auto"/>
            <w:tcMar>
              <w:left w:w="0" w:type="dxa"/>
            </w:tcMar>
          </w:tcPr>
          <w:p w14:paraId="63028C01" w14:textId="77777777" w:rsidR="0039398D" w:rsidRDefault="0039398D" w:rsidP="00AF7277">
            <w:pPr>
              <w:pStyle w:val="Textpoznpodarou"/>
              <w:jc w:val="both"/>
              <w:rPr>
                <w:spacing w:val="-4"/>
              </w:rPr>
            </w:pPr>
          </w:p>
        </w:tc>
        <w:tc>
          <w:tcPr>
            <w:tcW w:w="7610" w:type="dxa"/>
            <w:shd w:val="clear" w:color="auto" w:fill="auto"/>
            <w:tcMar>
              <w:left w:w="0" w:type="dxa"/>
            </w:tcMar>
          </w:tcPr>
          <w:p w14:paraId="73C1E8CA" w14:textId="63493B9B" w:rsidR="0039398D" w:rsidRPr="008D73E0" w:rsidRDefault="007B4016" w:rsidP="00AF7277">
            <w:pPr>
              <w:rPr>
                <w:lang w:val="en-GB"/>
              </w:rPr>
            </w:pPr>
            <w:r w:rsidRPr="008D73E0">
              <w:rPr>
                <w:lang w:val="en-GB"/>
              </w:rPr>
              <w:t xml:space="preserve">The Gross value added </w:t>
            </w:r>
            <w:r w:rsidR="0039398D" w:rsidRPr="008D73E0">
              <w:rPr>
                <w:lang w:val="en-GB"/>
              </w:rPr>
              <w:t>(</w:t>
            </w:r>
            <w:r w:rsidRPr="008D73E0">
              <w:rPr>
                <w:lang w:val="en-GB"/>
              </w:rPr>
              <w:t>GVA</w:t>
            </w:r>
            <w:r w:rsidR="0039398D" w:rsidRPr="008D73E0">
              <w:rPr>
                <w:lang w:val="en-GB"/>
              </w:rPr>
              <w:t xml:space="preserve">) </w:t>
            </w:r>
            <w:r w:rsidRPr="008D73E0">
              <w:rPr>
                <w:lang w:val="en-GB"/>
              </w:rPr>
              <w:t>increased by 0.7% quarter-on-quarter in Q</w:t>
            </w:r>
            <w:r w:rsidR="0039398D" w:rsidRPr="008D73E0">
              <w:rPr>
                <w:lang w:val="en-GB"/>
              </w:rPr>
              <w:t>2</w:t>
            </w:r>
            <w:r w:rsidR="00EB3B2B" w:rsidRPr="008D73E0">
              <w:rPr>
                <w:lang w:val="en-GB"/>
              </w:rPr>
              <w:t xml:space="preserve">. </w:t>
            </w:r>
            <w:r w:rsidR="00462CCB" w:rsidRPr="008D73E0">
              <w:rPr>
                <w:lang w:val="en-GB"/>
              </w:rPr>
              <w:t>The performance of majority of branches improved compared to Q</w:t>
            </w:r>
            <w:r w:rsidR="0039398D" w:rsidRPr="008D73E0">
              <w:rPr>
                <w:lang w:val="en-GB"/>
              </w:rPr>
              <w:t>1</w:t>
            </w:r>
            <w:r w:rsidR="00462CCB" w:rsidRPr="008D73E0">
              <w:rPr>
                <w:lang w:val="en-GB"/>
              </w:rPr>
              <w:t xml:space="preserve">, except for agriculture </w:t>
            </w:r>
            <w:r w:rsidR="0039398D" w:rsidRPr="008D73E0">
              <w:rPr>
                <w:lang w:val="en-GB"/>
              </w:rPr>
              <w:t xml:space="preserve"> </w:t>
            </w:r>
            <w:r w:rsidR="0039398D" w:rsidRPr="008D73E0">
              <w:rPr>
                <w:lang w:val="en-GB"/>
              </w:rPr>
              <w:br/>
              <w:t>(–3</w:t>
            </w:r>
            <w:r w:rsidR="00462CCB" w:rsidRPr="008D73E0">
              <w:rPr>
                <w:lang w:val="en-GB"/>
              </w:rPr>
              <w:t>.</w:t>
            </w:r>
            <w:r w:rsidR="0039398D" w:rsidRPr="008D73E0">
              <w:rPr>
                <w:lang w:val="en-GB"/>
              </w:rPr>
              <w:t>1%),</w:t>
            </w:r>
            <w:r w:rsidR="00462CCB" w:rsidRPr="008D73E0">
              <w:rPr>
                <w:lang w:val="en-GB"/>
              </w:rPr>
              <w:t xml:space="preserve"> financial and insurance activities </w:t>
            </w:r>
            <w:r w:rsidR="0039398D" w:rsidRPr="008D73E0">
              <w:rPr>
                <w:lang w:val="en-GB"/>
              </w:rPr>
              <w:t>(–2</w:t>
            </w:r>
            <w:r w:rsidR="00462CCB" w:rsidRPr="008D73E0">
              <w:rPr>
                <w:lang w:val="en-GB"/>
              </w:rPr>
              <w:t>.</w:t>
            </w:r>
            <w:r w:rsidR="0039398D" w:rsidRPr="008D73E0">
              <w:rPr>
                <w:lang w:val="en-GB"/>
              </w:rPr>
              <w:t>2%)</w:t>
            </w:r>
            <w:r w:rsidR="00462CCB" w:rsidRPr="008D73E0">
              <w:rPr>
                <w:lang w:val="en-GB"/>
              </w:rPr>
              <w:t xml:space="preserve"> and real estate activities </w:t>
            </w:r>
            <w:r w:rsidR="0039398D" w:rsidRPr="008D73E0">
              <w:rPr>
                <w:lang w:val="en-GB"/>
              </w:rPr>
              <w:br/>
              <w:t>(–1</w:t>
            </w:r>
            <w:r w:rsidR="00462CCB" w:rsidRPr="008D73E0">
              <w:rPr>
                <w:lang w:val="en-GB"/>
              </w:rPr>
              <w:t>.</w:t>
            </w:r>
            <w:r w:rsidR="0039398D" w:rsidRPr="008D73E0">
              <w:rPr>
                <w:lang w:val="en-GB"/>
              </w:rPr>
              <w:t>2%).</w:t>
            </w:r>
            <w:r w:rsidR="00FB1135" w:rsidRPr="008D73E0">
              <w:rPr>
                <w:lang w:val="en-GB"/>
              </w:rPr>
              <w:t xml:space="preserve"> Group</w:t>
            </w:r>
            <w:r w:rsidR="00754962" w:rsidRPr="008D73E0">
              <w:rPr>
                <w:lang w:val="en-GB"/>
              </w:rPr>
              <w:t xml:space="preserve"> of activities </w:t>
            </w:r>
            <w:r w:rsidR="00FB1135" w:rsidRPr="008D73E0">
              <w:rPr>
                <w:lang w:val="en-GB"/>
              </w:rPr>
              <w:t>trade, transportation, accommodati</w:t>
            </w:r>
            <w:r w:rsidR="00E5748E">
              <w:rPr>
                <w:lang w:val="en-GB"/>
              </w:rPr>
              <w:t>on</w:t>
            </w:r>
            <w:r w:rsidR="00FB1135" w:rsidRPr="008D73E0">
              <w:rPr>
                <w:lang w:val="en-GB"/>
              </w:rPr>
              <w:t xml:space="preserve"> and food service </w:t>
            </w:r>
            <w:r w:rsidR="0039398D" w:rsidRPr="008D73E0">
              <w:rPr>
                <w:lang w:val="en-GB"/>
              </w:rPr>
              <w:t>(3</w:t>
            </w:r>
            <w:r w:rsidR="00FB1135" w:rsidRPr="008D73E0">
              <w:rPr>
                <w:lang w:val="en-GB"/>
              </w:rPr>
              <w:t>.</w:t>
            </w:r>
            <w:r w:rsidR="0039398D" w:rsidRPr="008D73E0">
              <w:rPr>
                <w:lang w:val="en-GB"/>
              </w:rPr>
              <w:t>5%)</w:t>
            </w:r>
            <w:r w:rsidR="00FB1135" w:rsidRPr="008D73E0">
              <w:rPr>
                <w:lang w:val="en-GB"/>
              </w:rPr>
              <w:t xml:space="preserve"> in contrast recorded marked quarter-on-quarter revival</w:t>
            </w:r>
            <w:r w:rsidR="0039398D" w:rsidRPr="008D73E0">
              <w:rPr>
                <w:lang w:val="en-GB"/>
              </w:rPr>
              <w:t xml:space="preserve">, </w:t>
            </w:r>
            <w:r w:rsidR="00FB1135" w:rsidRPr="008D73E0">
              <w:rPr>
                <w:lang w:val="en-GB"/>
              </w:rPr>
              <w:t>benefiting notably from loosening of the counter pandemic restrictions.</w:t>
            </w:r>
            <w:r w:rsidR="00B45872" w:rsidRPr="008D73E0">
              <w:rPr>
                <w:lang w:val="en-GB"/>
              </w:rPr>
              <w:t xml:space="preserve"> Other services branches attained smaller additions – professional, scientific, technical and administrative activities and branches with the dominance of the government sector increased similarly by 0.8%</w:t>
            </w:r>
            <w:r w:rsidR="0039398D" w:rsidRPr="008D73E0">
              <w:rPr>
                <w:lang w:val="en-GB"/>
              </w:rPr>
              <w:t>,</w:t>
            </w:r>
            <w:r w:rsidR="00B45872" w:rsidRPr="008D73E0">
              <w:rPr>
                <w:lang w:val="en-GB"/>
              </w:rPr>
              <w:t xml:space="preserve"> information and communication mildly grew </w:t>
            </w:r>
            <w:r w:rsidR="0039398D" w:rsidRPr="008D73E0">
              <w:rPr>
                <w:lang w:val="en-GB"/>
              </w:rPr>
              <w:t>(0</w:t>
            </w:r>
            <w:r w:rsidR="00B45872" w:rsidRPr="008D73E0">
              <w:rPr>
                <w:lang w:val="en-GB"/>
              </w:rPr>
              <w:t>.</w:t>
            </w:r>
            <w:r w:rsidR="0039398D" w:rsidRPr="008D73E0">
              <w:rPr>
                <w:lang w:val="en-GB"/>
              </w:rPr>
              <w:t>3%)</w:t>
            </w:r>
            <w:r w:rsidR="00B45872" w:rsidRPr="008D73E0">
              <w:rPr>
                <w:lang w:val="en-GB"/>
              </w:rPr>
              <w:t xml:space="preserve"> and other activities stagnated </w:t>
            </w:r>
            <w:r w:rsidR="0039398D" w:rsidRPr="008D73E0">
              <w:rPr>
                <w:lang w:val="en-GB"/>
              </w:rPr>
              <w:t>(0</w:t>
            </w:r>
            <w:r w:rsidR="00B45872" w:rsidRPr="008D73E0">
              <w:rPr>
                <w:lang w:val="en-GB"/>
              </w:rPr>
              <w:t>.</w:t>
            </w:r>
            <w:r w:rsidR="0039398D" w:rsidRPr="008D73E0">
              <w:rPr>
                <w:lang w:val="en-GB"/>
              </w:rPr>
              <w:t xml:space="preserve">1%). </w:t>
            </w:r>
            <w:r w:rsidR="009252B6" w:rsidRPr="008D73E0">
              <w:rPr>
                <w:lang w:val="en-GB"/>
              </w:rPr>
              <w:t xml:space="preserve">Manufacturing, which faced difficulties resulting from the disruption of the supply chains, increased by </w:t>
            </w:r>
            <w:r w:rsidR="0039398D" w:rsidRPr="008D73E0">
              <w:rPr>
                <w:lang w:val="en-GB"/>
              </w:rPr>
              <w:t>1</w:t>
            </w:r>
            <w:r w:rsidR="009252B6" w:rsidRPr="008D73E0">
              <w:rPr>
                <w:lang w:val="en-GB"/>
              </w:rPr>
              <w:t>.</w:t>
            </w:r>
            <w:r w:rsidR="0039398D" w:rsidRPr="008D73E0">
              <w:rPr>
                <w:lang w:val="en-GB"/>
              </w:rPr>
              <w:t>1%</w:t>
            </w:r>
            <w:r w:rsidR="009252B6" w:rsidRPr="008D73E0">
              <w:rPr>
                <w:lang w:val="en-GB"/>
              </w:rPr>
              <w:t xml:space="preserve"> in the end</w:t>
            </w:r>
            <w:r w:rsidR="0039398D" w:rsidRPr="008D73E0">
              <w:rPr>
                <w:lang w:val="en-GB"/>
              </w:rPr>
              <w:t xml:space="preserve">. </w:t>
            </w:r>
            <w:r w:rsidR="009252B6" w:rsidRPr="008D73E0">
              <w:rPr>
                <w:lang w:val="en-GB"/>
              </w:rPr>
              <w:t xml:space="preserve">The GVA also moderately grew in construction </w:t>
            </w:r>
            <w:r w:rsidR="0039398D" w:rsidRPr="008D73E0">
              <w:rPr>
                <w:lang w:val="en-GB"/>
              </w:rPr>
              <w:t>(0</w:t>
            </w:r>
            <w:r w:rsidR="009252B6" w:rsidRPr="008D73E0">
              <w:rPr>
                <w:lang w:val="en-GB"/>
              </w:rPr>
              <w:t>.</w:t>
            </w:r>
            <w:r w:rsidR="0039398D" w:rsidRPr="008D73E0">
              <w:rPr>
                <w:lang w:val="en-GB"/>
              </w:rPr>
              <w:t>5%).</w:t>
            </w:r>
          </w:p>
        </w:tc>
      </w:tr>
      <w:tr w:rsidR="0039398D" w:rsidRPr="009110F7" w14:paraId="3CDDF3B9" w14:textId="77777777" w:rsidTr="00AF7277">
        <w:trPr>
          <w:trHeight w:val="145"/>
        </w:trPr>
        <w:tc>
          <w:tcPr>
            <w:tcW w:w="1806" w:type="dxa"/>
            <w:shd w:val="clear" w:color="auto" w:fill="auto"/>
            <w:tcMar>
              <w:left w:w="0" w:type="dxa"/>
            </w:tcMar>
          </w:tcPr>
          <w:p w14:paraId="059E537D" w14:textId="05BDFD08" w:rsidR="0039398D" w:rsidRPr="00EB4B8C" w:rsidRDefault="00EB4B8C" w:rsidP="00AF7277">
            <w:pPr>
              <w:pStyle w:val="Marginlie"/>
              <w:rPr>
                <w:lang w:val="en-GB"/>
              </w:rPr>
            </w:pPr>
            <w:r w:rsidRPr="00EB4B8C">
              <w:rPr>
                <w:lang w:val="en-GB"/>
              </w:rPr>
              <w:t xml:space="preserve">Year-on-year GVA increase was affected mainly by the low comparative basis of the last year. </w:t>
            </w:r>
          </w:p>
        </w:tc>
        <w:tc>
          <w:tcPr>
            <w:tcW w:w="223" w:type="dxa"/>
            <w:shd w:val="clear" w:color="auto" w:fill="auto"/>
            <w:tcMar>
              <w:left w:w="0" w:type="dxa"/>
            </w:tcMar>
          </w:tcPr>
          <w:p w14:paraId="25F58A80" w14:textId="77777777" w:rsidR="0039398D" w:rsidRDefault="0039398D" w:rsidP="00AF7277">
            <w:pPr>
              <w:pStyle w:val="Textpoznpodarou"/>
              <w:jc w:val="both"/>
              <w:rPr>
                <w:spacing w:val="-4"/>
              </w:rPr>
            </w:pPr>
          </w:p>
        </w:tc>
        <w:tc>
          <w:tcPr>
            <w:tcW w:w="7610" w:type="dxa"/>
            <w:shd w:val="clear" w:color="auto" w:fill="auto"/>
            <w:tcMar>
              <w:left w:w="0" w:type="dxa"/>
            </w:tcMar>
          </w:tcPr>
          <w:p w14:paraId="0CB0047D" w14:textId="77777777" w:rsidR="0039398D" w:rsidRDefault="00055703" w:rsidP="0069478C">
            <w:pPr>
              <w:spacing w:after="0"/>
              <w:rPr>
                <w:lang w:val="en-GB"/>
              </w:rPr>
            </w:pPr>
            <w:r>
              <w:rPr>
                <w:lang w:val="en-GB"/>
              </w:rPr>
              <w:t xml:space="preserve">The gross value added was by </w:t>
            </w:r>
            <w:r w:rsidR="0039398D" w:rsidRPr="004D363B">
              <w:rPr>
                <w:lang w:val="en-GB"/>
              </w:rPr>
              <w:t>8</w:t>
            </w:r>
            <w:r>
              <w:rPr>
                <w:lang w:val="en-GB"/>
              </w:rPr>
              <w:t>.</w:t>
            </w:r>
            <w:r w:rsidR="0039398D" w:rsidRPr="004D363B">
              <w:rPr>
                <w:lang w:val="en-GB"/>
              </w:rPr>
              <w:t>4%</w:t>
            </w:r>
            <w:r>
              <w:rPr>
                <w:lang w:val="en-GB"/>
              </w:rPr>
              <w:t xml:space="preserve"> year-on-year</w:t>
            </w:r>
            <w:r w:rsidR="0039398D" w:rsidRPr="004D363B">
              <w:rPr>
                <w:lang w:val="en-GB"/>
              </w:rPr>
              <w:t>.</w:t>
            </w:r>
            <w:r>
              <w:rPr>
                <w:lang w:val="en-GB"/>
              </w:rPr>
              <w:t xml:space="preserve"> Strong increase was of course affected by the low comparative basis and was also valid for individual branches. </w:t>
            </w:r>
            <w:r w:rsidR="002A5D3C">
              <w:rPr>
                <w:lang w:val="en-GB"/>
              </w:rPr>
              <w:t xml:space="preserve">Year-on-year </w:t>
            </w:r>
            <w:r w:rsidR="002A5D3C" w:rsidRPr="002A5D3C">
              <w:rPr>
                <w:lang w:val="en-GB"/>
              </w:rPr>
              <w:t xml:space="preserve">GVA increase in manufacturing of </w:t>
            </w:r>
            <w:r w:rsidR="0039398D" w:rsidRPr="002A5D3C">
              <w:rPr>
                <w:lang w:val="en-GB"/>
              </w:rPr>
              <w:t>23</w:t>
            </w:r>
            <w:r w:rsidR="002A5D3C" w:rsidRPr="002A5D3C">
              <w:rPr>
                <w:lang w:val="en-GB"/>
              </w:rPr>
              <w:t>.</w:t>
            </w:r>
            <w:r w:rsidR="0039398D" w:rsidRPr="002A5D3C">
              <w:rPr>
                <w:lang w:val="en-GB"/>
              </w:rPr>
              <w:t>2%</w:t>
            </w:r>
            <w:r w:rsidR="002A5D3C" w:rsidRPr="002A5D3C">
              <w:rPr>
                <w:lang w:val="en-GB"/>
              </w:rPr>
              <w:t xml:space="preserve"> is thus to a large part connected to the last year’s halt of operations in part of industry</w:t>
            </w:r>
            <w:r w:rsidR="0039398D" w:rsidRPr="002A5D3C">
              <w:rPr>
                <w:lang w:val="en-GB"/>
              </w:rPr>
              <w:t xml:space="preserve">, </w:t>
            </w:r>
            <w:r w:rsidR="00C77569" w:rsidRPr="002A5D3C">
              <w:rPr>
                <w:lang w:val="en-GB"/>
              </w:rPr>
              <w:t xml:space="preserve">the </w:t>
            </w:r>
            <w:r w:rsidR="002A5D3C" w:rsidRPr="002A5D3C">
              <w:rPr>
                <w:lang w:val="en-GB"/>
              </w:rPr>
              <w:t>branch</w:t>
            </w:r>
            <w:r w:rsidR="00C77569" w:rsidRPr="002A5D3C">
              <w:rPr>
                <w:lang w:val="en-GB"/>
              </w:rPr>
              <w:t xml:space="preserve"> however </w:t>
            </w:r>
            <w:r w:rsidR="002A5D3C" w:rsidRPr="002A5D3C">
              <w:rPr>
                <w:lang w:val="en-GB"/>
              </w:rPr>
              <w:t>lagged</w:t>
            </w:r>
            <w:r w:rsidR="00C77569" w:rsidRPr="002A5D3C">
              <w:rPr>
                <w:lang w:val="en-GB"/>
              </w:rPr>
              <w:t xml:space="preserve"> behind for example level of Q</w:t>
            </w:r>
            <w:r w:rsidR="0039398D" w:rsidRPr="002A5D3C">
              <w:rPr>
                <w:lang w:val="en-GB"/>
              </w:rPr>
              <w:t>2</w:t>
            </w:r>
            <w:r w:rsidR="00C77569" w:rsidRPr="002A5D3C">
              <w:rPr>
                <w:lang w:val="en-GB"/>
              </w:rPr>
              <w:t xml:space="preserve"> </w:t>
            </w:r>
            <w:r w:rsidR="0039398D" w:rsidRPr="002A5D3C">
              <w:rPr>
                <w:lang w:val="en-GB"/>
              </w:rPr>
              <w:t xml:space="preserve">2019. </w:t>
            </w:r>
            <w:r w:rsidR="00EF3C97">
              <w:rPr>
                <w:lang w:val="en-GB"/>
              </w:rPr>
              <w:t>Group</w:t>
            </w:r>
            <w:r w:rsidR="00754962">
              <w:rPr>
                <w:lang w:val="en-GB"/>
              </w:rPr>
              <w:t xml:space="preserve"> of activities </w:t>
            </w:r>
            <w:r w:rsidR="00EF3C97">
              <w:rPr>
                <w:lang w:val="en-GB"/>
              </w:rPr>
              <w:t xml:space="preserve">trade, transportation, accommodation and food service, whose GVA was by </w:t>
            </w:r>
            <w:r w:rsidR="0039398D" w:rsidRPr="002A5D3C">
              <w:rPr>
                <w:lang w:val="en-GB"/>
              </w:rPr>
              <w:t>9</w:t>
            </w:r>
            <w:r w:rsidR="00EF3C97">
              <w:rPr>
                <w:lang w:val="en-GB"/>
              </w:rPr>
              <w:t>.</w:t>
            </w:r>
            <w:r w:rsidR="0039398D" w:rsidRPr="002A5D3C">
              <w:rPr>
                <w:lang w:val="en-GB"/>
              </w:rPr>
              <w:t>4%</w:t>
            </w:r>
            <w:r w:rsidR="00EF3C97">
              <w:rPr>
                <w:lang w:val="en-GB"/>
              </w:rPr>
              <w:t xml:space="preserve"> higher, i</w:t>
            </w:r>
            <w:r w:rsidR="0069478C">
              <w:rPr>
                <w:lang w:val="en-GB"/>
              </w:rPr>
              <w:t>s in a similar situation</w:t>
            </w:r>
            <w:r w:rsidR="0039398D" w:rsidRPr="002A5D3C">
              <w:rPr>
                <w:lang w:val="en-GB"/>
              </w:rPr>
              <w:t xml:space="preserve">. </w:t>
            </w:r>
            <w:r w:rsidR="0069478C">
              <w:rPr>
                <w:lang w:val="en-GB"/>
              </w:rPr>
              <w:t xml:space="preserve">Financial and insurance activities </w:t>
            </w:r>
            <w:r w:rsidR="0039398D" w:rsidRPr="002A5D3C">
              <w:rPr>
                <w:lang w:val="en-GB"/>
              </w:rPr>
              <w:t>(6</w:t>
            </w:r>
            <w:r w:rsidR="0069478C">
              <w:rPr>
                <w:lang w:val="en-GB"/>
              </w:rPr>
              <w:t>.</w:t>
            </w:r>
            <w:r w:rsidR="0039398D" w:rsidRPr="002A5D3C">
              <w:rPr>
                <w:lang w:val="en-GB"/>
              </w:rPr>
              <w:t>6%), o</w:t>
            </w:r>
            <w:r w:rsidR="0069478C">
              <w:rPr>
                <w:lang w:val="en-GB"/>
              </w:rPr>
              <w:t xml:space="preserve">ther activities </w:t>
            </w:r>
            <w:r w:rsidR="0039398D" w:rsidRPr="002A5D3C">
              <w:rPr>
                <w:lang w:val="en-GB"/>
              </w:rPr>
              <w:t>(4</w:t>
            </w:r>
            <w:r w:rsidR="0069478C">
              <w:rPr>
                <w:lang w:val="en-GB"/>
              </w:rPr>
              <w:t>.</w:t>
            </w:r>
            <w:r w:rsidR="0039398D" w:rsidRPr="002A5D3C">
              <w:rPr>
                <w:lang w:val="en-GB"/>
              </w:rPr>
              <w:t>8%),</w:t>
            </w:r>
            <w:r w:rsidR="0069478C">
              <w:rPr>
                <w:lang w:val="en-GB"/>
              </w:rPr>
              <w:t xml:space="preserve"> information and communication </w:t>
            </w:r>
            <w:r w:rsidR="0039398D" w:rsidRPr="002A5D3C">
              <w:rPr>
                <w:lang w:val="en-GB"/>
              </w:rPr>
              <w:t>(4</w:t>
            </w:r>
            <w:r w:rsidR="0069478C">
              <w:rPr>
                <w:lang w:val="en-GB"/>
              </w:rPr>
              <w:t>.</w:t>
            </w:r>
            <w:r w:rsidR="0039398D" w:rsidRPr="002A5D3C">
              <w:rPr>
                <w:lang w:val="en-GB"/>
              </w:rPr>
              <w:t>3%),</w:t>
            </w:r>
            <w:r w:rsidR="0069478C">
              <w:rPr>
                <w:lang w:val="en-GB"/>
              </w:rPr>
              <w:t xml:space="preserve"> </w:t>
            </w:r>
            <w:r w:rsidR="0069478C" w:rsidRPr="0069478C">
              <w:rPr>
                <w:lang w:val="en-GB"/>
              </w:rPr>
              <w:t xml:space="preserve">public </w:t>
            </w:r>
            <w:r w:rsidR="0069478C" w:rsidRPr="0069478C">
              <w:rPr>
                <w:rFonts w:cs="Arial"/>
                <w:szCs w:val="20"/>
                <w:lang w:val="en-GB"/>
              </w:rPr>
              <w:t xml:space="preserve">administration, education, health and social work </w:t>
            </w:r>
            <w:r w:rsidR="0039398D" w:rsidRPr="0069478C">
              <w:rPr>
                <w:lang w:val="en-GB"/>
              </w:rPr>
              <w:t>(4</w:t>
            </w:r>
            <w:r w:rsidR="0069478C" w:rsidRPr="0069478C">
              <w:rPr>
                <w:lang w:val="en-GB"/>
              </w:rPr>
              <w:t>.</w:t>
            </w:r>
            <w:r w:rsidR="0039398D" w:rsidRPr="0069478C">
              <w:rPr>
                <w:lang w:val="en-GB"/>
              </w:rPr>
              <w:t>2%)</w:t>
            </w:r>
            <w:r w:rsidR="0069478C" w:rsidRPr="0069478C">
              <w:rPr>
                <w:lang w:val="en-GB"/>
              </w:rPr>
              <w:t xml:space="preserve"> and agriculture </w:t>
            </w:r>
            <w:r w:rsidR="0039398D" w:rsidRPr="0069478C">
              <w:rPr>
                <w:lang w:val="en-GB"/>
              </w:rPr>
              <w:t>(4</w:t>
            </w:r>
            <w:r w:rsidR="0069478C" w:rsidRPr="0069478C">
              <w:rPr>
                <w:lang w:val="en-GB"/>
              </w:rPr>
              <w:t>.</w:t>
            </w:r>
            <w:r w:rsidR="0039398D" w:rsidRPr="0069478C">
              <w:rPr>
                <w:lang w:val="en-GB"/>
              </w:rPr>
              <w:t>1%)</w:t>
            </w:r>
            <w:r w:rsidR="0069478C" w:rsidRPr="0069478C">
              <w:rPr>
                <w:lang w:val="en-GB"/>
              </w:rPr>
              <w:t xml:space="preserve"> also attained a</w:t>
            </w:r>
            <w:r w:rsidR="0069478C">
              <w:rPr>
                <w:lang w:val="en-GB"/>
              </w:rPr>
              <w:t xml:space="preserve"> solid year-on-year GVA increases</w:t>
            </w:r>
            <w:r w:rsidR="0039398D" w:rsidRPr="002A5D3C">
              <w:rPr>
                <w:lang w:val="en-GB"/>
              </w:rPr>
              <w:t xml:space="preserve">. </w:t>
            </w:r>
            <w:r w:rsidR="00ED649B" w:rsidRPr="002A5D3C">
              <w:rPr>
                <w:lang w:val="en-GB"/>
              </w:rPr>
              <w:t xml:space="preserve">Real estate activities </w:t>
            </w:r>
            <w:r w:rsidR="0039398D" w:rsidRPr="002A5D3C">
              <w:rPr>
                <w:lang w:val="en-GB"/>
              </w:rPr>
              <w:t>(0</w:t>
            </w:r>
            <w:r w:rsidR="00ED649B" w:rsidRPr="002A5D3C">
              <w:rPr>
                <w:lang w:val="en-GB"/>
              </w:rPr>
              <w:t>.</w:t>
            </w:r>
            <w:r w:rsidR="0039398D" w:rsidRPr="002A5D3C">
              <w:rPr>
                <w:lang w:val="en-GB"/>
              </w:rPr>
              <w:t>7%),</w:t>
            </w:r>
            <w:r w:rsidR="00ED649B" w:rsidRPr="002A5D3C">
              <w:rPr>
                <w:lang w:val="en-GB"/>
              </w:rPr>
              <w:t xml:space="preserve"> construction </w:t>
            </w:r>
            <w:r w:rsidR="0039398D" w:rsidRPr="002A5D3C">
              <w:rPr>
                <w:lang w:val="en-GB"/>
              </w:rPr>
              <w:t>(0</w:t>
            </w:r>
            <w:r w:rsidR="00ED649B" w:rsidRPr="002A5D3C">
              <w:rPr>
                <w:lang w:val="en-GB"/>
              </w:rPr>
              <w:t>.</w:t>
            </w:r>
            <w:r w:rsidR="0039398D" w:rsidRPr="002A5D3C">
              <w:rPr>
                <w:lang w:val="en-GB"/>
              </w:rPr>
              <w:t>4%) a</w:t>
            </w:r>
            <w:r w:rsidR="00ED649B" w:rsidRPr="002A5D3C">
              <w:rPr>
                <w:lang w:val="en-GB"/>
              </w:rPr>
              <w:t xml:space="preserve">nd professional, scientific, technical and administrative activities </w:t>
            </w:r>
            <w:r w:rsidR="0039398D" w:rsidRPr="002A5D3C">
              <w:rPr>
                <w:lang w:val="en-GB"/>
              </w:rPr>
              <w:t>(0</w:t>
            </w:r>
            <w:r w:rsidR="00ED649B" w:rsidRPr="002A5D3C">
              <w:rPr>
                <w:lang w:val="en-GB"/>
              </w:rPr>
              <w:t>.</w:t>
            </w:r>
            <w:r w:rsidR="0039398D" w:rsidRPr="002A5D3C">
              <w:rPr>
                <w:lang w:val="en-GB"/>
              </w:rPr>
              <w:t>2%)</w:t>
            </w:r>
            <w:r w:rsidR="00ED649B" w:rsidRPr="002A5D3C">
              <w:rPr>
                <w:lang w:val="en-GB"/>
              </w:rPr>
              <w:t xml:space="preserve"> in contrast only mildly exceeded the level of the last year</w:t>
            </w:r>
            <w:r w:rsidR="0039398D" w:rsidRPr="002A5D3C">
              <w:rPr>
                <w:lang w:val="en-GB"/>
              </w:rPr>
              <w:t>.</w:t>
            </w:r>
          </w:p>
          <w:p w14:paraId="57CF0ACB" w14:textId="1F1F3E91" w:rsidR="00FA7F11" w:rsidRPr="004D363B" w:rsidRDefault="00FA7F11" w:rsidP="0069478C">
            <w:pPr>
              <w:spacing w:after="0"/>
              <w:rPr>
                <w:lang w:val="en-GB"/>
              </w:rPr>
            </w:pPr>
          </w:p>
        </w:tc>
      </w:tr>
      <w:tr w:rsidR="0039398D" w:rsidRPr="009110F7" w14:paraId="19340417" w14:textId="77777777" w:rsidTr="00AF7277">
        <w:trPr>
          <w:trHeight w:val="170"/>
        </w:trPr>
        <w:tc>
          <w:tcPr>
            <w:tcW w:w="1806" w:type="dxa"/>
            <w:vMerge w:val="restart"/>
            <w:shd w:val="clear" w:color="auto" w:fill="auto"/>
            <w:tcMar>
              <w:left w:w="0" w:type="dxa"/>
            </w:tcMar>
          </w:tcPr>
          <w:p w14:paraId="29DBE237" w14:textId="77777777" w:rsidR="0039398D" w:rsidRDefault="0039398D" w:rsidP="00AF7277">
            <w:pPr>
              <w:pStyle w:val="Marginlie"/>
            </w:pPr>
          </w:p>
        </w:tc>
        <w:tc>
          <w:tcPr>
            <w:tcW w:w="223" w:type="dxa"/>
            <w:vMerge w:val="restart"/>
            <w:shd w:val="clear" w:color="auto" w:fill="auto"/>
            <w:tcMar>
              <w:left w:w="0" w:type="dxa"/>
            </w:tcMar>
          </w:tcPr>
          <w:p w14:paraId="738221EF" w14:textId="77777777" w:rsidR="0039398D" w:rsidRDefault="0039398D" w:rsidP="00AF7277">
            <w:pPr>
              <w:pStyle w:val="Textpoznpodarou"/>
              <w:jc w:val="both"/>
              <w:rPr>
                <w:spacing w:val="-4"/>
              </w:rPr>
            </w:pPr>
          </w:p>
        </w:tc>
        <w:tc>
          <w:tcPr>
            <w:tcW w:w="7610" w:type="dxa"/>
            <w:shd w:val="clear" w:color="auto" w:fill="auto"/>
            <w:tcMar>
              <w:left w:w="0" w:type="dxa"/>
            </w:tcMar>
          </w:tcPr>
          <w:p w14:paraId="625CB260" w14:textId="3C7050AD" w:rsidR="0039398D" w:rsidRPr="00D721B4" w:rsidRDefault="004D363B" w:rsidP="00AF7277">
            <w:pPr>
              <w:spacing w:after="0"/>
              <w:rPr>
                <w:szCs w:val="20"/>
              </w:rPr>
            </w:pPr>
            <w:r>
              <w:rPr>
                <w:b/>
                <w:szCs w:val="20"/>
              </w:rPr>
              <w:t xml:space="preserve">Chart </w:t>
            </w:r>
            <w:r w:rsidR="0039398D" w:rsidRPr="00D721B4">
              <w:rPr>
                <w:b/>
                <w:szCs w:val="20"/>
              </w:rPr>
              <w:t>3</w:t>
            </w:r>
            <w:r w:rsidR="0039398D">
              <w:rPr>
                <w:b/>
                <w:szCs w:val="20"/>
              </w:rPr>
              <w:t xml:space="preserve"> </w:t>
            </w:r>
            <w:r w:rsidR="0039398D" w:rsidRPr="00D721B4">
              <w:rPr>
                <w:b/>
                <w:szCs w:val="20"/>
              </w:rPr>
              <w:t xml:space="preserve"> </w:t>
            </w:r>
            <w:r w:rsidR="007C7848" w:rsidRPr="00422629">
              <w:rPr>
                <w:b/>
                <w:szCs w:val="20"/>
                <w:lang w:val="en-GB"/>
              </w:rPr>
              <w:t>Contributions</w:t>
            </w:r>
            <w:r w:rsidR="007C7848" w:rsidRPr="00422629">
              <w:rPr>
                <w:b/>
                <w:szCs w:val="20"/>
                <w:lang w:val="en-GB" w:eastAsia="en-US"/>
              </w:rPr>
              <w:t xml:space="preserve"> of branches to real </w:t>
            </w:r>
            <w:r w:rsidR="007C7848" w:rsidRPr="001922FA">
              <w:rPr>
                <w:b/>
                <w:szCs w:val="20"/>
                <w:lang w:val="en-GB" w:eastAsia="en-US"/>
              </w:rPr>
              <w:t>change in GVA</w:t>
            </w:r>
            <w:r w:rsidR="007C7848" w:rsidRPr="001922FA">
              <w:rPr>
                <w:rFonts w:cs="Arial"/>
                <w:b/>
                <w:szCs w:val="20"/>
                <w:lang w:val="en-GB" w:eastAsia="en-US"/>
              </w:rPr>
              <w:t xml:space="preserve"> </w:t>
            </w:r>
            <w:r w:rsidR="007C7848" w:rsidRPr="00694D84">
              <w:rPr>
                <w:rFonts w:cs="Arial"/>
                <w:bCs/>
                <w:szCs w:val="20"/>
                <w:lang w:val="en-GB" w:eastAsia="en-US"/>
              </w:rPr>
              <w:t>(volume indices, year-on-year contributions in p.p., GVA in %)</w:t>
            </w:r>
            <w:r w:rsidR="007C7848">
              <w:rPr>
                <w:rFonts w:cs="Arial"/>
                <w:szCs w:val="20"/>
                <w:lang w:val="en-GB" w:eastAsia="en-US"/>
              </w:rPr>
              <w:t xml:space="preserve"> </w:t>
            </w:r>
          </w:p>
        </w:tc>
      </w:tr>
      <w:tr w:rsidR="0039398D" w:rsidRPr="009110F7" w14:paraId="1633F39F" w14:textId="77777777" w:rsidTr="003F7DBB">
        <w:tblPrEx>
          <w:tblCellMar>
            <w:left w:w="70" w:type="dxa"/>
            <w:right w:w="70" w:type="dxa"/>
          </w:tblCellMar>
        </w:tblPrEx>
        <w:trPr>
          <w:trHeight w:val="170"/>
        </w:trPr>
        <w:tc>
          <w:tcPr>
            <w:tcW w:w="1806" w:type="dxa"/>
            <w:vMerge/>
            <w:shd w:val="clear" w:color="auto" w:fill="auto"/>
          </w:tcPr>
          <w:p w14:paraId="7B8D9974" w14:textId="77777777" w:rsidR="0039398D" w:rsidRPr="009110F7" w:rsidRDefault="0039398D" w:rsidP="00AF7277">
            <w:pPr>
              <w:pStyle w:val="Marginlie"/>
            </w:pPr>
          </w:p>
        </w:tc>
        <w:tc>
          <w:tcPr>
            <w:tcW w:w="223" w:type="dxa"/>
            <w:vMerge/>
            <w:shd w:val="clear" w:color="auto" w:fill="auto"/>
          </w:tcPr>
          <w:p w14:paraId="0244F2B4" w14:textId="77777777" w:rsidR="0039398D" w:rsidRPr="009110F7" w:rsidRDefault="0039398D" w:rsidP="00AF7277">
            <w:pPr>
              <w:pStyle w:val="Textpoznpodarou"/>
              <w:jc w:val="both"/>
              <w:rPr>
                <w:spacing w:val="-4"/>
              </w:rPr>
            </w:pPr>
          </w:p>
        </w:tc>
        <w:tc>
          <w:tcPr>
            <w:tcW w:w="7610" w:type="dxa"/>
            <w:shd w:val="clear" w:color="auto" w:fill="auto"/>
          </w:tcPr>
          <w:p w14:paraId="2A1F84BC" w14:textId="016EB935" w:rsidR="0039398D" w:rsidRPr="009110F7" w:rsidRDefault="003F7DBB" w:rsidP="00AF7277">
            <w:pPr>
              <w:spacing w:after="0"/>
            </w:pPr>
            <w:r>
              <w:rPr>
                <w:noProof/>
              </w:rPr>
              <w:drawing>
                <wp:inline distT="0" distB="0" distL="0" distR="0" wp14:anchorId="0FC3D802" wp14:editId="52222A8D">
                  <wp:extent cx="4737600" cy="3553200"/>
                  <wp:effectExtent l="0" t="0" r="6350" b="0"/>
                  <wp:docPr id="27" name="Graf 2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9398D" w:rsidRPr="009110F7" w14:paraId="7C22976A" w14:textId="77777777" w:rsidTr="00AF7277">
        <w:trPr>
          <w:trHeight w:val="170"/>
        </w:trPr>
        <w:tc>
          <w:tcPr>
            <w:tcW w:w="1806" w:type="dxa"/>
            <w:vMerge/>
            <w:shd w:val="clear" w:color="auto" w:fill="auto"/>
            <w:tcMar>
              <w:left w:w="0" w:type="dxa"/>
            </w:tcMar>
          </w:tcPr>
          <w:p w14:paraId="6215E4A4" w14:textId="77777777" w:rsidR="0039398D" w:rsidRPr="009110F7" w:rsidRDefault="0039398D" w:rsidP="00AF7277">
            <w:pPr>
              <w:pStyle w:val="Marginlie"/>
            </w:pPr>
          </w:p>
        </w:tc>
        <w:tc>
          <w:tcPr>
            <w:tcW w:w="223" w:type="dxa"/>
            <w:vMerge/>
            <w:shd w:val="clear" w:color="auto" w:fill="auto"/>
            <w:tcMar>
              <w:left w:w="0" w:type="dxa"/>
            </w:tcMar>
          </w:tcPr>
          <w:p w14:paraId="7CF14529" w14:textId="77777777" w:rsidR="0039398D" w:rsidRPr="009110F7" w:rsidRDefault="0039398D" w:rsidP="00AF7277">
            <w:pPr>
              <w:pStyle w:val="Textpoznpodarou"/>
              <w:jc w:val="both"/>
              <w:rPr>
                <w:spacing w:val="-4"/>
              </w:rPr>
            </w:pPr>
          </w:p>
        </w:tc>
        <w:tc>
          <w:tcPr>
            <w:tcW w:w="7610" w:type="dxa"/>
            <w:shd w:val="clear" w:color="auto" w:fill="auto"/>
            <w:tcMar>
              <w:left w:w="0" w:type="dxa"/>
            </w:tcMar>
          </w:tcPr>
          <w:p w14:paraId="4EF73113" w14:textId="6FE4DFBD" w:rsidR="007C7848" w:rsidRPr="003F7DBB" w:rsidRDefault="003D062A" w:rsidP="003F7DBB">
            <w:pPr>
              <w:rPr>
                <w:sz w:val="14"/>
                <w:szCs w:val="14"/>
              </w:rPr>
            </w:pPr>
            <w:r>
              <w:rPr>
                <w:sz w:val="14"/>
                <w:szCs w:val="14"/>
              </w:rPr>
              <w:t>Source</w:t>
            </w:r>
            <w:r w:rsidR="0039398D" w:rsidRPr="00A85DE1">
              <w:rPr>
                <w:sz w:val="14"/>
                <w:szCs w:val="14"/>
              </w:rPr>
              <w:t xml:space="preserve">: </w:t>
            </w:r>
            <w:r w:rsidR="003F7DBB">
              <w:rPr>
                <w:sz w:val="14"/>
                <w:szCs w:val="14"/>
              </w:rPr>
              <w:t>CZSO</w:t>
            </w:r>
          </w:p>
        </w:tc>
      </w:tr>
      <w:bookmarkEnd w:id="0"/>
      <w:bookmarkEnd w:id="1"/>
      <w:bookmarkEnd w:id="2"/>
    </w:tbl>
    <w:p w14:paraId="4A437270" w14:textId="77777777" w:rsidR="009732DF" w:rsidRPr="000F45E7" w:rsidRDefault="009732DF" w:rsidP="009732DF">
      <w:pPr>
        <w:pStyle w:val="Nadpis11"/>
        <w:spacing w:after="0"/>
        <w:rPr>
          <w:b w:val="0"/>
          <w:sz w:val="2"/>
          <w:szCs w:val="2"/>
        </w:rPr>
      </w:pPr>
    </w:p>
    <w:p w14:paraId="188A10F3" w14:textId="77777777" w:rsidR="009732DF" w:rsidRPr="000F45E7" w:rsidRDefault="009732DF" w:rsidP="009732DF">
      <w:pPr>
        <w:pStyle w:val="Nadpis11"/>
        <w:spacing w:after="0"/>
        <w:rPr>
          <w:b w:val="0"/>
          <w:sz w:val="2"/>
          <w:szCs w:val="2"/>
        </w:rPr>
      </w:pPr>
    </w:p>
    <w:p w14:paraId="39E9959F" w14:textId="2290987C" w:rsidR="000663F0" w:rsidRPr="00E42054" w:rsidRDefault="000663F0" w:rsidP="009732DF">
      <w:pPr>
        <w:pStyle w:val="Nadpis11"/>
        <w:rPr>
          <w:b w:val="0"/>
          <w:sz w:val="2"/>
          <w:szCs w:val="2"/>
        </w:rPr>
      </w:pPr>
      <w:bookmarkStart w:id="4" w:name="_GoBack"/>
      <w:bookmarkEnd w:id="4"/>
    </w:p>
    <w:sectPr w:rsidR="000663F0" w:rsidRPr="00E42054" w:rsidSect="003F11B9">
      <w:headerReference w:type="even" r:id="rId12"/>
      <w:headerReference w:type="default" r:id="rId13"/>
      <w:footerReference w:type="even" r:id="rId14"/>
      <w:footerReference w:type="default" r:id="rId15"/>
      <w:pgSz w:w="11906" w:h="16838" w:code="9"/>
      <w:pgMar w:top="1134" w:right="1134" w:bottom="1418" w:left="1134" w:header="680" w:footer="737"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68670" w14:textId="77777777" w:rsidR="000A30A3" w:rsidRDefault="000A30A3" w:rsidP="00E71A58">
      <w:r>
        <w:separator/>
      </w:r>
    </w:p>
  </w:endnote>
  <w:endnote w:type="continuationSeparator" w:id="0">
    <w:p w14:paraId="56B671E8" w14:textId="77777777" w:rsidR="000A30A3" w:rsidRDefault="000A30A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2EE6DCEE" w:rsidR="00160E8B" w:rsidRPr="00932443" w:rsidRDefault="00160E8B"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3F11B9">
      <w:rPr>
        <w:szCs w:val="16"/>
      </w:rPr>
      <w:t>6</w:t>
    </w:r>
    <w:r w:rsidRPr="00932443">
      <w:rPr>
        <w:szCs w:val="16"/>
      </w:rPr>
      <w:fldChar w:fldCharType="end"/>
    </w:r>
    <w:r w:rsidRPr="00932443">
      <w:rPr>
        <w:szCs w:val="16"/>
      </w:rPr>
      <w:tab/>
    </w:r>
    <w:r>
      <w:rPr>
        <w:szCs w:val="16"/>
      </w:rPr>
      <w:t>First half of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139532F6" w:rsidR="00160E8B" w:rsidRPr="00932443" w:rsidRDefault="00160E8B" w:rsidP="00FA6CB6">
    <w:pPr>
      <w:pStyle w:val="Zpat"/>
      <w:rPr>
        <w:szCs w:val="16"/>
      </w:rPr>
    </w:pPr>
    <w:r w:rsidRPr="00FA6CB6">
      <w:rPr>
        <w:szCs w:val="16"/>
      </w:rPr>
      <w:tab/>
    </w:r>
    <w:r>
      <w:rPr>
        <w:szCs w:val="16"/>
      </w:rPr>
      <w:t>First half of 2021</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3F11B9">
      <w:rPr>
        <w:rStyle w:val="ZpatChar"/>
        <w:szCs w:val="16"/>
      </w:rPr>
      <w:t>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7B4C6" w14:textId="77777777" w:rsidR="000A30A3" w:rsidRDefault="000A30A3" w:rsidP="00A21B4D">
      <w:pPr>
        <w:spacing w:after="0"/>
      </w:pPr>
      <w:r>
        <w:separator/>
      </w:r>
    </w:p>
  </w:footnote>
  <w:footnote w:type="continuationSeparator" w:id="0">
    <w:p w14:paraId="4C98181E" w14:textId="77777777" w:rsidR="000A30A3" w:rsidRDefault="000A30A3" w:rsidP="00E71A58">
      <w:r>
        <w:continuationSeparator/>
      </w:r>
    </w:p>
  </w:footnote>
  <w:footnote w:id="1">
    <w:p w14:paraId="0145BCCC" w14:textId="01A55676" w:rsidR="00160E8B" w:rsidRPr="000348AF" w:rsidRDefault="00160E8B" w:rsidP="00560162">
      <w:pPr>
        <w:pStyle w:val="Textpoznpodarou"/>
        <w:jc w:val="both"/>
        <w:rPr>
          <w:sz w:val="16"/>
          <w:szCs w:val="16"/>
        </w:rPr>
      </w:pPr>
      <w:r w:rsidRPr="000348AF">
        <w:rPr>
          <w:rStyle w:val="Znakapoznpodarou"/>
          <w:sz w:val="16"/>
          <w:szCs w:val="16"/>
        </w:rPr>
        <w:footnoteRef/>
      </w:r>
      <w:r w:rsidRPr="000348AF">
        <w:rPr>
          <w:sz w:val="16"/>
          <w:szCs w:val="16"/>
        </w:rPr>
        <w:t xml:space="preserve"> </w:t>
      </w:r>
      <w:r w:rsidRPr="00CE719A">
        <w:rPr>
          <w:sz w:val="16"/>
          <w:szCs w:val="16"/>
          <w:lang w:val="en-GB"/>
        </w:rPr>
        <w:t xml:space="preserve">The development of the GDP, gross value added and their components is expressed with the help of the volume indices (i.e. adjusted for changes in prices) and adjusted for seasonal and calendar effects. Data are valid as of </w:t>
      </w:r>
      <w:r>
        <w:rPr>
          <w:sz w:val="16"/>
          <w:szCs w:val="16"/>
          <w:lang w:val="en-GB"/>
        </w:rPr>
        <w:t>3</w:t>
      </w:r>
      <w:r w:rsidRPr="00CE719A">
        <w:rPr>
          <w:sz w:val="16"/>
          <w:szCs w:val="16"/>
          <w:lang w:val="en-GB"/>
        </w:rPr>
        <w:t>1</w:t>
      </w:r>
      <w:r w:rsidRPr="00AB56B1">
        <w:rPr>
          <w:sz w:val="16"/>
          <w:szCs w:val="16"/>
          <w:vertAlign w:val="superscript"/>
          <w:lang w:val="en-GB"/>
        </w:rPr>
        <w:t>st</w:t>
      </w:r>
      <w:r w:rsidRPr="00CE719A">
        <w:rPr>
          <w:sz w:val="16"/>
          <w:szCs w:val="16"/>
          <w:lang w:val="en-GB"/>
        </w:rPr>
        <w:t xml:space="preserve"> </w:t>
      </w:r>
      <w:r>
        <w:rPr>
          <w:sz w:val="16"/>
          <w:szCs w:val="16"/>
          <w:lang w:val="en-GB"/>
        </w:rPr>
        <w:t xml:space="preserve">August </w:t>
      </w:r>
      <w:r w:rsidRPr="00CE719A">
        <w:rPr>
          <w:sz w:val="16"/>
          <w:szCs w:val="16"/>
          <w:lang w:val="en-GB"/>
        </w:rPr>
        <w:t>202</w:t>
      </w:r>
      <w:r>
        <w:rPr>
          <w:sz w:val="16"/>
          <w:szCs w:val="16"/>
          <w:lang w:val="en-GB"/>
        </w:rPr>
        <w:t>1</w:t>
      </w:r>
      <w:r w:rsidRPr="00CE719A">
        <w:rPr>
          <w:sz w:val="16"/>
          <w:szCs w:val="16"/>
          <w:lang w:val="en-GB"/>
        </w:rPr>
        <w:t>.</w:t>
      </w:r>
    </w:p>
  </w:footnote>
  <w:footnote w:id="2">
    <w:p w14:paraId="6B689F5F" w14:textId="423BE2D5" w:rsidR="00160E8B" w:rsidRPr="00FC3DB2" w:rsidRDefault="00160E8B" w:rsidP="00FC3DB2">
      <w:pPr>
        <w:pStyle w:val="Textpoznpodarou"/>
        <w:jc w:val="both"/>
        <w:rPr>
          <w:sz w:val="16"/>
          <w:szCs w:val="16"/>
          <w:lang w:val="en-GB"/>
        </w:rPr>
      </w:pPr>
      <w:r w:rsidRPr="001E74E3">
        <w:rPr>
          <w:rStyle w:val="Znakapoznpodarou"/>
          <w:sz w:val="16"/>
          <w:szCs w:val="16"/>
        </w:rPr>
        <w:footnoteRef/>
      </w:r>
      <w:r w:rsidRPr="001E74E3">
        <w:rPr>
          <w:sz w:val="16"/>
          <w:szCs w:val="16"/>
        </w:rPr>
        <w:t xml:space="preserve"> </w:t>
      </w:r>
      <w:r w:rsidRPr="00FC3DB2">
        <w:rPr>
          <w:sz w:val="16"/>
          <w:szCs w:val="16"/>
          <w:lang w:val="en-GB"/>
        </w:rPr>
        <w:t xml:space="preserve">Data for Bulgaria, Ireland, Luxembourg and Greece were not available. </w:t>
      </w:r>
    </w:p>
  </w:footnote>
  <w:footnote w:id="3">
    <w:p w14:paraId="27B6E15F" w14:textId="6163703D" w:rsidR="00160E8B" w:rsidRPr="00FC3DB2" w:rsidRDefault="00160E8B" w:rsidP="00FC3DB2">
      <w:pPr>
        <w:pStyle w:val="Textpoznpodarou"/>
        <w:jc w:val="both"/>
        <w:rPr>
          <w:sz w:val="16"/>
          <w:szCs w:val="16"/>
          <w:lang w:val="en-GB"/>
        </w:rPr>
      </w:pPr>
      <w:r w:rsidRPr="00FC3DB2">
        <w:rPr>
          <w:rStyle w:val="Znakapoznpodarou"/>
          <w:sz w:val="16"/>
          <w:szCs w:val="16"/>
          <w:lang w:val="en-GB"/>
        </w:rPr>
        <w:footnoteRef/>
      </w:r>
      <w:r w:rsidRPr="00FC3DB2">
        <w:rPr>
          <w:sz w:val="16"/>
          <w:szCs w:val="16"/>
          <w:lang w:val="en-GB"/>
        </w:rPr>
        <w:t xml:space="preserve"> </w:t>
      </w:r>
      <w:r>
        <w:rPr>
          <w:sz w:val="16"/>
          <w:szCs w:val="16"/>
          <w:lang w:val="en-GB"/>
        </w:rPr>
        <w:t xml:space="preserve">GDP comparison in </w:t>
      </w:r>
      <w:r w:rsidRPr="00FC3DB2">
        <w:rPr>
          <w:sz w:val="16"/>
          <w:szCs w:val="16"/>
          <w:lang w:val="en-GB"/>
        </w:rPr>
        <w:t>2015</w:t>
      </w:r>
      <w:r>
        <w:rPr>
          <w:sz w:val="16"/>
          <w:szCs w:val="16"/>
          <w:lang w:val="en-GB"/>
        </w:rPr>
        <w:t xml:space="preserve"> prices</w:t>
      </w:r>
      <w:r w:rsidRPr="00FC3DB2">
        <w:rPr>
          <w:sz w:val="16"/>
          <w:szCs w:val="16"/>
          <w:lang w:val="en-GB"/>
        </w:rPr>
        <w:t>.</w:t>
      </w:r>
    </w:p>
  </w:footnote>
  <w:footnote w:id="4">
    <w:p w14:paraId="2DF0C112" w14:textId="6277CE4C" w:rsidR="00160E8B" w:rsidRPr="00FC3DB2" w:rsidRDefault="00160E8B" w:rsidP="00FC3DB2">
      <w:pPr>
        <w:pStyle w:val="Textpoznpodarou"/>
        <w:jc w:val="both"/>
        <w:rPr>
          <w:sz w:val="16"/>
          <w:szCs w:val="16"/>
          <w:lang w:val="en-GB"/>
        </w:rPr>
      </w:pPr>
      <w:r w:rsidRPr="00FC3DB2">
        <w:rPr>
          <w:rStyle w:val="Znakapoznpodarou"/>
          <w:sz w:val="16"/>
          <w:szCs w:val="16"/>
          <w:lang w:val="en-GB"/>
        </w:rPr>
        <w:footnoteRef/>
      </w:r>
      <w:r w:rsidRPr="00FC3DB2">
        <w:rPr>
          <w:sz w:val="16"/>
          <w:szCs w:val="16"/>
          <w:lang w:val="en-GB"/>
        </w:rPr>
        <w:t xml:space="preserve"> Converted into the real expression using the deflator of final consumption expenditure of households. </w:t>
      </w:r>
    </w:p>
  </w:footnote>
  <w:footnote w:id="5">
    <w:p w14:paraId="082B94ED" w14:textId="3C0E9138" w:rsidR="00160E8B" w:rsidRPr="00FC3DB2" w:rsidRDefault="00160E8B" w:rsidP="00FC3DB2">
      <w:pPr>
        <w:pStyle w:val="Textpoznpodarou"/>
        <w:jc w:val="both"/>
        <w:rPr>
          <w:sz w:val="16"/>
          <w:szCs w:val="16"/>
          <w:lang w:val="en-GB"/>
        </w:rPr>
      </w:pPr>
      <w:r w:rsidRPr="00FC3DB2">
        <w:rPr>
          <w:rStyle w:val="Znakapoznpodarou"/>
          <w:sz w:val="16"/>
          <w:szCs w:val="16"/>
          <w:lang w:val="en-GB"/>
        </w:rPr>
        <w:footnoteRef/>
      </w:r>
      <w:r w:rsidRPr="00FC3DB2">
        <w:rPr>
          <w:sz w:val="16"/>
          <w:szCs w:val="16"/>
          <w:lang w:val="en-GB"/>
        </w:rPr>
        <w:t xml:space="preserve"> Public administration, education, health and social work. </w:t>
      </w:r>
    </w:p>
  </w:footnote>
  <w:footnote w:id="6">
    <w:p w14:paraId="0AFD0338" w14:textId="3A57B743" w:rsidR="00160E8B" w:rsidRPr="001C0409" w:rsidRDefault="00160E8B" w:rsidP="0039398D">
      <w:pPr>
        <w:pStyle w:val="Textpoznpodarou"/>
        <w:rPr>
          <w:sz w:val="16"/>
          <w:szCs w:val="16"/>
          <w:lang w:val="en-GB"/>
        </w:rPr>
      </w:pPr>
      <w:r w:rsidRPr="009C6EA8">
        <w:rPr>
          <w:rStyle w:val="Znakapoznpodarou"/>
          <w:sz w:val="16"/>
          <w:szCs w:val="16"/>
        </w:rPr>
        <w:footnoteRef/>
      </w:r>
      <w:r w:rsidRPr="009C6EA8">
        <w:rPr>
          <w:sz w:val="16"/>
          <w:szCs w:val="16"/>
        </w:rPr>
        <w:t xml:space="preserve"> </w:t>
      </w:r>
      <w:r w:rsidRPr="001C0409">
        <w:rPr>
          <w:sz w:val="16"/>
          <w:szCs w:val="16"/>
          <w:lang w:val="en-GB"/>
        </w:rPr>
        <w:t>Additions to the GDP change after exclusion of imports for final use.</w:t>
      </w:r>
    </w:p>
  </w:footnote>
  <w:footnote w:id="7">
    <w:p w14:paraId="27713AE3" w14:textId="0781CDE9" w:rsidR="00160E8B" w:rsidRPr="001C0409" w:rsidRDefault="00160E8B" w:rsidP="0039398D">
      <w:pPr>
        <w:pStyle w:val="Textpoznpodarou"/>
        <w:rPr>
          <w:sz w:val="16"/>
          <w:szCs w:val="16"/>
          <w:lang w:val="en-GB"/>
        </w:rPr>
      </w:pPr>
      <w:r w:rsidRPr="001C0409">
        <w:rPr>
          <w:rStyle w:val="Znakapoznpodarou"/>
          <w:sz w:val="16"/>
          <w:szCs w:val="16"/>
          <w:lang w:val="en-GB"/>
        </w:rPr>
        <w:footnoteRef/>
      </w:r>
      <w:r w:rsidRPr="001C0409">
        <w:rPr>
          <w:sz w:val="16"/>
          <w:szCs w:val="16"/>
          <w:lang w:val="en-GB"/>
        </w:rPr>
        <w:t xml:space="preserve"> Large part of the restricted retail belongs to the medium term category </w:t>
      </w:r>
      <w:r>
        <w:rPr>
          <w:sz w:val="16"/>
          <w:szCs w:val="16"/>
          <w:lang w:val="en-GB"/>
        </w:rPr>
        <w:t>–</w:t>
      </w:r>
      <w:r w:rsidRPr="001C0409">
        <w:rPr>
          <w:sz w:val="16"/>
          <w:szCs w:val="16"/>
          <w:lang w:val="en-GB"/>
        </w:rPr>
        <w:t xml:space="preserve"> </w:t>
      </w:r>
      <w:r>
        <w:rPr>
          <w:sz w:val="16"/>
          <w:szCs w:val="16"/>
          <w:lang w:val="en-GB"/>
        </w:rPr>
        <w:t>wearing apparel, recreational and sports goods etc.</w:t>
      </w:r>
    </w:p>
  </w:footnote>
  <w:footnote w:id="8">
    <w:p w14:paraId="3DECCB24" w14:textId="637950BA" w:rsidR="00160E8B" w:rsidRPr="001C0409" w:rsidRDefault="00160E8B" w:rsidP="0039398D">
      <w:pPr>
        <w:pStyle w:val="Textpoznpodarou"/>
        <w:rPr>
          <w:sz w:val="16"/>
          <w:szCs w:val="16"/>
          <w:lang w:val="en-GB"/>
        </w:rPr>
      </w:pPr>
      <w:r w:rsidRPr="001C0409">
        <w:rPr>
          <w:rStyle w:val="Znakapoznpodarou"/>
          <w:sz w:val="16"/>
          <w:szCs w:val="16"/>
          <w:lang w:val="en-GB"/>
        </w:rPr>
        <w:footnoteRef/>
      </w:r>
      <w:r w:rsidRPr="001C0409">
        <w:rPr>
          <w:sz w:val="16"/>
          <w:szCs w:val="16"/>
          <w:lang w:val="en-GB"/>
        </w:rPr>
        <w:t xml:space="preserve"> Data regarding consumption based on durability are in domestic conception. </w:t>
      </w:r>
    </w:p>
  </w:footnote>
  <w:footnote w:id="9">
    <w:p w14:paraId="4039F227" w14:textId="0E8EC97E" w:rsidR="00160E8B" w:rsidRPr="00A95AB2" w:rsidRDefault="00160E8B" w:rsidP="00A95AB2">
      <w:pPr>
        <w:pStyle w:val="Textpoznpodarou"/>
        <w:jc w:val="both"/>
        <w:rPr>
          <w:sz w:val="16"/>
          <w:szCs w:val="16"/>
          <w:lang w:val="en-GB"/>
        </w:rPr>
      </w:pPr>
      <w:r w:rsidRPr="004831F6">
        <w:rPr>
          <w:rStyle w:val="Znakapoznpodarou"/>
          <w:sz w:val="16"/>
          <w:szCs w:val="16"/>
        </w:rPr>
        <w:footnoteRef/>
      </w:r>
      <w:r w:rsidRPr="004831F6">
        <w:rPr>
          <w:sz w:val="16"/>
          <w:szCs w:val="16"/>
        </w:rPr>
        <w:t xml:space="preserve"> </w:t>
      </w:r>
      <w:r w:rsidRPr="00A95AB2">
        <w:rPr>
          <w:sz w:val="16"/>
          <w:szCs w:val="16"/>
          <w:lang w:val="en-GB"/>
        </w:rPr>
        <w:t>Change of inventories (in current prices and seasonally adjusted) attained +58.9 CZK bn in Q2.</w:t>
      </w:r>
    </w:p>
  </w:footnote>
  <w:footnote w:id="10">
    <w:p w14:paraId="0A0BA65A" w14:textId="32B9DB4F" w:rsidR="00160E8B" w:rsidRPr="00A95AB2" w:rsidRDefault="00160E8B" w:rsidP="00A95AB2">
      <w:pPr>
        <w:pStyle w:val="Textpoznpodarou"/>
        <w:jc w:val="both"/>
        <w:rPr>
          <w:sz w:val="16"/>
          <w:szCs w:val="16"/>
          <w:lang w:val="en-GB"/>
        </w:rPr>
      </w:pPr>
      <w:r w:rsidRPr="00A95AB2">
        <w:rPr>
          <w:rStyle w:val="Znakapoznpodarou"/>
          <w:sz w:val="16"/>
          <w:szCs w:val="16"/>
          <w:lang w:val="en-GB"/>
        </w:rPr>
        <w:footnoteRef/>
      </w:r>
      <w:r w:rsidRPr="00A95AB2">
        <w:rPr>
          <w:sz w:val="16"/>
          <w:szCs w:val="16"/>
          <w:lang w:val="en-GB"/>
        </w:rPr>
        <w:t xml:space="preserve"> </w:t>
      </w:r>
      <w:r w:rsidRPr="00A00EFF">
        <w:rPr>
          <w:sz w:val="16"/>
          <w:szCs w:val="16"/>
          <w:lang w:val="en-GB"/>
        </w:rPr>
        <w:t>According to the methodology of quarterly national accounts (</w:t>
      </w:r>
      <w:r>
        <w:rPr>
          <w:sz w:val="16"/>
          <w:szCs w:val="16"/>
          <w:lang w:val="en-GB"/>
        </w:rPr>
        <w:t xml:space="preserve">export and import </w:t>
      </w:r>
      <w:r w:rsidRPr="00A00EFF">
        <w:rPr>
          <w:sz w:val="16"/>
          <w:szCs w:val="16"/>
          <w:lang w:val="en-GB"/>
        </w:rPr>
        <w:t>in FOB/FOB prices).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158E5C48" w:rsidR="00160E8B" w:rsidRPr="00595E5A" w:rsidRDefault="00160E8B" w:rsidP="00937AE2">
    <w:pPr>
      <w:pStyle w:val="Zhlav"/>
      <w:rPr>
        <w:lang w:val="en-GB"/>
      </w:rPr>
    </w:pPr>
    <w:r w:rsidRPr="00595E5A">
      <w:rPr>
        <w:lang w:val="en-GB"/>
      </w:rPr>
      <w:t>The Czech Economy Development</w:t>
    </w:r>
  </w:p>
  <w:p w14:paraId="3E881AB3" w14:textId="77777777" w:rsidR="00160E8B" w:rsidRPr="006F5416" w:rsidRDefault="00160E8B"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39D065CF" w:rsidR="00160E8B" w:rsidRPr="00595E5A" w:rsidRDefault="00160E8B" w:rsidP="00937AE2">
    <w:pPr>
      <w:pStyle w:val="Zhlav"/>
      <w:rPr>
        <w:lang w:val="en-GB"/>
      </w:rPr>
    </w:pPr>
    <w:r w:rsidRPr="00595E5A">
      <w:rPr>
        <w:lang w:val="en-GB"/>
      </w:rPr>
      <w:t>The Czech Economy Development</w:t>
    </w:r>
  </w:p>
  <w:p w14:paraId="57266714" w14:textId="77777777" w:rsidR="00160E8B" w:rsidRPr="006F5416" w:rsidRDefault="00160E8B"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1D48"/>
    <w:rsid w:val="0000209D"/>
    <w:rsid w:val="00002566"/>
    <w:rsid w:val="0000370A"/>
    <w:rsid w:val="00003849"/>
    <w:rsid w:val="00003F5C"/>
    <w:rsid w:val="00004D5A"/>
    <w:rsid w:val="000056D5"/>
    <w:rsid w:val="00005D9E"/>
    <w:rsid w:val="000063D5"/>
    <w:rsid w:val="00006625"/>
    <w:rsid w:val="00006ABD"/>
    <w:rsid w:val="00006B67"/>
    <w:rsid w:val="00006C0B"/>
    <w:rsid w:val="0000724D"/>
    <w:rsid w:val="00007367"/>
    <w:rsid w:val="000073A0"/>
    <w:rsid w:val="0000767A"/>
    <w:rsid w:val="00007ABE"/>
    <w:rsid w:val="00010256"/>
    <w:rsid w:val="00010702"/>
    <w:rsid w:val="000111A2"/>
    <w:rsid w:val="0001128E"/>
    <w:rsid w:val="00011912"/>
    <w:rsid w:val="000129B7"/>
    <w:rsid w:val="000135CD"/>
    <w:rsid w:val="0001387D"/>
    <w:rsid w:val="00014ED0"/>
    <w:rsid w:val="00016420"/>
    <w:rsid w:val="00016BDB"/>
    <w:rsid w:val="00017B01"/>
    <w:rsid w:val="000205D1"/>
    <w:rsid w:val="00020F22"/>
    <w:rsid w:val="0002195D"/>
    <w:rsid w:val="00021E1A"/>
    <w:rsid w:val="00021F9B"/>
    <w:rsid w:val="000227AD"/>
    <w:rsid w:val="000228AE"/>
    <w:rsid w:val="000229E0"/>
    <w:rsid w:val="000233D1"/>
    <w:rsid w:val="000234D6"/>
    <w:rsid w:val="00023D29"/>
    <w:rsid w:val="00024348"/>
    <w:rsid w:val="00026389"/>
    <w:rsid w:val="0002669F"/>
    <w:rsid w:val="000279E5"/>
    <w:rsid w:val="000305E0"/>
    <w:rsid w:val="00030BC9"/>
    <w:rsid w:val="00031AE0"/>
    <w:rsid w:val="00031BB2"/>
    <w:rsid w:val="000322EF"/>
    <w:rsid w:val="00033FCD"/>
    <w:rsid w:val="000348AF"/>
    <w:rsid w:val="00034DF7"/>
    <w:rsid w:val="00034E68"/>
    <w:rsid w:val="000350C8"/>
    <w:rsid w:val="000360A1"/>
    <w:rsid w:val="00036195"/>
    <w:rsid w:val="000374B2"/>
    <w:rsid w:val="000376C0"/>
    <w:rsid w:val="000403A7"/>
    <w:rsid w:val="00040632"/>
    <w:rsid w:val="000406A0"/>
    <w:rsid w:val="00040E94"/>
    <w:rsid w:val="00041AFC"/>
    <w:rsid w:val="00041CEC"/>
    <w:rsid w:val="00042596"/>
    <w:rsid w:val="00044183"/>
    <w:rsid w:val="0004431D"/>
    <w:rsid w:val="000448F4"/>
    <w:rsid w:val="0004694F"/>
    <w:rsid w:val="00046F2F"/>
    <w:rsid w:val="00047AD4"/>
    <w:rsid w:val="00047D54"/>
    <w:rsid w:val="0005054A"/>
    <w:rsid w:val="00051506"/>
    <w:rsid w:val="000522E4"/>
    <w:rsid w:val="00053713"/>
    <w:rsid w:val="000540C8"/>
    <w:rsid w:val="0005434E"/>
    <w:rsid w:val="00055703"/>
    <w:rsid w:val="00055CB6"/>
    <w:rsid w:val="000567DE"/>
    <w:rsid w:val="000572DD"/>
    <w:rsid w:val="00057B1E"/>
    <w:rsid w:val="0006033F"/>
    <w:rsid w:val="000610E1"/>
    <w:rsid w:val="000616AD"/>
    <w:rsid w:val="000622A6"/>
    <w:rsid w:val="00062EC5"/>
    <w:rsid w:val="00062F22"/>
    <w:rsid w:val="00063838"/>
    <w:rsid w:val="00063975"/>
    <w:rsid w:val="00063CEA"/>
    <w:rsid w:val="0006444D"/>
    <w:rsid w:val="000645FC"/>
    <w:rsid w:val="0006482F"/>
    <w:rsid w:val="0006533F"/>
    <w:rsid w:val="00065348"/>
    <w:rsid w:val="0006551C"/>
    <w:rsid w:val="00065A75"/>
    <w:rsid w:val="00065EDD"/>
    <w:rsid w:val="000663F0"/>
    <w:rsid w:val="00066558"/>
    <w:rsid w:val="00067982"/>
    <w:rsid w:val="000707B3"/>
    <w:rsid w:val="00070A87"/>
    <w:rsid w:val="00070F11"/>
    <w:rsid w:val="000712B3"/>
    <w:rsid w:val="00071A7C"/>
    <w:rsid w:val="00071E38"/>
    <w:rsid w:val="00072FF5"/>
    <w:rsid w:val="00073A5A"/>
    <w:rsid w:val="000744CC"/>
    <w:rsid w:val="0007474E"/>
    <w:rsid w:val="00074988"/>
    <w:rsid w:val="0007512B"/>
    <w:rsid w:val="00075551"/>
    <w:rsid w:val="00075B69"/>
    <w:rsid w:val="00076132"/>
    <w:rsid w:val="000767F5"/>
    <w:rsid w:val="00076D90"/>
    <w:rsid w:val="00077FF0"/>
    <w:rsid w:val="0008047A"/>
    <w:rsid w:val="00081941"/>
    <w:rsid w:val="00081A55"/>
    <w:rsid w:val="00081B83"/>
    <w:rsid w:val="0008263E"/>
    <w:rsid w:val="00082C19"/>
    <w:rsid w:val="00082F89"/>
    <w:rsid w:val="000837CD"/>
    <w:rsid w:val="00084BFF"/>
    <w:rsid w:val="00085395"/>
    <w:rsid w:val="0008658A"/>
    <w:rsid w:val="00086896"/>
    <w:rsid w:val="00086AC1"/>
    <w:rsid w:val="00086D19"/>
    <w:rsid w:val="00087634"/>
    <w:rsid w:val="00087F2B"/>
    <w:rsid w:val="00090694"/>
    <w:rsid w:val="00090EE2"/>
    <w:rsid w:val="00090FC6"/>
    <w:rsid w:val="000913B1"/>
    <w:rsid w:val="000916B4"/>
    <w:rsid w:val="0009290F"/>
    <w:rsid w:val="00093241"/>
    <w:rsid w:val="00093868"/>
    <w:rsid w:val="00094A84"/>
    <w:rsid w:val="00095025"/>
    <w:rsid w:val="00095135"/>
    <w:rsid w:val="0009626E"/>
    <w:rsid w:val="0009644D"/>
    <w:rsid w:val="00097191"/>
    <w:rsid w:val="000974D1"/>
    <w:rsid w:val="00097784"/>
    <w:rsid w:val="0009799E"/>
    <w:rsid w:val="000A07CB"/>
    <w:rsid w:val="000A0968"/>
    <w:rsid w:val="000A0BC0"/>
    <w:rsid w:val="000A1183"/>
    <w:rsid w:val="000A12ED"/>
    <w:rsid w:val="000A1D49"/>
    <w:rsid w:val="000A212B"/>
    <w:rsid w:val="000A242D"/>
    <w:rsid w:val="000A256D"/>
    <w:rsid w:val="000A2643"/>
    <w:rsid w:val="000A2E5F"/>
    <w:rsid w:val="000A30A3"/>
    <w:rsid w:val="000A3A2C"/>
    <w:rsid w:val="000A3D9E"/>
    <w:rsid w:val="000A4A54"/>
    <w:rsid w:val="000A4ED9"/>
    <w:rsid w:val="000A5DB7"/>
    <w:rsid w:val="000A6D94"/>
    <w:rsid w:val="000A7377"/>
    <w:rsid w:val="000A74A4"/>
    <w:rsid w:val="000A775A"/>
    <w:rsid w:val="000A7FF4"/>
    <w:rsid w:val="000B03CC"/>
    <w:rsid w:val="000B3F30"/>
    <w:rsid w:val="000B4212"/>
    <w:rsid w:val="000B4422"/>
    <w:rsid w:val="000B6543"/>
    <w:rsid w:val="000B67B7"/>
    <w:rsid w:val="000B725A"/>
    <w:rsid w:val="000C0132"/>
    <w:rsid w:val="000C0CA6"/>
    <w:rsid w:val="000C0EA8"/>
    <w:rsid w:val="000C13A2"/>
    <w:rsid w:val="000C2128"/>
    <w:rsid w:val="000C21E7"/>
    <w:rsid w:val="000C23EC"/>
    <w:rsid w:val="000C290E"/>
    <w:rsid w:val="000C30C3"/>
    <w:rsid w:val="000C317F"/>
    <w:rsid w:val="000C3408"/>
    <w:rsid w:val="000C35AB"/>
    <w:rsid w:val="000C3F7B"/>
    <w:rsid w:val="000C4769"/>
    <w:rsid w:val="000C4D56"/>
    <w:rsid w:val="000C5DFA"/>
    <w:rsid w:val="000C6AFD"/>
    <w:rsid w:val="000C6C90"/>
    <w:rsid w:val="000C72B7"/>
    <w:rsid w:val="000D0A26"/>
    <w:rsid w:val="000D1BD6"/>
    <w:rsid w:val="000D2196"/>
    <w:rsid w:val="000D3058"/>
    <w:rsid w:val="000D310A"/>
    <w:rsid w:val="000D3AA8"/>
    <w:rsid w:val="000D3EF4"/>
    <w:rsid w:val="000D4DC0"/>
    <w:rsid w:val="000D55BA"/>
    <w:rsid w:val="000D5637"/>
    <w:rsid w:val="000D572F"/>
    <w:rsid w:val="000D5A03"/>
    <w:rsid w:val="000D5ED3"/>
    <w:rsid w:val="000D6F4E"/>
    <w:rsid w:val="000D73BB"/>
    <w:rsid w:val="000E0E96"/>
    <w:rsid w:val="000E298B"/>
    <w:rsid w:val="000E2C7D"/>
    <w:rsid w:val="000E3D9C"/>
    <w:rsid w:val="000E3E56"/>
    <w:rsid w:val="000E440D"/>
    <w:rsid w:val="000E4AC5"/>
    <w:rsid w:val="000E6253"/>
    <w:rsid w:val="000E6AC4"/>
    <w:rsid w:val="000E6E4D"/>
    <w:rsid w:val="000E6FBD"/>
    <w:rsid w:val="000E6FCB"/>
    <w:rsid w:val="000F090B"/>
    <w:rsid w:val="000F18D2"/>
    <w:rsid w:val="000F3109"/>
    <w:rsid w:val="000F3F3B"/>
    <w:rsid w:val="000F4721"/>
    <w:rsid w:val="000F47E8"/>
    <w:rsid w:val="000F6529"/>
    <w:rsid w:val="000F70E4"/>
    <w:rsid w:val="000F76EA"/>
    <w:rsid w:val="00100A8B"/>
    <w:rsid w:val="00100F5C"/>
    <w:rsid w:val="00101A4C"/>
    <w:rsid w:val="00101CDA"/>
    <w:rsid w:val="00102037"/>
    <w:rsid w:val="00103DCB"/>
    <w:rsid w:val="00104C4C"/>
    <w:rsid w:val="00105015"/>
    <w:rsid w:val="001055D2"/>
    <w:rsid w:val="001057C2"/>
    <w:rsid w:val="00105975"/>
    <w:rsid w:val="0011038E"/>
    <w:rsid w:val="00110FC0"/>
    <w:rsid w:val="001125EF"/>
    <w:rsid w:val="00112CAB"/>
    <w:rsid w:val="0011440C"/>
    <w:rsid w:val="00114C33"/>
    <w:rsid w:val="00115842"/>
    <w:rsid w:val="00116D3F"/>
    <w:rsid w:val="00117474"/>
    <w:rsid w:val="00117623"/>
    <w:rsid w:val="001177AB"/>
    <w:rsid w:val="00117FEA"/>
    <w:rsid w:val="001200CF"/>
    <w:rsid w:val="001208E3"/>
    <w:rsid w:val="00121609"/>
    <w:rsid w:val="0012192F"/>
    <w:rsid w:val="00121D91"/>
    <w:rsid w:val="00122994"/>
    <w:rsid w:val="00123204"/>
    <w:rsid w:val="00124B46"/>
    <w:rsid w:val="001257E0"/>
    <w:rsid w:val="00125D69"/>
    <w:rsid w:val="00126988"/>
    <w:rsid w:val="0012799C"/>
    <w:rsid w:val="00127BC2"/>
    <w:rsid w:val="00127E15"/>
    <w:rsid w:val="00130ADC"/>
    <w:rsid w:val="00130D9F"/>
    <w:rsid w:val="00132C4D"/>
    <w:rsid w:val="00133FC1"/>
    <w:rsid w:val="00134659"/>
    <w:rsid w:val="00136A6F"/>
    <w:rsid w:val="001405FA"/>
    <w:rsid w:val="00140D1A"/>
    <w:rsid w:val="00141184"/>
    <w:rsid w:val="00141315"/>
    <w:rsid w:val="00141AA0"/>
    <w:rsid w:val="001425C3"/>
    <w:rsid w:val="0014262D"/>
    <w:rsid w:val="00142B29"/>
    <w:rsid w:val="00144588"/>
    <w:rsid w:val="001447DD"/>
    <w:rsid w:val="00145358"/>
    <w:rsid w:val="001459BC"/>
    <w:rsid w:val="00145E6D"/>
    <w:rsid w:val="001472BB"/>
    <w:rsid w:val="00152C86"/>
    <w:rsid w:val="00152F4F"/>
    <w:rsid w:val="001544A1"/>
    <w:rsid w:val="001553B8"/>
    <w:rsid w:val="001554C2"/>
    <w:rsid w:val="001571C0"/>
    <w:rsid w:val="0015753D"/>
    <w:rsid w:val="00157CC9"/>
    <w:rsid w:val="00160C21"/>
    <w:rsid w:val="00160E8B"/>
    <w:rsid w:val="001612F4"/>
    <w:rsid w:val="00161553"/>
    <w:rsid w:val="00161B94"/>
    <w:rsid w:val="0016216F"/>
    <w:rsid w:val="0016256B"/>
    <w:rsid w:val="00162F81"/>
    <w:rsid w:val="00163793"/>
    <w:rsid w:val="00164546"/>
    <w:rsid w:val="00164CA1"/>
    <w:rsid w:val="00165313"/>
    <w:rsid w:val="00167485"/>
    <w:rsid w:val="001679F5"/>
    <w:rsid w:val="00167B92"/>
    <w:rsid w:val="00167CB9"/>
    <w:rsid w:val="00167DD8"/>
    <w:rsid w:val="0017043A"/>
    <w:rsid w:val="001705AD"/>
    <w:rsid w:val="001706D6"/>
    <w:rsid w:val="001714F2"/>
    <w:rsid w:val="00171FEA"/>
    <w:rsid w:val="00173622"/>
    <w:rsid w:val="00173712"/>
    <w:rsid w:val="00175B9F"/>
    <w:rsid w:val="00176037"/>
    <w:rsid w:val="001762F4"/>
    <w:rsid w:val="001768F1"/>
    <w:rsid w:val="00176D06"/>
    <w:rsid w:val="00176F06"/>
    <w:rsid w:val="001772C7"/>
    <w:rsid w:val="00177AAA"/>
    <w:rsid w:val="001806E5"/>
    <w:rsid w:val="00181029"/>
    <w:rsid w:val="00181BBC"/>
    <w:rsid w:val="0018385F"/>
    <w:rsid w:val="00183BCF"/>
    <w:rsid w:val="00184017"/>
    <w:rsid w:val="001847BB"/>
    <w:rsid w:val="001849BE"/>
    <w:rsid w:val="00184B08"/>
    <w:rsid w:val="00184C35"/>
    <w:rsid w:val="00185010"/>
    <w:rsid w:val="00185252"/>
    <w:rsid w:val="00185C22"/>
    <w:rsid w:val="001863EA"/>
    <w:rsid w:val="0018655E"/>
    <w:rsid w:val="00186BA9"/>
    <w:rsid w:val="00187D50"/>
    <w:rsid w:val="001916D4"/>
    <w:rsid w:val="0019196C"/>
    <w:rsid w:val="001926A9"/>
    <w:rsid w:val="00192F05"/>
    <w:rsid w:val="00193FE4"/>
    <w:rsid w:val="00194729"/>
    <w:rsid w:val="00194850"/>
    <w:rsid w:val="00195234"/>
    <w:rsid w:val="00196016"/>
    <w:rsid w:val="00196117"/>
    <w:rsid w:val="00196543"/>
    <w:rsid w:val="00197A70"/>
    <w:rsid w:val="00197C0F"/>
    <w:rsid w:val="00197D0E"/>
    <w:rsid w:val="001A0487"/>
    <w:rsid w:val="001A0675"/>
    <w:rsid w:val="001A0A37"/>
    <w:rsid w:val="001A10C5"/>
    <w:rsid w:val="001A1F68"/>
    <w:rsid w:val="001A21FA"/>
    <w:rsid w:val="001A3302"/>
    <w:rsid w:val="001A4D7C"/>
    <w:rsid w:val="001A4EF0"/>
    <w:rsid w:val="001A552F"/>
    <w:rsid w:val="001A70B1"/>
    <w:rsid w:val="001A7134"/>
    <w:rsid w:val="001B04BB"/>
    <w:rsid w:val="001B0738"/>
    <w:rsid w:val="001B1235"/>
    <w:rsid w:val="001B2A99"/>
    <w:rsid w:val="001B2CA9"/>
    <w:rsid w:val="001B3110"/>
    <w:rsid w:val="001B3E38"/>
    <w:rsid w:val="001B40F5"/>
    <w:rsid w:val="001B4729"/>
    <w:rsid w:val="001B4F0E"/>
    <w:rsid w:val="001B5F40"/>
    <w:rsid w:val="001B6310"/>
    <w:rsid w:val="001B6C09"/>
    <w:rsid w:val="001B6E12"/>
    <w:rsid w:val="001C0409"/>
    <w:rsid w:val="001C05CD"/>
    <w:rsid w:val="001C082B"/>
    <w:rsid w:val="001C0F17"/>
    <w:rsid w:val="001C1B24"/>
    <w:rsid w:val="001C1B66"/>
    <w:rsid w:val="001C31A2"/>
    <w:rsid w:val="001C351D"/>
    <w:rsid w:val="001C4B8F"/>
    <w:rsid w:val="001C4BB8"/>
    <w:rsid w:val="001C4FD0"/>
    <w:rsid w:val="001C5E46"/>
    <w:rsid w:val="001C6B3B"/>
    <w:rsid w:val="001C7212"/>
    <w:rsid w:val="001C7A26"/>
    <w:rsid w:val="001C7B9F"/>
    <w:rsid w:val="001C7E3F"/>
    <w:rsid w:val="001D0EF1"/>
    <w:rsid w:val="001D1881"/>
    <w:rsid w:val="001D22C2"/>
    <w:rsid w:val="001D2C99"/>
    <w:rsid w:val="001D31AA"/>
    <w:rsid w:val="001D342F"/>
    <w:rsid w:val="001D409F"/>
    <w:rsid w:val="001D452E"/>
    <w:rsid w:val="001D54C1"/>
    <w:rsid w:val="001D54EB"/>
    <w:rsid w:val="001D556E"/>
    <w:rsid w:val="001D5DF2"/>
    <w:rsid w:val="001D6175"/>
    <w:rsid w:val="001D68B2"/>
    <w:rsid w:val="001D6972"/>
    <w:rsid w:val="001D6CFA"/>
    <w:rsid w:val="001D72D8"/>
    <w:rsid w:val="001D7EFD"/>
    <w:rsid w:val="001D7F60"/>
    <w:rsid w:val="001D7FB8"/>
    <w:rsid w:val="001E04B6"/>
    <w:rsid w:val="001E085B"/>
    <w:rsid w:val="001E149B"/>
    <w:rsid w:val="001E15CB"/>
    <w:rsid w:val="001E3008"/>
    <w:rsid w:val="001E3306"/>
    <w:rsid w:val="001E504C"/>
    <w:rsid w:val="001E5A17"/>
    <w:rsid w:val="001E6BA0"/>
    <w:rsid w:val="001E71A6"/>
    <w:rsid w:val="001E74C5"/>
    <w:rsid w:val="001F1236"/>
    <w:rsid w:val="001F2F90"/>
    <w:rsid w:val="001F4597"/>
    <w:rsid w:val="001F4826"/>
    <w:rsid w:val="001F4A40"/>
    <w:rsid w:val="001F59C8"/>
    <w:rsid w:val="001F6720"/>
    <w:rsid w:val="001F6CD3"/>
    <w:rsid w:val="001F75DA"/>
    <w:rsid w:val="001F7CE0"/>
    <w:rsid w:val="00200085"/>
    <w:rsid w:val="00202E09"/>
    <w:rsid w:val="00203332"/>
    <w:rsid w:val="00203CD5"/>
    <w:rsid w:val="00203D8F"/>
    <w:rsid w:val="00203DA4"/>
    <w:rsid w:val="00204EA6"/>
    <w:rsid w:val="00205186"/>
    <w:rsid w:val="00206516"/>
    <w:rsid w:val="002070CF"/>
    <w:rsid w:val="002071D5"/>
    <w:rsid w:val="00207A6E"/>
    <w:rsid w:val="002111E5"/>
    <w:rsid w:val="0021149E"/>
    <w:rsid w:val="002118B9"/>
    <w:rsid w:val="00213691"/>
    <w:rsid w:val="002142C0"/>
    <w:rsid w:val="00216F3D"/>
    <w:rsid w:val="0021726E"/>
    <w:rsid w:val="0021772A"/>
    <w:rsid w:val="00217809"/>
    <w:rsid w:val="00217C5B"/>
    <w:rsid w:val="00220A43"/>
    <w:rsid w:val="0022139E"/>
    <w:rsid w:val="00221D71"/>
    <w:rsid w:val="00222729"/>
    <w:rsid w:val="0022287B"/>
    <w:rsid w:val="002228DB"/>
    <w:rsid w:val="00223185"/>
    <w:rsid w:val="00223264"/>
    <w:rsid w:val="002233D6"/>
    <w:rsid w:val="0022441D"/>
    <w:rsid w:val="00224574"/>
    <w:rsid w:val="00224E3F"/>
    <w:rsid w:val="002252BE"/>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28EF"/>
    <w:rsid w:val="0023359B"/>
    <w:rsid w:val="00233603"/>
    <w:rsid w:val="002340EF"/>
    <w:rsid w:val="00234B82"/>
    <w:rsid w:val="00236443"/>
    <w:rsid w:val="002365DF"/>
    <w:rsid w:val="00236700"/>
    <w:rsid w:val="00237C8B"/>
    <w:rsid w:val="00240391"/>
    <w:rsid w:val="00240AF3"/>
    <w:rsid w:val="002418D5"/>
    <w:rsid w:val="00241A9F"/>
    <w:rsid w:val="00241B06"/>
    <w:rsid w:val="00241E78"/>
    <w:rsid w:val="0024343A"/>
    <w:rsid w:val="002436BA"/>
    <w:rsid w:val="00244401"/>
    <w:rsid w:val="00244652"/>
    <w:rsid w:val="00244A15"/>
    <w:rsid w:val="002452D9"/>
    <w:rsid w:val="002459E7"/>
    <w:rsid w:val="00245A28"/>
    <w:rsid w:val="00245DC4"/>
    <w:rsid w:val="00246F65"/>
    <w:rsid w:val="00247319"/>
    <w:rsid w:val="0024799E"/>
    <w:rsid w:val="00247E60"/>
    <w:rsid w:val="0025074A"/>
    <w:rsid w:val="00251496"/>
    <w:rsid w:val="00251B08"/>
    <w:rsid w:val="00251C53"/>
    <w:rsid w:val="00251CA2"/>
    <w:rsid w:val="00251F90"/>
    <w:rsid w:val="00252AB9"/>
    <w:rsid w:val="002532B1"/>
    <w:rsid w:val="00253C0F"/>
    <w:rsid w:val="0025464D"/>
    <w:rsid w:val="002558C1"/>
    <w:rsid w:val="00256207"/>
    <w:rsid w:val="002575F3"/>
    <w:rsid w:val="002603E1"/>
    <w:rsid w:val="002605FE"/>
    <w:rsid w:val="0026120E"/>
    <w:rsid w:val="002617EE"/>
    <w:rsid w:val="00262582"/>
    <w:rsid w:val="0026291D"/>
    <w:rsid w:val="00262CF3"/>
    <w:rsid w:val="00263BE3"/>
    <w:rsid w:val="00264274"/>
    <w:rsid w:val="00264309"/>
    <w:rsid w:val="0026434E"/>
    <w:rsid w:val="00264992"/>
    <w:rsid w:val="00264B4F"/>
    <w:rsid w:val="00264BDD"/>
    <w:rsid w:val="0026564B"/>
    <w:rsid w:val="00265C83"/>
    <w:rsid w:val="00265E85"/>
    <w:rsid w:val="00266D4F"/>
    <w:rsid w:val="00267B49"/>
    <w:rsid w:val="00267C51"/>
    <w:rsid w:val="002700D9"/>
    <w:rsid w:val="0027025F"/>
    <w:rsid w:val="002709CC"/>
    <w:rsid w:val="00270D25"/>
    <w:rsid w:val="00271022"/>
    <w:rsid w:val="00271465"/>
    <w:rsid w:val="00271A07"/>
    <w:rsid w:val="00271E47"/>
    <w:rsid w:val="002721F5"/>
    <w:rsid w:val="00272DF4"/>
    <w:rsid w:val="00273517"/>
    <w:rsid w:val="002744BA"/>
    <w:rsid w:val="00275062"/>
    <w:rsid w:val="00275758"/>
    <w:rsid w:val="0027583D"/>
    <w:rsid w:val="00275DEF"/>
    <w:rsid w:val="002763A2"/>
    <w:rsid w:val="00276B33"/>
    <w:rsid w:val="00277669"/>
    <w:rsid w:val="00277A5B"/>
    <w:rsid w:val="002803A5"/>
    <w:rsid w:val="00280ACB"/>
    <w:rsid w:val="002812E3"/>
    <w:rsid w:val="0028188C"/>
    <w:rsid w:val="00281D5A"/>
    <w:rsid w:val="00282AD4"/>
    <w:rsid w:val="00282B14"/>
    <w:rsid w:val="0028341F"/>
    <w:rsid w:val="002837AE"/>
    <w:rsid w:val="00283C13"/>
    <w:rsid w:val="00283F7B"/>
    <w:rsid w:val="0028431A"/>
    <w:rsid w:val="002853FA"/>
    <w:rsid w:val="00285412"/>
    <w:rsid w:val="00286220"/>
    <w:rsid w:val="00290B7A"/>
    <w:rsid w:val="0029161E"/>
    <w:rsid w:val="00291640"/>
    <w:rsid w:val="0029237E"/>
    <w:rsid w:val="00292997"/>
    <w:rsid w:val="00293D24"/>
    <w:rsid w:val="00294886"/>
    <w:rsid w:val="0029509B"/>
    <w:rsid w:val="0029588F"/>
    <w:rsid w:val="00295E96"/>
    <w:rsid w:val="00297256"/>
    <w:rsid w:val="00297A5C"/>
    <w:rsid w:val="00297D51"/>
    <w:rsid w:val="002A0122"/>
    <w:rsid w:val="002A016B"/>
    <w:rsid w:val="002A0296"/>
    <w:rsid w:val="002A0A8F"/>
    <w:rsid w:val="002A0FF8"/>
    <w:rsid w:val="002A16D4"/>
    <w:rsid w:val="002A1C20"/>
    <w:rsid w:val="002A1E4F"/>
    <w:rsid w:val="002A230C"/>
    <w:rsid w:val="002A2896"/>
    <w:rsid w:val="002A2AF7"/>
    <w:rsid w:val="002A3209"/>
    <w:rsid w:val="002A38F3"/>
    <w:rsid w:val="002A3EA2"/>
    <w:rsid w:val="002A51AC"/>
    <w:rsid w:val="002A5314"/>
    <w:rsid w:val="002A532A"/>
    <w:rsid w:val="002A5846"/>
    <w:rsid w:val="002A5D3C"/>
    <w:rsid w:val="002A5D97"/>
    <w:rsid w:val="002A603E"/>
    <w:rsid w:val="002A6353"/>
    <w:rsid w:val="002A63B9"/>
    <w:rsid w:val="002A68AC"/>
    <w:rsid w:val="002A6E1F"/>
    <w:rsid w:val="002A7089"/>
    <w:rsid w:val="002A7269"/>
    <w:rsid w:val="002A7342"/>
    <w:rsid w:val="002B1619"/>
    <w:rsid w:val="002B29A9"/>
    <w:rsid w:val="002B3608"/>
    <w:rsid w:val="002B3EF4"/>
    <w:rsid w:val="002B4845"/>
    <w:rsid w:val="002B5012"/>
    <w:rsid w:val="002B5567"/>
    <w:rsid w:val="002B5812"/>
    <w:rsid w:val="002B595E"/>
    <w:rsid w:val="002B5BE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C7BBD"/>
    <w:rsid w:val="002D05CB"/>
    <w:rsid w:val="002D0E59"/>
    <w:rsid w:val="002D1932"/>
    <w:rsid w:val="002D2C4F"/>
    <w:rsid w:val="002D3A2E"/>
    <w:rsid w:val="002D3EBB"/>
    <w:rsid w:val="002D455C"/>
    <w:rsid w:val="002D5473"/>
    <w:rsid w:val="002D6066"/>
    <w:rsid w:val="002D6A4C"/>
    <w:rsid w:val="002E02A1"/>
    <w:rsid w:val="002E196A"/>
    <w:rsid w:val="002E1F8A"/>
    <w:rsid w:val="002E20C7"/>
    <w:rsid w:val="002E20CD"/>
    <w:rsid w:val="002E222E"/>
    <w:rsid w:val="002E28D8"/>
    <w:rsid w:val="002E3638"/>
    <w:rsid w:val="002E37D1"/>
    <w:rsid w:val="002E3BEE"/>
    <w:rsid w:val="002E4E4C"/>
    <w:rsid w:val="002E4EA7"/>
    <w:rsid w:val="002E551F"/>
    <w:rsid w:val="002E5846"/>
    <w:rsid w:val="002E6E2E"/>
    <w:rsid w:val="002E792B"/>
    <w:rsid w:val="002E7AEB"/>
    <w:rsid w:val="002E7B79"/>
    <w:rsid w:val="002F1B09"/>
    <w:rsid w:val="002F1D56"/>
    <w:rsid w:val="002F1DCB"/>
    <w:rsid w:val="002F1DE4"/>
    <w:rsid w:val="002F333D"/>
    <w:rsid w:val="002F351A"/>
    <w:rsid w:val="002F46D6"/>
    <w:rsid w:val="002F498A"/>
    <w:rsid w:val="002F4AD8"/>
    <w:rsid w:val="002F5285"/>
    <w:rsid w:val="002F5820"/>
    <w:rsid w:val="002F64BB"/>
    <w:rsid w:val="002F71B3"/>
    <w:rsid w:val="002F7D9B"/>
    <w:rsid w:val="003009BE"/>
    <w:rsid w:val="00300C31"/>
    <w:rsid w:val="003017EC"/>
    <w:rsid w:val="00302165"/>
    <w:rsid w:val="00303535"/>
    <w:rsid w:val="00303BB4"/>
    <w:rsid w:val="00304771"/>
    <w:rsid w:val="003052D4"/>
    <w:rsid w:val="003060E9"/>
    <w:rsid w:val="003064F5"/>
    <w:rsid w:val="00306C5B"/>
    <w:rsid w:val="00307529"/>
    <w:rsid w:val="00307DB3"/>
    <w:rsid w:val="00307ED2"/>
    <w:rsid w:val="0031076D"/>
    <w:rsid w:val="00310797"/>
    <w:rsid w:val="0031169A"/>
    <w:rsid w:val="003118E3"/>
    <w:rsid w:val="00311AA6"/>
    <w:rsid w:val="00311C4D"/>
    <w:rsid w:val="003121AB"/>
    <w:rsid w:val="00312D09"/>
    <w:rsid w:val="00313A03"/>
    <w:rsid w:val="00315169"/>
    <w:rsid w:val="003153C8"/>
    <w:rsid w:val="00315524"/>
    <w:rsid w:val="00315561"/>
    <w:rsid w:val="00316B3D"/>
    <w:rsid w:val="0032058C"/>
    <w:rsid w:val="003208D0"/>
    <w:rsid w:val="003209D6"/>
    <w:rsid w:val="003212E9"/>
    <w:rsid w:val="003217B9"/>
    <w:rsid w:val="00321924"/>
    <w:rsid w:val="00321AF1"/>
    <w:rsid w:val="00321EB6"/>
    <w:rsid w:val="003220A5"/>
    <w:rsid w:val="003238E0"/>
    <w:rsid w:val="00323A1C"/>
    <w:rsid w:val="003247E1"/>
    <w:rsid w:val="00324B59"/>
    <w:rsid w:val="0032656E"/>
    <w:rsid w:val="0032741D"/>
    <w:rsid w:val="0032788F"/>
    <w:rsid w:val="00332190"/>
    <w:rsid w:val="00332A98"/>
    <w:rsid w:val="003334BD"/>
    <w:rsid w:val="00333973"/>
    <w:rsid w:val="00333BC2"/>
    <w:rsid w:val="00333C11"/>
    <w:rsid w:val="00333CD0"/>
    <w:rsid w:val="0033448D"/>
    <w:rsid w:val="00334AD2"/>
    <w:rsid w:val="00334CB6"/>
    <w:rsid w:val="0033709C"/>
    <w:rsid w:val="003370C5"/>
    <w:rsid w:val="003373C6"/>
    <w:rsid w:val="0033753A"/>
    <w:rsid w:val="0033794E"/>
    <w:rsid w:val="00340BF3"/>
    <w:rsid w:val="00341586"/>
    <w:rsid w:val="00341D26"/>
    <w:rsid w:val="00341F05"/>
    <w:rsid w:val="00342613"/>
    <w:rsid w:val="0034275C"/>
    <w:rsid w:val="00342AC4"/>
    <w:rsid w:val="0034335E"/>
    <w:rsid w:val="00344668"/>
    <w:rsid w:val="00344940"/>
    <w:rsid w:val="00346234"/>
    <w:rsid w:val="003462D9"/>
    <w:rsid w:val="0034723F"/>
    <w:rsid w:val="00347247"/>
    <w:rsid w:val="003474B6"/>
    <w:rsid w:val="00347DD4"/>
    <w:rsid w:val="003504AE"/>
    <w:rsid w:val="0035059E"/>
    <w:rsid w:val="00352B43"/>
    <w:rsid w:val="00352C28"/>
    <w:rsid w:val="00354F89"/>
    <w:rsid w:val="0035506D"/>
    <w:rsid w:val="00355D7F"/>
    <w:rsid w:val="0036077F"/>
    <w:rsid w:val="00360C86"/>
    <w:rsid w:val="00360F7A"/>
    <w:rsid w:val="00360FBC"/>
    <w:rsid w:val="00361537"/>
    <w:rsid w:val="00361BEB"/>
    <w:rsid w:val="00361FB7"/>
    <w:rsid w:val="0036242A"/>
    <w:rsid w:val="00362993"/>
    <w:rsid w:val="00362C23"/>
    <w:rsid w:val="00362DCA"/>
    <w:rsid w:val="00362E90"/>
    <w:rsid w:val="00364FA0"/>
    <w:rsid w:val="003657F3"/>
    <w:rsid w:val="00365844"/>
    <w:rsid w:val="0036624C"/>
    <w:rsid w:val="0036637B"/>
    <w:rsid w:val="003677DB"/>
    <w:rsid w:val="00367811"/>
    <w:rsid w:val="00367F5C"/>
    <w:rsid w:val="00367F84"/>
    <w:rsid w:val="003712BC"/>
    <w:rsid w:val="00372164"/>
    <w:rsid w:val="003738BD"/>
    <w:rsid w:val="00373E44"/>
    <w:rsid w:val="00374263"/>
    <w:rsid w:val="003746F0"/>
    <w:rsid w:val="00374A20"/>
    <w:rsid w:val="00374E21"/>
    <w:rsid w:val="0037537A"/>
    <w:rsid w:val="0037618E"/>
    <w:rsid w:val="00377B2E"/>
    <w:rsid w:val="003804B5"/>
    <w:rsid w:val="003810F0"/>
    <w:rsid w:val="003815D4"/>
    <w:rsid w:val="003818DC"/>
    <w:rsid w:val="00382513"/>
    <w:rsid w:val="00382A96"/>
    <w:rsid w:val="00383388"/>
    <w:rsid w:val="003834F8"/>
    <w:rsid w:val="003838D0"/>
    <w:rsid w:val="003840C2"/>
    <w:rsid w:val="00384327"/>
    <w:rsid w:val="00384A89"/>
    <w:rsid w:val="00385086"/>
    <w:rsid w:val="0038510E"/>
    <w:rsid w:val="00385D98"/>
    <w:rsid w:val="00387798"/>
    <w:rsid w:val="00390306"/>
    <w:rsid w:val="003908A6"/>
    <w:rsid w:val="00390963"/>
    <w:rsid w:val="0039109D"/>
    <w:rsid w:val="003914BC"/>
    <w:rsid w:val="00391989"/>
    <w:rsid w:val="00391A6C"/>
    <w:rsid w:val="003927F6"/>
    <w:rsid w:val="0039398D"/>
    <w:rsid w:val="00393B3F"/>
    <w:rsid w:val="00396739"/>
    <w:rsid w:val="00396FC7"/>
    <w:rsid w:val="003978B1"/>
    <w:rsid w:val="003A04F6"/>
    <w:rsid w:val="003A0837"/>
    <w:rsid w:val="003A2B4D"/>
    <w:rsid w:val="003A2D12"/>
    <w:rsid w:val="003A2EBA"/>
    <w:rsid w:val="003A37D9"/>
    <w:rsid w:val="003A45E3"/>
    <w:rsid w:val="003A46B8"/>
    <w:rsid w:val="003A478C"/>
    <w:rsid w:val="003A496E"/>
    <w:rsid w:val="003A4A38"/>
    <w:rsid w:val="003A533C"/>
    <w:rsid w:val="003A5525"/>
    <w:rsid w:val="003A5889"/>
    <w:rsid w:val="003A5E5D"/>
    <w:rsid w:val="003A6B38"/>
    <w:rsid w:val="003A6B83"/>
    <w:rsid w:val="003A6C97"/>
    <w:rsid w:val="003A722F"/>
    <w:rsid w:val="003A7373"/>
    <w:rsid w:val="003A7D09"/>
    <w:rsid w:val="003B039F"/>
    <w:rsid w:val="003B0DF4"/>
    <w:rsid w:val="003B1F9D"/>
    <w:rsid w:val="003B2026"/>
    <w:rsid w:val="003B2A8D"/>
    <w:rsid w:val="003B2AD1"/>
    <w:rsid w:val="003B2D2E"/>
    <w:rsid w:val="003B376A"/>
    <w:rsid w:val="003B461F"/>
    <w:rsid w:val="003B483F"/>
    <w:rsid w:val="003B4998"/>
    <w:rsid w:val="003B541A"/>
    <w:rsid w:val="003B578E"/>
    <w:rsid w:val="003B5A32"/>
    <w:rsid w:val="003B5B59"/>
    <w:rsid w:val="003B7B50"/>
    <w:rsid w:val="003C0B07"/>
    <w:rsid w:val="003C1F21"/>
    <w:rsid w:val="003C2CE7"/>
    <w:rsid w:val="003C2DB8"/>
    <w:rsid w:val="003C3490"/>
    <w:rsid w:val="003C3608"/>
    <w:rsid w:val="003C377B"/>
    <w:rsid w:val="003C3AE8"/>
    <w:rsid w:val="003C3D2C"/>
    <w:rsid w:val="003C4E13"/>
    <w:rsid w:val="003C6221"/>
    <w:rsid w:val="003C63D7"/>
    <w:rsid w:val="003C68CC"/>
    <w:rsid w:val="003C7E62"/>
    <w:rsid w:val="003D062A"/>
    <w:rsid w:val="003D12B9"/>
    <w:rsid w:val="003D1E7A"/>
    <w:rsid w:val="003D242B"/>
    <w:rsid w:val="003D2492"/>
    <w:rsid w:val="003D29AA"/>
    <w:rsid w:val="003D2A99"/>
    <w:rsid w:val="003D6134"/>
    <w:rsid w:val="003D6920"/>
    <w:rsid w:val="003E0249"/>
    <w:rsid w:val="003E08A4"/>
    <w:rsid w:val="003E0BBF"/>
    <w:rsid w:val="003E1EF8"/>
    <w:rsid w:val="003E2DBA"/>
    <w:rsid w:val="003E2DFB"/>
    <w:rsid w:val="003E4466"/>
    <w:rsid w:val="003E4C91"/>
    <w:rsid w:val="003E52D8"/>
    <w:rsid w:val="003E62F1"/>
    <w:rsid w:val="003E69B0"/>
    <w:rsid w:val="003E6F84"/>
    <w:rsid w:val="003F0C45"/>
    <w:rsid w:val="003F11B9"/>
    <w:rsid w:val="003F1B88"/>
    <w:rsid w:val="003F313C"/>
    <w:rsid w:val="003F33B9"/>
    <w:rsid w:val="003F37FC"/>
    <w:rsid w:val="003F4318"/>
    <w:rsid w:val="003F4B2C"/>
    <w:rsid w:val="003F551C"/>
    <w:rsid w:val="003F626D"/>
    <w:rsid w:val="003F72ED"/>
    <w:rsid w:val="003F7645"/>
    <w:rsid w:val="003F7D23"/>
    <w:rsid w:val="003F7DBB"/>
    <w:rsid w:val="00400050"/>
    <w:rsid w:val="004002C8"/>
    <w:rsid w:val="00400468"/>
    <w:rsid w:val="0040099D"/>
    <w:rsid w:val="004016CB"/>
    <w:rsid w:val="00401B23"/>
    <w:rsid w:val="00401C94"/>
    <w:rsid w:val="0040247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07C75"/>
    <w:rsid w:val="004100D0"/>
    <w:rsid w:val="004103F6"/>
    <w:rsid w:val="00410638"/>
    <w:rsid w:val="00412511"/>
    <w:rsid w:val="004125C2"/>
    <w:rsid w:val="00412DFA"/>
    <w:rsid w:val="00413465"/>
    <w:rsid w:val="004149AC"/>
    <w:rsid w:val="00414C39"/>
    <w:rsid w:val="0041501E"/>
    <w:rsid w:val="00415452"/>
    <w:rsid w:val="004156F7"/>
    <w:rsid w:val="004159C3"/>
    <w:rsid w:val="00415A57"/>
    <w:rsid w:val="00416D06"/>
    <w:rsid w:val="00416DAC"/>
    <w:rsid w:val="00420880"/>
    <w:rsid w:val="00421179"/>
    <w:rsid w:val="00423623"/>
    <w:rsid w:val="0042470E"/>
    <w:rsid w:val="00430C96"/>
    <w:rsid w:val="0043174F"/>
    <w:rsid w:val="00431BFF"/>
    <w:rsid w:val="00432199"/>
    <w:rsid w:val="004325D5"/>
    <w:rsid w:val="00432A58"/>
    <w:rsid w:val="004331C3"/>
    <w:rsid w:val="00433C17"/>
    <w:rsid w:val="00434617"/>
    <w:rsid w:val="00435051"/>
    <w:rsid w:val="00435C69"/>
    <w:rsid w:val="004360FB"/>
    <w:rsid w:val="004378A0"/>
    <w:rsid w:val="00437C5A"/>
    <w:rsid w:val="00437CED"/>
    <w:rsid w:val="0044032C"/>
    <w:rsid w:val="004407BF"/>
    <w:rsid w:val="00440900"/>
    <w:rsid w:val="0044121D"/>
    <w:rsid w:val="00441BF6"/>
    <w:rsid w:val="00441D2B"/>
    <w:rsid w:val="00441F8B"/>
    <w:rsid w:val="00442085"/>
    <w:rsid w:val="0044279E"/>
    <w:rsid w:val="004428F6"/>
    <w:rsid w:val="004441A0"/>
    <w:rsid w:val="004451A9"/>
    <w:rsid w:val="00445861"/>
    <w:rsid w:val="00445A8E"/>
    <w:rsid w:val="00446D44"/>
    <w:rsid w:val="00446FB3"/>
    <w:rsid w:val="00450680"/>
    <w:rsid w:val="0045078A"/>
    <w:rsid w:val="0045086D"/>
    <w:rsid w:val="00450DAB"/>
    <w:rsid w:val="0045125B"/>
    <w:rsid w:val="00451A42"/>
    <w:rsid w:val="00451EF1"/>
    <w:rsid w:val="00452E60"/>
    <w:rsid w:val="0045321B"/>
    <w:rsid w:val="00456FE5"/>
    <w:rsid w:val="00457490"/>
    <w:rsid w:val="0045786C"/>
    <w:rsid w:val="00457953"/>
    <w:rsid w:val="004604D8"/>
    <w:rsid w:val="00460656"/>
    <w:rsid w:val="0046081A"/>
    <w:rsid w:val="00460FB3"/>
    <w:rsid w:val="00462CCB"/>
    <w:rsid w:val="00462F24"/>
    <w:rsid w:val="00463D3C"/>
    <w:rsid w:val="00464851"/>
    <w:rsid w:val="00466595"/>
    <w:rsid w:val="00466B3E"/>
    <w:rsid w:val="0046746A"/>
    <w:rsid w:val="0046782F"/>
    <w:rsid w:val="00467B14"/>
    <w:rsid w:val="004707FE"/>
    <w:rsid w:val="00470EDC"/>
    <w:rsid w:val="00472418"/>
    <w:rsid w:val="0047276D"/>
    <w:rsid w:val="00472AF6"/>
    <w:rsid w:val="00473482"/>
    <w:rsid w:val="00474646"/>
    <w:rsid w:val="00474A04"/>
    <w:rsid w:val="0047584B"/>
    <w:rsid w:val="00476240"/>
    <w:rsid w:val="00476439"/>
    <w:rsid w:val="00476450"/>
    <w:rsid w:val="004769BF"/>
    <w:rsid w:val="004769E1"/>
    <w:rsid w:val="0047735C"/>
    <w:rsid w:val="004776BC"/>
    <w:rsid w:val="00477820"/>
    <w:rsid w:val="00477B96"/>
    <w:rsid w:val="00480959"/>
    <w:rsid w:val="00480BAE"/>
    <w:rsid w:val="00480D7F"/>
    <w:rsid w:val="0048139F"/>
    <w:rsid w:val="00481E40"/>
    <w:rsid w:val="00482405"/>
    <w:rsid w:val="004826A7"/>
    <w:rsid w:val="00483144"/>
    <w:rsid w:val="0048368C"/>
    <w:rsid w:val="0048372F"/>
    <w:rsid w:val="00483A0C"/>
    <w:rsid w:val="004841CC"/>
    <w:rsid w:val="00484ECE"/>
    <w:rsid w:val="00485E82"/>
    <w:rsid w:val="00486132"/>
    <w:rsid w:val="0048686D"/>
    <w:rsid w:val="00486A4D"/>
    <w:rsid w:val="00487B9B"/>
    <w:rsid w:val="004915CB"/>
    <w:rsid w:val="004924DC"/>
    <w:rsid w:val="0049253A"/>
    <w:rsid w:val="00492879"/>
    <w:rsid w:val="00493E85"/>
    <w:rsid w:val="00494AD2"/>
    <w:rsid w:val="00495145"/>
    <w:rsid w:val="0049531F"/>
    <w:rsid w:val="004979A5"/>
    <w:rsid w:val="004979C2"/>
    <w:rsid w:val="00497AB1"/>
    <w:rsid w:val="004A0144"/>
    <w:rsid w:val="004A036E"/>
    <w:rsid w:val="004A0498"/>
    <w:rsid w:val="004A06B0"/>
    <w:rsid w:val="004A0D0E"/>
    <w:rsid w:val="004A14E4"/>
    <w:rsid w:val="004A204E"/>
    <w:rsid w:val="004A26A5"/>
    <w:rsid w:val="004A27F0"/>
    <w:rsid w:val="004A3212"/>
    <w:rsid w:val="004A37CD"/>
    <w:rsid w:val="004A40D9"/>
    <w:rsid w:val="004A47BE"/>
    <w:rsid w:val="004A49A5"/>
    <w:rsid w:val="004A4F8A"/>
    <w:rsid w:val="004A52AB"/>
    <w:rsid w:val="004A5429"/>
    <w:rsid w:val="004A5494"/>
    <w:rsid w:val="004A5D4E"/>
    <w:rsid w:val="004A61C5"/>
    <w:rsid w:val="004A62A0"/>
    <w:rsid w:val="004A77DF"/>
    <w:rsid w:val="004B0710"/>
    <w:rsid w:val="004B1417"/>
    <w:rsid w:val="004B1FD9"/>
    <w:rsid w:val="004B305C"/>
    <w:rsid w:val="004B31B8"/>
    <w:rsid w:val="004B339A"/>
    <w:rsid w:val="004B4C83"/>
    <w:rsid w:val="004B55B7"/>
    <w:rsid w:val="004B5BFA"/>
    <w:rsid w:val="004B619E"/>
    <w:rsid w:val="004B6468"/>
    <w:rsid w:val="004B6EF8"/>
    <w:rsid w:val="004B7125"/>
    <w:rsid w:val="004B756A"/>
    <w:rsid w:val="004B7E0F"/>
    <w:rsid w:val="004B7FB1"/>
    <w:rsid w:val="004C0B3F"/>
    <w:rsid w:val="004C0F87"/>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1C33"/>
    <w:rsid w:val="004D2E03"/>
    <w:rsid w:val="004D3296"/>
    <w:rsid w:val="004D363B"/>
    <w:rsid w:val="004D4056"/>
    <w:rsid w:val="004D4CB0"/>
    <w:rsid w:val="004D5B0F"/>
    <w:rsid w:val="004D7626"/>
    <w:rsid w:val="004E138B"/>
    <w:rsid w:val="004E186A"/>
    <w:rsid w:val="004E1A40"/>
    <w:rsid w:val="004E200A"/>
    <w:rsid w:val="004E23FC"/>
    <w:rsid w:val="004E2409"/>
    <w:rsid w:val="004E261D"/>
    <w:rsid w:val="004E3927"/>
    <w:rsid w:val="004E3B7F"/>
    <w:rsid w:val="004E4961"/>
    <w:rsid w:val="004E57BF"/>
    <w:rsid w:val="004E5F41"/>
    <w:rsid w:val="004E6011"/>
    <w:rsid w:val="004E6DE6"/>
    <w:rsid w:val="004E765E"/>
    <w:rsid w:val="004E7815"/>
    <w:rsid w:val="004F06BD"/>
    <w:rsid w:val="004F06F5"/>
    <w:rsid w:val="004F12A4"/>
    <w:rsid w:val="004F253F"/>
    <w:rsid w:val="004F33A0"/>
    <w:rsid w:val="004F3873"/>
    <w:rsid w:val="004F3BD2"/>
    <w:rsid w:val="004F46ED"/>
    <w:rsid w:val="004F49A3"/>
    <w:rsid w:val="004F4C99"/>
    <w:rsid w:val="004F5358"/>
    <w:rsid w:val="004F58D4"/>
    <w:rsid w:val="004F6484"/>
    <w:rsid w:val="004F6539"/>
    <w:rsid w:val="004F7B54"/>
    <w:rsid w:val="00503D54"/>
    <w:rsid w:val="005048E2"/>
    <w:rsid w:val="00504E95"/>
    <w:rsid w:val="00505FC8"/>
    <w:rsid w:val="00506603"/>
    <w:rsid w:val="0050689D"/>
    <w:rsid w:val="00506CAF"/>
    <w:rsid w:val="005077F5"/>
    <w:rsid w:val="00510125"/>
    <w:rsid w:val="0051071B"/>
    <w:rsid w:val="005108C0"/>
    <w:rsid w:val="0051094F"/>
    <w:rsid w:val="0051112F"/>
    <w:rsid w:val="00511181"/>
    <w:rsid w:val="00511217"/>
    <w:rsid w:val="00511873"/>
    <w:rsid w:val="00512461"/>
    <w:rsid w:val="00512510"/>
    <w:rsid w:val="00512585"/>
    <w:rsid w:val="00512A2F"/>
    <w:rsid w:val="00513258"/>
    <w:rsid w:val="00513B7E"/>
    <w:rsid w:val="00513E9D"/>
    <w:rsid w:val="0051475D"/>
    <w:rsid w:val="00514B11"/>
    <w:rsid w:val="00515485"/>
    <w:rsid w:val="00515BE9"/>
    <w:rsid w:val="00515C74"/>
    <w:rsid w:val="0051630F"/>
    <w:rsid w:val="00517113"/>
    <w:rsid w:val="0052007E"/>
    <w:rsid w:val="00521CAD"/>
    <w:rsid w:val="0052200D"/>
    <w:rsid w:val="005222E6"/>
    <w:rsid w:val="00522425"/>
    <w:rsid w:val="00522D6A"/>
    <w:rsid w:val="00522E01"/>
    <w:rsid w:val="0052337A"/>
    <w:rsid w:val="00524385"/>
    <w:rsid w:val="005246BE"/>
    <w:rsid w:val="00525137"/>
    <w:rsid w:val="005251DD"/>
    <w:rsid w:val="0052543B"/>
    <w:rsid w:val="0052762C"/>
    <w:rsid w:val="0053012B"/>
    <w:rsid w:val="005301A6"/>
    <w:rsid w:val="00530A68"/>
    <w:rsid w:val="00530AD4"/>
    <w:rsid w:val="0053129F"/>
    <w:rsid w:val="00531C5A"/>
    <w:rsid w:val="0053284B"/>
    <w:rsid w:val="00532CE7"/>
    <w:rsid w:val="00532D8B"/>
    <w:rsid w:val="00533023"/>
    <w:rsid w:val="0053324C"/>
    <w:rsid w:val="00533A8D"/>
    <w:rsid w:val="00534A28"/>
    <w:rsid w:val="00535018"/>
    <w:rsid w:val="0053595E"/>
    <w:rsid w:val="00536214"/>
    <w:rsid w:val="005365BD"/>
    <w:rsid w:val="00537571"/>
    <w:rsid w:val="00540056"/>
    <w:rsid w:val="005410E2"/>
    <w:rsid w:val="00541508"/>
    <w:rsid w:val="00541AE3"/>
    <w:rsid w:val="00542AF6"/>
    <w:rsid w:val="00543498"/>
    <w:rsid w:val="00544011"/>
    <w:rsid w:val="00544BE5"/>
    <w:rsid w:val="005453A3"/>
    <w:rsid w:val="005455F6"/>
    <w:rsid w:val="0054582F"/>
    <w:rsid w:val="00546FC7"/>
    <w:rsid w:val="005500F9"/>
    <w:rsid w:val="00550160"/>
    <w:rsid w:val="005519E2"/>
    <w:rsid w:val="005523A8"/>
    <w:rsid w:val="00552F2C"/>
    <w:rsid w:val="00553A25"/>
    <w:rsid w:val="00554419"/>
    <w:rsid w:val="005547EB"/>
    <w:rsid w:val="00554863"/>
    <w:rsid w:val="005555E0"/>
    <w:rsid w:val="0055599F"/>
    <w:rsid w:val="00556D68"/>
    <w:rsid w:val="00556F6D"/>
    <w:rsid w:val="0055707B"/>
    <w:rsid w:val="005570D6"/>
    <w:rsid w:val="00557E05"/>
    <w:rsid w:val="00557E0E"/>
    <w:rsid w:val="00557E45"/>
    <w:rsid w:val="00560162"/>
    <w:rsid w:val="00560319"/>
    <w:rsid w:val="00560C41"/>
    <w:rsid w:val="00560CAC"/>
    <w:rsid w:val="005618E1"/>
    <w:rsid w:val="00561F44"/>
    <w:rsid w:val="00562B4D"/>
    <w:rsid w:val="00562DB1"/>
    <w:rsid w:val="00563EB8"/>
    <w:rsid w:val="005647BF"/>
    <w:rsid w:val="00564AF1"/>
    <w:rsid w:val="005655DB"/>
    <w:rsid w:val="00565E88"/>
    <w:rsid w:val="00566620"/>
    <w:rsid w:val="00567339"/>
    <w:rsid w:val="005678EE"/>
    <w:rsid w:val="00567910"/>
    <w:rsid w:val="00570270"/>
    <w:rsid w:val="00570464"/>
    <w:rsid w:val="00570BC3"/>
    <w:rsid w:val="00570E13"/>
    <w:rsid w:val="0057182A"/>
    <w:rsid w:val="00571E59"/>
    <w:rsid w:val="0057206A"/>
    <w:rsid w:val="00572079"/>
    <w:rsid w:val="00572900"/>
    <w:rsid w:val="00573602"/>
    <w:rsid w:val="0057364B"/>
    <w:rsid w:val="00574773"/>
    <w:rsid w:val="005761EC"/>
    <w:rsid w:val="00576376"/>
    <w:rsid w:val="005764A6"/>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874A5"/>
    <w:rsid w:val="0059038B"/>
    <w:rsid w:val="005906EE"/>
    <w:rsid w:val="005909B0"/>
    <w:rsid w:val="00590B28"/>
    <w:rsid w:val="005910AE"/>
    <w:rsid w:val="005911BE"/>
    <w:rsid w:val="00591273"/>
    <w:rsid w:val="00591E9E"/>
    <w:rsid w:val="005927A4"/>
    <w:rsid w:val="00593152"/>
    <w:rsid w:val="00593389"/>
    <w:rsid w:val="00593FE6"/>
    <w:rsid w:val="005941B5"/>
    <w:rsid w:val="005956A3"/>
    <w:rsid w:val="00595958"/>
    <w:rsid w:val="00595CAB"/>
    <w:rsid w:val="00595E5A"/>
    <w:rsid w:val="0059622E"/>
    <w:rsid w:val="00596BC7"/>
    <w:rsid w:val="00597671"/>
    <w:rsid w:val="00597840"/>
    <w:rsid w:val="00597BBF"/>
    <w:rsid w:val="005A0463"/>
    <w:rsid w:val="005A0948"/>
    <w:rsid w:val="005A0A03"/>
    <w:rsid w:val="005A10F2"/>
    <w:rsid w:val="005A11D8"/>
    <w:rsid w:val="005A16C0"/>
    <w:rsid w:val="005A21E0"/>
    <w:rsid w:val="005A27A6"/>
    <w:rsid w:val="005A28FF"/>
    <w:rsid w:val="005A2C09"/>
    <w:rsid w:val="005A3778"/>
    <w:rsid w:val="005A37B0"/>
    <w:rsid w:val="005A3DF8"/>
    <w:rsid w:val="005A5549"/>
    <w:rsid w:val="005A566A"/>
    <w:rsid w:val="005A7CF8"/>
    <w:rsid w:val="005B0EDA"/>
    <w:rsid w:val="005B121D"/>
    <w:rsid w:val="005B26B0"/>
    <w:rsid w:val="005B41C9"/>
    <w:rsid w:val="005B44E6"/>
    <w:rsid w:val="005B4853"/>
    <w:rsid w:val="005B5D80"/>
    <w:rsid w:val="005B6CA1"/>
    <w:rsid w:val="005B6D35"/>
    <w:rsid w:val="005B770C"/>
    <w:rsid w:val="005C06ED"/>
    <w:rsid w:val="005C0CE1"/>
    <w:rsid w:val="005C11B8"/>
    <w:rsid w:val="005C216C"/>
    <w:rsid w:val="005C2609"/>
    <w:rsid w:val="005C2B30"/>
    <w:rsid w:val="005C412B"/>
    <w:rsid w:val="005C43EC"/>
    <w:rsid w:val="005C4443"/>
    <w:rsid w:val="005C45DD"/>
    <w:rsid w:val="005C4704"/>
    <w:rsid w:val="005C4CB1"/>
    <w:rsid w:val="005C5400"/>
    <w:rsid w:val="005D1015"/>
    <w:rsid w:val="005D17A1"/>
    <w:rsid w:val="005D3F06"/>
    <w:rsid w:val="005D4B73"/>
    <w:rsid w:val="005D51E7"/>
    <w:rsid w:val="005D5645"/>
    <w:rsid w:val="005D5802"/>
    <w:rsid w:val="005D5AA9"/>
    <w:rsid w:val="005D6002"/>
    <w:rsid w:val="005D66E6"/>
    <w:rsid w:val="005D7119"/>
    <w:rsid w:val="005D72AF"/>
    <w:rsid w:val="005D76C8"/>
    <w:rsid w:val="005D7890"/>
    <w:rsid w:val="005E0432"/>
    <w:rsid w:val="005E0C2B"/>
    <w:rsid w:val="005E19C1"/>
    <w:rsid w:val="005E2194"/>
    <w:rsid w:val="005E22B2"/>
    <w:rsid w:val="005E24F0"/>
    <w:rsid w:val="005E3113"/>
    <w:rsid w:val="005E36FE"/>
    <w:rsid w:val="005E3F66"/>
    <w:rsid w:val="005E490F"/>
    <w:rsid w:val="005E4BC9"/>
    <w:rsid w:val="005E5314"/>
    <w:rsid w:val="005E6041"/>
    <w:rsid w:val="005E7C78"/>
    <w:rsid w:val="005F020C"/>
    <w:rsid w:val="005F04A7"/>
    <w:rsid w:val="005F114F"/>
    <w:rsid w:val="005F18C5"/>
    <w:rsid w:val="005F2A08"/>
    <w:rsid w:val="005F36CC"/>
    <w:rsid w:val="005F3EB1"/>
    <w:rsid w:val="005F413E"/>
    <w:rsid w:val="005F466B"/>
    <w:rsid w:val="005F46D8"/>
    <w:rsid w:val="005F480F"/>
    <w:rsid w:val="005F5469"/>
    <w:rsid w:val="005F55FF"/>
    <w:rsid w:val="005F63F3"/>
    <w:rsid w:val="005F666F"/>
    <w:rsid w:val="005F66F0"/>
    <w:rsid w:val="005F6D7F"/>
    <w:rsid w:val="005F7174"/>
    <w:rsid w:val="005F7C4B"/>
    <w:rsid w:val="0060120D"/>
    <w:rsid w:val="00601ADE"/>
    <w:rsid w:val="00601EEF"/>
    <w:rsid w:val="0060255A"/>
    <w:rsid w:val="00602EB3"/>
    <w:rsid w:val="00603C95"/>
    <w:rsid w:val="00604307"/>
    <w:rsid w:val="0060487F"/>
    <w:rsid w:val="00604EAD"/>
    <w:rsid w:val="0060513F"/>
    <w:rsid w:val="006065E2"/>
    <w:rsid w:val="0060694B"/>
    <w:rsid w:val="006076A2"/>
    <w:rsid w:val="006104FB"/>
    <w:rsid w:val="006112FA"/>
    <w:rsid w:val="0061176D"/>
    <w:rsid w:val="0061200F"/>
    <w:rsid w:val="00612756"/>
    <w:rsid w:val="00612A2F"/>
    <w:rsid w:val="00612AAE"/>
    <w:rsid w:val="00612B07"/>
    <w:rsid w:val="00612FD9"/>
    <w:rsid w:val="006139E0"/>
    <w:rsid w:val="00614D35"/>
    <w:rsid w:val="006156B4"/>
    <w:rsid w:val="00615DAF"/>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3676"/>
    <w:rsid w:val="00634C57"/>
    <w:rsid w:val="00634CE7"/>
    <w:rsid w:val="00634D50"/>
    <w:rsid w:val="006350D5"/>
    <w:rsid w:val="0063642C"/>
    <w:rsid w:val="006376B3"/>
    <w:rsid w:val="00637858"/>
    <w:rsid w:val="006404A7"/>
    <w:rsid w:val="00640A38"/>
    <w:rsid w:val="00640E6B"/>
    <w:rsid w:val="00641787"/>
    <w:rsid w:val="0064179B"/>
    <w:rsid w:val="00642489"/>
    <w:rsid w:val="006432D0"/>
    <w:rsid w:val="00644055"/>
    <w:rsid w:val="00644137"/>
    <w:rsid w:val="0064478C"/>
    <w:rsid w:val="00645160"/>
    <w:rsid w:val="006451E4"/>
    <w:rsid w:val="006455C5"/>
    <w:rsid w:val="0064574B"/>
    <w:rsid w:val="00645B33"/>
    <w:rsid w:val="00646B41"/>
    <w:rsid w:val="006473F1"/>
    <w:rsid w:val="00647F5C"/>
    <w:rsid w:val="006516CB"/>
    <w:rsid w:val="00651B49"/>
    <w:rsid w:val="00652E30"/>
    <w:rsid w:val="00653BD0"/>
    <w:rsid w:val="00654110"/>
    <w:rsid w:val="00654F5E"/>
    <w:rsid w:val="006565A1"/>
    <w:rsid w:val="00656C5D"/>
    <w:rsid w:val="00656CFB"/>
    <w:rsid w:val="00656D25"/>
    <w:rsid w:val="00657E87"/>
    <w:rsid w:val="00660874"/>
    <w:rsid w:val="00660D2D"/>
    <w:rsid w:val="00661C41"/>
    <w:rsid w:val="00661EC9"/>
    <w:rsid w:val="00662469"/>
    <w:rsid w:val="0066411C"/>
    <w:rsid w:val="00664205"/>
    <w:rsid w:val="00664647"/>
    <w:rsid w:val="00664803"/>
    <w:rsid w:val="00664B9C"/>
    <w:rsid w:val="0066502F"/>
    <w:rsid w:val="006653CC"/>
    <w:rsid w:val="00665982"/>
    <w:rsid w:val="00665BA4"/>
    <w:rsid w:val="00666BF3"/>
    <w:rsid w:val="00667856"/>
    <w:rsid w:val="00667AF2"/>
    <w:rsid w:val="00670489"/>
    <w:rsid w:val="006710C9"/>
    <w:rsid w:val="00671B61"/>
    <w:rsid w:val="00671D85"/>
    <w:rsid w:val="00672586"/>
    <w:rsid w:val="00673FDE"/>
    <w:rsid w:val="006741CD"/>
    <w:rsid w:val="00674D89"/>
    <w:rsid w:val="0067514E"/>
    <w:rsid w:val="00675E37"/>
    <w:rsid w:val="00676221"/>
    <w:rsid w:val="00676736"/>
    <w:rsid w:val="006769A4"/>
    <w:rsid w:val="006769C6"/>
    <w:rsid w:val="00676D76"/>
    <w:rsid w:val="00676F9F"/>
    <w:rsid w:val="00677519"/>
    <w:rsid w:val="00677589"/>
    <w:rsid w:val="00677591"/>
    <w:rsid w:val="00677594"/>
    <w:rsid w:val="006779F0"/>
    <w:rsid w:val="00677FA3"/>
    <w:rsid w:val="0068032F"/>
    <w:rsid w:val="00680987"/>
    <w:rsid w:val="00680D37"/>
    <w:rsid w:val="0068174E"/>
    <w:rsid w:val="00681A2D"/>
    <w:rsid w:val="00681DCE"/>
    <w:rsid w:val="00682110"/>
    <w:rsid w:val="0068260E"/>
    <w:rsid w:val="006833B9"/>
    <w:rsid w:val="006846B3"/>
    <w:rsid w:val="00684B9B"/>
    <w:rsid w:val="00684D59"/>
    <w:rsid w:val="00684E25"/>
    <w:rsid w:val="0068510B"/>
    <w:rsid w:val="006858A4"/>
    <w:rsid w:val="00685C08"/>
    <w:rsid w:val="00686718"/>
    <w:rsid w:val="00686BFA"/>
    <w:rsid w:val="00686DED"/>
    <w:rsid w:val="00687041"/>
    <w:rsid w:val="006875A0"/>
    <w:rsid w:val="006878C6"/>
    <w:rsid w:val="00687D27"/>
    <w:rsid w:val="00691077"/>
    <w:rsid w:val="00691286"/>
    <w:rsid w:val="00691943"/>
    <w:rsid w:val="00693550"/>
    <w:rsid w:val="0069478C"/>
    <w:rsid w:val="00695065"/>
    <w:rsid w:val="00695BEF"/>
    <w:rsid w:val="00695F61"/>
    <w:rsid w:val="00696251"/>
    <w:rsid w:val="006966C7"/>
    <w:rsid w:val="006968C1"/>
    <w:rsid w:val="006977F6"/>
    <w:rsid w:val="00697A13"/>
    <w:rsid w:val="006A0DD4"/>
    <w:rsid w:val="006A109C"/>
    <w:rsid w:val="006A35BD"/>
    <w:rsid w:val="006A5C70"/>
    <w:rsid w:val="006A5D24"/>
    <w:rsid w:val="006A5F4B"/>
    <w:rsid w:val="006A6114"/>
    <w:rsid w:val="006A6565"/>
    <w:rsid w:val="006A66EC"/>
    <w:rsid w:val="006A7180"/>
    <w:rsid w:val="006A7691"/>
    <w:rsid w:val="006A7EE2"/>
    <w:rsid w:val="006B0514"/>
    <w:rsid w:val="006B0BC4"/>
    <w:rsid w:val="006B0F92"/>
    <w:rsid w:val="006B2785"/>
    <w:rsid w:val="006B27C7"/>
    <w:rsid w:val="006B344A"/>
    <w:rsid w:val="006B3C21"/>
    <w:rsid w:val="006B58C9"/>
    <w:rsid w:val="006B60ED"/>
    <w:rsid w:val="006B6CC5"/>
    <w:rsid w:val="006B74AC"/>
    <w:rsid w:val="006B7795"/>
    <w:rsid w:val="006B78D8"/>
    <w:rsid w:val="006B79EA"/>
    <w:rsid w:val="006B7B25"/>
    <w:rsid w:val="006B7C48"/>
    <w:rsid w:val="006C097F"/>
    <w:rsid w:val="006C0C5D"/>
    <w:rsid w:val="006C113F"/>
    <w:rsid w:val="006C123E"/>
    <w:rsid w:val="006C15A1"/>
    <w:rsid w:val="006C1752"/>
    <w:rsid w:val="006C1DDC"/>
    <w:rsid w:val="006C28CA"/>
    <w:rsid w:val="006C2BBF"/>
    <w:rsid w:val="006C2FBD"/>
    <w:rsid w:val="006C2FC7"/>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0A17"/>
    <w:rsid w:val="006D0B22"/>
    <w:rsid w:val="006D18B3"/>
    <w:rsid w:val="006D1E89"/>
    <w:rsid w:val="006D26CE"/>
    <w:rsid w:val="006D317E"/>
    <w:rsid w:val="006D346C"/>
    <w:rsid w:val="006D3E8A"/>
    <w:rsid w:val="006D61F6"/>
    <w:rsid w:val="006E0A4F"/>
    <w:rsid w:val="006E1081"/>
    <w:rsid w:val="006E1332"/>
    <w:rsid w:val="006E16DC"/>
    <w:rsid w:val="006E19CB"/>
    <w:rsid w:val="006E2406"/>
    <w:rsid w:val="006E279A"/>
    <w:rsid w:val="006E313B"/>
    <w:rsid w:val="006E34B2"/>
    <w:rsid w:val="006E353D"/>
    <w:rsid w:val="006E35C5"/>
    <w:rsid w:val="006E37A9"/>
    <w:rsid w:val="006E3861"/>
    <w:rsid w:val="006E3A45"/>
    <w:rsid w:val="006E4078"/>
    <w:rsid w:val="006E4D8C"/>
    <w:rsid w:val="006E51C4"/>
    <w:rsid w:val="006E53AD"/>
    <w:rsid w:val="006E58CB"/>
    <w:rsid w:val="006E6A93"/>
    <w:rsid w:val="006E6C4C"/>
    <w:rsid w:val="006E7227"/>
    <w:rsid w:val="006E761A"/>
    <w:rsid w:val="006F0646"/>
    <w:rsid w:val="006F0741"/>
    <w:rsid w:val="006F1C27"/>
    <w:rsid w:val="006F2A65"/>
    <w:rsid w:val="006F3DD6"/>
    <w:rsid w:val="006F3FCF"/>
    <w:rsid w:val="006F40DF"/>
    <w:rsid w:val="006F42BB"/>
    <w:rsid w:val="006F438E"/>
    <w:rsid w:val="006F440B"/>
    <w:rsid w:val="006F48A3"/>
    <w:rsid w:val="006F4DA4"/>
    <w:rsid w:val="006F5416"/>
    <w:rsid w:val="006F624B"/>
    <w:rsid w:val="006F6D87"/>
    <w:rsid w:val="006F6FF2"/>
    <w:rsid w:val="006F79FB"/>
    <w:rsid w:val="007008A9"/>
    <w:rsid w:val="00701C8C"/>
    <w:rsid w:val="0070398A"/>
    <w:rsid w:val="00704CC4"/>
    <w:rsid w:val="00705242"/>
    <w:rsid w:val="007055E0"/>
    <w:rsid w:val="007056ED"/>
    <w:rsid w:val="0070583E"/>
    <w:rsid w:val="00705F4E"/>
    <w:rsid w:val="0070658E"/>
    <w:rsid w:val="007065C5"/>
    <w:rsid w:val="007068E1"/>
    <w:rsid w:val="00706AA0"/>
    <w:rsid w:val="00706AD4"/>
    <w:rsid w:val="00707150"/>
    <w:rsid w:val="007124D7"/>
    <w:rsid w:val="00712C20"/>
    <w:rsid w:val="00713549"/>
    <w:rsid w:val="007140BE"/>
    <w:rsid w:val="00714276"/>
    <w:rsid w:val="007147AB"/>
    <w:rsid w:val="00715502"/>
    <w:rsid w:val="00715D01"/>
    <w:rsid w:val="00715E4D"/>
    <w:rsid w:val="00715F12"/>
    <w:rsid w:val="0071677A"/>
    <w:rsid w:val="00716F48"/>
    <w:rsid w:val="007170FB"/>
    <w:rsid w:val="00717114"/>
    <w:rsid w:val="0071779F"/>
    <w:rsid w:val="00720310"/>
    <w:rsid w:val="007211F5"/>
    <w:rsid w:val="00721601"/>
    <w:rsid w:val="00722405"/>
    <w:rsid w:val="00722777"/>
    <w:rsid w:val="00723435"/>
    <w:rsid w:val="00723436"/>
    <w:rsid w:val="007240E2"/>
    <w:rsid w:val="0072454C"/>
    <w:rsid w:val="0072583E"/>
    <w:rsid w:val="00725BB5"/>
    <w:rsid w:val="007269A4"/>
    <w:rsid w:val="007276EF"/>
    <w:rsid w:val="00727C02"/>
    <w:rsid w:val="0073008E"/>
    <w:rsid w:val="00730A8B"/>
    <w:rsid w:val="00730AE8"/>
    <w:rsid w:val="00730F1B"/>
    <w:rsid w:val="0073186D"/>
    <w:rsid w:val="0073300A"/>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7DA"/>
    <w:rsid w:val="00747EE9"/>
    <w:rsid w:val="00750B07"/>
    <w:rsid w:val="007520B6"/>
    <w:rsid w:val="00752180"/>
    <w:rsid w:val="00752323"/>
    <w:rsid w:val="007527E8"/>
    <w:rsid w:val="007532B7"/>
    <w:rsid w:val="0075342B"/>
    <w:rsid w:val="007539E9"/>
    <w:rsid w:val="00753CAB"/>
    <w:rsid w:val="00754962"/>
    <w:rsid w:val="0075499A"/>
    <w:rsid w:val="00754A70"/>
    <w:rsid w:val="00754BC9"/>
    <w:rsid w:val="00755202"/>
    <w:rsid w:val="00755D3A"/>
    <w:rsid w:val="00757241"/>
    <w:rsid w:val="0075751D"/>
    <w:rsid w:val="0075763E"/>
    <w:rsid w:val="007578D3"/>
    <w:rsid w:val="00757FD9"/>
    <w:rsid w:val="007602CF"/>
    <w:rsid w:val="00760391"/>
    <w:rsid w:val="007609C6"/>
    <w:rsid w:val="007610BC"/>
    <w:rsid w:val="007615F3"/>
    <w:rsid w:val="0076175D"/>
    <w:rsid w:val="00761CB5"/>
    <w:rsid w:val="00761F63"/>
    <w:rsid w:val="007629D5"/>
    <w:rsid w:val="00762EFF"/>
    <w:rsid w:val="007631BC"/>
    <w:rsid w:val="007635F8"/>
    <w:rsid w:val="00763815"/>
    <w:rsid w:val="00763B85"/>
    <w:rsid w:val="00764974"/>
    <w:rsid w:val="00764D18"/>
    <w:rsid w:val="0076521E"/>
    <w:rsid w:val="00765BCC"/>
    <w:rsid w:val="0076600D"/>
    <w:rsid w:val="007661E9"/>
    <w:rsid w:val="00766460"/>
    <w:rsid w:val="00767062"/>
    <w:rsid w:val="00767601"/>
    <w:rsid w:val="00767777"/>
    <w:rsid w:val="00770271"/>
    <w:rsid w:val="00770CFC"/>
    <w:rsid w:val="0077130E"/>
    <w:rsid w:val="007715EE"/>
    <w:rsid w:val="00771972"/>
    <w:rsid w:val="00772279"/>
    <w:rsid w:val="00772DAB"/>
    <w:rsid w:val="00772FF9"/>
    <w:rsid w:val="007743DB"/>
    <w:rsid w:val="00774D2C"/>
    <w:rsid w:val="0077605B"/>
    <w:rsid w:val="00776169"/>
    <w:rsid w:val="00776527"/>
    <w:rsid w:val="00777040"/>
    <w:rsid w:val="00777CE6"/>
    <w:rsid w:val="00777D57"/>
    <w:rsid w:val="007805DD"/>
    <w:rsid w:val="00780EF1"/>
    <w:rsid w:val="00781A91"/>
    <w:rsid w:val="00781AD3"/>
    <w:rsid w:val="00781F36"/>
    <w:rsid w:val="0078274D"/>
    <w:rsid w:val="00782AAD"/>
    <w:rsid w:val="00783576"/>
    <w:rsid w:val="00785778"/>
    <w:rsid w:val="00786C87"/>
    <w:rsid w:val="0078729D"/>
    <w:rsid w:val="0078755E"/>
    <w:rsid w:val="007877C9"/>
    <w:rsid w:val="007906E3"/>
    <w:rsid w:val="00790764"/>
    <w:rsid w:val="0079085F"/>
    <w:rsid w:val="00790E96"/>
    <w:rsid w:val="00791005"/>
    <w:rsid w:val="007923CE"/>
    <w:rsid w:val="00793D78"/>
    <w:rsid w:val="0079420B"/>
    <w:rsid w:val="0079453C"/>
    <w:rsid w:val="00794677"/>
    <w:rsid w:val="00795759"/>
    <w:rsid w:val="00797FF6"/>
    <w:rsid w:val="007A170B"/>
    <w:rsid w:val="007A1B7B"/>
    <w:rsid w:val="007A20EB"/>
    <w:rsid w:val="007A282C"/>
    <w:rsid w:val="007A293C"/>
    <w:rsid w:val="007A2A3A"/>
    <w:rsid w:val="007A2FB9"/>
    <w:rsid w:val="007A33E2"/>
    <w:rsid w:val="007A3CAF"/>
    <w:rsid w:val="007A429E"/>
    <w:rsid w:val="007A4664"/>
    <w:rsid w:val="007A4782"/>
    <w:rsid w:val="007A516D"/>
    <w:rsid w:val="007A5E65"/>
    <w:rsid w:val="007A65E1"/>
    <w:rsid w:val="007A6AAA"/>
    <w:rsid w:val="007A7033"/>
    <w:rsid w:val="007A775D"/>
    <w:rsid w:val="007A7B8F"/>
    <w:rsid w:val="007B00D4"/>
    <w:rsid w:val="007B04B0"/>
    <w:rsid w:val="007B0834"/>
    <w:rsid w:val="007B0E83"/>
    <w:rsid w:val="007B11FA"/>
    <w:rsid w:val="007B1396"/>
    <w:rsid w:val="007B16D6"/>
    <w:rsid w:val="007B2011"/>
    <w:rsid w:val="007B2CFE"/>
    <w:rsid w:val="007B309B"/>
    <w:rsid w:val="007B3D5E"/>
    <w:rsid w:val="007B3DCB"/>
    <w:rsid w:val="007B4016"/>
    <w:rsid w:val="007B4AD3"/>
    <w:rsid w:val="007B5725"/>
    <w:rsid w:val="007B5C1F"/>
    <w:rsid w:val="007B6689"/>
    <w:rsid w:val="007B6747"/>
    <w:rsid w:val="007B6F72"/>
    <w:rsid w:val="007B74AA"/>
    <w:rsid w:val="007C02DA"/>
    <w:rsid w:val="007C0390"/>
    <w:rsid w:val="007C10BD"/>
    <w:rsid w:val="007C162D"/>
    <w:rsid w:val="007C1F0C"/>
    <w:rsid w:val="007C1FFB"/>
    <w:rsid w:val="007C2D94"/>
    <w:rsid w:val="007C4A6B"/>
    <w:rsid w:val="007C5F92"/>
    <w:rsid w:val="007C6084"/>
    <w:rsid w:val="007C6227"/>
    <w:rsid w:val="007C6BBD"/>
    <w:rsid w:val="007C6D89"/>
    <w:rsid w:val="007C6F5E"/>
    <w:rsid w:val="007C7848"/>
    <w:rsid w:val="007D0382"/>
    <w:rsid w:val="007D14FE"/>
    <w:rsid w:val="007D1A1F"/>
    <w:rsid w:val="007D213B"/>
    <w:rsid w:val="007D2632"/>
    <w:rsid w:val="007D2E18"/>
    <w:rsid w:val="007D40DF"/>
    <w:rsid w:val="007D42E5"/>
    <w:rsid w:val="007D4458"/>
    <w:rsid w:val="007D4D3D"/>
    <w:rsid w:val="007D6AF9"/>
    <w:rsid w:val="007E0535"/>
    <w:rsid w:val="007E07F2"/>
    <w:rsid w:val="007E0D4A"/>
    <w:rsid w:val="007E1788"/>
    <w:rsid w:val="007E1EE3"/>
    <w:rsid w:val="007E29B4"/>
    <w:rsid w:val="007E2F12"/>
    <w:rsid w:val="007E435A"/>
    <w:rsid w:val="007E445C"/>
    <w:rsid w:val="007E49F7"/>
    <w:rsid w:val="007E4C70"/>
    <w:rsid w:val="007E525A"/>
    <w:rsid w:val="007E5B5F"/>
    <w:rsid w:val="007E69C6"/>
    <w:rsid w:val="007E6D37"/>
    <w:rsid w:val="007E78B6"/>
    <w:rsid w:val="007E7E61"/>
    <w:rsid w:val="007F0845"/>
    <w:rsid w:val="007F0873"/>
    <w:rsid w:val="007F0BAF"/>
    <w:rsid w:val="007F20F3"/>
    <w:rsid w:val="007F2353"/>
    <w:rsid w:val="007F2390"/>
    <w:rsid w:val="007F2AB9"/>
    <w:rsid w:val="007F2C49"/>
    <w:rsid w:val="007F2CAC"/>
    <w:rsid w:val="007F4740"/>
    <w:rsid w:val="007F5123"/>
    <w:rsid w:val="007F595A"/>
    <w:rsid w:val="007F5C38"/>
    <w:rsid w:val="007F708D"/>
    <w:rsid w:val="007F7E3F"/>
    <w:rsid w:val="008006B3"/>
    <w:rsid w:val="00800B63"/>
    <w:rsid w:val="00801332"/>
    <w:rsid w:val="0080158A"/>
    <w:rsid w:val="00801E13"/>
    <w:rsid w:val="00803008"/>
    <w:rsid w:val="00803069"/>
    <w:rsid w:val="0080346B"/>
    <w:rsid w:val="00804155"/>
    <w:rsid w:val="00804C9F"/>
    <w:rsid w:val="0080559E"/>
    <w:rsid w:val="00805AF3"/>
    <w:rsid w:val="00806381"/>
    <w:rsid w:val="00806C9C"/>
    <w:rsid w:val="0080734C"/>
    <w:rsid w:val="0080772F"/>
    <w:rsid w:val="00807C82"/>
    <w:rsid w:val="0081019E"/>
    <w:rsid w:val="008117CC"/>
    <w:rsid w:val="00811E19"/>
    <w:rsid w:val="00811FF8"/>
    <w:rsid w:val="00813D58"/>
    <w:rsid w:val="00813DCA"/>
    <w:rsid w:val="0081529A"/>
    <w:rsid w:val="00815DED"/>
    <w:rsid w:val="008161A6"/>
    <w:rsid w:val="008165B8"/>
    <w:rsid w:val="00816905"/>
    <w:rsid w:val="00816D98"/>
    <w:rsid w:val="00816E42"/>
    <w:rsid w:val="00817040"/>
    <w:rsid w:val="00817A17"/>
    <w:rsid w:val="00817EC1"/>
    <w:rsid w:val="008205DE"/>
    <w:rsid w:val="0082112D"/>
    <w:rsid w:val="00821FF6"/>
    <w:rsid w:val="00822574"/>
    <w:rsid w:val="00822980"/>
    <w:rsid w:val="00822CB8"/>
    <w:rsid w:val="00822F08"/>
    <w:rsid w:val="00823983"/>
    <w:rsid w:val="00824BA6"/>
    <w:rsid w:val="00825C4D"/>
    <w:rsid w:val="008266CE"/>
    <w:rsid w:val="00826A08"/>
    <w:rsid w:val="00826AC0"/>
    <w:rsid w:val="00827186"/>
    <w:rsid w:val="00827C8E"/>
    <w:rsid w:val="00827C97"/>
    <w:rsid w:val="00830569"/>
    <w:rsid w:val="00830AEA"/>
    <w:rsid w:val="00830E86"/>
    <w:rsid w:val="00831240"/>
    <w:rsid w:val="0083143E"/>
    <w:rsid w:val="008315B8"/>
    <w:rsid w:val="008315D5"/>
    <w:rsid w:val="00831CDE"/>
    <w:rsid w:val="00831F2B"/>
    <w:rsid w:val="008320CF"/>
    <w:rsid w:val="008324A3"/>
    <w:rsid w:val="00832F77"/>
    <w:rsid w:val="00834304"/>
    <w:rsid w:val="00834F8E"/>
    <w:rsid w:val="00834FAA"/>
    <w:rsid w:val="008354FB"/>
    <w:rsid w:val="00835FF1"/>
    <w:rsid w:val="00836086"/>
    <w:rsid w:val="0083630F"/>
    <w:rsid w:val="00836A06"/>
    <w:rsid w:val="00836C2D"/>
    <w:rsid w:val="008374BC"/>
    <w:rsid w:val="008377E6"/>
    <w:rsid w:val="0083782B"/>
    <w:rsid w:val="008379D6"/>
    <w:rsid w:val="00837E48"/>
    <w:rsid w:val="00840293"/>
    <w:rsid w:val="008402AD"/>
    <w:rsid w:val="008408D4"/>
    <w:rsid w:val="008417B5"/>
    <w:rsid w:val="00841901"/>
    <w:rsid w:val="008433D2"/>
    <w:rsid w:val="00843B19"/>
    <w:rsid w:val="00845294"/>
    <w:rsid w:val="008458BD"/>
    <w:rsid w:val="00846121"/>
    <w:rsid w:val="008461C2"/>
    <w:rsid w:val="008462F1"/>
    <w:rsid w:val="008466C6"/>
    <w:rsid w:val="0084708F"/>
    <w:rsid w:val="008477C8"/>
    <w:rsid w:val="008478A6"/>
    <w:rsid w:val="008502F6"/>
    <w:rsid w:val="0085036C"/>
    <w:rsid w:val="00850E83"/>
    <w:rsid w:val="0085114D"/>
    <w:rsid w:val="008520A8"/>
    <w:rsid w:val="00852217"/>
    <w:rsid w:val="00852821"/>
    <w:rsid w:val="008531F5"/>
    <w:rsid w:val="0085321C"/>
    <w:rsid w:val="00853282"/>
    <w:rsid w:val="0085334C"/>
    <w:rsid w:val="00853D1F"/>
    <w:rsid w:val="00854291"/>
    <w:rsid w:val="00855408"/>
    <w:rsid w:val="00855D03"/>
    <w:rsid w:val="008567BA"/>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ECD"/>
    <w:rsid w:val="0087347C"/>
    <w:rsid w:val="008734E7"/>
    <w:rsid w:val="0087368D"/>
    <w:rsid w:val="008740CC"/>
    <w:rsid w:val="0087442A"/>
    <w:rsid w:val="00874FE8"/>
    <w:rsid w:val="00875A32"/>
    <w:rsid w:val="00876086"/>
    <w:rsid w:val="00876651"/>
    <w:rsid w:val="00876E83"/>
    <w:rsid w:val="008772BC"/>
    <w:rsid w:val="00877448"/>
    <w:rsid w:val="00880A0E"/>
    <w:rsid w:val="008816A8"/>
    <w:rsid w:val="008817FE"/>
    <w:rsid w:val="00881CD7"/>
    <w:rsid w:val="008824D4"/>
    <w:rsid w:val="00882911"/>
    <w:rsid w:val="00882EC3"/>
    <w:rsid w:val="00882F6E"/>
    <w:rsid w:val="00883202"/>
    <w:rsid w:val="0088477F"/>
    <w:rsid w:val="00884E02"/>
    <w:rsid w:val="00885D40"/>
    <w:rsid w:val="00886AFB"/>
    <w:rsid w:val="008872A7"/>
    <w:rsid w:val="008873D4"/>
    <w:rsid w:val="008879D9"/>
    <w:rsid w:val="00890CB1"/>
    <w:rsid w:val="00891269"/>
    <w:rsid w:val="00891EDF"/>
    <w:rsid w:val="008921E9"/>
    <w:rsid w:val="00892872"/>
    <w:rsid w:val="0089296D"/>
    <w:rsid w:val="00893E85"/>
    <w:rsid w:val="00893EBE"/>
    <w:rsid w:val="00894031"/>
    <w:rsid w:val="00894C5D"/>
    <w:rsid w:val="00895508"/>
    <w:rsid w:val="008963DB"/>
    <w:rsid w:val="008967E9"/>
    <w:rsid w:val="00896A5C"/>
    <w:rsid w:val="008972D2"/>
    <w:rsid w:val="0089754C"/>
    <w:rsid w:val="008A0659"/>
    <w:rsid w:val="008A0ADD"/>
    <w:rsid w:val="008A0D27"/>
    <w:rsid w:val="008A1144"/>
    <w:rsid w:val="008A1C59"/>
    <w:rsid w:val="008A2091"/>
    <w:rsid w:val="008A37E2"/>
    <w:rsid w:val="008A388E"/>
    <w:rsid w:val="008A394E"/>
    <w:rsid w:val="008A3CBA"/>
    <w:rsid w:val="008A4B59"/>
    <w:rsid w:val="008A6215"/>
    <w:rsid w:val="008A62BF"/>
    <w:rsid w:val="008A63E1"/>
    <w:rsid w:val="008A66B7"/>
    <w:rsid w:val="008A68BB"/>
    <w:rsid w:val="008A6AA5"/>
    <w:rsid w:val="008A7127"/>
    <w:rsid w:val="008B0CBA"/>
    <w:rsid w:val="008B2639"/>
    <w:rsid w:val="008B3537"/>
    <w:rsid w:val="008B3690"/>
    <w:rsid w:val="008B3A80"/>
    <w:rsid w:val="008B3AEC"/>
    <w:rsid w:val="008B3C07"/>
    <w:rsid w:val="008B3F7B"/>
    <w:rsid w:val="008B494C"/>
    <w:rsid w:val="008B4AEC"/>
    <w:rsid w:val="008B5324"/>
    <w:rsid w:val="008B5C99"/>
    <w:rsid w:val="008B6106"/>
    <w:rsid w:val="008B65DE"/>
    <w:rsid w:val="008B7149"/>
    <w:rsid w:val="008B72D5"/>
    <w:rsid w:val="008B7BBE"/>
    <w:rsid w:val="008B7C02"/>
    <w:rsid w:val="008B7D2B"/>
    <w:rsid w:val="008B7E1A"/>
    <w:rsid w:val="008B7EF9"/>
    <w:rsid w:val="008C0049"/>
    <w:rsid w:val="008C0314"/>
    <w:rsid w:val="008C0E88"/>
    <w:rsid w:val="008C10E5"/>
    <w:rsid w:val="008C1717"/>
    <w:rsid w:val="008C17F0"/>
    <w:rsid w:val="008C3B05"/>
    <w:rsid w:val="008C43F2"/>
    <w:rsid w:val="008C48C4"/>
    <w:rsid w:val="008C4B50"/>
    <w:rsid w:val="008C5A37"/>
    <w:rsid w:val="008C7569"/>
    <w:rsid w:val="008C79C3"/>
    <w:rsid w:val="008C7A93"/>
    <w:rsid w:val="008D006F"/>
    <w:rsid w:val="008D033D"/>
    <w:rsid w:val="008D0DBD"/>
    <w:rsid w:val="008D117E"/>
    <w:rsid w:val="008D127E"/>
    <w:rsid w:val="008D1CA8"/>
    <w:rsid w:val="008D1E0A"/>
    <w:rsid w:val="008D1E6A"/>
    <w:rsid w:val="008D2407"/>
    <w:rsid w:val="008D2A16"/>
    <w:rsid w:val="008D2AEC"/>
    <w:rsid w:val="008D2DBA"/>
    <w:rsid w:val="008D3295"/>
    <w:rsid w:val="008D33F5"/>
    <w:rsid w:val="008D35E4"/>
    <w:rsid w:val="008D3ACD"/>
    <w:rsid w:val="008D50BD"/>
    <w:rsid w:val="008D5F7F"/>
    <w:rsid w:val="008D6C3A"/>
    <w:rsid w:val="008D70E2"/>
    <w:rsid w:val="008D73E0"/>
    <w:rsid w:val="008E0001"/>
    <w:rsid w:val="008E08CA"/>
    <w:rsid w:val="008E0F7B"/>
    <w:rsid w:val="008E292B"/>
    <w:rsid w:val="008E2C57"/>
    <w:rsid w:val="008E31FF"/>
    <w:rsid w:val="008E3287"/>
    <w:rsid w:val="008E38E4"/>
    <w:rsid w:val="008E51EB"/>
    <w:rsid w:val="008E6DCB"/>
    <w:rsid w:val="008E6F06"/>
    <w:rsid w:val="008E7000"/>
    <w:rsid w:val="008E7B8E"/>
    <w:rsid w:val="008E7FC9"/>
    <w:rsid w:val="008F0107"/>
    <w:rsid w:val="008F029B"/>
    <w:rsid w:val="008F056E"/>
    <w:rsid w:val="008F0589"/>
    <w:rsid w:val="008F0E85"/>
    <w:rsid w:val="008F2A5D"/>
    <w:rsid w:val="008F2BC7"/>
    <w:rsid w:val="008F3636"/>
    <w:rsid w:val="008F3FC9"/>
    <w:rsid w:val="008F509F"/>
    <w:rsid w:val="008F5383"/>
    <w:rsid w:val="008F585B"/>
    <w:rsid w:val="008F7FB0"/>
    <w:rsid w:val="009003A8"/>
    <w:rsid w:val="0090058A"/>
    <w:rsid w:val="009005E4"/>
    <w:rsid w:val="00900977"/>
    <w:rsid w:val="009021DA"/>
    <w:rsid w:val="00902500"/>
    <w:rsid w:val="00902EFF"/>
    <w:rsid w:val="00903389"/>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1D2C"/>
    <w:rsid w:val="00912437"/>
    <w:rsid w:val="00912A92"/>
    <w:rsid w:val="00914374"/>
    <w:rsid w:val="0091476D"/>
    <w:rsid w:val="00915D07"/>
    <w:rsid w:val="009162AE"/>
    <w:rsid w:val="00916C45"/>
    <w:rsid w:val="00917251"/>
    <w:rsid w:val="0091728D"/>
    <w:rsid w:val="0092036B"/>
    <w:rsid w:val="009203CC"/>
    <w:rsid w:val="00920EC4"/>
    <w:rsid w:val="0092180B"/>
    <w:rsid w:val="009219EA"/>
    <w:rsid w:val="00921F14"/>
    <w:rsid w:val="0092292F"/>
    <w:rsid w:val="00922D28"/>
    <w:rsid w:val="00923B42"/>
    <w:rsid w:val="00923CB0"/>
    <w:rsid w:val="00923D8C"/>
    <w:rsid w:val="00924564"/>
    <w:rsid w:val="00924871"/>
    <w:rsid w:val="00924AC8"/>
    <w:rsid w:val="009252B6"/>
    <w:rsid w:val="00925429"/>
    <w:rsid w:val="00925615"/>
    <w:rsid w:val="0092597A"/>
    <w:rsid w:val="00926520"/>
    <w:rsid w:val="00926CF0"/>
    <w:rsid w:val="009273A9"/>
    <w:rsid w:val="00930251"/>
    <w:rsid w:val="0093033E"/>
    <w:rsid w:val="009305FC"/>
    <w:rsid w:val="00930FB1"/>
    <w:rsid w:val="009311F8"/>
    <w:rsid w:val="0093139F"/>
    <w:rsid w:val="00932443"/>
    <w:rsid w:val="00932B32"/>
    <w:rsid w:val="0093305E"/>
    <w:rsid w:val="00933F4A"/>
    <w:rsid w:val="009341F1"/>
    <w:rsid w:val="00934FF2"/>
    <w:rsid w:val="0093577E"/>
    <w:rsid w:val="009358D7"/>
    <w:rsid w:val="00935BD4"/>
    <w:rsid w:val="00935DFE"/>
    <w:rsid w:val="00935F70"/>
    <w:rsid w:val="0093648B"/>
    <w:rsid w:val="009373B2"/>
    <w:rsid w:val="00937AE2"/>
    <w:rsid w:val="0094061F"/>
    <w:rsid w:val="00940F0F"/>
    <w:rsid w:val="00941912"/>
    <w:rsid w:val="0094416B"/>
    <w:rsid w:val="0094427A"/>
    <w:rsid w:val="00944C7C"/>
    <w:rsid w:val="00945245"/>
    <w:rsid w:val="00945523"/>
    <w:rsid w:val="00950330"/>
    <w:rsid w:val="00950921"/>
    <w:rsid w:val="00951D68"/>
    <w:rsid w:val="00951E5B"/>
    <w:rsid w:val="00952050"/>
    <w:rsid w:val="00952315"/>
    <w:rsid w:val="009523D9"/>
    <w:rsid w:val="0095299F"/>
    <w:rsid w:val="00952B7B"/>
    <w:rsid w:val="0095357B"/>
    <w:rsid w:val="009538B3"/>
    <w:rsid w:val="0095458C"/>
    <w:rsid w:val="00954F39"/>
    <w:rsid w:val="009555FD"/>
    <w:rsid w:val="0095664B"/>
    <w:rsid w:val="009568DC"/>
    <w:rsid w:val="009569DC"/>
    <w:rsid w:val="00957140"/>
    <w:rsid w:val="00957445"/>
    <w:rsid w:val="0095759C"/>
    <w:rsid w:val="009618EE"/>
    <w:rsid w:val="00961DDD"/>
    <w:rsid w:val="009624D2"/>
    <w:rsid w:val="009628D9"/>
    <w:rsid w:val="0096321C"/>
    <w:rsid w:val="0096378B"/>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67D62"/>
    <w:rsid w:val="00970A1A"/>
    <w:rsid w:val="00970FB5"/>
    <w:rsid w:val="00971710"/>
    <w:rsid w:val="00971B87"/>
    <w:rsid w:val="00971C77"/>
    <w:rsid w:val="0097203A"/>
    <w:rsid w:val="00972417"/>
    <w:rsid w:val="00972746"/>
    <w:rsid w:val="00972FCD"/>
    <w:rsid w:val="009732DF"/>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2EC"/>
    <w:rsid w:val="00992BB3"/>
    <w:rsid w:val="00992CF3"/>
    <w:rsid w:val="00993194"/>
    <w:rsid w:val="0099321E"/>
    <w:rsid w:val="00993C99"/>
    <w:rsid w:val="00994171"/>
    <w:rsid w:val="00994868"/>
    <w:rsid w:val="00994976"/>
    <w:rsid w:val="00994D28"/>
    <w:rsid w:val="00994F12"/>
    <w:rsid w:val="00994F2C"/>
    <w:rsid w:val="00995720"/>
    <w:rsid w:val="009957CC"/>
    <w:rsid w:val="009968D6"/>
    <w:rsid w:val="00997953"/>
    <w:rsid w:val="00997D55"/>
    <w:rsid w:val="009A0BFF"/>
    <w:rsid w:val="009A10A0"/>
    <w:rsid w:val="009A1CAB"/>
    <w:rsid w:val="009A2359"/>
    <w:rsid w:val="009A24F1"/>
    <w:rsid w:val="009A27E0"/>
    <w:rsid w:val="009A2ECA"/>
    <w:rsid w:val="009A3CF6"/>
    <w:rsid w:val="009A4182"/>
    <w:rsid w:val="009A4D57"/>
    <w:rsid w:val="009A51A5"/>
    <w:rsid w:val="009A5923"/>
    <w:rsid w:val="009A60D1"/>
    <w:rsid w:val="009A6225"/>
    <w:rsid w:val="009A64A3"/>
    <w:rsid w:val="009A64F5"/>
    <w:rsid w:val="009B00D2"/>
    <w:rsid w:val="009B05B3"/>
    <w:rsid w:val="009B0CAF"/>
    <w:rsid w:val="009B1324"/>
    <w:rsid w:val="009B2558"/>
    <w:rsid w:val="009B284F"/>
    <w:rsid w:val="009B2951"/>
    <w:rsid w:val="009B3764"/>
    <w:rsid w:val="009B3840"/>
    <w:rsid w:val="009B3FCD"/>
    <w:rsid w:val="009B52AC"/>
    <w:rsid w:val="009B59EA"/>
    <w:rsid w:val="009B6330"/>
    <w:rsid w:val="009B66CE"/>
    <w:rsid w:val="009B6FD3"/>
    <w:rsid w:val="009B72BE"/>
    <w:rsid w:val="009B72CB"/>
    <w:rsid w:val="009B78A4"/>
    <w:rsid w:val="009B7DB2"/>
    <w:rsid w:val="009C00A9"/>
    <w:rsid w:val="009C03DB"/>
    <w:rsid w:val="009C1334"/>
    <w:rsid w:val="009C15AF"/>
    <w:rsid w:val="009C1750"/>
    <w:rsid w:val="009C190B"/>
    <w:rsid w:val="009C22C7"/>
    <w:rsid w:val="009C2E29"/>
    <w:rsid w:val="009C3E65"/>
    <w:rsid w:val="009C3E8F"/>
    <w:rsid w:val="009C554B"/>
    <w:rsid w:val="009C5E83"/>
    <w:rsid w:val="009C709E"/>
    <w:rsid w:val="009C7126"/>
    <w:rsid w:val="009C719E"/>
    <w:rsid w:val="009C7799"/>
    <w:rsid w:val="009C7E77"/>
    <w:rsid w:val="009D07A9"/>
    <w:rsid w:val="009D099A"/>
    <w:rsid w:val="009D0AE2"/>
    <w:rsid w:val="009D0D9F"/>
    <w:rsid w:val="009D0EBB"/>
    <w:rsid w:val="009D2145"/>
    <w:rsid w:val="009D2C46"/>
    <w:rsid w:val="009D3ACD"/>
    <w:rsid w:val="009D4254"/>
    <w:rsid w:val="009D4F21"/>
    <w:rsid w:val="009D587D"/>
    <w:rsid w:val="009D5A16"/>
    <w:rsid w:val="009D6D20"/>
    <w:rsid w:val="009D7731"/>
    <w:rsid w:val="009E1120"/>
    <w:rsid w:val="009E1393"/>
    <w:rsid w:val="009E1922"/>
    <w:rsid w:val="009E1A3D"/>
    <w:rsid w:val="009E1A7D"/>
    <w:rsid w:val="009E3531"/>
    <w:rsid w:val="009E4715"/>
    <w:rsid w:val="009E4A58"/>
    <w:rsid w:val="009E5273"/>
    <w:rsid w:val="009E57A8"/>
    <w:rsid w:val="009E5B85"/>
    <w:rsid w:val="009E5DDB"/>
    <w:rsid w:val="009F254D"/>
    <w:rsid w:val="009F2921"/>
    <w:rsid w:val="009F42CF"/>
    <w:rsid w:val="009F455D"/>
    <w:rsid w:val="009F4982"/>
    <w:rsid w:val="009F4CA7"/>
    <w:rsid w:val="009F4F6A"/>
    <w:rsid w:val="009F55BA"/>
    <w:rsid w:val="009F5FA1"/>
    <w:rsid w:val="009F6B1F"/>
    <w:rsid w:val="009F6D92"/>
    <w:rsid w:val="009F7D36"/>
    <w:rsid w:val="009F7D61"/>
    <w:rsid w:val="00A00DAE"/>
    <w:rsid w:val="00A00E71"/>
    <w:rsid w:val="00A024FB"/>
    <w:rsid w:val="00A0306F"/>
    <w:rsid w:val="00A03511"/>
    <w:rsid w:val="00A03B10"/>
    <w:rsid w:val="00A03E2E"/>
    <w:rsid w:val="00A04616"/>
    <w:rsid w:val="00A04717"/>
    <w:rsid w:val="00A04D45"/>
    <w:rsid w:val="00A05D8F"/>
    <w:rsid w:val="00A05EE4"/>
    <w:rsid w:val="00A06F99"/>
    <w:rsid w:val="00A0748D"/>
    <w:rsid w:val="00A1053B"/>
    <w:rsid w:val="00A10D66"/>
    <w:rsid w:val="00A112A6"/>
    <w:rsid w:val="00A113A4"/>
    <w:rsid w:val="00A12D51"/>
    <w:rsid w:val="00A14114"/>
    <w:rsid w:val="00A16413"/>
    <w:rsid w:val="00A16545"/>
    <w:rsid w:val="00A1671B"/>
    <w:rsid w:val="00A16A1A"/>
    <w:rsid w:val="00A16AED"/>
    <w:rsid w:val="00A16BD3"/>
    <w:rsid w:val="00A16C37"/>
    <w:rsid w:val="00A16E1D"/>
    <w:rsid w:val="00A171D5"/>
    <w:rsid w:val="00A17A15"/>
    <w:rsid w:val="00A17A37"/>
    <w:rsid w:val="00A17D5B"/>
    <w:rsid w:val="00A2016A"/>
    <w:rsid w:val="00A201E1"/>
    <w:rsid w:val="00A208E9"/>
    <w:rsid w:val="00A20CF9"/>
    <w:rsid w:val="00A20FE1"/>
    <w:rsid w:val="00A21B4D"/>
    <w:rsid w:val="00A22073"/>
    <w:rsid w:val="00A223E0"/>
    <w:rsid w:val="00A22959"/>
    <w:rsid w:val="00A23158"/>
    <w:rsid w:val="00A232D7"/>
    <w:rsid w:val="00A23847"/>
    <w:rsid w:val="00A23E43"/>
    <w:rsid w:val="00A23EB3"/>
    <w:rsid w:val="00A24726"/>
    <w:rsid w:val="00A24DEB"/>
    <w:rsid w:val="00A24ED9"/>
    <w:rsid w:val="00A251DB"/>
    <w:rsid w:val="00A25216"/>
    <w:rsid w:val="00A25950"/>
    <w:rsid w:val="00A2597D"/>
    <w:rsid w:val="00A25E62"/>
    <w:rsid w:val="00A2628E"/>
    <w:rsid w:val="00A266BF"/>
    <w:rsid w:val="00A26803"/>
    <w:rsid w:val="00A2731E"/>
    <w:rsid w:val="00A309AC"/>
    <w:rsid w:val="00A30AC7"/>
    <w:rsid w:val="00A30F65"/>
    <w:rsid w:val="00A3218F"/>
    <w:rsid w:val="00A3279E"/>
    <w:rsid w:val="00A33DB1"/>
    <w:rsid w:val="00A33EEB"/>
    <w:rsid w:val="00A35900"/>
    <w:rsid w:val="00A402EA"/>
    <w:rsid w:val="00A40EAC"/>
    <w:rsid w:val="00A411F0"/>
    <w:rsid w:val="00A418BC"/>
    <w:rsid w:val="00A419FF"/>
    <w:rsid w:val="00A41FCF"/>
    <w:rsid w:val="00A426A9"/>
    <w:rsid w:val="00A42936"/>
    <w:rsid w:val="00A4378E"/>
    <w:rsid w:val="00A43CF8"/>
    <w:rsid w:val="00A43DF2"/>
    <w:rsid w:val="00A445A8"/>
    <w:rsid w:val="00A446AE"/>
    <w:rsid w:val="00A44B0D"/>
    <w:rsid w:val="00A44D21"/>
    <w:rsid w:val="00A45087"/>
    <w:rsid w:val="00A45489"/>
    <w:rsid w:val="00A45858"/>
    <w:rsid w:val="00A45CED"/>
    <w:rsid w:val="00A465E9"/>
    <w:rsid w:val="00A468E7"/>
    <w:rsid w:val="00A46DE0"/>
    <w:rsid w:val="00A478BA"/>
    <w:rsid w:val="00A50D73"/>
    <w:rsid w:val="00A518BB"/>
    <w:rsid w:val="00A52A88"/>
    <w:rsid w:val="00A52CAD"/>
    <w:rsid w:val="00A52F9F"/>
    <w:rsid w:val="00A53FC7"/>
    <w:rsid w:val="00A55569"/>
    <w:rsid w:val="00A561A9"/>
    <w:rsid w:val="00A566A0"/>
    <w:rsid w:val="00A566AF"/>
    <w:rsid w:val="00A57AC9"/>
    <w:rsid w:val="00A601E7"/>
    <w:rsid w:val="00A60A8F"/>
    <w:rsid w:val="00A60AC1"/>
    <w:rsid w:val="00A61462"/>
    <w:rsid w:val="00A61EB1"/>
    <w:rsid w:val="00A61ED1"/>
    <w:rsid w:val="00A626FF"/>
    <w:rsid w:val="00A62C6B"/>
    <w:rsid w:val="00A62CE1"/>
    <w:rsid w:val="00A63235"/>
    <w:rsid w:val="00A65469"/>
    <w:rsid w:val="00A65528"/>
    <w:rsid w:val="00A655D3"/>
    <w:rsid w:val="00A662D9"/>
    <w:rsid w:val="00A6630C"/>
    <w:rsid w:val="00A6741E"/>
    <w:rsid w:val="00A67CB4"/>
    <w:rsid w:val="00A67E29"/>
    <w:rsid w:val="00A7016A"/>
    <w:rsid w:val="00A7018D"/>
    <w:rsid w:val="00A7191D"/>
    <w:rsid w:val="00A71FE9"/>
    <w:rsid w:val="00A72038"/>
    <w:rsid w:val="00A722F9"/>
    <w:rsid w:val="00A72D42"/>
    <w:rsid w:val="00A746C9"/>
    <w:rsid w:val="00A74C2A"/>
    <w:rsid w:val="00A75448"/>
    <w:rsid w:val="00A75658"/>
    <w:rsid w:val="00A75E40"/>
    <w:rsid w:val="00A7608E"/>
    <w:rsid w:val="00A76818"/>
    <w:rsid w:val="00A77D1D"/>
    <w:rsid w:val="00A81652"/>
    <w:rsid w:val="00A82BF0"/>
    <w:rsid w:val="00A82C91"/>
    <w:rsid w:val="00A82E9D"/>
    <w:rsid w:val="00A83150"/>
    <w:rsid w:val="00A83398"/>
    <w:rsid w:val="00A83D6E"/>
    <w:rsid w:val="00A83F27"/>
    <w:rsid w:val="00A83FD5"/>
    <w:rsid w:val="00A84AEA"/>
    <w:rsid w:val="00A8521A"/>
    <w:rsid w:val="00A857C0"/>
    <w:rsid w:val="00A85ACB"/>
    <w:rsid w:val="00A874D9"/>
    <w:rsid w:val="00A9092B"/>
    <w:rsid w:val="00A90F2C"/>
    <w:rsid w:val="00A90FED"/>
    <w:rsid w:val="00A91482"/>
    <w:rsid w:val="00A9189D"/>
    <w:rsid w:val="00A91E71"/>
    <w:rsid w:val="00A925B1"/>
    <w:rsid w:val="00A92A3E"/>
    <w:rsid w:val="00A934F9"/>
    <w:rsid w:val="00A940E3"/>
    <w:rsid w:val="00A94983"/>
    <w:rsid w:val="00A9532C"/>
    <w:rsid w:val="00A95AB2"/>
    <w:rsid w:val="00A95F1A"/>
    <w:rsid w:val="00A96116"/>
    <w:rsid w:val="00A9614E"/>
    <w:rsid w:val="00A96422"/>
    <w:rsid w:val="00A96C0F"/>
    <w:rsid w:val="00A97075"/>
    <w:rsid w:val="00AA0E80"/>
    <w:rsid w:val="00AA17CD"/>
    <w:rsid w:val="00AA182D"/>
    <w:rsid w:val="00AA1D85"/>
    <w:rsid w:val="00AA212B"/>
    <w:rsid w:val="00AA212F"/>
    <w:rsid w:val="00AA26A9"/>
    <w:rsid w:val="00AA2996"/>
    <w:rsid w:val="00AA2AF4"/>
    <w:rsid w:val="00AA4282"/>
    <w:rsid w:val="00AA43F2"/>
    <w:rsid w:val="00AA4790"/>
    <w:rsid w:val="00AA52BF"/>
    <w:rsid w:val="00AA559A"/>
    <w:rsid w:val="00AA6B3B"/>
    <w:rsid w:val="00AA6C31"/>
    <w:rsid w:val="00AA7264"/>
    <w:rsid w:val="00AA7752"/>
    <w:rsid w:val="00AA7CE8"/>
    <w:rsid w:val="00AB1457"/>
    <w:rsid w:val="00AB2587"/>
    <w:rsid w:val="00AB293A"/>
    <w:rsid w:val="00AB2AF1"/>
    <w:rsid w:val="00AB32CB"/>
    <w:rsid w:val="00AB3BA7"/>
    <w:rsid w:val="00AB3EC7"/>
    <w:rsid w:val="00AB56B1"/>
    <w:rsid w:val="00AB5A64"/>
    <w:rsid w:val="00AB5CA1"/>
    <w:rsid w:val="00AB6456"/>
    <w:rsid w:val="00AB75C5"/>
    <w:rsid w:val="00AC044E"/>
    <w:rsid w:val="00AC11EB"/>
    <w:rsid w:val="00AC1909"/>
    <w:rsid w:val="00AC2118"/>
    <w:rsid w:val="00AC2395"/>
    <w:rsid w:val="00AC2960"/>
    <w:rsid w:val="00AC2AC4"/>
    <w:rsid w:val="00AC3200"/>
    <w:rsid w:val="00AC4284"/>
    <w:rsid w:val="00AC45BD"/>
    <w:rsid w:val="00AC50BB"/>
    <w:rsid w:val="00AC70A0"/>
    <w:rsid w:val="00AD0B22"/>
    <w:rsid w:val="00AD0B67"/>
    <w:rsid w:val="00AD0EE7"/>
    <w:rsid w:val="00AD168E"/>
    <w:rsid w:val="00AD2C19"/>
    <w:rsid w:val="00AD306C"/>
    <w:rsid w:val="00AD44CD"/>
    <w:rsid w:val="00AD5AD2"/>
    <w:rsid w:val="00AD6462"/>
    <w:rsid w:val="00AD66C5"/>
    <w:rsid w:val="00AD68C4"/>
    <w:rsid w:val="00AD71F9"/>
    <w:rsid w:val="00AE09B3"/>
    <w:rsid w:val="00AE1733"/>
    <w:rsid w:val="00AE1A83"/>
    <w:rsid w:val="00AE2358"/>
    <w:rsid w:val="00AE30BE"/>
    <w:rsid w:val="00AE3E6A"/>
    <w:rsid w:val="00AE417E"/>
    <w:rsid w:val="00AE49C7"/>
    <w:rsid w:val="00AE6414"/>
    <w:rsid w:val="00AE7269"/>
    <w:rsid w:val="00AE7975"/>
    <w:rsid w:val="00AE797C"/>
    <w:rsid w:val="00AE7CE7"/>
    <w:rsid w:val="00AE7FAB"/>
    <w:rsid w:val="00AF0097"/>
    <w:rsid w:val="00AF0657"/>
    <w:rsid w:val="00AF0DE4"/>
    <w:rsid w:val="00AF12A0"/>
    <w:rsid w:val="00AF1E87"/>
    <w:rsid w:val="00AF436B"/>
    <w:rsid w:val="00AF5179"/>
    <w:rsid w:val="00AF586E"/>
    <w:rsid w:val="00AF5CC2"/>
    <w:rsid w:val="00AF6776"/>
    <w:rsid w:val="00AF6F98"/>
    <w:rsid w:val="00AF7277"/>
    <w:rsid w:val="00B00550"/>
    <w:rsid w:val="00B00913"/>
    <w:rsid w:val="00B01593"/>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08C"/>
    <w:rsid w:val="00B121B2"/>
    <w:rsid w:val="00B131B1"/>
    <w:rsid w:val="00B141B6"/>
    <w:rsid w:val="00B14BC1"/>
    <w:rsid w:val="00B154DE"/>
    <w:rsid w:val="00B162C3"/>
    <w:rsid w:val="00B16DD1"/>
    <w:rsid w:val="00B16EB8"/>
    <w:rsid w:val="00B1700A"/>
    <w:rsid w:val="00B176EA"/>
    <w:rsid w:val="00B17E71"/>
    <w:rsid w:val="00B17FDE"/>
    <w:rsid w:val="00B204BA"/>
    <w:rsid w:val="00B20632"/>
    <w:rsid w:val="00B22760"/>
    <w:rsid w:val="00B2379C"/>
    <w:rsid w:val="00B23AEF"/>
    <w:rsid w:val="00B23D5D"/>
    <w:rsid w:val="00B23E6E"/>
    <w:rsid w:val="00B2450C"/>
    <w:rsid w:val="00B25A19"/>
    <w:rsid w:val="00B2687D"/>
    <w:rsid w:val="00B3108D"/>
    <w:rsid w:val="00B32535"/>
    <w:rsid w:val="00B32DDB"/>
    <w:rsid w:val="00B32F57"/>
    <w:rsid w:val="00B33336"/>
    <w:rsid w:val="00B3345C"/>
    <w:rsid w:val="00B34170"/>
    <w:rsid w:val="00B34528"/>
    <w:rsid w:val="00B34CC9"/>
    <w:rsid w:val="00B34CDA"/>
    <w:rsid w:val="00B3563B"/>
    <w:rsid w:val="00B36BDC"/>
    <w:rsid w:val="00B37D3A"/>
    <w:rsid w:val="00B37D96"/>
    <w:rsid w:val="00B402FC"/>
    <w:rsid w:val="00B416B4"/>
    <w:rsid w:val="00B422E2"/>
    <w:rsid w:val="00B422EC"/>
    <w:rsid w:val="00B42D5F"/>
    <w:rsid w:val="00B43216"/>
    <w:rsid w:val="00B439DA"/>
    <w:rsid w:val="00B4411A"/>
    <w:rsid w:val="00B45872"/>
    <w:rsid w:val="00B458B9"/>
    <w:rsid w:val="00B45FE8"/>
    <w:rsid w:val="00B46604"/>
    <w:rsid w:val="00B47089"/>
    <w:rsid w:val="00B47587"/>
    <w:rsid w:val="00B51406"/>
    <w:rsid w:val="00B5150A"/>
    <w:rsid w:val="00B52151"/>
    <w:rsid w:val="00B530CD"/>
    <w:rsid w:val="00B53639"/>
    <w:rsid w:val="00B53C7D"/>
    <w:rsid w:val="00B53E56"/>
    <w:rsid w:val="00B55149"/>
    <w:rsid w:val="00B55A97"/>
    <w:rsid w:val="00B55F5E"/>
    <w:rsid w:val="00B5601B"/>
    <w:rsid w:val="00B5642C"/>
    <w:rsid w:val="00B5658D"/>
    <w:rsid w:val="00B56B6F"/>
    <w:rsid w:val="00B5752E"/>
    <w:rsid w:val="00B60AC1"/>
    <w:rsid w:val="00B61FF6"/>
    <w:rsid w:val="00B62316"/>
    <w:rsid w:val="00B62A2F"/>
    <w:rsid w:val="00B63A11"/>
    <w:rsid w:val="00B64425"/>
    <w:rsid w:val="00B64C24"/>
    <w:rsid w:val="00B65CEF"/>
    <w:rsid w:val="00B6608F"/>
    <w:rsid w:val="00B67749"/>
    <w:rsid w:val="00B679FB"/>
    <w:rsid w:val="00B70F3B"/>
    <w:rsid w:val="00B71FBF"/>
    <w:rsid w:val="00B7252C"/>
    <w:rsid w:val="00B72725"/>
    <w:rsid w:val="00B734A0"/>
    <w:rsid w:val="00B73A14"/>
    <w:rsid w:val="00B748BD"/>
    <w:rsid w:val="00B74A99"/>
    <w:rsid w:val="00B755F7"/>
    <w:rsid w:val="00B7649A"/>
    <w:rsid w:val="00B7680F"/>
    <w:rsid w:val="00B76B48"/>
    <w:rsid w:val="00B76D1E"/>
    <w:rsid w:val="00B77543"/>
    <w:rsid w:val="00B77584"/>
    <w:rsid w:val="00B77E34"/>
    <w:rsid w:val="00B80D89"/>
    <w:rsid w:val="00B80EC6"/>
    <w:rsid w:val="00B81288"/>
    <w:rsid w:val="00B81C3B"/>
    <w:rsid w:val="00B81D70"/>
    <w:rsid w:val="00B833B9"/>
    <w:rsid w:val="00B83AAF"/>
    <w:rsid w:val="00B83E07"/>
    <w:rsid w:val="00B84CF6"/>
    <w:rsid w:val="00B85016"/>
    <w:rsid w:val="00B8561A"/>
    <w:rsid w:val="00B85943"/>
    <w:rsid w:val="00B86628"/>
    <w:rsid w:val="00B86643"/>
    <w:rsid w:val="00B868F7"/>
    <w:rsid w:val="00B90131"/>
    <w:rsid w:val="00B905D7"/>
    <w:rsid w:val="00B92951"/>
    <w:rsid w:val="00B92D1D"/>
    <w:rsid w:val="00B92D7E"/>
    <w:rsid w:val="00B930CE"/>
    <w:rsid w:val="00B938C5"/>
    <w:rsid w:val="00B940A8"/>
    <w:rsid w:val="00B9486C"/>
    <w:rsid w:val="00B9554A"/>
    <w:rsid w:val="00B95940"/>
    <w:rsid w:val="00B95ACA"/>
    <w:rsid w:val="00B96D74"/>
    <w:rsid w:val="00B9720E"/>
    <w:rsid w:val="00B97ACC"/>
    <w:rsid w:val="00B97FE2"/>
    <w:rsid w:val="00BA0E0B"/>
    <w:rsid w:val="00BA201A"/>
    <w:rsid w:val="00BA21DF"/>
    <w:rsid w:val="00BA2867"/>
    <w:rsid w:val="00BA361D"/>
    <w:rsid w:val="00BA3787"/>
    <w:rsid w:val="00BA403A"/>
    <w:rsid w:val="00BA44F9"/>
    <w:rsid w:val="00BA46E8"/>
    <w:rsid w:val="00BA4AE9"/>
    <w:rsid w:val="00BA4E19"/>
    <w:rsid w:val="00BA5237"/>
    <w:rsid w:val="00BA6436"/>
    <w:rsid w:val="00BA64F2"/>
    <w:rsid w:val="00BA684E"/>
    <w:rsid w:val="00BA6BE8"/>
    <w:rsid w:val="00BA6C2B"/>
    <w:rsid w:val="00BA7B64"/>
    <w:rsid w:val="00BB02A3"/>
    <w:rsid w:val="00BB0351"/>
    <w:rsid w:val="00BB15C3"/>
    <w:rsid w:val="00BB1AF4"/>
    <w:rsid w:val="00BB1CBB"/>
    <w:rsid w:val="00BB2202"/>
    <w:rsid w:val="00BB3C6B"/>
    <w:rsid w:val="00BB3FD6"/>
    <w:rsid w:val="00BB453F"/>
    <w:rsid w:val="00BB46F3"/>
    <w:rsid w:val="00BB4A71"/>
    <w:rsid w:val="00BB4CB1"/>
    <w:rsid w:val="00BB4F98"/>
    <w:rsid w:val="00BB50C0"/>
    <w:rsid w:val="00BB5AB2"/>
    <w:rsid w:val="00BB5ABF"/>
    <w:rsid w:val="00BB5FB6"/>
    <w:rsid w:val="00BB6EA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0941"/>
    <w:rsid w:val="00BD25BB"/>
    <w:rsid w:val="00BD2AA3"/>
    <w:rsid w:val="00BD2AF8"/>
    <w:rsid w:val="00BD366B"/>
    <w:rsid w:val="00BD3C09"/>
    <w:rsid w:val="00BD410B"/>
    <w:rsid w:val="00BD4A73"/>
    <w:rsid w:val="00BD4EF4"/>
    <w:rsid w:val="00BD5825"/>
    <w:rsid w:val="00BD6659"/>
    <w:rsid w:val="00BD6C75"/>
    <w:rsid w:val="00BD6D50"/>
    <w:rsid w:val="00BD73D2"/>
    <w:rsid w:val="00BD7808"/>
    <w:rsid w:val="00BE0AD1"/>
    <w:rsid w:val="00BE0EF9"/>
    <w:rsid w:val="00BE10A1"/>
    <w:rsid w:val="00BE18B9"/>
    <w:rsid w:val="00BE190A"/>
    <w:rsid w:val="00BE2495"/>
    <w:rsid w:val="00BE24DD"/>
    <w:rsid w:val="00BE2A0D"/>
    <w:rsid w:val="00BE2D28"/>
    <w:rsid w:val="00BE305A"/>
    <w:rsid w:val="00BE380D"/>
    <w:rsid w:val="00BE386D"/>
    <w:rsid w:val="00BE4DA9"/>
    <w:rsid w:val="00BE54BF"/>
    <w:rsid w:val="00BE557B"/>
    <w:rsid w:val="00BE7F5F"/>
    <w:rsid w:val="00BF02C8"/>
    <w:rsid w:val="00BF04F1"/>
    <w:rsid w:val="00BF1578"/>
    <w:rsid w:val="00BF15CA"/>
    <w:rsid w:val="00BF1D12"/>
    <w:rsid w:val="00BF1D3A"/>
    <w:rsid w:val="00BF2B5B"/>
    <w:rsid w:val="00BF2D41"/>
    <w:rsid w:val="00BF3274"/>
    <w:rsid w:val="00BF32DC"/>
    <w:rsid w:val="00BF35C9"/>
    <w:rsid w:val="00BF3D31"/>
    <w:rsid w:val="00BF4329"/>
    <w:rsid w:val="00BF4C7A"/>
    <w:rsid w:val="00BF4E0C"/>
    <w:rsid w:val="00BF4E43"/>
    <w:rsid w:val="00BF5C4C"/>
    <w:rsid w:val="00BF71E1"/>
    <w:rsid w:val="00BF77FC"/>
    <w:rsid w:val="00C0011B"/>
    <w:rsid w:val="00C00147"/>
    <w:rsid w:val="00C006D6"/>
    <w:rsid w:val="00C00BD7"/>
    <w:rsid w:val="00C0119D"/>
    <w:rsid w:val="00C01410"/>
    <w:rsid w:val="00C017B3"/>
    <w:rsid w:val="00C02D23"/>
    <w:rsid w:val="00C03796"/>
    <w:rsid w:val="00C03D4D"/>
    <w:rsid w:val="00C044F4"/>
    <w:rsid w:val="00C04B78"/>
    <w:rsid w:val="00C052AA"/>
    <w:rsid w:val="00C06CA1"/>
    <w:rsid w:val="00C06EE3"/>
    <w:rsid w:val="00C07279"/>
    <w:rsid w:val="00C073F7"/>
    <w:rsid w:val="00C07749"/>
    <w:rsid w:val="00C07C67"/>
    <w:rsid w:val="00C1117E"/>
    <w:rsid w:val="00C11244"/>
    <w:rsid w:val="00C11D48"/>
    <w:rsid w:val="00C12304"/>
    <w:rsid w:val="00C12316"/>
    <w:rsid w:val="00C1246C"/>
    <w:rsid w:val="00C144B0"/>
    <w:rsid w:val="00C1493E"/>
    <w:rsid w:val="00C14E1F"/>
    <w:rsid w:val="00C15407"/>
    <w:rsid w:val="00C15DBD"/>
    <w:rsid w:val="00C161C5"/>
    <w:rsid w:val="00C167F9"/>
    <w:rsid w:val="00C172F7"/>
    <w:rsid w:val="00C2010D"/>
    <w:rsid w:val="00C20CB5"/>
    <w:rsid w:val="00C21430"/>
    <w:rsid w:val="00C216DF"/>
    <w:rsid w:val="00C21E61"/>
    <w:rsid w:val="00C21F94"/>
    <w:rsid w:val="00C224BD"/>
    <w:rsid w:val="00C234DB"/>
    <w:rsid w:val="00C23C5C"/>
    <w:rsid w:val="00C2479A"/>
    <w:rsid w:val="00C24903"/>
    <w:rsid w:val="00C2590D"/>
    <w:rsid w:val="00C25D9C"/>
    <w:rsid w:val="00C274D1"/>
    <w:rsid w:val="00C27913"/>
    <w:rsid w:val="00C27FA7"/>
    <w:rsid w:val="00C300E2"/>
    <w:rsid w:val="00C31F21"/>
    <w:rsid w:val="00C32631"/>
    <w:rsid w:val="00C33301"/>
    <w:rsid w:val="00C33311"/>
    <w:rsid w:val="00C336F0"/>
    <w:rsid w:val="00C33B68"/>
    <w:rsid w:val="00C34AD4"/>
    <w:rsid w:val="00C35570"/>
    <w:rsid w:val="00C35A2A"/>
    <w:rsid w:val="00C36A79"/>
    <w:rsid w:val="00C401A9"/>
    <w:rsid w:val="00C401D2"/>
    <w:rsid w:val="00C4031A"/>
    <w:rsid w:val="00C405D4"/>
    <w:rsid w:val="00C419D5"/>
    <w:rsid w:val="00C41D54"/>
    <w:rsid w:val="00C428FC"/>
    <w:rsid w:val="00C42EBB"/>
    <w:rsid w:val="00C43839"/>
    <w:rsid w:val="00C43A5F"/>
    <w:rsid w:val="00C4513B"/>
    <w:rsid w:val="00C475E8"/>
    <w:rsid w:val="00C47900"/>
    <w:rsid w:val="00C50E79"/>
    <w:rsid w:val="00C5197D"/>
    <w:rsid w:val="00C525FB"/>
    <w:rsid w:val="00C5390B"/>
    <w:rsid w:val="00C53F2B"/>
    <w:rsid w:val="00C54257"/>
    <w:rsid w:val="00C545DE"/>
    <w:rsid w:val="00C54697"/>
    <w:rsid w:val="00C550CE"/>
    <w:rsid w:val="00C553A5"/>
    <w:rsid w:val="00C55402"/>
    <w:rsid w:val="00C5571B"/>
    <w:rsid w:val="00C5603B"/>
    <w:rsid w:val="00C60AE3"/>
    <w:rsid w:val="00C618D5"/>
    <w:rsid w:val="00C61F47"/>
    <w:rsid w:val="00C62828"/>
    <w:rsid w:val="00C64C25"/>
    <w:rsid w:val="00C661B4"/>
    <w:rsid w:val="00C706D2"/>
    <w:rsid w:val="00C708AA"/>
    <w:rsid w:val="00C715CC"/>
    <w:rsid w:val="00C719A3"/>
    <w:rsid w:val="00C71C93"/>
    <w:rsid w:val="00C71D2F"/>
    <w:rsid w:val="00C72133"/>
    <w:rsid w:val="00C72984"/>
    <w:rsid w:val="00C73885"/>
    <w:rsid w:val="00C73C93"/>
    <w:rsid w:val="00C7435A"/>
    <w:rsid w:val="00C747B1"/>
    <w:rsid w:val="00C747B4"/>
    <w:rsid w:val="00C75510"/>
    <w:rsid w:val="00C755F9"/>
    <w:rsid w:val="00C75752"/>
    <w:rsid w:val="00C75B60"/>
    <w:rsid w:val="00C761EC"/>
    <w:rsid w:val="00C770C9"/>
    <w:rsid w:val="00C77569"/>
    <w:rsid w:val="00C807F6"/>
    <w:rsid w:val="00C81070"/>
    <w:rsid w:val="00C8174E"/>
    <w:rsid w:val="00C82191"/>
    <w:rsid w:val="00C83134"/>
    <w:rsid w:val="00C831E7"/>
    <w:rsid w:val="00C832F3"/>
    <w:rsid w:val="00C84307"/>
    <w:rsid w:val="00C845A4"/>
    <w:rsid w:val="00C85545"/>
    <w:rsid w:val="00C855B5"/>
    <w:rsid w:val="00C85F0E"/>
    <w:rsid w:val="00C86FFC"/>
    <w:rsid w:val="00C872AA"/>
    <w:rsid w:val="00C90CF4"/>
    <w:rsid w:val="00C91C20"/>
    <w:rsid w:val="00C922DE"/>
    <w:rsid w:val="00C92843"/>
    <w:rsid w:val="00C92EB6"/>
    <w:rsid w:val="00C93389"/>
    <w:rsid w:val="00C9364A"/>
    <w:rsid w:val="00C948E6"/>
    <w:rsid w:val="00C9491D"/>
    <w:rsid w:val="00C94CDD"/>
    <w:rsid w:val="00C97588"/>
    <w:rsid w:val="00CA0346"/>
    <w:rsid w:val="00CA0DA1"/>
    <w:rsid w:val="00CA1BD6"/>
    <w:rsid w:val="00CA25CF"/>
    <w:rsid w:val="00CA375D"/>
    <w:rsid w:val="00CA37FF"/>
    <w:rsid w:val="00CA423A"/>
    <w:rsid w:val="00CA47BC"/>
    <w:rsid w:val="00CA5EAD"/>
    <w:rsid w:val="00CA644C"/>
    <w:rsid w:val="00CA6AB4"/>
    <w:rsid w:val="00CA6B65"/>
    <w:rsid w:val="00CA7255"/>
    <w:rsid w:val="00CB1BEE"/>
    <w:rsid w:val="00CB2351"/>
    <w:rsid w:val="00CB28DB"/>
    <w:rsid w:val="00CB4022"/>
    <w:rsid w:val="00CB4193"/>
    <w:rsid w:val="00CB4930"/>
    <w:rsid w:val="00CB4BA9"/>
    <w:rsid w:val="00CB4C63"/>
    <w:rsid w:val="00CB56C8"/>
    <w:rsid w:val="00CB5A48"/>
    <w:rsid w:val="00CB5E10"/>
    <w:rsid w:val="00CB613B"/>
    <w:rsid w:val="00CB6152"/>
    <w:rsid w:val="00CB64E1"/>
    <w:rsid w:val="00CB67CD"/>
    <w:rsid w:val="00CB6E4D"/>
    <w:rsid w:val="00CC009B"/>
    <w:rsid w:val="00CC0834"/>
    <w:rsid w:val="00CC0AEA"/>
    <w:rsid w:val="00CC20FE"/>
    <w:rsid w:val="00CC225C"/>
    <w:rsid w:val="00CC2E7D"/>
    <w:rsid w:val="00CC5BE8"/>
    <w:rsid w:val="00CC612B"/>
    <w:rsid w:val="00CC655F"/>
    <w:rsid w:val="00CC66F9"/>
    <w:rsid w:val="00CC6C2A"/>
    <w:rsid w:val="00CC6FE5"/>
    <w:rsid w:val="00CC7458"/>
    <w:rsid w:val="00CC76BD"/>
    <w:rsid w:val="00CC7A87"/>
    <w:rsid w:val="00CD0C7F"/>
    <w:rsid w:val="00CD0C9C"/>
    <w:rsid w:val="00CD0D6B"/>
    <w:rsid w:val="00CD1060"/>
    <w:rsid w:val="00CD10A5"/>
    <w:rsid w:val="00CD1129"/>
    <w:rsid w:val="00CD181C"/>
    <w:rsid w:val="00CD1A80"/>
    <w:rsid w:val="00CD1CB5"/>
    <w:rsid w:val="00CD2076"/>
    <w:rsid w:val="00CD24CE"/>
    <w:rsid w:val="00CD29B5"/>
    <w:rsid w:val="00CD2B78"/>
    <w:rsid w:val="00CD38C1"/>
    <w:rsid w:val="00CD3FAB"/>
    <w:rsid w:val="00CD5456"/>
    <w:rsid w:val="00CD5C3E"/>
    <w:rsid w:val="00CD5C57"/>
    <w:rsid w:val="00CD6331"/>
    <w:rsid w:val="00CE14BE"/>
    <w:rsid w:val="00CE17A4"/>
    <w:rsid w:val="00CE1BA9"/>
    <w:rsid w:val="00CE2D8F"/>
    <w:rsid w:val="00CE3532"/>
    <w:rsid w:val="00CE3E48"/>
    <w:rsid w:val="00CE46C0"/>
    <w:rsid w:val="00CE47B8"/>
    <w:rsid w:val="00CE54FD"/>
    <w:rsid w:val="00CE5945"/>
    <w:rsid w:val="00CE62FA"/>
    <w:rsid w:val="00CE63FC"/>
    <w:rsid w:val="00CE670B"/>
    <w:rsid w:val="00CE6833"/>
    <w:rsid w:val="00CE6BF7"/>
    <w:rsid w:val="00CE6D4F"/>
    <w:rsid w:val="00CE7624"/>
    <w:rsid w:val="00CF020B"/>
    <w:rsid w:val="00CF15BF"/>
    <w:rsid w:val="00CF23B7"/>
    <w:rsid w:val="00CF2E4D"/>
    <w:rsid w:val="00CF2ED5"/>
    <w:rsid w:val="00CF399E"/>
    <w:rsid w:val="00CF4205"/>
    <w:rsid w:val="00CF42F0"/>
    <w:rsid w:val="00CF4908"/>
    <w:rsid w:val="00CF51EC"/>
    <w:rsid w:val="00CF545D"/>
    <w:rsid w:val="00CF5873"/>
    <w:rsid w:val="00CF5F83"/>
    <w:rsid w:val="00CF6AB7"/>
    <w:rsid w:val="00CF73AE"/>
    <w:rsid w:val="00CF7777"/>
    <w:rsid w:val="00D00220"/>
    <w:rsid w:val="00D00287"/>
    <w:rsid w:val="00D006D3"/>
    <w:rsid w:val="00D0085A"/>
    <w:rsid w:val="00D01404"/>
    <w:rsid w:val="00D016D4"/>
    <w:rsid w:val="00D0197F"/>
    <w:rsid w:val="00D01B31"/>
    <w:rsid w:val="00D0242D"/>
    <w:rsid w:val="00D02716"/>
    <w:rsid w:val="00D03A72"/>
    <w:rsid w:val="00D040DD"/>
    <w:rsid w:val="00D04134"/>
    <w:rsid w:val="00D045CA"/>
    <w:rsid w:val="00D05C65"/>
    <w:rsid w:val="00D06B56"/>
    <w:rsid w:val="00D06BFD"/>
    <w:rsid w:val="00D06D68"/>
    <w:rsid w:val="00D075BE"/>
    <w:rsid w:val="00D07AFF"/>
    <w:rsid w:val="00D10C15"/>
    <w:rsid w:val="00D11011"/>
    <w:rsid w:val="00D11476"/>
    <w:rsid w:val="00D12C25"/>
    <w:rsid w:val="00D133B4"/>
    <w:rsid w:val="00D136CF"/>
    <w:rsid w:val="00D13986"/>
    <w:rsid w:val="00D14C5B"/>
    <w:rsid w:val="00D15FED"/>
    <w:rsid w:val="00D16712"/>
    <w:rsid w:val="00D214EF"/>
    <w:rsid w:val="00D215B0"/>
    <w:rsid w:val="00D21D6D"/>
    <w:rsid w:val="00D21D83"/>
    <w:rsid w:val="00D21F55"/>
    <w:rsid w:val="00D22A47"/>
    <w:rsid w:val="00D235B7"/>
    <w:rsid w:val="00D23FAE"/>
    <w:rsid w:val="00D245B3"/>
    <w:rsid w:val="00D2534D"/>
    <w:rsid w:val="00D25E5A"/>
    <w:rsid w:val="00D25F28"/>
    <w:rsid w:val="00D26071"/>
    <w:rsid w:val="00D260C7"/>
    <w:rsid w:val="00D269B9"/>
    <w:rsid w:val="00D27973"/>
    <w:rsid w:val="00D27F3A"/>
    <w:rsid w:val="00D30490"/>
    <w:rsid w:val="00D309E6"/>
    <w:rsid w:val="00D30A7C"/>
    <w:rsid w:val="00D31537"/>
    <w:rsid w:val="00D31E1E"/>
    <w:rsid w:val="00D31EB3"/>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44AC8"/>
    <w:rsid w:val="00D44B44"/>
    <w:rsid w:val="00D50F46"/>
    <w:rsid w:val="00D52DB5"/>
    <w:rsid w:val="00D535A8"/>
    <w:rsid w:val="00D5384E"/>
    <w:rsid w:val="00D53D59"/>
    <w:rsid w:val="00D544E7"/>
    <w:rsid w:val="00D5499F"/>
    <w:rsid w:val="00D5560A"/>
    <w:rsid w:val="00D56FBF"/>
    <w:rsid w:val="00D57677"/>
    <w:rsid w:val="00D5781F"/>
    <w:rsid w:val="00D60415"/>
    <w:rsid w:val="00D60E3C"/>
    <w:rsid w:val="00D61777"/>
    <w:rsid w:val="00D618F5"/>
    <w:rsid w:val="00D61FAB"/>
    <w:rsid w:val="00D63BE5"/>
    <w:rsid w:val="00D6475F"/>
    <w:rsid w:val="00D655D4"/>
    <w:rsid w:val="00D6581C"/>
    <w:rsid w:val="00D65C90"/>
    <w:rsid w:val="00D66223"/>
    <w:rsid w:val="00D667B8"/>
    <w:rsid w:val="00D67D55"/>
    <w:rsid w:val="00D70289"/>
    <w:rsid w:val="00D70822"/>
    <w:rsid w:val="00D72076"/>
    <w:rsid w:val="00D721B4"/>
    <w:rsid w:val="00D726A9"/>
    <w:rsid w:val="00D72DBA"/>
    <w:rsid w:val="00D73483"/>
    <w:rsid w:val="00D743E0"/>
    <w:rsid w:val="00D7490C"/>
    <w:rsid w:val="00D74E3B"/>
    <w:rsid w:val="00D74F6E"/>
    <w:rsid w:val="00D75AC1"/>
    <w:rsid w:val="00D77252"/>
    <w:rsid w:val="00D807D7"/>
    <w:rsid w:val="00D8084C"/>
    <w:rsid w:val="00D817C9"/>
    <w:rsid w:val="00D81809"/>
    <w:rsid w:val="00D82EF1"/>
    <w:rsid w:val="00D832B9"/>
    <w:rsid w:val="00D84CC9"/>
    <w:rsid w:val="00D84F43"/>
    <w:rsid w:val="00D85114"/>
    <w:rsid w:val="00D85821"/>
    <w:rsid w:val="00D8598C"/>
    <w:rsid w:val="00D870E5"/>
    <w:rsid w:val="00D87C06"/>
    <w:rsid w:val="00D87E4D"/>
    <w:rsid w:val="00D90B4B"/>
    <w:rsid w:val="00D915EA"/>
    <w:rsid w:val="00D919ED"/>
    <w:rsid w:val="00D92277"/>
    <w:rsid w:val="00D922A1"/>
    <w:rsid w:val="00D928BE"/>
    <w:rsid w:val="00D9317C"/>
    <w:rsid w:val="00D932B8"/>
    <w:rsid w:val="00D940AB"/>
    <w:rsid w:val="00D952A1"/>
    <w:rsid w:val="00D95302"/>
    <w:rsid w:val="00D95889"/>
    <w:rsid w:val="00D95C5D"/>
    <w:rsid w:val="00D97D00"/>
    <w:rsid w:val="00DA096C"/>
    <w:rsid w:val="00DA1AB6"/>
    <w:rsid w:val="00DA1DA5"/>
    <w:rsid w:val="00DA2216"/>
    <w:rsid w:val="00DA2E65"/>
    <w:rsid w:val="00DA328B"/>
    <w:rsid w:val="00DA3ADF"/>
    <w:rsid w:val="00DA4174"/>
    <w:rsid w:val="00DA5181"/>
    <w:rsid w:val="00DA544C"/>
    <w:rsid w:val="00DA5F8E"/>
    <w:rsid w:val="00DA6364"/>
    <w:rsid w:val="00DA6ABA"/>
    <w:rsid w:val="00DA6F48"/>
    <w:rsid w:val="00DA7114"/>
    <w:rsid w:val="00DA7C0C"/>
    <w:rsid w:val="00DB03DD"/>
    <w:rsid w:val="00DB08A9"/>
    <w:rsid w:val="00DB0B33"/>
    <w:rsid w:val="00DB0FD9"/>
    <w:rsid w:val="00DB12BC"/>
    <w:rsid w:val="00DB1FF0"/>
    <w:rsid w:val="00DB2999"/>
    <w:rsid w:val="00DB2DFA"/>
    <w:rsid w:val="00DB2EC8"/>
    <w:rsid w:val="00DB321D"/>
    <w:rsid w:val="00DB3697"/>
    <w:rsid w:val="00DB405C"/>
    <w:rsid w:val="00DB459B"/>
    <w:rsid w:val="00DB47FD"/>
    <w:rsid w:val="00DB5E3A"/>
    <w:rsid w:val="00DB5E9A"/>
    <w:rsid w:val="00DB613B"/>
    <w:rsid w:val="00DB657E"/>
    <w:rsid w:val="00DB7342"/>
    <w:rsid w:val="00DB7489"/>
    <w:rsid w:val="00DC17D0"/>
    <w:rsid w:val="00DC1E5D"/>
    <w:rsid w:val="00DC2783"/>
    <w:rsid w:val="00DC2B41"/>
    <w:rsid w:val="00DC3128"/>
    <w:rsid w:val="00DC435B"/>
    <w:rsid w:val="00DC53D8"/>
    <w:rsid w:val="00DC56FE"/>
    <w:rsid w:val="00DC5B3B"/>
    <w:rsid w:val="00DC5EEF"/>
    <w:rsid w:val="00DC6C2D"/>
    <w:rsid w:val="00DC6C86"/>
    <w:rsid w:val="00DC7B1A"/>
    <w:rsid w:val="00DD04B0"/>
    <w:rsid w:val="00DD0FD2"/>
    <w:rsid w:val="00DD129F"/>
    <w:rsid w:val="00DD13FC"/>
    <w:rsid w:val="00DD1A3F"/>
    <w:rsid w:val="00DD29B5"/>
    <w:rsid w:val="00DD32DD"/>
    <w:rsid w:val="00DD33E8"/>
    <w:rsid w:val="00DD403F"/>
    <w:rsid w:val="00DD5287"/>
    <w:rsid w:val="00DD5B36"/>
    <w:rsid w:val="00DD754E"/>
    <w:rsid w:val="00DD7849"/>
    <w:rsid w:val="00DE03DE"/>
    <w:rsid w:val="00DE0D8B"/>
    <w:rsid w:val="00DE10D3"/>
    <w:rsid w:val="00DE1237"/>
    <w:rsid w:val="00DE140F"/>
    <w:rsid w:val="00DE15D5"/>
    <w:rsid w:val="00DE17E9"/>
    <w:rsid w:val="00DE2491"/>
    <w:rsid w:val="00DE3A05"/>
    <w:rsid w:val="00DE450F"/>
    <w:rsid w:val="00DE5CA6"/>
    <w:rsid w:val="00DE5DAF"/>
    <w:rsid w:val="00DE7AC8"/>
    <w:rsid w:val="00DE7F5A"/>
    <w:rsid w:val="00DF0830"/>
    <w:rsid w:val="00DF132C"/>
    <w:rsid w:val="00DF2C5D"/>
    <w:rsid w:val="00DF3643"/>
    <w:rsid w:val="00DF42FF"/>
    <w:rsid w:val="00DF4369"/>
    <w:rsid w:val="00DF4423"/>
    <w:rsid w:val="00DF4ADF"/>
    <w:rsid w:val="00DF5472"/>
    <w:rsid w:val="00DF57D6"/>
    <w:rsid w:val="00DF5D1E"/>
    <w:rsid w:val="00DF62FA"/>
    <w:rsid w:val="00DF6ABF"/>
    <w:rsid w:val="00DF77E4"/>
    <w:rsid w:val="00DF7F88"/>
    <w:rsid w:val="00E00B88"/>
    <w:rsid w:val="00E01C0E"/>
    <w:rsid w:val="00E0368F"/>
    <w:rsid w:val="00E03D73"/>
    <w:rsid w:val="00E03F9A"/>
    <w:rsid w:val="00E040DA"/>
    <w:rsid w:val="00E04694"/>
    <w:rsid w:val="00E079DE"/>
    <w:rsid w:val="00E07E59"/>
    <w:rsid w:val="00E07F2A"/>
    <w:rsid w:val="00E1168B"/>
    <w:rsid w:val="00E12191"/>
    <w:rsid w:val="00E129E7"/>
    <w:rsid w:val="00E12ABE"/>
    <w:rsid w:val="00E12B1E"/>
    <w:rsid w:val="00E135EB"/>
    <w:rsid w:val="00E13718"/>
    <w:rsid w:val="00E13995"/>
    <w:rsid w:val="00E1444C"/>
    <w:rsid w:val="00E16CD7"/>
    <w:rsid w:val="00E17262"/>
    <w:rsid w:val="00E17F36"/>
    <w:rsid w:val="00E20016"/>
    <w:rsid w:val="00E2009B"/>
    <w:rsid w:val="00E20BB9"/>
    <w:rsid w:val="00E20BCC"/>
    <w:rsid w:val="00E2182D"/>
    <w:rsid w:val="00E2251C"/>
    <w:rsid w:val="00E22F57"/>
    <w:rsid w:val="00E2363D"/>
    <w:rsid w:val="00E23C6A"/>
    <w:rsid w:val="00E2484B"/>
    <w:rsid w:val="00E253A2"/>
    <w:rsid w:val="00E260F6"/>
    <w:rsid w:val="00E269D0"/>
    <w:rsid w:val="00E27127"/>
    <w:rsid w:val="00E27233"/>
    <w:rsid w:val="00E274BB"/>
    <w:rsid w:val="00E30F15"/>
    <w:rsid w:val="00E31771"/>
    <w:rsid w:val="00E3186D"/>
    <w:rsid w:val="00E31A3E"/>
    <w:rsid w:val="00E32080"/>
    <w:rsid w:val="00E32778"/>
    <w:rsid w:val="00E32837"/>
    <w:rsid w:val="00E3309D"/>
    <w:rsid w:val="00E340FA"/>
    <w:rsid w:val="00E34E3F"/>
    <w:rsid w:val="00E350B1"/>
    <w:rsid w:val="00E35A53"/>
    <w:rsid w:val="00E3634A"/>
    <w:rsid w:val="00E3656B"/>
    <w:rsid w:val="00E3712B"/>
    <w:rsid w:val="00E3724A"/>
    <w:rsid w:val="00E378B1"/>
    <w:rsid w:val="00E37FB6"/>
    <w:rsid w:val="00E417BE"/>
    <w:rsid w:val="00E41CD5"/>
    <w:rsid w:val="00E42054"/>
    <w:rsid w:val="00E4372D"/>
    <w:rsid w:val="00E43A9E"/>
    <w:rsid w:val="00E44243"/>
    <w:rsid w:val="00E4439C"/>
    <w:rsid w:val="00E449BA"/>
    <w:rsid w:val="00E453F9"/>
    <w:rsid w:val="00E45D7D"/>
    <w:rsid w:val="00E4623F"/>
    <w:rsid w:val="00E4665D"/>
    <w:rsid w:val="00E47854"/>
    <w:rsid w:val="00E47EBA"/>
    <w:rsid w:val="00E50156"/>
    <w:rsid w:val="00E504EB"/>
    <w:rsid w:val="00E5076C"/>
    <w:rsid w:val="00E50D2E"/>
    <w:rsid w:val="00E50D7D"/>
    <w:rsid w:val="00E51423"/>
    <w:rsid w:val="00E51EF0"/>
    <w:rsid w:val="00E52D68"/>
    <w:rsid w:val="00E53470"/>
    <w:rsid w:val="00E5353B"/>
    <w:rsid w:val="00E5368D"/>
    <w:rsid w:val="00E539F6"/>
    <w:rsid w:val="00E54698"/>
    <w:rsid w:val="00E546EC"/>
    <w:rsid w:val="00E54FB4"/>
    <w:rsid w:val="00E5539A"/>
    <w:rsid w:val="00E55791"/>
    <w:rsid w:val="00E55E1A"/>
    <w:rsid w:val="00E55F64"/>
    <w:rsid w:val="00E56530"/>
    <w:rsid w:val="00E5748E"/>
    <w:rsid w:val="00E578A2"/>
    <w:rsid w:val="00E579ED"/>
    <w:rsid w:val="00E60043"/>
    <w:rsid w:val="00E61708"/>
    <w:rsid w:val="00E61740"/>
    <w:rsid w:val="00E61EB5"/>
    <w:rsid w:val="00E629F7"/>
    <w:rsid w:val="00E6324D"/>
    <w:rsid w:val="00E633BF"/>
    <w:rsid w:val="00E6402D"/>
    <w:rsid w:val="00E649F0"/>
    <w:rsid w:val="00E65084"/>
    <w:rsid w:val="00E6519D"/>
    <w:rsid w:val="00E66062"/>
    <w:rsid w:val="00E6660E"/>
    <w:rsid w:val="00E66768"/>
    <w:rsid w:val="00E67305"/>
    <w:rsid w:val="00E67601"/>
    <w:rsid w:val="00E67696"/>
    <w:rsid w:val="00E70C5F"/>
    <w:rsid w:val="00E71A58"/>
    <w:rsid w:val="00E728D7"/>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85512"/>
    <w:rsid w:val="00E87CE2"/>
    <w:rsid w:val="00E90CA8"/>
    <w:rsid w:val="00E911C6"/>
    <w:rsid w:val="00E930A1"/>
    <w:rsid w:val="00E93820"/>
    <w:rsid w:val="00E93DE5"/>
    <w:rsid w:val="00E94722"/>
    <w:rsid w:val="00E94A86"/>
    <w:rsid w:val="00E9504F"/>
    <w:rsid w:val="00E951AB"/>
    <w:rsid w:val="00E953F6"/>
    <w:rsid w:val="00E96143"/>
    <w:rsid w:val="00E96833"/>
    <w:rsid w:val="00E97506"/>
    <w:rsid w:val="00E975C2"/>
    <w:rsid w:val="00E97BB5"/>
    <w:rsid w:val="00E97F14"/>
    <w:rsid w:val="00EA0122"/>
    <w:rsid w:val="00EA0C68"/>
    <w:rsid w:val="00EA0E39"/>
    <w:rsid w:val="00EA1D0E"/>
    <w:rsid w:val="00EA2072"/>
    <w:rsid w:val="00EA2841"/>
    <w:rsid w:val="00EA32BC"/>
    <w:rsid w:val="00EA35A7"/>
    <w:rsid w:val="00EA3B32"/>
    <w:rsid w:val="00EA3CEB"/>
    <w:rsid w:val="00EA3D05"/>
    <w:rsid w:val="00EA4402"/>
    <w:rsid w:val="00EA4409"/>
    <w:rsid w:val="00EA4B8D"/>
    <w:rsid w:val="00EA5051"/>
    <w:rsid w:val="00EA513E"/>
    <w:rsid w:val="00EA7419"/>
    <w:rsid w:val="00EB0948"/>
    <w:rsid w:val="00EB0E32"/>
    <w:rsid w:val="00EB1FC0"/>
    <w:rsid w:val="00EB3B2B"/>
    <w:rsid w:val="00EB3E60"/>
    <w:rsid w:val="00EB4511"/>
    <w:rsid w:val="00EB48D7"/>
    <w:rsid w:val="00EB49F1"/>
    <w:rsid w:val="00EB4A8E"/>
    <w:rsid w:val="00EB4B8C"/>
    <w:rsid w:val="00EB4BC5"/>
    <w:rsid w:val="00EB5BF7"/>
    <w:rsid w:val="00EB5E79"/>
    <w:rsid w:val="00EB6FAC"/>
    <w:rsid w:val="00EB7BAC"/>
    <w:rsid w:val="00EB7CC9"/>
    <w:rsid w:val="00EC03D7"/>
    <w:rsid w:val="00EC1101"/>
    <w:rsid w:val="00EC13A7"/>
    <w:rsid w:val="00EC1F02"/>
    <w:rsid w:val="00EC2EB6"/>
    <w:rsid w:val="00EC4FFF"/>
    <w:rsid w:val="00EC69A2"/>
    <w:rsid w:val="00EC6D30"/>
    <w:rsid w:val="00EC6E8C"/>
    <w:rsid w:val="00ED0EF0"/>
    <w:rsid w:val="00ED12B9"/>
    <w:rsid w:val="00ED16B8"/>
    <w:rsid w:val="00ED1959"/>
    <w:rsid w:val="00ED1A00"/>
    <w:rsid w:val="00ED1DF0"/>
    <w:rsid w:val="00ED2386"/>
    <w:rsid w:val="00ED2DBD"/>
    <w:rsid w:val="00ED2EA1"/>
    <w:rsid w:val="00ED3851"/>
    <w:rsid w:val="00ED3A8B"/>
    <w:rsid w:val="00ED3E51"/>
    <w:rsid w:val="00ED3F10"/>
    <w:rsid w:val="00ED3F9B"/>
    <w:rsid w:val="00ED451F"/>
    <w:rsid w:val="00ED46F2"/>
    <w:rsid w:val="00ED47EE"/>
    <w:rsid w:val="00ED4D04"/>
    <w:rsid w:val="00ED566D"/>
    <w:rsid w:val="00ED5907"/>
    <w:rsid w:val="00ED5F5B"/>
    <w:rsid w:val="00ED62C6"/>
    <w:rsid w:val="00ED649B"/>
    <w:rsid w:val="00ED64C1"/>
    <w:rsid w:val="00ED781F"/>
    <w:rsid w:val="00EE0E7E"/>
    <w:rsid w:val="00EE249F"/>
    <w:rsid w:val="00EE2EB4"/>
    <w:rsid w:val="00EE3446"/>
    <w:rsid w:val="00EE3E78"/>
    <w:rsid w:val="00EE41FD"/>
    <w:rsid w:val="00EE460E"/>
    <w:rsid w:val="00EE4B1B"/>
    <w:rsid w:val="00EE5572"/>
    <w:rsid w:val="00EE5D97"/>
    <w:rsid w:val="00EE5FBA"/>
    <w:rsid w:val="00EE6E06"/>
    <w:rsid w:val="00EE7179"/>
    <w:rsid w:val="00EF042A"/>
    <w:rsid w:val="00EF0A6D"/>
    <w:rsid w:val="00EF0D90"/>
    <w:rsid w:val="00EF150D"/>
    <w:rsid w:val="00EF1F5A"/>
    <w:rsid w:val="00EF23B5"/>
    <w:rsid w:val="00EF2CA7"/>
    <w:rsid w:val="00EF326A"/>
    <w:rsid w:val="00EF3898"/>
    <w:rsid w:val="00EF3C97"/>
    <w:rsid w:val="00EF47BF"/>
    <w:rsid w:val="00EF52F7"/>
    <w:rsid w:val="00EF59B1"/>
    <w:rsid w:val="00EF5A13"/>
    <w:rsid w:val="00EF5F53"/>
    <w:rsid w:val="00EF5FF9"/>
    <w:rsid w:val="00EF65B5"/>
    <w:rsid w:val="00EF7624"/>
    <w:rsid w:val="00EF77D4"/>
    <w:rsid w:val="00EF7CC7"/>
    <w:rsid w:val="00F00853"/>
    <w:rsid w:val="00F00866"/>
    <w:rsid w:val="00F00EC8"/>
    <w:rsid w:val="00F0160B"/>
    <w:rsid w:val="00F0193E"/>
    <w:rsid w:val="00F01F13"/>
    <w:rsid w:val="00F02982"/>
    <w:rsid w:val="00F03E2F"/>
    <w:rsid w:val="00F03F8D"/>
    <w:rsid w:val="00F04811"/>
    <w:rsid w:val="00F0488C"/>
    <w:rsid w:val="00F073ED"/>
    <w:rsid w:val="00F07C4C"/>
    <w:rsid w:val="00F10F11"/>
    <w:rsid w:val="00F11159"/>
    <w:rsid w:val="00F115E4"/>
    <w:rsid w:val="00F11AC4"/>
    <w:rsid w:val="00F11BD5"/>
    <w:rsid w:val="00F120A5"/>
    <w:rsid w:val="00F12197"/>
    <w:rsid w:val="00F12CFB"/>
    <w:rsid w:val="00F13E60"/>
    <w:rsid w:val="00F13FDB"/>
    <w:rsid w:val="00F15AAA"/>
    <w:rsid w:val="00F15BEF"/>
    <w:rsid w:val="00F1729B"/>
    <w:rsid w:val="00F17898"/>
    <w:rsid w:val="00F204BF"/>
    <w:rsid w:val="00F207C2"/>
    <w:rsid w:val="00F207E5"/>
    <w:rsid w:val="00F209D1"/>
    <w:rsid w:val="00F21337"/>
    <w:rsid w:val="00F219A1"/>
    <w:rsid w:val="00F23E20"/>
    <w:rsid w:val="00F24407"/>
    <w:rsid w:val="00F24FAA"/>
    <w:rsid w:val="00F25040"/>
    <w:rsid w:val="00F25486"/>
    <w:rsid w:val="00F2618F"/>
    <w:rsid w:val="00F26770"/>
    <w:rsid w:val="00F27071"/>
    <w:rsid w:val="00F27331"/>
    <w:rsid w:val="00F276D3"/>
    <w:rsid w:val="00F27EE5"/>
    <w:rsid w:val="00F27FB1"/>
    <w:rsid w:val="00F27FD6"/>
    <w:rsid w:val="00F307CB"/>
    <w:rsid w:val="00F30C65"/>
    <w:rsid w:val="00F321D2"/>
    <w:rsid w:val="00F32649"/>
    <w:rsid w:val="00F32785"/>
    <w:rsid w:val="00F32EC0"/>
    <w:rsid w:val="00F33523"/>
    <w:rsid w:val="00F3364D"/>
    <w:rsid w:val="00F33914"/>
    <w:rsid w:val="00F345C7"/>
    <w:rsid w:val="00F349BF"/>
    <w:rsid w:val="00F34DDC"/>
    <w:rsid w:val="00F36191"/>
    <w:rsid w:val="00F3629F"/>
    <w:rsid w:val="00F36930"/>
    <w:rsid w:val="00F36DF3"/>
    <w:rsid w:val="00F37362"/>
    <w:rsid w:val="00F37EDC"/>
    <w:rsid w:val="00F437CC"/>
    <w:rsid w:val="00F44537"/>
    <w:rsid w:val="00F445EE"/>
    <w:rsid w:val="00F46185"/>
    <w:rsid w:val="00F46423"/>
    <w:rsid w:val="00F4648F"/>
    <w:rsid w:val="00F4696A"/>
    <w:rsid w:val="00F47067"/>
    <w:rsid w:val="00F47234"/>
    <w:rsid w:val="00F47F8D"/>
    <w:rsid w:val="00F51AA9"/>
    <w:rsid w:val="00F51ADD"/>
    <w:rsid w:val="00F525AB"/>
    <w:rsid w:val="00F525EB"/>
    <w:rsid w:val="00F52CB5"/>
    <w:rsid w:val="00F53378"/>
    <w:rsid w:val="00F53A68"/>
    <w:rsid w:val="00F54934"/>
    <w:rsid w:val="00F55A92"/>
    <w:rsid w:val="00F5615B"/>
    <w:rsid w:val="00F568A1"/>
    <w:rsid w:val="00F575D3"/>
    <w:rsid w:val="00F57D57"/>
    <w:rsid w:val="00F62BFF"/>
    <w:rsid w:val="00F63092"/>
    <w:rsid w:val="00F63AAE"/>
    <w:rsid w:val="00F63D6E"/>
    <w:rsid w:val="00F63DDE"/>
    <w:rsid w:val="00F63FB7"/>
    <w:rsid w:val="00F6421B"/>
    <w:rsid w:val="00F647F1"/>
    <w:rsid w:val="00F649D2"/>
    <w:rsid w:val="00F64D5A"/>
    <w:rsid w:val="00F65EB4"/>
    <w:rsid w:val="00F6602B"/>
    <w:rsid w:val="00F6799D"/>
    <w:rsid w:val="00F70D82"/>
    <w:rsid w:val="00F7150B"/>
    <w:rsid w:val="00F717E4"/>
    <w:rsid w:val="00F7189A"/>
    <w:rsid w:val="00F71DE6"/>
    <w:rsid w:val="00F72104"/>
    <w:rsid w:val="00F72662"/>
    <w:rsid w:val="00F72849"/>
    <w:rsid w:val="00F72D71"/>
    <w:rsid w:val="00F7381C"/>
    <w:rsid w:val="00F73A0C"/>
    <w:rsid w:val="00F752DC"/>
    <w:rsid w:val="00F7549F"/>
    <w:rsid w:val="00F756DB"/>
    <w:rsid w:val="00F75E30"/>
    <w:rsid w:val="00F766BE"/>
    <w:rsid w:val="00F767A8"/>
    <w:rsid w:val="00F77590"/>
    <w:rsid w:val="00F82D14"/>
    <w:rsid w:val="00F836DA"/>
    <w:rsid w:val="00F84E7D"/>
    <w:rsid w:val="00F85066"/>
    <w:rsid w:val="00F87A4D"/>
    <w:rsid w:val="00F90AB1"/>
    <w:rsid w:val="00F92623"/>
    <w:rsid w:val="00F93688"/>
    <w:rsid w:val="00F936CF"/>
    <w:rsid w:val="00F939F3"/>
    <w:rsid w:val="00F93C6E"/>
    <w:rsid w:val="00F93F2C"/>
    <w:rsid w:val="00F9533C"/>
    <w:rsid w:val="00F962AD"/>
    <w:rsid w:val="00F9644E"/>
    <w:rsid w:val="00F96E1F"/>
    <w:rsid w:val="00FA00D4"/>
    <w:rsid w:val="00FA0105"/>
    <w:rsid w:val="00FA05A0"/>
    <w:rsid w:val="00FA0AEF"/>
    <w:rsid w:val="00FA17CC"/>
    <w:rsid w:val="00FA1CFE"/>
    <w:rsid w:val="00FA1F01"/>
    <w:rsid w:val="00FA26DF"/>
    <w:rsid w:val="00FA2A90"/>
    <w:rsid w:val="00FA32BC"/>
    <w:rsid w:val="00FA3FA8"/>
    <w:rsid w:val="00FA4059"/>
    <w:rsid w:val="00FA4574"/>
    <w:rsid w:val="00FA48A4"/>
    <w:rsid w:val="00FA4CB7"/>
    <w:rsid w:val="00FA4E3E"/>
    <w:rsid w:val="00FA5112"/>
    <w:rsid w:val="00FA5526"/>
    <w:rsid w:val="00FA5D4D"/>
    <w:rsid w:val="00FA6CB6"/>
    <w:rsid w:val="00FA70D3"/>
    <w:rsid w:val="00FA7AEC"/>
    <w:rsid w:val="00FA7F11"/>
    <w:rsid w:val="00FB0AC3"/>
    <w:rsid w:val="00FB0AEA"/>
    <w:rsid w:val="00FB0EE2"/>
    <w:rsid w:val="00FB1135"/>
    <w:rsid w:val="00FB1A79"/>
    <w:rsid w:val="00FB208B"/>
    <w:rsid w:val="00FB2B2D"/>
    <w:rsid w:val="00FB542E"/>
    <w:rsid w:val="00FB5580"/>
    <w:rsid w:val="00FB564F"/>
    <w:rsid w:val="00FB6532"/>
    <w:rsid w:val="00FB77F5"/>
    <w:rsid w:val="00FB7DBB"/>
    <w:rsid w:val="00FC05F8"/>
    <w:rsid w:val="00FC077B"/>
    <w:rsid w:val="00FC0E5F"/>
    <w:rsid w:val="00FC1266"/>
    <w:rsid w:val="00FC1A95"/>
    <w:rsid w:val="00FC1ED4"/>
    <w:rsid w:val="00FC3BEC"/>
    <w:rsid w:val="00FC3DB2"/>
    <w:rsid w:val="00FC440B"/>
    <w:rsid w:val="00FC4640"/>
    <w:rsid w:val="00FC56DE"/>
    <w:rsid w:val="00FC583C"/>
    <w:rsid w:val="00FC63D9"/>
    <w:rsid w:val="00FC64DE"/>
    <w:rsid w:val="00FC6785"/>
    <w:rsid w:val="00FC684B"/>
    <w:rsid w:val="00FC7D98"/>
    <w:rsid w:val="00FD0344"/>
    <w:rsid w:val="00FD1135"/>
    <w:rsid w:val="00FD1910"/>
    <w:rsid w:val="00FD2D20"/>
    <w:rsid w:val="00FD3265"/>
    <w:rsid w:val="00FD38C6"/>
    <w:rsid w:val="00FD3CF7"/>
    <w:rsid w:val="00FD4916"/>
    <w:rsid w:val="00FD4D12"/>
    <w:rsid w:val="00FD4F73"/>
    <w:rsid w:val="00FD595E"/>
    <w:rsid w:val="00FD7802"/>
    <w:rsid w:val="00FE27C7"/>
    <w:rsid w:val="00FE2BC0"/>
    <w:rsid w:val="00FE2C7E"/>
    <w:rsid w:val="00FE2F78"/>
    <w:rsid w:val="00FE3137"/>
    <w:rsid w:val="00FE346B"/>
    <w:rsid w:val="00FE346F"/>
    <w:rsid w:val="00FE48E4"/>
    <w:rsid w:val="00FE5DC9"/>
    <w:rsid w:val="00FE634C"/>
    <w:rsid w:val="00FE6E69"/>
    <w:rsid w:val="00FE6F59"/>
    <w:rsid w:val="00FF01B6"/>
    <w:rsid w:val="00FF1136"/>
    <w:rsid w:val="00FF3D76"/>
    <w:rsid w:val="00FF5B8C"/>
    <w:rsid w:val="00FF63E6"/>
    <w:rsid w:val="00FF77F9"/>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1Q2\Eng\Makroanal&#253;za%20grafy_e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1Q2\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abojnikova31519\Documents\Anal&#253;za\Q\2021Q2\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40163796014418E-2"/>
          <c:y val="2.3046636085626952E-2"/>
          <c:w val="0.93617042384329663"/>
          <c:h val="0.74192840256670856"/>
        </c:manualLayout>
      </c:layout>
      <c:barChart>
        <c:barDir val="col"/>
        <c:grouping val="clustered"/>
        <c:varyColors val="0"/>
        <c:ser>
          <c:idx val="0"/>
          <c:order val="0"/>
          <c:tx>
            <c:strRef>
              <c:f>'souhrnná výkonnost 1'!$C$4</c:f>
              <c:strCache>
                <c:ptCount val="1"/>
                <c:pt idx="0">
                  <c:v>CR year-on-year change</c:v>
                </c:pt>
              </c:strCache>
            </c:strRef>
          </c:tx>
          <c:spPr>
            <a:solidFill>
              <a:schemeClr val="bg1">
                <a:lumMod val="65000"/>
              </a:schemeClr>
            </a:solidFill>
            <a:ln>
              <a:noFill/>
            </a:ln>
          </c:spPr>
          <c:invertIfNegative val="0"/>
          <c:cat>
            <c:multiLvlStrRef>
              <c:f>'souhrnná výkonnost 1'!$A$21:$B$42</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'souhrnná výkonnost 1'!$C$21:$C$42</c:f>
              <c:numCache>
                <c:formatCode>#\ ##0.0</c:formatCode>
                <c:ptCount val="22"/>
                <c:pt idx="0">
                  <c:v>3.3935679863989208</c:v>
                </c:pt>
                <c:pt idx="1">
                  <c:v>2.2554525211863137</c:v>
                </c:pt>
                <c:pt idx="2">
                  <c:v>1.9595698850867365</c:v>
                </c:pt>
                <c:pt idx="3">
                  <c:v>2.1706116744660449</c:v>
                </c:pt>
                <c:pt idx="4">
                  <c:v>3.5703667972288571</c:v>
                </c:pt>
                <c:pt idx="5">
                  <c:v>6.1313858438531526</c:v>
                </c:pt>
                <c:pt idx="6">
                  <c:v>5.8793571478929323</c:v>
                </c:pt>
                <c:pt idx="7">
                  <c:v>5.8948576142013849</c:v>
                </c:pt>
                <c:pt idx="8">
                  <c:v>4.8045186709861412</c:v>
                </c:pt>
                <c:pt idx="9" formatCode="General">
                  <c:v>2.6817351351516834</c:v>
                </c:pt>
                <c:pt idx="10" formatCode="General">
                  <c:v>2.7294466842677565</c:v>
                </c:pt>
                <c:pt idx="11">
                  <c:v>2.5583350179001485</c:v>
                </c:pt>
                <c:pt idx="12">
                  <c:v>2.9671766091530287</c:v>
                </c:pt>
                <c:pt idx="13" formatCode="General">
                  <c:v>3.0195090485548093</c:v>
                </c:pt>
                <c:pt idx="14" formatCode="General">
                  <c:v>2.9551051697276307</c:v>
                </c:pt>
                <c:pt idx="15" formatCode="General">
                  <c:v>2.8845218371908743</c:v>
                </c:pt>
                <c:pt idx="16" formatCode="General">
                  <c:v>-1.4626768956389213</c:v>
                </c:pt>
                <c:pt idx="17" formatCode="General">
                  <c:v>-10.942094363882291</c:v>
                </c:pt>
                <c:pt idx="18" formatCode="General">
                  <c:v>-5.4470154857909989</c:v>
                </c:pt>
                <c:pt idx="19" formatCode="General">
                  <c:v>-5.3453232021546739</c:v>
                </c:pt>
                <c:pt idx="20" formatCode="General">
                  <c:v>-2.4562086187757615</c:v>
                </c:pt>
                <c:pt idx="21" formatCode="General">
                  <c:v>8.1818276699518577</c:v>
                </c:pt>
              </c:numCache>
            </c:numRef>
          </c:val>
          <c:extLst>
            <c:ext xmlns:c16="http://schemas.microsoft.com/office/drawing/2014/chart" uri="{C3380CC4-5D6E-409C-BE32-E72D297353CC}">
              <c16:uniqueId val="{00000000-06C5-4AE0-B10A-0E3A352093CC}"/>
            </c:ext>
          </c:extLst>
        </c:ser>
        <c:ser>
          <c:idx val="1"/>
          <c:order val="1"/>
          <c:tx>
            <c:strRef>
              <c:f>'souhrnná výkonnost 1'!$D$4</c:f>
              <c:strCache>
                <c:ptCount val="1"/>
                <c:pt idx="0">
                  <c:v>EU28 year-on-year change</c:v>
                </c:pt>
              </c:strCache>
            </c:strRef>
          </c:tx>
          <c:spPr>
            <a:solidFill>
              <a:schemeClr val="bg1">
                <a:lumMod val="50000"/>
              </a:schemeClr>
            </a:solidFill>
            <a:ln>
              <a:noFill/>
            </a:ln>
          </c:spPr>
          <c:invertIfNegative val="0"/>
          <c:cat>
            <c:multiLvlStrRef>
              <c:f>'souhrnná výkonnost 1'!$A$21:$B$42</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'souhrnná výkonnost 1'!$D$21:$D$42</c:f>
              <c:numCache>
                <c:formatCode>#\ ##0.0</c:formatCode>
                <c:ptCount val="22"/>
                <c:pt idx="0">
                  <c:v>2</c:v>
                </c:pt>
                <c:pt idx="1">
                  <c:v>1.9</c:v>
                </c:pt>
                <c:pt idx="2">
                  <c:v>1.8</c:v>
                </c:pt>
                <c:pt idx="3">
                  <c:v>2.2000000000000002</c:v>
                </c:pt>
                <c:pt idx="4">
                  <c:v>2.4</c:v>
                </c:pt>
                <c:pt idx="5">
                  <c:v>2.9</c:v>
                </c:pt>
                <c:pt idx="6">
                  <c:v>3.2</c:v>
                </c:pt>
                <c:pt idx="7">
                  <c:v>3.2</c:v>
                </c:pt>
                <c:pt idx="8">
                  <c:v>2.7</c:v>
                </c:pt>
                <c:pt idx="9">
                  <c:v>2.4</c:v>
                </c:pt>
                <c:pt idx="10">
                  <c:v>1.9</c:v>
                </c:pt>
                <c:pt idx="11">
                  <c:v>1.5</c:v>
                </c:pt>
                <c:pt idx="12">
                  <c:v>2</c:v>
                </c:pt>
                <c:pt idx="13">
                  <c:v>1.7</c:v>
                </c:pt>
                <c:pt idx="14">
                  <c:v>1.8</c:v>
                </c:pt>
                <c:pt idx="15">
                  <c:v>1.2</c:v>
                </c:pt>
                <c:pt idx="16">
                  <c:v>-2.6</c:v>
                </c:pt>
                <c:pt idx="17">
                  <c:v>-13.6</c:v>
                </c:pt>
                <c:pt idx="18">
                  <c:v>-3.9</c:v>
                </c:pt>
                <c:pt idx="19">
                  <c:v>-4.3</c:v>
                </c:pt>
                <c:pt idx="20">
                  <c:v>-1.3</c:v>
                </c:pt>
                <c:pt idx="21">
                  <c:v>13.2</c:v>
                </c:pt>
              </c:numCache>
            </c:numRef>
          </c:val>
          <c:extLst>
            <c:ext xmlns:c16="http://schemas.microsoft.com/office/drawing/2014/chart" uri="{C3380CC4-5D6E-409C-BE32-E72D297353CC}">
              <c16:uniqueId val="{00000001-06C5-4AE0-B10A-0E3A352093CC}"/>
            </c:ext>
          </c:extLst>
        </c:ser>
        <c:dLbls>
          <c:showLegendKey val="0"/>
          <c:showVal val="0"/>
          <c:showCatName val="0"/>
          <c:showSerName val="0"/>
          <c:showPercent val="0"/>
          <c:showBubbleSize val="0"/>
        </c:dLbls>
        <c:gapWidth val="100"/>
        <c:axId val="115054080"/>
        <c:axId val="115056000"/>
      </c:barChart>
      <c:lineChart>
        <c:grouping val="standard"/>
        <c:varyColors val="0"/>
        <c:ser>
          <c:idx val="2"/>
          <c:order val="2"/>
          <c:tx>
            <c:strRef>
              <c:f>'souhrnná výkonnost 1'!$E$4</c:f>
              <c:strCache>
                <c:ptCount val="1"/>
                <c:pt idx="0">
                  <c:v>ČR quarter-on-quarter change</c:v>
                </c:pt>
              </c:strCache>
            </c:strRef>
          </c:tx>
          <c:spPr>
            <a:ln w="19050">
              <a:noFill/>
            </a:ln>
          </c:spPr>
          <c:marker>
            <c:symbol val="dash"/>
            <c:size val="8"/>
            <c:spPr>
              <a:solidFill>
                <a:schemeClr val="accent1"/>
              </a:solidFill>
              <a:ln>
                <a:noFill/>
              </a:ln>
            </c:spPr>
          </c:marker>
          <c:cat>
            <c:multiLvlStrRef>
              <c:f>'souhrnná výkonnost 1'!$A$21:$B$42</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'souhrnná výkonnost 1'!$E$21:$E$42</c:f>
              <c:numCache>
                <c:formatCode>#\ ##0.0</c:formatCode>
                <c:ptCount val="22"/>
                <c:pt idx="0">
                  <c:v>0.16332296495187393</c:v>
                </c:pt>
                <c:pt idx="1">
                  <c:v>0.33620140081080763</c:v>
                </c:pt>
                <c:pt idx="2">
                  <c:v>0.80409486945227115</c:v>
                </c:pt>
                <c:pt idx="3">
                  <c:v>0.85128584892957804</c:v>
                </c:pt>
                <c:pt idx="4">
                  <c:v>1.5355778838110723</c:v>
                </c:pt>
                <c:pt idx="5">
                  <c:v>2.8172481596437962</c:v>
                </c:pt>
                <c:pt idx="6">
                  <c:v>0.56471681577477284</c:v>
                </c:pt>
                <c:pt idx="7">
                  <c:v>0.86605021849675268</c:v>
                </c:pt>
                <c:pt idx="8">
                  <c:v>0.49012395731429592</c:v>
                </c:pt>
                <c:pt idx="9">
                  <c:v>0.73471618143510398</c:v>
                </c:pt>
                <c:pt idx="10">
                  <c:v>0.61144468241420213</c:v>
                </c:pt>
                <c:pt idx="11">
                  <c:v>0.69804232504577612</c:v>
                </c:pt>
                <c:pt idx="12">
                  <c:v>0.89072077059854848</c:v>
                </c:pt>
                <c:pt idx="13" formatCode="General">
                  <c:v>0.78591398644272203</c:v>
                </c:pt>
                <c:pt idx="14" formatCode="General">
                  <c:v>0.54854623384075296</c:v>
                </c:pt>
                <c:pt idx="15" formatCode="General">
                  <c:v>0.62900637587634378</c:v>
                </c:pt>
                <c:pt idx="16" formatCode="General">
                  <c:v>-3.3722335169499615</c:v>
                </c:pt>
                <c:pt idx="17" formatCode="General">
                  <c:v>-8.9098208224286566</c:v>
                </c:pt>
                <c:pt idx="18" formatCode="General">
                  <c:v>6.7526242287794531</c:v>
                </c:pt>
                <c:pt idx="19" formatCode="General">
                  <c:v>0.73723345629051096</c:v>
                </c:pt>
                <c:pt idx="20" formatCode="General">
                  <c:v>-0.42289494489256185</c:v>
                </c:pt>
                <c:pt idx="21" formatCode="General">
                  <c:v>1.0243904473644392</c:v>
                </c:pt>
              </c:numCache>
            </c:numRef>
          </c:val>
          <c:smooth val="0"/>
          <c:extLst>
            <c:ext xmlns:c16="http://schemas.microsoft.com/office/drawing/2014/chart" uri="{C3380CC4-5D6E-409C-BE32-E72D297353CC}">
              <c16:uniqueId val="{00000002-06C5-4AE0-B10A-0E3A352093CC}"/>
            </c:ext>
          </c:extLst>
        </c:ser>
        <c:ser>
          <c:idx val="3"/>
          <c:order val="3"/>
          <c:tx>
            <c:strRef>
              <c:f>'souhrnná výkonnost 1'!$F$4</c:f>
              <c:strCache>
                <c:ptCount val="1"/>
                <c:pt idx="0">
                  <c:v>EU28 quarter-on-quarter change</c:v>
                </c:pt>
              </c:strCache>
            </c:strRef>
          </c:tx>
          <c:spPr>
            <a:ln w="19050">
              <a:noFill/>
            </a:ln>
          </c:spPr>
          <c:marker>
            <c:symbol val="dash"/>
            <c:size val="8"/>
            <c:spPr>
              <a:solidFill>
                <a:schemeClr val="accent2"/>
              </a:solidFill>
              <a:ln>
                <a:noFill/>
              </a:ln>
            </c:spPr>
          </c:marker>
          <c:cat>
            <c:multiLvlStrRef>
              <c:f>'souhrnná výkonnost 1'!$A$21:$B$42</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'souhrnná výkonnost 1'!$F$21:$F$42</c:f>
              <c:numCache>
                <c:formatCode>#\ ##0.0</c:formatCode>
                <c:ptCount val="22"/>
                <c:pt idx="0">
                  <c:v>0.5</c:v>
                </c:pt>
                <c:pt idx="1">
                  <c:v>0.4</c:v>
                </c:pt>
                <c:pt idx="2">
                  <c:v>0.4</c:v>
                </c:pt>
                <c:pt idx="3">
                  <c:v>0.9</c:v>
                </c:pt>
                <c:pt idx="4">
                  <c:v>0.7</c:v>
                </c:pt>
                <c:pt idx="5">
                  <c:v>0.9</c:v>
                </c:pt>
                <c:pt idx="6">
                  <c:v>0.7</c:v>
                </c:pt>
                <c:pt idx="7">
                  <c:v>0.9</c:v>
                </c:pt>
                <c:pt idx="8">
                  <c:v>0.2</c:v>
                </c:pt>
                <c:pt idx="9">
                  <c:v>0.6</c:v>
                </c:pt>
                <c:pt idx="10">
                  <c:v>0.2</c:v>
                </c:pt>
                <c:pt idx="11">
                  <c:v>0.6</c:v>
                </c:pt>
                <c:pt idx="12">
                  <c:v>0.6</c:v>
                </c:pt>
                <c:pt idx="13">
                  <c:v>0.3</c:v>
                </c:pt>
                <c:pt idx="14">
                  <c:v>0.3</c:v>
                </c:pt>
                <c:pt idx="15">
                  <c:v>0.1</c:v>
                </c:pt>
                <c:pt idx="16">
                  <c:v>-3.2</c:v>
                </c:pt>
                <c:pt idx="17">
                  <c:v>-11.1</c:v>
                </c:pt>
                <c:pt idx="18">
                  <c:v>11.6</c:v>
                </c:pt>
                <c:pt idx="19">
                  <c:v>-0.4</c:v>
                </c:pt>
                <c:pt idx="20">
                  <c:v>-0.1</c:v>
                </c:pt>
                <c:pt idx="21">
                  <c:v>1.9</c:v>
                </c:pt>
              </c:numCache>
            </c:numRef>
          </c:val>
          <c:smooth val="0"/>
          <c:extLst>
            <c:ext xmlns:c16="http://schemas.microsoft.com/office/drawing/2014/chart" uri="{C3380CC4-5D6E-409C-BE32-E72D297353CC}">
              <c16:uniqueId val="{00000003-06C5-4AE0-B10A-0E3A352093CC}"/>
            </c:ext>
          </c:extLst>
        </c:ser>
        <c:dLbls>
          <c:showLegendKey val="0"/>
          <c:showVal val="0"/>
          <c:showCatName val="0"/>
          <c:showSerName val="0"/>
          <c:showPercent val="0"/>
          <c:showBubbleSize val="0"/>
        </c:dLbls>
        <c:marker val="1"/>
        <c:smooth val="0"/>
        <c:axId val="115054080"/>
        <c:axId val="115056000"/>
      </c:lineChart>
      <c:catAx>
        <c:axId val="11505408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5056000"/>
        <c:crosses val="autoZero"/>
        <c:auto val="1"/>
        <c:lblAlgn val="ctr"/>
        <c:lblOffset val="100"/>
        <c:noMultiLvlLbl val="0"/>
      </c:catAx>
      <c:valAx>
        <c:axId val="115056000"/>
        <c:scaling>
          <c:orientation val="minMax"/>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054080"/>
        <c:crosses val="autoZero"/>
        <c:crossBetween val="between"/>
        <c:majorUnit val="3"/>
      </c:valAx>
      <c:spPr>
        <a:ln>
          <a:solidFill>
            <a:schemeClr val="tx1"/>
          </a:solidFill>
        </a:ln>
      </c:spPr>
    </c:plotArea>
    <c:legend>
      <c:legendPos val="b"/>
      <c:layout>
        <c:manualLayout>
          <c:xMode val="edge"/>
          <c:yMode val="edge"/>
          <c:x val="5.0375530939407026E-2"/>
          <c:y val="0.89437255125717996"/>
          <c:w val="0.92644083516900477"/>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948352704928246E-2"/>
          <c:y val="2.8458510079622041E-2"/>
          <c:w val="0.93956464282120367"/>
          <c:h val="0.6497469886299676"/>
        </c:manualLayout>
      </c:layout>
      <c:barChart>
        <c:barDir val="col"/>
        <c:grouping val="stacked"/>
        <c:varyColors val="0"/>
        <c:ser>
          <c:idx val="5"/>
          <c:order val="1"/>
          <c:tx>
            <c:strRef>
              <c:f>'souhrnná výkonnost 3'!$D$5</c:f>
              <c:strCache>
                <c:ptCount val="1"/>
                <c:pt idx="0">
                  <c:v>Final consumption expenditure of households (inc. non-profit inst.)</c:v>
                </c:pt>
              </c:strCache>
            </c:strRef>
          </c:tx>
          <c:spPr>
            <a:solidFill>
              <a:srgbClr val="0071BC"/>
            </a:solidFill>
            <a:ln>
              <a:noFill/>
            </a:ln>
          </c:spPr>
          <c:invertIfNegative val="0"/>
          <c:val>
            <c:numRef>
              <c:f>'souhrnná výkonnost 3'!$D$22:$D$43</c:f>
              <c:numCache>
                <c:formatCode>#\ ##0.0</c:formatCode>
                <c:ptCount val="22"/>
                <c:pt idx="0">
                  <c:v>0.93618616091517504</c:v>
                </c:pt>
                <c:pt idx="1">
                  <c:v>0.87008623065588986</c:v>
                </c:pt>
                <c:pt idx="2">
                  <c:v>1.088831374618116</c:v>
                </c:pt>
                <c:pt idx="3">
                  <c:v>0.98663697427429853</c:v>
                </c:pt>
                <c:pt idx="4">
                  <c:v>1.1317605173808631</c:v>
                </c:pt>
                <c:pt idx="5">
                  <c:v>1.4117084709383003</c:v>
                </c:pt>
                <c:pt idx="6">
                  <c:v>1.3280225164734749</c:v>
                </c:pt>
                <c:pt idx="7">
                  <c:v>1.0794473419672266</c:v>
                </c:pt>
                <c:pt idx="8">
                  <c:v>1.580542821710847</c:v>
                </c:pt>
                <c:pt idx="9">
                  <c:v>1.2036281398321482</c:v>
                </c:pt>
                <c:pt idx="10">
                  <c:v>0.99314647332669792</c:v>
                </c:pt>
                <c:pt idx="11">
                  <c:v>0.88688082354953479</c:v>
                </c:pt>
                <c:pt idx="12">
                  <c:v>0.92742283153358485</c:v>
                </c:pt>
                <c:pt idx="13">
                  <c:v>1.2648435786040815</c:v>
                </c:pt>
                <c:pt idx="14">
                  <c:v>1.0200882664173805</c:v>
                </c:pt>
                <c:pt idx="15">
                  <c:v>1.1768223210480195</c:v>
                </c:pt>
                <c:pt idx="16">
                  <c:v>-0.95160085945739037</c:v>
                </c:pt>
                <c:pt idx="17">
                  <c:v>-3.3386088539954577</c:v>
                </c:pt>
                <c:pt idx="18">
                  <c:v>-2.0623300718590203</c:v>
                </c:pt>
                <c:pt idx="19">
                  <c:v>-4.5307141342269546</c:v>
                </c:pt>
                <c:pt idx="20">
                  <c:v>-3.2272095782230288</c:v>
                </c:pt>
                <c:pt idx="21">
                  <c:v>1.1624591892831664</c:v>
                </c:pt>
              </c:numCache>
            </c:numRef>
          </c:val>
          <c:extLst>
            <c:ext xmlns:c16="http://schemas.microsoft.com/office/drawing/2014/chart" uri="{C3380CC4-5D6E-409C-BE32-E72D297353CC}">
              <c16:uniqueId val="{00000000-5080-44BC-BB00-1E7FEFEEF3D1}"/>
            </c:ext>
          </c:extLst>
        </c:ser>
        <c:ser>
          <c:idx val="4"/>
          <c:order val="2"/>
          <c:tx>
            <c:strRef>
              <c:f>'souhrnná výkonnost 3'!$E$5</c:f>
              <c:strCache>
                <c:ptCount val="1"/>
                <c:pt idx="0">
                  <c:v>Final consumption expenditure of government institutions</c:v>
                </c:pt>
              </c:strCache>
            </c:strRef>
          </c:tx>
          <c:spPr>
            <a:solidFill>
              <a:srgbClr val="A6CDE8"/>
            </a:solidFill>
            <a:ln>
              <a:noFill/>
            </a:ln>
          </c:spPr>
          <c:invertIfNegative val="0"/>
          <c:val>
            <c:numRef>
              <c:f>'souhrnná výkonnost 3'!$E$22:$E$43</c:f>
              <c:numCache>
                <c:formatCode>#\ ##0.0</c:formatCode>
                <c:ptCount val="22"/>
                <c:pt idx="0">
                  <c:v>0.42019916860676243</c:v>
                </c:pt>
                <c:pt idx="1">
                  <c:v>0.46376177295031862</c:v>
                </c:pt>
                <c:pt idx="2">
                  <c:v>0.44114936351097495</c:v>
                </c:pt>
                <c:pt idx="3">
                  <c:v>0.47675559244176158</c:v>
                </c:pt>
                <c:pt idx="4">
                  <c:v>0.44404461559069486</c:v>
                </c:pt>
                <c:pt idx="5">
                  <c:v>0.37751399613724029</c:v>
                </c:pt>
                <c:pt idx="6">
                  <c:v>0.21407569926635237</c:v>
                </c:pt>
                <c:pt idx="7">
                  <c:v>0.2341267263946423</c:v>
                </c:pt>
                <c:pt idx="8">
                  <c:v>0.57862841580255708</c:v>
                </c:pt>
                <c:pt idx="9">
                  <c:v>0.55642773333565732</c:v>
                </c:pt>
                <c:pt idx="10">
                  <c:v>0.89021022766775593</c:v>
                </c:pt>
                <c:pt idx="11">
                  <c:v>0.75191010842186412</c:v>
                </c:pt>
                <c:pt idx="12">
                  <c:v>0.41419150368088392</c:v>
                </c:pt>
                <c:pt idx="13">
                  <c:v>0.52913615091977828</c:v>
                </c:pt>
                <c:pt idx="14">
                  <c:v>0.42716769248184294</c:v>
                </c:pt>
                <c:pt idx="15">
                  <c:v>0.3389878995673522</c:v>
                </c:pt>
                <c:pt idx="16">
                  <c:v>0.69736075453620827</c:v>
                </c:pt>
                <c:pt idx="17">
                  <c:v>0.62242994402829654</c:v>
                </c:pt>
                <c:pt idx="18">
                  <c:v>0.43330470629342294</c:v>
                </c:pt>
                <c:pt idx="19">
                  <c:v>1.139349452193801</c:v>
                </c:pt>
                <c:pt idx="20">
                  <c:v>0.7088216658376213</c:v>
                </c:pt>
                <c:pt idx="21">
                  <c:v>0.56498977099965397</c:v>
                </c:pt>
              </c:numCache>
            </c:numRef>
          </c:val>
          <c:extLst>
            <c:ext xmlns:c16="http://schemas.microsoft.com/office/drawing/2014/chart" uri="{C3380CC4-5D6E-409C-BE32-E72D297353CC}">
              <c16:uniqueId val="{00000001-5080-44BC-BB00-1E7FEFEEF3D1}"/>
            </c:ext>
          </c:extLst>
        </c:ser>
        <c:ser>
          <c:idx val="3"/>
          <c:order val="3"/>
          <c:tx>
            <c:strRef>
              <c:f>'souhrnná výkonnost 3'!$G$5</c:f>
              <c:strCache>
                <c:ptCount val="1"/>
                <c:pt idx="0">
                  <c:v>Gross capital formation</c:v>
                </c:pt>
              </c:strCache>
            </c:strRef>
          </c:tx>
          <c:spPr>
            <a:solidFill>
              <a:srgbClr val="BD1B21"/>
            </a:solidFill>
            <a:ln>
              <a:noFill/>
            </a:ln>
          </c:spPr>
          <c:invertIfNegative val="0"/>
          <c:val>
            <c:numRef>
              <c:f>'souhrnná výkonnost 3'!$G$22:$G$43</c:f>
              <c:numCache>
                <c:formatCode>#\ ##0.0</c:formatCode>
                <c:ptCount val="22"/>
                <c:pt idx="0">
                  <c:v>0.16571758684643292</c:v>
                </c:pt>
                <c:pt idx="1">
                  <c:v>-1.6231279926014353</c:v>
                </c:pt>
                <c:pt idx="2">
                  <c:v>-0.9230024021929123</c:v>
                </c:pt>
                <c:pt idx="3">
                  <c:v>-0.55002076148293633</c:v>
                </c:pt>
                <c:pt idx="4">
                  <c:v>-1.2630660286446516</c:v>
                </c:pt>
                <c:pt idx="5">
                  <c:v>0.84009326563270514</c:v>
                </c:pt>
                <c:pt idx="6">
                  <c:v>1.6097758497475534</c:v>
                </c:pt>
                <c:pt idx="7">
                  <c:v>2.3721301843681739</c:v>
                </c:pt>
                <c:pt idx="8">
                  <c:v>2.8713468902027719</c:v>
                </c:pt>
                <c:pt idx="9">
                  <c:v>1.5905888817549036</c:v>
                </c:pt>
                <c:pt idx="10">
                  <c:v>1.9208851743389141</c:v>
                </c:pt>
                <c:pt idx="11">
                  <c:v>0.56073143718343366</c:v>
                </c:pt>
                <c:pt idx="12">
                  <c:v>1.5826437930914861</c:v>
                </c:pt>
                <c:pt idx="13">
                  <c:v>-0.15800458401897696</c:v>
                </c:pt>
                <c:pt idx="14">
                  <c:v>5.6924086841567925E-2</c:v>
                </c:pt>
                <c:pt idx="15">
                  <c:v>2.5116661705287227</c:v>
                </c:pt>
                <c:pt idx="16">
                  <c:v>-0.56428697696015839</c:v>
                </c:pt>
                <c:pt idx="17">
                  <c:v>-8.245764306033404E-2</c:v>
                </c:pt>
                <c:pt idx="18">
                  <c:v>-3.8102892591409159</c:v>
                </c:pt>
                <c:pt idx="19">
                  <c:v>-5.3123935717685367</c:v>
                </c:pt>
                <c:pt idx="20">
                  <c:v>9.7915337099825916E-2</c:v>
                </c:pt>
                <c:pt idx="21">
                  <c:v>1.566564830524585</c:v>
                </c:pt>
              </c:numCache>
            </c:numRef>
          </c:val>
          <c:extLst>
            <c:ext xmlns:c16="http://schemas.microsoft.com/office/drawing/2014/chart" uri="{C3380CC4-5D6E-409C-BE32-E72D297353CC}">
              <c16:uniqueId val="{00000002-5080-44BC-BB00-1E7FEFEEF3D1}"/>
            </c:ext>
          </c:extLst>
        </c:ser>
        <c:ser>
          <c:idx val="1"/>
          <c:order val="4"/>
          <c:tx>
            <c:strRef>
              <c:f>'souhrnná výkonnost 3'!$F$5</c:f>
              <c:strCache>
                <c:ptCount val="1"/>
                <c:pt idx="0">
                  <c:v>Foreign trade balance</c:v>
                </c:pt>
              </c:strCache>
            </c:strRef>
          </c:tx>
          <c:spPr>
            <a:solidFill>
              <a:srgbClr val="7DBB2D"/>
            </a:solidFill>
            <a:ln>
              <a:noFill/>
            </a:ln>
          </c:spPr>
          <c:invertIfNegative val="0"/>
          <c:val>
            <c:numRef>
              <c:f>'souhrnná výkonnost 3'!$F$22:$F$43</c:f>
              <c:numCache>
                <c:formatCode>#\ ##0.0</c:formatCode>
                <c:ptCount val="22"/>
                <c:pt idx="0">
                  <c:v>1.8167152604552226</c:v>
                </c:pt>
                <c:pt idx="1">
                  <c:v>2.4919364052715784</c:v>
                </c:pt>
                <c:pt idx="2">
                  <c:v>1.2934583130738089</c:v>
                </c:pt>
                <c:pt idx="3">
                  <c:v>1.1926166397447078</c:v>
                </c:pt>
                <c:pt idx="4">
                  <c:v>3.1780322387555695</c:v>
                </c:pt>
                <c:pt idx="5">
                  <c:v>3.4186500578903547</c:v>
                </c:pt>
                <c:pt idx="6">
                  <c:v>2.6451757604214197</c:v>
                </c:pt>
                <c:pt idx="7">
                  <c:v>2.134600536374907</c:v>
                </c:pt>
                <c:pt idx="8">
                  <c:v>-0.34846185861429246</c:v>
                </c:pt>
                <c:pt idx="9">
                  <c:v>-0.77956175506757264</c:v>
                </c:pt>
                <c:pt idx="10">
                  <c:v>-1.1814783274089611</c:v>
                </c:pt>
                <c:pt idx="11">
                  <c:v>0.25173122797348579</c:v>
                </c:pt>
                <c:pt idx="12">
                  <c:v>4.8271345411210476E-4</c:v>
                </c:pt>
                <c:pt idx="13">
                  <c:v>1.3310256349867293</c:v>
                </c:pt>
                <c:pt idx="14">
                  <c:v>1.3927593162025209</c:v>
                </c:pt>
                <c:pt idx="15">
                  <c:v>-1.1986582855082308</c:v>
                </c:pt>
                <c:pt idx="16">
                  <c:v>-0.71023464620906629</c:v>
                </c:pt>
                <c:pt idx="17">
                  <c:v>-8.1886210333748206</c:v>
                </c:pt>
                <c:pt idx="18">
                  <c:v>-3.9700810334303505E-2</c:v>
                </c:pt>
                <c:pt idx="19">
                  <c:v>3.3165688255399948</c:v>
                </c:pt>
                <c:pt idx="20">
                  <c:v>-5.7481486059446141E-2</c:v>
                </c:pt>
                <c:pt idx="21">
                  <c:v>4.8353112064280328</c:v>
                </c:pt>
              </c:numCache>
            </c:numRef>
          </c:val>
          <c:extLst>
            <c:ext xmlns:c16="http://schemas.microsoft.com/office/drawing/2014/chart" uri="{C3380CC4-5D6E-409C-BE32-E72D297353CC}">
              <c16:uniqueId val="{00000003-5080-44BC-BB00-1E7FEFEEF3D1}"/>
            </c:ext>
          </c:extLst>
        </c:ser>
        <c:dLbls>
          <c:showLegendKey val="0"/>
          <c:showVal val="0"/>
          <c:showCatName val="0"/>
          <c:showSerName val="0"/>
          <c:showPercent val="0"/>
          <c:showBubbleSize val="0"/>
        </c:dLbls>
        <c:gapWidth val="40"/>
        <c:overlap val="100"/>
        <c:axId val="115206784"/>
        <c:axId val="115286400"/>
      </c:barChart>
      <c:lineChart>
        <c:grouping val="standard"/>
        <c:varyColors val="0"/>
        <c:ser>
          <c:idx val="0"/>
          <c:order val="0"/>
          <c:tx>
            <c:strRef>
              <c:f>'souhrnná výkonnost 3'!$C$5</c:f>
              <c:strCache>
                <c:ptCount val="1"/>
                <c:pt idx="0">
                  <c:v>GDP</c:v>
                </c:pt>
              </c:strCache>
            </c:strRef>
          </c:tx>
          <c:spPr>
            <a:ln>
              <a:solidFill>
                <a:prstClr val="black"/>
              </a:solidFill>
            </a:ln>
          </c:spPr>
          <c:marker>
            <c:symbol val="none"/>
          </c:marker>
          <c:cat>
            <c:multiLvlStrRef>
              <c:f>'souhrnná výkonnost 3'!$A$22:$B$43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'souhrnná výkonnost 3'!$C$22:$C$43</c:f>
              <c:numCache>
                <c:formatCode>#\ ##0.0</c:formatCode>
                <c:ptCount val="22"/>
                <c:pt idx="0">
                  <c:v>3.3935594356915999</c:v>
                </c:pt>
                <c:pt idx="1">
                  <c:v>2.2554753959572764</c:v>
                </c:pt>
                <c:pt idx="2">
                  <c:v>1.9595326225544341</c:v>
                </c:pt>
                <c:pt idx="3">
                  <c:v>2.1706344977514362</c:v>
                </c:pt>
                <c:pt idx="4">
                  <c:v>3.5703737623319967</c:v>
                </c:pt>
                <c:pt idx="5">
                  <c:v>6.1313612268321123</c:v>
                </c:pt>
                <c:pt idx="6">
                  <c:v>5.8793927561599588</c:v>
                </c:pt>
                <c:pt idx="7">
                  <c:v>5.8948496206722893</c:v>
                </c:pt>
                <c:pt idx="8">
                  <c:v>4.8044975547299202</c:v>
                </c:pt>
                <c:pt idx="9">
                  <c:v>2.6817571455975582</c:v>
                </c:pt>
                <c:pt idx="10">
                  <c:v>2.7294056681603536</c:v>
                </c:pt>
                <c:pt idx="11">
                  <c:v>2.5583059250702433</c:v>
                </c:pt>
                <c:pt idx="12">
                  <c:v>2.9672187450501895</c:v>
                </c:pt>
                <c:pt idx="13">
                  <c:v>3.0195256065361349</c:v>
                </c:pt>
                <c:pt idx="14">
                  <c:v>2.9551413626175673</c:v>
                </c:pt>
                <c:pt idx="15">
                  <c:v>2.8845629323214155</c:v>
                </c:pt>
                <c:pt idx="16">
                  <c:v>-1.4626739052791606</c:v>
                </c:pt>
                <c:pt idx="17">
                  <c:v>-10.94212682938624</c:v>
                </c:pt>
                <c:pt idx="18">
                  <c:v>-5.44703894048574</c:v>
                </c:pt>
                <c:pt idx="19">
                  <c:v>-5.345334491331073</c:v>
                </c:pt>
                <c:pt idx="20">
                  <c:v>-2.4562265830767416</c:v>
                </c:pt>
                <c:pt idx="21">
                  <c:v>8.1818320652136975</c:v>
                </c:pt>
              </c:numCache>
            </c:numRef>
          </c:val>
          <c:smooth val="0"/>
          <c:extLst>
            <c:ext xmlns:c16="http://schemas.microsoft.com/office/drawing/2014/chart" uri="{C3380CC4-5D6E-409C-BE32-E72D297353CC}">
              <c16:uniqueId val="{00000004-5080-44BC-BB00-1E7FEFEEF3D1}"/>
            </c:ext>
          </c:extLst>
        </c:ser>
        <c:dLbls>
          <c:showLegendKey val="0"/>
          <c:showVal val="0"/>
          <c:showCatName val="0"/>
          <c:showSerName val="0"/>
          <c:showPercent val="0"/>
          <c:showBubbleSize val="0"/>
        </c:dLbls>
        <c:marker val="1"/>
        <c:smooth val="0"/>
        <c:axId val="115206784"/>
        <c:axId val="115286400"/>
      </c:lineChart>
      <c:catAx>
        <c:axId val="11520678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286400"/>
        <c:crosses val="autoZero"/>
        <c:auto val="1"/>
        <c:lblAlgn val="ctr"/>
        <c:lblOffset val="100"/>
        <c:noMultiLvlLbl val="0"/>
      </c:catAx>
      <c:valAx>
        <c:axId val="115286400"/>
        <c:scaling>
          <c:orientation val="minMax"/>
          <c:max val="9"/>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206784"/>
        <c:crosses val="autoZero"/>
        <c:crossBetween val="between"/>
        <c:majorUnit val="3"/>
      </c:valAx>
      <c:spPr>
        <a:ln>
          <a:solidFill>
            <a:schemeClr val="tx1"/>
          </a:solidFill>
        </a:ln>
      </c:spPr>
    </c:plotArea>
    <c:legend>
      <c:legendPos val="b"/>
      <c:layout>
        <c:manualLayout>
          <c:xMode val="edge"/>
          <c:yMode val="edge"/>
          <c:x val="5.5599658512421081E-2"/>
          <c:y val="0.79301446583361457"/>
          <c:w val="0.9297882566215917"/>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404035346808687E-2"/>
          <c:y val="3.7154479717354444E-2"/>
          <c:w val="0.93674937195830332"/>
          <c:h val="0.63445260610154264"/>
        </c:manualLayout>
      </c:layout>
      <c:barChart>
        <c:barDir val="col"/>
        <c:grouping val="stacked"/>
        <c:varyColors val="0"/>
        <c:ser>
          <c:idx val="4"/>
          <c:order val="0"/>
          <c:tx>
            <c:strRef>
              <c:f>'souhrnná výkonnost 4'!$C$5</c:f>
              <c:strCache>
                <c:ptCount val="1"/>
                <c:pt idx="0">
                  <c:v>Agriculture, forestry and fishing</c:v>
                </c:pt>
              </c:strCache>
            </c:strRef>
          </c:tx>
          <c:spPr>
            <a:solidFill>
              <a:srgbClr val="0071BC"/>
            </a:solidFill>
            <a:ln>
              <a:noFill/>
            </a:ln>
          </c:spPr>
          <c:invertIfNegative val="0"/>
          <c:val>
            <c:numRef>
              <c:f>'souhrnná výkonnost 4'!$C$22:$C$43</c:f>
              <c:numCache>
                <c:formatCode>#\ ##0.0</c:formatCode>
                <c:ptCount val="22"/>
                <c:pt idx="0">
                  <c:v>9.4765725889982E-2</c:v>
                </c:pt>
                <c:pt idx="1">
                  <c:v>0.15637528256042468</c:v>
                </c:pt>
                <c:pt idx="2">
                  <c:v>0.1869741986923065</c:v>
                </c:pt>
                <c:pt idx="3">
                  <c:v>7.7625901535376199E-2</c:v>
                </c:pt>
                <c:pt idx="4">
                  <c:v>-1.3383627512345413E-2</c:v>
                </c:pt>
                <c:pt idx="5">
                  <c:v>-0.10833526835550926</c:v>
                </c:pt>
                <c:pt idx="6">
                  <c:v>-0.17417145567790579</c:v>
                </c:pt>
                <c:pt idx="7">
                  <c:v>-5.6339788104083438E-2</c:v>
                </c:pt>
                <c:pt idx="8">
                  <c:v>3.3108455773835969E-2</c:v>
                </c:pt>
                <c:pt idx="9">
                  <c:v>6.7464623058102177E-2</c:v>
                </c:pt>
                <c:pt idx="10">
                  <c:v>0.13279889414520776</c:v>
                </c:pt>
                <c:pt idx="11">
                  <c:v>0.13730282461152749</c:v>
                </c:pt>
                <c:pt idx="12">
                  <c:v>8.2716288855485917E-2</c:v>
                </c:pt>
                <c:pt idx="13">
                  <c:v>9.2139384026042048E-2</c:v>
                </c:pt>
                <c:pt idx="14">
                  <c:v>0.10854763671027451</c:v>
                </c:pt>
                <c:pt idx="15">
                  <c:v>0.11881072235188453</c:v>
                </c:pt>
                <c:pt idx="16">
                  <c:v>0.14184046318480331</c:v>
                </c:pt>
                <c:pt idx="17">
                  <c:v>0.11212507120139492</c:v>
                </c:pt>
                <c:pt idx="18">
                  <c:v>0.13937941427353459</c:v>
                </c:pt>
                <c:pt idx="19">
                  <c:v>0.13855826563016213</c:v>
                </c:pt>
                <c:pt idx="20">
                  <c:v>0.15652352073482564</c:v>
                </c:pt>
                <c:pt idx="21">
                  <c:v>8.1599472114331523E-2</c:v>
                </c:pt>
              </c:numCache>
            </c:numRef>
          </c:val>
          <c:extLst>
            <c:ext xmlns:c16="http://schemas.microsoft.com/office/drawing/2014/chart" uri="{C3380CC4-5D6E-409C-BE32-E72D297353CC}">
              <c16:uniqueId val="{00000000-CF73-4C0F-8F5A-ECE4F48A8040}"/>
            </c:ext>
          </c:extLst>
        </c:ser>
        <c:ser>
          <c:idx val="3"/>
          <c:order val="1"/>
          <c:tx>
            <c:strRef>
              <c:f>'souhrnná výkonnost 4'!$D$5</c:f>
              <c:strCache>
                <c:ptCount val="1"/>
                <c:pt idx="0">
                  <c:v>Manufacturing (CZ-NACE C)</c:v>
                </c:pt>
              </c:strCache>
            </c:strRef>
          </c:tx>
          <c:spPr>
            <a:solidFill>
              <a:srgbClr val="A6CDE8"/>
            </a:solidFill>
            <a:ln>
              <a:noFill/>
            </a:ln>
          </c:spPr>
          <c:invertIfNegative val="0"/>
          <c:val>
            <c:numRef>
              <c:f>'souhrnná výkonnost 4'!$D$22:$D$43</c:f>
              <c:numCache>
                <c:formatCode>#\ ##0.0</c:formatCode>
                <c:ptCount val="22"/>
                <c:pt idx="0">
                  <c:v>1.6106591209137211</c:v>
                </c:pt>
                <c:pt idx="1">
                  <c:v>0.76053941356552957</c:v>
                </c:pt>
                <c:pt idx="2">
                  <c:v>0.94570363726203222</c:v>
                </c:pt>
                <c:pt idx="3">
                  <c:v>1.2222885842881583</c:v>
                </c:pt>
                <c:pt idx="4">
                  <c:v>1.3672331304188452</c:v>
                </c:pt>
                <c:pt idx="5">
                  <c:v>3.1345037144202608</c:v>
                </c:pt>
                <c:pt idx="6">
                  <c:v>3.0577731838821371</c:v>
                </c:pt>
                <c:pt idx="7">
                  <c:v>2.3545310158669421</c:v>
                </c:pt>
                <c:pt idx="8">
                  <c:v>1.5576365516094002</c:v>
                </c:pt>
                <c:pt idx="9">
                  <c:v>0.11177812966818869</c:v>
                </c:pt>
                <c:pt idx="10">
                  <c:v>3.2580368933372936E-3</c:v>
                </c:pt>
                <c:pt idx="11">
                  <c:v>0.30391701062646553</c:v>
                </c:pt>
                <c:pt idx="12">
                  <c:v>0.83241284936767035</c:v>
                </c:pt>
                <c:pt idx="13">
                  <c:v>1.3015365945875272</c:v>
                </c:pt>
                <c:pt idx="14">
                  <c:v>1.3300175165245307</c:v>
                </c:pt>
                <c:pt idx="15">
                  <c:v>1.0288201442114486</c:v>
                </c:pt>
                <c:pt idx="16">
                  <c:v>-0.53680284510878806</c:v>
                </c:pt>
                <c:pt idx="17">
                  <c:v>-5.0058505193508473</c:v>
                </c:pt>
                <c:pt idx="18">
                  <c:v>-1.4524158675902747</c:v>
                </c:pt>
                <c:pt idx="19">
                  <c:v>-0.93731068541695106</c:v>
                </c:pt>
                <c:pt idx="20">
                  <c:v>0.21205774230438229</c:v>
                </c:pt>
                <c:pt idx="21">
                  <c:v>5.184730189560419</c:v>
                </c:pt>
              </c:numCache>
            </c:numRef>
          </c:val>
          <c:extLst>
            <c:ext xmlns:c16="http://schemas.microsoft.com/office/drawing/2014/chart" uri="{C3380CC4-5D6E-409C-BE32-E72D297353CC}">
              <c16:uniqueId val="{00000001-CF73-4C0F-8F5A-ECE4F48A8040}"/>
            </c:ext>
          </c:extLst>
        </c:ser>
        <c:ser>
          <c:idx val="2"/>
          <c:order val="2"/>
          <c:tx>
            <c:strRef>
              <c:f>'souhrnná výkonnost 4'!$E$5</c:f>
              <c:strCache>
                <c:ptCount val="1"/>
                <c:pt idx="0">
                  <c:v>Other industrial branches (CZ-NACE B,D,E)</c:v>
                </c:pt>
              </c:strCache>
            </c:strRef>
          </c:tx>
          <c:spPr>
            <a:solidFill>
              <a:srgbClr val="BD1B21"/>
            </a:solidFill>
            <a:ln>
              <a:noFill/>
            </a:ln>
          </c:spPr>
          <c:invertIfNegative val="0"/>
          <c:val>
            <c:numRef>
              <c:f>'souhrnná výkonnost 4'!$E$22:$E$43</c:f>
              <c:numCache>
                <c:formatCode>#\ ##0.0</c:formatCode>
                <c:ptCount val="22"/>
                <c:pt idx="0">
                  <c:v>-0.60910811421333144</c:v>
                </c:pt>
                <c:pt idx="1">
                  <c:v>-0.22876574071995925</c:v>
                </c:pt>
                <c:pt idx="2">
                  <c:v>-0.20221592700743152</c:v>
                </c:pt>
                <c:pt idx="3">
                  <c:v>1.1159198434038675E-3</c:v>
                </c:pt>
                <c:pt idx="4">
                  <c:v>0.19369937090646161</c:v>
                </c:pt>
                <c:pt idx="5">
                  <c:v>8.7518834667852374E-2</c:v>
                </c:pt>
                <c:pt idx="6">
                  <c:v>0.12818764673017169</c:v>
                </c:pt>
                <c:pt idx="7">
                  <c:v>-3.2004861050359601E-2</c:v>
                </c:pt>
                <c:pt idx="8">
                  <c:v>-0.10299697854726397</c:v>
                </c:pt>
                <c:pt idx="9">
                  <c:v>-3.2072706595271713E-2</c:v>
                </c:pt>
                <c:pt idx="10" formatCode="General">
                  <c:v>8.1524592449955802E-2</c:v>
                </c:pt>
                <c:pt idx="11" formatCode="General">
                  <c:v>-6.1061461784250731E-2</c:v>
                </c:pt>
                <c:pt idx="12" formatCode="General">
                  <c:v>-0.20672058053663489</c:v>
                </c:pt>
                <c:pt idx="13" formatCode="General">
                  <c:v>-0.37407520858030863</c:v>
                </c:pt>
                <c:pt idx="14" formatCode="General">
                  <c:v>-0.71461913133162358</c:v>
                </c:pt>
                <c:pt idx="15" formatCode="General">
                  <c:v>-0.46214248963662286</c:v>
                </c:pt>
                <c:pt idx="16" formatCode="General">
                  <c:v>-0.82933877978192383</c:v>
                </c:pt>
                <c:pt idx="17" formatCode="General">
                  <c:v>-0.99599126054138232</c:v>
                </c:pt>
                <c:pt idx="18" formatCode="General">
                  <c:v>-0.66853823795995804</c:v>
                </c:pt>
                <c:pt idx="19" formatCode="General">
                  <c:v>-0.51144805126555193</c:v>
                </c:pt>
                <c:pt idx="20" formatCode="General">
                  <c:v>-6.2514314488681583E-2</c:v>
                </c:pt>
                <c:pt idx="21" formatCode="General">
                  <c:v>5.9159774548675159E-2</c:v>
                </c:pt>
              </c:numCache>
            </c:numRef>
          </c:val>
          <c:extLst>
            <c:ext xmlns:c16="http://schemas.microsoft.com/office/drawing/2014/chart" uri="{C3380CC4-5D6E-409C-BE32-E72D297353CC}">
              <c16:uniqueId val="{00000002-CF73-4C0F-8F5A-ECE4F48A8040}"/>
            </c:ext>
          </c:extLst>
        </c:ser>
        <c:ser>
          <c:idx val="1"/>
          <c:order val="3"/>
          <c:tx>
            <c:strRef>
              <c:f>'souhrnná výkonnost 4'!$F$5</c:f>
              <c:strCache>
                <c:ptCount val="1"/>
                <c:pt idx="0">
                  <c:v>Construction</c:v>
                </c:pt>
              </c:strCache>
            </c:strRef>
          </c:tx>
          <c:spPr>
            <a:solidFill>
              <a:srgbClr val="E8AFB2"/>
            </a:solidFill>
            <a:ln>
              <a:noFill/>
            </a:ln>
          </c:spPr>
          <c:invertIfNegative val="0"/>
          <c:val>
            <c:numRef>
              <c:f>'souhrnná výkonnost 4'!$F$22:$F$43</c:f>
              <c:numCache>
                <c:formatCode>#\ ##0.0</c:formatCode>
                <c:ptCount val="22"/>
                <c:pt idx="0">
                  <c:v>-0.13118840376974297</c:v>
                </c:pt>
                <c:pt idx="1">
                  <c:v>-0.28594902920034482</c:v>
                </c:pt>
                <c:pt idx="2">
                  <c:v>-0.26701712597535621</c:v>
                </c:pt>
                <c:pt idx="3">
                  <c:v>-0.18704467160622129</c:v>
                </c:pt>
                <c:pt idx="4">
                  <c:v>-0.1200139265751739</c:v>
                </c:pt>
                <c:pt idx="5">
                  <c:v>0.12420386515100609</c:v>
                </c:pt>
                <c:pt idx="6">
                  <c:v>7.1592239994959186E-2</c:v>
                </c:pt>
                <c:pt idx="7">
                  <c:v>0.17310415185088521</c:v>
                </c:pt>
                <c:pt idx="8">
                  <c:v>0.12249795664753446</c:v>
                </c:pt>
                <c:pt idx="9">
                  <c:v>-4.2660685745634658E-3</c:v>
                </c:pt>
                <c:pt idx="10">
                  <c:v>-1.804304477728428E-2</c:v>
                </c:pt>
                <c:pt idx="11">
                  <c:v>-0.11218045217553656</c:v>
                </c:pt>
                <c:pt idx="12">
                  <c:v>-0.20636296686894753</c:v>
                </c:pt>
                <c:pt idx="13">
                  <c:v>-6.4792774942168993E-2</c:v>
                </c:pt>
                <c:pt idx="14">
                  <c:v>-7.9269271643787567E-2</c:v>
                </c:pt>
                <c:pt idx="15">
                  <c:v>-5.6020948993661966E-2</c:v>
                </c:pt>
                <c:pt idx="16">
                  <c:v>-0.1910625729986753</c:v>
                </c:pt>
                <c:pt idx="17">
                  <c:v>-0.60295311908818527</c:v>
                </c:pt>
                <c:pt idx="18">
                  <c:v>-0.54755592054880697</c:v>
                </c:pt>
                <c:pt idx="19">
                  <c:v>-0.62049917307457436</c:v>
                </c:pt>
                <c:pt idx="20">
                  <c:v>-0.38011083766821685</c:v>
                </c:pt>
                <c:pt idx="21">
                  <c:v>3.453962284597914E-2</c:v>
                </c:pt>
              </c:numCache>
            </c:numRef>
          </c:val>
          <c:extLst>
            <c:ext xmlns:c16="http://schemas.microsoft.com/office/drawing/2014/chart" uri="{C3380CC4-5D6E-409C-BE32-E72D297353CC}">
              <c16:uniqueId val="{00000003-CF73-4C0F-8F5A-ECE4F48A8040}"/>
            </c:ext>
          </c:extLst>
        </c:ser>
        <c:ser>
          <c:idx val="0"/>
          <c:order val="4"/>
          <c:tx>
            <c:strRef>
              <c:f>'souhrnná výkonnost 4'!$G$5</c:f>
              <c:strCache>
                <c:ptCount val="1"/>
                <c:pt idx="0">
                  <c:v>Services (CZ-NACE G to U)</c:v>
                </c:pt>
              </c:strCache>
            </c:strRef>
          </c:tx>
          <c:spPr>
            <a:solidFill>
              <a:srgbClr val="7DBB2D"/>
            </a:solidFill>
            <a:ln>
              <a:noFill/>
            </a:ln>
          </c:spPr>
          <c:invertIfNegative val="0"/>
          <c:val>
            <c:numRef>
              <c:f>'souhrnná výkonnost 4'!$G$22:$G$43</c:f>
              <c:numCache>
                <c:formatCode>#\ ##0.0</c:formatCode>
                <c:ptCount val="22"/>
                <c:pt idx="0">
                  <c:v>2.2780910878465543</c:v>
                </c:pt>
                <c:pt idx="1">
                  <c:v>1.7791133450565915</c:v>
                </c:pt>
                <c:pt idx="2">
                  <c:v>1.1751996503140407</c:v>
                </c:pt>
                <c:pt idx="3">
                  <c:v>1.1971206910823469</c:v>
                </c:pt>
                <c:pt idx="4">
                  <c:v>2.1480829000947486</c:v>
                </c:pt>
                <c:pt idx="5">
                  <c:v>3.0747805417077498</c:v>
                </c:pt>
                <c:pt idx="6">
                  <c:v>2.9994469566684199</c:v>
                </c:pt>
                <c:pt idx="7">
                  <c:v>3.2896815901667287</c:v>
                </c:pt>
                <c:pt idx="8">
                  <c:v>3.1749514751083248</c:v>
                </c:pt>
                <c:pt idx="9">
                  <c:v>2.6275397496035438</c:v>
                </c:pt>
                <c:pt idx="10" formatCode="General">
                  <c:v>2.7719971256974341</c:v>
                </c:pt>
                <c:pt idx="11" formatCode="General">
                  <c:v>2.5972842205241453</c:v>
                </c:pt>
                <c:pt idx="12" formatCode="General">
                  <c:v>2.508296604685702</c:v>
                </c:pt>
                <c:pt idx="13" formatCode="General">
                  <c:v>2.0834684133018309</c:v>
                </c:pt>
                <c:pt idx="14" formatCode="General">
                  <c:v>2.1657395752754183</c:v>
                </c:pt>
                <c:pt idx="15" formatCode="General">
                  <c:v>2.2150289387573601</c:v>
                </c:pt>
                <c:pt idx="16" formatCode="General">
                  <c:v>0.35842147618069087</c:v>
                </c:pt>
                <c:pt idx="17" formatCode="General">
                  <c:v>-4.6526468154620559</c:v>
                </c:pt>
                <c:pt idx="18" formatCode="General">
                  <c:v>-2.6797110005821319</c:v>
                </c:pt>
                <c:pt idx="19" formatCode="General">
                  <c:v>-3.089633953611683</c:v>
                </c:pt>
                <c:pt idx="20" formatCode="General">
                  <c:v>-2.3943227545688996</c:v>
                </c:pt>
                <c:pt idx="21" formatCode="General">
                  <c:v>3.078853854850383</c:v>
                </c:pt>
              </c:numCache>
            </c:numRef>
          </c:val>
          <c:extLst>
            <c:ext xmlns:c16="http://schemas.microsoft.com/office/drawing/2014/chart" uri="{C3380CC4-5D6E-409C-BE32-E72D297353CC}">
              <c16:uniqueId val="{00000004-CF73-4C0F-8F5A-ECE4F48A8040}"/>
            </c:ext>
          </c:extLst>
        </c:ser>
        <c:dLbls>
          <c:showLegendKey val="0"/>
          <c:showVal val="0"/>
          <c:showCatName val="0"/>
          <c:showSerName val="0"/>
          <c:showPercent val="0"/>
          <c:showBubbleSize val="0"/>
        </c:dLbls>
        <c:gapWidth val="70"/>
        <c:overlap val="100"/>
        <c:axId val="115446144"/>
        <c:axId val="115447680"/>
      </c:barChart>
      <c:lineChart>
        <c:grouping val="standard"/>
        <c:varyColors val="0"/>
        <c:ser>
          <c:idx val="5"/>
          <c:order val="5"/>
          <c:tx>
            <c:strRef>
              <c:f>'souhrnná výkonnost 4'!$H$5</c:f>
              <c:strCache>
                <c:ptCount val="1"/>
                <c:pt idx="0">
                  <c:v>Total gross value added</c:v>
                </c:pt>
              </c:strCache>
            </c:strRef>
          </c:tx>
          <c:spPr>
            <a:ln w="19050">
              <a:solidFill>
                <a:prstClr val="black"/>
              </a:solidFill>
            </a:ln>
          </c:spPr>
          <c:marker>
            <c:symbol val="none"/>
          </c:marker>
          <c:cat>
            <c:multiLvlStrRef>
              <c:f>'souhrnná výkonnost 4'!$A$22:$B$43</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2016</c:v>
                  </c:pt>
                  <c:pt idx="4">
                    <c:v>2017</c:v>
                  </c:pt>
                  <c:pt idx="8">
                    <c:v>2018</c:v>
                  </c:pt>
                  <c:pt idx="12">
                    <c:v>2019</c:v>
                  </c:pt>
                  <c:pt idx="16">
                    <c:v>2020</c:v>
                  </c:pt>
                  <c:pt idx="20">
                    <c:v>2021</c:v>
                  </c:pt>
                </c:lvl>
              </c:multiLvlStrCache>
            </c:multiLvlStrRef>
          </c:cat>
          <c:val>
            <c:numRef>
              <c:f>'souhrnná výkonnost 4'!$H$22:$H$43</c:f>
              <c:numCache>
                <c:formatCode>#\ ##0.0</c:formatCode>
                <c:ptCount val="22"/>
                <c:pt idx="0">
                  <c:v>3.2432073755742579</c:v>
                </c:pt>
                <c:pt idx="1">
                  <c:v>2.1812977926827415</c:v>
                </c:pt>
                <c:pt idx="2">
                  <c:v>1.8386996228235262</c:v>
                </c:pt>
                <c:pt idx="3">
                  <c:v>2.3109605829682209</c:v>
                </c:pt>
                <c:pt idx="4">
                  <c:v>3.5756277740391482</c:v>
                </c:pt>
                <c:pt idx="5">
                  <c:v>6.3126226044967666</c:v>
                </c:pt>
                <c:pt idx="6">
                  <c:v>6.0829220489310671</c:v>
                </c:pt>
                <c:pt idx="7">
                  <c:v>5.7291078447527326</c:v>
                </c:pt>
                <c:pt idx="8">
                  <c:v>4.8981845225873855</c:v>
                </c:pt>
                <c:pt idx="9">
                  <c:v>2.7705379621629049</c:v>
                </c:pt>
                <c:pt idx="10">
                  <c:v>2.9716135031952859</c:v>
                </c:pt>
                <c:pt idx="11">
                  <c:v>2.8650954448108195</c:v>
                </c:pt>
                <c:pt idx="12">
                  <c:v>3.0103555185936557</c:v>
                </c:pt>
                <c:pt idx="13">
                  <c:v>3.0382784412400667</c:v>
                </c:pt>
                <c:pt idx="14">
                  <c:v>2.810283179001118</c:v>
                </c:pt>
                <c:pt idx="15">
                  <c:v>2.8446208831943522</c:v>
                </c:pt>
                <c:pt idx="16">
                  <c:v>-1.0569722929019179</c:v>
                </c:pt>
                <c:pt idx="17">
                  <c:v>-11.145421355586024</c:v>
                </c:pt>
                <c:pt idx="18">
                  <c:v>-5.2086519445039414</c:v>
                </c:pt>
                <c:pt idx="19">
                  <c:v>-5.0205707503875487</c:v>
                </c:pt>
                <c:pt idx="20">
                  <c:v>-2.4684603638890081</c:v>
                </c:pt>
                <c:pt idx="21">
                  <c:v>8.4389454688763976</c:v>
                </c:pt>
              </c:numCache>
            </c:numRef>
          </c:val>
          <c:smooth val="0"/>
          <c:extLst>
            <c:ext xmlns:c16="http://schemas.microsoft.com/office/drawing/2014/chart" uri="{C3380CC4-5D6E-409C-BE32-E72D297353CC}">
              <c16:uniqueId val="{00000005-CF73-4C0F-8F5A-ECE4F48A8040}"/>
            </c:ext>
          </c:extLst>
        </c:ser>
        <c:dLbls>
          <c:showLegendKey val="0"/>
          <c:showVal val="0"/>
          <c:showCatName val="0"/>
          <c:showSerName val="0"/>
          <c:showPercent val="0"/>
          <c:showBubbleSize val="0"/>
        </c:dLbls>
        <c:marker val="1"/>
        <c:smooth val="0"/>
        <c:axId val="115446144"/>
        <c:axId val="115447680"/>
      </c:lineChart>
      <c:catAx>
        <c:axId val="11544614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447680"/>
        <c:crosses val="autoZero"/>
        <c:auto val="1"/>
        <c:lblAlgn val="ctr"/>
        <c:lblOffset val="100"/>
        <c:noMultiLvlLbl val="0"/>
      </c:catAx>
      <c:valAx>
        <c:axId val="115447680"/>
        <c:scaling>
          <c:orientation val="minMax"/>
          <c:max val="7"/>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446144"/>
        <c:crosses val="autoZero"/>
        <c:crossBetween val="between"/>
        <c:majorUnit val="3"/>
      </c:valAx>
      <c:spPr>
        <a:ln>
          <a:solidFill>
            <a:schemeClr val="tx1"/>
          </a:solidFill>
        </a:ln>
      </c:spPr>
    </c:plotArea>
    <c:legend>
      <c:legendPos val="b"/>
      <c:layout>
        <c:manualLayout>
          <c:xMode val="edge"/>
          <c:yMode val="edge"/>
          <c:x val="4.8782884397989404E-2"/>
          <c:y val="0.79016604750647301"/>
          <c:w val="0.92922619274506457"/>
          <c:h val="0.194624845209950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2C3AD-C62C-4920-9EFA-F7291D4DFFF5}">
  <ds:schemaRefs>
    <ds:schemaRef ds:uri="http://schemas.openxmlformats.org/officeDocument/2006/bibliography"/>
  </ds:schemaRefs>
</ds:datastoreItem>
</file>

<file path=customXml/itemProps2.xml><?xml version="1.0" encoding="utf-8"?>
<ds:datastoreItem xmlns:ds="http://schemas.openxmlformats.org/officeDocument/2006/customXml" ds:itemID="{76B75F35-9359-406E-98EA-C186FD1D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285</TotalTime>
  <Pages>4</Pages>
  <Words>1577</Words>
  <Characters>9310</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10866</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13</cp:revision>
  <cp:lastPrinted>2019-04-08T10:52:00Z</cp:lastPrinted>
  <dcterms:created xsi:type="dcterms:W3CDTF">2021-10-13T08:35:00Z</dcterms:created>
  <dcterms:modified xsi:type="dcterms:W3CDTF">2021-10-14T10:33:00Z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2021-09-21T09:22:12Z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4c807463-2e13-4ff5-a9c2-71b88174dae9</vt:lpwstr>
  </property>
  <property fmtid="{D5CDD505-2E9C-101B-9397-08002B2CF9AE}" pid="8" name="MSIP_Label_29db9e61-aac5-4f6e-805d-ceb8cb9983a1_ContentBits">
    <vt:lpwstr>0</vt:lpwstr>
  </property>
</Properties>
</file>