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737B" w14:textId="6E592835" w:rsidR="00C15537" w:rsidRDefault="00C15537" w:rsidP="00C15537">
      <w:pPr>
        <w:pStyle w:val="Nadpis11"/>
      </w:pPr>
      <w:bookmarkStart w:id="0" w:name="_Toc130286023"/>
      <w:r w:rsidRPr="00787441">
        <w:rPr>
          <w:szCs w:val="32"/>
        </w:rPr>
        <w:t>8</w:t>
      </w:r>
      <w:r>
        <w:t>. </w:t>
      </w:r>
      <w:r w:rsidRPr="009110F7">
        <w:t>Státní rozpočet</w:t>
      </w:r>
      <w:bookmarkEnd w:id="0"/>
    </w:p>
    <w:tbl>
      <w:tblPr>
        <w:tblW w:w="9669" w:type="dxa"/>
        <w:tblInd w:w="-20" w:type="dxa"/>
        <w:tblCellMar>
          <w:left w:w="0" w:type="dxa"/>
          <w:right w:w="0" w:type="dxa"/>
        </w:tblCellMar>
        <w:tblLook w:val="00A0" w:firstRow="1" w:lastRow="0" w:firstColumn="1" w:lastColumn="0" w:noHBand="0" w:noVBand="0"/>
      </w:tblPr>
      <w:tblGrid>
        <w:gridCol w:w="1773"/>
        <w:gridCol w:w="217"/>
        <w:gridCol w:w="7679"/>
      </w:tblGrid>
      <w:tr w:rsidR="001C3855" w:rsidRPr="003C07E6" w14:paraId="7190197A" w14:textId="77777777" w:rsidTr="00C8019E">
        <w:trPr>
          <w:trHeight w:val="145"/>
        </w:trPr>
        <w:tc>
          <w:tcPr>
            <w:tcW w:w="1773" w:type="dxa"/>
            <w:shd w:val="clear" w:color="auto" w:fill="auto"/>
            <w:tcMar>
              <w:left w:w="0" w:type="dxa"/>
            </w:tcMar>
          </w:tcPr>
          <w:p w14:paraId="2009B53F" w14:textId="77777777" w:rsidR="001C3855" w:rsidRDefault="001C3855" w:rsidP="00C8019E">
            <w:pPr>
              <w:pStyle w:val="Marginlie"/>
              <w:rPr>
                <w:spacing w:val="-5"/>
              </w:rPr>
            </w:pPr>
            <w:r>
              <w:rPr>
                <w:spacing w:val="-5"/>
              </w:rPr>
              <w:t>Státní rozpočet loni hospodařil s hlubokým deficitem třetí rok v řadě.</w:t>
            </w:r>
          </w:p>
          <w:p w14:paraId="2F7AFF97" w14:textId="77777777" w:rsidR="001C3855" w:rsidRDefault="001C3855" w:rsidP="00C8019E">
            <w:pPr>
              <w:pStyle w:val="Marginlie"/>
              <w:rPr>
                <w:spacing w:val="-5"/>
              </w:rPr>
            </w:pPr>
          </w:p>
          <w:p w14:paraId="1CAC0532" w14:textId="77777777" w:rsidR="001C3855" w:rsidRDefault="001C3855" w:rsidP="00C8019E">
            <w:pPr>
              <w:pStyle w:val="Marginlie"/>
              <w:rPr>
                <w:spacing w:val="-5"/>
              </w:rPr>
            </w:pPr>
          </w:p>
          <w:p w14:paraId="0E5011A1" w14:textId="77777777" w:rsidR="001C3855" w:rsidRDefault="001C3855" w:rsidP="00C8019E">
            <w:pPr>
              <w:pStyle w:val="Marginlie"/>
              <w:rPr>
                <w:spacing w:val="-5"/>
              </w:rPr>
            </w:pPr>
          </w:p>
          <w:p w14:paraId="30C10563" w14:textId="77777777" w:rsidR="001C3855" w:rsidRDefault="001C3855" w:rsidP="00C8019E">
            <w:pPr>
              <w:pStyle w:val="Marginlie"/>
              <w:rPr>
                <w:spacing w:val="-5"/>
              </w:rPr>
            </w:pPr>
          </w:p>
          <w:p w14:paraId="77F86DC5" w14:textId="77777777" w:rsidR="001C3855" w:rsidRDefault="001C3855" w:rsidP="00C8019E">
            <w:pPr>
              <w:pStyle w:val="Marginlie"/>
              <w:rPr>
                <w:spacing w:val="-5"/>
              </w:rPr>
            </w:pPr>
          </w:p>
          <w:p w14:paraId="1098115C" w14:textId="77777777" w:rsidR="001C3855" w:rsidRDefault="001C3855" w:rsidP="00C8019E">
            <w:pPr>
              <w:pStyle w:val="Marginlie"/>
              <w:rPr>
                <w:spacing w:val="-5"/>
              </w:rPr>
            </w:pPr>
          </w:p>
          <w:p w14:paraId="34DEB463" w14:textId="77777777" w:rsidR="001C3855" w:rsidRPr="00980316" w:rsidRDefault="001C3855" w:rsidP="00C8019E">
            <w:pPr>
              <w:pStyle w:val="Marginlie"/>
              <w:rPr>
                <w:spacing w:val="-5"/>
              </w:rPr>
            </w:pPr>
            <w:r>
              <w:rPr>
                <w:spacing w:val="-5"/>
              </w:rPr>
              <w:t xml:space="preserve">Dopady války na Ukrajině ovlivnily celkové příjmy </w:t>
            </w:r>
            <w:r>
              <w:rPr>
                <w:spacing w:val="-5"/>
              </w:rPr>
              <w:br/>
              <w:t>i výdaje. Ty zůstaly shodně o 3,7 % za rozpočtovým očekáváním.</w:t>
            </w:r>
          </w:p>
        </w:tc>
        <w:tc>
          <w:tcPr>
            <w:tcW w:w="217" w:type="dxa"/>
            <w:shd w:val="clear" w:color="auto" w:fill="auto"/>
            <w:tcMar>
              <w:left w:w="0" w:type="dxa"/>
            </w:tcMar>
          </w:tcPr>
          <w:p w14:paraId="5EBB1C1F" w14:textId="77777777" w:rsidR="001C3855" w:rsidRDefault="001C3855" w:rsidP="00C8019E">
            <w:pPr>
              <w:pStyle w:val="Textpoznpodarou"/>
              <w:jc w:val="both"/>
              <w:rPr>
                <w:spacing w:val="-4"/>
              </w:rPr>
            </w:pPr>
          </w:p>
        </w:tc>
        <w:tc>
          <w:tcPr>
            <w:tcW w:w="7679" w:type="dxa"/>
            <w:shd w:val="clear" w:color="auto" w:fill="auto"/>
            <w:tcMar>
              <w:left w:w="0" w:type="dxa"/>
            </w:tcMar>
          </w:tcPr>
          <w:p w14:paraId="4B32A927" w14:textId="77777777" w:rsidR="001C3855" w:rsidRDefault="001C3855" w:rsidP="00C8019E">
            <w:pPr>
              <w:spacing w:after="220"/>
              <w:rPr>
                <w:spacing w:val="-4"/>
              </w:rPr>
            </w:pPr>
            <w:r>
              <w:rPr>
                <w:spacing w:val="-4"/>
              </w:rPr>
              <w:t xml:space="preserve">Za celý rok 2022 skončilo hospodaření státního rozpočtu </w:t>
            </w:r>
            <w:r w:rsidRPr="00A92514">
              <w:rPr>
                <w:spacing w:val="-4"/>
              </w:rPr>
              <w:t>(SR)</w:t>
            </w:r>
            <w:r w:rsidRPr="00A92514">
              <w:rPr>
                <w:rStyle w:val="Znakapoznpodarou"/>
                <w:spacing w:val="-4"/>
              </w:rPr>
              <w:footnoteReference w:id="1"/>
            </w:r>
            <w:r>
              <w:rPr>
                <w:spacing w:val="-4"/>
              </w:rPr>
              <w:t xml:space="preserve"> deficitem ve výši </w:t>
            </w:r>
            <w:r>
              <w:rPr>
                <w:spacing w:val="-4"/>
              </w:rPr>
              <w:br/>
              <w:t>360,4 mld. korun, jenž se významně neodchýlil od rozpočtového očekávání</w:t>
            </w:r>
            <w:r>
              <w:rPr>
                <w:rStyle w:val="Znakapoznpodarou"/>
                <w:spacing w:val="-4"/>
              </w:rPr>
              <w:footnoteReference w:id="2"/>
            </w:r>
            <w:r>
              <w:rPr>
                <w:spacing w:val="-4"/>
              </w:rPr>
              <w:t>. Hluboký schodek byl zaznamenán již třetím rokem v řadě, loňský výsledek byl však v tomto ohledu relativně nejpříznivější</w:t>
            </w:r>
            <w:r>
              <w:rPr>
                <w:rStyle w:val="Znakapoznpodarou"/>
                <w:spacing w:val="-4"/>
              </w:rPr>
              <w:footnoteReference w:id="3"/>
            </w:r>
            <w:r>
              <w:rPr>
                <w:spacing w:val="-4"/>
              </w:rPr>
              <w:t>. Za meziročním snížením celkového schodku stálo loni převážně příznivější hospodaření SR v 1. čtvrtletí, kdy deficit nepřesáhl 60 mld. korun. Tehdy již na rozdíl od počátku roku 2021 nebyla vlivem protipandemických restrikcí omezena ekonomická aktivita a citelně také poklesla potřeba pomoci postiženým podnikům i domácnostem. V další části roku 2022 došlo vlivem války na Ukrajině k razantní akceleraci růstu cen energií i paliv. Nárůst cen postupně prostoupil celou tuzemskou ekonomikou a nasměroval ji na sestupnou fázi hospodářského cyklu. Tyto vlivy se zpočátku negativně projevily spíše na výdajové straně rozpočtu – vyššími sociálními transfery (vč. těch spojených</w:t>
            </w:r>
            <w:r w:rsidRPr="00A92514">
              <w:rPr>
                <w:spacing w:val="-4"/>
              </w:rPr>
              <w:t xml:space="preserve"> s uprchlickou vlnou z</w:t>
            </w:r>
            <w:r>
              <w:rPr>
                <w:spacing w:val="-4"/>
              </w:rPr>
              <w:t> </w:t>
            </w:r>
            <w:r w:rsidRPr="00A92514">
              <w:rPr>
                <w:spacing w:val="-4"/>
              </w:rPr>
              <w:t>Ukrajiny</w:t>
            </w:r>
            <w:r>
              <w:rPr>
                <w:spacing w:val="-4"/>
              </w:rPr>
              <w:t xml:space="preserve">), úhradami části nákladů na energie domácnostem, nákladnějším běžným </w:t>
            </w:r>
            <w:r w:rsidRPr="002149CA">
              <w:rPr>
                <w:spacing w:val="-5"/>
              </w:rPr>
              <w:t>provozem státu i prodražováním plánovaných investic. V závěru roku byl ale stále více patrný</w:t>
            </w:r>
            <w:r>
              <w:rPr>
                <w:spacing w:val="-4"/>
              </w:rPr>
              <w:t xml:space="preserve"> i jejich negativní dopad na rozpočtové příjmy – především v oblasti nepřímých daní. Jak celoroční celkové příjmy, tak výdaje zůstaly za rozpočtovým očekáváním (shodně o 3,7 %).</w:t>
            </w:r>
          </w:p>
        </w:tc>
      </w:tr>
      <w:tr w:rsidR="001C3855" w:rsidRPr="003C07E6" w14:paraId="2A7B1266" w14:textId="77777777" w:rsidTr="00C8019E">
        <w:trPr>
          <w:trHeight w:val="145"/>
        </w:trPr>
        <w:tc>
          <w:tcPr>
            <w:tcW w:w="1773" w:type="dxa"/>
            <w:shd w:val="clear" w:color="auto" w:fill="auto"/>
            <w:tcMar>
              <w:left w:w="0" w:type="dxa"/>
            </w:tcMar>
          </w:tcPr>
          <w:p w14:paraId="402E5522" w14:textId="77777777" w:rsidR="001C3855" w:rsidRPr="00980316" w:rsidRDefault="001C3855" w:rsidP="00C8019E">
            <w:pPr>
              <w:pStyle w:val="Marginlie"/>
              <w:rPr>
                <w:spacing w:val="-5"/>
              </w:rPr>
            </w:pPr>
            <w:r>
              <w:rPr>
                <w:spacing w:val="-5"/>
              </w:rPr>
              <w:t>K růstu celkových příjmů nejvíce přispělo vyšší inkaso DPH a pojistné na sociální zabezpečení.</w:t>
            </w:r>
          </w:p>
        </w:tc>
        <w:tc>
          <w:tcPr>
            <w:tcW w:w="217" w:type="dxa"/>
            <w:shd w:val="clear" w:color="auto" w:fill="auto"/>
            <w:tcMar>
              <w:left w:w="0" w:type="dxa"/>
            </w:tcMar>
          </w:tcPr>
          <w:p w14:paraId="4C84BDE9" w14:textId="77777777" w:rsidR="001C3855" w:rsidRDefault="001C3855" w:rsidP="00C8019E">
            <w:pPr>
              <w:pStyle w:val="Textpoznpodarou"/>
              <w:jc w:val="both"/>
              <w:rPr>
                <w:spacing w:val="-4"/>
              </w:rPr>
            </w:pPr>
          </w:p>
        </w:tc>
        <w:tc>
          <w:tcPr>
            <w:tcW w:w="7679" w:type="dxa"/>
            <w:shd w:val="clear" w:color="auto" w:fill="auto"/>
            <w:tcMar>
              <w:left w:w="0" w:type="dxa"/>
            </w:tcMar>
          </w:tcPr>
          <w:p w14:paraId="1B767534" w14:textId="77777777" w:rsidR="001C3855" w:rsidRDefault="001C3855" w:rsidP="00C8019E">
            <w:pPr>
              <w:spacing w:after="220"/>
              <w:rPr>
                <w:spacing w:val="-4"/>
              </w:rPr>
            </w:pPr>
            <w:r w:rsidRPr="00670091">
              <w:rPr>
                <w:color w:val="0D0D0D" w:themeColor="text1" w:themeTint="F2"/>
                <w:spacing w:val="-4"/>
                <w:szCs w:val="16"/>
              </w:rPr>
              <w:t xml:space="preserve">Celkové příjmy SR se </w:t>
            </w:r>
            <w:r>
              <w:rPr>
                <w:spacing w:val="-4"/>
                <w:szCs w:val="16"/>
              </w:rPr>
              <w:t>v roce 2022 meziročně zvýšily o 9,2 % (+137,2</w:t>
            </w:r>
            <w:r w:rsidRPr="004B3C23">
              <w:rPr>
                <w:spacing w:val="-4"/>
                <w:szCs w:val="16"/>
              </w:rPr>
              <w:t xml:space="preserve"> mld. korun).</w:t>
            </w:r>
            <w:r>
              <w:rPr>
                <w:spacing w:val="-4"/>
                <w:szCs w:val="16"/>
              </w:rPr>
              <w:t xml:space="preserve"> Stály za tím hlavně vyšší daňové příjmy, zejména z DPH (+46,7 mld. korun), i růst výběru povinného pojistného na sociální zabezpečení (+35,9 mld.). Mírně pozitivně působily v úhrnu nedaňové a kapitálové příjmy a transfery (+5,5 mld. korun), a to primárně vlivem plánovaného převodu </w:t>
            </w:r>
            <w:r w:rsidRPr="00E57C46">
              <w:rPr>
                <w:spacing w:val="-4"/>
                <w:szCs w:val="16"/>
              </w:rPr>
              <w:t xml:space="preserve">prostředků </w:t>
            </w:r>
            <w:r w:rsidRPr="00E712F5">
              <w:rPr>
                <w:color w:val="0D0D0D" w:themeColor="text1" w:themeTint="F2"/>
                <w:spacing w:val="-4"/>
                <w:szCs w:val="16"/>
              </w:rPr>
              <w:t>z privatizačního účtu do příjmů SR uskutečněné</w:t>
            </w:r>
            <w:r>
              <w:rPr>
                <w:color w:val="0D0D0D" w:themeColor="text1" w:themeTint="F2"/>
                <w:spacing w:val="-4"/>
                <w:szCs w:val="16"/>
              </w:rPr>
              <w:t>ho</w:t>
            </w:r>
            <w:r w:rsidRPr="00E712F5">
              <w:rPr>
                <w:color w:val="0D0D0D" w:themeColor="text1" w:themeTint="F2"/>
                <w:spacing w:val="-4"/>
                <w:szCs w:val="16"/>
              </w:rPr>
              <w:t xml:space="preserve"> v prosinci 2022. Vzrostly také výnosy z dividend (o 14 mld. korun). Díky tomu došlo ke kompenzaci neočekávaného výpadku příjmů z rozpočtu EU (jejich objem byl </w:t>
            </w:r>
            <w:r>
              <w:rPr>
                <w:color w:val="0D0D0D" w:themeColor="text1" w:themeTint="F2"/>
                <w:spacing w:val="-4"/>
                <w:szCs w:val="16"/>
              </w:rPr>
              <w:t>meziročně nižší o 6,6</w:t>
            </w:r>
            <w:r w:rsidRPr="00E712F5">
              <w:rPr>
                <w:color w:val="0D0D0D" w:themeColor="text1" w:themeTint="F2"/>
                <w:spacing w:val="-4"/>
                <w:szCs w:val="16"/>
              </w:rPr>
              <w:t xml:space="preserve"> % a </w:t>
            </w:r>
            <w:r>
              <w:rPr>
                <w:color w:val="0D0D0D" w:themeColor="text1" w:themeTint="F2"/>
                <w:spacing w:val="-4"/>
                <w:szCs w:val="16"/>
              </w:rPr>
              <w:t>nedosáhl ani</w:t>
            </w:r>
            <w:r w:rsidRPr="00E712F5">
              <w:rPr>
                <w:color w:val="0D0D0D" w:themeColor="text1" w:themeTint="F2"/>
                <w:spacing w:val="-4"/>
                <w:szCs w:val="16"/>
              </w:rPr>
              <w:t xml:space="preserve"> tří pětin celoroční rozpočtově očekávané výše)</w:t>
            </w:r>
            <w:r w:rsidRPr="00E712F5">
              <w:rPr>
                <w:rStyle w:val="Znakapoznpodarou"/>
                <w:color w:val="0D0D0D" w:themeColor="text1" w:themeTint="F2"/>
                <w:spacing w:val="-4"/>
                <w:szCs w:val="16"/>
              </w:rPr>
              <w:footnoteReference w:id="4"/>
            </w:r>
            <w:r w:rsidRPr="00E712F5">
              <w:rPr>
                <w:color w:val="0D0D0D" w:themeColor="text1" w:themeTint="F2"/>
                <w:spacing w:val="-4"/>
                <w:szCs w:val="16"/>
              </w:rPr>
              <w:t xml:space="preserve">. </w:t>
            </w:r>
            <w:r w:rsidRPr="00E712F5">
              <w:rPr>
                <w:color w:val="0D0D0D" w:themeColor="text1" w:themeTint="F2"/>
                <w:spacing w:val="-4"/>
              </w:rPr>
              <w:t>Celostátní daňové inkaso (bez pojistného) vzrostlo loni meziročně o 13,2 %, ve druhém pololetí byl však patrný dopad slábnoucího výkonu ekonomiky. Zatímco ve 2. čtvrtletí posílilo toto inkaso o 22,5 %, v posledním kvartálu již jen o 7,2 %. Zpomalení odráželo vývoj inkasa nepřímých daní, u přímých daní se zatím tento</w:t>
            </w:r>
            <w:r>
              <w:rPr>
                <w:color w:val="0D0D0D" w:themeColor="text1" w:themeTint="F2"/>
                <w:spacing w:val="-4"/>
              </w:rPr>
              <w:t xml:space="preserve"> trend</w:t>
            </w:r>
            <w:r w:rsidRPr="00E712F5">
              <w:rPr>
                <w:color w:val="0D0D0D" w:themeColor="text1" w:themeTint="F2"/>
                <w:spacing w:val="-4"/>
              </w:rPr>
              <w:t xml:space="preserve"> neprojevoval. </w:t>
            </w:r>
          </w:p>
        </w:tc>
      </w:tr>
      <w:tr w:rsidR="001C3855" w:rsidRPr="003C07E6" w14:paraId="49D34C2A" w14:textId="77777777" w:rsidTr="00C8019E">
        <w:trPr>
          <w:trHeight w:val="145"/>
        </w:trPr>
        <w:tc>
          <w:tcPr>
            <w:tcW w:w="1773" w:type="dxa"/>
            <w:shd w:val="clear" w:color="auto" w:fill="auto"/>
            <w:tcMar>
              <w:left w:w="0" w:type="dxa"/>
            </w:tcMar>
          </w:tcPr>
          <w:p w14:paraId="4E7DA9F9" w14:textId="77777777" w:rsidR="001C3855" w:rsidRPr="00980316" w:rsidRDefault="001C3855" w:rsidP="00C8019E">
            <w:pPr>
              <w:pStyle w:val="Marginlie"/>
              <w:rPr>
                <w:spacing w:val="-5"/>
              </w:rPr>
            </w:pPr>
            <w:r>
              <w:rPr>
                <w:spacing w:val="-5"/>
              </w:rPr>
              <w:t>Svižný růst výběru DPH byl výrazně ovlivněn rostoucí cenovou hladinou, ve 2. pololetí se začal projevovat i vliv slábnoucí spotřeby domácností.</w:t>
            </w:r>
          </w:p>
        </w:tc>
        <w:tc>
          <w:tcPr>
            <w:tcW w:w="217" w:type="dxa"/>
            <w:shd w:val="clear" w:color="auto" w:fill="auto"/>
            <w:tcMar>
              <w:left w:w="0" w:type="dxa"/>
            </w:tcMar>
          </w:tcPr>
          <w:p w14:paraId="45EE83E8" w14:textId="77777777" w:rsidR="001C3855" w:rsidRDefault="001C3855" w:rsidP="00C8019E">
            <w:pPr>
              <w:pStyle w:val="Textpoznpodarou"/>
              <w:jc w:val="both"/>
              <w:rPr>
                <w:spacing w:val="-4"/>
              </w:rPr>
            </w:pPr>
          </w:p>
        </w:tc>
        <w:tc>
          <w:tcPr>
            <w:tcW w:w="7679" w:type="dxa"/>
            <w:shd w:val="clear" w:color="auto" w:fill="auto"/>
            <w:tcMar>
              <w:left w:w="0" w:type="dxa"/>
            </w:tcMar>
          </w:tcPr>
          <w:p w14:paraId="6A473BF0" w14:textId="77777777" w:rsidR="001C3855" w:rsidRDefault="001C3855" w:rsidP="00C8019E">
            <w:pPr>
              <w:spacing w:after="220"/>
              <w:rPr>
                <w:spacing w:val="-4"/>
              </w:rPr>
            </w:pPr>
            <w:r>
              <w:rPr>
                <w:spacing w:val="-4"/>
              </w:rPr>
              <w:t xml:space="preserve">Z váhově dominantní daně </w:t>
            </w:r>
            <w:r w:rsidRPr="00DB5C82">
              <w:rPr>
                <w:spacing w:val="-4"/>
              </w:rPr>
              <w:t>– DPH</w:t>
            </w:r>
            <w:r>
              <w:rPr>
                <w:spacing w:val="-4"/>
              </w:rPr>
              <w:t xml:space="preserve"> – získal SR vloni meziročně o 15,6 % více. Šlo o nejvyšší růst v současném miléniu, za kterým stála především cenová akcelerace</w:t>
            </w:r>
            <w:r w:rsidRPr="00A62FEE">
              <w:rPr>
                <w:spacing w:val="-4"/>
              </w:rPr>
              <w:t xml:space="preserve"> váhově významných položek spotřebního koše</w:t>
            </w:r>
            <w:r>
              <w:rPr>
                <w:spacing w:val="-4"/>
              </w:rPr>
              <w:t>. Tempo růstu inkasa v průběhu loňského roku klesalo – ve 3. čtvrtletí činilo 10,9 %, ve 4. čtvrtletí 9,0 %. Negativní efekt poklesu spotřeby domácností stále více tlumil vliv sílících cen (např. potravin). Rovněž n</w:t>
            </w:r>
            <w:r w:rsidRPr="00A62FEE">
              <w:rPr>
                <w:spacing w:val="-4"/>
              </w:rPr>
              <w:t>egativně, av</w:t>
            </w:r>
            <w:r>
              <w:rPr>
                <w:spacing w:val="-4"/>
              </w:rPr>
              <w:t xml:space="preserve">šak řádově méně, působilo </w:t>
            </w:r>
            <w:r w:rsidRPr="00A62FEE">
              <w:rPr>
                <w:spacing w:val="-4"/>
              </w:rPr>
              <w:t>na inkaso i prominutí DPH na vybrané komodity (např. vakcíny, respirátory).</w:t>
            </w:r>
            <w:r>
              <w:rPr>
                <w:spacing w:val="-4"/>
              </w:rPr>
              <w:t xml:space="preserve"> </w:t>
            </w:r>
            <w:r w:rsidRPr="005E6492">
              <w:rPr>
                <w:spacing w:val="-4"/>
              </w:rPr>
              <w:t>Celostátní výběr DPH (na úrovni všec</w:t>
            </w:r>
            <w:r>
              <w:rPr>
                <w:spacing w:val="-4"/>
              </w:rPr>
              <w:t xml:space="preserve">h veřejných rozpočtů) převýšil </w:t>
            </w:r>
            <w:r w:rsidRPr="005E6492">
              <w:rPr>
                <w:spacing w:val="-4"/>
              </w:rPr>
              <w:t>loni inkaso z předkrizového roku 2019 o 24,2 %, téměř sh</w:t>
            </w:r>
            <w:r>
              <w:rPr>
                <w:spacing w:val="-4"/>
              </w:rPr>
              <w:t>odně vzrostly v Česku za stejné období také</w:t>
            </w:r>
            <w:r w:rsidRPr="005E6492">
              <w:rPr>
                <w:spacing w:val="-4"/>
              </w:rPr>
              <w:t xml:space="preserve"> spotřebitelské ceny (23,4 %)</w:t>
            </w:r>
          </w:p>
        </w:tc>
      </w:tr>
      <w:tr w:rsidR="001C3855" w:rsidRPr="003C07E6" w14:paraId="42B6AF57" w14:textId="77777777" w:rsidTr="00C8019E">
        <w:trPr>
          <w:trHeight w:val="145"/>
        </w:trPr>
        <w:tc>
          <w:tcPr>
            <w:tcW w:w="1773" w:type="dxa"/>
            <w:shd w:val="clear" w:color="auto" w:fill="auto"/>
            <w:tcMar>
              <w:left w:w="0" w:type="dxa"/>
            </w:tcMar>
          </w:tcPr>
          <w:p w14:paraId="4A1DC944" w14:textId="77777777" w:rsidR="001C3855" w:rsidRPr="005E6492" w:rsidRDefault="001C3855" w:rsidP="00C8019E">
            <w:pPr>
              <w:pStyle w:val="Marginlie"/>
              <w:rPr>
                <w:color w:val="0D0D0D" w:themeColor="text1" w:themeTint="F2"/>
                <w:spacing w:val="-5"/>
              </w:rPr>
            </w:pPr>
            <w:r w:rsidRPr="002A2B53">
              <w:rPr>
                <w:spacing w:val="-4"/>
              </w:rPr>
              <w:t xml:space="preserve">Výběr spotřebních daní </w:t>
            </w:r>
            <w:r>
              <w:rPr>
                <w:spacing w:val="-4"/>
              </w:rPr>
              <w:t>vzrostl jen mírně</w:t>
            </w:r>
            <w:r w:rsidRPr="002A2B53">
              <w:rPr>
                <w:spacing w:val="-4"/>
              </w:rPr>
              <w:t xml:space="preserve"> </w:t>
            </w:r>
            <w:r>
              <w:rPr>
                <w:spacing w:val="-4"/>
              </w:rPr>
              <w:br/>
            </w:r>
            <w:r w:rsidRPr="002A2B53">
              <w:rPr>
                <w:spacing w:val="-4"/>
              </w:rPr>
              <w:t xml:space="preserve">a </w:t>
            </w:r>
            <w:r>
              <w:rPr>
                <w:spacing w:val="-4"/>
              </w:rPr>
              <w:t xml:space="preserve">u všech významných položek zaostal </w:t>
            </w:r>
            <w:r w:rsidRPr="002A2B53">
              <w:rPr>
                <w:spacing w:val="-4"/>
              </w:rPr>
              <w:t>za rozpočtovým očekáváním</w:t>
            </w:r>
            <w:r>
              <w:rPr>
                <w:spacing w:val="-4"/>
              </w:rPr>
              <w:t>.</w:t>
            </w:r>
          </w:p>
        </w:tc>
        <w:tc>
          <w:tcPr>
            <w:tcW w:w="217" w:type="dxa"/>
            <w:shd w:val="clear" w:color="auto" w:fill="auto"/>
            <w:tcMar>
              <w:left w:w="0" w:type="dxa"/>
            </w:tcMar>
          </w:tcPr>
          <w:p w14:paraId="73BEFFA8" w14:textId="77777777" w:rsidR="001C3855" w:rsidRPr="005E6492" w:rsidRDefault="001C3855" w:rsidP="00C8019E">
            <w:pPr>
              <w:pStyle w:val="Textpoznpodarou"/>
              <w:jc w:val="both"/>
              <w:rPr>
                <w:color w:val="0D0D0D" w:themeColor="text1" w:themeTint="F2"/>
                <w:spacing w:val="-4"/>
              </w:rPr>
            </w:pPr>
          </w:p>
        </w:tc>
        <w:tc>
          <w:tcPr>
            <w:tcW w:w="7679" w:type="dxa"/>
            <w:shd w:val="clear" w:color="auto" w:fill="auto"/>
            <w:tcMar>
              <w:left w:w="0" w:type="dxa"/>
            </w:tcMar>
          </w:tcPr>
          <w:p w14:paraId="0162B497" w14:textId="77777777" w:rsidR="001C3855" w:rsidRPr="00E51C90" w:rsidRDefault="001C3855" w:rsidP="00C8019E">
            <w:pPr>
              <w:spacing w:after="220"/>
              <w:rPr>
                <w:spacing w:val="-4"/>
              </w:rPr>
            </w:pPr>
            <w:r>
              <w:rPr>
                <w:color w:val="0D0D0D" w:themeColor="text1" w:themeTint="F2"/>
                <w:spacing w:val="-4"/>
              </w:rPr>
              <w:t>Přestože z</w:t>
            </w:r>
            <w:r w:rsidRPr="00974139">
              <w:rPr>
                <w:color w:val="0D0D0D" w:themeColor="text1" w:themeTint="F2"/>
                <w:spacing w:val="-4"/>
              </w:rPr>
              <w:t xml:space="preserve">e spotřebních daní </w:t>
            </w:r>
            <w:r w:rsidRPr="000A56DA">
              <w:rPr>
                <w:spacing w:val="-4"/>
              </w:rPr>
              <w:t xml:space="preserve">(vč. energetických) </w:t>
            </w:r>
            <w:r>
              <w:rPr>
                <w:spacing w:val="-4"/>
              </w:rPr>
              <w:t xml:space="preserve">plynulo vloni do SR meziročně o 2,2 % více, výše inkasa (obdobně jako u DPH) za rozpočtovým očekáváním zaostala. Výběr váhově nejvýznamnější spotřební daně – z minerálních olejů – oproti roku 2021 poklesl </w:t>
            </w:r>
            <w:r>
              <w:rPr>
                <w:spacing w:val="-4"/>
              </w:rPr>
              <w:br/>
              <w:t>o 4,1 %, (resp. o 3,1 mld. korun) výhradně vlivem nepříznivého vývoje ve 2. pololetí 2022</w:t>
            </w:r>
            <w:r>
              <w:rPr>
                <w:rStyle w:val="Znakapoznpodarou"/>
                <w:spacing w:val="-4"/>
              </w:rPr>
              <w:footnoteReference w:id="5"/>
            </w:r>
            <w:r>
              <w:rPr>
                <w:spacing w:val="-4"/>
              </w:rPr>
              <w:t>. Projevila se zde</w:t>
            </w:r>
            <w:r w:rsidRPr="000A56DA">
              <w:rPr>
                <w:spacing w:val="-4"/>
              </w:rPr>
              <w:t xml:space="preserve"> jak nižší</w:t>
            </w:r>
            <w:r>
              <w:rPr>
                <w:spacing w:val="-4"/>
              </w:rPr>
              <w:t xml:space="preserve"> letní i podzimní spotřeba nafty i benzínu (zejména </w:t>
            </w:r>
            <w:r w:rsidRPr="000A56DA">
              <w:rPr>
                <w:spacing w:val="-4"/>
              </w:rPr>
              <w:t xml:space="preserve">vlivem rekordně </w:t>
            </w:r>
            <w:r w:rsidRPr="000A56DA">
              <w:rPr>
                <w:spacing w:val="-4"/>
              </w:rPr>
              <w:lastRenderedPageBreak/>
              <w:t>vysokých cen), tak dopady snížené sazby daně</w:t>
            </w:r>
            <w:r w:rsidRPr="000A56DA">
              <w:rPr>
                <w:rStyle w:val="Znakapoznpodarou"/>
                <w:spacing w:val="-4"/>
              </w:rPr>
              <w:footnoteReference w:id="6"/>
            </w:r>
            <w:r w:rsidRPr="000A56DA">
              <w:rPr>
                <w:spacing w:val="-4"/>
              </w:rPr>
              <w:t>.</w:t>
            </w:r>
            <w:r>
              <w:rPr>
                <w:spacing w:val="-4"/>
              </w:rPr>
              <w:t xml:space="preserve"> Výběr </w:t>
            </w:r>
            <w:r w:rsidRPr="000A56DA">
              <w:rPr>
                <w:spacing w:val="-4"/>
              </w:rPr>
              <w:t>daně z tabákových výrobků</w:t>
            </w:r>
            <w:r>
              <w:rPr>
                <w:spacing w:val="-4"/>
              </w:rPr>
              <w:t xml:space="preserve"> vloni vzrostl o 5,6 % a kompenzoval SR nižší inkaso daně z minerálních olejů (v samotném 4. čtvrtletí však i zde došlo k poklesu). Vyšší celoroční inkaso odráželo především vliv pokračujícího navýšení</w:t>
            </w:r>
            <w:r w:rsidRPr="000A56DA">
              <w:rPr>
                <w:spacing w:val="-4"/>
              </w:rPr>
              <w:t xml:space="preserve"> daňové sazby</w:t>
            </w:r>
            <w:r>
              <w:rPr>
                <w:spacing w:val="-4"/>
              </w:rPr>
              <w:t xml:space="preserve"> u tabákových výrobků. Celkový v</w:t>
            </w:r>
            <w:r w:rsidRPr="000A56DA">
              <w:rPr>
                <w:spacing w:val="-4"/>
              </w:rPr>
              <w:t>ýběr spotřebních daní rostl i díky vyšším sazbám odvodů z</w:t>
            </w:r>
            <w:r>
              <w:rPr>
                <w:spacing w:val="-4"/>
              </w:rPr>
              <w:t>e starších solárních elektráren, celoroční plánované inkaso ale ani zde nebylo zcela naplněno. To platilo rovněž pro inkaso daně z lihu (s meziročním růstem o 1,7 %) či piva (+6,7 %). Lépe na tom byl výběr váhově okrajové daně z vína (+14,4 %), který znatelně překonal i předkrizovou úroveň.</w:t>
            </w:r>
          </w:p>
        </w:tc>
      </w:tr>
      <w:tr w:rsidR="001C3855" w:rsidRPr="003C07E6" w14:paraId="158113D4" w14:textId="77777777" w:rsidTr="00C8019E">
        <w:trPr>
          <w:trHeight w:val="145"/>
        </w:trPr>
        <w:tc>
          <w:tcPr>
            <w:tcW w:w="1773" w:type="dxa"/>
            <w:shd w:val="clear" w:color="auto" w:fill="auto"/>
            <w:tcMar>
              <w:left w:w="0" w:type="dxa"/>
            </w:tcMar>
          </w:tcPr>
          <w:p w14:paraId="75717611" w14:textId="77777777" w:rsidR="001C3855" w:rsidRPr="005E6492" w:rsidRDefault="001C3855" w:rsidP="00C8019E">
            <w:pPr>
              <w:pStyle w:val="Marginlie"/>
              <w:rPr>
                <w:color w:val="0D0D0D" w:themeColor="text1" w:themeTint="F2"/>
              </w:rPr>
            </w:pPr>
            <w:r>
              <w:rPr>
                <w:color w:val="0D0D0D" w:themeColor="text1" w:themeTint="F2"/>
              </w:rPr>
              <w:lastRenderedPageBreak/>
              <w:t xml:space="preserve">Výběr daně </w:t>
            </w:r>
            <w:r>
              <w:t>z příjmů právnických osob rostl svižně po celý loňský rok. Pozitivně se na něm podepsaly velké podniky v některých odvětvích.</w:t>
            </w:r>
          </w:p>
        </w:tc>
        <w:tc>
          <w:tcPr>
            <w:tcW w:w="217" w:type="dxa"/>
            <w:shd w:val="clear" w:color="auto" w:fill="auto"/>
            <w:tcMar>
              <w:left w:w="0" w:type="dxa"/>
            </w:tcMar>
          </w:tcPr>
          <w:p w14:paraId="1CCB7133" w14:textId="77777777" w:rsidR="001C3855" w:rsidRPr="005E6492" w:rsidRDefault="001C3855" w:rsidP="00C8019E">
            <w:pPr>
              <w:pStyle w:val="Textpoznpodarou"/>
              <w:jc w:val="both"/>
              <w:rPr>
                <w:color w:val="0D0D0D" w:themeColor="text1" w:themeTint="F2"/>
                <w:spacing w:val="-4"/>
              </w:rPr>
            </w:pPr>
          </w:p>
        </w:tc>
        <w:tc>
          <w:tcPr>
            <w:tcW w:w="7679" w:type="dxa"/>
            <w:shd w:val="clear" w:color="auto" w:fill="auto"/>
            <w:tcMar>
              <w:left w:w="0" w:type="dxa"/>
            </w:tcMar>
          </w:tcPr>
          <w:p w14:paraId="43C2714B" w14:textId="77777777" w:rsidR="001C3855" w:rsidRPr="003B064D" w:rsidRDefault="001C3855" w:rsidP="00C8019E">
            <w:pPr>
              <w:spacing w:after="220"/>
              <w:rPr>
                <w:spacing w:val="-4"/>
              </w:rPr>
            </w:pPr>
            <w:r w:rsidRPr="00A92514">
              <w:rPr>
                <w:spacing w:val="-4"/>
              </w:rPr>
              <w:t xml:space="preserve">Příjem SR z </w:t>
            </w:r>
            <w:r w:rsidRPr="003B064D">
              <w:rPr>
                <w:color w:val="0D0D0D" w:themeColor="text1" w:themeTint="F2"/>
                <w:spacing w:val="-4"/>
              </w:rPr>
              <w:t xml:space="preserve">korporátní daně </w:t>
            </w:r>
            <w:r>
              <w:rPr>
                <w:color w:val="0D0D0D" w:themeColor="text1" w:themeTint="F2"/>
                <w:spacing w:val="-4"/>
              </w:rPr>
              <w:t xml:space="preserve">vystoupal </w:t>
            </w:r>
            <w:r w:rsidRPr="003B064D">
              <w:rPr>
                <w:color w:val="0D0D0D" w:themeColor="text1" w:themeTint="F2"/>
                <w:spacing w:val="-4"/>
              </w:rPr>
              <w:t xml:space="preserve">loni </w:t>
            </w:r>
            <w:r>
              <w:rPr>
                <w:color w:val="0D0D0D" w:themeColor="text1" w:themeTint="F2"/>
                <w:spacing w:val="-4"/>
              </w:rPr>
              <w:t xml:space="preserve">na rekordní výši (151,5 mld. korun). </w:t>
            </w:r>
            <w:r>
              <w:rPr>
                <w:spacing w:val="-4"/>
              </w:rPr>
              <w:t>Meziročně posílil o šestinu a významně předčil i rozpočtové očekávání (o 15 %, resp. 20 mld. korun). Pozitivně se projevilo vysoké červnové inkaso</w:t>
            </w:r>
            <w:r w:rsidRPr="00A92514">
              <w:rPr>
                <w:spacing w:val="-4"/>
              </w:rPr>
              <w:t xml:space="preserve"> (zahrnující čtvrtletní i pololetní zálohy na dani a část úhrady daně za rok 2021</w:t>
            </w:r>
            <w:r>
              <w:rPr>
                <w:spacing w:val="-4"/>
              </w:rPr>
              <w:t>), vysokou dynamiku si však inkaso udrželo i na konci roku (díky čtvrtletní záloze na dani). Výběr daně odrážel příznivé</w:t>
            </w:r>
            <w:r w:rsidRPr="00A92514">
              <w:rPr>
                <w:spacing w:val="-4"/>
              </w:rPr>
              <w:t xml:space="preserve"> hospodářské výsledky </w:t>
            </w:r>
            <w:r>
              <w:rPr>
                <w:spacing w:val="-4"/>
              </w:rPr>
              <w:t>některých</w:t>
            </w:r>
            <w:r w:rsidRPr="00A92514">
              <w:rPr>
                <w:spacing w:val="-4"/>
              </w:rPr>
              <w:t xml:space="preserve"> velkých podniků</w:t>
            </w:r>
            <w:r>
              <w:rPr>
                <w:spacing w:val="-4"/>
              </w:rPr>
              <w:t xml:space="preserve"> (např. v oblasti energetiky, obchodu či peněžnictví)</w:t>
            </w:r>
            <w:r w:rsidRPr="00A92514">
              <w:rPr>
                <w:spacing w:val="-4"/>
              </w:rPr>
              <w:t xml:space="preserve">. </w:t>
            </w:r>
            <w:r>
              <w:rPr>
                <w:spacing w:val="-4"/>
              </w:rPr>
              <w:t xml:space="preserve">Na výši inkasa měly ovšem vliv i dílčí </w:t>
            </w:r>
            <w:r w:rsidRPr="00A92514">
              <w:rPr>
                <w:spacing w:val="-4"/>
              </w:rPr>
              <w:t>legislativní úpravy</w:t>
            </w:r>
            <w:r w:rsidRPr="00A92514">
              <w:rPr>
                <w:rStyle w:val="Znakapoznpodarou"/>
                <w:spacing w:val="-4"/>
              </w:rPr>
              <w:footnoteReference w:id="7"/>
            </w:r>
            <w:r w:rsidRPr="00A92514">
              <w:rPr>
                <w:spacing w:val="-4"/>
              </w:rPr>
              <w:t>.</w:t>
            </w:r>
          </w:p>
        </w:tc>
      </w:tr>
      <w:tr w:rsidR="001C3855" w:rsidRPr="00F704D2" w14:paraId="23B10FAA" w14:textId="77777777" w:rsidTr="00C8019E">
        <w:trPr>
          <w:trHeight w:val="170"/>
        </w:trPr>
        <w:tc>
          <w:tcPr>
            <w:tcW w:w="1773" w:type="dxa"/>
            <w:vMerge w:val="restart"/>
            <w:shd w:val="clear" w:color="auto" w:fill="auto"/>
            <w:tcMar>
              <w:left w:w="0" w:type="dxa"/>
            </w:tcMar>
          </w:tcPr>
          <w:p w14:paraId="13E26DBB" w14:textId="77777777" w:rsidR="001C3855" w:rsidRDefault="001C3855" w:rsidP="00C8019E">
            <w:pPr>
              <w:pStyle w:val="Marginlie"/>
            </w:pPr>
          </w:p>
        </w:tc>
        <w:tc>
          <w:tcPr>
            <w:tcW w:w="217" w:type="dxa"/>
            <w:vMerge w:val="restart"/>
            <w:shd w:val="clear" w:color="auto" w:fill="auto"/>
            <w:tcMar>
              <w:left w:w="0" w:type="dxa"/>
            </w:tcMar>
          </w:tcPr>
          <w:p w14:paraId="70985DDF" w14:textId="77777777" w:rsidR="001C3855" w:rsidRDefault="001C3855" w:rsidP="00C8019E">
            <w:pPr>
              <w:pStyle w:val="Textpoznpodarou"/>
              <w:jc w:val="both"/>
              <w:rPr>
                <w:spacing w:val="-4"/>
              </w:rPr>
            </w:pPr>
          </w:p>
        </w:tc>
        <w:tc>
          <w:tcPr>
            <w:tcW w:w="7679" w:type="dxa"/>
            <w:shd w:val="clear" w:color="auto" w:fill="auto"/>
            <w:tcMar>
              <w:left w:w="0" w:type="dxa"/>
            </w:tcMar>
          </w:tcPr>
          <w:p w14:paraId="20562408" w14:textId="0E358F69" w:rsidR="001C3855" w:rsidRPr="00CC3017" w:rsidRDefault="008F525A" w:rsidP="00C8019E">
            <w:pPr>
              <w:spacing w:after="20"/>
              <w:rPr>
                <w:rFonts w:cs="Arial"/>
                <w:b/>
                <w:bCs/>
                <w:color w:val="000000"/>
                <w:spacing w:val="-4"/>
                <w:szCs w:val="20"/>
              </w:rPr>
            </w:pPr>
            <w:r>
              <w:rPr>
                <w:rFonts w:cs="Arial"/>
                <w:b/>
                <w:bCs/>
                <w:color w:val="000000"/>
                <w:spacing w:val="-4"/>
                <w:szCs w:val="20"/>
              </w:rPr>
              <w:t>Graf č. 18</w:t>
            </w:r>
            <w:r w:rsidR="001C3855" w:rsidRPr="00A66749">
              <w:rPr>
                <w:rFonts w:cs="Arial"/>
                <w:b/>
                <w:bCs/>
                <w:color w:val="000000"/>
                <w:spacing w:val="-4"/>
                <w:szCs w:val="20"/>
              </w:rPr>
              <w:t xml:space="preserve"> </w:t>
            </w:r>
            <w:r w:rsidR="001C3855" w:rsidRPr="00CC3017">
              <w:rPr>
                <w:rFonts w:cs="Arial"/>
                <w:b/>
                <w:bCs/>
                <w:color w:val="000000"/>
                <w:spacing w:val="-4"/>
                <w:szCs w:val="20"/>
              </w:rPr>
              <w:t xml:space="preserve">Celostátní inkasa daňových příjmů </w:t>
            </w:r>
            <w:r w:rsidR="001C3855" w:rsidRPr="00CC3017">
              <w:rPr>
                <w:rFonts w:cs="Arial"/>
                <w:bCs/>
                <w:color w:val="000000"/>
                <w:spacing w:val="-4"/>
                <w:szCs w:val="20"/>
              </w:rPr>
              <w:t>(</w:t>
            </w:r>
            <w:r w:rsidR="001C3855" w:rsidRPr="00CC3017">
              <w:rPr>
                <w:spacing w:val="-4"/>
              </w:rPr>
              <w:t>meziročně,</w:t>
            </w:r>
            <w:r w:rsidR="001C3855" w:rsidRPr="00CC3017">
              <w:rPr>
                <w:rFonts w:cs="Arial"/>
                <w:bCs/>
                <w:color w:val="000000"/>
                <w:spacing w:val="-4"/>
                <w:szCs w:val="20"/>
              </w:rPr>
              <w:t xml:space="preserve"> v %)</w:t>
            </w:r>
            <w:r w:rsidR="001C3855" w:rsidRPr="00CC3017">
              <w:rPr>
                <w:rFonts w:cs="Arial"/>
                <w:b/>
                <w:bCs/>
                <w:color w:val="000000"/>
                <w:spacing w:val="-4"/>
                <w:szCs w:val="20"/>
              </w:rPr>
              <w:t xml:space="preserve"> a saldo státního rozpočtu </w:t>
            </w:r>
            <w:r w:rsidR="001C3855" w:rsidRPr="00CC3017">
              <w:rPr>
                <w:rFonts w:cs="Arial"/>
                <w:bCs/>
                <w:color w:val="000000"/>
                <w:spacing w:val="-4"/>
                <w:szCs w:val="20"/>
              </w:rPr>
              <w:t>(</w:t>
            </w:r>
            <w:r w:rsidR="001C3855">
              <w:rPr>
                <w:rFonts w:cs="Arial"/>
                <w:bCs/>
                <w:spacing w:val="-3"/>
              </w:rPr>
              <w:t>roční úhrn,</w:t>
            </w:r>
            <w:r w:rsidR="001C3855" w:rsidRPr="00CC3017">
              <w:rPr>
                <w:rFonts w:cs="Arial"/>
                <w:bCs/>
                <w:color w:val="000000"/>
                <w:spacing w:val="-4"/>
                <w:szCs w:val="20"/>
              </w:rPr>
              <w:t xml:space="preserve"> </w:t>
            </w:r>
            <w:r w:rsidR="001C3855">
              <w:rPr>
                <w:rFonts w:cs="Arial"/>
                <w:bCs/>
                <w:color w:val="000000"/>
                <w:spacing w:val="-4"/>
                <w:szCs w:val="20"/>
              </w:rPr>
              <w:t>v mld. korun)</w:t>
            </w:r>
          </w:p>
        </w:tc>
      </w:tr>
      <w:tr w:rsidR="001C3855" w14:paraId="003D1381" w14:textId="77777777" w:rsidTr="00C8019E">
        <w:tblPrEx>
          <w:tblCellMar>
            <w:left w:w="70" w:type="dxa"/>
            <w:right w:w="70" w:type="dxa"/>
          </w:tblCellMar>
        </w:tblPrEx>
        <w:trPr>
          <w:trHeight w:val="170"/>
        </w:trPr>
        <w:tc>
          <w:tcPr>
            <w:tcW w:w="1773" w:type="dxa"/>
            <w:vMerge/>
            <w:shd w:val="clear" w:color="auto" w:fill="auto"/>
          </w:tcPr>
          <w:p w14:paraId="5AB2AE8B" w14:textId="77777777" w:rsidR="001C3855" w:rsidRDefault="001C3855" w:rsidP="00C8019E">
            <w:pPr>
              <w:pStyle w:val="Marginlie"/>
            </w:pPr>
          </w:p>
        </w:tc>
        <w:tc>
          <w:tcPr>
            <w:tcW w:w="217" w:type="dxa"/>
            <w:vMerge/>
            <w:shd w:val="clear" w:color="auto" w:fill="auto"/>
          </w:tcPr>
          <w:p w14:paraId="13DEF6C5" w14:textId="77777777" w:rsidR="001C3855" w:rsidRDefault="001C3855" w:rsidP="00C8019E">
            <w:pPr>
              <w:pStyle w:val="Textpoznpodarou"/>
              <w:jc w:val="both"/>
              <w:rPr>
                <w:spacing w:val="-4"/>
              </w:rPr>
            </w:pPr>
          </w:p>
        </w:tc>
        <w:tc>
          <w:tcPr>
            <w:tcW w:w="7679" w:type="dxa"/>
            <w:shd w:val="clear" w:color="auto" w:fill="auto"/>
          </w:tcPr>
          <w:p w14:paraId="6BADA919" w14:textId="77777777" w:rsidR="001C3855" w:rsidRPr="0067514E" w:rsidRDefault="001C3855" w:rsidP="00C8019E">
            <w:pPr>
              <w:spacing w:after="0"/>
              <w:rPr>
                <w:spacing w:val="-6"/>
              </w:rPr>
            </w:pPr>
            <w:r>
              <w:rPr>
                <w:noProof/>
              </w:rPr>
              <w:drawing>
                <wp:inline distT="0" distB="0" distL="0" distR="0" wp14:anchorId="69C20D3F" wp14:editId="548307B2">
                  <wp:extent cx="4787265" cy="3366075"/>
                  <wp:effectExtent l="0" t="0" r="0" b="635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1C3855" w:rsidRPr="007B3A78" w14:paraId="2A301204" w14:textId="77777777" w:rsidTr="00C8019E">
        <w:trPr>
          <w:trHeight w:val="170"/>
        </w:trPr>
        <w:tc>
          <w:tcPr>
            <w:tcW w:w="1773" w:type="dxa"/>
            <w:vMerge/>
            <w:shd w:val="clear" w:color="auto" w:fill="auto"/>
            <w:tcMar>
              <w:left w:w="0" w:type="dxa"/>
            </w:tcMar>
          </w:tcPr>
          <w:p w14:paraId="4221F33C" w14:textId="77777777" w:rsidR="001C3855" w:rsidRDefault="001C3855" w:rsidP="00C8019E">
            <w:pPr>
              <w:pStyle w:val="Marginlie"/>
            </w:pPr>
          </w:p>
        </w:tc>
        <w:tc>
          <w:tcPr>
            <w:tcW w:w="217" w:type="dxa"/>
            <w:vMerge/>
            <w:shd w:val="clear" w:color="auto" w:fill="auto"/>
            <w:tcMar>
              <w:left w:w="0" w:type="dxa"/>
            </w:tcMar>
          </w:tcPr>
          <w:p w14:paraId="2B7D278E" w14:textId="77777777" w:rsidR="001C3855" w:rsidRDefault="001C3855" w:rsidP="00C8019E">
            <w:pPr>
              <w:pStyle w:val="Textpoznpodarou"/>
              <w:jc w:val="both"/>
              <w:rPr>
                <w:spacing w:val="-4"/>
              </w:rPr>
            </w:pPr>
          </w:p>
        </w:tc>
        <w:tc>
          <w:tcPr>
            <w:tcW w:w="7679" w:type="dxa"/>
            <w:shd w:val="clear" w:color="auto" w:fill="auto"/>
            <w:tcMar>
              <w:left w:w="0" w:type="dxa"/>
            </w:tcMar>
          </w:tcPr>
          <w:p w14:paraId="7B6343E1" w14:textId="77777777" w:rsidR="001C3855" w:rsidRPr="00E52D45" w:rsidRDefault="001C3855" w:rsidP="00C8019E">
            <w:pPr>
              <w:tabs>
                <w:tab w:val="right" w:pos="7683"/>
              </w:tabs>
              <w:spacing w:after="0" w:line="240" w:lineRule="auto"/>
              <w:jc w:val="left"/>
              <w:rPr>
                <w:spacing w:val="-2"/>
                <w:sz w:val="14"/>
                <w:szCs w:val="14"/>
              </w:rPr>
            </w:pPr>
            <w:r>
              <w:rPr>
                <w:spacing w:val="-2"/>
                <w:sz w:val="14"/>
                <w:szCs w:val="14"/>
              </w:rPr>
              <w:t>Poznámka: Údaje očištěné o vliv prostředků z EU a Finančních mechanismů jsou k dispozici od roku 2013.</w:t>
            </w:r>
            <w:r>
              <w:rPr>
                <w:spacing w:val="-2"/>
                <w:sz w:val="14"/>
                <w:szCs w:val="14"/>
              </w:rPr>
              <w:tab/>
            </w:r>
            <w:r w:rsidRPr="00A66749">
              <w:rPr>
                <w:spacing w:val="-2"/>
                <w:sz w:val="14"/>
                <w:szCs w:val="14"/>
              </w:rPr>
              <w:t>Zdroj: MF ČR</w:t>
            </w:r>
          </w:p>
        </w:tc>
      </w:tr>
      <w:tr w:rsidR="001C3855" w:rsidRPr="007B3A78" w14:paraId="65F5F6A7" w14:textId="77777777" w:rsidTr="00C8019E">
        <w:trPr>
          <w:trHeight w:val="170"/>
        </w:trPr>
        <w:tc>
          <w:tcPr>
            <w:tcW w:w="1773" w:type="dxa"/>
            <w:shd w:val="clear" w:color="auto" w:fill="auto"/>
            <w:tcMar>
              <w:left w:w="0" w:type="dxa"/>
            </w:tcMar>
          </w:tcPr>
          <w:p w14:paraId="112FDFEC" w14:textId="77777777" w:rsidR="001C3855" w:rsidRDefault="001C3855" w:rsidP="00C8019E">
            <w:pPr>
              <w:pStyle w:val="Marginlie"/>
            </w:pPr>
          </w:p>
        </w:tc>
        <w:tc>
          <w:tcPr>
            <w:tcW w:w="217" w:type="dxa"/>
            <w:shd w:val="clear" w:color="auto" w:fill="auto"/>
            <w:tcMar>
              <w:left w:w="0" w:type="dxa"/>
            </w:tcMar>
          </w:tcPr>
          <w:p w14:paraId="74AE2A9C" w14:textId="77777777" w:rsidR="001C3855" w:rsidRDefault="001C3855" w:rsidP="00C8019E">
            <w:pPr>
              <w:pStyle w:val="Textpoznpodarou"/>
              <w:jc w:val="both"/>
              <w:rPr>
                <w:spacing w:val="-4"/>
              </w:rPr>
            </w:pPr>
          </w:p>
        </w:tc>
        <w:tc>
          <w:tcPr>
            <w:tcW w:w="7679" w:type="dxa"/>
            <w:shd w:val="clear" w:color="auto" w:fill="auto"/>
            <w:tcMar>
              <w:left w:w="0" w:type="dxa"/>
            </w:tcMar>
          </w:tcPr>
          <w:p w14:paraId="58A5A69F" w14:textId="77777777" w:rsidR="001C3855" w:rsidRDefault="001C3855" w:rsidP="00C8019E">
            <w:pPr>
              <w:tabs>
                <w:tab w:val="right" w:pos="7683"/>
              </w:tabs>
              <w:spacing w:after="0" w:line="240" w:lineRule="auto"/>
              <w:jc w:val="left"/>
              <w:rPr>
                <w:spacing w:val="-2"/>
                <w:sz w:val="14"/>
                <w:szCs w:val="14"/>
              </w:rPr>
            </w:pPr>
          </w:p>
        </w:tc>
      </w:tr>
      <w:tr w:rsidR="001C3855" w:rsidRPr="007B3A78" w14:paraId="79EF87AA" w14:textId="77777777" w:rsidTr="00C8019E">
        <w:trPr>
          <w:trHeight w:val="170"/>
        </w:trPr>
        <w:tc>
          <w:tcPr>
            <w:tcW w:w="1773" w:type="dxa"/>
            <w:shd w:val="clear" w:color="auto" w:fill="auto"/>
            <w:tcMar>
              <w:left w:w="0" w:type="dxa"/>
            </w:tcMar>
          </w:tcPr>
          <w:p w14:paraId="28045D28" w14:textId="77777777" w:rsidR="001C3855" w:rsidRDefault="001C3855" w:rsidP="00C8019E">
            <w:pPr>
              <w:pStyle w:val="Marginlie"/>
              <w:rPr>
                <w:spacing w:val="-4"/>
              </w:rPr>
            </w:pPr>
            <w:r>
              <w:rPr>
                <w:spacing w:val="-4"/>
              </w:rPr>
              <w:t>Růst inkasa DPFO placené plátci vzrostl díky příznivému vývoji na trhu práce. Opačný vliv měly legislativní úpravy.</w:t>
            </w:r>
          </w:p>
          <w:p w14:paraId="4A767E01" w14:textId="77777777" w:rsidR="001C3855" w:rsidRDefault="001C3855" w:rsidP="00C8019E">
            <w:pPr>
              <w:pStyle w:val="Marginlie"/>
              <w:rPr>
                <w:spacing w:val="-4"/>
              </w:rPr>
            </w:pPr>
          </w:p>
          <w:p w14:paraId="3ECCC83A" w14:textId="77777777" w:rsidR="001C3855" w:rsidRDefault="001C3855" w:rsidP="00C8019E">
            <w:pPr>
              <w:pStyle w:val="Marginlie"/>
              <w:rPr>
                <w:spacing w:val="-4"/>
              </w:rPr>
            </w:pPr>
          </w:p>
          <w:p w14:paraId="512A2712" w14:textId="77777777" w:rsidR="001C3855" w:rsidRDefault="001C3855" w:rsidP="00C8019E">
            <w:pPr>
              <w:pStyle w:val="Marginlie"/>
              <w:rPr>
                <w:spacing w:val="-4"/>
              </w:rPr>
            </w:pPr>
          </w:p>
          <w:p w14:paraId="5929BAC0" w14:textId="77777777" w:rsidR="001C3855" w:rsidRDefault="001C3855" w:rsidP="00C8019E">
            <w:pPr>
              <w:pStyle w:val="Marginlie"/>
              <w:rPr>
                <w:spacing w:val="-4"/>
              </w:rPr>
            </w:pPr>
          </w:p>
          <w:p w14:paraId="30EE3017" w14:textId="77777777" w:rsidR="001C3855" w:rsidRDefault="001C3855" w:rsidP="00C8019E">
            <w:pPr>
              <w:pStyle w:val="Marginlie"/>
              <w:rPr>
                <w:spacing w:val="-4"/>
              </w:rPr>
            </w:pPr>
          </w:p>
          <w:p w14:paraId="3CB7C21D" w14:textId="77777777" w:rsidR="001C3855" w:rsidRDefault="001C3855" w:rsidP="00C8019E">
            <w:pPr>
              <w:pStyle w:val="Marginlie"/>
              <w:rPr>
                <w:spacing w:val="-4"/>
              </w:rPr>
            </w:pPr>
            <w:r>
              <w:rPr>
                <w:spacing w:val="-4"/>
              </w:rPr>
              <w:lastRenderedPageBreak/>
              <w:t>Vysoký růst zaznamenalo inkaso DPFO vybírané srážkou.</w:t>
            </w:r>
          </w:p>
          <w:p w14:paraId="709EB19E" w14:textId="77777777" w:rsidR="001C3855" w:rsidRDefault="001C3855" w:rsidP="00C8019E">
            <w:pPr>
              <w:pStyle w:val="Marginlie"/>
            </w:pPr>
          </w:p>
        </w:tc>
        <w:tc>
          <w:tcPr>
            <w:tcW w:w="217" w:type="dxa"/>
            <w:shd w:val="clear" w:color="auto" w:fill="auto"/>
            <w:tcMar>
              <w:left w:w="0" w:type="dxa"/>
            </w:tcMar>
          </w:tcPr>
          <w:p w14:paraId="1310E77F" w14:textId="77777777" w:rsidR="001C3855" w:rsidRDefault="001C3855" w:rsidP="00C8019E">
            <w:pPr>
              <w:pStyle w:val="Textpoznpodarou"/>
              <w:jc w:val="both"/>
              <w:rPr>
                <w:spacing w:val="-4"/>
              </w:rPr>
            </w:pPr>
          </w:p>
        </w:tc>
        <w:tc>
          <w:tcPr>
            <w:tcW w:w="7679" w:type="dxa"/>
            <w:shd w:val="clear" w:color="auto" w:fill="auto"/>
            <w:tcMar>
              <w:left w:w="0" w:type="dxa"/>
            </w:tcMar>
          </w:tcPr>
          <w:p w14:paraId="0A8DB899" w14:textId="77777777" w:rsidR="001C3855" w:rsidRPr="00A92514" w:rsidRDefault="001C3855" w:rsidP="00C8019E">
            <w:pPr>
              <w:spacing w:after="220"/>
              <w:rPr>
                <w:spacing w:val="-4"/>
              </w:rPr>
            </w:pPr>
            <w:r>
              <w:rPr>
                <w:spacing w:val="-4"/>
              </w:rPr>
              <w:t xml:space="preserve">Z inkasa </w:t>
            </w:r>
            <w:r w:rsidRPr="00FF192C">
              <w:rPr>
                <w:spacing w:val="-4"/>
              </w:rPr>
              <w:t>daně z</w:t>
            </w:r>
            <w:r w:rsidRPr="005C1CC6">
              <w:rPr>
                <w:color w:val="0D0D0D" w:themeColor="text1" w:themeTint="F2"/>
                <w:spacing w:val="-4"/>
              </w:rPr>
              <w:t> příjmů od fyzických osob (DPFO</w:t>
            </w:r>
            <w:r>
              <w:rPr>
                <w:spacing w:val="-4"/>
              </w:rPr>
              <w:t xml:space="preserve">) plynulo do SR </w:t>
            </w:r>
            <w:r w:rsidRPr="00FF192C">
              <w:rPr>
                <w:spacing w:val="-4"/>
              </w:rPr>
              <w:t>meziročně</w:t>
            </w:r>
            <w:r>
              <w:rPr>
                <w:spacing w:val="-4"/>
              </w:rPr>
              <w:t xml:space="preserve"> o 13,4 % více, na což měla vliv vyšší zaměstnanost i svižný</w:t>
            </w:r>
            <w:r w:rsidRPr="00FF192C">
              <w:rPr>
                <w:spacing w:val="-4"/>
              </w:rPr>
              <w:t xml:space="preserve"> nominální</w:t>
            </w:r>
            <w:r>
              <w:rPr>
                <w:spacing w:val="-4"/>
              </w:rPr>
              <w:t xml:space="preserve"> růst</w:t>
            </w:r>
            <w:r w:rsidRPr="00FF192C">
              <w:rPr>
                <w:spacing w:val="-4"/>
              </w:rPr>
              <w:t xml:space="preserve"> průměrných </w:t>
            </w:r>
            <w:r w:rsidRPr="00E341B7">
              <w:rPr>
                <w:spacing w:val="-6"/>
              </w:rPr>
              <w:t>mezd v soukromé sféře</w:t>
            </w:r>
            <w:r>
              <w:rPr>
                <w:spacing w:val="-6"/>
              </w:rPr>
              <w:t>.</w:t>
            </w:r>
            <w:r>
              <w:rPr>
                <w:spacing w:val="-4"/>
              </w:rPr>
              <w:t xml:space="preserve"> S ústupem pandemie souvisela i slábnoucí role dříve vyplacených kompenzačních bonusů (</w:t>
            </w:r>
            <w:r w:rsidRPr="0057761C">
              <w:rPr>
                <w:spacing w:val="-4"/>
              </w:rPr>
              <w:t xml:space="preserve">na pomoc drobným podnikatelům), která ještě v roce 2021 významně snižovala inkaso DPFO. </w:t>
            </w:r>
            <w:r>
              <w:rPr>
                <w:spacing w:val="-4"/>
              </w:rPr>
              <w:t xml:space="preserve">Opačně působily </w:t>
            </w:r>
            <w:r w:rsidRPr="00FF192C">
              <w:rPr>
                <w:spacing w:val="-4"/>
              </w:rPr>
              <w:t>legislativní úpravy (pokračující zvyšování</w:t>
            </w:r>
            <w:r>
              <w:rPr>
                <w:spacing w:val="-4"/>
              </w:rPr>
              <w:t xml:space="preserve"> daňové slevy na poplatníka, v</w:t>
            </w:r>
            <w:r w:rsidRPr="00FF192C">
              <w:rPr>
                <w:spacing w:val="-4"/>
              </w:rPr>
              <w:t>yšší daňové zvýhodnění na děti</w:t>
            </w:r>
            <w:r>
              <w:rPr>
                <w:spacing w:val="-4"/>
              </w:rPr>
              <w:t xml:space="preserve"> či zrušení stropu na uplatnění daňového bonusu</w:t>
            </w:r>
            <w:r w:rsidRPr="00FF192C">
              <w:rPr>
                <w:spacing w:val="-4"/>
              </w:rPr>
              <w:t>)</w:t>
            </w:r>
            <w:r>
              <w:rPr>
                <w:spacing w:val="-4"/>
              </w:rPr>
              <w:t>. K růstu inkasa DPFO přispěla nejvíce objemově klíčová daň placená</w:t>
            </w:r>
            <w:r w:rsidRPr="00ED755B">
              <w:rPr>
                <w:spacing w:val="-4"/>
              </w:rPr>
              <w:t xml:space="preserve"> plátci (za </w:t>
            </w:r>
            <w:r w:rsidRPr="00ED755B">
              <w:rPr>
                <w:spacing w:val="-4"/>
              </w:rPr>
              <w:lastRenderedPageBreak/>
              <w:t>zaměstnance)</w:t>
            </w:r>
            <w:r>
              <w:rPr>
                <w:spacing w:val="-4"/>
              </w:rPr>
              <w:t>, jejíž výběr meziročně vzrostl o rovných 8 % (resp. 7 mld. korun)</w:t>
            </w:r>
            <w:r>
              <w:rPr>
                <w:rStyle w:val="Znakapoznpodarou"/>
                <w:spacing w:val="-4"/>
              </w:rPr>
              <w:footnoteReference w:id="8"/>
            </w:r>
            <w:r>
              <w:rPr>
                <w:spacing w:val="-4"/>
              </w:rPr>
              <w:t xml:space="preserve">. Dynamičtěji vzrostlo inkaso ostatních příjmových daní od fyzických osob – jak u DPFO za poplatníky, resp. </w:t>
            </w:r>
            <w:r w:rsidRPr="007A2948">
              <w:rPr>
                <w:spacing w:val="-4"/>
              </w:rPr>
              <w:t xml:space="preserve">za osoby podávající </w:t>
            </w:r>
            <w:r>
              <w:rPr>
                <w:spacing w:val="-4"/>
              </w:rPr>
              <w:t>přiznání (+45 %) díky předloňskému hospodářskému oživení i úpravě sazby daně pro vysoké příjmy, tak u srážkové daně (+30 %) vlivem růstu úrokových sazeb na vkladech i navýšení počtu osob pracujících formou dohod (zčásti související se zapojením ukrajinských uprchlíků na tuzemský pracovní trh).</w:t>
            </w:r>
          </w:p>
        </w:tc>
      </w:tr>
      <w:tr w:rsidR="001C3855" w:rsidRPr="007B3A78" w14:paraId="12B883BD" w14:textId="77777777" w:rsidTr="00C8019E">
        <w:trPr>
          <w:trHeight w:val="170"/>
        </w:trPr>
        <w:tc>
          <w:tcPr>
            <w:tcW w:w="1773" w:type="dxa"/>
            <w:shd w:val="clear" w:color="auto" w:fill="auto"/>
            <w:tcMar>
              <w:left w:w="0" w:type="dxa"/>
            </w:tcMar>
          </w:tcPr>
          <w:p w14:paraId="75348CE6" w14:textId="77777777" w:rsidR="001C3855" w:rsidRPr="003202BC" w:rsidRDefault="001C3855" w:rsidP="00C8019E">
            <w:pPr>
              <w:pStyle w:val="Marginlie"/>
              <w:rPr>
                <w:color w:val="0D0D0D" w:themeColor="text1" w:themeTint="F2"/>
              </w:rPr>
            </w:pPr>
            <w:r>
              <w:rPr>
                <w:color w:val="0D0D0D" w:themeColor="text1" w:themeTint="F2"/>
              </w:rPr>
              <w:lastRenderedPageBreak/>
              <w:t>N</w:t>
            </w:r>
            <w:r w:rsidRPr="003202BC">
              <w:rPr>
                <w:color w:val="0D0D0D" w:themeColor="text1" w:themeTint="F2"/>
              </w:rPr>
              <w:t xml:space="preserve">a počátku roku byly </w:t>
            </w:r>
            <w:r>
              <w:rPr>
                <w:color w:val="0D0D0D" w:themeColor="text1" w:themeTint="F2"/>
              </w:rPr>
              <w:t xml:space="preserve">běžné </w:t>
            </w:r>
            <w:r w:rsidRPr="003202BC">
              <w:rPr>
                <w:color w:val="0D0D0D" w:themeColor="text1" w:themeTint="F2"/>
              </w:rPr>
              <w:t xml:space="preserve">výdaje SR </w:t>
            </w:r>
            <w:r>
              <w:rPr>
                <w:color w:val="0D0D0D" w:themeColor="text1" w:themeTint="F2"/>
              </w:rPr>
              <w:t>tlumeny rozpočtovým provizoriem. N</w:t>
            </w:r>
            <w:r w:rsidRPr="003202BC">
              <w:rPr>
                <w:color w:val="0D0D0D" w:themeColor="text1" w:themeTint="F2"/>
              </w:rPr>
              <w:t>ásledně došlo k fiskální expanzi souvi</w:t>
            </w:r>
            <w:r>
              <w:rPr>
                <w:color w:val="0D0D0D" w:themeColor="text1" w:themeTint="F2"/>
              </w:rPr>
              <w:t xml:space="preserve">sející s dopady pádivé inflace </w:t>
            </w:r>
            <w:r w:rsidRPr="003202BC">
              <w:rPr>
                <w:color w:val="0D0D0D" w:themeColor="text1" w:themeTint="F2"/>
              </w:rPr>
              <w:t xml:space="preserve">i </w:t>
            </w:r>
            <w:r>
              <w:rPr>
                <w:color w:val="0D0D0D" w:themeColor="text1" w:themeTint="F2"/>
              </w:rPr>
              <w:t xml:space="preserve">s </w:t>
            </w:r>
            <w:r w:rsidRPr="003202BC">
              <w:rPr>
                <w:color w:val="0D0D0D" w:themeColor="text1" w:themeTint="F2"/>
              </w:rPr>
              <w:t>válkou na Ukrajině.</w:t>
            </w:r>
          </w:p>
        </w:tc>
        <w:tc>
          <w:tcPr>
            <w:tcW w:w="217" w:type="dxa"/>
            <w:shd w:val="clear" w:color="auto" w:fill="auto"/>
            <w:tcMar>
              <w:left w:w="0" w:type="dxa"/>
            </w:tcMar>
          </w:tcPr>
          <w:p w14:paraId="7C0E5567" w14:textId="77777777" w:rsidR="001C3855" w:rsidRPr="003202BC" w:rsidRDefault="001C3855" w:rsidP="00C8019E">
            <w:pPr>
              <w:pStyle w:val="Textpoznpodarou"/>
              <w:jc w:val="both"/>
              <w:rPr>
                <w:color w:val="0D0D0D" w:themeColor="text1" w:themeTint="F2"/>
                <w:spacing w:val="-4"/>
              </w:rPr>
            </w:pPr>
          </w:p>
        </w:tc>
        <w:tc>
          <w:tcPr>
            <w:tcW w:w="7679" w:type="dxa"/>
            <w:shd w:val="clear" w:color="auto" w:fill="auto"/>
            <w:tcMar>
              <w:left w:w="0" w:type="dxa"/>
            </w:tcMar>
          </w:tcPr>
          <w:p w14:paraId="4CEF4861" w14:textId="77777777" w:rsidR="001C3855" w:rsidRPr="003202BC" w:rsidRDefault="001C3855" w:rsidP="00C8019E">
            <w:pPr>
              <w:spacing w:after="200"/>
              <w:rPr>
                <w:color w:val="0D0D0D" w:themeColor="text1" w:themeTint="F2"/>
                <w:spacing w:val="-4"/>
              </w:rPr>
            </w:pPr>
            <w:r w:rsidRPr="003202BC">
              <w:rPr>
                <w:color w:val="0D0D0D" w:themeColor="text1" w:themeTint="F2"/>
                <w:spacing w:val="-4"/>
              </w:rPr>
              <w:t xml:space="preserve">Celkové výdaje SR se </w:t>
            </w:r>
            <w:r>
              <w:rPr>
                <w:color w:val="0D0D0D" w:themeColor="text1" w:themeTint="F2"/>
                <w:spacing w:val="-4"/>
              </w:rPr>
              <w:t>loni meziročně mírně zvýšily (+4,1</w:t>
            </w:r>
            <w:r w:rsidRPr="003202BC">
              <w:rPr>
                <w:color w:val="0D0D0D" w:themeColor="text1" w:themeTint="F2"/>
                <w:spacing w:val="-4"/>
              </w:rPr>
              <w:t xml:space="preserve"> %</w:t>
            </w:r>
            <w:r>
              <w:rPr>
                <w:color w:val="0D0D0D" w:themeColor="text1" w:themeTint="F2"/>
                <w:spacing w:val="-4"/>
              </w:rPr>
              <w:t>, resp. 77,8 mld. korun</w:t>
            </w:r>
            <w:r w:rsidRPr="003202BC">
              <w:rPr>
                <w:color w:val="0D0D0D" w:themeColor="text1" w:themeTint="F2"/>
                <w:spacing w:val="-4"/>
              </w:rPr>
              <w:t xml:space="preserve">), k čemuž </w:t>
            </w:r>
            <w:r>
              <w:rPr>
                <w:color w:val="0D0D0D" w:themeColor="text1" w:themeTint="F2"/>
                <w:spacing w:val="-4"/>
              </w:rPr>
              <w:t>zásadně přispěly běžné výdaje (+68,2 mld. korun), řádově méně pak investice</w:t>
            </w:r>
            <w:r w:rsidRPr="003202BC">
              <w:rPr>
                <w:color w:val="0D0D0D" w:themeColor="text1" w:themeTint="F2"/>
                <w:spacing w:val="-4"/>
              </w:rPr>
              <w:t>. Čerp</w:t>
            </w:r>
            <w:r>
              <w:rPr>
                <w:color w:val="0D0D0D" w:themeColor="text1" w:themeTint="F2"/>
                <w:spacing w:val="-4"/>
              </w:rPr>
              <w:t>ání výdajů během</w:t>
            </w:r>
            <w:r w:rsidRPr="003202BC">
              <w:rPr>
                <w:color w:val="0D0D0D" w:themeColor="text1" w:themeTint="F2"/>
                <w:spacing w:val="-4"/>
              </w:rPr>
              <w:t xml:space="preserve"> roku </w:t>
            </w:r>
            <w:r>
              <w:rPr>
                <w:color w:val="0D0D0D" w:themeColor="text1" w:themeTint="F2"/>
                <w:spacing w:val="-4"/>
              </w:rPr>
              <w:t>2022 se vyznačovalo větší nerovnoměrností</w:t>
            </w:r>
            <w:r w:rsidRPr="003202BC">
              <w:rPr>
                <w:color w:val="0D0D0D" w:themeColor="text1" w:themeTint="F2"/>
                <w:spacing w:val="-4"/>
              </w:rPr>
              <w:t>.</w:t>
            </w:r>
            <w:r>
              <w:rPr>
                <w:color w:val="0D0D0D" w:themeColor="text1" w:themeTint="F2"/>
                <w:spacing w:val="-4"/>
              </w:rPr>
              <w:t xml:space="preserve"> V 1. čtvrtletí ho</w:t>
            </w:r>
            <w:r w:rsidRPr="003202BC">
              <w:rPr>
                <w:color w:val="0D0D0D" w:themeColor="text1" w:themeTint="F2"/>
                <w:spacing w:val="-4"/>
              </w:rPr>
              <w:t xml:space="preserve"> limitoval režim rozpočtového provizoria</w:t>
            </w:r>
            <w:r w:rsidRPr="003202BC">
              <w:rPr>
                <w:rStyle w:val="Znakapoznpodarou"/>
                <w:color w:val="0D0D0D" w:themeColor="text1" w:themeTint="F2"/>
                <w:spacing w:val="-4"/>
              </w:rPr>
              <w:footnoteReference w:id="9"/>
            </w:r>
            <w:r>
              <w:rPr>
                <w:color w:val="0D0D0D" w:themeColor="text1" w:themeTint="F2"/>
                <w:spacing w:val="-4"/>
              </w:rPr>
              <w:t>, následně</w:t>
            </w:r>
            <w:r w:rsidRPr="003202BC">
              <w:rPr>
                <w:color w:val="0D0D0D" w:themeColor="text1" w:themeTint="F2"/>
                <w:spacing w:val="-4"/>
              </w:rPr>
              <w:t xml:space="preserve"> vyvstala potřeba </w:t>
            </w:r>
            <w:r>
              <w:rPr>
                <w:color w:val="0D0D0D" w:themeColor="text1" w:themeTint="F2"/>
                <w:spacing w:val="-4"/>
              </w:rPr>
              <w:t>mimořádných výdajů v</w:t>
            </w:r>
            <w:r w:rsidRPr="003202BC">
              <w:rPr>
                <w:color w:val="0D0D0D" w:themeColor="text1" w:themeTint="F2"/>
                <w:spacing w:val="-4"/>
              </w:rPr>
              <w:t> </w:t>
            </w:r>
            <w:r>
              <w:rPr>
                <w:color w:val="0D0D0D" w:themeColor="text1" w:themeTint="F2"/>
                <w:spacing w:val="-4"/>
              </w:rPr>
              <w:t>důsledku války</w:t>
            </w:r>
            <w:r w:rsidRPr="003202BC">
              <w:rPr>
                <w:color w:val="0D0D0D" w:themeColor="text1" w:themeTint="F2"/>
                <w:spacing w:val="-4"/>
              </w:rPr>
              <w:t xml:space="preserve"> na Ukrajině (zahraniční pomoc, výdaje na integraci uprchlíků v Česku, krizový management v oblasti státních hmotných rezerv).</w:t>
            </w:r>
            <w:r>
              <w:rPr>
                <w:color w:val="0D0D0D" w:themeColor="text1" w:themeTint="F2"/>
                <w:spacing w:val="-4"/>
              </w:rPr>
              <w:t xml:space="preserve"> F</w:t>
            </w:r>
            <w:r w:rsidRPr="003202BC">
              <w:rPr>
                <w:color w:val="0D0D0D" w:themeColor="text1" w:themeTint="F2"/>
                <w:spacing w:val="-4"/>
              </w:rPr>
              <w:t xml:space="preserve">iskální expanzi </w:t>
            </w:r>
            <w:r>
              <w:rPr>
                <w:color w:val="0D0D0D" w:themeColor="text1" w:themeTint="F2"/>
                <w:spacing w:val="-4"/>
              </w:rPr>
              <w:t>navíc stále více stimulovaly dopady sílí</w:t>
            </w:r>
            <w:r w:rsidRPr="003202BC">
              <w:rPr>
                <w:color w:val="0D0D0D" w:themeColor="text1" w:themeTint="F2"/>
                <w:spacing w:val="-4"/>
              </w:rPr>
              <w:t xml:space="preserve">cí </w:t>
            </w:r>
            <w:r>
              <w:rPr>
                <w:color w:val="0D0D0D" w:themeColor="text1" w:themeTint="F2"/>
                <w:spacing w:val="-4"/>
              </w:rPr>
              <w:t>inflace v ČR umocněné nečekaným srpnovým strmým růstem</w:t>
            </w:r>
            <w:r w:rsidRPr="003202BC">
              <w:rPr>
                <w:color w:val="0D0D0D" w:themeColor="text1" w:themeTint="F2"/>
                <w:spacing w:val="-4"/>
              </w:rPr>
              <w:t xml:space="preserve"> </w:t>
            </w:r>
            <w:r>
              <w:rPr>
                <w:color w:val="0D0D0D" w:themeColor="text1" w:themeTint="F2"/>
                <w:spacing w:val="-4"/>
              </w:rPr>
              <w:t>cen energií na světových trzích. Ty vedly k potřebě</w:t>
            </w:r>
            <w:r w:rsidRPr="003202BC">
              <w:rPr>
                <w:color w:val="0D0D0D" w:themeColor="text1" w:themeTint="F2"/>
                <w:spacing w:val="-4"/>
              </w:rPr>
              <w:t xml:space="preserve"> valorizace důchodů i dalších sociálních dávek či zavedení úsporného energetické</w:t>
            </w:r>
            <w:r>
              <w:rPr>
                <w:color w:val="0D0D0D" w:themeColor="text1" w:themeTint="F2"/>
                <w:spacing w:val="-4"/>
              </w:rPr>
              <w:t>ho tarifu na pomoc domácnostem. Přestože růst celkových běžných výdajů byl vloni druhý nejnižší za posledních šest let (3,9 %), jejich výše překonala předkrizový rok 2019 o 27,3 %.</w:t>
            </w:r>
          </w:p>
        </w:tc>
      </w:tr>
      <w:tr w:rsidR="001C3855" w:rsidRPr="007B3A78" w14:paraId="6BE073DD" w14:textId="77777777" w:rsidTr="00C8019E">
        <w:trPr>
          <w:trHeight w:val="170"/>
        </w:trPr>
        <w:tc>
          <w:tcPr>
            <w:tcW w:w="1773" w:type="dxa"/>
            <w:shd w:val="clear" w:color="auto" w:fill="auto"/>
            <w:tcMar>
              <w:left w:w="0" w:type="dxa"/>
            </w:tcMar>
          </w:tcPr>
          <w:p w14:paraId="4BA29C9C" w14:textId="77777777" w:rsidR="001C3855" w:rsidRPr="003202BC" w:rsidRDefault="001C3855" w:rsidP="00C8019E">
            <w:pPr>
              <w:pStyle w:val="Marginlie"/>
              <w:rPr>
                <w:color w:val="0D0D0D" w:themeColor="text1" w:themeTint="F2"/>
              </w:rPr>
            </w:pPr>
            <w:r>
              <w:rPr>
                <w:color w:val="0D0D0D" w:themeColor="text1" w:themeTint="F2"/>
              </w:rPr>
              <w:t>Výdaje na důchody rekordně vzrostly, počet jejich příjemců se třetím rokem v řadě mírně snížil.</w:t>
            </w:r>
          </w:p>
        </w:tc>
        <w:tc>
          <w:tcPr>
            <w:tcW w:w="217" w:type="dxa"/>
            <w:shd w:val="clear" w:color="auto" w:fill="auto"/>
            <w:tcMar>
              <w:left w:w="0" w:type="dxa"/>
            </w:tcMar>
          </w:tcPr>
          <w:p w14:paraId="385EFA4B" w14:textId="77777777" w:rsidR="001C3855" w:rsidRPr="003202BC" w:rsidRDefault="001C3855" w:rsidP="00C8019E">
            <w:pPr>
              <w:pStyle w:val="Textpoznpodarou"/>
              <w:jc w:val="both"/>
              <w:rPr>
                <w:color w:val="0D0D0D" w:themeColor="text1" w:themeTint="F2"/>
                <w:spacing w:val="-4"/>
              </w:rPr>
            </w:pPr>
          </w:p>
        </w:tc>
        <w:tc>
          <w:tcPr>
            <w:tcW w:w="7679" w:type="dxa"/>
            <w:shd w:val="clear" w:color="auto" w:fill="auto"/>
            <w:tcMar>
              <w:left w:w="0" w:type="dxa"/>
            </w:tcMar>
          </w:tcPr>
          <w:p w14:paraId="2EB4DF1F" w14:textId="77777777" w:rsidR="001C3855" w:rsidRPr="003202BC" w:rsidRDefault="001C3855" w:rsidP="00C8019E">
            <w:pPr>
              <w:spacing w:after="200"/>
              <w:rPr>
                <w:color w:val="0D0D0D" w:themeColor="text1" w:themeTint="F2"/>
                <w:spacing w:val="-4"/>
              </w:rPr>
            </w:pPr>
            <w:r w:rsidRPr="00903C6B">
              <w:rPr>
                <w:color w:val="0D0D0D" w:themeColor="text1" w:themeTint="F2"/>
                <w:spacing w:val="-5"/>
              </w:rPr>
              <w:t>Na rozdíl od let 2020 i 2021 byl loni růst běžných výdajů tažen hlavně prostředky na důchody.</w:t>
            </w:r>
            <w:r>
              <w:rPr>
                <w:color w:val="0D0D0D" w:themeColor="text1" w:themeTint="F2"/>
                <w:spacing w:val="-4"/>
              </w:rPr>
              <w:t xml:space="preserve"> Ty meziročně vzrostly o nebývalých 10,9 %, neboť </w:t>
            </w:r>
            <w:r>
              <w:rPr>
                <w:spacing w:val="-4"/>
                <w:szCs w:val="20"/>
              </w:rPr>
              <w:t xml:space="preserve">se </w:t>
            </w:r>
            <w:r w:rsidRPr="00862F80">
              <w:rPr>
                <w:spacing w:val="-4"/>
                <w:szCs w:val="20"/>
              </w:rPr>
              <w:t>uskutečnila</w:t>
            </w:r>
            <w:r>
              <w:rPr>
                <w:spacing w:val="-4"/>
                <w:szCs w:val="20"/>
              </w:rPr>
              <w:t xml:space="preserve"> rekordní</w:t>
            </w:r>
            <w:r w:rsidRPr="00862F80">
              <w:rPr>
                <w:spacing w:val="-4"/>
                <w:szCs w:val="20"/>
              </w:rPr>
              <w:t xml:space="preserve"> trojí zákonná valorizace důchodů</w:t>
            </w:r>
            <w:r w:rsidRPr="00862F80">
              <w:rPr>
                <w:rStyle w:val="Znakapoznpodarou"/>
                <w:spacing w:val="-4"/>
                <w:szCs w:val="20"/>
              </w:rPr>
              <w:footnoteReference w:id="10"/>
            </w:r>
            <w:r w:rsidRPr="00862F80">
              <w:rPr>
                <w:spacing w:val="-4"/>
                <w:szCs w:val="20"/>
              </w:rPr>
              <w:t xml:space="preserve">. Počet příjemců důchodů </w:t>
            </w:r>
            <w:r>
              <w:rPr>
                <w:spacing w:val="-4"/>
                <w:szCs w:val="20"/>
              </w:rPr>
              <w:t xml:space="preserve">naopak </w:t>
            </w:r>
            <w:r w:rsidRPr="00862F80">
              <w:rPr>
                <w:spacing w:val="-4"/>
                <w:szCs w:val="20"/>
              </w:rPr>
              <w:t xml:space="preserve">třetím rokem </w:t>
            </w:r>
            <w:r>
              <w:rPr>
                <w:spacing w:val="-4"/>
                <w:szCs w:val="20"/>
              </w:rPr>
              <w:t>v řadě klesal, v úhrnu byl oproti prosinci</w:t>
            </w:r>
            <w:r w:rsidRPr="00791977">
              <w:rPr>
                <w:spacing w:val="-6"/>
                <w:szCs w:val="20"/>
              </w:rPr>
              <w:t xml:space="preserve"> </w:t>
            </w:r>
            <w:r>
              <w:rPr>
                <w:spacing w:val="-6"/>
                <w:szCs w:val="20"/>
              </w:rPr>
              <w:t>2019 nižší o 1,8</w:t>
            </w:r>
            <w:r w:rsidRPr="00791977">
              <w:rPr>
                <w:spacing w:val="-6"/>
                <w:szCs w:val="20"/>
              </w:rPr>
              <w:t xml:space="preserve"> %, hlavně vlivem zvýšené úmrtnosti.</w:t>
            </w:r>
            <w:r>
              <w:rPr>
                <w:spacing w:val="-6"/>
                <w:szCs w:val="20"/>
              </w:rPr>
              <w:t xml:space="preserve"> Současně přetrvával dlouhodobý trend růstu počtu osob s předčasným důchodem</w:t>
            </w:r>
            <w:r>
              <w:rPr>
                <w:rStyle w:val="Znakapoznpodarou"/>
                <w:spacing w:val="-6"/>
                <w:szCs w:val="20"/>
              </w:rPr>
              <w:footnoteReference w:id="11"/>
            </w:r>
            <w:r>
              <w:rPr>
                <w:spacing w:val="-6"/>
                <w:szCs w:val="20"/>
              </w:rPr>
              <w:t xml:space="preserve">. </w:t>
            </w:r>
            <w:r w:rsidRPr="00791977">
              <w:rPr>
                <w:spacing w:val="-6"/>
              </w:rPr>
              <w:t>Dobr</w:t>
            </w:r>
            <w:r>
              <w:rPr>
                <w:spacing w:val="-6"/>
              </w:rPr>
              <w:t>á kondice trhu práce podporovala</w:t>
            </w:r>
            <w:r>
              <w:rPr>
                <w:spacing w:val="-4"/>
              </w:rPr>
              <w:t xml:space="preserve"> pokračující růst</w:t>
            </w:r>
            <w:r w:rsidRPr="00862F80">
              <w:rPr>
                <w:spacing w:val="-4"/>
              </w:rPr>
              <w:t xml:space="preserve"> příjmů </w:t>
            </w:r>
            <w:r>
              <w:rPr>
                <w:rFonts w:cs="Arial"/>
                <w:color w:val="0D0D0D" w:themeColor="text1" w:themeTint="F2"/>
                <w:spacing w:val="-4"/>
              </w:rPr>
              <w:t>důchodového pojištění (+6,7 %). Saldo</w:t>
            </w:r>
            <w:r w:rsidRPr="00862F80">
              <w:rPr>
                <w:rFonts w:cs="Arial"/>
                <w:color w:val="0D0D0D" w:themeColor="text1" w:themeTint="F2"/>
                <w:spacing w:val="-4"/>
              </w:rPr>
              <w:t xml:space="preserve"> důchodového účtu</w:t>
            </w:r>
            <w:r w:rsidRPr="00862F80">
              <w:rPr>
                <w:rStyle w:val="Znakapoznpodarou"/>
                <w:color w:val="0D0D0D" w:themeColor="text1" w:themeTint="F2"/>
                <w:spacing w:val="-4"/>
              </w:rPr>
              <w:footnoteReference w:id="12"/>
            </w:r>
            <w:r>
              <w:rPr>
                <w:rFonts w:cs="Arial"/>
                <w:color w:val="0D0D0D" w:themeColor="text1" w:themeTint="F2"/>
                <w:spacing w:val="-4"/>
              </w:rPr>
              <w:t xml:space="preserve"> se po mírném přebytku v roce 2021 loni opět propadlo do deficitu (17,4 mld. korun).</w:t>
            </w:r>
          </w:p>
        </w:tc>
      </w:tr>
      <w:tr w:rsidR="001C3855" w:rsidRPr="007B3A78" w14:paraId="748E2634" w14:textId="77777777" w:rsidTr="00C8019E">
        <w:trPr>
          <w:trHeight w:val="170"/>
        </w:trPr>
        <w:tc>
          <w:tcPr>
            <w:tcW w:w="1773" w:type="dxa"/>
            <w:shd w:val="clear" w:color="auto" w:fill="auto"/>
            <w:tcMar>
              <w:left w:w="0" w:type="dxa"/>
            </w:tcMar>
          </w:tcPr>
          <w:p w14:paraId="1CC9C9B1" w14:textId="77777777" w:rsidR="001C3855" w:rsidRDefault="001C3855" w:rsidP="00C8019E">
            <w:pPr>
              <w:pStyle w:val="Marginlie"/>
            </w:pPr>
            <w:r>
              <w:t xml:space="preserve">Nedůchodové sociální dávky svižně rostly především vlivem dávek hmotné nouze a státní sociální podpory. </w:t>
            </w:r>
          </w:p>
          <w:p w14:paraId="044B4E11" w14:textId="77777777" w:rsidR="001C3855" w:rsidRDefault="001C3855" w:rsidP="00C8019E">
            <w:pPr>
              <w:pStyle w:val="Marginlie"/>
            </w:pPr>
          </w:p>
          <w:p w14:paraId="57FE8F95" w14:textId="77777777" w:rsidR="001C3855" w:rsidRDefault="001C3855" w:rsidP="00C8019E">
            <w:pPr>
              <w:pStyle w:val="Marginlie"/>
            </w:pPr>
          </w:p>
          <w:p w14:paraId="5BD723D0" w14:textId="77777777" w:rsidR="001C3855" w:rsidRDefault="001C3855" w:rsidP="00C8019E">
            <w:pPr>
              <w:pStyle w:val="Marginlie"/>
            </w:pPr>
          </w:p>
          <w:p w14:paraId="6785D6D9" w14:textId="77777777" w:rsidR="001C3855" w:rsidRDefault="001C3855" w:rsidP="00C8019E">
            <w:pPr>
              <w:pStyle w:val="Marginlie"/>
            </w:pPr>
          </w:p>
          <w:p w14:paraId="14903F71" w14:textId="77777777" w:rsidR="001C3855" w:rsidRDefault="001C3855" w:rsidP="00C8019E">
            <w:pPr>
              <w:pStyle w:val="Marginlie"/>
            </w:pPr>
          </w:p>
          <w:p w14:paraId="7CDE8825" w14:textId="77777777" w:rsidR="001C3855" w:rsidRDefault="001C3855" w:rsidP="00C8019E">
            <w:pPr>
              <w:pStyle w:val="Marginlie"/>
            </w:pPr>
            <w:r>
              <w:t>Dávky nemocenského pojištění se dále snižovaly, i tak stále převyšovaly příjmy z pojistného.</w:t>
            </w:r>
          </w:p>
        </w:tc>
        <w:tc>
          <w:tcPr>
            <w:tcW w:w="217" w:type="dxa"/>
            <w:shd w:val="clear" w:color="auto" w:fill="auto"/>
            <w:tcMar>
              <w:left w:w="0" w:type="dxa"/>
            </w:tcMar>
          </w:tcPr>
          <w:p w14:paraId="0019F931" w14:textId="77777777" w:rsidR="001C3855" w:rsidRDefault="001C3855" w:rsidP="00C8019E">
            <w:pPr>
              <w:pStyle w:val="Textpoznpodarou"/>
              <w:jc w:val="both"/>
              <w:rPr>
                <w:spacing w:val="-4"/>
              </w:rPr>
            </w:pPr>
          </w:p>
        </w:tc>
        <w:tc>
          <w:tcPr>
            <w:tcW w:w="7679" w:type="dxa"/>
            <w:shd w:val="clear" w:color="auto" w:fill="auto"/>
            <w:tcMar>
              <w:left w:w="0" w:type="dxa"/>
            </w:tcMar>
          </w:tcPr>
          <w:p w14:paraId="7F79891D" w14:textId="77777777" w:rsidR="001C3855" w:rsidRPr="00954991" w:rsidRDefault="001C3855" w:rsidP="00C8019E">
            <w:pPr>
              <w:spacing w:after="200"/>
              <w:rPr>
                <w:spacing w:val="-4"/>
              </w:rPr>
            </w:pPr>
            <w:r>
              <w:rPr>
                <w:spacing w:val="-4"/>
                <w:szCs w:val="20"/>
              </w:rPr>
              <w:t xml:space="preserve">K </w:t>
            </w:r>
            <w:r w:rsidRPr="00230385">
              <w:rPr>
                <w:color w:val="0D0D0D" w:themeColor="text1" w:themeTint="F2"/>
                <w:spacing w:val="-4"/>
                <w:szCs w:val="20"/>
              </w:rPr>
              <w:t xml:space="preserve">růstu běžných výdajů SR </w:t>
            </w:r>
            <w:r w:rsidRPr="00A0009D">
              <w:rPr>
                <w:rFonts w:cs="Arial"/>
                <w:color w:val="0D0D0D" w:themeColor="text1" w:themeTint="F2"/>
                <w:spacing w:val="-5"/>
              </w:rPr>
              <w:t>loni</w:t>
            </w:r>
            <w:r>
              <w:rPr>
                <w:rFonts w:cs="Arial"/>
                <w:color w:val="0D0D0D" w:themeColor="text1" w:themeTint="F2"/>
                <w:spacing w:val="-5"/>
              </w:rPr>
              <w:t xml:space="preserve">, </w:t>
            </w:r>
            <w:r w:rsidRPr="00A0009D">
              <w:rPr>
                <w:rFonts w:cs="Arial"/>
                <w:color w:val="0D0D0D" w:themeColor="text1" w:themeTint="F2"/>
                <w:spacing w:val="-5"/>
              </w:rPr>
              <w:t>na rozdíl od roku 2021</w:t>
            </w:r>
            <w:r>
              <w:rPr>
                <w:rFonts w:cs="Arial"/>
                <w:color w:val="0D0D0D" w:themeColor="text1" w:themeTint="F2"/>
                <w:spacing w:val="-5"/>
              </w:rPr>
              <w:t>,</w:t>
            </w:r>
            <w:r w:rsidRPr="00A0009D">
              <w:rPr>
                <w:rFonts w:cs="Arial"/>
                <w:color w:val="0D0D0D" w:themeColor="text1" w:themeTint="F2"/>
                <w:spacing w:val="-5"/>
              </w:rPr>
              <w:t xml:space="preserve"> přispěly i nedůchodové sociální dávky</w:t>
            </w:r>
            <w:r>
              <w:rPr>
                <w:rFonts w:cs="Arial"/>
                <w:color w:val="0D0D0D" w:themeColor="text1" w:themeTint="F2"/>
                <w:spacing w:val="-5"/>
              </w:rPr>
              <w:t xml:space="preserve"> (meziročně vyšší o 11,2 %).</w:t>
            </w:r>
            <w:r w:rsidRPr="00A0009D">
              <w:rPr>
                <w:rFonts w:cs="Arial"/>
                <w:color w:val="0D0D0D" w:themeColor="text1" w:themeTint="F2"/>
                <w:spacing w:val="-5"/>
              </w:rPr>
              <w:t xml:space="preserve"> </w:t>
            </w:r>
            <w:r>
              <w:rPr>
                <w:rFonts w:cs="Arial"/>
                <w:color w:val="0D0D0D" w:themeColor="text1" w:themeTint="F2"/>
                <w:spacing w:val="-5"/>
              </w:rPr>
              <w:t xml:space="preserve">Zásadní roli zde sehrály vyšší </w:t>
            </w:r>
            <w:r w:rsidRPr="00A0009D">
              <w:rPr>
                <w:rFonts w:cs="Arial"/>
                <w:color w:val="0D0D0D" w:themeColor="text1" w:themeTint="F2"/>
                <w:spacing w:val="-5"/>
              </w:rPr>
              <w:t>dávky pomoci v hmotné nouzi (+9,0 mld. korun), tažené z drtivé části výplatou humanitární dávky uprchlíkům z</w:t>
            </w:r>
            <w:r>
              <w:rPr>
                <w:rFonts w:cs="Arial"/>
                <w:color w:val="0D0D0D" w:themeColor="text1" w:themeTint="F2"/>
                <w:spacing w:val="-5"/>
              </w:rPr>
              <w:t> </w:t>
            </w:r>
            <w:r w:rsidRPr="00A0009D">
              <w:rPr>
                <w:rFonts w:cs="Arial"/>
                <w:color w:val="0D0D0D" w:themeColor="text1" w:themeTint="F2"/>
                <w:spacing w:val="-5"/>
              </w:rPr>
              <w:t>Ukrajiny</w:t>
            </w:r>
            <w:r>
              <w:rPr>
                <w:rFonts w:cs="Arial"/>
                <w:color w:val="0D0D0D" w:themeColor="text1" w:themeTint="F2"/>
                <w:spacing w:val="-5"/>
              </w:rPr>
              <w:t xml:space="preserve">. </w:t>
            </w:r>
            <w:r>
              <w:rPr>
                <w:spacing w:val="-4"/>
              </w:rPr>
              <w:t>Významně se zvýšily i dávky státní sociální podpory (SSP, +7,6 mld. korun). Tyto vzrostly primárně vlivem výplaty jednorázového příspěvku na dítě</w:t>
            </w:r>
            <w:r>
              <w:rPr>
                <w:rStyle w:val="Znakapoznpodarou"/>
                <w:spacing w:val="-4"/>
              </w:rPr>
              <w:footnoteReference w:id="13"/>
            </w:r>
            <w:r>
              <w:rPr>
                <w:spacing w:val="-4"/>
              </w:rPr>
              <w:t>, přídavků na dítě (díky rozšíření počtu příjemců s nárokem na dávku) a příspěvků na bydlení (vlivem zvýšení nákladů uznatelných pro výplatu). Opačně působil mírný pokles čerpání u váhově dominantní položky SSP – rodičovských příspěvků (</w:t>
            </w:r>
            <w:r w:rsidRPr="00D94406">
              <w:rPr>
                <w:color w:val="0D0D0D" w:themeColor="text1" w:themeTint="F2"/>
                <w:spacing w:val="-5"/>
              </w:rPr>
              <w:t>−</w:t>
            </w:r>
            <w:r>
              <w:rPr>
                <w:spacing w:val="-4"/>
              </w:rPr>
              <w:t xml:space="preserve">2,4 mld. korun). </w:t>
            </w:r>
            <w:r>
              <w:rPr>
                <w:rFonts w:cs="Arial"/>
                <w:color w:val="0D0D0D" w:themeColor="text1" w:themeTint="F2"/>
                <w:spacing w:val="-5"/>
              </w:rPr>
              <w:t xml:space="preserve">Z dalších dávek </w:t>
            </w:r>
            <w:r>
              <w:rPr>
                <w:spacing w:val="-4"/>
              </w:rPr>
              <w:t>narostl objem příspěvků na péči (+3,7 mld. korun)</w:t>
            </w:r>
            <w:r>
              <w:rPr>
                <w:rStyle w:val="Znakapoznpodarou"/>
                <w:spacing w:val="-4"/>
              </w:rPr>
              <w:footnoteReference w:id="14"/>
            </w:r>
            <w:r>
              <w:rPr>
                <w:spacing w:val="-4"/>
              </w:rPr>
              <w:t xml:space="preserve">. Naopak díky zlepšení epidemické situace klesly druhým rokem v řadě </w:t>
            </w:r>
            <w:r>
              <w:t xml:space="preserve">výdaje na dávky nemocenského pojištění (loni </w:t>
            </w:r>
            <w:r>
              <w:br/>
              <w:t>o 3,7 mld. korun),</w:t>
            </w:r>
            <w:r>
              <w:rPr>
                <w:spacing w:val="-4"/>
              </w:rPr>
              <w:t xml:space="preserve"> oproti roku 2019 vydal ovšem SR na těchto dávkách o pětinu více</w:t>
            </w:r>
            <w:r>
              <w:rPr>
                <w:rStyle w:val="Znakapoznpodarou"/>
                <w:spacing w:val="-4"/>
              </w:rPr>
              <w:footnoteReference w:id="15"/>
            </w:r>
            <w:r>
              <w:rPr>
                <w:spacing w:val="-4"/>
              </w:rPr>
              <w:t xml:space="preserve">. </w:t>
            </w:r>
            <w:r>
              <w:rPr>
                <w:spacing w:val="-4"/>
              </w:rPr>
              <w:br/>
              <w:t>O řád méně „uspořil“ SR také na dávkách v nezaměstnanosti, jejich vyplacená výše mírně klesla druhým rokem v řadě. I tak dosahovala nezanedbatelných 9,9 mld. korun.</w:t>
            </w:r>
          </w:p>
        </w:tc>
      </w:tr>
      <w:tr w:rsidR="001C3855" w:rsidRPr="007B3A78" w14:paraId="2465E644" w14:textId="77777777" w:rsidTr="00C8019E">
        <w:trPr>
          <w:trHeight w:val="170"/>
        </w:trPr>
        <w:tc>
          <w:tcPr>
            <w:tcW w:w="1773" w:type="dxa"/>
            <w:shd w:val="clear" w:color="auto" w:fill="auto"/>
            <w:tcMar>
              <w:left w:w="0" w:type="dxa"/>
            </w:tcMar>
          </w:tcPr>
          <w:p w14:paraId="0C5C8C82" w14:textId="77777777" w:rsidR="001C3855" w:rsidRDefault="001C3855" w:rsidP="00C8019E">
            <w:pPr>
              <w:pStyle w:val="Marginlie"/>
            </w:pPr>
            <w:r>
              <w:lastRenderedPageBreak/>
              <w:t>Silný růst výdajů na neinvestiční nákupy souvisel hlavně s posilováním státních hmotných rezerv.</w:t>
            </w:r>
          </w:p>
          <w:p w14:paraId="55871531" w14:textId="77777777" w:rsidR="001C3855" w:rsidRDefault="001C3855" w:rsidP="00C8019E">
            <w:pPr>
              <w:pStyle w:val="Marginlie"/>
            </w:pPr>
            <w:r>
              <w:t xml:space="preserve">Růst výdajů na obsluhu státního dluhu zrychlil </w:t>
            </w:r>
            <w:r>
              <w:br/>
              <w:t xml:space="preserve">a přiblížil se dosud rekordní výši z roku 2013. </w:t>
            </w:r>
          </w:p>
          <w:p w14:paraId="3A44DAF5" w14:textId="77777777" w:rsidR="001C3855" w:rsidRDefault="001C3855" w:rsidP="00C8019E">
            <w:pPr>
              <w:pStyle w:val="Marginlie"/>
            </w:pPr>
          </w:p>
          <w:p w14:paraId="7E90C0E4" w14:textId="77777777" w:rsidR="001C3855" w:rsidRDefault="001C3855" w:rsidP="00C8019E">
            <w:pPr>
              <w:pStyle w:val="Marginlie"/>
            </w:pPr>
          </w:p>
          <w:p w14:paraId="1244ED82" w14:textId="77777777" w:rsidR="001C3855" w:rsidRDefault="001C3855" w:rsidP="00C8019E">
            <w:pPr>
              <w:pStyle w:val="Marginlie"/>
            </w:pPr>
          </w:p>
          <w:p w14:paraId="79583F4F" w14:textId="77777777" w:rsidR="001C3855" w:rsidRDefault="001C3855" w:rsidP="00C8019E">
            <w:pPr>
              <w:pStyle w:val="Marginlie"/>
            </w:pPr>
          </w:p>
          <w:p w14:paraId="4981A48C" w14:textId="77777777" w:rsidR="001C3855" w:rsidRDefault="001C3855" w:rsidP="00C8019E">
            <w:pPr>
              <w:pStyle w:val="Marginlie"/>
            </w:pPr>
          </w:p>
          <w:p w14:paraId="0D92699A" w14:textId="77777777" w:rsidR="001C3855" w:rsidRDefault="001C3855" w:rsidP="00C8019E">
            <w:pPr>
              <w:pStyle w:val="Marginlie"/>
            </w:pPr>
            <w:r>
              <w:t>Vyšší běžné transfery územním rozpočtům odrážely zejména mírné zvýšení platových tarifů ve školství.</w:t>
            </w:r>
          </w:p>
          <w:p w14:paraId="44E9EB26" w14:textId="77777777" w:rsidR="001C3855" w:rsidRDefault="001C3855" w:rsidP="00C8019E">
            <w:pPr>
              <w:pStyle w:val="Marginlie"/>
            </w:pPr>
          </w:p>
        </w:tc>
        <w:tc>
          <w:tcPr>
            <w:tcW w:w="217" w:type="dxa"/>
            <w:shd w:val="clear" w:color="auto" w:fill="auto"/>
            <w:tcMar>
              <w:left w:w="0" w:type="dxa"/>
            </w:tcMar>
          </w:tcPr>
          <w:p w14:paraId="5CEEDF1A" w14:textId="77777777" w:rsidR="001C3855" w:rsidRDefault="001C3855" w:rsidP="00C8019E">
            <w:pPr>
              <w:pStyle w:val="Textpoznpodarou"/>
              <w:jc w:val="both"/>
              <w:rPr>
                <w:spacing w:val="-4"/>
              </w:rPr>
            </w:pPr>
          </w:p>
        </w:tc>
        <w:tc>
          <w:tcPr>
            <w:tcW w:w="7679" w:type="dxa"/>
            <w:shd w:val="clear" w:color="auto" w:fill="auto"/>
            <w:tcMar>
              <w:left w:w="0" w:type="dxa"/>
            </w:tcMar>
          </w:tcPr>
          <w:p w14:paraId="52F1E187" w14:textId="77777777" w:rsidR="001C3855" w:rsidRPr="00A660DE" w:rsidRDefault="001C3855" w:rsidP="00C8019E">
            <w:pPr>
              <w:spacing w:after="200"/>
              <w:rPr>
                <w:rFonts w:cs="Arial"/>
                <w:color w:val="0D0D0D" w:themeColor="text1" w:themeTint="F2"/>
                <w:spacing w:val="-5"/>
              </w:rPr>
            </w:pPr>
            <w:r>
              <w:rPr>
                <w:rFonts w:cs="Arial"/>
                <w:color w:val="0D0D0D" w:themeColor="text1" w:themeTint="F2"/>
                <w:spacing w:val="-5"/>
              </w:rPr>
              <w:t xml:space="preserve">Veškeré sociální dávky loni posílily o 75,7 mld. korun (polovina z toho připadala na poslední čtyři měsíce roku). Tvořily 42,7 % všech běžných výdajů SR, což však bylo zhruba o 3 p. b. méně než v období hospodářské recese (2012 až 2013). </w:t>
            </w:r>
            <w:r w:rsidRPr="00791F0E">
              <w:rPr>
                <w:color w:val="0D0D0D" w:themeColor="text1" w:themeTint="F2"/>
                <w:spacing w:val="-5"/>
              </w:rPr>
              <w:t xml:space="preserve">Mimo </w:t>
            </w:r>
            <w:r>
              <w:rPr>
                <w:color w:val="0D0D0D" w:themeColor="text1" w:themeTint="F2"/>
                <w:spacing w:val="-5"/>
              </w:rPr>
              <w:t>oblast sociálních dávek přispěl</w:t>
            </w:r>
            <w:r w:rsidRPr="00791F0E">
              <w:rPr>
                <w:color w:val="0D0D0D" w:themeColor="text1" w:themeTint="F2"/>
                <w:spacing w:val="-5"/>
              </w:rPr>
              <w:t xml:space="preserve"> k růstu celkových běžných výdajů nejvíce </w:t>
            </w:r>
            <w:r>
              <w:rPr>
                <w:color w:val="0D0D0D" w:themeColor="text1" w:themeTint="F2"/>
                <w:spacing w:val="-5"/>
              </w:rPr>
              <w:t xml:space="preserve">nečekaně vysoký objem </w:t>
            </w:r>
            <w:r w:rsidRPr="00791F0E">
              <w:rPr>
                <w:color w:val="0D0D0D" w:themeColor="text1" w:themeTint="F2"/>
                <w:spacing w:val="-5"/>
              </w:rPr>
              <w:t>neinvestiční</w:t>
            </w:r>
            <w:r>
              <w:rPr>
                <w:color w:val="0D0D0D" w:themeColor="text1" w:themeTint="F2"/>
                <w:spacing w:val="-5"/>
              </w:rPr>
              <w:t>ch nákupů</w:t>
            </w:r>
            <w:r w:rsidRPr="00791F0E">
              <w:rPr>
                <w:color w:val="0D0D0D" w:themeColor="text1" w:themeTint="F2"/>
                <w:spacing w:val="-5"/>
              </w:rPr>
              <w:t xml:space="preserve"> státu (+15,8 %, resp. 12,4 mld. korun), u nichž se projevily vyšší výdaje na posilování státních hmotných rezerv (hlavně zemního plynu), úhrada starších nákladů České poště, rostoucí ceny za spotřebované energie či vyšší potřeba nákupu léků a zdravotnického materiálu</w:t>
            </w:r>
            <w:r>
              <w:rPr>
                <w:color w:val="0D0D0D" w:themeColor="text1" w:themeTint="F2"/>
                <w:spacing w:val="-5"/>
              </w:rPr>
              <w:t xml:space="preserve">. SR více zatížily i </w:t>
            </w:r>
            <w:r>
              <w:rPr>
                <w:spacing w:val="-4"/>
              </w:rPr>
              <w:t>čisté výdaje na obsluhu státního dluhu</w:t>
            </w:r>
            <w:r>
              <w:rPr>
                <w:rStyle w:val="Znakapoznpodarou"/>
                <w:spacing w:val="-4"/>
              </w:rPr>
              <w:footnoteReference w:id="16"/>
            </w:r>
            <w:r>
              <w:rPr>
                <w:spacing w:val="-4"/>
              </w:rPr>
              <w:t xml:space="preserve">. Jejich růst oproti roku 2021 zrychlil. Loni dosáhl 17,7 % a svou výší (49,7 mld. korun) se těsně přiblížil rekordním výdajům z roku 2013. To souviselo s růstem výše dluhu i úrokových sazeb na tuzemských státních dluhopisech. </w:t>
            </w:r>
            <w:r w:rsidRPr="00D94406">
              <w:rPr>
                <w:color w:val="0D0D0D" w:themeColor="text1" w:themeTint="F2"/>
                <w:spacing w:val="-5"/>
              </w:rPr>
              <w:t>Obje</w:t>
            </w:r>
            <w:r>
              <w:rPr>
                <w:color w:val="0D0D0D" w:themeColor="text1" w:themeTint="F2"/>
                <w:spacing w:val="-5"/>
              </w:rPr>
              <w:t>mově významné běžné transfery krajům a</w:t>
            </w:r>
            <w:r w:rsidRPr="00D94406">
              <w:rPr>
                <w:color w:val="0D0D0D" w:themeColor="text1" w:themeTint="F2"/>
                <w:spacing w:val="-5"/>
              </w:rPr>
              <w:t> obcím</w:t>
            </w:r>
            <w:r>
              <w:rPr>
                <w:color w:val="0D0D0D" w:themeColor="text1" w:themeTint="F2"/>
                <w:spacing w:val="-5"/>
              </w:rPr>
              <w:t xml:space="preserve"> v souladu </w:t>
            </w:r>
            <w:r w:rsidRPr="00532E9F">
              <w:rPr>
                <w:color w:val="0D0D0D" w:themeColor="text1" w:themeTint="F2"/>
                <w:spacing w:val="-6"/>
              </w:rPr>
              <w:t xml:space="preserve">s rozpočtovým očekáváním za loňský rok mírně vzrostly (+2,3 %, +5,3 mld. korun). </w:t>
            </w:r>
            <w:proofErr w:type="spellStart"/>
            <w:r w:rsidRPr="00532E9F">
              <w:rPr>
                <w:color w:val="0D0D0D" w:themeColor="text1" w:themeTint="F2"/>
                <w:spacing w:val="-6"/>
              </w:rPr>
              <w:t>Prorůstově</w:t>
            </w:r>
            <w:proofErr w:type="spellEnd"/>
            <w:r>
              <w:rPr>
                <w:color w:val="0D0D0D" w:themeColor="text1" w:themeTint="F2"/>
                <w:spacing w:val="-5"/>
              </w:rPr>
              <w:t xml:space="preserve"> zde působil</w:t>
            </w:r>
            <w:r w:rsidRPr="00D94406">
              <w:rPr>
                <w:color w:val="0D0D0D" w:themeColor="text1" w:themeTint="F2"/>
                <w:spacing w:val="-5"/>
              </w:rPr>
              <w:t xml:space="preserve"> mírný růst platových tarifů pedagogů základních a středních škol (+2 %) </w:t>
            </w:r>
            <w:r>
              <w:rPr>
                <w:color w:val="0D0D0D" w:themeColor="text1" w:themeTint="F2"/>
                <w:spacing w:val="-5"/>
              </w:rPr>
              <w:t>i k</w:t>
            </w:r>
            <w:r w:rsidRPr="00757CC6">
              <w:rPr>
                <w:color w:val="0D0D0D" w:themeColor="text1" w:themeTint="F2"/>
                <w:spacing w:val="-5"/>
              </w:rPr>
              <w:t xml:space="preserve">ompenzace územním samosprávám za ubytování uprchlíků, opačný vliv mělo </w:t>
            </w:r>
            <w:r>
              <w:rPr>
                <w:color w:val="0D0D0D" w:themeColor="text1" w:themeTint="F2"/>
                <w:spacing w:val="-5"/>
              </w:rPr>
              <w:t>snížení prostředků na sociální služ</w:t>
            </w:r>
            <w:r w:rsidRPr="00D94406">
              <w:rPr>
                <w:color w:val="0D0D0D" w:themeColor="text1" w:themeTint="F2"/>
                <w:spacing w:val="-5"/>
              </w:rPr>
              <w:t>b</w:t>
            </w:r>
            <w:r>
              <w:rPr>
                <w:color w:val="0D0D0D" w:themeColor="text1" w:themeTint="F2"/>
                <w:spacing w:val="-5"/>
              </w:rPr>
              <w:t>y či lůžkovou péči</w:t>
            </w:r>
            <w:r w:rsidRPr="00D94406">
              <w:rPr>
                <w:color w:val="0D0D0D" w:themeColor="text1" w:themeTint="F2"/>
                <w:spacing w:val="-5"/>
              </w:rPr>
              <w:t xml:space="preserve"> (související s </w:t>
            </w:r>
            <w:r>
              <w:rPr>
                <w:color w:val="0D0D0D" w:themeColor="text1" w:themeTint="F2"/>
                <w:spacing w:val="-5"/>
              </w:rPr>
              <w:t>před</w:t>
            </w:r>
            <w:r w:rsidRPr="00D94406">
              <w:rPr>
                <w:color w:val="0D0D0D" w:themeColor="text1" w:themeTint="F2"/>
                <w:spacing w:val="-5"/>
              </w:rPr>
              <w:t>loňskými mimořádnými odměnami).</w:t>
            </w:r>
            <w:r>
              <w:rPr>
                <w:color w:val="0D0D0D" w:themeColor="text1" w:themeTint="F2"/>
                <w:spacing w:val="-5"/>
              </w:rPr>
              <w:t xml:space="preserve"> Z ostatních běžných výdajů vzrostly p</w:t>
            </w:r>
            <w:r w:rsidRPr="00A660DE">
              <w:rPr>
                <w:color w:val="0D0D0D" w:themeColor="text1" w:themeTint="F2"/>
                <w:spacing w:val="-5"/>
              </w:rPr>
              <w:t>latby veřejného zdravotního pojištění za tzv. státní pojištěnce</w:t>
            </w:r>
            <w:r>
              <w:rPr>
                <w:color w:val="0D0D0D" w:themeColor="text1" w:themeTint="F2"/>
                <w:spacing w:val="-5"/>
              </w:rPr>
              <w:t xml:space="preserve"> </w:t>
            </w:r>
            <w:r w:rsidRPr="00790DFB">
              <w:rPr>
                <w:color w:val="0D0D0D" w:themeColor="text1" w:themeTint="F2"/>
                <w:spacing w:val="-6"/>
              </w:rPr>
              <w:t>(2,4 %)</w:t>
            </w:r>
            <w:r>
              <w:rPr>
                <w:color w:val="0D0D0D" w:themeColor="text1" w:themeTint="F2"/>
                <w:spacing w:val="-6"/>
              </w:rPr>
              <w:t>, jež</w:t>
            </w:r>
            <w:r w:rsidRPr="00790DFB">
              <w:rPr>
                <w:color w:val="0D0D0D" w:themeColor="text1" w:themeTint="F2"/>
                <w:spacing w:val="-6"/>
              </w:rPr>
              <w:t xml:space="preserve"> byly ovlivněny </w:t>
            </w:r>
            <w:r>
              <w:rPr>
                <w:color w:val="0D0D0D" w:themeColor="text1" w:themeTint="F2"/>
                <w:spacing w:val="-6"/>
              </w:rPr>
              <w:t xml:space="preserve">jak </w:t>
            </w:r>
            <w:r w:rsidRPr="00790DFB">
              <w:rPr>
                <w:color w:val="0D0D0D" w:themeColor="text1" w:themeTint="F2"/>
                <w:spacing w:val="-6"/>
              </w:rPr>
              <w:t>změnou valorizačního mechanismu</w:t>
            </w:r>
            <w:r w:rsidRPr="00790DFB">
              <w:rPr>
                <w:rStyle w:val="Znakapoznpodarou"/>
                <w:spacing w:val="-6"/>
              </w:rPr>
              <w:footnoteReference w:id="17"/>
            </w:r>
            <w:r>
              <w:rPr>
                <w:spacing w:val="-6"/>
              </w:rPr>
              <w:t>, tak</w:t>
            </w:r>
            <w:r w:rsidRPr="00790DFB">
              <w:rPr>
                <w:color w:val="0D0D0D" w:themeColor="text1" w:themeTint="F2"/>
                <w:spacing w:val="-6"/>
              </w:rPr>
              <w:t xml:space="preserve"> vyšším počtem pojištěnců.</w:t>
            </w:r>
          </w:p>
        </w:tc>
      </w:tr>
      <w:tr w:rsidR="001C3855" w:rsidRPr="00F704D2" w14:paraId="370E4A72" w14:textId="77777777" w:rsidTr="00C8019E">
        <w:trPr>
          <w:trHeight w:val="170"/>
        </w:trPr>
        <w:tc>
          <w:tcPr>
            <w:tcW w:w="1773" w:type="dxa"/>
            <w:vMerge w:val="restart"/>
            <w:shd w:val="clear" w:color="auto" w:fill="auto"/>
            <w:tcMar>
              <w:left w:w="0" w:type="dxa"/>
            </w:tcMar>
          </w:tcPr>
          <w:p w14:paraId="743F7998" w14:textId="77777777" w:rsidR="001C3855" w:rsidRDefault="001C3855" w:rsidP="00C8019E">
            <w:pPr>
              <w:pStyle w:val="Marginlie"/>
            </w:pPr>
          </w:p>
        </w:tc>
        <w:tc>
          <w:tcPr>
            <w:tcW w:w="217" w:type="dxa"/>
            <w:vMerge w:val="restart"/>
            <w:shd w:val="clear" w:color="auto" w:fill="auto"/>
            <w:tcMar>
              <w:left w:w="0" w:type="dxa"/>
            </w:tcMar>
          </w:tcPr>
          <w:p w14:paraId="4228B394" w14:textId="77777777" w:rsidR="001C3855" w:rsidRDefault="001C3855" w:rsidP="00C8019E">
            <w:pPr>
              <w:pStyle w:val="Textpoznpodarou"/>
              <w:jc w:val="both"/>
              <w:rPr>
                <w:spacing w:val="-4"/>
              </w:rPr>
            </w:pPr>
          </w:p>
        </w:tc>
        <w:tc>
          <w:tcPr>
            <w:tcW w:w="7679" w:type="dxa"/>
            <w:shd w:val="clear" w:color="auto" w:fill="auto"/>
            <w:tcMar>
              <w:left w:w="0" w:type="dxa"/>
            </w:tcMar>
          </w:tcPr>
          <w:p w14:paraId="2E7E1C3E" w14:textId="1224FC80" w:rsidR="001C3855" w:rsidRPr="0033093B" w:rsidRDefault="008F525A" w:rsidP="00C8019E">
            <w:pPr>
              <w:spacing w:after="20" w:line="240" w:lineRule="auto"/>
              <w:jc w:val="left"/>
              <w:rPr>
                <w:rFonts w:cs="Arial"/>
                <w:bCs/>
                <w:spacing w:val="-3"/>
              </w:rPr>
            </w:pPr>
            <w:r>
              <w:rPr>
                <w:b/>
                <w:spacing w:val="-3"/>
              </w:rPr>
              <w:t>Graf č. 19</w:t>
            </w:r>
            <w:r w:rsidR="001C3855" w:rsidRPr="0033093B">
              <w:rPr>
                <w:b/>
                <w:spacing w:val="-3"/>
              </w:rPr>
              <w:t xml:space="preserve"> </w:t>
            </w:r>
            <w:r w:rsidR="001C3855" w:rsidRPr="0033093B">
              <w:rPr>
                <w:rFonts w:cs="Arial"/>
                <w:b/>
                <w:bCs/>
                <w:spacing w:val="-3"/>
              </w:rPr>
              <w:t>Vyb</w:t>
            </w:r>
            <w:r w:rsidR="001C3855">
              <w:rPr>
                <w:rFonts w:cs="Arial"/>
                <w:b/>
                <w:bCs/>
                <w:spacing w:val="-3"/>
              </w:rPr>
              <w:t xml:space="preserve">rané výdaje státního rozpočtu </w:t>
            </w:r>
            <w:r w:rsidR="001C3855">
              <w:rPr>
                <w:rFonts w:cs="Arial"/>
                <w:bCs/>
                <w:spacing w:val="-3"/>
              </w:rPr>
              <w:t>(roční úhrn</w:t>
            </w:r>
            <w:r w:rsidR="001C3855" w:rsidRPr="008223D7">
              <w:rPr>
                <w:rFonts w:cs="Arial"/>
                <w:bCs/>
                <w:spacing w:val="-3"/>
              </w:rPr>
              <w:t>, v</w:t>
            </w:r>
            <w:r w:rsidR="001C3855" w:rsidRPr="0033093B">
              <w:rPr>
                <w:rFonts w:cs="Arial"/>
                <w:bCs/>
                <w:spacing w:val="-3"/>
              </w:rPr>
              <w:t xml:space="preserve"> mld. korun)</w:t>
            </w:r>
          </w:p>
        </w:tc>
      </w:tr>
      <w:tr w:rsidR="001C3855" w14:paraId="3BD6DF79" w14:textId="77777777" w:rsidTr="00C8019E">
        <w:tblPrEx>
          <w:tblCellMar>
            <w:left w:w="70" w:type="dxa"/>
            <w:right w:w="70" w:type="dxa"/>
          </w:tblCellMar>
        </w:tblPrEx>
        <w:trPr>
          <w:trHeight w:val="170"/>
        </w:trPr>
        <w:tc>
          <w:tcPr>
            <w:tcW w:w="1773" w:type="dxa"/>
            <w:vMerge/>
            <w:shd w:val="clear" w:color="auto" w:fill="auto"/>
          </w:tcPr>
          <w:p w14:paraId="3A4ABBAD" w14:textId="77777777" w:rsidR="001C3855" w:rsidRDefault="001C3855" w:rsidP="00C8019E">
            <w:pPr>
              <w:pStyle w:val="Marginlie"/>
            </w:pPr>
          </w:p>
        </w:tc>
        <w:tc>
          <w:tcPr>
            <w:tcW w:w="217" w:type="dxa"/>
            <w:vMerge/>
            <w:shd w:val="clear" w:color="auto" w:fill="auto"/>
          </w:tcPr>
          <w:p w14:paraId="600EA188" w14:textId="77777777" w:rsidR="001C3855" w:rsidRDefault="001C3855" w:rsidP="00C8019E">
            <w:pPr>
              <w:pStyle w:val="Textpoznpodarou"/>
              <w:jc w:val="both"/>
              <w:rPr>
                <w:spacing w:val="-4"/>
              </w:rPr>
            </w:pPr>
          </w:p>
        </w:tc>
        <w:tc>
          <w:tcPr>
            <w:tcW w:w="7679" w:type="dxa"/>
            <w:shd w:val="clear" w:color="auto" w:fill="auto"/>
          </w:tcPr>
          <w:p w14:paraId="2C57B566" w14:textId="77777777" w:rsidR="001C3855" w:rsidRPr="0067514E" w:rsidRDefault="001C3855" w:rsidP="00C8019E">
            <w:pPr>
              <w:spacing w:after="0"/>
              <w:rPr>
                <w:spacing w:val="-6"/>
              </w:rPr>
            </w:pPr>
            <w:r>
              <w:rPr>
                <w:noProof/>
              </w:rPr>
              <w:drawing>
                <wp:inline distT="0" distB="0" distL="0" distR="0" wp14:anchorId="41CB2163" wp14:editId="28CCB81F">
                  <wp:extent cx="4725035" cy="3182620"/>
                  <wp:effectExtent l="0" t="0" r="0" b="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1C3855" w:rsidRPr="00343AC1" w14:paraId="65C7AFE0" w14:textId="77777777" w:rsidTr="00C8019E">
        <w:trPr>
          <w:trHeight w:val="170"/>
        </w:trPr>
        <w:tc>
          <w:tcPr>
            <w:tcW w:w="1773" w:type="dxa"/>
            <w:vMerge/>
            <w:shd w:val="clear" w:color="auto" w:fill="auto"/>
            <w:tcMar>
              <w:left w:w="0" w:type="dxa"/>
            </w:tcMar>
          </w:tcPr>
          <w:p w14:paraId="3D48017E" w14:textId="77777777" w:rsidR="001C3855" w:rsidRDefault="001C3855" w:rsidP="00C8019E">
            <w:pPr>
              <w:pStyle w:val="Marginlie"/>
            </w:pPr>
          </w:p>
        </w:tc>
        <w:tc>
          <w:tcPr>
            <w:tcW w:w="217" w:type="dxa"/>
            <w:vMerge/>
            <w:shd w:val="clear" w:color="auto" w:fill="auto"/>
            <w:tcMar>
              <w:left w:w="0" w:type="dxa"/>
            </w:tcMar>
          </w:tcPr>
          <w:p w14:paraId="0E6E2521" w14:textId="77777777" w:rsidR="001C3855" w:rsidRDefault="001C3855" w:rsidP="00C8019E">
            <w:pPr>
              <w:pStyle w:val="Textpoznpodarou"/>
              <w:jc w:val="both"/>
              <w:rPr>
                <w:spacing w:val="-4"/>
              </w:rPr>
            </w:pPr>
          </w:p>
        </w:tc>
        <w:tc>
          <w:tcPr>
            <w:tcW w:w="7679" w:type="dxa"/>
            <w:shd w:val="clear" w:color="auto" w:fill="auto"/>
            <w:tcMar>
              <w:left w:w="0" w:type="dxa"/>
            </w:tcMar>
          </w:tcPr>
          <w:p w14:paraId="32931B1C" w14:textId="77777777" w:rsidR="001C3855" w:rsidRPr="008F2BE2" w:rsidRDefault="001C3855" w:rsidP="00C8019E">
            <w:pPr>
              <w:pStyle w:val="Textpoznpodarou"/>
              <w:rPr>
                <w:spacing w:val="-4"/>
                <w:sz w:val="14"/>
                <w:szCs w:val="14"/>
              </w:rPr>
            </w:pPr>
            <w:r w:rsidRPr="008F2BE2">
              <w:rPr>
                <w:spacing w:val="-4"/>
                <w:sz w:val="14"/>
                <w:szCs w:val="14"/>
              </w:rPr>
              <w:t>*Pokrývají výdaje na platy v organizačních složkách státu. Nezahrnují například mzdové výdaje na regionální školství.</w:t>
            </w:r>
          </w:p>
          <w:p w14:paraId="5083DCE2" w14:textId="77777777" w:rsidR="001C3855" w:rsidRPr="008F2BE2" w:rsidRDefault="001C3855" w:rsidP="00C8019E">
            <w:pPr>
              <w:pStyle w:val="Textpoznpodarou"/>
              <w:rPr>
                <w:spacing w:val="-4"/>
                <w:sz w:val="14"/>
                <w:szCs w:val="14"/>
              </w:rPr>
            </w:pPr>
            <w:r w:rsidRPr="008F2BE2">
              <w:rPr>
                <w:spacing w:val="-4"/>
                <w:sz w:val="14"/>
                <w:szCs w:val="14"/>
              </w:rPr>
              <w:t>**Zahrnuje i dávky pěstounské péče.</w:t>
            </w:r>
            <w:r>
              <w:rPr>
                <w:spacing w:val="-4"/>
                <w:sz w:val="14"/>
                <w:szCs w:val="14"/>
              </w:rPr>
              <w:t xml:space="preserve">   *</w:t>
            </w:r>
            <w:r w:rsidRPr="008F2BE2">
              <w:rPr>
                <w:spacing w:val="-4"/>
                <w:sz w:val="14"/>
                <w:szCs w:val="14"/>
              </w:rPr>
              <w:t>**Zahrnují dávky pomoci v hmotné nouzi, dávky osobám se zdravotním postižením, příspěvek na péči dle zákona o soc. službách.</w:t>
            </w:r>
            <w:r>
              <w:rPr>
                <w:spacing w:val="-4"/>
                <w:sz w:val="14"/>
                <w:szCs w:val="14"/>
              </w:rPr>
              <w:t xml:space="preserve"> Jsou zde obsaženy i dávky </w:t>
            </w:r>
            <w:r w:rsidRPr="00FB6649">
              <w:rPr>
                <w:spacing w:val="-4"/>
                <w:sz w:val="14"/>
                <w:szCs w:val="14"/>
              </w:rPr>
              <w:t>humanitární pomoc</w:t>
            </w:r>
            <w:r>
              <w:rPr>
                <w:spacing w:val="-4"/>
                <w:sz w:val="14"/>
                <w:szCs w:val="14"/>
              </w:rPr>
              <w:t>i poskytnuté občanům Ukrajiny.</w:t>
            </w:r>
          </w:p>
          <w:p w14:paraId="6DBDB087" w14:textId="77777777" w:rsidR="001C3855" w:rsidRDefault="001C3855" w:rsidP="00C8019E">
            <w:pPr>
              <w:pStyle w:val="Textpoznpodarou"/>
              <w:rPr>
                <w:spacing w:val="-4"/>
                <w:sz w:val="14"/>
                <w:szCs w:val="14"/>
              </w:rPr>
            </w:pPr>
            <w:r w:rsidRPr="008F2BE2">
              <w:rPr>
                <w:spacing w:val="-4"/>
                <w:sz w:val="14"/>
                <w:szCs w:val="14"/>
              </w:rPr>
              <w:t>****Obsahují zejména výdaje na nákup služeb, materiálu, energií či ostatních služeb (například výdaje na opravy a udržování).</w:t>
            </w:r>
          </w:p>
          <w:p w14:paraId="212A1080" w14:textId="77777777" w:rsidR="001C3855" w:rsidRPr="00D94406" w:rsidRDefault="001C3855" w:rsidP="00C8019E">
            <w:pPr>
              <w:pStyle w:val="Textpoznpodarou"/>
              <w:spacing w:after="160"/>
              <w:rPr>
                <w:sz w:val="16"/>
                <w:szCs w:val="16"/>
              </w:rPr>
            </w:pPr>
            <w:r>
              <w:rPr>
                <w:spacing w:val="-4"/>
                <w:sz w:val="14"/>
                <w:szCs w:val="14"/>
              </w:rPr>
              <w:t xml:space="preserve">*****Vyjadřuje saldo </w:t>
            </w:r>
            <w:r w:rsidRPr="00DB31A1">
              <w:rPr>
                <w:spacing w:val="-4"/>
                <w:sz w:val="14"/>
                <w:szCs w:val="14"/>
              </w:rPr>
              <w:t>rozpočtové kapitoly Státní dluh.</w:t>
            </w:r>
            <w:r>
              <w:rPr>
                <w:spacing w:val="-4"/>
                <w:sz w:val="14"/>
                <w:szCs w:val="14"/>
              </w:rPr>
              <w:t xml:space="preserve">                                                                                                 </w:t>
            </w:r>
            <w:r w:rsidRPr="000F45E7">
              <w:rPr>
                <w:spacing w:val="-4"/>
                <w:sz w:val="14"/>
                <w:szCs w:val="14"/>
              </w:rPr>
              <w:t>Zdroj: MF ČR, MPSV</w:t>
            </w:r>
          </w:p>
        </w:tc>
      </w:tr>
    </w:tbl>
    <w:p w14:paraId="38B3191D" w14:textId="77777777" w:rsidR="001C3855" w:rsidRDefault="001C3855" w:rsidP="001C3855">
      <w:pPr>
        <w:pStyle w:val="Nadpis11"/>
        <w:rPr>
          <w:b w:val="0"/>
          <w:sz w:val="2"/>
          <w:szCs w:val="2"/>
        </w:rPr>
      </w:pPr>
    </w:p>
    <w:tbl>
      <w:tblPr>
        <w:tblW w:w="9669" w:type="dxa"/>
        <w:tblInd w:w="-20" w:type="dxa"/>
        <w:tblCellMar>
          <w:left w:w="0" w:type="dxa"/>
          <w:right w:w="0" w:type="dxa"/>
        </w:tblCellMar>
        <w:tblLook w:val="00A0" w:firstRow="1" w:lastRow="0" w:firstColumn="1" w:lastColumn="0" w:noHBand="0" w:noVBand="0"/>
      </w:tblPr>
      <w:tblGrid>
        <w:gridCol w:w="1780"/>
        <w:gridCol w:w="219"/>
        <w:gridCol w:w="7670"/>
      </w:tblGrid>
      <w:tr w:rsidR="001C3855" w:rsidRPr="004B2C92" w14:paraId="44AC0012" w14:textId="77777777" w:rsidTr="00C8019E">
        <w:trPr>
          <w:trHeight w:val="145"/>
        </w:trPr>
        <w:tc>
          <w:tcPr>
            <w:tcW w:w="1780" w:type="dxa"/>
            <w:shd w:val="clear" w:color="auto" w:fill="auto"/>
            <w:tcMar>
              <w:left w:w="0" w:type="dxa"/>
            </w:tcMar>
          </w:tcPr>
          <w:p w14:paraId="49D74739" w14:textId="77777777" w:rsidR="001C3855" w:rsidRDefault="001C3855" w:rsidP="00C8019E">
            <w:pPr>
              <w:pStyle w:val="Marginlie"/>
              <w:rPr>
                <w:spacing w:val="-4"/>
              </w:rPr>
            </w:pPr>
            <w:r>
              <w:t xml:space="preserve">Rozpočtově očekávaný propad běžných transferů podnikatelům souvisel s útlumem záchranných programů za pandemie. V druhé půli roku byl ale tlumen výdaji na energetický tarif. </w:t>
            </w:r>
          </w:p>
        </w:tc>
        <w:tc>
          <w:tcPr>
            <w:tcW w:w="219" w:type="dxa"/>
            <w:shd w:val="clear" w:color="auto" w:fill="auto"/>
            <w:tcMar>
              <w:left w:w="0" w:type="dxa"/>
            </w:tcMar>
          </w:tcPr>
          <w:p w14:paraId="62D43FCE" w14:textId="77777777" w:rsidR="001C3855" w:rsidRDefault="001C3855" w:rsidP="00C8019E">
            <w:pPr>
              <w:pStyle w:val="Textpoznpodarou"/>
              <w:jc w:val="both"/>
              <w:rPr>
                <w:spacing w:val="-4"/>
              </w:rPr>
            </w:pPr>
          </w:p>
        </w:tc>
        <w:tc>
          <w:tcPr>
            <w:tcW w:w="7670" w:type="dxa"/>
            <w:shd w:val="clear" w:color="auto" w:fill="auto"/>
            <w:tcMar>
              <w:left w:w="0" w:type="dxa"/>
            </w:tcMar>
          </w:tcPr>
          <w:p w14:paraId="03A0A379" w14:textId="77777777" w:rsidR="001C3855" w:rsidRDefault="001C3855" w:rsidP="00C8019E">
            <w:pPr>
              <w:rPr>
                <w:color w:val="0D0D0D" w:themeColor="text1" w:themeTint="F2"/>
                <w:spacing w:val="-4"/>
              </w:rPr>
            </w:pPr>
            <w:r w:rsidRPr="000A2A31">
              <w:rPr>
                <w:color w:val="0D0D0D" w:themeColor="text1" w:themeTint="F2"/>
                <w:spacing w:val="-5"/>
              </w:rPr>
              <w:t xml:space="preserve">Ve směru poklesu běžných výdajů dle očekávání </w:t>
            </w:r>
            <w:r w:rsidRPr="00D94406">
              <w:rPr>
                <w:color w:val="0D0D0D" w:themeColor="text1" w:themeTint="F2"/>
                <w:spacing w:val="-5"/>
              </w:rPr>
              <w:t>výrazně působily neinvestiční transfery podnikatelům, jež</w:t>
            </w:r>
            <w:r>
              <w:rPr>
                <w:color w:val="0D0D0D" w:themeColor="text1" w:themeTint="F2"/>
                <w:spacing w:val="-5"/>
              </w:rPr>
              <w:t xml:space="preserve"> meziročně propadly o 28,8 %, resp. 36,1</w:t>
            </w:r>
            <w:r w:rsidRPr="00D94406">
              <w:rPr>
                <w:color w:val="0D0D0D" w:themeColor="text1" w:themeTint="F2"/>
                <w:spacing w:val="-5"/>
              </w:rPr>
              <w:t xml:space="preserve"> mld. korun. Projevil se zde zásadní útlum záchranných programů pro podniky zasažené </w:t>
            </w:r>
            <w:r>
              <w:rPr>
                <w:color w:val="0D0D0D" w:themeColor="text1" w:themeTint="F2"/>
                <w:spacing w:val="-5"/>
              </w:rPr>
              <w:t>dopady pandemie (o 60 mld. korun), dílčí vliv měly také nižší zálohové dotace</w:t>
            </w:r>
            <w:r w:rsidRPr="00D94406">
              <w:rPr>
                <w:color w:val="0D0D0D" w:themeColor="text1" w:themeTint="F2"/>
                <w:spacing w:val="-5"/>
              </w:rPr>
              <w:t xml:space="preserve"> na obnovitelné z</w:t>
            </w:r>
            <w:r>
              <w:rPr>
                <w:color w:val="0D0D0D" w:themeColor="text1" w:themeTint="F2"/>
                <w:spacing w:val="-5"/>
              </w:rPr>
              <w:t>droje energie</w:t>
            </w:r>
            <w:r w:rsidRPr="00D94406">
              <w:rPr>
                <w:color w:val="0D0D0D" w:themeColor="text1" w:themeTint="F2"/>
                <w:spacing w:val="-5"/>
              </w:rPr>
              <w:t xml:space="preserve">. Opačně působily </w:t>
            </w:r>
            <w:r>
              <w:rPr>
                <w:color w:val="0D0D0D" w:themeColor="text1" w:themeTint="F2"/>
                <w:spacing w:val="-5"/>
              </w:rPr>
              <w:t xml:space="preserve">zejména </w:t>
            </w:r>
            <w:r w:rsidRPr="00D94406">
              <w:rPr>
                <w:color w:val="0D0D0D" w:themeColor="text1" w:themeTint="F2"/>
                <w:spacing w:val="-5"/>
              </w:rPr>
              <w:t>nové dotace na úspory energie (tzv. energetický tarif sloužící jako pomoc domácnostem) vyplacené</w:t>
            </w:r>
            <w:r>
              <w:rPr>
                <w:color w:val="0D0D0D" w:themeColor="text1" w:themeTint="F2"/>
                <w:spacing w:val="-5"/>
              </w:rPr>
              <w:t xml:space="preserve"> letos v září (17,4 mld. korun) a v menší míře také </w:t>
            </w:r>
            <w:r w:rsidRPr="000A2A31">
              <w:rPr>
                <w:color w:val="0D0D0D" w:themeColor="text1" w:themeTint="F2"/>
                <w:spacing w:val="-5"/>
              </w:rPr>
              <w:t>odpuštění poplatku za obnovitelné zdroje energie</w:t>
            </w:r>
            <w:r>
              <w:rPr>
                <w:color w:val="0D0D0D" w:themeColor="text1" w:themeTint="F2"/>
                <w:spacing w:val="-5"/>
              </w:rPr>
              <w:t>. Snížení dotací příspěvkovým organizacím (</w:t>
            </w:r>
            <w:r w:rsidRPr="00D94406">
              <w:rPr>
                <w:color w:val="0D0D0D" w:themeColor="text1" w:themeTint="F2"/>
                <w:spacing w:val="-5"/>
              </w:rPr>
              <w:t>−</w:t>
            </w:r>
            <w:r>
              <w:rPr>
                <w:color w:val="0D0D0D" w:themeColor="text1" w:themeTint="F2"/>
                <w:spacing w:val="-5"/>
              </w:rPr>
              <w:t>4,3</w:t>
            </w:r>
            <w:r w:rsidRPr="00D94406">
              <w:rPr>
                <w:color w:val="0D0D0D" w:themeColor="text1" w:themeTint="F2"/>
                <w:spacing w:val="-5"/>
              </w:rPr>
              <w:t xml:space="preserve"> %) </w:t>
            </w:r>
            <w:r>
              <w:rPr>
                <w:color w:val="0D0D0D" w:themeColor="text1" w:themeTint="F2"/>
                <w:spacing w:val="-5"/>
              </w:rPr>
              <w:t>je úzce spojeno s</w:t>
            </w:r>
            <w:r w:rsidRPr="00D94406">
              <w:rPr>
                <w:color w:val="0D0D0D" w:themeColor="text1" w:themeTint="F2"/>
                <w:spacing w:val="-5"/>
              </w:rPr>
              <w:t xml:space="preserve"> vyšší </w:t>
            </w:r>
            <w:r>
              <w:rPr>
                <w:color w:val="0D0D0D" w:themeColor="text1" w:themeTint="F2"/>
                <w:spacing w:val="-5"/>
              </w:rPr>
              <w:t>před</w:t>
            </w:r>
            <w:r w:rsidRPr="00D94406">
              <w:rPr>
                <w:color w:val="0D0D0D" w:themeColor="text1" w:themeTint="F2"/>
                <w:spacing w:val="-5"/>
              </w:rPr>
              <w:t xml:space="preserve">loňskou základnou ovlivněnou výplatou mimořádných odměn </w:t>
            </w:r>
            <w:r w:rsidRPr="00D94406">
              <w:rPr>
                <w:color w:val="0D0D0D" w:themeColor="text1" w:themeTint="F2"/>
                <w:spacing w:val="-5"/>
              </w:rPr>
              <w:lastRenderedPageBreak/>
              <w:t>zdravotníkům. S ústupem pandemie souvisel rovněž pokles d</w:t>
            </w:r>
            <w:r>
              <w:rPr>
                <w:color w:val="0D0D0D" w:themeColor="text1" w:themeTint="F2"/>
                <w:spacing w:val="-5"/>
              </w:rPr>
              <w:t>otací neziskovým organizacím (</w:t>
            </w:r>
            <w:r w:rsidRPr="00D94406">
              <w:rPr>
                <w:color w:val="0D0D0D" w:themeColor="text1" w:themeTint="F2"/>
                <w:spacing w:val="-5"/>
              </w:rPr>
              <w:t>−</w:t>
            </w:r>
            <w:r>
              <w:rPr>
                <w:color w:val="0D0D0D" w:themeColor="text1" w:themeTint="F2"/>
                <w:spacing w:val="-5"/>
              </w:rPr>
              <w:t>11,9 %), hlavně</w:t>
            </w:r>
            <w:r w:rsidRPr="00D94406">
              <w:rPr>
                <w:color w:val="0D0D0D" w:themeColor="text1" w:themeTint="F2"/>
                <w:spacing w:val="-5"/>
              </w:rPr>
              <w:t xml:space="preserve"> v oblasti školství a sportu.</w:t>
            </w:r>
            <w:r>
              <w:rPr>
                <w:color w:val="0D0D0D" w:themeColor="text1" w:themeTint="F2"/>
                <w:spacing w:val="-5"/>
              </w:rPr>
              <w:t xml:space="preserve"> Růst dlouhodobě rostoucích </w:t>
            </w:r>
            <w:r>
              <w:rPr>
                <w:spacing w:val="-5"/>
              </w:rPr>
              <w:t>povinných odvodů ČR do rozpočtu EU se loni zastavil (</w:t>
            </w:r>
            <w:r w:rsidRPr="00D94406">
              <w:rPr>
                <w:color w:val="0D0D0D" w:themeColor="text1" w:themeTint="F2"/>
                <w:spacing w:val="-5"/>
              </w:rPr>
              <w:t>−</w:t>
            </w:r>
            <w:r>
              <w:rPr>
                <w:color w:val="0D0D0D" w:themeColor="text1" w:themeTint="F2"/>
                <w:spacing w:val="-5"/>
              </w:rPr>
              <w:t>1,8</w:t>
            </w:r>
            <w:r w:rsidRPr="00D94406">
              <w:rPr>
                <w:color w:val="0D0D0D" w:themeColor="text1" w:themeTint="F2"/>
                <w:spacing w:val="-5"/>
              </w:rPr>
              <w:t xml:space="preserve"> %)</w:t>
            </w:r>
            <w:r>
              <w:rPr>
                <w:color w:val="0D0D0D" w:themeColor="text1" w:themeTint="F2"/>
                <w:spacing w:val="-5"/>
              </w:rPr>
              <w:t>, a to poprvé od roku 2017. Váhově významné výdaje na platy v organizačních složkách státu druhým rokem v řadě fakticky stagnovaly.</w:t>
            </w:r>
          </w:p>
        </w:tc>
      </w:tr>
      <w:tr w:rsidR="001C3855" w:rsidRPr="004B2C92" w14:paraId="51804E6F" w14:textId="77777777" w:rsidTr="00C8019E">
        <w:trPr>
          <w:trHeight w:val="145"/>
        </w:trPr>
        <w:tc>
          <w:tcPr>
            <w:tcW w:w="1780" w:type="dxa"/>
            <w:shd w:val="clear" w:color="auto" w:fill="auto"/>
            <w:tcMar>
              <w:left w:w="0" w:type="dxa"/>
            </w:tcMar>
          </w:tcPr>
          <w:p w14:paraId="158B8556" w14:textId="77777777" w:rsidR="001C3855" w:rsidRDefault="001C3855" w:rsidP="00C8019E">
            <w:pPr>
              <w:pStyle w:val="Marginlie"/>
              <w:rPr>
                <w:spacing w:val="-4"/>
              </w:rPr>
            </w:pPr>
            <w:r>
              <w:rPr>
                <w:spacing w:val="-4"/>
              </w:rPr>
              <w:lastRenderedPageBreak/>
              <w:t>Mírný růst investic odrážel vyšší výdaje</w:t>
            </w:r>
            <w:r w:rsidRPr="00915669">
              <w:rPr>
                <w:spacing w:val="-4"/>
              </w:rPr>
              <w:t xml:space="preserve"> </w:t>
            </w:r>
            <w:r>
              <w:rPr>
                <w:spacing w:val="-4"/>
              </w:rPr>
              <w:t>na dopravní infrastrukturu</w:t>
            </w:r>
            <w:r w:rsidRPr="00915669">
              <w:rPr>
                <w:spacing w:val="-4"/>
              </w:rPr>
              <w:t xml:space="preserve"> </w:t>
            </w:r>
            <w:r>
              <w:rPr>
                <w:spacing w:val="-4"/>
              </w:rPr>
              <w:t>i</w:t>
            </w:r>
            <w:r w:rsidRPr="00915669">
              <w:rPr>
                <w:spacing w:val="-4"/>
              </w:rPr>
              <w:t xml:space="preserve"> životní prostředí. </w:t>
            </w:r>
            <w:r>
              <w:rPr>
                <w:spacing w:val="-4"/>
              </w:rPr>
              <w:t>Přispěly k němu investice na společné projekty</w:t>
            </w:r>
            <w:r w:rsidRPr="00915669">
              <w:rPr>
                <w:spacing w:val="-4"/>
              </w:rPr>
              <w:t xml:space="preserve"> ČR a EU.</w:t>
            </w:r>
          </w:p>
        </w:tc>
        <w:tc>
          <w:tcPr>
            <w:tcW w:w="219" w:type="dxa"/>
            <w:shd w:val="clear" w:color="auto" w:fill="auto"/>
            <w:tcMar>
              <w:left w:w="0" w:type="dxa"/>
            </w:tcMar>
          </w:tcPr>
          <w:p w14:paraId="24870312" w14:textId="77777777" w:rsidR="001C3855" w:rsidRDefault="001C3855" w:rsidP="00C8019E">
            <w:pPr>
              <w:pStyle w:val="Textpoznpodarou"/>
              <w:jc w:val="both"/>
              <w:rPr>
                <w:spacing w:val="-4"/>
              </w:rPr>
            </w:pPr>
          </w:p>
        </w:tc>
        <w:tc>
          <w:tcPr>
            <w:tcW w:w="7670" w:type="dxa"/>
            <w:shd w:val="clear" w:color="auto" w:fill="auto"/>
            <w:tcMar>
              <w:left w:w="0" w:type="dxa"/>
            </w:tcMar>
          </w:tcPr>
          <w:p w14:paraId="6A8D804F" w14:textId="77777777" w:rsidR="001C3855" w:rsidRDefault="001C3855" w:rsidP="00C8019E">
            <w:pPr>
              <w:spacing w:after="200"/>
              <w:rPr>
                <w:color w:val="0D0D0D" w:themeColor="text1" w:themeTint="F2"/>
                <w:spacing w:val="-4"/>
              </w:rPr>
            </w:pPr>
            <w:r w:rsidRPr="00A549D3">
              <w:rPr>
                <w:color w:val="0D0D0D" w:themeColor="text1" w:themeTint="F2"/>
                <w:spacing w:val="-4"/>
              </w:rPr>
              <w:t>Kapitálové výdaje SR</w:t>
            </w:r>
            <w:r>
              <w:rPr>
                <w:color w:val="0D0D0D" w:themeColor="text1" w:themeTint="F2"/>
                <w:spacing w:val="-4"/>
              </w:rPr>
              <w:t xml:space="preserve"> se díky výraznému zrychlení čerpání v samém závěru loňského roku</w:t>
            </w:r>
            <w:r>
              <w:rPr>
                <w:rStyle w:val="Znakapoznpodarou"/>
                <w:color w:val="0D0D0D" w:themeColor="text1" w:themeTint="F2"/>
                <w:spacing w:val="-4"/>
              </w:rPr>
              <w:footnoteReference w:id="18"/>
            </w:r>
            <w:r>
              <w:rPr>
                <w:color w:val="0D0D0D" w:themeColor="text1" w:themeTint="F2"/>
                <w:spacing w:val="-4"/>
              </w:rPr>
              <w:t xml:space="preserve"> meziročně navýšily o 5,5 % a dosáhly rekordních 186,9 mld. korun. I tak ale o více než desetinu zaostaly za rozpočtovým očekáváním (dále mírně sníženým novelizovaným rozpočtem). Bezmála polovina prostředků směřovala loni státním fondům, </w:t>
            </w:r>
            <w:r w:rsidRPr="001B70C7">
              <w:rPr>
                <w:color w:val="0D0D0D" w:themeColor="text1" w:themeTint="F2"/>
                <w:spacing w:val="-4"/>
              </w:rPr>
              <w:t>zejména Fon</w:t>
            </w:r>
            <w:r>
              <w:rPr>
                <w:color w:val="0D0D0D" w:themeColor="text1" w:themeTint="F2"/>
                <w:spacing w:val="-4"/>
              </w:rPr>
              <w:t xml:space="preserve">du dopravní infrastruktury </w:t>
            </w:r>
            <w:r>
              <w:rPr>
                <w:color w:val="0D0D0D" w:themeColor="text1" w:themeTint="F2"/>
                <w:spacing w:val="-4"/>
                <w:lang w:val="en-US"/>
              </w:rPr>
              <w:t>(</w:t>
            </w:r>
            <w:r w:rsidRPr="001A050C">
              <w:rPr>
                <w:color w:val="0D0D0D" w:themeColor="text1" w:themeTint="F2"/>
                <w:spacing w:val="-4"/>
              </w:rPr>
              <w:t>meziročně o 11,7 mld. korun více) a Státnímu fondu životního prostředí (+8,0 mld. Kč, především na realizaci programu Nová zelená úsporám financovaného z prostředků Národního plánu obnovy).</w:t>
            </w:r>
            <w:r>
              <w:rPr>
                <w:rFonts w:cs="Arial"/>
                <w:color w:val="000000"/>
                <w:sz w:val="18"/>
                <w:szCs w:val="18"/>
              </w:rPr>
              <w:t> </w:t>
            </w:r>
            <w:r>
              <w:rPr>
                <w:color w:val="0D0D0D" w:themeColor="text1" w:themeTint="F2"/>
                <w:spacing w:val="-4"/>
              </w:rPr>
              <w:t xml:space="preserve">Mírně </w:t>
            </w:r>
            <w:r w:rsidRPr="001B70C7">
              <w:rPr>
                <w:color w:val="0D0D0D" w:themeColor="text1" w:themeTint="F2"/>
                <w:spacing w:val="-4"/>
              </w:rPr>
              <w:t xml:space="preserve">vzrostly i </w:t>
            </w:r>
            <w:r>
              <w:rPr>
                <w:color w:val="0D0D0D" w:themeColor="text1" w:themeTint="F2"/>
                <w:spacing w:val="-4"/>
              </w:rPr>
              <w:t>i</w:t>
            </w:r>
            <w:r w:rsidRPr="0024098E">
              <w:rPr>
                <w:color w:val="0D0D0D" w:themeColor="text1" w:themeTint="F2"/>
                <w:spacing w:val="-4"/>
              </w:rPr>
              <w:t>nvestiční transfery podnikatelům</w:t>
            </w:r>
            <w:r>
              <w:rPr>
                <w:color w:val="0D0D0D" w:themeColor="text1" w:themeTint="F2"/>
                <w:spacing w:val="-4"/>
              </w:rPr>
              <w:t xml:space="preserve">. Z </w:t>
            </w:r>
            <w:r w:rsidRPr="001B70C7">
              <w:rPr>
                <w:color w:val="0D0D0D" w:themeColor="text1" w:themeTint="F2"/>
                <w:spacing w:val="-4"/>
              </w:rPr>
              <w:t>hlediska zdroje fina</w:t>
            </w:r>
            <w:r>
              <w:rPr>
                <w:color w:val="0D0D0D" w:themeColor="text1" w:themeTint="F2"/>
                <w:spacing w:val="-4"/>
              </w:rPr>
              <w:t>ncování přispěly k růstu</w:t>
            </w:r>
            <w:r w:rsidRPr="001B70C7">
              <w:rPr>
                <w:color w:val="0D0D0D" w:themeColor="text1" w:themeTint="F2"/>
                <w:spacing w:val="-4"/>
              </w:rPr>
              <w:t xml:space="preserve"> investice na společné</w:t>
            </w:r>
            <w:r>
              <w:rPr>
                <w:color w:val="0D0D0D" w:themeColor="text1" w:themeTint="F2"/>
                <w:spacing w:val="-4"/>
              </w:rPr>
              <w:t xml:space="preserve"> projekty ČR a EU (+19 mld. korun, na 9</w:t>
            </w:r>
            <w:r w:rsidRPr="001B70C7">
              <w:rPr>
                <w:color w:val="0D0D0D" w:themeColor="text1" w:themeTint="F2"/>
                <w:spacing w:val="-4"/>
              </w:rPr>
              <w:t>3 mld.)</w:t>
            </w:r>
            <w:r>
              <w:rPr>
                <w:color w:val="0D0D0D" w:themeColor="text1" w:themeTint="F2"/>
                <w:spacing w:val="-4"/>
              </w:rPr>
              <w:t xml:space="preserve">. Naproti tomu výdaje na </w:t>
            </w:r>
            <w:r w:rsidRPr="001B70C7">
              <w:rPr>
                <w:color w:val="0D0D0D" w:themeColor="text1" w:themeTint="F2"/>
                <w:spacing w:val="-4"/>
              </w:rPr>
              <w:t>projekt</w:t>
            </w:r>
            <w:r>
              <w:rPr>
                <w:color w:val="0D0D0D" w:themeColor="text1" w:themeTint="F2"/>
                <w:spacing w:val="-4"/>
              </w:rPr>
              <w:t xml:space="preserve">y z výhradně národních zdrojů meziročně skoro o desetinu poklesly. </w:t>
            </w:r>
            <w:r w:rsidRPr="001B70C7">
              <w:rPr>
                <w:color w:val="0D0D0D" w:themeColor="text1" w:themeTint="F2"/>
                <w:spacing w:val="-4"/>
              </w:rPr>
              <w:t xml:space="preserve">Celkové investice tvořily </w:t>
            </w:r>
            <w:r>
              <w:rPr>
                <w:color w:val="0D0D0D" w:themeColor="text1" w:themeTint="F2"/>
                <w:spacing w:val="-4"/>
              </w:rPr>
              <w:t>loni 9,4 % veškerých výdajů SR. To sice bylo nejvíce za posledních sedm let, ale od dlouhodobého průměru (za celé období od vstupu ČR od EU) se významně neodchylovalo.</w:t>
            </w:r>
          </w:p>
        </w:tc>
      </w:tr>
      <w:tr w:rsidR="001C3855" w:rsidRPr="00D52ED2" w14:paraId="58732197" w14:textId="77777777" w:rsidTr="00C8019E">
        <w:trPr>
          <w:trHeight w:val="145"/>
        </w:trPr>
        <w:tc>
          <w:tcPr>
            <w:tcW w:w="1780" w:type="dxa"/>
            <w:shd w:val="clear" w:color="auto" w:fill="auto"/>
            <w:tcMar>
              <w:left w:w="0" w:type="dxa"/>
            </w:tcMar>
          </w:tcPr>
          <w:p w14:paraId="424DDC34" w14:textId="77777777" w:rsidR="001C3855" w:rsidRPr="0058030F" w:rsidRDefault="001C3855" w:rsidP="00C8019E">
            <w:pPr>
              <w:pStyle w:val="Marginlie"/>
              <w:rPr>
                <w:spacing w:val="-4"/>
              </w:rPr>
            </w:pPr>
          </w:p>
        </w:tc>
        <w:tc>
          <w:tcPr>
            <w:tcW w:w="219" w:type="dxa"/>
            <w:shd w:val="clear" w:color="auto" w:fill="auto"/>
            <w:tcMar>
              <w:left w:w="0" w:type="dxa"/>
            </w:tcMar>
          </w:tcPr>
          <w:p w14:paraId="4005959A" w14:textId="77777777" w:rsidR="001C3855" w:rsidRDefault="001C3855" w:rsidP="00C8019E">
            <w:pPr>
              <w:pStyle w:val="Textpoznpodarou"/>
              <w:jc w:val="both"/>
              <w:rPr>
                <w:spacing w:val="-4"/>
              </w:rPr>
            </w:pPr>
          </w:p>
        </w:tc>
        <w:tc>
          <w:tcPr>
            <w:tcW w:w="7670" w:type="dxa"/>
            <w:shd w:val="clear" w:color="auto" w:fill="auto"/>
            <w:tcMar>
              <w:left w:w="0" w:type="dxa"/>
            </w:tcMar>
          </w:tcPr>
          <w:p w14:paraId="3148FF33" w14:textId="362F43EC" w:rsidR="001C3855" w:rsidRDefault="008F525A" w:rsidP="00C8019E">
            <w:pPr>
              <w:spacing w:after="0"/>
              <w:rPr>
                <w:color w:val="0D0D0D" w:themeColor="text1" w:themeTint="F2"/>
                <w:spacing w:val="-4"/>
              </w:rPr>
            </w:pPr>
            <w:r>
              <w:rPr>
                <w:b/>
                <w:spacing w:val="-3"/>
              </w:rPr>
              <w:t>Graf č. 20</w:t>
            </w:r>
            <w:r w:rsidR="001C3855" w:rsidRPr="0033093B">
              <w:rPr>
                <w:b/>
                <w:spacing w:val="-3"/>
              </w:rPr>
              <w:t xml:space="preserve"> </w:t>
            </w:r>
            <w:r w:rsidR="001C3855">
              <w:rPr>
                <w:rFonts w:cs="Arial"/>
                <w:b/>
                <w:bCs/>
                <w:spacing w:val="-3"/>
              </w:rPr>
              <w:t>Saldo hospodaření sektoru vládních ins</w:t>
            </w:r>
            <w:r>
              <w:rPr>
                <w:rFonts w:cs="Arial"/>
                <w:b/>
                <w:bCs/>
                <w:spacing w:val="-3"/>
              </w:rPr>
              <w:t xml:space="preserve">titucí ve vybraných státech EU </w:t>
            </w:r>
            <w:r w:rsidR="001C3855">
              <w:rPr>
                <w:rFonts w:cs="Arial"/>
                <w:bCs/>
                <w:spacing w:val="-3"/>
              </w:rPr>
              <w:t>(jednotlivá čtvrtletí, sezónně očištěno, v % HDP</w:t>
            </w:r>
            <w:r w:rsidR="001C3855" w:rsidRPr="0033093B">
              <w:rPr>
                <w:rFonts w:cs="Arial"/>
                <w:bCs/>
                <w:spacing w:val="-3"/>
              </w:rPr>
              <w:t>)</w:t>
            </w:r>
          </w:p>
        </w:tc>
      </w:tr>
      <w:tr w:rsidR="001C3855" w:rsidRPr="00D52ED2" w14:paraId="6761E48C" w14:textId="77777777" w:rsidTr="00C8019E">
        <w:tblPrEx>
          <w:tblCellMar>
            <w:left w:w="70" w:type="dxa"/>
            <w:right w:w="70" w:type="dxa"/>
          </w:tblCellMar>
        </w:tblPrEx>
        <w:trPr>
          <w:trHeight w:val="145"/>
        </w:trPr>
        <w:tc>
          <w:tcPr>
            <w:tcW w:w="1780" w:type="dxa"/>
            <w:shd w:val="clear" w:color="auto" w:fill="auto"/>
          </w:tcPr>
          <w:p w14:paraId="53DC846E" w14:textId="77777777" w:rsidR="001C3855" w:rsidRPr="0058030F" w:rsidRDefault="001C3855" w:rsidP="00C8019E">
            <w:pPr>
              <w:pStyle w:val="Marginlie"/>
              <w:rPr>
                <w:spacing w:val="-4"/>
              </w:rPr>
            </w:pPr>
          </w:p>
        </w:tc>
        <w:tc>
          <w:tcPr>
            <w:tcW w:w="219" w:type="dxa"/>
            <w:shd w:val="clear" w:color="auto" w:fill="auto"/>
          </w:tcPr>
          <w:p w14:paraId="4DD1635A" w14:textId="77777777" w:rsidR="001C3855" w:rsidRDefault="001C3855" w:rsidP="00C8019E">
            <w:pPr>
              <w:pStyle w:val="Textpoznpodarou"/>
              <w:jc w:val="both"/>
              <w:rPr>
                <w:spacing w:val="-4"/>
              </w:rPr>
            </w:pPr>
          </w:p>
        </w:tc>
        <w:tc>
          <w:tcPr>
            <w:tcW w:w="7670" w:type="dxa"/>
            <w:shd w:val="clear" w:color="auto" w:fill="auto"/>
          </w:tcPr>
          <w:p w14:paraId="74DD430B" w14:textId="77777777" w:rsidR="001C3855" w:rsidRDefault="001C3855" w:rsidP="00C8019E">
            <w:pPr>
              <w:spacing w:after="0"/>
              <w:rPr>
                <w:color w:val="0D0D0D" w:themeColor="text1" w:themeTint="F2"/>
                <w:spacing w:val="-4"/>
              </w:rPr>
            </w:pPr>
            <w:r>
              <w:rPr>
                <w:noProof/>
              </w:rPr>
              <w:drawing>
                <wp:inline distT="0" distB="0" distL="0" distR="0" wp14:anchorId="50C038FB" wp14:editId="7956C61A">
                  <wp:extent cx="4716000" cy="3224828"/>
                  <wp:effectExtent l="0" t="0" r="8890" b="1397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1C3855" w:rsidRPr="00D52ED2" w14:paraId="7DF76256" w14:textId="77777777" w:rsidTr="00C8019E">
        <w:trPr>
          <w:trHeight w:val="145"/>
        </w:trPr>
        <w:tc>
          <w:tcPr>
            <w:tcW w:w="1780" w:type="dxa"/>
            <w:shd w:val="clear" w:color="auto" w:fill="auto"/>
            <w:tcMar>
              <w:left w:w="0" w:type="dxa"/>
            </w:tcMar>
          </w:tcPr>
          <w:p w14:paraId="3189A9E6" w14:textId="77777777" w:rsidR="001C3855" w:rsidRPr="0058030F" w:rsidRDefault="001C3855" w:rsidP="00C8019E">
            <w:pPr>
              <w:pStyle w:val="Marginlie"/>
              <w:rPr>
                <w:spacing w:val="-4"/>
              </w:rPr>
            </w:pPr>
          </w:p>
        </w:tc>
        <w:tc>
          <w:tcPr>
            <w:tcW w:w="219" w:type="dxa"/>
            <w:shd w:val="clear" w:color="auto" w:fill="auto"/>
            <w:tcMar>
              <w:left w:w="0" w:type="dxa"/>
            </w:tcMar>
          </w:tcPr>
          <w:p w14:paraId="0947AAA2" w14:textId="77777777" w:rsidR="001C3855" w:rsidRDefault="001C3855" w:rsidP="00C8019E">
            <w:pPr>
              <w:pStyle w:val="Textpoznpodarou"/>
              <w:jc w:val="both"/>
              <w:rPr>
                <w:spacing w:val="-4"/>
              </w:rPr>
            </w:pPr>
          </w:p>
        </w:tc>
        <w:tc>
          <w:tcPr>
            <w:tcW w:w="7670" w:type="dxa"/>
            <w:shd w:val="clear" w:color="auto" w:fill="auto"/>
            <w:tcMar>
              <w:left w:w="0" w:type="dxa"/>
            </w:tcMar>
          </w:tcPr>
          <w:p w14:paraId="1D69C6AB" w14:textId="77777777" w:rsidR="001C3855" w:rsidRDefault="001C3855" w:rsidP="00C8019E">
            <w:pPr>
              <w:spacing w:after="220"/>
              <w:rPr>
                <w:color w:val="0D0D0D" w:themeColor="text1" w:themeTint="F2"/>
                <w:spacing w:val="-4"/>
              </w:rPr>
            </w:pPr>
            <w:r>
              <w:rPr>
                <w:spacing w:val="-4"/>
                <w:sz w:val="14"/>
                <w:szCs w:val="14"/>
              </w:rPr>
              <w:t xml:space="preserve">Zdroj: </w:t>
            </w:r>
            <w:proofErr w:type="spellStart"/>
            <w:r>
              <w:rPr>
                <w:spacing w:val="-4"/>
                <w:sz w:val="14"/>
                <w:szCs w:val="14"/>
              </w:rPr>
              <w:t>Eurostat</w:t>
            </w:r>
            <w:proofErr w:type="spellEnd"/>
          </w:p>
        </w:tc>
      </w:tr>
      <w:tr w:rsidR="001C3855" w14:paraId="185051B6" w14:textId="77777777" w:rsidTr="00C8019E">
        <w:trPr>
          <w:trHeight w:val="145"/>
        </w:trPr>
        <w:tc>
          <w:tcPr>
            <w:tcW w:w="1780" w:type="dxa"/>
            <w:shd w:val="clear" w:color="auto" w:fill="auto"/>
            <w:tcMar>
              <w:left w:w="0" w:type="dxa"/>
            </w:tcMar>
          </w:tcPr>
          <w:p w14:paraId="168483BE" w14:textId="77777777" w:rsidR="001C3855" w:rsidRDefault="001C3855" w:rsidP="00C8019E">
            <w:pPr>
              <w:pStyle w:val="Marginlie"/>
              <w:rPr>
                <w:spacing w:val="-4"/>
              </w:rPr>
            </w:pPr>
            <w:r>
              <w:rPr>
                <w:spacing w:val="-4"/>
              </w:rPr>
              <w:t xml:space="preserve">Výše státního dluhu vzrostla o více než </w:t>
            </w:r>
            <w:r>
              <w:rPr>
                <w:spacing w:val="-4"/>
              </w:rPr>
              <w:br/>
              <w:t xml:space="preserve">400 mld. korun třetím rokem v řadě. Loni se navýšila hodnota vnitřního i vnějšího dluhu. </w:t>
            </w:r>
          </w:p>
        </w:tc>
        <w:tc>
          <w:tcPr>
            <w:tcW w:w="219" w:type="dxa"/>
            <w:shd w:val="clear" w:color="auto" w:fill="auto"/>
            <w:tcMar>
              <w:left w:w="0" w:type="dxa"/>
            </w:tcMar>
          </w:tcPr>
          <w:p w14:paraId="74BEC54B" w14:textId="77777777" w:rsidR="001C3855" w:rsidRPr="000965B2" w:rsidRDefault="001C3855" w:rsidP="00C8019E">
            <w:pPr>
              <w:pStyle w:val="Textpoznpodarou"/>
              <w:jc w:val="both"/>
              <w:rPr>
                <w:rFonts w:eastAsia="Times New Roman"/>
                <w:color w:val="0D0D0D" w:themeColor="text1" w:themeTint="F2"/>
                <w:spacing w:val="-4"/>
                <w:szCs w:val="24"/>
              </w:rPr>
            </w:pPr>
          </w:p>
        </w:tc>
        <w:tc>
          <w:tcPr>
            <w:tcW w:w="7670" w:type="dxa"/>
            <w:shd w:val="clear" w:color="auto" w:fill="auto"/>
            <w:tcMar>
              <w:left w:w="0" w:type="dxa"/>
            </w:tcMar>
          </w:tcPr>
          <w:p w14:paraId="55A3D411" w14:textId="1865B8BC" w:rsidR="001C3855" w:rsidRDefault="001C3855" w:rsidP="00C8019E">
            <w:pPr>
              <w:spacing w:after="0"/>
              <w:rPr>
                <w:spacing w:val="-2"/>
              </w:rPr>
            </w:pPr>
            <w:r w:rsidRPr="00BE22C9">
              <w:rPr>
                <w:color w:val="0D0D0D" w:themeColor="text1" w:themeTint="F2"/>
                <w:spacing w:val="-2"/>
              </w:rPr>
              <w:t>Hluboký rozpočtový schodek se promítl do vysoké výpůjční potřeby státu</w:t>
            </w:r>
            <w:r w:rsidRPr="00BE22C9">
              <w:rPr>
                <w:spacing w:val="-2"/>
              </w:rPr>
              <w:t>. Státní dluh vystoupal na konci loňského prosince na 2 895 mld. korun, když za celý rok 2022 vzrostl o</w:t>
            </w:r>
            <w:r w:rsidRPr="00BE22C9">
              <w:rPr>
                <w:color w:val="0D0D0D" w:themeColor="text1" w:themeTint="F2"/>
                <w:spacing w:val="-2"/>
              </w:rPr>
              <w:t> rekordních 429 mld. (+</w:t>
            </w:r>
            <w:r w:rsidRPr="00BE22C9">
              <w:rPr>
                <w:spacing w:val="-2"/>
              </w:rPr>
              <w:t>17,4</w:t>
            </w:r>
            <w:r w:rsidRPr="00BE22C9">
              <w:rPr>
                <w:color w:val="0D0D0D" w:themeColor="text1" w:themeTint="F2"/>
                <w:spacing w:val="-2"/>
              </w:rPr>
              <w:t> </w:t>
            </w:r>
            <w:r w:rsidRPr="00BE22C9">
              <w:rPr>
                <w:spacing w:val="-2"/>
              </w:rPr>
              <w:t>%)</w:t>
            </w:r>
            <w:r w:rsidRPr="00BE22C9">
              <w:rPr>
                <w:rStyle w:val="Znakapoznpodarou"/>
                <w:spacing w:val="-2"/>
              </w:rPr>
              <w:footnoteReference w:id="19"/>
            </w:r>
            <w:r w:rsidRPr="00BE22C9">
              <w:rPr>
                <w:spacing w:val="-2"/>
              </w:rPr>
              <w:t xml:space="preserve">. Zásadně se na tom podílely emise středně </w:t>
            </w:r>
            <w:r>
              <w:rPr>
                <w:spacing w:val="-2"/>
              </w:rPr>
              <w:br/>
            </w:r>
            <w:r w:rsidRPr="00BE22C9">
              <w:rPr>
                <w:spacing w:val="-2"/>
              </w:rPr>
              <w:t>i dlouhodobých korunových dluhopisů (se splatností nad 1 rok) na domácím trhu, a to přesto, že nedosáhly intenzity z let 2020 ani 2021</w:t>
            </w:r>
            <w:r w:rsidRPr="00BE22C9">
              <w:rPr>
                <w:rStyle w:val="Znakapoznpodarou"/>
                <w:spacing w:val="-2"/>
              </w:rPr>
              <w:footnoteReference w:id="20"/>
            </w:r>
            <w:r w:rsidRPr="00BE22C9">
              <w:rPr>
                <w:spacing w:val="-2"/>
              </w:rPr>
              <w:t>. Stát si loni naopak vypůjčil podstatně více od domácností (emise dluhopisů na počátku roku dosáhla 43 mld. korun)</w:t>
            </w:r>
            <w:r w:rsidR="00741F2A">
              <w:rPr>
                <w:spacing w:val="-2"/>
              </w:rPr>
              <w:t xml:space="preserve"> </w:t>
            </w:r>
            <w:r w:rsidRPr="00BE22C9">
              <w:rPr>
                <w:spacing w:val="-2"/>
              </w:rPr>
              <w:lastRenderedPageBreak/>
              <w:t>a</w:t>
            </w:r>
            <w:r>
              <w:rPr>
                <w:spacing w:val="-2"/>
              </w:rPr>
              <w:t> </w:t>
            </w:r>
            <w:r w:rsidRPr="00BE22C9">
              <w:rPr>
                <w:spacing w:val="-2"/>
              </w:rPr>
              <w:t>intenzivněji rovněž využíval krátkodobých dluhových nástrojů (pokladničních poukázek i zápůjček na eurovém peněžním trhu). Proto také vzrostla druhým rokem v řadě i vnější zadluženost ČR (o více než 110</w:t>
            </w:r>
            <w:r w:rsidRPr="00BE22C9">
              <w:rPr>
                <w:color w:val="0D0D0D" w:themeColor="text1" w:themeTint="F2"/>
                <w:spacing w:val="-2"/>
              </w:rPr>
              <w:t> </w:t>
            </w:r>
            <w:r w:rsidRPr="00BE22C9">
              <w:rPr>
                <w:spacing w:val="-2"/>
              </w:rPr>
              <w:t xml:space="preserve">mld. korun) – na celkové výši státního dluhu se ovšem stále podílela méně než desetinou. </w:t>
            </w:r>
          </w:p>
          <w:p w14:paraId="090B79E7" w14:textId="77777777" w:rsidR="001C3855" w:rsidRPr="00BE22C9" w:rsidRDefault="001C3855" w:rsidP="00C8019E">
            <w:pPr>
              <w:spacing w:after="0"/>
              <w:rPr>
                <w:spacing w:val="-2"/>
              </w:rPr>
            </w:pPr>
          </w:p>
        </w:tc>
      </w:tr>
      <w:tr w:rsidR="001C3855" w14:paraId="3E69B797" w14:textId="77777777" w:rsidTr="00C8019E">
        <w:trPr>
          <w:trHeight w:val="145"/>
        </w:trPr>
        <w:tc>
          <w:tcPr>
            <w:tcW w:w="1780" w:type="dxa"/>
            <w:shd w:val="clear" w:color="auto" w:fill="auto"/>
            <w:tcMar>
              <w:left w:w="0" w:type="dxa"/>
            </w:tcMar>
          </w:tcPr>
          <w:p w14:paraId="5C5B6ED5" w14:textId="77777777" w:rsidR="001C3855" w:rsidRDefault="001C3855" w:rsidP="00C8019E">
            <w:pPr>
              <w:pStyle w:val="Marginlie"/>
              <w:rPr>
                <w:spacing w:val="-4"/>
              </w:rPr>
            </w:pPr>
            <w:r>
              <w:rPr>
                <w:spacing w:val="-4"/>
              </w:rPr>
              <w:lastRenderedPageBreak/>
              <w:t>S</w:t>
            </w:r>
            <w:r w:rsidRPr="0058030F">
              <w:rPr>
                <w:spacing w:val="-4"/>
              </w:rPr>
              <w:t>chodek hospodaření sektoru vládních institucí</w:t>
            </w:r>
            <w:r>
              <w:rPr>
                <w:spacing w:val="-4"/>
              </w:rPr>
              <w:t xml:space="preserve"> v ČR se za tři čtvrtletí meziročně snížil o třetinu.</w:t>
            </w:r>
          </w:p>
          <w:p w14:paraId="3AB7D8AA" w14:textId="77777777" w:rsidR="001C3855" w:rsidRDefault="001C3855" w:rsidP="00C8019E">
            <w:pPr>
              <w:pStyle w:val="Marginlie"/>
              <w:rPr>
                <w:spacing w:val="-4"/>
              </w:rPr>
            </w:pPr>
          </w:p>
          <w:p w14:paraId="39FFD231" w14:textId="77777777" w:rsidR="001C3855" w:rsidRPr="0058030F" w:rsidRDefault="001C3855" w:rsidP="00C8019E">
            <w:pPr>
              <w:pStyle w:val="Marginlie"/>
              <w:rPr>
                <w:spacing w:val="-4"/>
              </w:rPr>
            </w:pPr>
          </w:p>
          <w:p w14:paraId="262F72E0" w14:textId="77777777" w:rsidR="001C3855" w:rsidRPr="0058030F" w:rsidRDefault="001C3855" w:rsidP="00C8019E">
            <w:pPr>
              <w:pStyle w:val="Marginlie"/>
              <w:rPr>
                <w:spacing w:val="-4"/>
              </w:rPr>
            </w:pPr>
          </w:p>
          <w:p w14:paraId="0556C363" w14:textId="77777777" w:rsidR="001C3855" w:rsidRPr="0058030F" w:rsidRDefault="001C3855" w:rsidP="00C8019E">
            <w:pPr>
              <w:pStyle w:val="Marginlie"/>
              <w:rPr>
                <w:spacing w:val="-4"/>
              </w:rPr>
            </w:pPr>
          </w:p>
          <w:p w14:paraId="6C924F6E" w14:textId="77777777" w:rsidR="001C3855" w:rsidRDefault="001C3855" w:rsidP="00C8019E">
            <w:pPr>
              <w:pStyle w:val="Marginlie"/>
              <w:rPr>
                <w:spacing w:val="-4"/>
              </w:rPr>
            </w:pPr>
            <w:r>
              <w:rPr>
                <w:spacing w:val="-4"/>
              </w:rPr>
              <w:t xml:space="preserve">Jedním z dopadů nebývale vysokého růstu cen v ekonomice bylo </w:t>
            </w:r>
            <w:r>
              <w:rPr>
                <w:spacing w:val="-4"/>
              </w:rPr>
              <w:br/>
              <w:t xml:space="preserve">i zrychlení dynamiky výdajů sektoru VI ve </w:t>
            </w:r>
            <w:r>
              <w:rPr>
                <w:spacing w:val="-4"/>
              </w:rPr>
              <w:br/>
              <w:t>3. čtvrtletí.</w:t>
            </w:r>
          </w:p>
          <w:p w14:paraId="43FE1E14" w14:textId="77777777" w:rsidR="001C3855" w:rsidRDefault="001C3855" w:rsidP="00C8019E">
            <w:pPr>
              <w:pStyle w:val="Marginlie"/>
              <w:rPr>
                <w:spacing w:val="-4"/>
              </w:rPr>
            </w:pPr>
          </w:p>
          <w:p w14:paraId="06D4CD7F" w14:textId="77777777" w:rsidR="001C3855" w:rsidRDefault="001C3855" w:rsidP="00C8019E">
            <w:pPr>
              <w:pStyle w:val="Marginlie"/>
              <w:rPr>
                <w:spacing w:val="-4"/>
              </w:rPr>
            </w:pPr>
          </w:p>
          <w:p w14:paraId="2CDC27A7" w14:textId="77777777" w:rsidR="001C3855" w:rsidRPr="0058030F" w:rsidRDefault="001C3855" w:rsidP="00C8019E">
            <w:pPr>
              <w:pStyle w:val="Marginlie"/>
              <w:rPr>
                <w:spacing w:val="-4"/>
              </w:rPr>
            </w:pPr>
          </w:p>
        </w:tc>
        <w:tc>
          <w:tcPr>
            <w:tcW w:w="219" w:type="dxa"/>
            <w:shd w:val="clear" w:color="auto" w:fill="auto"/>
            <w:tcMar>
              <w:left w:w="0" w:type="dxa"/>
            </w:tcMar>
          </w:tcPr>
          <w:p w14:paraId="14E9F315" w14:textId="77777777" w:rsidR="001C3855" w:rsidRDefault="001C3855" w:rsidP="00C8019E">
            <w:pPr>
              <w:pStyle w:val="Textpoznpodarou"/>
              <w:jc w:val="both"/>
              <w:rPr>
                <w:spacing w:val="-4"/>
              </w:rPr>
            </w:pPr>
          </w:p>
        </w:tc>
        <w:tc>
          <w:tcPr>
            <w:tcW w:w="7670" w:type="dxa"/>
            <w:shd w:val="clear" w:color="auto" w:fill="auto"/>
            <w:tcMar>
              <w:left w:w="0" w:type="dxa"/>
            </w:tcMar>
          </w:tcPr>
          <w:p w14:paraId="6E1F360E" w14:textId="77777777" w:rsidR="001C3855" w:rsidRPr="002D4E1A" w:rsidRDefault="001C3855" w:rsidP="00C8019E">
            <w:pPr>
              <w:spacing w:after="220"/>
              <w:rPr>
                <w:color w:val="0D0D0D" w:themeColor="text1" w:themeTint="F2"/>
                <w:spacing w:val="-3"/>
              </w:rPr>
            </w:pPr>
            <w:r>
              <w:rPr>
                <w:color w:val="0D0D0D" w:themeColor="text1" w:themeTint="F2"/>
                <w:spacing w:val="-3"/>
              </w:rPr>
              <w:t>Celý s</w:t>
            </w:r>
            <w:r w:rsidRPr="00006754">
              <w:rPr>
                <w:color w:val="0D0D0D" w:themeColor="text1" w:themeTint="F2"/>
                <w:spacing w:val="-3"/>
              </w:rPr>
              <w:t>ektor vládních institucí (V</w:t>
            </w:r>
            <w:r>
              <w:rPr>
                <w:color w:val="0D0D0D" w:themeColor="text1" w:themeTint="F2"/>
                <w:spacing w:val="-3"/>
              </w:rPr>
              <w:t>I) v ČR vykázal za 1. až 3. čtvrtletí</w:t>
            </w:r>
            <w:r w:rsidRPr="00006754">
              <w:rPr>
                <w:color w:val="0D0D0D" w:themeColor="text1" w:themeTint="F2"/>
                <w:spacing w:val="-3"/>
              </w:rPr>
              <w:t xml:space="preserve"> 2022</w:t>
            </w:r>
            <w:r w:rsidRPr="00006754">
              <w:rPr>
                <w:rStyle w:val="Znakapoznpodarou"/>
                <w:color w:val="0D0D0D" w:themeColor="text1" w:themeTint="F2"/>
                <w:spacing w:val="-3"/>
              </w:rPr>
              <w:footnoteReference w:id="21"/>
            </w:r>
            <w:r w:rsidRPr="00006754">
              <w:rPr>
                <w:color w:val="0D0D0D" w:themeColor="text1" w:themeTint="F2"/>
                <w:spacing w:val="-3"/>
                <w:vertAlign w:val="superscript"/>
              </w:rPr>
              <w:t xml:space="preserve"> </w:t>
            </w:r>
            <w:r>
              <w:rPr>
                <w:color w:val="0D0D0D" w:themeColor="text1" w:themeTint="F2"/>
                <w:spacing w:val="-3"/>
              </w:rPr>
              <w:t xml:space="preserve">schodek </w:t>
            </w:r>
            <w:r>
              <w:rPr>
                <w:color w:val="0D0D0D" w:themeColor="text1" w:themeTint="F2"/>
                <w:spacing w:val="-3"/>
              </w:rPr>
              <w:br/>
              <w:t>145</w:t>
            </w:r>
            <w:r w:rsidRPr="00006754">
              <w:rPr>
                <w:color w:val="0D0D0D" w:themeColor="text1" w:themeTint="F2"/>
                <w:spacing w:val="-3"/>
              </w:rPr>
              <w:t xml:space="preserve"> mld. korun</w:t>
            </w:r>
            <w:r w:rsidRPr="00006754">
              <w:rPr>
                <w:rStyle w:val="Znakapoznpodarou"/>
                <w:color w:val="0D0D0D" w:themeColor="text1" w:themeTint="F2"/>
                <w:spacing w:val="-3"/>
              </w:rPr>
              <w:footnoteReference w:id="22"/>
            </w:r>
            <w:r>
              <w:rPr>
                <w:color w:val="0D0D0D" w:themeColor="text1" w:themeTint="F2"/>
                <w:spacing w:val="-3"/>
              </w:rPr>
              <w:t xml:space="preserve">, což byl oproti rekordnímu deficitu ze shodného loňského období skoro o třetinu příznivější výsledek. Za tímto zlepšením stál výhradně vývoj v první polovině roku, ve kterém se ještě výrazněji projevoval dopad postpandemického oživení ekonomiky. Naopak ve </w:t>
            </w:r>
            <w:r w:rsidRPr="00006754">
              <w:rPr>
                <w:color w:val="0D0D0D" w:themeColor="text1" w:themeTint="F2"/>
                <w:spacing w:val="-3"/>
              </w:rPr>
              <w:t xml:space="preserve">3. čtvrtletí </w:t>
            </w:r>
            <w:r>
              <w:rPr>
                <w:color w:val="0D0D0D" w:themeColor="text1" w:themeTint="F2"/>
                <w:spacing w:val="-3"/>
              </w:rPr>
              <w:t>se schodek prohloubil na 60 mld. korun (horší výsledek byl v tomto období zaznamenán pouze v krizovém roce 2009). Projevil se zde sílící meziroční růst výdajů sektoru VI (z 5,5 % ve 2. čtvrtletí na 12,2 % ve 3. čtvrtletí), za nímž stály vyšší sociální dávky (vč. mimořádné valorizace důchodů) i o</w:t>
            </w:r>
            <w:r w:rsidRPr="00EB1E6A">
              <w:rPr>
                <w:color w:val="0D0D0D" w:themeColor="text1" w:themeTint="F2"/>
                <w:spacing w:val="-3"/>
              </w:rPr>
              <w:t>statní běžné transfery</w:t>
            </w:r>
            <w:r>
              <w:rPr>
                <w:color w:val="0D0D0D" w:themeColor="text1" w:themeTint="F2"/>
                <w:spacing w:val="-3"/>
              </w:rPr>
              <w:t xml:space="preserve"> (vliv zavedení Úsporného energetického tarifu), růst vyplacených vlastnických důchodů (vlivem vyšších úroků) a vyšší objem </w:t>
            </w:r>
            <w:proofErr w:type="spellStart"/>
            <w:r>
              <w:rPr>
                <w:color w:val="0D0D0D" w:themeColor="text1" w:themeTint="F2"/>
                <w:spacing w:val="-3"/>
              </w:rPr>
              <w:t>mezispotřeby</w:t>
            </w:r>
            <w:proofErr w:type="spellEnd"/>
            <w:r>
              <w:rPr>
                <w:color w:val="0D0D0D" w:themeColor="text1" w:themeTint="F2"/>
                <w:spacing w:val="-3"/>
              </w:rPr>
              <w:t xml:space="preserve"> a investic (i v důsledku růstu cen v ekonomice). Naopak výrazně klesl objem vyplacených dotací, zůstal však nad úrovní roku 2019. Celkové příjmy sektoru VI, na rozdíl od výdajů, rostly během loňského roku stabilním tempem (v úhrnu za tři čtvrtletí o 10,7 %). Pozitivně se projevoval zejména výběr d</w:t>
            </w:r>
            <w:r w:rsidRPr="00361A02">
              <w:rPr>
                <w:color w:val="0D0D0D" w:themeColor="text1" w:themeTint="F2"/>
                <w:spacing w:val="-3"/>
              </w:rPr>
              <w:t>aně z výroby a z</w:t>
            </w:r>
            <w:r>
              <w:rPr>
                <w:color w:val="0D0D0D" w:themeColor="text1" w:themeTint="F2"/>
                <w:spacing w:val="-3"/>
              </w:rPr>
              <w:t> </w:t>
            </w:r>
            <w:r w:rsidRPr="00361A02">
              <w:rPr>
                <w:color w:val="0D0D0D" w:themeColor="text1" w:themeTint="F2"/>
                <w:spacing w:val="-3"/>
              </w:rPr>
              <w:t>dovozu</w:t>
            </w:r>
            <w:r>
              <w:rPr>
                <w:color w:val="0D0D0D" w:themeColor="text1" w:themeTint="F2"/>
                <w:spacing w:val="-3"/>
              </w:rPr>
              <w:t>, jeho růstové tempo se ale vlivem slábnoucí spotřeby domácností snižovalo (ze 13,1 % ve 2. čtvrtletí na 8,7 % ve 3. čtvrtletí). Stabilně naproti tomu díky dobré kondici trhu práce rostlo inkaso běžných daní</w:t>
            </w:r>
            <w:r w:rsidRPr="00361A02">
              <w:rPr>
                <w:color w:val="0D0D0D" w:themeColor="text1" w:themeTint="F2"/>
                <w:spacing w:val="-3"/>
              </w:rPr>
              <w:t xml:space="preserve"> z</w:t>
            </w:r>
            <w:r>
              <w:rPr>
                <w:color w:val="0D0D0D" w:themeColor="text1" w:themeTint="F2"/>
                <w:spacing w:val="-3"/>
              </w:rPr>
              <w:t> </w:t>
            </w:r>
            <w:r w:rsidRPr="00361A02">
              <w:rPr>
                <w:color w:val="0D0D0D" w:themeColor="text1" w:themeTint="F2"/>
                <w:spacing w:val="-3"/>
              </w:rPr>
              <w:t>důchodů</w:t>
            </w:r>
            <w:r>
              <w:rPr>
                <w:color w:val="0D0D0D" w:themeColor="text1" w:themeTint="F2"/>
                <w:spacing w:val="-3"/>
              </w:rPr>
              <w:t xml:space="preserve"> či výběr sociálních příspěvků.</w:t>
            </w:r>
          </w:p>
        </w:tc>
      </w:tr>
      <w:tr w:rsidR="001C3855" w14:paraId="2AE7B34A" w14:textId="77777777" w:rsidTr="00C8019E">
        <w:trPr>
          <w:trHeight w:val="145"/>
        </w:trPr>
        <w:tc>
          <w:tcPr>
            <w:tcW w:w="1780" w:type="dxa"/>
            <w:shd w:val="clear" w:color="auto" w:fill="auto"/>
            <w:tcMar>
              <w:left w:w="0" w:type="dxa"/>
            </w:tcMar>
          </w:tcPr>
          <w:p w14:paraId="78B4E31C" w14:textId="77777777" w:rsidR="001C3855" w:rsidRDefault="001C3855" w:rsidP="00C8019E">
            <w:pPr>
              <w:pStyle w:val="Marginlie"/>
              <w:rPr>
                <w:spacing w:val="-4"/>
              </w:rPr>
            </w:pPr>
            <w:r>
              <w:rPr>
                <w:spacing w:val="-4"/>
              </w:rPr>
              <w:t>Trend poklesu relativního deficitu hospodaření sektoru VI se ve 3. čtvrtletí v EU i v eurozóně zastavil.</w:t>
            </w:r>
          </w:p>
          <w:p w14:paraId="4E799F68" w14:textId="77777777" w:rsidR="001C3855" w:rsidRPr="0058030F" w:rsidRDefault="001C3855" w:rsidP="00C8019E">
            <w:pPr>
              <w:pStyle w:val="Marginlie"/>
              <w:rPr>
                <w:spacing w:val="-4"/>
              </w:rPr>
            </w:pPr>
          </w:p>
        </w:tc>
        <w:tc>
          <w:tcPr>
            <w:tcW w:w="219" w:type="dxa"/>
            <w:shd w:val="clear" w:color="auto" w:fill="auto"/>
            <w:tcMar>
              <w:left w:w="0" w:type="dxa"/>
            </w:tcMar>
          </w:tcPr>
          <w:p w14:paraId="2AE54AE6" w14:textId="77777777" w:rsidR="001C3855" w:rsidRDefault="001C3855" w:rsidP="00C8019E">
            <w:pPr>
              <w:pStyle w:val="Textpoznpodarou"/>
              <w:jc w:val="both"/>
              <w:rPr>
                <w:spacing w:val="-4"/>
              </w:rPr>
            </w:pPr>
          </w:p>
        </w:tc>
        <w:tc>
          <w:tcPr>
            <w:tcW w:w="7670" w:type="dxa"/>
            <w:shd w:val="clear" w:color="auto" w:fill="auto"/>
            <w:tcMar>
              <w:left w:w="0" w:type="dxa"/>
            </w:tcMar>
          </w:tcPr>
          <w:p w14:paraId="39772588" w14:textId="77777777" w:rsidR="001C3855" w:rsidRPr="0058030F" w:rsidRDefault="001C3855" w:rsidP="00C8019E">
            <w:pPr>
              <w:spacing w:after="220"/>
              <w:rPr>
                <w:color w:val="0D0D0D" w:themeColor="text1" w:themeTint="F2"/>
                <w:spacing w:val="-4"/>
              </w:rPr>
            </w:pPr>
            <w:r>
              <w:rPr>
                <w:color w:val="0D0D0D" w:themeColor="text1" w:themeTint="F2"/>
                <w:spacing w:val="-4"/>
              </w:rPr>
              <w:t xml:space="preserve">Zlepšování kondice veřejných financí v </w:t>
            </w:r>
            <w:r w:rsidRPr="0058030F">
              <w:rPr>
                <w:color w:val="0D0D0D" w:themeColor="text1" w:themeTint="F2"/>
                <w:spacing w:val="-4"/>
              </w:rPr>
              <w:t>EU</w:t>
            </w:r>
            <w:r>
              <w:rPr>
                <w:color w:val="0D0D0D" w:themeColor="text1" w:themeTint="F2"/>
                <w:spacing w:val="-4"/>
              </w:rPr>
              <w:t xml:space="preserve"> i státech eurozóny (související i </w:t>
            </w:r>
            <w:r w:rsidRPr="0058030F">
              <w:rPr>
                <w:color w:val="0D0D0D" w:themeColor="text1" w:themeTint="F2"/>
                <w:spacing w:val="-4"/>
              </w:rPr>
              <w:t>s výrazným útlumem mimořádných veřejných výdajů spojených s</w:t>
            </w:r>
            <w:r>
              <w:rPr>
                <w:color w:val="0D0D0D" w:themeColor="text1" w:themeTint="F2"/>
                <w:spacing w:val="-4"/>
              </w:rPr>
              <w:t> </w:t>
            </w:r>
            <w:r w:rsidRPr="0058030F">
              <w:rPr>
                <w:color w:val="0D0D0D" w:themeColor="text1" w:themeTint="F2"/>
                <w:spacing w:val="-4"/>
              </w:rPr>
              <w:t>pandemií</w:t>
            </w:r>
            <w:r>
              <w:rPr>
                <w:color w:val="0D0D0D" w:themeColor="text1" w:themeTint="F2"/>
                <w:spacing w:val="-4"/>
              </w:rPr>
              <w:t xml:space="preserve">), patrné od počátku roku 2021, se zastavilo. Ve 3. čtvrtletí 2022 se deficit hospodaření sektoru VI v Unii prohloubil na 3,2 % HDP (v předchozím kvartálu totiž činil 1,8 % HDP – </w:t>
            </w:r>
            <w:r w:rsidRPr="0058030F">
              <w:rPr>
                <w:color w:val="0D0D0D" w:themeColor="text1" w:themeTint="F2"/>
                <w:spacing w:val="-4"/>
              </w:rPr>
              <w:t>nejméně od konce roku 2019)</w:t>
            </w:r>
            <w:r w:rsidRPr="00006754">
              <w:rPr>
                <w:rStyle w:val="Znakapoznpodarou"/>
                <w:color w:val="0D0D0D" w:themeColor="text1" w:themeTint="F2"/>
                <w:spacing w:val="-4"/>
              </w:rPr>
              <w:footnoteReference w:id="23"/>
            </w:r>
            <w:r w:rsidRPr="0058030F">
              <w:rPr>
                <w:color w:val="0D0D0D" w:themeColor="text1" w:themeTint="F2"/>
                <w:spacing w:val="-4"/>
              </w:rPr>
              <w:t xml:space="preserve">. </w:t>
            </w:r>
            <w:r>
              <w:rPr>
                <w:color w:val="0D0D0D" w:themeColor="text1" w:themeTint="F2"/>
                <w:spacing w:val="-4"/>
              </w:rPr>
              <w:t>Rovněž v Česku se schodek ve 3. čtvrtletí prohloubil (na 4,4 % HDP). To již tak pátý kvartál v řadě vykazovalo horší výsledek než EU i eurozóna. Přes zhoršující se makroekonomickou situaci si stále zhruba třetina (zpravidla středních a menších) států Unie vloni na podzim uchovala mírně přebytky hospodaření. Naopak hluboký, více než 5% deficit sužoval sektor VI v Belgii, Maďarsku a Rumunsku.</w:t>
            </w:r>
          </w:p>
        </w:tc>
      </w:tr>
      <w:tr w:rsidR="001C3855" w14:paraId="67BD71C2" w14:textId="77777777" w:rsidTr="00C8019E">
        <w:trPr>
          <w:trHeight w:val="145"/>
        </w:trPr>
        <w:tc>
          <w:tcPr>
            <w:tcW w:w="1780" w:type="dxa"/>
            <w:shd w:val="clear" w:color="auto" w:fill="auto"/>
            <w:tcMar>
              <w:left w:w="0" w:type="dxa"/>
            </w:tcMar>
          </w:tcPr>
          <w:p w14:paraId="15D5F268" w14:textId="77777777" w:rsidR="001C3855" w:rsidRPr="006234B2" w:rsidRDefault="001C3855" w:rsidP="00C8019E">
            <w:pPr>
              <w:pStyle w:val="Marginlie"/>
              <w:rPr>
                <w:color w:val="0D0D0D" w:themeColor="text1" w:themeTint="F2"/>
                <w:spacing w:val="-4"/>
              </w:rPr>
            </w:pPr>
            <w:r w:rsidRPr="006234B2">
              <w:rPr>
                <w:color w:val="0D0D0D" w:themeColor="text1" w:themeTint="F2"/>
                <w:spacing w:val="-4"/>
              </w:rPr>
              <w:t xml:space="preserve">Míra zadlužení v EU se druhý rok v řadě mírně snižovala. V Česku jako </w:t>
            </w:r>
            <w:r>
              <w:rPr>
                <w:color w:val="0D0D0D" w:themeColor="text1" w:themeTint="F2"/>
                <w:spacing w:val="-4"/>
              </w:rPr>
              <w:br/>
              <w:t xml:space="preserve">v </w:t>
            </w:r>
            <w:r w:rsidRPr="006234B2">
              <w:rPr>
                <w:color w:val="0D0D0D" w:themeColor="text1" w:themeTint="F2"/>
                <w:spacing w:val="-4"/>
              </w:rPr>
              <w:t>jediné členské zemi ale během loňského roku vzrostla.</w:t>
            </w:r>
          </w:p>
          <w:p w14:paraId="4BC12F10" w14:textId="77777777" w:rsidR="001C3855" w:rsidRPr="004121FC" w:rsidRDefault="001C3855" w:rsidP="00C8019E">
            <w:pPr>
              <w:pStyle w:val="Marginlie"/>
              <w:rPr>
                <w:color w:val="0D0D0D" w:themeColor="text1" w:themeTint="F2"/>
                <w:spacing w:val="-4"/>
              </w:rPr>
            </w:pPr>
          </w:p>
          <w:p w14:paraId="4D3743E4" w14:textId="77777777" w:rsidR="001C3855" w:rsidRPr="004121FC" w:rsidRDefault="001C3855" w:rsidP="00C8019E">
            <w:pPr>
              <w:pStyle w:val="Marginlie"/>
              <w:rPr>
                <w:color w:val="0D0D0D" w:themeColor="text1" w:themeTint="F2"/>
                <w:spacing w:val="-4"/>
              </w:rPr>
            </w:pPr>
          </w:p>
          <w:p w14:paraId="5C345BD1" w14:textId="77777777" w:rsidR="001C3855" w:rsidRPr="004121FC" w:rsidRDefault="001C3855" w:rsidP="00C8019E">
            <w:pPr>
              <w:pStyle w:val="Marginlie"/>
              <w:rPr>
                <w:color w:val="0D0D0D" w:themeColor="text1" w:themeTint="F2"/>
                <w:spacing w:val="-4"/>
              </w:rPr>
            </w:pPr>
          </w:p>
          <w:p w14:paraId="5FB34088" w14:textId="77777777" w:rsidR="001C3855" w:rsidRPr="004121FC" w:rsidRDefault="001C3855" w:rsidP="00C8019E">
            <w:pPr>
              <w:pStyle w:val="Marginlie"/>
              <w:rPr>
                <w:color w:val="0D0D0D" w:themeColor="text1" w:themeTint="F2"/>
                <w:spacing w:val="-4"/>
              </w:rPr>
            </w:pPr>
          </w:p>
          <w:p w14:paraId="7ABF98EA" w14:textId="77777777" w:rsidR="001C3855" w:rsidRPr="004121FC" w:rsidRDefault="001C3855" w:rsidP="00C8019E">
            <w:pPr>
              <w:pStyle w:val="Marginlie"/>
              <w:rPr>
                <w:color w:val="0D0D0D" w:themeColor="text1" w:themeTint="F2"/>
                <w:spacing w:val="-4"/>
              </w:rPr>
            </w:pPr>
          </w:p>
          <w:p w14:paraId="235A3E59" w14:textId="77777777" w:rsidR="001C3855" w:rsidRPr="006234B2" w:rsidRDefault="001C3855" w:rsidP="00C8019E">
            <w:pPr>
              <w:pStyle w:val="Marginlie"/>
              <w:rPr>
                <w:color w:val="0D0D0D" w:themeColor="text1" w:themeTint="F2"/>
                <w:spacing w:val="-4"/>
              </w:rPr>
            </w:pPr>
            <w:r w:rsidRPr="004121FC">
              <w:rPr>
                <w:color w:val="0D0D0D" w:themeColor="text1" w:themeTint="F2"/>
                <w:spacing w:val="-4"/>
              </w:rPr>
              <w:t xml:space="preserve">Poměr </w:t>
            </w:r>
            <w:r w:rsidRPr="006234B2">
              <w:rPr>
                <w:color w:val="0D0D0D" w:themeColor="text1" w:themeTint="F2"/>
                <w:spacing w:val="-4"/>
              </w:rPr>
              <w:t>příjmů sektoru VI k HDP zůstával v Česku pod úrovní roku 2019.</w:t>
            </w:r>
          </w:p>
          <w:p w14:paraId="5816A131" w14:textId="77777777" w:rsidR="001C3855" w:rsidRPr="0058030F" w:rsidRDefault="001C3855" w:rsidP="00C8019E">
            <w:pPr>
              <w:pStyle w:val="Marginlie"/>
              <w:rPr>
                <w:spacing w:val="-4"/>
              </w:rPr>
            </w:pPr>
          </w:p>
        </w:tc>
        <w:tc>
          <w:tcPr>
            <w:tcW w:w="219" w:type="dxa"/>
            <w:shd w:val="clear" w:color="auto" w:fill="auto"/>
            <w:tcMar>
              <w:left w:w="0" w:type="dxa"/>
            </w:tcMar>
          </w:tcPr>
          <w:p w14:paraId="7732ABDD" w14:textId="77777777" w:rsidR="001C3855" w:rsidRDefault="001C3855" w:rsidP="00C8019E">
            <w:pPr>
              <w:pStyle w:val="Textpoznpodarou"/>
              <w:jc w:val="both"/>
              <w:rPr>
                <w:spacing w:val="-4"/>
              </w:rPr>
            </w:pPr>
          </w:p>
        </w:tc>
        <w:tc>
          <w:tcPr>
            <w:tcW w:w="7670" w:type="dxa"/>
            <w:shd w:val="clear" w:color="auto" w:fill="auto"/>
            <w:tcMar>
              <w:left w:w="0" w:type="dxa"/>
            </w:tcMar>
          </w:tcPr>
          <w:p w14:paraId="6DF84008" w14:textId="77777777" w:rsidR="001C3855" w:rsidRPr="0058030F" w:rsidRDefault="001C3855" w:rsidP="00C8019E">
            <w:pPr>
              <w:spacing w:after="0"/>
              <w:rPr>
                <w:color w:val="0D0D0D" w:themeColor="text1" w:themeTint="F2"/>
                <w:spacing w:val="-4"/>
              </w:rPr>
            </w:pPr>
            <w:r>
              <w:rPr>
                <w:color w:val="0D0D0D" w:themeColor="text1" w:themeTint="F2"/>
                <w:spacing w:val="-4"/>
              </w:rPr>
              <w:t xml:space="preserve">Míra zadlužení sektoru VI v EU po dosažení absolutního maxima na </w:t>
            </w:r>
            <w:r w:rsidRPr="0058030F">
              <w:rPr>
                <w:color w:val="0D0D0D" w:themeColor="text1" w:themeTint="F2"/>
                <w:spacing w:val="-4"/>
              </w:rPr>
              <w:t xml:space="preserve">počátku roku </w:t>
            </w:r>
            <w:r>
              <w:rPr>
                <w:color w:val="0D0D0D" w:themeColor="text1" w:themeTint="F2"/>
                <w:spacing w:val="-4"/>
              </w:rPr>
              <w:t>2021 (92 % HDP) setrvale mírně klesala. Loni na konci 3</w:t>
            </w:r>
            <w:r w:rsidRPr="0058030F">
              <w:rPr>
                <w:color w:val="0D0D0D" w:themeColor="text1" w:themeTint="F2"/>
                <w:spacing w:val="-4"/>
              </w:rPr>
              <w:t xml:space="preserve">. čtvrtletí </w:t>
            </w:r>
            <w:r>
              <w:rPr>
                <w:color w:val="0D0D0D" w:themeColor="text1" w:themeTint="F2"/>
                <w:spacing w:val="-4"/>
              </w:rPr>
              <w:t xml:space="preserve">činila 85,1 % HDP </w:t>
            </w:r>
            <w:r>
              <w:rPr>
                <w:color w:val="0D0D0D" w:themeColor="text1" w:themeTint="F2"/>
                <w:spacing w:val="-4"/>
              </w:rPr>
              <w:br/>
              <w:t>a meziročně klesla o</w:t>
            </w:r>
            <w:r w:rsidRPr="0058030F">
              <w:rPr>
                <w:color w:val="0D0D0D" w:themeColor="text1" w:themeTint="F2"/>
                <w:spacing w:val="-4"/>
              </w:rPr>
              <w:t> </w:t>
            </w:r>
            <w:r>
              <w:rPr>
                <w:color w:val="0D0D0D" w:themeColor="text1" w:themeTint="F2"/>
                <w:spacing w:val="-4"/>
              </w:rPr>
              <w:t>4,</w:t>
            </w:r>
            <w:proofErr w:type="gramStart"/>
            <w:r>
              <w:rPr>
                <w:color w:val="0D0D0D" w:themeColor="text1" w:themeTint="F2"/>
                <w:spacing w:val="-4"/>
              </w:rPr>
              <w:t>6  p.</w:t>
            </w:r>
            <w:proofErr w:type="gramEnd"/>
            <w:r>
              <w:rPr>
                <w:color w:val="0D0D0D" w:themeColor="text1" w:themeTint="F2"/>
                <w:spacing w:val="-4"/>
              </w:rPr>
              <w:t xml:space="preserve"> b. K redukci zadlužení v Unii i eurozóně došlo výhradně vlivem nominálního růstu výkonu ekonomiky, neboť absolutní výše dluhu nadále rostla (byť na rozdíl např. od situace v ČR jen mírně). Největšího zlepšení dosáhly některé dlouhodobě vysoce zadlužené státy – Řecko (o 25 p. b.) a Kypr (o 15 p. b.), významné bylo ale i mezi tradičně fiskálně stabilizovanými zeměmi (Irsko, Dánsko, Litva). Česko představovalo jediný členský stát Unie, v němž zadluženost meziročně vzrostla (ze 40,4 % HDP na rekordních 45,3 %). Míra zadlužení Česka byla ve 3. čtvrtletí v rámci členských států osmá nejnižší (šlo o nejhorší postavení po roce 2014), nedosahovala však stále ani poloviny úrovně eurozóny. Poměr celkových příjmů sektoru VI k HDP se v loňském 1. až 3. čtvrtletí v Česku, na rozdíl od EU, stále nacházel pod úrovní roku 2019. Naopak relativní objem výdajů rostl v tuzemsku za stejné období svižněji než v Unii. </w:t>
            </w:r>
            <w:r w:rsidRPr="0058030F">
              <w:rPr>
                <w:color w:val="0D0D0D" w:themeColor="text1" w:themeTint="F2"/>
                <w:spacing w:val="-4"/>
              </w:rPr>
              <w:t>Oproti nejnižší úrovni zadlužení z éry předpan</w:t>
            </w:r>
            <w:r>
              <w:rPr>
                <w:color w:val="0D0D0D" w:themeColor="text1" w:themeTint="F2"/>
                <w:spacing w:val="-4"/>
              </w:rPr>
              <w:t>demické konjunktury (období 2015</w:t>
            </w:r>
            <w:r w:rsidRPr="0058030F">
              <w:rPr>
                <w:color w:val="0D0D0D" w:themeColor="text1" w:themeTint="F2"/>
                <w:spacing w:val="-4"/>
              </w:rPr>
              <w:t xml:space="preserve"> až 2019</w:t>
            </w:r>
            <w:r>
              <w:rPr>
                <w:color w:val="0D0D0D" w:themeColor="text1" w:themeTint="F2"/>
                <w:spacing w:val="-4"/>
              </w:rPr>
              <w:t>) byl loni ve 3. čtvrtletí dluh sektoru VI zemích EU vyšší o 7,</w:t>
            </w:r>
            <w:proofErr w:type="gramStart"/>
            <w:r>
              <w:rPr>
                <w:color w:val="0D0D0D" w:themeColor="text1" w:themeTint="F2"/>
                <w:spacing w:val="-4"/>
              </w:rPr>
              <w:t>6</w:t>
            </w:r>
            <w:r w:rsidRPr="0058030F">
              <w:rPr>
                <w:color w:val="0D0D0D" w:themeColor="text1" w:themeTint="F2"/>
                <w:spacing w:val="-4"/>
              </w:rPr>
              <w:t xml:space="preserve">  p.</w:t>
            </w:r>
            <w:proofErr w:type="gramEnd"/>
            <w:r>
              <w:rPr>
                <w:color w:val="0D0D0D" w:themeColor="text1" w:themeTint="F2"/>
                <w:spacing w:val="-4"/>
              </w:rPr>
              <w:t> b. –</w:t>
            </w:r>
            <w:r w:rsidRPr="0058030F">
              <w:rPr>
                <w:color w:val="0D0D0D" w:themeColor="text1" w:themeTint="F2"/>
                <w:spacing w:val="-4"/>
              </w:rPr>
              <w:t xml:space="preserve"> v </w:t>
            </w:r>
            <w:r>
              <w:rPr>
                <w:color w:val="0D0D0D" w:themeColor="text1" w:themeTint="F2"/>
                <w:spacing w:val="-4"/>
              </w:rPr>
              <w:t xml:space="preserve">nejpostiženějších státech (Španělsko, Francie) až v rozmezí 17 až 18 p. b., v Česku o 15 p. b. Naopak </w:t>
            </w:r>
            <w:r w:rsidRPr="0058030F">
              <w:rPr>
                <w:color w:val="0D0D0D" w:themeColor="text1" w:themeTint="F2"/>
                <w:spacing w:val="-4"/>
              </w:rPr>
              <w:t>lé</w:t>
            </w:r>
            <w:r>
              <w:rPr>
                <w:color w:val="0D0D0D" w:themeColor="text1" w:themeTint="F2"/>
                <w:spacing w:val="-4"/>
              </w:rPr>
              <w:t xml:space="preserve">pe než před pandemií na tom byly jen Irsko (o 8 p. b.), s větším odstupem pak Dánsko, Švédsko a Chorvatsko. </w:t>
            </w:r>
          </w:p>
        </w:tc>
      </w:tr>
    </w:tbl>
    <w:p w14:paraId="6D687C14" w14:textId="31BFB2FA" w:rsidR="001C3855" w:rsidRPr="001C3855" w:rsidRDefault="001C3855" w:rsidP="00C15537">
      <w:pPr>
        <w:pStyle w:val="Nadpis11"/>
        <w:rPr>
          <w:sz w:val="2"/>
          <w:szCs w:val="2"/>
        </w:rPr>
      </w:pPr>
    </w:p>
    <w:sectPr w:rsidR="001C3855" w:rsidRPr="001C3855" w:rsidSect="00B03015">
      <w:headerReference w:type="even" r:id="rId15"/>
      <w:headerReference w:type="default" r:id="rId16"/>
      <w:footerReference w:type="even" r:id="rId17"/>
      <w:footerReference w:type="default" r:id="rId18"/>
      <w:pgSz w:w="11906" w:h="16838" w:code="9"/>
      <w:pgMar w:top="1134" w:right="1134" w:bottom="1418" w:left="1134" w:header="680" w:footer="737"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FBA8" w14:textId="77777777" w:rsidR="00C8019E" w:rsidRDefault="00C8019E" w:rsidP="00E71A58">
      <w:r>
        <w:separator/>
      </w:r>
    </w:p>
  </w:endnote>
  <w:endnote w:type="continuationSeparator" w:id="0">
    <w:p w14:paraId="3BF26E2A" w14:textId="77777777" w:rsidR="00C8019E" w:rsidRDefault="00C8019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B6C8" w14:textId="60535B1F" w:rsidR="00C8019E" w:rsidRPr="00932443" w:rsidRDefault="00C8019E"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7E3627">
      <w:rPr>
        <w:szCs w:val="16"/>
      </w:rPr>
      <w:t>26</w:t>
    </w:r>
    <w:r w:rsidRPr="00932443">
      <w:rPr>
        <w:szCs w:val="16"/>
      </w:rPr>
      <w:fldChar w:fldCharType="end"/>
    </w:r>
    <w:r w:rsidRPr="00932443">
      <w:rPr>
        <w:szCs w:val="16"/>
      </w:rPr>
      <w:tab/>
    </w:r>
    <w:r>
      <w:rPr>
        <w:szCs w:val="16"/>
      </w:rPr>
      <w:t>rok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FAF" w14:textId="2720A469" w:rsidR="00C8019E" w:rsidRPr="00932443" w:rsidRDefault="00C8019E" w:rsidP="00FA6CB6">
    <w:pPr>
      <w:pStyle w:val="Zpat"/>
      <w:rPr>
        <w:szCs w:val="16"/>
      </w:rPr>
    </w:pPr>
    <w:r w:rsidRPr="00FA6CB6">
      <w:rPr>
        <w:szCs w:val="16"/>
      </w:rPr>
      <w:tab/>
    </w:r>
    <w:r>
      <w:rPr>
        <w:szCs w:val="16"/>
      </w:rPr>
      <w:t>rok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7E3627">
      <w:rPr>
        <w:rStyle w:val="ZpatChar"/>
        <w:szCs w:val="16"/>
      </w:rPr>
      <w:t>25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19C3" w14:textId="77777777" w:rsidR="00C8019E" w:rsidRDefault="00C8019E" w:rsidP="00A21B4D">
      <w:pPr>
        <w:spacing w:after="0"/>
      </w:pPr>
      <w:r>
        <w:separator/>
      </w:r>
    </w:p>
  </w:footnote>
  <w:footnote w:type="continuationSeparator" w:id="0">
    <w:p w14:paraId="4094B28B" w14:textId="77777777" w:rsidR="00C8019E" w:rsidRDefault="00C8019E" w:rsidP="00E71A58">
      <w:r>
        <w:continuationSeparator/>
      </w:r>
    </w:p>
  </w:footnote>
  <w:footnote w:id="1">
    <w:p w14:paraId="10FADA3F" w14:textId="77777777" w:rsidR="00C8019E" w:rsidRPr="00AD0D96" w:rsidRDefault="00C8019E" w:rsidP="001C3855">
      <w:pPr>
        <w:pStyle w:val="Textpoznpodarou"/>
        <w:jc w:val="both"/>
        <w:rPr>
          <w:spacing w:val="-3"/>
          <w:sz w:val="16"/>
          <w:szCs w:val="16"/>
        </w:rPr>
      </w:pPr>
      <w:r w:rsidRPr="00AD0D96">
        <w:rPr>
          <w:rStyle w:val="Znakapoznpodarou"/>
          <w:spacing w:val="-3"/>
          <w:sz w:val="16"/>
          <w:szCs w:val="16"/>
        </w:rPr>
        <w:footnoteRef/>
      </w:r>
      <w:r w:rsidRPr="00AD0D96">
        <w:rPr>
          <w:spacing w:val="-3"/>
          <w:sz w:val="16"/>
          <w:szCs w:val="16"/>
        </w:rPr>
        <w:t xml:space="preserve"> </w:t>
      </w:r>
      <w:r w:rsidRPr="00AD0D96">
        <w:rPr>
          <w:color w:val="0D0D0D" w:themeColor="text1" w:themeTint="F2"/>
          <w:spacing w:val="-3"/>
          <w:sz w:val="16"/>
          <w:szCs w:val="16"/>
        </w:rPr>
        <w:t xml:space="preserve">Pokud není uvedeno jinak, vycházejí všechny údaje týkající se státního rozpočtu </w:t>
      </w:r>
      <w:r w:rsidRPr="00AD0D96">
        <w:rPr>
          <w:rFonts w:cs="Arial"/>
          <w:color w:val="0D0D0D" w:themeColor="text1" w:themeTint="F2"/>
          <w:spacing w:val="-3"/>
          <w:sz w:val="16"/>
          <w:szCs w:val="16"/>
        </w:rPr>
        <w:t>z dat Ministerstva financí o pokladním plnění.</w:t>
      </w:r>
    </w:p>
  </w:footnote>
  <w:footnote w:id="2">
    <w:p w14:paraId="02934DAD" w14:textId="77777777" w:rsidR="00C8019E" w:rsidRDefault="00C8019E" w:rsidP="001C3855">
      <w:pPr>
        <w:pStyle w:val="Textpoznpodarou"/>
      </w:pPr>
      <w:r w:rsidRPr="00AD0D96">
        <w:rPr>
          <w:rStyle w:val="Znakapoznpodarou"/>
          <w:sz w:val="16"/>
          <w:szCs w:val="16"/>
        </w:rPr>
        <w:footnoteRef/>
      </w:r>
      <w:r>
        <w:rPr>
          <w:spacing w:val="-4"/>
          <w:sz w:val="16"/>
          <w:szCs w:val="16"/>
        </w:rPr>
        <w:t xml:space="preserve"> Dle novely zákona (</w:t>
      </w:r>
      <w:r w:rsidRPr="00AD0D96">
        <w:rPr>
          <w:spacing w:val="-4"/>
          <w:sz w:val="16"/>
          <w:szCs w:val="16"/>
        </w:rPr>
        <w:t>č. 57/2022 Sb</w:t>
      </w:r>
      <w:r>
        <w:rPr>
          <w:spacing w:val="-4"/>
          <w:sz w:val="16"/>
          <w:szCs w:val="16"/>
        </w:rPr>
        <w:t xml:space="preserve">.) o státním rozpočtu na rok 2022 (schválené 18. října 2022), která navýšila očekávaný schodek na </w:t>
      </w:r>
      <w:r>
        <w:rPr>
          <w:spacing w:val="-4"/>
          <w:sz w:val="16"/>
          <w:szCs w:val="16"/>
        </w:rPr>
        <w:br/>
        <w:t>375 mld. korun (z 280 mld. korun uvedených v původní verzi zákona o rozpočtu z 10. března 2022).</w:t>
      </w:r>
    </w:p>
  </w:footnote>
  <w:footnote w:id="3">
    <w:p w14:paraId="68178E75" w14:textId="77777777" w:rsidR="00C8019E" w:rsidRPr="00A21B30" w:rsidRDefault="00C8019E" w:rsidP="001C3855">
      <w:pPr>
        <w:pStyle w:val="Textpoznpodarou"/>
        <w:rPr>
          <w:sz w:val="16"/>
          <w:szCs w:val="16"/>
        </w:rPr>
      </w:pPr>
      <w:r w:rsidRPr="00A21B30">
        <w:rPr>
          <w:rStyle w:val="Znakapoznpodarou"/>
          <w:sz w:val="16"/>
          <w:szCs w:val="16"/>
        </w:rPr>
        <w:footnoteRef/>
      </w:r>
      <w:r w:rsidRPr="00A21B30">
        <w:rPr>
          <w:sz w:val="16"/>
          <w:szCs w:val="16"/>
        </w:rPr>
        <w:t xml:space="preserve"> </w:t>
      </w:r>
      <w:r w:rsidRPr="00A21B30">
        <w:rPr>
          <w:spacing w:val="-4"/>
          <w:sz w:val="16"/>
          <w:szCs w:val="16"/>
        </w:rPr>
        <w:t xml:space="preserve">To podtrhuje </w:t>
      </w:r>
      <w:r>
        <w:rPr>
          <w:spacing w:val="-4"/>
          <w:sz w:val="16"/>
          <w:szCs w:val="16"/>
        </w:rPr>
        <w:t xml:space="preserve">i schodek po očištění </w:t>
      </w:r>
      <w:r w:rsidRPr="00A21B30">
        <w:rPr>
          <w:spacing w:val="-4"/>
          <w:sz w:val="16"/>
          <w:szCs w:val="16"/>
        </w:rPr>
        <w:t>o příjmy a výdaje související</w:t>
      </w:r>
      <w:r>
        <w:rPr>
          <w:spacing w:val="-4"/>
          <w:sz w:val="16"/>
          <w:szCs w:val="16"/>
        </w:rPr>
        <w:t xml:space="preserve"> se společnými projekty ČR a EU</w:t>
      </w:r>
      <w:r w:rsidRPr="00A21B30">
        <w:rPr>
          <w:spacing w:val="-4"/>
          <w:sz w:val="16"/>
          <w:szCs w:val="16"/>
        </w:rPr>
        <w:t>, který loni činil</w:t>
      </w:r>
      <w:r>
        <w:rPr>
          <w:spacing w:val="-4"/>
          <w:sz w:val="16"/>
          <w:szCs w:val="16"/>
        </w:rPr>
        <w:t xml:space="preserve"> 316,1 mld. korun (v letech 2020 a 2021 pak</w:t>
      </w:r>
      <w:r w:rsidRPr="00A21B30">
        <w:rPr>
          <w:spacing w:val="-4"/>
          <w:sz w:val="16"/>
          <w:szCs w:val="16"/>
        </w:rPr>
        <w:t xml:space="preserve"> 364,9 mld., resp. 408,6 mld.).</w:t>
      </w:r>
    </w:p>
  </w:footnote>
  <w:footnote w:id="4">
    <w:p w14:paraId="6AC10994" w14:textId="77777777" w:rsidR="00C8019E" w:rsidRPr="002149CA" w:rsidRDefault="00C8019E" w:rsidP="001C3855">
      <w:pPr>
        <w:pStyle w:val="Textpoznpodarou"/>
        <w:rPr>
          <w:sz w:val="16"/>
          <w:szCs w:val="16"/>
        </w:rPr>
      </w:pPr>
      <w:r w:rsidRPr="002149CA">
        <w:rPr>
          <w:rStyle w:val="Znakapoznpodarou"/>
          <w:sz w:val="16"/>
          <w:szCs w:val="16"/>
        </w:rPr>
        <w:footnoteRef/>
      </w:r>
      <w:r w:rsidRPr="002149CA">
        <w:rPr>
          <w:sz w:val="16"/>
          <w:szCs w:val="16"/>
        </w:rPr>
        <w:t xml:space="preserve"> Stálo za tím zpoždění plateb za </w:t>
      </w:r>
      <w:r>
        <w:rPr>
          <w:sz w:val="16"/>
          <w:szCs w:val="16"/>
        </w:rPr>
        <w:t>schválené projekty, je</w:t>
      </w:r>
      <w:r w:rsidRPr="002149CA">
        <w:rPr>
          <w:sz w:val="16"/>
          <w:szCs w:val="16"/>
        </w:rPr>
        <w:t>ž byly již dříve předfinancovány z rozpočtu ČR.</w:t>
      </w:r>
    </w:p>
  </w:footnote>
  <w:footnote w:id="5">
    <w:p w14:paraId="0A9952E7" w14:textId="77777777" w:rsidR="00C8019E" w:rsidRDefault="00C8019E" w:rsidP="001C3855">
      <w:pPr>
        <w:pStyle w:val="Textpoznpodarou"/>
      </w:pPr>
      <w:r w:rsidRPr="00B43AF0">
        <w:rPr>
          <w:rStyle w:val="Znakapoznpodarou"/>
          <w:sz w:val="16"/>
          <w:szCs w:val="16"/>
        </w:rPr>
        <w:footnoteRef/>
      </w:r>
      <w:r w:rsidRPr="00B43AF0">
        <w:rPr>
          <w:rStyle w:val="Znakapoznpodarou"/>
          <w:sz w:val="16"/>
          <w:szCs w:val="16"/>
        </w:rPr>
        <w:t xml:space="preserve"> </w:t>
      </w:r>
      <w:r w:rsidRPr="00B43AF0">
        <w:rPr>
          <w:spacing w:val="-4"/>
          <w:sz w:val="16"/>
          <w:szCs w:val="16"/>
        </w:rPr>
        <w:t>Ve 3. čtvrtletí 2022 propadlo inkaso o 13,7 %, následující kvartál dokonce o 18,1 %.</w:t>
      </w:r>
    </w:p>
  </w:footnote>
  <w:footnote w:id="6">
    <w:p w14:paraId="370E1D1E" w14:textId="77777777" w:rsidR="00C8019E" w:rsidRPr="00B43AF0" w:rsidRDefault="00C8019E" w:rsidP="001C3855">
      <w:pPr>
        <w:pStyle w:val="Textpoznpodarou"/>
        <w:rPr>
          <w:spacing w:val="-4"/>
          <w:sz w:val="16"/>
          <w:szCs w:val="16"/>
        </w:rPr>
      </w:pPr>
      <w:r w:rsidRPr="00B43AF0">
        <w:rPr>
          <w:rStyle w:val="Znakapoznpodarou"/>
          <w:spacing w:val="-4"/>
          <w:sz w:val="16"/>
          <w:szCs w:val="16"/>
        </w:rPr>
        <w:footnoteRef/>
      </w:r>
      <w:r w:rsidRPr="00B43AF0">
        <w:rPr>
          <w:spacing w:val="-4"/>
          <w:sz w:val="16"/>
          <w:szCs w:val="16"/>
        </w:rPr>
        <w:t xml:space="preserve"> Od </w:t>
      </w:r>
      <w:r w:rsidRPr="005B5C68">
        <w:rPr>
          <w:color w:val="0D0D0D" w:themeColor="text1" w:themeTint="F2"/>
          <w:spacing w:val="-4"/>
          <w:sz w:val="16"/>
          <w:szCs w:val="16"/>
        </w:rPr>
        <w:t>června do konce září 2022 byla snížena sazba spotřební daně z benzínu a motorové nafty o 1,50 Kč na litr. U nafty bylo toto opatření prodlouženo až do konce roku 2023. Dle propočtů MF ČR měly tyto daňové úpravy na celoroční inkaso negativní dopad ve výši 5,3 mld. korun</w:t>
      </w:r>
      <w:r w:rsidRPr="00B43AF0">
        <w:rPr>
          <w:spacing w:val="-4"/>
          <w:sz w:val="16"/>
          <w:szCs w:val="16"/>
        </w:rPr>
        <w:t>.</w:t>
      </w:r>
    </w:p>
  </w:footnote>
  <w:footnote w:id="7">
    <w:p w14:paraId="337FE064" w14:textId="77777777" w:rsidR="00C8019E" w:rsidRPr="00F62C95" w:rsidRDefault="00C8019E" w:rsidP="001C3855">
      <w:pPr>
        <w:autoSpaceDE w:val="0"/>
        <w:autoSpaceDN w:val="0"/>
        <w:adjustRightInd w:val="0"/>
        <w:spacing w:after="0" w:line="240" w:lineRule="auto"/>
        <w:jc w:val="left"/>
        <w:rPr>
          <w:rFonts w:ascii="Calibri" w:eastAsia="Calibri" w:hAnsi="Calibri" w:cs="Calibri"/>
          <w:sz w:val="16"/>
          <w:szCs w:val="16"/>
          <w:lang w:eastAsia="en-US"/>
        </w:rPr>
      </w:pPr>
      <w:r w:rsidRPr="00852DA9">
        <w:rPr>
          <w:rStyle w:val="Znakapoznpodarou"/>
          <w:sz w:val="16"/>
          <w:szCs w:val="16"/>
        </w:rPr>
        <w:footnoteRef/>
      </w:r>
      <w:r w:rsidRPr="00852DA9">
        <w:rPr>
          <w:sz w:val="16"/>
          <w:szCs w:val="16"/>
        </w:rPr>
        <w:t xml:space="preserve"> </w:t>
      </w:r>
      <w:r>
        <w:rPr>
          <w:sz w:val="16"/>
          <w:szCs w:val="16"/>
        </w:rPr>
        <w:t>Vysoký meziroční růst inkasa korporátní daně byl částečně ovlivněn před</w:t>
      </w:r>
      <w:r w:rsidRPr="00852DA9">
        <w:rPr>
          <w:sz w:val="16"/>
          <w:szCs w:val="16"/>
        </w:rPr>
        <w:t>loňským</w:t>
      </w:r>
      <w:r w:rsidRPr="00852DA9">
        <w:rPr>
          <w:rFonts w:ascii="Calibri" w:eastAsia="Calibri" w:hAnsi="Calibri" w:cs="Calibri"/>
          <w:sz w:val="16"/>
          <w:szCs w:val="16"/>
          <w:lang w:eastAsia="en-US"/>
        </w:rPr>
        <w:t xml:space="preserve"> </w:t>
      </w:r>
      <w:r w:rsidRPr="00852DA9">
        <w:rPr>
          <w:sz w:val="16"/>
          <w:szCs w:val="16"/>
        </w:rPr>
        <w:t xml:space="preserve">posunem lhůty pro zaplacení </w:t>
      </w:r>
      <w:r>
        <w:rPr>
          <w:sz w:val="16"/>
          <w:szCs w:val="16"/>
        </w:rPr>
        <w:t xml:space="preserve">záloh na dani </w:t>
      </w:r>
      <w:r w:rsidRPr="00852DA9">
        <w:rPr>
          <w:sz w:val="16"/>
          <w:szCs w:val="16"/>
        </w:rPr>
        <w:t>(na základě individuální</w:t>
      </w:r>
      <w:r>
        <w:rPr>
          <w:sz w:val="16"/>
          <w:szCs w:val="16"/>
        </w:rPr>
        <w:t>ch</w:t>
      </w:r>
      <w:r w:rsidRPr="00852DA9">
        <w:rPr>
          <w:sz w:val="16"/>
          <w:szCs w:val="16"/>
        </w:rPr>
        <w:t xml:space="preserve"> žádost</w:t>
      </w:r>
      <w:r>
        <w:rPr>
          <w:sz w:val="16"/>
          <w:szCs w:val="16"/>
        </w:rPr>
        <w:t>í</w:t>
      </w:r>
      <w:r w:rsidRPr="00852DA9">
        <w:rPr>
          <w:sz w:val="16"/>
          <w:szCs w:val="16"/>
        </w:rPr>
        <w:t xml:space="preserve"> firem)</w:t>
      </w:r>
      <w:r>
        <w:rPr>
          <w:sz w:val="16"/>
          <w:szCs w:val="16"/>
        </w:rPr>
        <w:t xml:space="preserve"> s negativním dopadem na příjem této daně do SR ve výši 22,1 mld. korun (za rok 2021).</w:t>
      </w:r>
      <w:r w:rsidRPr="00B17175">
        <w:rPr>
          <w:sz w:val="16"/>
          <w:szCs w:val="16"/>
        </w:rPr>
        <w:t xml:space="preserve"> </w:t>
      </w:r>
      <w:r>
        <w:rPr>
          <w:sz w:val="16"/>
          <w:szCs w:val="16"/>
        </w:rPr>
        <w:t xml:space="preserve">Dále </w:t>
      </w:r>
      <w:r w:rsidRPr="00F62C95">
        <w:rPr>
          <w:sz w:val="16"/>
          <w:szCs w:val="16"/>
        </w:rPr>
        <w:t>šlo také o změnu ve zdanění rezerv pojišťoven.</w:t>
      </w:r>
    </w:p>
  </w:footnote>
  <w:footnote w:id="8">
    <w:p w14:paraId="4BD023A9" w14:textId="77777777" w:rsidR="00C8019E" w:rsidRPr="00F62C95" w:rsidRDefault="00C8019E" w:rsidP="001C3855">
      <w:pPr>
        <w:pStyle w:val="Textpoznpodarou"/>
        <w:rPr>
          <w:sz w:val="16"/>
          <w:szCs w:val="16"/>
        </w:rPr>
      </w:pPr>
      <w:r w:rsidRPr="00F62C95">
        <w:rPr>
          <w:rStyle w:val="Znakapoznpodarou"/>
          <w:sz w:val="16"/>
          <w:szCs w:val="16"/>
        </w:rPr>
        <w:footnoteRef/>
      </w:r>
      <w:r w:rsidRPr="00F62C95">
        <w:rPr>
          <w:sz w:val="16"/>
          <w:szCs w:val="16"/>
        </w:rPr>
        <w:t xml:space="preserve"> C</w:t>
      </w:r>
      <w:r>
        <w:rPr>
          <w:sz w:val="16"/>
          <w:szCs w:val="16"/>
        </w:rPr>
        <w:t>elostátní výběr této daně (149,6</w:t>
      </w:r>
      <w:r w:rsidRPr="00F62C95">
        <w:rPr>
          <w:sz w:val="16"/>
          <w:szCs w:val="16"/>
        </w:rPr>
        <w:t xml:space="preserve"> mld. korun) </w:t>
      </w:r>
      <w:r>
        <w:rPr>
          <w:sz w:val="16"/>
          <w:szCs w:val="16"/>
        </w:rPr>
        <w:t>se loni pohyboval pouze na úrovni roku 2016</w:t>
      </w:r>
      <w:r w:rsidRPr="00F62C95">
        <w:rPr>
          <w:sz w:val="16"/>
          <w:szCs w:val="16"/>
        </w:rPr>
        <w:t xml:space="preserve">, </w:t>
      </w:r>
      <w:r>
        <w:rPr>
          <w:sz w:val="16"/>
          <w:szCs w:val="16"/>
        </w:rPr>
        <w:t xml:space="preserve">a to </w:t>
      </w:r>
      <w:r w:rsidRPr="00F62C95">
        <w:rPr>
          <w:sz w:val="16"/>
          <w:szCs w:val="16"/>
        </w:rPr>
        <w:t xml:space="preserve">zejména vlivem </w:t>
      </w:r>
      <w:r w:rsidRPr="00F62C95">
        <w:rPr>
          <w:spacing w:val="-4"/>
          <w:sz w:val="16"/>
          <w:szCs w:val="16"/>
        </w:rPr>
        <w:t>snížení</w:t>
      </w:r>
      <w:r>
        <w:rPr>
          <w:spacing w:val="-4"/>
          <w:sz w:val="16"/>
          <w:szCs w:val="16"/>
        </w:rPr>
        <w:t xml:space="preserve"> daňového zatížení práce od roku 2021 </w:t>
      </w:r>
      <w:r w:rsidRPr="00F62C95">
        <w:rPr>
          <w:spacing w:val="-4"/>
          <w:sz w:val="16"/>
          <w:szCs w:val="16"/>
        </w:rPr>
        <w:t>(v souvislosti se zrušení</w:t>
      </w:r>
      <w:r>
        <w:rPr>
          <w:spacing w:val="-4"/>
          <w:sz w:val="16"/>
          <w:szCs w:val="16"/>
        </w:rPr>
        <w:t>m</w:t>
      </w:r>
      <w:r w:rsidRPr="00F62C95">
        <w:rPr>
          <w:spacing w:val="-4"/>
          <w:sz w:val="16"/>
          <w:szCs w:val="16"/>
        </w:rPr>
        <w:t xml:space="preserve"> tzv. superhrubé mzdy).</w:t>
      </w:r>
    </w:p>
  </w:footnote>
  <w:footnote w:id="9">
    <w:p w14:paraId="0AF4E13D" w14:textId="77777777" w:rsidR="00C8019E" w:rsidRPr="00271248" w:rsidRDefault="00C8019E" w:rsidP="001C3855">
      <w:pPr>
        <w:pStyle w:val="Textpoznpodarou"/>
        <w:rPr>
          <w:sz w:val="16"/>
          <w:szCs w:val="16"/>
        </w:rPr>
      </w:pPr>
      <w:r w:rsidRPr="00271248">
        <w:rPr>
          <w:rStyle w:val="Znakapoznpodarou"/>
          <w:sz w:val="16"/>
          <w:szCs w:val="16"/>
        </w:rPr>
        <w:footnoteRef/>
      </w:r>
      <w:r w:rsidRPr="00271248">
        <w:rPr>
          <w:sz w:val="16"/>
          <w:szCs w:val="16"/>
        </w:rPr>
        <w:t xml:space="preserve"> Úhrn měsíčních výdajů ve všech organi</w:t>
      </w:r>
      <w:r>
        <w:rPr>
          <w:sz w:val="16"/>
          <w:szCs w:val="16"/>
        </w:rPr>
        <w:t>začních složkách státu tak mohl</w:t>
      </w:r>
      <w:r w:rsidRPr="00271248">
        <w:rPr>
          <w:sz w:val="16"/>
          <w:szCs w:val="16"/>
        </w:rPr>
        <w:t xml:space="preserve"> dosáhnout maximálně jedné dvanáctiny celkových výdajů SR stanovených </w:t>
      </w:r>
      <w:r>
        <w:rPr>
          <w:sz w:val="16"/>
          <w:szCs w:val="16"/>
        </w:rPr>
        <w:t xml:space="preserve">dle schváleného </w:t>
      </w:r>
      <w:r w:rsidRPr="00271248">
        <w:rPr>
          <w:sz w:val="16"/>
          <w:szCs w:val="16"/>
        </w:rPr>
        <w:t>zákona o SR z roku 2021.</w:t>
      </w:r>
      <w:r>
        <w:rPr>
          <w:sz w:val="16"/>
          <w:szCs w:val="16"/>
        </w:rPr>
        <w:t xml:space="preserve"> Na</w:t>
      </w:r>
      <w:r w:rsidRPr="00EE46BC">
        <w:rPr>
          <w:sz w:val="16"/>
          <w:szCs w:val="16"/>
        </w:rPr>
        <w:t xml:space="preserve"> počátku roku </w:t>
      </w:r>
      <w:r>
        <w:rPr>
          <w:spacing w:val="-4"/>
          <w:sz w:val="16"/>
          <w:szCs w:val="16"/>
        </w:rPr>
        <w:t>došlo k omezení</w:t>
      </w:r>
      <w:r w:rsidRPr="00EE46BC">
        <w:rPr>
          <w:spacing w:val="-4"/>
          <w:sz w:val="16"/>
          <w:szCs w:val="16"/>
        </w:rPr>
        <w:t xml:space="preserve"> možnosti předfinancování některých běžných transferů a </w:t>
      </w:r>
      <w:r>
        <w:rPr>
          <w:spacing w:val="-4"/>
          <w:sz w:val="16"/>
          <w:szCs w:val="16"/>
        </w:rPr>
        <w:t>zásadně limitováno bylo rovněž použití</w:t>
      </w:r>
      <w:r w:rsidRPr="00EE46BC">
        <w:rPr>
          <w:spacing w:val="-4"/>
          <w:sz w:val="16"/>
          <w:szCs w:val="16"/>
        </w:rPr>
        <w:t xml:space="preserve"> i další</w:t>
      </w:r>
      <w:r>
        <w:rPr>
          <w:spacing w:val="-4"/>
          <w:sz w:val="16"/>
          <w:szCs w:val="16"/>
        </w:rPr>
        <w:t>ch zdrojů</w:t>
      </w:r>
      <w:r w:rsidRPr="00EE46BC">
        <w:rPr>
          <w:spacing w:val="-4"/>
          <w:sz w:val="16"/>
          <w:szCs w:val="16"/>
        </w:rPr>
        <w:t xml:space="preserve"> financování (např. </w:t>
      </w:r>
      <w:r w:rsidRPr="00EE46BC">
        <w:rPr>
          <w:sz w:val="16"/>
          <w:szCs w:val="16"/>
        </w:rPr>
        <w:t>mimorozpočtové zdroje – především nároky z nespotřebovaných výdajů z minulých le</w:t>
      </w:r>
      <w:r>
        <w:rPr>
          <w:sz w:val="16"/>
          <w:szCs w:val="16"/>
        </w:rPr>
        <w:t>t).</w:t>
      </w:r>
      <w:r w:rsidRPr="00862F80">
        <w:rPr>
          <w:sz w:val="16"/>
          <w:szCs w:val="16"/>
        </w:rPr>
        <w:t xml:space="preserve"> </w:t>
      </w:r>
      <w:r>
        <w:rPr>
          <w:sz w:val="16"/>
          <w:szCs w:val="16"/>
        </w:rPr>
        <w:t>To vedlo mj. k odkladu zbytných provozních výdajů i investic.</w:t>
      </w:r>
    </w:p>
  </w:footnote>
  <w:footnote w:id="10">
    <w:p w14:paraId="6F71A8A4" w14:textId="77777777" w:rsidR="00C8019E" w:rsidRPr="00AC0B00" w:rsidRDefault="00C8019E" w:rsidP="001C3855">
      <w:pPr>
        <w:pStyle w:val="Textpoznpodarou"/>
        <w:rPr>
          <w:sz w:val="16"/>
          <w:szCs w:val="16"/>
        </w:rPr>
      </w:pPr>
      <w:r w:rsidRPr="00AC0B00">
        <w:rPr>
          <w:rStyle w:val="Znakapoznpodarou"/>
          <w:sz w:val="16"/>
          <w:szCs w:val="16"/>
        </w:rPr>
        <w:footnoteRef/>
      </w:r>
      <w:r w:rsidRPr="00AC0B00">
        <w:rPr>
          <w:sz w:val="16"/>
          <w:szCs w:val="16"/>
        </w:rPr>
        <w:t xml:space="preserve"> </w:t>
      </w:r>
      <w:r>
        <w:rPr>
          <w:sz w:val="16"/>
          <w:szCs w:val="16"/>
        </w:rPr>
        <w:t>Řádná</w:t>
      </w:r>
      <w:r w:rsidRPr="00AC0B00">
        <w:rPr>
          <w:sz w:val="16"/>
          <w:szCs w:val="16"/>
        </w:rPr>
        <w:t xml:space="preserve"> lednová valorizace znamenala navýšení průměrného starobního důchodu o 5,2 % (805 korun), mimořádná valorizace v červnu analogicky o 6,3 % a v září pak o rovná 4 %</w:t>
      </w:r>
      <w:r>
        <w:rPr>
          <w:sz w:val="16"/>
          <w:szCs w:val="16"/>
        </w:rPr>
        <w:t>. Průměrný měsíční starobní důchod (bez souběhu s ostatními důchody) tak loni v prosinci dosáhl u mužů 19 755 korun, u žen 16 484 korun.</w:t>
      </w:r>
    </w:p>
  </w:footnote>
  <w:footnote w:id="11">
    <w:p w14:paraId="765F805B" w14:textId="77777777" w:rsidR="00C8019E" w:rsidRDefault="00C8019E" w:rsidP="001C3855">
      <w:pPr>
        <w:pStyle w:val="Textpoznpodarou"/>
      </w:pPr>
      <w:r w:rsidRPr="008428F0">
        <w:rPr>
          <w:rStyle w:val="Znakapoznpodarou"/>
          <w:spacing w:val="-4"/>
          <w:sz w:val="16"/>
          <w:szCs w:val="16"/>
        </w:rPr>
        <w:footnoteRef/>
      </w:r>
      <w:r w:rsidRPr="008428F0">
        <w:rPr>
          <w:rStyle w:val="Znakapoznpodarou"/>
          <w:spacing w:val="-4"/>
          <w:sz w:val="16"/>
          <w:szCs w:val="16"/>
        </w:rPr>
        <w:t xml:space="preserve"> </w:t>
      </w:r>
      <w:r w:rsidRPr="008428F0">
        <w:rPr>
          <w:sz w:val="16"/>
          <w:szCs w:val="16"/>
        </w:rPr>
        <w:t>Ten byl v roce 2022 stimulován nezvykle vysokou valorizací, jež převýšila vliv</w:t>
      </w:r>
      <w:r>
        <w:rPr>
          <w:sz w:val="16"/>
          <w:szCs w:val="16"/>
        </w:rPr>
        <w:t xml:space="preserve"> </w:t>
      </w:r>
      <w:r w:rsidRPr="008428F0">
        <w:rPr>
          <w:sz w:val="16"/>
          <w:szCs w:val="16"/>
        </w:rPr>
        <w:t>„penalizace“ za odchod do předčasného důchodu</w:t>
      </w:r>
      <w:r>
        <w:rPr>
          <w:sz w:val="16"/>
          <w:szCs w:val="16"/>
        </w:rPr>
        <w:t>. Z celkového počtu všech příjemců starobních důchodů tvořily osoby s předčasným důchodem již 28,7 %.</w:t>
      </w:r>
    </w:p>
  </w:footnote>
  <w:footnote w:id="12">
    <w:p w14:paraId="48CC08BC" w14:textId="77777777" w:rsidR="00C8019E" w:rsidRPr="00EC2E06" w:rsidRDefault="00C8019E" w:rsidP="001C3855">
      <w:pPr>
        <w:pStyle w:val="Textpoznpodarou"/>
        <w:jc w:val="both"/>
        <w:rPr>
          <w:spacing w:val="-4"/>
        </w:rPr>
      </w:pPr>
      <w:r w:rsidRPr="00EC2E06">
        <w:rPr>
          <w:rStyle w:val="Znakapoznpodarou"/>
          <w:spacing w:val="-4"/>
          <w:sz w:val="16"/>
          <w:szCs w:val="16"/>
        </w:rPr>
        <w:footnoteRef/>
      </w:r>
      <w:r>
        <w:rPr>
          <w:spacing w:val="-4"/>
          <w:sz w:val="16"/>
          <w:szCs w:val="16"/>
        </w:rPr>
        <w:t xml:space="preserve"> R</w:t>
      </w:r>
      <w:r w:rsidRPr="00EC2E06">
        <w:rPr>
          <w:rFonts w:cs="Arial"/>
          <w:color w:val="000000" w:themeColor="text1"/>
          <w:spacing w:val="-4"/>
          <w:sz w:val="16"/>
          <w:szCs w:val="16"/>
        </w:rPr>
        <w:t xml:space="preserve">ozdíl mezi příjmy a výdaji na důchody ze SR. Ve výdajích nejsou zahrnuty náklady na správu systému důchodového </w:t>
      </w:r>
      <w:r w:rsidRPr="00EC2E06">
        <w:rPr>
          <w:rFonts w:cs="Arial"/>
          <w:color w:val="0D0D0D" w:themeColor="text1" w:themeTint="F2"/>
          <w:spacing w:val="-4"/>
          <w:sz w:val="16"/>
          <w:szCs w:val="16"/>
        </w:rPr>
        <w:t>pojištění.</w:t>
      </w:r>
    </w:p>
  </w:footnote>
  <w:footnote w:id="13">
    <w:p w14:paraId="567800DE" w14:textId="77777777" w:rsidR="00C8019E" w:rsidRPr="00AB5EA8" w:rsidRDefault="00C8019E" w:rsidP="001C3855">
      <w:pPr>
        <w:pStyle w:val="Textpoznpodarou"/>
        <w:rPr>
          <w:sz w:val="16"/>
          <w:szCs w:val="16"/>
        </w:rPr>
      </w:pPr>
      <w:r w:rsidRPr="00694DF8">
        <w:rPr>
          <w:rStyle w:val="Znakapoznpodarou"/>
          <w:sz w:val="16"/>
          <w:szCs w:val="16"/>
        </w:rPr>
        <w:footnoteRef/>
      </w:r>
      <w:r w:rsidRPr="00694DF8">
        <w:rPr>
          <w:sz w:val="16"/>
          <w:szCs w:val="16"/>
        </w:rPr>
        <w:t xml:space="preserve"> Ten je vyplácen letos od srpna (ve výši 5 tis. korun za každé dítě) rodinám se středními a nižšími příjmy s cílem částečně kompenzovat rostoucí ceny energií, potravin a dalších potřeb </w:t>
      </w:r>
      <w:r w:rsidRPr="00AB5EA8">
        <w:rPr>
          <w:sz w:val="16"/>
          <w:szCs w:val="16"/>
        </w:rPr>
        <w:t>těmto rodinám.</w:t>
      </w:r>
    </w:p>
  </w:footnote>
  <w:footnote w:id="14">
    <w:p w14:paraId="54C6260E" w14:textId="77777777" w:rsidR="00C8019E" w:rsidRPr="0095169D" w:rsidRDefault="00C8019E" w:rsidP="001C3855">
      <w:pPr>
        <w:pStyle w:val="Textpoznpodarou"/>
        <w:rPr>
          <w:sz w:val="16"/>
          <w:szCs w:val="16"/>
        </w:rPr>
      </w:pPr>
      <w:r w:rsidRPr="0095169D">
        <w:rPr>
          <w:rStyle w:val="Znakapoznpodarou"/>
          <w:sz w:val="16"/>
          <w:szCs w:val="16"/>
        </w:rPr>
        <w:footnoteRef/>
      </w:r>
      <w:r w:rsidRPr="0095169D">
        <w:rPr>
          <w:sz w:val="16"/>
          <w:szCs w:val="16"/>
        </w:rPr>
        <w:t xml:space="preserve"> K tomu došlo zejména vlivem zákonného navýšení příspěvku pro </w:t>
      </w:r>
      <w:r>
        <w:rPr>
          <w:sz w:val="16"/>
          <w:szCs w:val="16"/>
        </w:rPr>
        <w:t xml:space="preserve">postižené </w:t>
      </w:r>
      <w:r w:rsidRPr="0095169D">
        <w:rPr>
          <w:sz w:val="16"/>
          <w:szCs w:val="16"/>
        </w:rPr>
        <w:t xml:space="preserve">osoby ve dvou nejtěžších stupních závislosti. </w:t>
      </w:r>
    </w:p>
  </w:footnote>
  <w:footnote w:id="15">
    <w:p w14:paraId="50AEC605" w14:textId="77777777" w:rsidR="00C8019E" w:rsidRPr="006B6115" w:rsidRDefault="00C8019E" w:rsidP="001C3855">
      <w:pPr>
        <w:pStyle w:val="Textpoznpodarou"/>
        <w:rPr>
          <w:sz w:val="16"/>
          <w:szCs w:val="16"/>
        </w:rPr>
      </w:pPr>
      <w:r w:rsidRPr="00AB5EA8">
        <w:rPr>
          <w:rStyle w:val="Znakapoznpodarou"/>
          <w:sz w:val="16"/>
          <w:szCs w:val="16"/>
        </w:rPr>
        <w:footnoteRef/>
      </w:r>
      <w:r w:rsidRPr="00AB5EA8">
        <w:rPr>
          <w:sz w:val="16"/>
          <w:szCs w:val="16"/>
        </w:rPr>
        <w:t xml:space="preserve"> Výdaje na dávky nemoce</w:t>
      </w:r>
      <w:r>
        <w:rPr>
          <w:sz w:val="16"/>
          <w:szCs w:val="16"/>
        </w:rPr>
        <w:t>nského pojištění tak v roce 2022</w:t>
      </w:r>
      <w:r w:rsidRPr="00AB5EA8">
        <w:rPr>
          <w:sz w:val="16"/>
          <w:szCs w:val="16"/>
        </w:rPr>
        <w:t xml:space="preserve"> převýšil</w:t>
      </w:r>
      <w:r w:rsidRPr="006B6115">
        <w:rPr>
          <w:sz w:val="16"/>
          <w:szCs w:val="16"/>
        </w:rPr>
        <w:t>y příjmy plyn</w:t>
      </w:r>
      <w:r>
        <w:rPr>
          <w:sz w:val="16"/>
          <w:szCs w:val="16"/>
        </w:rPr>
        <w:t>oucí na nemocenské pojištění o 8</w:t>
      </w:r>
      <w:r w:rsidRPr="006B6115">
        <w:rPr>
          <w:sz w:val="16"/>
          <w:szCs w:val="16"/>
        </w:rPr>
        <w:t xml:space="preserve"> mld. korun. To značilo lepší výsledek než</w:t>
      </w:r>
      <w:r>
        <w:rPr>
          <w:sz w:val="16"/>
          <w:szCs w:val="16"/>
        </w:rPr>
        <w:t xml:space="preserve"> v roce 2021 (–14,4 mld.) a 2020 (–21,3</w:t>
      </w:r>
      <w:r w:rsidRPr="006B6115">
        <w:rPr>
          <w:sz w:val="16"/>
          <w:szCs w:val="16"/>
        </w:rPr>
        <w:t xml:space="preserve"> mld.). Přebytek v oblasti nemocenského pojištění byl naposl</w:t>
      </w:r>
      <w:r>
        <w:rPr>
          <w:sz w:val="16"/>
          <w:szCs w:val="16"/>
        </w:rPr>
        <w:t>edy zaznamenán v roce 2018 (+0,6</w:t>
      </w:r>
      <w:r w:rsidRPr="006B6115">
        <w:rPr>
          <w:sz w:val="16"/>
          <w:szCs w:val="16"/>
        </w:rPr>
        <w:t xml:space="preserve"> mld.). </w:t>
      </w:r>
    </w:p>
  </w:footnote>
  <w:footnote w:id="16">
    <w:p w14:paraId="5BEF8CF9" w14:textId="77777777" w:rsidR="00C8019E" w:rsidRPr="00614788" w:rsidRDefault="00C8019E" w:rsidP="001C3855">
      <w:pPr>
        <w:pStyle w:val="Textpoznpodarou"/>
        <w:rPr>
          <w:spacing w:val="-2"/>
          <w:sz w:val="16"/>
          <w:szCs w:val="16"/>
        </w:rPr>
      </w:pPr>
      <w:r w:rsidRPr="00614788">
        <w:rPr>
          <w:rStyle w:val="Znakapoznpodarou"/>
          <w:spacing w:val="-2"/>
          <w:sz w:val="16"/>
          <w:szCs w:val="16"/>
        </w:rPr>
        <w:footnoteRef/>
      </w:r>
      <w:r w:rsidRPr="00614788">
        <w:rPr>
          <w:spacing w:val="-2"/>
          <w:sz w:val="16"/>
          <w:szCs w:val="16"/>
        </w:rPr>
        <w:t xml:space="preserve"> Čisté výdaje odpovídají saldu rozpočtov</w:t>
      </w:r>
      <w:r>
        <w:rPr>
          <w:spacing w:val="-2"/>
          <w:sz w:val="16"/>
          <w:szCs w:val="16"/>
        </w:rPr>
        <w:t>é kapitoly Státní dluh (č. 396).</w:t>
      </w:r>
    </w:p>
  </w:footnote>
  <w:footnote w:id="17">
    <w:p w14:paraId="10002086" w14:textId="77777777" w:rsidR="00C8019E" w:rsidRPr="003C31FB" w:rsidRDefault="00C8019E" w:rsidP="001C3855">
      <w:pPr>
        <w:pStyle w:val="Textpoznpodarou"/>
        <w:rPr>
          <w:sz w:val="16"/>
          <w:szCs w:val="16"/>
        </w:rPr>
      </w:pPr>
      <w:r w:rsidRPr="003C31FB">
        <w:rPr>
          <w:rStyle w:val="Znakapoznpodarou"/>
          <w:sz w:val="16"/>
          <w:szCs w:val="16"/>
        </w:rPr>
        <w:footnoteRef/>
      </w:r>
      <w:r>
        <w:rPr>
          <w:sz w:val="16"/>
          <w:szCs w:val="16"/>
        </w:rPr>
        <w:t xml:space="preserve"> Měsíční platby státu se od</w:t>
      </w:r>
      <w:r w:rsidRPr="003C31FB">
        <w:rPr>
          <w:sz w:val="16"/>
          <w:szCs w:val="16"/>
        </w:rPr>
        <w:t xml:space="preserve"> ledna 2022 zvýšily z 1767 korun na 1967 korun na osobu. Podle později schválené novely zákon</w:t>
      </w:r>
      <w:r>
        <w:rPr>
          <w:sz w:val="16"/>
          <w:szCs w:val="16"/>
        </w:rPr>
        <w:t>a</w:t>
      </w:r>
      <w:r w:rsidRPr="003C31FB">
        <w:rPr>
          <w:sz w:val="16"/>
          <w:szCs w:val="16"/>
        </w:rPr>
        <w:t xml:space="preserve"> </w:t>
      </w:r>
      <w:r>
        <w:rPr>
          <w:sz w:val="16"/>
          <w:szCs w:val="16"/>
        </w:rPr>
        <w:br/>
      </w:r>
      <w:r w:rsidRPr="003C31FB">
        <w:rPr>
          <w:sz w:val="16"/>
          <w:szCs w:val="16"/>
        </w:rPr>
        <w:t>o veřejn</w:t>
      </w:r>
      <w:r>
        <w:rPr>
          <w:sz w:val="16"/>
          <w:szCs w:val="16"/>
        </w:rPr>
        <w:t>ém zdravotním pojištění však došlo</w:t>
      </w:r>
      <w:r w:rsidRPr="003C31FB">
        <w:rPr>
          <w:sz w:val="16"/>
          <w:szCs w:val="16"/>
        </w:rPr>
        <w:t xml:space="preserve"> o</w:t>
      </w:r>
      <w:r>
        <w:rPr>
          <w:sz w:val="16"/>
          <w:szCs w:val="16"/>
        </w:rPr>
        <w:t>d září</w:t>
      </w:r>
      <w:r w:rsidRPr="003C31FB">
        <w:rPr>
          <w:sz w:val="16"/>
          <w:szCs w:val="16"/>
        </w:rPr>
        <w:t xml:space="preserve"> 2022 k poklesu platby na </w:t>
      </w:r>
      <w:r>
        <w:rPr>
          <w:sz w:val="16"/>
          <w:szCs w:val="16"/>
        </w:rPr>
        <w:t>1 487 korun.</w:t>
      </w:r>
    </w:p>
  </w:footnote>
  <w:footnote w:id="18">
    <w:p w14:paraId="6FEC7604" w14:textId="77777777" w:rsidR="00C8019E" w:rsidRPr="0024098E" w:rsidRDefault="00C8019E" w:rsidP="001C3855">
      <w:pPr>
        <w:pStyle w:val="Textpoznpodarou"/>
        <w:rPr>
          <w:sz w:val="16"/>
          <w:szCs w:val="16"/>
        </w:rPr>
      </w:pPr>
      <w:r w:rsidRPr="0024098E">
        <w:rPr>
          <w:rStyle w:val="Znakapoznpodarou"/>
          <w:sz w:val="16"/>
          <w:szCs w:val="16"/>
        </w:rPr>
        <w:footnoteRef/>
      </w:r>
      <w:r w:rsidRPr="0024098E">
        <w:rPr>
          <w:sz w:val="16"/>
          <w:szCs w:val="16"/>
        </w:rPr>
        <w:t xml:space="preserve"> V prosinci bylo ze SR na investicích čerpáno 39,5 mld. korun, tedy více než za první čtyři měsíce roku (28,5 mld.), které byly z velké části poznamenány</w:t>
      </w:r>
      <w:r>
        <w:rPr>
          <w:sz w:val="16"/>
          <w:szCs w:val="16"/>
        </w:rPr>
        <w:t xml:space="preserve"> režimem</w:t>
      </w:r>
      <w:r w:rsidRPr="0024098E">
        <w:rPr>
          <w:sz w:val="16"/>
          <w:szCs w:val="16"/>
        </w:rPr>
        <w:t xml:space="preserve"> rozpočtového provizoria.</w:t>
      </w:r>
    </w:p>
  </w:footnote>
  <w:footnote w:id="19">
    <w:p w14:paraId="5D786047" w14:textId="77777777" w:rsidR="00C8019E" w:rsidRPr="00A051BE" w:rsidRDefault="00C8019E" w:rsidP="001C3855">
      <w:pPr>
        <w:pStyle w:val="Textpoznpodarou"/>
        <w:rPr>
          <w:sz w:val="16"/>
          <w:szCs w:val="16"/>
        </w:rPr>
      </w:pPr>
      <w:r w:rsidRPr="00BC701B">
        <w:rPr>
          <w:rStyle w:val="Znakapoznpodarou"/>
          <w:sz w:val="16"/>
          <w:szCs w:val="16"/>
        </w:rPr>
        <w:footnoteRef/>
      </w:r>
      <w:r w:rsidRPr="00BC701B">
        <w:rPr>
          <w:sz w:val="16"/>
          <w:szCs w:val="16"/>
        </w:rPr>
        <w:t xml:space="preserve"> Nárůst dluhu v předchozích dvou letech silně poznamenaných dopady pandemie</w:t>
      </w:r>
      <w:r>
        <w:rPr>
          <w:sz w:val="16"/>
          <w:szCs w:val="16"/>
        </w:rPr>
        <w:t xml:space="preserve"> však také</w:t>
      </w:r>
      <w:r w:rsidRPr="00BC701B">
        <w:rPr>
          <w:sz w:val="16"/>
          <w:szCs w:val="16"/>
        </w:rPr>
        <w:t xml:space="preserve"> přesáhl 400 mld. korun (</w:t>
      </w:r>
      <w:r>
        <w:rPr>
          <w:sz w:val="16"/>
          <w:szCs w:val="16"/>
        </w:rPr>
        <w:t>v</w:t>
      </w:r>
      <w:r w:rsidRPr="0024098E">
        <w:rPr>
          <w:sz w:val="16"/>
          <w:szCs w:val="16"/>
        </w:rPr>
        <w:t> </w:t>
      </w:r>
      <w:r w:rsidRPr="00BC701B">
        <w:rPr>
          <w:sz w:val="16"/>
          <w:szCs w:val="16"/>
        </w:rPr>
        <w:t>roce 20</w:t>
      </w:r>
      <w:r>
        <w:rPr>
          <w:sz w:val="16"/>
          <w:szCs w:val="16"/>
        </w:rPr>
        <w:t>20 +409,5 mld., o rok později +</w:t>
      </w:r>
      <w:r w:rsidRPr="00BC701B">
        <w:rPr>
          <w:sz w:val="16"/>
          <w:szCs w:val="16"/>
        </w:rPr>
        <w:t>416,1 mld.).</w:t>
      </w:r>
    </w:p>
  </w:footnote>
  <w:footnote w:id="20">
    <w:p w14:paraId="6E126220" w14:textId="77777777" w:rsidR="00C8019E" w:rsidRDefault="00C8019E" w:rsidP="001C3855">
      <w:pPr>
        <w:pStyle w:val="Textpoznpodarou"/>
      </w:pPr>
      <w:r w:rsidRPr="00A051BE">
        <w:rPr>
          <w:rStyle w:val="Znakapoznpodarou"/>
          <w:sz w:val="16"/>
          <w:szCs w:val="16"/>
        </w:rPr>
        <w:footnoteRef/>
      </w:r>
      <w:r w:rsidRPr="00A051BE">
        <w:rPr>
          <w:sz w:val="16"/>
          <w:szCs w:val="16"/>
        </w:rPr>
        <w:t xml:space="preserve"> </w:t>
      </w:r>
      <w:r>
        <w:rPr>
          <w:spacing w:val="-4"/>
          <w:sz w:val="16"/>
          <w:szCs w:val="16"/>
        </w:rPr>
        <w:t>Hodnota</w:t>
      </w:r>
      <w:r w:rsidRPr="00790DFB">
        <w:rPr>
          <w:spacing w:val="-4"/>
          <w:sz w:val="16"/>
          <w:szCs w:val="16"/>
        </w:rPr>
        <w:t xml:space="preserve"> všech státních dluhopisů v oběhu </w:t>
      </w:r>
      <w:r>
        <w:rPr>
          <w:spacing w:val="-4"/>
          <w:sz w:val="16"/>
          <w:szCs w:val="16"/>
        </w:rPr>
        <w:t xml:space="preserve">vzrostla za loňský rok </w:t>
      </w:r>
      <w:r w:rsidRPr="00790DFB">
        <w:rPr>
          <w:spacing w:val="-4"/>
          <w:sz w:val="16"/>
          <w:szCs w:val="16"/>
        </w:rPr>
        <w:t xml:space="preserve">o 243,7 mld. korun, </w:t>
      </w:r>
      <w:r>
        <w:rPr>
          <w:spacing w:val="-4"/>
          <w:sz w:val="16"/>
          <w:szCs w:val="16"/>
        </w:rPr>
        <w:t xml:space="preserve">tedy </w:t>
      </w:r>
      <w:r w:rsidRPr="00790DFB">
        <w:rPr>
          <w:spacing w:val="-4"/>
          <w:sz w:val="16"/>
          <w:szCs w:val="16"/>
        </w:rPr>
        <w:t>na 2 609,8 mld.</w:t>
      </w:r>
      <w:r>
        <w:rPr>
          <w:spacing w:val="-4"/>
          <w:sz w:val="16"/>
          <w:szCs w:val="16"/>
        </w:rPr>
        <w:t xml:space="preserve"> Rovné dvě třetiny hodnoty dluhopisů držely v prosinci 2022 tuzemské finanční instituce, nerezidenti pak necelých 27 %. Z hlediska celkové držby dluhopisů posílil meziročně nejvíce podíl tuzemských domácností (na více než dvojnásobek –3,7 %), v menší míře také penzijních fondů, pojišťoven, investičních fondů a rovněž nerezidentů.</w:t>
      </w:r>
    </w:p>
  </w:footnote>
  <w:footnote w:id="21">
    <w:p w14:paraId="524B59C3" w14:textId="77777777" w:rsidR="00C8019E" w:rsidRDefault="00C8019E" w:rsidP="001C3855">
      <w:pPr>
        <w:pStyle w:val="Textpoznpodarou"/>
        <w:rPr>
          <w:sz w:val="16"/>
          <w:szCs w:val="16"/>
        </w:rPr>
      </w:pPr>
      <w:r w:rsidRPr="008C2F4A">
        <w:rPr>
          <w:rStyle w:val="Znakapoznpodarou"/>
          <w:sz w:val="16"/>
          <w:szCs w:val="16"/>
        </w:rPr>
        <w:footnoteRef/>
      </w:r>
      <w:r w:rsidRPr="008C2F4A">
        <w:rPr>
          <w:sz w:val="16"/>
          <w:szCs w:val="16"/>
        </w:rPr>
        <w:t xml:space="preserve"> </w:t>
      </w:r>
      <w:r>
        <w:rPr>
          <w:sz w:val="16"/>
          <w:szCs w:val="16"/>
        </w:rPr>
        <w:t xml:space="preserve">Údaje o hospodaření vládních institucí za 4. čtvrtletí i celý rok 2022 zveřejní ČSÚ 3. dubna 2023, </w:t>
      </w:r>
      <w:proofErr w:type="spellStart"/>
      <w:r>
        <w:rPr>
          <w:sz w:val="16"/>
          <w:szCs w:val="16"/>
        </w:rPr>
        <w:t>Eurostat</w:t>
      </w:r>
      <w:proofErr w:type="spellEnd"/>
      <w:r>
        <w:rPr>
          <w:sz w:val="16"/>
          <w:szCs w:val="16"/>
        </w:rPr>
        <w:t xml:space="preserve"> analogicky 21. dubna 2023. Detailnější zhodnocení tuzemského vývoje za 3. čtvrtletí 2022 je obsaženo v publikaci Analýza sektorových účtů:</w:t>
      </w:r>
    </w:p>
    <w:p w14:paraId="2FBF7CA9" w14:textId="77777777" w:rsidR="00C8019E" w:rsidRPr="00900B2B" w:rsidRDefault="00B03015" w:rsidP="001C3855">
      <w:pPr>
        <w:pStyle w:val="Textpoznpodarou"/>
        <w:rPr>
          <w:sz w:val="16"/>
          <w:szCs w:val="16"/>
        </w:rPr>
      </w:pPr>
      <w:hyperlink r:id="rId1" w:history="1">
        <w:r w:rsidR="00C8019E" w:rsidRPr="00017AB9">
          <w:rPr>
            <w:rStyle w:val="Hypertextovodkaz"/>
            <w:sz w:val="16"/>
            <w:szCs w:val="16"/>
          </w:rPr>
          <w:t>https://www.czso.cz/csu/czso/cri/analyza-ctvrtletnich-sektorovych-uctu-3-ctvrtleti-2022</w:t>
        </w:r>
      </w:hyperlink>
    </w:p>
  </w:footnote>
  <w:footnote w:id="22">
    <w:p w14:paraId="601E2BAB" w14:textId="77777777" w:rsidR="00C8019E" w:rsidRPr="00654E54" w:rsidRDefault="00C8019E" w:rsidP="001C3855">
      <w:pPr>
        <w:pStyle w:val="Textpoznpodarou"/>
        <w:rPr>
          <w:sz w:val="16"/>
          <w:szCs w:val="16"/>
        </w:rPr>
      </w:pPr>
      <w:r w:rsidRPr="00654E54">
        <w:rPr>
          <w:rStyle w:val="Znakapoznpodarou"/>
          <w:sz w:val="16"/>
          <w:szCs w:val="16"/>
        </w:rPr>
        <w:footnoteRef/>
      </w:r>
      <w:r>
        <w:rPr>
          <w:sz w:val="16"/>
          <w:szCs w:val="16"/>
        </w:rPr>
        <w:t xml:space="preserve"> Není-li uvedeno jinak, jsou ú</w:t>
      </w:r>
      <w:r w:rsidRPr="00654E54">
        <w:rPr>
          <w:sz w:val="16"/>
          <w:szCs w:val="16"/>
        </w:rPr>
        <w:t xml:space="preserve">daje o hospodaření sektoru VI v ČR </w:t>
      </w:r>
      <w:r>
        <w:rPr>
          <w:sz w:val="16"/>
          <w:szCs w:val="16"/>
        </w:rPr>
        <w:t>vyjádře</w:t>
      </w:r>
      <w:r w:rsidRPr="00654E54">
        <w:rPr>
          <w:sz w:val="16"/>
          <w:szCs w:val="16"/>
        </w:rPr>
        <w:t>ny bez sezónního očištění.</w:t>
      </w:r>
    </w:p>
  </w:footnote>
  <w:footnote w:id="23">
    <w:p w14:paraId="007E3BE2" w14:textId="77777777" w:rsidR="00C8019E" w:rsidRPr="00A274FC" w:rsidRDefault="00C8019E" w:rsidP="001C3855">
      <w:pPr>
        <w:pStyle w:val="Textpoznpodarou"/>
        <w:rPr>
          <w:sz w:val="16"/>
          <w:szCs w:val="16"/>
        </w:rPr>
      </w:pPr>
      <w:r w:rsidRPr="00A274FC">
        <w:rPr>
          <w:rStyle w:val="Znakapoznpodarou"/>
          <w:sz w:val="16"/>
          <w:szCs w:val="16"/>
        </w:rPr>
        <w:footnoteRef/>
      </w:r>
      <w:r>
        <w:rPr>
          <w:sz w:val="16"/>
          <w:szCs w:val="16"/>
        </w:rPr>
        <w:t xml:space="preserve"> Údaje o saldu hospodaření</w:t>
      </w:r>
      <w:r w:rsidRPr="00A274FC">
        <w:rPr>
          <w:sz w:val="16"/>
          <w:szCs w:val="16"/>
        </w:rPr>
        <w:t xml:space="preserve"> sektoru VI </w:t>
      </w:r>
      <w:r>
        <w:rPr>
          <w:sz w:val="16"/>
          <w:szCs w:val="16"/>
        </w:rPr>
        <w:t>v zemích EU vyjádřené</w:t>
      </w:r>
      <w:r w:rsidRPr="00A274FC">
        <w:rPr>
          <w:sz w:val="16"/>
          <w:szCs w:val="16"/>
        </w:rPr>
        <w:t xml:space="preserve"> po sezónním očištění.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A67" w14:textId="77777777" w:rsidR="00C8019E" w:rsidRDefault="00C8019E" w:rsidP="00937AE2">
    <w:pPr>
      <w:pStyle w:val="Zhlav"/>
    </w:pPr>
    <w:r>
      <w:t>Vývoj ekonomiky České republiky</w:t>
    </w:r>
  </w:p>
  <w:p w14:paraId="3E881AB3" w14:textId="77777777" w:rsidR="00C8019E" w:rsidRPr="006F5416" w:rsidRDefault="00C8019E"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D3DB" w14:textId="77777777" w:rsidR="00C8019E" w:rsidRDefault="00C8019E" w:rsidP="00937AE2">
    <w:pPr>
      <w:pStyle w:val="Zhlav"/>
    </w:pPr>
    <w:r>
      <w:t>Vývoj ekonomiky České republiky</w:t>
    </w:r>
  </w:p>
  <w:p w14:paraId="57266714" w14:textId="77777777" w:rsidR="00C8019E" w:rsidRPr="006F5416" w:rsidRDefault="00C8019E"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989675651">
    <w:abstractNumId w:val="25"/>
  </w:num>
  <w:num w:numId="2" w16cid:durableId="42993069">
    <w:abstractNumId w:val="8"/>
  </w:num>
  <w:num w:numId="3" w16cid:durableId="1188448633">
    <w:abstractNumId w:val="3"/>
  </w:num>
  <w:num w:numId="4" w16cid:durableId="178853939">
    <w:abstractNumId w:val="2"/>
  </w:num>
  <w:num w:numId="5" w16cid:durableId="467431360">
    <w:abstractNumId w:val="1"/>
  </w:num>
  <w:num w:numId="6" w16cid:durableId="1323971648">
    <w:abstractNumId w:val="0"/>
  </w:num>
  <w:num w:numId="7" w16cid:durableId="1319113600">
    <w:abstractNumId w:val="9"/>
  </w:num>
  <w:num w:numId="8" w16cid:durableId="1380520353">
    <w:abstractNumId w:val="7"/>
  </w:num>
  <w:num w:numId="9" w16cid:durableId="1491631085">
    <w:abstractNumId w:val="6"/>
  </w:num>
  <w:num w:numId="10" w16cid:durableId="1311446643">
    <w:abstractNumId w:val="5"/>
  </w:num>
  <w:num w:numId="11" w16cid:durableId="1993364951">
    <w:abstractNumId w:val="4"/>
  </w:num>
  <w:num w:numId="12" w16cid:durableId="231276771">
    <w:abstractNumId w:val="15"/>
  </w:num>
  <w:num w:numId="13" w16cid:durableId="207644179">
    <w:abstractNumId w:val="27"/>
  </w:num>
  <w:num w:numId="14" w16cid:durableId="1218779089">
    <w:abstractNumId w:val="14"/>
  </w:num>
  <w:num w:numId="15" w16cid:durableId="1609242427">
    <w:abstractNumId w:val="20"/>
  </w:num>
  <w:num w:numId="16" w16cid:durableId="375545102">
    <w:abstractNumId w:val="16"/>
  </w:num>
  <w:num w:numId="17" w16cid:durableId="1211458968">
    <w:abstractNumId w:val="28"/>
  </w:num>
  <w:num w:numId="18" w16cid:durableId="482963397">
    <w:abstractNumId w:val="21"/>
  </w:num>
  <w:num w:numId="19" w16cid:durableId="836001720">
    <w:abstractNumId w:val="29"/>
  </w:num>
  <w:num w:numId="20" w16cid:durableId="979767753">
    <w:abstractNumId w:val="30"/>
  </w:num>
  <w:num w:numId="21" w16cid:durableId="862285838">
    <w:abstractNumId w:val="26"/>
  </w:num>
  <w:num w:numId="22" w16cid:durableId="582881778">
    <w:abstractNumId w:val="19"/>
  </w:num>
  <w:num w:numId="23" w16cid:durableId="526522376">
    <w:abstractNumId w:val="17"/>
  </w:num>
  <w:num w:numId="24" w16cid:durableId="386228362">
    <w:abstractNumId w:val="18"/>
  </w:num>
  <w:num w:numId="25" w16cid:durableId="1287664625">
    <w:abstractNumId w:val="13"/>
  </w:num>
  <w:num w:numId="26" w16cid:durableId="907227532">
    <w:abstractNumId w:val="23"/>
  </w:num>
  <w:num w:numId="27" w16cid:durableId="1723559017">
    <w:abstractNumId w:val="22"/>
  </w:num>
  <w:num w:numId="28" w16cid:durableId="1931085482">
    <w:abstractNumId w:val="10"/>
  </w:num>
  <w:num w:numId="29" w16cid:durableId="612982388">
    <w:abstractNumId w:val="30"/>
  </w:num>
  <w:num w:numId="30" w16cid:durableId="189496072">
    <w:abstractNumId w:val="24"/>
  </w:num>
  <w:num w:numId="31" w16cid:durableId="611744734">
    <w:abstractNumId w:val="12"/>
  </w:num>
  <w:num w:numId="32" w16cid:durableId="1852186949">
    <w:abstractNumId w:val="31"/>
  </w:num>
  <w:num w:numId="33" w16cid:durableId="698824509">
    <w:abstractNumId w:val="30"/>
  </w:num>
  <w:num w:numId="34" w16cid:durableId="6997447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994"/>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389"/>
    <w:rsid w:val="0002669F"/>
    <w:rsid w:val="000279E5"/>
    <w:rsid w:val="000305E0"/>
    <w:rsid w:val="00031AE0"/>
    <w:rsid w:val="00031BB2"/>
    <w:rsid w:val="000322EF"/>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AD4"/>
    <w:rsid w:val="00047D54"/>
    <w:rsid w:val="00050541"/>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4ED"/>
    <w:rsid w:val="000837CD"/>
    <w:rsid w:val="00083B7F"/>
    <w:rsid w:val="00084BFF"/>
    <w:rsid w:val="00085395"/>
    <w:rsid w:val="00086896"/>
    <w:rsid w:val="00086AC1"/>
    <w:rsid w:val="00086D19"/>
    <w:rsid w:val="00087634"/>
    <w:rsid w:val="00087F2B"/>
    <w:rsid w:val="00090694"/>
    <w:rsid w:val="00090EE2"/>
    <w:rsid w:val="00090FC6"/>
    <w:rsid w:val="0009122C"/>
    <w:rsid w:val="000913B1"/>
    <w:rsid w:val="0009290F"/>
    <w:rsid w:val="00093241"/>
    <w:rsid w:val="00093868"/>
    <w:rsid w:val="00094A84"/>
    <w:rsid w:val="00095025"/>
    <w:rsid w:val="00095135"/>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85C"/>
    <w:rsid w:val="000A3A2C"/>
    <w:rsid w:val="000A3D9E"/>
    <w:rsid w:val="000A4A54"/>
    <w:rsid w:val="000A4ED9"/>
    <w:rsid w:val="000A5DB7"/>
    <w:rsid w:val="000A6753"/>
    <w:rsid w:val="000A6D94"/>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D7AC7"/>
    <w:rsid w:val="000E0E96"/>
    <w:rsid w:val="000E298B"/>
    <w:rsid w:val="000E2C7D"/>
    <w:rsid w:val="000E3E56"/>
    <w:rsid w:val="000E440D"/>
    <w:rsid w:val="000E4AC5"/>
    <w:rsid w:val="000E6253"/>
    <w:rsid w:val="000E6AC4"/>
    <w:rsid w:val="000E6E4D"/>
    <w:rsid w:val="000E6FBD"/>
    <w:rsid w:val="000E6FCB"/>
    <w:rsid w:val="000F090B"/>
    <w:rsid w:val="000F15F7"/>
    <w:rsid w:val="000F1AA2"/>
    <w:rsid w:val="000F378E"/>
    <w:rsid w:val="000F3F3B"/>
    <w:rsid w:val="000F4721"/>
    <w:rsid w:val="000F47E8"/>
    <w:rsid w:val="000F70E4"/>
    <w:rsid w:val="000F76EA"/>
    <w:rsid w:val="00100A8B"/>
    <w:rsid w:val="00100F5C"/>
    <w:rsid w:val="00101B15"/>
    <w:rsid w:val="00101CDA"/>
    <w:rsid w:val="00102037"/>
    <w:rsid w:val="00103DCB"/>
    <w:rsid w:val="00104C4C"/>
    <w:rsid w:val="00105015"/>
    <w:rsid w:val="001055D2"/>
    <w:rsid w:val="001057C2"/>
    <w:rsid w:val="00107124"/>
    <w:rsid w:val="0011038E"/>
    <w:rsid w:val="00111573"/>
    <w:rsid w:val="00112370"/>
    <w:rsid w:val="0011239B"/>
    <w:rsid w:val="001125EF"/>
    <w:rsid w:val="00112CAB"/>
    <w:rsid w:val="0011440C"/>
    <w:rsid w:val="00114C33"/>
    <w:rsid w:val="00116D3F"/>
    <w:rsid w:val="00117474"/>
    <w:rsid w:val="00117623"/>
    <w:rsid w:val="00117FEA"/>
    <w:rsid w:val="001200CF"/>
    <w:rsid w:val="001208E3"/>
    <w:rsid w:val="00121609"/>
    <w:rsid w:val="0012192F"/>
    <w:rsid w:val="00122994"/>
    <w:rsid w:val="00123204"/>
    <w:rsid w:val="00124B46"/>
    <w:rsid w:val="001257BE"/>
    <w:rsid w:val="001257E0"/>
    <w:rsid w:val="00125D69"/>
    <w:rsid w:val="0012799C"/>
    <w:rsid w:val="00127BC2"/>
    <w:rsid w:val="00127E15"/>
    <w:rsid w:val="001308F1"/>
    <w:rsid w:val="00130ADC"/>
    <w:rsid w:val="00130D9F"/>
    <w:rsid w:val="00132C4D"/>
    <w:rsid w:val="00133FC1"/>
    <w:rsid w:val="00134659"/>
    <w:rsid w:val="00135111"/>
    <w:rsid w:val="00136A6F"/>
    <w:rsid w:val="00136C1A"/>
    <w:rsid w:val="00137812"/>
    <w:rsid w:val="001405FA"/>
    <w:rsid w:val="00140D1A"/>
    <w:rsid w:val="00141184"/>
    <w:rsid w:val="00141315"/>
    <w:rsid w:val="00141AA0"/>
    <w:rsid w:val="001425C3"/>
    <w:rsid w:val="0014262D"/>
    <w:rsid w:val="00142B29"/>
    <w:rsid w:val="00144108"/>
    <w:rsid w:val="00144588"/>
    <w:rsid w:val="001447DD"/>
    <w:rsid w:val="00145358"/>
    <w:rsid w:val="001459BC"/>
    <w:rsid w:val="0014779E"/>
    <w:rsid w:val="00150ECA"/>
    <w:rsid w:val="0015108F"/>
    <w:rsid w:val="00151707"/>
    <w:rsid w:val="00152C86"/>
    <w:rsid w:val="00152F4F"/>
    <w:rsid w:val="00153264"/>
    <w:rsid w:val="0015329F"/>
    <w:rsid w:val="001544A1"/>
    <w:rsid w:val="001553B8"/>
    <w:rsid w:val="001554C2"/>
    <w:rsid w:val="00156D04"/>
    <w:rsid w:val="001571C0"/>
    <w:rsid w:val="001574FE"/>
    <w:rsid w:val="0015753D"/>
    <w:rsid w:val="00157984"/>
    <w:rsid w:val="00157CC9"/>
    <w:rsid w:val="00160C21"/>
    <w:rsid w:val="001612F4"/>
    <w:rsid w:val="00161553"/>
    <w:rsid w:val="0016216F"/>
    <w:rsid w:val="0016256B"/>
    <w:rsid w:val="00162F81"/>
    <w:rsid w:val="00163793"/>
    <w:rsid w:val="00163868"/>
    <w:rsid w:val="00164CA1"/>
    <w:rsid w:val="00165313"/>
    <w:rsid w:val="001659C3"/>
    <w:rsid w:val="001665AB"/>
    <w:rsid w:val="00167485"/>
    <w:rsid w:val="001679F5"/>
    <w:rsid w:val="00167B92"/>
    <w:rsid w:val="00167CB9"/>
    <w:rsid w:val="00167DD8"/>
    <w:rsid w:val="001705AD"/>
    <w:rsid w:val="001706D6"/>
    <w:rsid w:val="001714F2"/>
    <w:rsid w:val="00171FEA"/>
    <w:rsid w:val="00173622"/>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3855"/>
    <w:rsid w:val="001C4B8F"/>
    <w:rsid w:val="001C4BB8"/>
    <w:rsid w:val="001C4D8C"/>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7EFD"/>
    <w:rsid w:val="001D7F60"/>
    <w:rsid w:val="001E085B"/>
    <w:rsid w:val="001E149B"/>
    <w:rsid w:val="001E15CB"/>
    <w:rsid w:val="001E3306"/>
    <w:rsid w:val="001E504C"/>
    <w:rsid w:val="001E56AC"/>
    <w:rsid w:val="001E5A17"/>
    <w:rsid w:val="001E74C5"/>
    <w:rsid w:val="001F1236"/>
    <w:rsid w:val="001F2F90"/>
    <w:rsid w:val="001F4597"/>
    <w:rsid w:val="001F4826"/>
    <w:rsid w:val="001F4933"/>
    <w:rsid w:val="001F59C8"/>
    <w:rsid w:val="001F6483"/>
    <w:rsid w:val="001F6CD3"/>
    <w:rsid w:val="001F75DA"/>
    <w:rsid w:val="001F7931"/>
    <w:rsid w:val="001F7CE0"/>
    <w:rsid w:val="00200085"/>
    <w:rsid w:val="00201633"/>
    <w:rsid w:val="00203332"/>
    <w:rsid w:val="002036E6"/>
    <w:rsid w:val="00203CD5"/>
    <w:rsid w:val="00203D8F"/>
    <w:rsid w:val="00203DA4"/>
    <w:rsid w:val="00204EA6"/>
    <w:rsid w:val="00205186"/>
    <w:rsid w:val="00206516"/>
    <w:rsid w:val="002070CF"/>
    <w:rsid w:val="002071D5"/>
    <w:rsid w:val="002073FD"/>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2B7"/>
    <w:rsid w:val="00251496"/>
    <w:rsid w:val="00251B08"/>
    <w:rsid w:val="00251C53"/>
    <w:rsid w:val="00252AB9"/>
    <w:rsid w:val="002532B1"/>
    <w:rsid w:val="00253C0F"/>
    <w:rsid w:val="002558C1"/>
    <w:rsid w:val="00256207"/>
    <w:rsid w:val="002575F3"/>
    <w:rsid w:val="002601B4"/>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5E43"/>
    <w:rsid w:val="002763A2"/>
    <w:rsid w:val="00276B33"/>
    <w:rsid w:val="00277669"/>
    <w:rsid w:val="002803A5"/>
    <w:rsid w:val="00280ACB"/>
    <w:rsid w:val="002812E3"/>
    <w:rsid w:val="00281576"/>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B75C0"/>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631B"/>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17EC"/>
    <w:rsid w:val="00302165"/>
    <w:rsid w:val="00303BB4"/>
    <w:rsid w:val="00304771"/>
    <w:rsid w:val="00304F9C"/>
    <w:rsid w:val="003052D4"/>
    <w:rsid w:val="00305863"/>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C6C"/>
    <w:rsid w:val="00341D26"/>
    <w:rsid w:val="00341F05"/>
    <w:rsid w:val="0034335E"/>
    <w:rsid w:val="00344668"/>
    <w:rsid w:val="00344940"/>
    <w:rsid w:val="00346234"/>
    <w:rsid w:val="003462D9"/>
    <w:rsid w:val="0034723F"/>
    <w:rsid w:val="00347247"/>
    <w:rsid w:val="003474B6"/>
    <w:rsid w:val="00347DD4"/>
    <w:rsid w:val="00352B43"/>
    <w:rsid w:val="00352C28"/>
    <w:rsid w:val="003541BB"/>
    <w:rsid w:val="00354502"/>
    <w:rsid w:val="00354F89"/>
    <w:rsid w:val="0035506D"/>
    <w:rsid w:val="003579A1"/>
    <w:rsid w:val="0036077F"/>
    <w:rsid w:val="00360A35"/>
    <w:rsid w:val="00360C86"/>
    <w:rsid w:val="00360F7A"/>
    <w:rsid w:val="00360FBC"/>
    <w:rsid w:val="00361537"/>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45E3"/>
    <w:rsid w:val="003A46B8"/>
    <w:rsid w:val="003A478C"/>
    <w:rsid w:val="003A4A38"/>
    <w:rsid w:val="003A5295"/>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87"/>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6920"/>
    <w:rsid w:val="003E0249"/>
    <w:rsid w:val="003E08A4"/>
    <w:rsid w:val="003E105C"/>
    <w:rsid w:val="003E1EF8"/>
    <w:rsid w:val="003E2DFB"/>
    <w:rsid w:val="003E4466"/>
    <w:rsid w:val="003E4C91"/>
    <w:rsid w:val="003E52D8"/>
    <w:rsid w:val="003E62F1"/>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1179"/>
    <w:rsid w:val="004225D7"/>
    <w:rsid w:val="00423623"/>
    <w:rsid w:val="0042470E"/>
    <w:rsid w:val="00425352"/>
    <w:rsid w:val="00426C99"/>
    <w:rsid w:val="004272BE"/>
    <w:rsid w:val="00430C96"/>
    <w:rsid w:val="0043174F"/>
    <w:rsid w:val="00431BFF"/>
    <w:rsid w:val="00432199"/>
    <w:rsid w:val="00432A58"/>
    <w:rsid w:val="004331C3"/>
    <w:rsid w:val="00433C17"/>
    <w:rsid w:val="00434617"/>
    <w:rsid w:val="00434DE9"/>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5833"/>
    <w:rsid w:val="00456FB5"/>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735C"/>
    <w:rsid w:val="004776BC"/>
    <w:rsid w:val="00477820"/>
    <w:rsid w:val="00477B96"/>
    <w:rsid w:val="00480802"/>
    <w:rsid w:val="00480BAE"/>
    <w:rsid w:val="00480D7F"/>
    <w:rsid w:val="0048139F"/>
    <w:rsid w:val="00481E40"/>
    <w:rsid w:val="00482405"/>
    <w:rsid w:val="004826A7"/>
    <w:rsid w:val="0048368C"/>
    <w:rsid w:val="0048372F"/>
    <w:rsid w:val="0048399F"/>
    <w:rsid w:val="00483A0C"/>
    <w:rsid w:val="004841CC"/>
    <w:rsid w:val="00484ECE"/>
    <w:rsid w:val="00485E82"/>
    <w:rsid w:val="00486132"/>
    <w:rsid w:val="0048686D"/>
    <w:rsid w:val="00486A4D"/>
    <w:rsid w:val="004915CB"/>
    <w:rsid w:val="00491A2B"/>
    <w:rsid w:val="004924DC"/>
    <w:rsid w:val="00492879"/>
    <w:rsid w:val="00493E85"/>
    <w:rsid w:val="00495145"/>
    <w:rsid w:val="0049531F"/>
    <w:rsid w:val="004979A5"/>
    <w:rsid w:val="004A0144"/>
    <w:rsid w:val="004A036E"/>
    <w:rsid w:val="004A0498"/>
    <w:rsid w:val="004A06B0"/>
    <w:rsid w:val="004A0D0E"/>
    <w:rsid w:val="004A14E4"/>
    <w:rsid w:val="004A204E"/>
    <w:rsid w:val="004A26A5"/>
    <w:rsid w:val="004A27F0"/>
    <w:rsid w:val="004A3212"/>
    <w:rsid w:val="004A37CD"/>
    <w:rsid w:val="004A40D9"/>
    <w:rsid w:val="004A49A5"/>
    <w:rsid w:val="004A4F8A"/>
    <w:rsid w:val="004A52AB"/>
    <w:rsid w:val="004A5494"/>
    <w:rsid w:val="004A5D4E"/>
    <w:rsid w:val="004A61C5"/>
    <w:rsid w:val="004A62A0"/>
    <w:rsid w:val="004A77DF"/>
    <w:rsid w:val="004A7DC0"/>
    <w:rsid w:val="004B1417"/>
    <w:rsid w:val="004B1627"/>
    <w:rsid w:val="004B305C"/>
    <w:rsid w:val="004B31B8"/>
    <w:rsid w:val="004B339A"/>
    <w:rsid w:val="004B4C83"/>
    <w:rsid w:val="004B55B7"/>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D31"/>
    <w:rsid w:val="004D2E03"/>
    <w:rsid w:val="004D3296"/>
    <w:rsid w:val="004D4056"/>
    <w:rsid w:val="004D4CB0"/>
    <w:rsid w:val="004D5B0F"/>
    <w:rsid w:val="004D7626"/>
    <w:rsid w:val="004E085C"/>
    <w:rsid w:val="004E12DF"/>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782"/>
    <w:rsid w:val="0053595E"/>
    <w:rsid w:val="00537571"/>
    <w:rsid w:val="00540056"/>
    <w:rsid w:val="005410E2"/>
    <w:rsid w:val="00541508"/>
    <w:rsid w:val="00541AE3"/>
    <w:rsid w:val="00543498"/>
    <w:rsid w:val="00544011"/>
    <w:rsid w:val="00544BE5"/>
    <w:rsid w:val="005453A3"/>
    <w:rsid w:val="005455F6"/>
    <w:rsid w:val="0054582F"/>
    <w:rsid w:val="00546FC7"/>
    <w:rsid w:val="005500F9"/>
    <w:rsid w:val="00550160"/>
    <w:rsid w:val="00550249"/>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5F3"/>
    <w:rsid w:val="00560C41"/>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601"/>
    <w:rsid w:val="00570BC3"/>
    <w:rsid w:val="00571766"/>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9060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0C"/>
    <w:rsid w:val="005A0463"/>
    <w:rsid w:val="005A0948"/>
    <w:rsid w:val="005A0A03"/>
    <w:rsid w:val="005A10F2"/>
    <w:rsid w:val="005A16C0"/>
    <w:rsid w:val="005A2156"/>
    <w:rsid w:val="005A21E0"/>
    <w:rsid w:val="005A2401"/>
    <w:rsid w:val="005A28FF"/>
    <w:rsid w:val="005A2C09"/>
    <w:rsid w:val="005A3778"/>
    <w:rsid w:val="005A37B0"/>
    <w:rsid w:val="005A3DF8"/>
    <w:rsid w:val="005A5549"/>
    <w:rsid w:val="005A566A"/>
    <w:rsid w:val="005A56E0"/>
    <w:rsid w:val="005A70CA"/>
    <w:rsid w:val="005A7ABD"/>
    <w:rsid w:val="005A7CF8"/>
    <w:rsid w:val="005B0EDA"/>
    <w:rsid w:val="005B121D"/>
    <w:rsid w:val="005B26B0"/>
    <w:rsid w:val="005B41C9"/>
    <w:rsid w:val="005B44E6"/>
    <w:rsid w:val="005B4853"/>
    <w:rsid w:val="005B6CA1"/>
    <w:rsid w:val="005B770C"/>
    <w:rsid w:val="005C06ED"/>
    <w:rsid w:val="005C0CE1"/>
    <w:rsid w:val="005C11B8"/>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66E6"/>
    <w:rsid w:val="005D7119"/>
    <w:rsid w:val="005D76C8"/>
    <w:rsid w:val="005D7890"/>
    <w:rsid w:val="005E19C1"/>
    <w:rsid w:val="005E2194"/>
    <w:rsid w:val="005E24F0"/>
    <w:rsid w:val="005E3113"/>
    <w:rsid w:val="005E36FE"/>
    <w:rsid w:val="005E3F66"/>
    <w:rsid w:val="005E490F"/>
    <w:rsid w:val="005E4BC9"/>
    <w:rsid w:val="005E5314"/>
    <w:rsid w:val="005E772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60120D"/>
    <w:rsid w:val="006017C1"/>
    <w:rsid w:val="00601ADE"/>
    <w:rsid w:val="00601EEF"/>
    <w:rsid w:val="0060255A"/>
    <w:rsid w:val="00602998"/>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641"/>
    <w:rsid w:val="00620B77"/>
    <w:rsid w:val="00621190"/>
    <w:rsid w:val="0062131B"/>
    <w:rsid w:val="00621E26"/>
    <w:rsid w:val="006224EA"/>
    <w:rsid w:val="0062263A"/>
    <w:rsid w:val="006227DF"/>
    <w:rsid w:val="006234A0"/>
    <w:rsid w:val="006236C8"/>
    <w:rsid w:val="00624093"/>
    <w:rsid w:val="00625A84"/>
    <w:rsid w:val="00626079"/>
    <w:rsid w:val="00631698"/>
    <w:rsid w:val="00631E44"/>
    <w:rsid w:val="00634C57"/>
    <w:rsid w:val="00634CE7"/>
    <w:rsid w:val="006350D5"/>
    <w:rsid w:val="0063642C"/>
    <w:rsid w:val="006376B3"/>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501"/>
    <w:rsid w:val="00665982"/>
    <w:rsid w:val="00665BA4"/>
    <w:rsid w:val="00666BF3"/>
    <w:rsid w:val="00667856"/>
    <w:rsid w:val="00667AF2"/>
    <w:rsid w:val="00670489"/>
    <w:rsid w:val="006710C9"/>
    <w:rsid w:val="00671D85"/>
    <w:rsid w:val="00672586"/>
    <w:rsid w:val="006727BC"/>
    <w:rsid w:val="006741CD"/>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B9B"/>
    <w:rsid w:val="00684D59"/>
    <w:rsid w:val="00684E25"/>
    <w:rsid w:val="006858A4"/>
    <w:rsid w:val="00685C08"/>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981"/>
    <w:rsid w:val="006C7AEC"/>
    <w:rsid w:val="006C7CA6"/>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61D"/>
    <w:rsid w:val="0073333D"/>
    <w:rsid w:val="007343D9"/>
    <w:rsid w:val="00734F71"/>
    <w:rsid w:val="00735448"/>
    <w:rsid w:val="00736F07"/>
    <w:rsid w:val="007377BD"/>
    <w:rsid w:val="00737DEC"/>
    <w:rsid w:val="0074004D"/>
    <w:rsid w:val="00741493"/>
    <w:rsid w:val="00741F2A"/>
    <w:rsid w:val="007434E5"/>
    <w:rsid w:val="0074499B"/>
    <w:rsid w:val="0074501E"/>
    <w:rsid w:val="007450BF"/>
    <w:rsid w:val="0074599A"/>
    <w:rsid w:val="00746F45"/>
    <w:rsid w:val="007471A1"/>
    <w:rsid w:val="007477BD"/>
    <w:rsid w:val="007477DA"/>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4A2"/>
    <w:rsid w:val="00764974"/>
    <w:rsid w:val="00764D18"/>
    <w:rsid w:val="0076521E"/>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EF1"/>
    <w:rsid w:val="00781A91"/>
    <w:rsid w:val="00781AD3"/>
    <w:rsid w:val="00781F36"/>
    <w:rsid w:val="0078357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6E"/>
    <w:rsid w:val="007A6AAA"/>
    <w:rsid w:val="007A7033"/>
    <w:rsid w:val="007A775D"/>
    <w:rsid w:val="007B04B0"/>
    <w:rsid w:val="007B0834"/>
    <w:rsid w:val="007B0E83"/>
    <w:rsid w:val="007B11FA"/>
    <w:rsid w:val="007B1396"/>
    <w:rsid w:val="007B16D6"/>
    <w:rsid w:val="007B1D1B"/>
    <w:rsid w:val="007B2011"/>
    <w:rsid w:val="007B2CFE"/>
    <w:rsid w:val="007B309B"/>
    <w:rsid w:val="007B3D5E"/>
    <w:rsid w:val="007B3DCB"/>
    <w:rsid w:val="007B54AE"/>
    <w:rsid w:val="007B5725"/>
    <w:rsid w:val="007B5C1F"/>
    <w:rsid w:val="007B6689"/>
    <w:rsid w:val="007B6747"/>
    <w:rsid w:val="007B6F72"/>
    <w:rsid w:val="007B74AA"/>
    <w:rsid w:val="007C10BD"/>
    <w:rsid w:val="007C162D"/>
    <w:rsid w:val="007C1F0C"/>
    <w:rsid w:val="007C1FFB"/>
    <w:rsid w:val="007C2D94"/>
    <w:rsid w:val="007C4A6B"/>
    <w:rsid w:val="007C5F92"/>
    <w:rsid w:val="007C6227"/>
    <w:rsid w:val="007C64F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E0535"/>
    <w:rsid w:val="007E07F2"/>
    <w:rsid w:val="007E0D4A"/>
    <w:rsid w:val="007E1788"/>
    <w:rsid w:val="007E1EE3"/>
    <w:rsid w:val="007E29B4"/>
    <w:rsid w:val="007E2F12"/>
    <w:rsid w:val="007E3627"/>
    <w:rsid w:val="007E435A"/>
    <w:rsid w:val="007E445C"/>
    <w:rsid w:val="007E49F7"/>
    <w:rsid w:val="007E4C70"/>
    <w:rsid w:val="007E5B5F"/>
    <w:rsid w:val="007E69C6"/>
    <w:rsid w:val="007E78B6"/>
    <w:rsid w:val="007E7E61"/>
    <w:rsid w:val="007F0845"/>
    <w:rsid w:val="007F0873"/>
    <w:rsid w:val="007F20F3"/>
    <w:rsid w:val="007F2353"/>
    <w:rsid w:val="007F2390"/>
    <w:rsid w:val="007F2CAC"/>
    <w:rsid w:val="007F3CB6"/>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1B1"/>
    <w:rsid w:val="0080734C"/>
    <w:rsid w:val="00807C82"/>
    <w:rsid w:val="008117CC"/>
    <w:rsid w:val="00811FF8"/>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007"/>
    <w:rsid w:val="00825120"/>
    <w:rsid w:val="00825C4D"/>
    <w:rsid w:val="00826A08"/>
    <w:rsid w:val="00826AC0"/>
    <w:rsid w:val="00826D45"/>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71A"/>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D65"/>
    <w:rsid w:val="00856FA4"/>
    <w:rsid w:val="00860D79"/>
    <w:rsid w:val="00861B41"/>
    <w:rsid w:val="00861B9F"/>
    <w:rsid w:val="00861BE3"/>
    <w:rsid w:val="00861EB6"/>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2C"/>
    <w:rsid w:val="008772BC"/>
    <w:rsid w:val="00880A0E"/>
    <w:rsid w:val="008817FE"/>
    <w:rsid w:val="00881CD7"/>
    <w:rsid w:val="00882911"/>
    <w:rsid w:val="00882F6E"/>
    <w:rsid w:val="00883202"/>
    <w:rsid w:val="00884E02"/>
    <w:rsid w:val="0088502B"/>
    <w:rsid w:val="00885D40"/>
    <w:rsid w:val="008873D4"/>
    <w:rsid w:val="00890CB1"/>
    <w:rsid w:val="00891EDF"/>
    <w:rsid w:val="00892872"/>
    <w:rsid w:val="0089296D"/>
    <w:rsid w:val="00893E85"/>
    <w:rsid w:val="00893EBE"/>
    <w:rsid w:val="00894031"/>
    <w:rsid w:val="00894C5D"/>
    <w:rsid w:val="00895508"/>
    <w:rsid w:val="00895797"/>
    <w:rsid w:val="008967E9"/>
    <w:rsid w:val="00896A5C"/>
    <w:rsid w:val="00897155"/>
    <w:rsid w:val="008972D2"/>
    <w:rsid w:val="0089754C"/>
    <w:rsid w:val="00897CFA"/>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1850"/>
    <w:rsid w:val="008B2639"/>
    <w:rsid w:val="008B3537"/>
    <w:rsid w:val="008B3690"/>
    <w:rsid w:val="008B3A80"/>
    <w:rsid w:val="008B3AEC"/>
    <w:rsid w:val="008B3C07"/>
    <w:rsid w:val="008B3F7B"/>
    <w:rsid w:val="008B43CA"/>
    <w:rsid w:val="008B5324"/>
    <w:rsid w:val="008B5C99"/>
    <w:rsid w:val="008B6106"/>
    <w:rsid w:val="008B7C02"/>
    <w:rsid w:val="008B7D2B"/>
    <w:rsid w:val="008B7EF9"/>
    <w:rsid w:val="008C0049"/>
    <w:rsid w:val="008C0314"/>
    <w:rsid w:val="008C0E88"/>
    <w:rsid w:val="008C0EBE"/>
    <w:rsid w:val="008C1717"/>
    <w:rsid w:val="008C17F0"/>
    <w:rsid w:val="008C3A32"/>
    <w:rsid w:val="008C3B05"/>
    <w:rsid w:val="008C4B50"/>
    <w:rsid w:val="008C5A37"/>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ACD"/>
    <w:rsid w:val="008D6C3A"/>
    <w:rsid w:val="008D70E2"/>
    <w:rsid w:val="008D7F47"/>
    <w:rsid w:val="008E0001"/>
    <w:rsid w:val="008E039E"/>
    <w:rsid w:val="008E292B"/>
    <w:rsid w:val="008E2C57"/>
    <w:rsid w:val="008E31FF"/>
    <w:rsid w:val="008E3287"/>
    <w:rsid w:val="008E38E4"/>
    <w:rsid w:val="008E3DFA"/>
    <w:rsid w:val="008E51EB"/>
    <w:rsid w:val="008E5746"/>
    <w:rsid w:val="008E64D7"/>
    <w:rsid w:val="008E6DCB"/>
    <w:rsid w:val="008E6F06"/>
    <w:rsid w:val="008E7000"/>
    <w:rsid w:val="008E723E"/>
    <w:rsid w:val="008E7B8E"/>
    <w:rsid w:val="008E7FC9"/>
    <w:rsid w:val="008F0107"/>
    <w:rsid w:val="008F029B"/>
    <w:rsid w:val="008F0589"/>
    <w:rsid w:val="008F2A5D"/>
    <w:rsid w:val="008F2BC7"/>
    <w:rsid w:val="008F2E83"/>
    <w:rsid w:val="008F3636"/>
    <w:rsid w:val="008F3FC9"/>
    <w:rsid w:val="008F509F"/>
    <w:rsid w:val="008F525A"/>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48B"/>
    <w:rsid w:val="00937017"/>
    <w:rsid w:val="009373B2"/>
    <w:rsid w:val="00937AE2"/>
    <w:rsid w:val="0094061F"/>
    <w:rsid w:val="00940F0F"/>
    <w:rsid w:val="00941912"/>
    <w:rsid w:val="0094416B"/>
    <w:rsid w:val="0094427A"/>
    <w:rsid w:val="009449C6"/>
    <w:rsid w:val="00944C7C"/>
    <w:rsid w:val="00945245"/>
    <w:rsid w:val="00945523"/>
    <w:rsid w:val="00946C43"/>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3"/>
    <w:rsid w:val="00977C3D"/>
    <w:rsid w:val="00980D3D"/>
    <w:rsid w:val="0098103E"/>
    <w:rsid w:val="0098157D"/>
    <w:rsid w:val="00983101"/>
    <w:rsid w:val="00983E41"/>
    <w:rsid w:val="009845E1"/>
    <w:rsid w:val="00984CE5"/>
    <w:rsid w:val="00984D1B"/>
    <w:rsid w:val="00986246"/>
    <w:rsid w:val="00987A30"/>
    <w:rsid w:val="00990312"/>
    <w:rsid w:val="009908AF"/>
    <w:rsid w:val="0099182E"/>
    <w:rsid w:val="00991D45"/>
    <w:rsid w:val="00992B49"/>
    <w:rsid w:val="00992BB3"/>
    <w:rsid w:val="00992CF3"/>
    <w:rsid w:val="00993194"/>
    <w:rsid w:val="0099321E"/>
    <w:rsid w:val="00994171"/>
    <w:rsid w:val="00994868"/>
    <w:rsid w:val="00994976"/>
    <w:rsid w:val="00994D28"/>
    <w:rsid w:val="00994F2C"/>
    <w:rsid w:val="00995720"/>
    <w:rsid w:val="009957CC"/>
    <w:rsid w:val="009968D6"/>
    <w:rsid w:val="00997953"/>
    <w:rsid w:val="00997D55"/>
    <w:rsid w:val="009A0BFF"/>
    <w:rsid w:val="009A10A0"/>
    <w:rsid w:val="009A12B7"/>
    <w:rsid w:val="009A1CAB"/>
    <w:rsid w:val="009A2359"/>
    <w:rsid w:val="009A24F1"/>
    <w:rsid w:val="009A27E0"/>
    <w:rsid w:val="009A4D57"/>
    <w:rsid w:val="009A51A5"/>
    <w:rsid w:val="009A5309"/>
    <w:rsid w:val="009A5759"/>
    <w:rsid w:val="009A60D1"/>
    <w:rsid w:val="009A6225"/>
    <w:rsid w:val="009A64F5"/>
    <w:rsid w:val="009B00D2"/>
    <w:rsid w:val="009B05B3"/>
    <w:rsid w:val="009B0CAF"/>
    <w:rsid w:val="009B1324"/>
    <w:rsid w:val="009B2558"/>
    <w:rsid w:val="009B284F"/>
    <w:rsid w:val="009B3764"/>
    <w:rsid w:val="009B3840"/>
    <w:rsid w:val="009B52AC"/>
    <w:rsid w:val="009B553D"/>
    <w:rsid w:val="009B59EA"/>
    <w:rsid w:val="009B5B6E"/>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E1120"/>
    <w:rsid w:val="009E1393"/>
    <w:rsid w:val="009E1922"/>
    <w:rsid w:val="009E1A3D"/>
    <w:rsid w:val="009E4715"/>
    <w:rsid w:val="009E4A58"/>
    <w:rsid w:val="009E5273"/>
    <w:rsid w:val="009E57A8"/>
    <w:rsid w:val="009E5B85"/>
    <w:rsid w:val="009E5DDB"/>
    <w:rsid w:val="009F032E"/>
    <w:rsid w:val="009F1CA6"/>
    <w:rsid w:val="009F2921"/>
    <w:rsid w:val="009F42CF"/>
    <w:rsid w:val="009F4982"/>
    <w:rsid w:val="009F4CA7"/>
    <w:rsid w:val="009F4F6A"/>
    <w:rsid w:val="009F55BA"/>
    <w:rsid w:val="009F7D36"/>
    <w:rsid w:val="009F7D61"/>
    <w:rsid w:val="00A00E71"/>
    <w:rsid w:val="00A0187B"/>
    <w:rsid w:val="00A02E8B"/>
    <w:rsid w:val="00A0306F"/>
    <w:rsid w:val="00A03511"/>
    <w:rsid w:val="00A03B10"/>
    <w:rsid w:val="00A03E2E"/>
    <w:rsid w:val="00A04616"/>
    <w:rsid w:val="00A04717"/>
    <w:rsid w:val="00A05D8F"/>
    <w:rsid w:val="00A05EB1"/>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628E"/>
    <w:rsid w:val="00A266BF"/>
    <w:rsid w:val="00A26777"/>
    <w:rsid w:val="00A269AB"/>
    <w:rsid w:val="00A2731E"/>
    <w:rsid w:val="00A309AC"/>
    <w:rsid w:val="00A30EA4"/>
    <w:rsid w:val="00A30F65"/>
    <w:rsid w:val="00A315D0"/>
    <w:rsid w:val="00A3279E"/>
    <w:rsid w:val="00A33DB1"/>
    <w:rsid w:val="00A33EEB"/>
    <w:rsid w:val="00A351C8"/>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240"/>
    <w:rsid w:val="00A478BA"/>
    <w:rsid w:val="00A50D73"/>
    <w:rsid w:val="00A518BB"/>
    <w:rsid w:val="00A52A88"/>
    <w:rsid w:val="00A52CAD"/>
    <w:rsid w:val="00A53340"/>
    <w:rsid w:val="00A53FC7"/>
    <w:rsid w:val="00A55569"/>
    <w:rsid w:val="00A55C36"/>
    <w:rsid w:val="00A5661B"/>
    <w:rsid w:val="00A566A0"/>
    <w:rsid w:val="00A601E7"/>
    <w:rsid w:val="00A60AC1"/>
    <w:rsid w:val="00A62162"/>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C7B96"/>
    <w:rsid w:val="00AD0B22"/>
    <w:rsid w:val="00AD0EE7"/>
    <w:rsid w:val="00AD168E"/>
    <w:rsid w:val="00AD306C"/>
    <w:rsid w:val="00AD44CD"/>
    <w:rsid w:val="00AD47A7"/>
    <w:rsid w:val="00AD5AD2"/>
    <w:rsid w:val="00AD6462"/>
    <w:rsid w:val="00AD66C5"/>
    <w:rsid w:val="00AD68C4"/>
    <w:rsid w:val="00AD71F9"/>
    <w:rsid w:val="00AE09B3"/>
    <w:rsid w:val="00AE1A83"/>
    <w:rsid w:val="00AE2A78"/>
    <w:rsid w:val="00AE30BE"/>
    <w:rsid w:val="00AE3E6A"/>
    <w:rsid w:val="00AE417E"/>
    <w:rsid w:val="00AE56EE"/>
    <w:rsid w:val="00AE6414"/>
    <w:rsid w:val="00AE7269"/>
    <w:rsid w:val="00AE797C"/>
    <w:rsid w:val="00AE7CE7"/>
    <w:rsid w:val="00AE7FAB"/>
    <w:rsid w:val="00AF0DE4"/>
    <w:rsid w:val="00AF12A0"/>
    <w:rsid w:val="00AF1E87"/>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015"/>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27EC6"/>
    <w:rsid w:val="00B3108D"/>
    <w:rsid w:val="00B32DDB"/>
    <w:rsid w:val="00B32F57"/>
    <w:rsid w:val="00B3345C"/>
    <w:rsid w:val="00B343C4"/>
    <w:rsid w:val="00B34528"/>
    <w:rsid w:val="00B34750"/>
    <w:rsid w:val="00B34CC9"/>
    <w:rsid w:val="00B34CDA"/>
    <w:rsid w:val="00B3563B"/>
    <w:rsid w:val="00B36BDC"/>
    <w:rsid w:val="00B37D3A"/>
    <w:rsid w:val="00B37D96"/>
    <w:rsid w:val="00B402FC"/>
    <w:rsid w:val="00B422E2"/>
    <w:rsid w:val="00B42517"/>
    <w:rsid w:val="00B4290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274C"/>
    <w:rsid w:val="00B63A11"/>
    <w:rsid w:val="00B64425"/>
    <w:rsid w:val="00B64C24"/>
    <w:rsid w:val="00B64E72"/>
    <w:rsid w:val="00B65CEF"/>
    <w:rsid w:val="00B6608F"/>
    <w:rsid w:val="00B674C7"/>
    <w:rsid w:val="00B67749"/>
    <w:rsid w:val="00B679FB"/>
    <w:rsid w:val="00B71FBF"/>
    <w:rsid w:val="00B734A0"/>
    <w:rsid w:val="00B73A14"/>
    <w:rsid w:val="00B748BD"/>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E2"/>
    <w:rsid w:val="00BA0E0B"/>
    <w:rsid w:val="00BA201A"/>
    <w:rsid w:val="00BA21DF"/>
    <w:rsid w:val="00BA361D"/>
    <w:rsid w:val="00BA3787"/>
    <w:rsid w:val="00BA403A"/>
    <w:rsid w:val="00BA46E8"/>
    <w:rsid w:val="00BA49DB"/>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14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55EF"/>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65C"/>
    <w:rsid w:val="00BF77FC"/>
    <w:rsid w:val="00C006D6"/>
    <w:rsid w:val="00C00BD7"/>
    <w:rsid w:val="00C01410"/>
    <w:rsid w:val="00C024BB"/>
    <w:rsid w:val="00C02D23"/>
    <w:rsid w:val="00C03D4D"/>
    <w:rsid w:val="00C044F4"/>
    <w:rsid w:val="00C04B78"/>
    <w:rsid w:val="00C052AA"/>
    <w:rsid w:val="00C06EE3"/>
    <w:rsid w:val="00C07279"/>
    <w:rsid w:val="00C07749"/>
    <w:rsid w:val="00C07C67"/>
    <w:rsid w:val="00C10805"/>
    <w:rsid w:val="00C11244"/>
    <w:rsid w:val="00C118A9"/>
    <w:rsid w:val="00C11D48"/>
    <w:rsid w:val="00C12304"/>
    <w:rsid w:val="00C12316"/>
    <w:rsid w:val="00C1246C"/>
    <w:rsid w:val="00C1493E"/>
    <w:rsid w:val="00C15537"/>
    <w:rsid w:val="00C15DBD"/>
    <w:rsid w:val="00C161C5"/>
    <w:rsid w:val="00C172F7"/>
    <w:rsid w:val="00C2010D"/>
    <w:rsid w:val="00C20CB5"/>
    <w:rsid w:val="00C21430"/>
    <w:rsid w:val="00C216DF"/>
    <w:rsid w:val="00C21E61"/>
    <w:rsid w:val="00C21F94"/>
    <w:rsid w:val="00C224BD"/>
    <w:rsid w:val="00C2272B"/>
    <w:rsid w:val="00C234DB"/>
    <w:rsid w:val="00C23C5C"/>
    <w:rsid w:val="00C2479A"/>
    <w:rsid w:val="00C24903"/>
    <w:rsid w:val="00C2590D"/>
    <w:rsid w:val="00C25D9C"/>
    <w:rsid w:val="00C27913"/>
    <w:rsid w:val="00C27FA7"/>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35E8"/>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655DA"/>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019E"/>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EB6"/>
    <w:rsid w:val="00C93389"/>
    <w:rsid w:val="00C948E6"/>
    <w:rsid w:val="00C94CDD"/>
    <w:rsid w:val="00C95123"/>
    <w:rsid w:val="00C97588"/>
    <w:rsid w:val="00CA0346"/>
    <w:rsid w:val="00CA0BD5"/>
    <w:rsid w:val="00CA0DA1"/>
    <w:rsid w:val="00CA1BD6"/>
    <w:rsid w:val="00CA37FF"/>
    <w:rsid w:val="00CA423A"/>
    <w:rsid w:val="00CA47BC"/>
    <w:rsid w:val="00CA5EAD"/>
    <w:rsid w:val="00CA6AB4"/>
    <w:rsid w:val="00CA7255"/>
    <w:rsid w:val="00CA79E2"/>
    <w:rsid w:val="00CB111E"/>
    <w:rsid w:val="00CB1BEE"/>
    <w:rsid w:val="00CB2351"/>
    <w:rsid w:val="00CB4022"/>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7E9E"/>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3F3E"/>
    <w:rsid w:val="00D14C5B"/>
    <w:rsid w:val="00D15D3A"/>
    <w:rsid w:val="00D15FED"/>
    <w:rsid w:val="00D16712"/>
    <w:rsid w:val="00D174E0"/>
    <w:rsid w:val="00D214EF"/>
    <w:rsid w:val="00D215B0"/>
    <w:rsid w:val="00D21B36"/>
    <w:rsid w:val="00D21D6D"/>
    <w:rsid w:val="00D21D83"/>
    <w:rsid w:val="00D22A47"/>
    <w:rsid w:val="00D235B7"/>
    <w:rsid w:val="00D23A99"/>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DAE"/>
    <w:rsid w:val="00D60E3C"/>
    <w:rsid w:val="00D60FA7"/>
    <w:rsid w:val="00D61FAB"/>
    <w:rsid w:val="00D62C4E"/>
    <w:rsid w:val="00D63BE5"/>
    <w:rsid w:val="00D6475F"/>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32B8"/>
    <w:rsid w:val="00D932F0"/>
    <w:rsid w:val="00D95302"/>
    <w:rsid w:val="00D95889"/>
    <w:rsid w:val="00D95C5D"/>
    <w:rsid w:val="00D95CBE"/>
    <w:rsid w:val="00D95E7F"/>
    <w:rsid w:val="00D97D00"/>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273F"/>
    <w:rsid w:val="00DE3E22"/>
    <w:rsid w:val="00DE3E5D"/>
    <w:rsid w:val="00DE450F"/>
    <w:rsid w:val="00DE4865"/>
    <w:rsid w:val="00DE5CA6"/>
    <w:rsid w:val="00DE5E55"/>
    <w:rsid w:val="00DE63AE"/>
    <w:rsid w:val="00DE7156"/>
    <w:rsid w:val="00DE7AC8"/>
    <w:rsid w:val="00DF0830"/>
    <w:rsid w:val="00DF2C5D"/>
    <w:rsid w:val="00DF2CD3"/>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31"/>
    <w:rsid w:val="00E41179"/>
    <w:rsid w:val="00E417BE"/>
    <w:rsid w:val="00E41CD5"/>
    <w:rsid w:val="00E42054"/>
    <w:rsid w:val="00E4372D"/>
    <w:rsid w:val="00E43A9E"/>
    <w:rsid w:val="00E44243"/>
    <w:rsid w:val="00E453F9"/>
    <w:rsid w:val="00E45D7D"/>
    <w:rsid w:val="00E4623F"/>
    <w:rsid w:val="00E4665D"/>
    <w:rsid w:val="00E47854"/>
    <w:rsid w:val="00E478E2"/>
    <w:rsid w:val="00E47EBA"/>
    <w:rsid w:val="00E50156"/>
    <w:rsid w:val="00E504EB"/>
    <w:rsid w:val="00E5076C"/>
    <w:rsid w:val="00E50D2E"/>
    <w:rsid w:val="00E50D7D"/>
    <w:rsid w:val="00E51EF0"/>
    <w:rsid w:val="00E53470"/>
    <w:rsid w:val="00E5368D"/>
    <w:rsid w:val="00E539F6"/>
    <w:rsid w:val="00E54698"/>
    <w:rsid w:val="00E54BE9"/>
    <w:rsid w:val="00E54FB4"/>
    <w:rsid w:val="00E5539A"/>
    <w:rsid w:val="00E55791"/>
    <w:rsid w:val="00E55E1A"/>
    <w:rsid w:val="00E578A2"/>
    <w:rsid w:val="00E579ED"/>
    <w:rsid w:val="00E60043"/>
    <w:rsid w:val="00E61740"/>
    <w:rsid w:val="00E61EB5"/>
    <w:rsid w:val="00E6324D"/>
    <w:rsid w:val="00E647C1"/>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1AAA"/>
    <w:rsid w:val="00E82618"/>
    <w:rsid w:val="00E82A42"/>
    <w:rsid w:val="00E84E09"/>
    <w:rsid w:val="00E87CE2"/>
    <w:rsid w:val="00E87D5B"/>
    <w:rsid w:val="00E90CA8"/>
    <w:rsid w:val="00E911C6"/>
    <w:rsid w:val="00E920DE"/>
    <w:rsid w:val="00E930A1"/>
    <w:rsid w:val="00E93820"/>
    <w:rsid w:val="00E94A86"/>
    <w:rsid w:val="00E951AB"/>
    <w:rsid w:val="00E953F6"/>
    <w:rsid w:val="00E96143"/>
    <w:rsid w:val="00E96833"/>
    <w:rsid w:val="00E97506"/>
    <w:rsid w:val="00E97BB5"/>
    <w:rsid w:val="00E97D5B"/>
    <w:rsid w:val="00E97F14"/>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DA6"/>
    <w:rsid w:val="00EB6FAC"/>
    <w:rsid w:val="00EB7BAC"/>
    <w:rsid w:val="00EB7CC9"/>
    <w:rsid w:val="00EC03D7"/>
    <w:rsid w:val="00EC13A7"/>
    <w:rsid w:val="00EC2EB6"/>
    <w:rsid w:val="00EC4FFF"/>
    <w:rsid w:val="00EC5517"/>
    <w:rsid w:val="00EC6E8C"/>
    <w:rsid w:val="00ED0962"/>
    <w:rsid w:val="00ED0EF0"/>
    <w:rsid w:val="00ED0F73"/>
    <w:rsid w:val="00ED12B9"/>
    <w:rsid w:val="00ED16B8"/>
    <w:rsid w:val="00ED1959"/>
    <w:rsid w:val="00ED1A00"/>
    <w:rsid w:val="00ED1DF0"/>
    <w:rsid w:val="00ED2386"/>
    <w:rsid w:val="00ED2525"/>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E06"/>
    <w:rsid w:val="00EE7179"/>
    <w:rsid w:val="00EF0D90"/>
    <w:rsid w:val="00EF150D"/>
    <w:rsid w:val="00EF1F5A"/>
    <w:rsid w:val="00EF23B5"/>
    <w:rsid w:val="00EF326A"/>
    <w:rsid w:val="00EF3898"/>
    <w:rsid w:val="00EF47BF"/>
    <w:rsid w:val="00EF52F7"/>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52D2"/>
    <w:rsid w:val="00F0730A"/>
    <w:rsid w:val="00F073ED"/>
    <w:rsid w:val="00F07C4C"/>
    <w:rsid w:val="00F07E45"/>
    <w:rsid w:val="00F10F11"/>
    <w:rsid w:val="00F11159"/>
    <w:rsid w:val="00F115E4"/>
    <w:rsid w:val="00F11AC4"/>
    <w:rsid w:val="00F120A5"/>
    <w:rsid w:val="00F12CFB"/>
    <w:rsid w:val="00F13E60"/>
    <w:rsid w:val="00F13FDB"/>
    <w:rsid w:val="00F15AAA"/>
    <w:rsid w:val="00F15BEF"/>
    <w:rsid w:val="00F17898"/>
    <w:rsid w:val="00F204BF"/>
    <w:rsid w:val="00F207C2"/>
    <w:rsid w:val="00F21337"/>
    <w:rsid w:val="00F219A1"/>
    <w:rsid w:val="00F23E20"/>
    <w:rsid w:val="00F24407"/>
    <w:rsid w:val="00F249CE"/>
    <w:rsid w:val="00F24FAA"/>
    <w:rsid w:val="00F25040"/>
    <w:rsid w:val="00F269D7"/>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537"/>
    <w:rsid w:val="00F46185"/>
    <w:rsid w:val="00F46423"/>
    <w:rsid w:val="00F4696A"/>
    <w:rsid w:val="00F47067"/>
    <w:rsid w:val="00F47234"/>
    <w:rsid w:val="00F51ADD"/>
    <w:rsid w:val="00F525AB"/>
    <w:rsid w:val="00F525EB"/>
    <w:rsid w:val="00F52CB5"/>
    <w:rsid w:val="00F53378"/>
    <w:rsid w:val="00F53917"/>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35C"/>
    <w:rsid w:val="00F91B66"/>
    <w:rsid w:val="00F93688"/>
    <w:rsid w:val="00F939F3"/>
    <w:rsid w:val="00F93C6E"/>
    <w:rsid w:val="00F93F2C"/>
    <w:rsid w:val="00F947E9"/>
    <w:rsid w:val="00F962AD"/>
    <w:rsid w:val="00F9644E"/>
    <w:rsid w:val="00FA0105"/>
    <w:rsid w:val="00FA05A0"/>
    <w:rsid w:val="00FA0AEF"/>
    <w:rsid w:val="00FA17CC"/>
    <w:rsid w:val="00FA1CFE"/>
    <w:rsid w:val="00FA1EE7"/>
    <w:rsid w:val="00FA1F01"/>
    <w:rsid w:val="00FA26DF"/>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916"/>
    <w:rsid w:val="00FD4D12"/>
    <w:rsid w:val="00FD4F73"/>
    <w:rsid w:val="00FD595E"/>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B8C"/>
    <w:rsid w:val="00FF63E6"/>
    <w:rsid w:val="00FF72DC"/>
    <w:rsid w:val="00FF7B96"/>
    <w:rsid w:val="0523CDF2"/>
    <w:rsid w:val="06B1A837"/>
    <w:rsid w:val="12650F4E"/>
    <w:rsid w:val="1394E51D"/>
    <w:rsid w:val="2A0E9F3A"/>
    <w:rsid w:val="2A2A6298"/>
    <w:rsid w:val="38C72AFC"/>
    <w:rsid w:val="3E4A9713"/>
    <w:rsid w:val="48038D4B"/>
    <w:rsid w:val="49E8263C"/>
    <w:rsid w:val="50A35788"/>
    <w:rsid w:val="52944939"/>
    <w:rsid w:val="5CF587E8"/>
    <w:rsid w:val="6AEA4E8B"/>
    <w:rsid w:val="75B5B7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cri/analyza-ctvrtletnich-sektorovych-uctu-3-ctvrtleti-20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Q-makro-2022\Celorok-2022\Grafy-st&#225;tn&#237;%20rozpo&#269;et-rok-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Q-makro-2022\Celorok-2022\Grafy-st&#225;tn&#237;%20rozpo&#269;et-rok-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Q-makro-2022\Celorok-2022\Grafy-st&#225;tn&#237;%20rozpo&#269;et-rok-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35993017189798E-2"/>
          <c:y val="1.7107238390107422E-2"/>
          <c:w val="0.83559968783080563"/>
          <c:h val="0.81067557818886526"/>
        </c:manualLayout>
      </c:layout>
      <c:barChart>
        <c:barDir val="col"/>
        <c:grouping val="clustered"/>
        <c:varyColors val="0"/>
        <c:ser>
          <c:idx val="2"/>
          <c:order val="4"/>
          <c:tx>
            <c:strRef>
              <c:f>'GRAF-1-Státní rozpočet-příjmy'!$A$40</c:f>
              <c:strCache>
                <c:ptCount val="1"/>
                <c:pt idx="0">
                  <c:v>Saldo státního rozpočtu (pravá osa)</c:v>
                </c:pt>
              </c:strCache>
            </c:strRef>
          </c:tx>
          <c:spPr>
            <a:solidFill>
              <a:sysClr val="window" lastClr="FFFFFF">
                <a:lumMod val="75000"/>
              </a:sysClr>
            </a:solidFill>
          </c:spPr>
          <c:invertIfNegative val="0"/>
          <c:cat>
            <c:numRef>
              <c:f>'GRAF-1-Státní rozpočet-příjmy'!$D$35:$S$35</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'GRAF-1-Státní rozpočet-příjmy'!$D$40:$S$40</c:f>
              <c:numCache>
                <c:formatCode>#\ ##0.0</c:formatCode>
                <c:ptCount val="16"/>
                <c:pt idx="0">
                  <c:v>-66.391999999999996</c:v>
                </c:pt>
                <c:pt idx="1">
                  <c:v>-20.003</c:v>
                </c:pt>
                <c:pt idx="2">
                  <c:v>-192.39400000000001</c:v>
                </c:pt>
                <c:pt idx="3">
                  <c:v>-156.416</c:v>
                </c:pt>
                <c:pt idx="4">
                  <c:v>-142.77099999999999</c:v>
                </c:pt>
                <c:pt idx="5">
                  <c:v>-101</c:v>
                </c:pt>
                <c:pt idx="6">
                  <c:v>-81.263999999999996</c:v>
                </c:pt>
                <c:pt idx="7">
                  <c:v>-77.78</c:v>
                </c:pt>
                <c:pt idx="8">
                  <c:v>-62.8</c:v>
                </c:pt>
                <c:pt idx="9">
                  <c:v>61.77</c:v>
                </c:pt>
                <c:pt idx="10">
                  <c:v>-6.1499999999999995</c:v>
                </c:pt>
                <c:pt idx="11">
                  <c:v>2.94</c:v>
                </c:pt>
                <c:pt idx="12">
                  <c:v>-28.52</c:v>
                </c:pt>
                <c:pt idx="13">
                  <c:v>-367.44997523070992</c:v>
                </c:pt>
                <c:pt idx="14">
                  <c:v>-419.6874634421896</c:v>
                </c:pt>
                <c:pt idx="15">
                  <c:v>-360.40048457025</c:v>
                </c:pt>
              </c:numCache>
            </c:numRef>
          </c:val>
          <c:extLst>
            <c:ext xmlns:c16="http://schemas.microsoft.com/office/drawing/2014/chart" uri="{C3380CC4-5D6E-409C-BE32-E72D297353CC}">
              <c16:uniqueId val="{00000000-A5C7-4C50-9F61-41BA57FF9223}"/>
            </c:ext>
          </c:extLst>
        </c:ser>
        <c:ser>
          <c:idx val="5"/>
          <c:order val="5"/>
          <c:tx>
            <c:strRef>
              <c:f>'GRAF-1-Státní rozpočet-příjmy'!$A$41</c:f>
              <c:strCache>
                <c:ptCount val="1"/>
                <c:pt idx="0">
                  <c:v>Saldo SR očišť. o vliv EU a FM (pr. osa)</c:v>
                </c:pt>
              </c:strCache>
            </c:strRef>
          </c:tx>
          <c:spPr>
            <a:solidFill>
              <a:schemeClr val="bg1">
                <a:lumMod val="50000"/>
              </a:schemeClr>
            </a:solidFill>
            <a:ln>
              <a:noFill/>
            </a:ln>
          </c:spPr>
          <c:invertIfNegative val="0"/>
          <c:cat>
            <c:numRef>
              <c:f>'GRAF-1-Státní rozpočet-příjmy'!$D$35:$S$35</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'GRAF-1-Státní rozpočet-příjmy'!$D$41:$S$41</c:f>
              <c:numCache>
                <c:formatCode>General</c:formatCode>
                <c:ptCount val="16"/>
                <c:pt idx="6" formatCode="#\ ##0.0">
                  <c:v>-81.73296260617991</c:v>
                </c:pt>
                <c:pt idx="7" formatCode="#\ ##0.0">
                  <c:v>-64.099999999999994</c:v>
                </c:pt>
                <c:pt idx="8" formatCode="#\ ##0.0">
                  <c:v>-41.7</c:v>
                </c:pt>
                <c:pt idx="9" formatCode="#\ ##0.0">
                  <c:v>-13.6</c:v>
                </c:pt>
                <c:pt idx="10" formatCode="#\ ##0.0">
                  <c:v>-1.3</c:v>
                </c:pt>
                <c:pt idx="11" formatCode="#\ ##0.0">
                  <c:v>-3.5</c:v>
                </c:pt>
                <c:pt idx="12" formatCode="#\ ##0.0">
                  <c:v>-29.2</c:v>
                </c:pt>
                <c:pt idx="13" formatCode="#\ ##0.0">
                  <c:v>-364.9</c:v>
                </c:pt>
                <c:pt idx="14" formatCode="#\ ##0.0">
                  <c:v>-408.62534300787979</c:v>
                </c:pt>
                <c:pt idx="15" formatCode="#\ ##0.0">
                  <c:v>-316.12697116642994</c:v>
                </c:pt>
              </c:numCache>
            </c:numRef>
          </c:val>
          <c:extLst>
            <c:ext xmlns:c16="http://schemas.microsoft.com/office/drawing/2014/chart" uri="{C3380CC4-5D6E-409C-BE32-E72D297353CC}">
              <c16:uniqueId val="{00000001-A5C7-4C50-9F61-41BA57FF9223}"/>
            </c:ext>
          </c:extLst>
        </c:ser>
        <c:dLbls>
          <c:showLegendKey val="0"/>
          <c:showVal val="0"/>
          <c:showCatName val="0"/>
          <c:showSerName val="0"/>
          <c:showPercent val="0"/>
          <c:showBubbleSize val="0"/>
        </c:dLbls>
        <c:gapWidth val="150"/>
        <c:axId val="91131904"/>
        <c:axId val="90805760"/>
      </c:barChart>
      <c:lineChart>
        <c:grouping val="standard"/>
        <c:varyColors val="0"/>
        <c:ser>
          <c:idx val="0"/>
          <c:order val="0"/>
          <c:tx>
            <c:strRef>
              <c:f>'GRAF-1-Státní rozpočet-příjmy'!$A$36</c:f>
              <c:strCache>
                <c:ptCount val="1"/>
                <c:pt idx="0">
                  <c:v>DPH</c:v>
                </c:pt>
              </c:strCache>
            </c:strRef>
          </c:tx>
          <c:spPr>
            <a:ln w="19050">
              <a:solidFill>
                <a:srgbClr val="BD1B25"/>
              </a:solidFill>
            </a:ln>
          </c:spPr>
          <c:marker>
            <c:symbol val="none"/>
          </c:marker>
          <c:cat>
            <c:numRef>
              <c:f>'GRAF-1-Státní rozpočet-příjmy'!$D$35:$S$35</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'GRAF-1-Státní rozpočet-příjmy'!$D$36:$S$36</c:f>
              <c:numCache>
                <c:formatCode>0.0</c:formatCode>
                <c:ptCount val="16"/>
                <c:pt idx="0">
                  <c:v>8.540729176232901</c:v>
                </c:pt>
                <c:pt idx="1">
                  <c:v>7.9575260174295543</c:v>
                </c:pt>
                <c:pt idx="2">
                  <c:v>-0.61914651828048806</c:v>
                </c:pt>
                <c:pt idx="3">
                  <c:v>6.285241118252447</c:v>
                </c:pt>
                <c:pt idx="4">
                  <c:v>2.1665739194954341</c:v>
                </c:pt>
                <c:pt idx="5">
                  <c:v>1.0312647518065459</c:v>
                </c:pt>
                <c:pt idx="6">
                  <c:v>10.865111598317952</c:v>
                </c:pt>
                <c:pt idx="7">
                  <c:v>4.6748362834727395</c:v>
                </c:pt>
                <c:pt idx="8">
                  <c:v>2.7750247770069376</c:v>
                </c:pt>
                <c:pt idx="9">
                  <c:v>5.3881388621022355</c:v>
                </c:pt>
                <c:pt idx="10">
                  <c:v>9.138739563079028</c:v>
                </c:pt>
                <c:pt idx="11">
                  <c:v>8.2844267449172122</c:v>
                </c:pt>
                <c:pt idx="12">
                  <c:v>4.4229373336559199</c:v>
                </c:pt>
                <c:pt idx="13">
                  <c:v>-1.188210397930874</c:v>
                </c:pt>
                <c:pt idx="14">
                  <c:v>8.7290514464571789</c:v>
                </c:pt>
                <c:pt idx="15">
                  <c:v>15.63923586994985</c:v>
                </c:pt>
              </c:numCache>
            </c:numRef>
          </c:val>
          <c:smooth val="0"/>
          <c:extLst>
            <c:ext xmlns:c16="http://schemas.microsoft.com/office/drawing/2014/chart" uri="{C3380CC4-5D6E-409C-BE32-E72D297353CC}">
              <c16:uniqueId val="{00000002-A5C7-4C50-9F61-41BA57FF9223}"/>
            </c:ext>
          </c:extLst>
        </c:ser>
        <c:ser>
          <c:idx val="1"/>
          <c:order val="1"/>
          <c:tx>
            <c:strRef>
              <c:f>'GRAF-1-Státní rozpočet-příjmy'!$A$37</c:f>
              <c:strCache>
                <c:ptCount val="1"/>
                <c:pt idx="0">
                  <c:v>Spotřební daň</c:v>
                </c:pt>
              </c:strCache>
            </c:strRef>
          </c:tx>
          <c:spPr>
            <a:ln w="19050">
              <a:solidFill>
                <a:srgbClr val="7DBB2D"/>
              </a:solidFill>
              <a:prstDash val="solid"/>
            </a:ln>
          </c:spPr>
          <c:marker>
            <c:symbol val="none"/>
          </c:marker>
          <c:cat>
            <c:numRef>
              <c:f>'GRAF-1-Státní rozpočet-příjmy'!$D$35:$S$35</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'GRAF-1-Státní rozpočet-příjmy'!$D$37:$S$37</c:f>
              <c:numCache>
                <c:formatCode>0.0</c:formatCode>
                <c:ptCount val="16"/>
                <c:pt idx="0">
                  <c:v>16.227519866164755</c:v>
                </c:pt>
                <c:pt idx="1">
                  <c:v>-4.2605253688376985</c:v>
                </c:pt>
                <c:pt idx="2">
                  <c:v>-1.473351875516798</c:v>
                </c:pt>
                <c:pt idx="3">
                  <c:v>5.4932478828107278</c:v>
                </c:pt>
                <c:pt idx="4">
                  <c:v>6.0099804729876354</c:v>
                </c:pt>
                <c:pt idx="5">
                  <c:v>0.13644426251875086</c:v>
                </c:pt>
                <c:pt idx="6">
                  <c:v>-2.2891402098378553</c:v>
                </c:pt>
                <c:pt idx="7">
                  <c:v>-1.471203458373991</c:v>
                </c:pt>
                <c:pt idx="8">
                  <c:v>6.5034321704055005</c:v>
                </c:pt>
                <c:pt idx="9">
                  <c:v>5.1362126245847044</c:v>
                </c:pt>
                <c:pt idx="10">
                  <c:v>2.9071604626177252</c:v>
                </c:pt>
                <c:pt idx="11">
                  <c:v>2.8495977399742003</c:v>
                </c:pt>
                <c:pt idx="12">
                  <c:v>-0.19705021794949579</c:v>
                </c:pt>
                <c:pt idx="13">
                  <c:v>-2.7814436561206151</c:v>
                </c:pt>
                <c:pt idx="14">
                  <c:v>-2.9871716093147151</c:v>
                </c:pt>
                <c:pt idx="15">
                  <c:v>1.9170974105799412</c:v>
                </c:pt>
              </c:numCache>
            </c:numRef>
          </c:val>
          <c:smooth val="0"/>
          <c:extLst>
            <c:ext xmlns:c16="http://schemas.microsoft.com/office/drawing/2014/chart" uri="{C3380CC4-5D6E-409C-BE32-E72D297353CC}">
              <c16:uniqueId val="{00000003-A5C7-4C50-9F61-41BA57FF9223}"/>
            </c:ext>
          </c:extLst>
        </c:ser>
        <c:ser>
          <c:idx val="3"/>
          <c:order val="2"/>
          <c:tx>
            <c:strRef>
              <c:f>'GRAF-1-Státní rozpočet-příjmy'!$A$38</c:f>
              <c:strCache>
                <c:ptCount val="1"/>
                <c:pt idx="0">
                  <c:v>Daně z příjmů fyzických osob</c:v>
                </c:pt>
              </c:strCache>
            </c:strRef>
          </c:tx>
          <c:spPr>
            <a:ln w="19050">
              <a:solidFill>
                <a:srgbClr val="0071BC"/>
              </a:solidFill>
              <a:prstDash val="solid"/>
            </a:ln>
          </c:spPr>
          <c:marker>
            <c:symbol val="none"/>
          </c:marker>
          <c:cat>
            <c:numRef>
              <c:f>'GRAF-1-Státní rozpočet-příjmy'!$D$35:$S$35</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'GRAF-1-Státní rozpočet-příjmy'!$D$38:$S$38</c:f>
              <c:numCache>
                <c:formatCode>0.0</c:formatCode>
                <c:ptCount val="16"/>
                <c:pt idx="0">
                  <c:v>10.991820040899793</c:v>
                </c:pt>
                <c:pt idx="1">
                  <c:v>-5.698493123642824</c:v>
                </c:pt>
                <c:pt idx="2">
                  <c:v>-11.562347358872394</c:v>
                </c:pt>
                <c:pt idx="3">
                  <c:v>2.5800852138235797</c:v>
                </c:pt>
                <c:pt idx="4">
                  <c:v>2.5844165833397437</c:v>
                </c:pt>
                <c:pt idx="5">
                  <c:v>2.1893979155731955</c:v>
                </c:pt>
                <c:pt idx="6">
                  <c:v>3.9254530779954582</c:v>
                </c:pt>
                <c:pt idx="7">
                  <c:v>3.6430386896357172</c:v>
                </c:pt>
                <c:pt idx="8">
                  <c:v>5.1430517711171575</c:v>
                </c:pt>
                <c:pt idx="9">
                  <c:v>11.681243926141882</c:v>
                </c:pt>
                <c:pt idx="10">
                  <c:v>11.863325211741516</c:v>
                </c:pt>
                <c:pt idx="11">
                  <c:v>14.033086138049038</c:v>
                </c:pt>
                <c:pt idx="12">
                  <c:v>12.165173495838822</c:v>
                </c:pt>
                <c:pt idx="13">
                  <c:v>-6.0491656046383504</c:v>
                </c:pt>
                <c:pt idx="14">
                  <c:v>-25.50708659365489</c:v>
                </c:pt>
                <c:pt idx="15">
                  <c:v>13.260461136729297</c:v>
                </c:pt>
              </c:numCache>
            </c:numRef>
          </c:val>
          <c:smooth val="0"/>
          <c:extLst>
            <c:ext xmlns:c16="http://schemas.microsoft.com/office/drawing/2014/chart" uri="{C3380CC4-5D6E-409C-BE32-E72D297353CC}">
              <c16:uniqueId val="{00000004-A5C7-4C50-9F61-41BA57FF9223}"/>
            </c:ext>
          </c:extLst>
        </c:ser>
        <c:ser>
          <c:idx val="4"/>
          <c:order val="3"/>
          <c:tx>
            <c:strRef>
              <c:f>'GRAF-1-Státní rozpočet-příjmy'!$A$39</c:f>
              <c:strCache>
                <c:ptCount val="1"/>
                <c:pt idx="0">
                  <c:v>Daně z příjmů právnických osob</c:v>
                </c:pt>
              </c:strCache>
            </c:strRef>
          </c:tx>
          <c:spPr>
            <a:ln w="19050">
              <a:noFill/>
            </a:ln>
          </c:spPr>
          <c:marker>
            <c:symbol val="diamond"/>
            <c:size val="6"/>
            <c:spPr>
              <a:solidFill>
                <a:srgbClr val="984807"/>
              </a:solidFill>
              <a:ln>
                <a:noFill/>
              </a:ln>
            </c:spPr>
          </c:marker>
          <c:cat>
            <c:numRef>
              <c:f>'GRAF-1-Státní rozpočet-příjmy'!$D$35:$S$35</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'GRAF-1-Státní rozpočet-příjmy'!$D$39:$S$39</c:f>
              <c:numCache>
                <c:formatCode>0.0</c:formatCode>
                <c:ptCount val="16"/>
                <c:pt idx="0">
                  <c:v>20.193443591258116</c:v>
                </c:pt>
                <c:pt idx="1">
                  <c:v>12.113766201855157</c:v>
                </c:pt>
                <c:pt idx="2">
                  <c:v>-34.469344145526264</c:v>
                </c:pt>
                <c:pt idx="3">
                  <c:v>3.5618729096990029</c:v>
                </c:pt>
                <c:pt idx="4">
                  <c:v>-4.6423381236880354</c:v>
                </c:pt>
                <c:pt idx="5">
                  <c:v>8.3735500804335032</c:v>
                </c:pt>
                <c:pt idx="6">
                  <c:v>-5.6874999999999964</c:v>
                </c:pt>
                <c:pt idx="7">
                  <c:v>9.6752816434725109</c:v>
                </c:pt>
                <c:pt idx="8">
                  <c:v>11.412386706948631</c:v>
                </c:pt>
                <c:pt idx="9">
                  <c:v>11.667005626737165</c:v>
                </c:pt>
                <c:pt idx="10">
                  <c:v>3.6000485672656595</c:v>
                </c:pt>
                <c:pt idx="11">
                  <c:v>1.9689422795194669</c:v>
                </c:pt>
                <c:pt idx="12">
                  <c:v>5.1089017872536004</c:v>
                </c:pt>
                <c:pt idx="13">
                  <c:v>-12.219312902832137</c:v>
                </c:pt>
                <c:pt idx="14">
                  <c:v>24.923332261143905</c:v>
                </c:pt>
                <c:pt idx="15">
                  <c:v>17.341113343647127</c:v>
                </c:pt>
              </c:numCache>
            </c:numRef>
          </c:val>
          <c:smooth val="0"/>
          <c:extLst>
            <c:ext xmlns:c16="http://schemas.microsoft.com/office/drawing/2014/chart" uri="{C3380CC4-5D6E-409C-BE32-E72D297353CC}">
              <c16:uniqueId val="{00000005-A5C7-4C50-9F61-41BA57FF9223}"/>
            </c:ext>
          </c:extLst>
        </c:ser>
        <c:dLbls>
          <c:showLegendKey val="0"/>
          <c:showVal val="0"/>
          <c:showCatName val="0"/>
          <c:showSerName val="0"/>
          <c:showPercent val="0"/>
          <c:showBubbleSize val="0"/>
        </c:dLbls>
        <c:marker val="1"/>
        <c:smooth val="0"/>
        <c:axId val="87940096"/>
        <c:axId val="90790144"/>
      </c:lineChart>
      <c:catAx>
        <c:axId val="87940096"/>
        <c:scaling>
          <c:orientation val="minMax"/>
        </c:scaling>
        <c:delete val="0"/>
        <c:axPos val="b"/>
        <c:numFmt formatCode="General" sourceLinked="1"/>
        <c:majorTickMark val="out"/>
        <c:minorTickMark val="none"/>
        <c:tickLblPos val="low"/>
        <c:spPr>
          <a:ln w="6350">
            <a:solidFill>
              <a:schemeClr val="tx1"/>
            </a:solidFill>
          </a:ln>
        </c:spPr>
        <c:crossAx val="90790144"/>
        <c:crosses val="autoZero"/>
        <c:auto val="1"/>
        <c:lblAlgn val="ctr"/>
        <c:lblOffset val="0"/>
        <c:noMultiLvlLbl val="0"/>
      </c:catAx>
      <c:valAx>
        <c:axId val="90790144"/>
        <c:scaling>
          <c:orientation val="minMax"/>
          <c:max val="30"/>
          <c:min val="-45"/>
        </c:scaling>
        <c:delete val="0"/>
        <c:axPos val="l"/>
        <c:majorGridlines>
          <c:spPr>
            <a:ln w="6350">
              <a:solidFill>
                <a:schemeClr val="bg1">
                  <a:lumMod val="75000"/>
                </a:schemeClr>
              </a:solidFill>
            </a:ln>
          </c:spPr>
        </c:majorGridlines>
        <c:title>
          <c:tx>
            <c:rich>
              <a:bodyPr/>
              <a:lstStyle/>
              <a:p>
                <a:pPr>
                  <a:defRPr sz="700" b="0" i="1"/>
                </a:pPr>
                <a:r>
                  <a:rPr lang="cs-CZ" sz="700" b="0" i="1"/>
                  <a:t>Vybrané druhy daňových příjmů (meziročně,</a:t>
                </a:r>
                <a:r>
                  <a:rPr lang="cs-CZ" sz="700" b="0" i="1" baseline="0"/>
                  <a:t> v %)</a:t>
                </a:r>
                <a:endParaRPr lang="cs-CZ" sz="700" b="0" i="1"/>
              </a:p>
            </c:rich>
          </c:tx>
          <c:overlay val="0"/>
        </c:title>
        <c:numFmt formatCode="0" sourceLinked="0"/>
        <c:majorTickMark val="out"/>
        <c:minorTickMark val="none"/>
        <c:tickLblPos val="nextTo"/>
        <c:spPr>
          <a:ln w="6350">
            <a:solidFill>
              <a:schemeClr val="tx1"/>
            </a:solidFill>
          </a:ln>
        </c:spPr>
        <c:crossAx val="87940096"/>
        <c:crosses val="autoZero"/>
        <c:crossBetween val="between"/>
        <c:majorUnit val="5"/>
      </c:valAx>
      <c:valAx>
        <c:axId val="90805760"/>
        <c:scaling>
          <c:orientation val="minMax"/>
          <c:max val="300"/>
          <c:min val="-450"/>
        </c:scaling>
        <c:delete val="0"/>
        <c:axPos val="r"/>
        <c:title>
          <c:tx>
            <c:rich>
              <a:bodyPr/>
              <a:lstStyle/>
              <a:p>
                <a:pPr>
                  <a:defRPr sz="700" b="0" i="1"/>
                </a:pPr>
                <a:r>
                  <a:rPr lang="cs-CZ" sz="700" b="0" i="1"/>
                  <a:t>Saldo státního rozpočtu (v mld. korun)</a:t>
                </a:r>
              </a:p>
            </c:rich>
          </c:tx>
          <c:overlay val="0"/>
        </c:title>
        <c:numFmt formatCode="#,##0" sourceLinked="0"/>
        <c:majorTickMark val="out"/>
        <c:minorTickMark val="none"/>
        <c:tickLblPos val="nextTo"/>
        <c:crossAx val="91131904"/>
        <c:crosses val="max"/>
        <c:crossBetween val="between"/>
        <c:majorUnit val="50"/>
      </c:valAx>
      <c:catAx>
        <c:axId val="91131904"/>
        <c:scaling>
          <c:orientation val="minMax"/>
        </c:scaling>
        <c:delete val="1"/>
        <c:axPos val="b"/>
        <c:numFmt formatCode="General" sourceLinked="1"/>
        <c:majorTickMark val="out"/>
        <c:minorTickMark val="none"/>
        <c:tickLblPos val="none"/>
        <c:crossAx val="90805760"/>
        <c:crosses val="autoZero"/>
        <c:auto val="1"/>
        <c:lblAlgn val="ctr"/>
        <c:lblOffset val="100"/>
        <c:noMultiLvlLbl val="0"/>
      </c:catAx>
      <c:spPr>
        <a:ln w="6350">
          <a:solidFill>
            <a:schemeClr val="tx1"/>
          </a:solidFill>
        </a:ln>
      </c:spPr>
    </c:plotArea>
    <c:legend>
      <c:legendPos val="b"/>
      <c:layout>
        <c:manualLayout>
          <c:xMode val="edge"/>
          <c:yMode val="edge"/>
          <c:x val="3.7637147724222574E-2"/>
          <c:y val="0.8755708894853319"/>
          <c:w val="0.90521999513292006"/>
          <c:h val="0.11321514421131247"/>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76336352808833E-2"/>
          <c:y val="1.7698902479006778E-2"/>
          <c:w val="0.832299541788034"/>
          <c:h val="0.75671581590046955"/>
        </c:manualLayout>
      </c:layout>
      <c:barChart>
        <c:barDir val="col"/>
        <c:grouping val="clustered"/>
        <c:varyColors val="0"/>
        <c:ser>
          <c:idx val="0"/>
          <c:order val="0"/>
          <c:tx>
            <c:strRef>
              <c:f>'G2-St.rozpočet-výdaje'!$B$31</c:f>
              <c:strCache>
                <c:ptCount val="1"/>
                <c:pt idx="0">
                  <c:v>Běžné výdaje celkem (pravá osa)</c:v>
                </c:pt>
              </c:strCache>
            </c:strRef>
          </c:tx>
          <c:spPr>
            <a:solidFill>
              <a:srgbClr val="D3D3D3"/>
            </a:solidFill>
            <a:ln>
              <a:noFill/>
            </a:ln>
          </c:spPr>
          <c:invertIfNegative val="0"/>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'G2-St.rozpočet-výdaje'!$B$34:$B$49</c:f>
              <c:numCache>
                <c:formatCode>0.0</c:formatCode>
                <c:ptCount val="16"/>
                <c:pt idx="0">
                  <c:v>973.84999999999957</c:v>
                </c:pt>
                <c:pt idx="1">
                  <c:v>975.85999999999956</c:v>
                </c:pt>
                <c:pt idx="2">
                  <c:v>1032.78</c:v>
                </c:pt>
                <c:pt idx="3">
                  <c:v>1021.89</c:v>
                </c:pt>
                <c:pt idx="4">
                  <c:v>1031.83</c:v>
                </c:pt>
                <c:pt idx="5">
                  <c:v>1038.76</c:v>
                </c:pt>
                <c:pt idx="6">
                  <c:v>1070.8129999999999</c:v>
                </c:pt>
                <c:pt idx="7">
                  <c:v>1100.1019999999999</c:v>
                </c:pt>
                <c:pt idx="8">
                  <c:v>1121.6599999999999</c:v>
                </c:pt>
                <c:pt idx="9">
                  <c:v>1135.57</c:v>
                </c:pt>
                <c:pt idx="10">
                  <c:v>1198.05</c:v>
                </c:pt>
                <c:pt idx="11">
                  <c:v>1284.5</c:v>
                </c:pt>
                <c:pt idx="12">
                  <c:v>1412.5989294339895</c:v>
                </c:pt>
                <c:pt idx="13">
                  <c:v>1670.3085864663701</c:v>
                </c:pt>
                <c:pt idx="14">
                  <c:v>1729.78958897348</c:v>
                </c:pt>
                <c:pt idx="15">
                  <c:v>1797.9543482347988</c:v>
                </c:pt>
              </c:numCache>
            </c:numRef>
          </c:val>
          <c:extLst>
            <c:ext xmlns:c16="http://schemas.microsoft.com/office/drawing/2014/chart" uri="{C3380CC4-5D6E-409C-BE32-E72D297353CC}">
              <c16:uniqueId val="{00000000-7165-4677-8215-78E7F10AFF37}"/>
            </c:ext>
          </c:extLst>
        </c:ser>
        <c:dLbls>
          <c:showLegendKey val="0"/>
          <c:showVal val="0"/>
          <c:showCatName val="0"/>
          <c:showSerName val="0"/>
          <c:showPercent val="0"/>
          <c:showBubbleSize val="0"/>
        </c:dLbls>
        <c:gapWidth val="70"/>
        <c:axId val="129331968"/>
        <c:axId val="129184512"/>
      </c:barChart>
      <c:lineChart>
        <c:grouping val="standard"/>
        <c:varyColors val="0"/>
        <c:ser>
          <c:idx val="1"/>
          <c:order val="1"/>
          <c:tx>
            <c:strRef>
              <c:f>'G2-St.rozpočet-výdaje'!$C$31</c:f>
              <c:strCache>
                <c:ptCount val="1"/>
                <c:pt idx="0">
                  <c:v>Platy státních zaměstnanců*</c:v>
                </c:pt>
              </c:strCache>
            </c:strRef>
          </c:tx>
          <c:spPr>
            <a:ln w="15875">
              <a:solidFill>
                <a:srgbClr val="F8A124"/>
              </a:solidFill>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'G2-St.rozpočet-výdaje'!$C$34:$C$49</c:f>
              <c:numCache>
                <c:formatCode>0.0</c:formatCode>
                <c:ptCount val="16"/>
                <c:pt idx="0">
                  <c:v>95.76</c:v>
                </c:pt>
                <c:pt idx="1">
                  <c:v>97.33</c:v>
                </c:pt>
                <c:pt idx="2">
                  <c:v>100.19</c:v>
                </c:pt>
                <c:pt idx="3">
                  <c:v>97.669999999999987</c:v>
                </c:pt>
                <c:pt idx="4">
                  <c:v>89.6</c:v>
                </c:pt>
                <c:pt idx="5">
                  <c:v>90.45</c:v>
                </c:pt>
                <c:pt idx="6">
                  <c:v>92.374999999999986</c:v>
                </c:pt>
                <c:pt idx="7">
                  <c:v>96.582999999999998</c:v>
                </c:pt>
                <c:pt idx="8">
                  <c:v>104.19</c:v>
                </c:pt>
                <c:pt idx="9">
                  <c:v>109.86</c:v>
                </c:pt>
                <c:pt idx="10">
                  <c:v>120.08</c:v>
                </c:pt>
                <c:pt idx="11">
                  <c:v>133.9</c:v>
                </c:pt>
                <c:pt idx="12">
                  <c:v>143.7275473014802</c:v>
                </c:pt>
                <c:pt idx="13">
                  <c:v>150.49796216553</c:v>
                </c:pt>
                <c:pt idx="14">
                  <c:v>152.83601356255002</c:v>
                </c:pt>
                <c:pt idx="15">
                  <c:v>153.60033768562022</c:v>
                </c:pt>
              </c:numCache>
            </c:numRef>
          </c:val>
          <c:smooth val="0"/>
          <c:extLst>
            <c:ext xmlns:c16="http://schemas.microsoft.com/office/drawing/2014/chart" uri="{C3380CC4-5D6E-409C-BE32-E72D297353CC}">
              <c16:uniqueId val="{00000001-7165-4677-8215-78E7F10AFF37}"/>
            </c:ext>
          </c:extLst>
        </c:ser>
        <c:ser>
          <c:idx val="6"/>
          <c:order val="2"/>
          <c:tx>
            <c:strRef>
              <c:f>'G2-St.rozpočet-výdaje'!$D$31</c:f>
              <c:strCache>
                <c:ptCount val="1"/>
                <c:pt idx="0">
                  <c:v>Podpora v nezaměstnanosti</c:v>
                </c:pt>
              </c:strCache>
            </c:strRef>
          </c:tx>
          <c:spPr>
            <a:ln w="15875">
              <a:solidFill>
                <a:srgbClr val="48AEE7"/>
              </a:solidFill>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'G2-St.rozpočet-výdaje'!$D$34:$D$49</c:f>
              <c:numCache>
                <c:formatCode>0.0</c:formatCode>
                <c:ptCount val="16"/>
                <c:pt idx="0">
                  <c:v>7.24</c:v>
                </c:pt>
                <c:pt idx="1">
                  <c:v>7.1099999999999985</c:v>
                </c:pt>
                <c:pt idx="2">
                  <c:v>15.078000000000001</c:v>
                </c:pt>
                <c:pt idx="3">
                  <c:v>13.355000000000008</c:v>
                </c:pt>
                <c:pt idx="4">
                  <c:v>10.349</c:v>
                </c:pt>
                <c:pt idx="5">
                  <c:v>8.76</c:v>
                </c:pt>
                <c:pt idx="6">
                  <c:v>9.65</c:v>
                </c:pt>
                <c:pt idx="7">
                  <c:v>9.2620000000000005</c:v>
                </c:pt>
                <c:pt idx="8">
                  <c:v>8.2760000000000016</c:v>
                </c:pt>
                <c:pt idx="9">
                  <c:v>8.2199999999999989</c:v>
                </c:pt>
                <c:pt idx="10">
                  <c:v>7.8199999999999985</c:v>
                </c:pt>
                <c:pt idx="11">
                  <c:v>7.51</c:v>
                </c:pt>
                <c:pt idx="12">
                  <c:v>8.1136251569399995</c:v>
                </c:pt>
                <c:pt idx="13">
                  <c:v>10.524849742540001</c:v>
                </c:pt>
                <c:pt idx="14">
                  <c:v>9.9694941281400116</c:v>
                </c:pt>
                <c:pt idx="15">
                  <c:v>9.8510506837400005</c:v>
                </c:pt>
              </c:numCache>
            </c:numRef>
          </c:val>
          <c:smooth val="0"/>
          <c:extLst>
            <c:ext xmlns:c16="http://schemas.microsoft.com/office/drawing/2014/chart" uri="{C3380CC4-5D6E-409C-BE32-E72D297353CC}">
              <c16:uniqueId val="{00000002-7165-4677-8215-78E7F10AFF37}"/>
            </c:ext>
          </c:extLst>
        </c:ser>
        <c:ser>
          <c:idx val="7"/>
          <c:order val="3"/>
          <c:tx>
            <c:strRef>
              <c:f>'G2-St.rozpočet-výdaje'!$E$31</c:f>
              <c:strCache>
                <c:ptCount val="1"/>
                <c:pt idx="0">
                  <c:v>Státní sociální podpora**</c:v>
                </c:pt>
              </c:strCache>
            </c:strRef>
          </c:tx>
          <c:spPr>
            <a:ln w="15875">
              <a:solidFill>
                <a:srgbClr val="00B050"/>
              </a:solidFill>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'G2-St.rozpočet-výdaje'!$E$34:$E$49</c:f>
              <c:numCache>
                <c:formatCode>0.0</c:formatCode>
                <c:ptCount val="16"/>
                <c:pt idx="0">
                  <c:v>49.47</c:v>
                </c:pt>
                <c:pt idx="1">
                  <c:v>41.97</c:v>
                </c:pt>
                <c:pt idx="2">
                  <c:v>41.168000000000013</c:v>
                </c:pt>
                <c:pt idx="3">
                  <c:v>40.880999999999993</c:v>
                </c:pt>
                <c:pt idx="4">
                  <c:v>36.094000000000001</c:v>
                </c:pt>
                <c:pt idx="5">
                  <c:v>35.554000000000002</c:v>
                </c:pt>
                <c:pt idx="6">
                  <c:v>37.423000000000002</c:v>
                </c:pt>
                <c:pt idx="7">
                  <c:v>37.544000000000004</c:v>
                </c:pt>
                <c:pt idx="8">
                  <c:v>37.65</c:v>
                </c:pt>
                <c:pt idx="9">
                  <c:v>37.78</c:v>
                </c:pt>
                <c:pt idx="10">
                  <c:v>37.220000000000013</c:v>
                </c:pt>
                <c:pt idx="11">
                  <c:v>39.220000000000013</c:v>
                </c:pt>
                <c:pt idx="12">
                  <c:v>37.87859106618</c:v>
                </c:pt>
                <c:pt idx="13">
                  <c:v>51.685289497479999</c:v>
                </c:pt>
                <c:pt idx="14">
                  <c:v>48.771589956349999</c:v>
                </c:pt>
                <c:pt idx="15">
                  <c:v>56.352518862020013</c:v>
                </c:pt>
              </c:numCache>
            </c:numRef>
          </c:val>
          <c:smooth val="0"/>
          <c:extLst>
            <c:ext xmlns:c16="http://schemas.microsoft.com/office/drawing/2014/chart" uri="{C3380CC4-5D6E-409C-BE32-E72D297353CC}">
              <c16:uniqueId val="{00000003-7165-4677-8215-78E7F10AFF37}"/>
            </c:ext>
          </c:extLst>
        </c:ser>
        <c:ser>
          <c:idx val="2"/>
          <c:order val="4"/>
          <c:tx>
            <c:strRef>
              <c:f>'G2-St.rozpočet-výdaje'!$F$31</c:f>
              <c:strCache>
                <c:ptCount val="1"/>
                <c:pt idx="0">
                  <c:v>Dávky nemocenského pojištění</c:v>
                </c:pt>
              </c:strCache>
            </c:strRef>
          </c:tx>
          <c:spPr>
            <a:ln w="15875">
              <a:solidFill>
                <a:srgbClr val="0071BC"/>
              </a:solidFill>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'G2-St.rozpočet-výdaje'!$F$34:$F$49</c:f>
              <c:numCache>
                <c:formatCode>0.0</c:formatCode>
                <c:ptCount val="16"/>
                <c:pt idx="0">
                  <c:v>34.671000000000006</c:v>
                </c:pt>
                <c:pt idx="1">
                  <c:v>31.881999999999987</c:v>
                </c:pt>
                <c:pt idx="2">
                  <c:v>26.233000000000001</c:v>
                </c:pt>
                <c:pt idx="3">
                  <c:v>22.995999999999981</c:v>
                </c:pt>
                <c:pt idx="4">
                  <c:v>21.734000000000005</c:v>
                </c:pt>
                <c:pt idx="5">
                  <c:v>19.602</c:v>
                </c:pt>
                <c:pt idx="6">
                  <c:v>20.350000000000001</c:v>
                </c:pt>
                <c:pt idx="7">
                  <c:v>22.28299999999998</c:v>
                </c:pt>
                <c:pt idx="8">
                  <c:v>24.310000000000013</c:v>
                </c:pt>
                <c:pt idx="9">
                  <c:v>26.5</c:v>
                </c:pt>
                <c:pt idx="10">
                  <c:v>28.57</c:v>
                </c:pt>
                <c:pt idx="11">
                  <c:v>34.173700000000011</c:v>
                </c:pt>
                <c:pt idx="12">
                  <c:v>39.094712800000039</c:v>
                </c:pt>
                <c:pt idx="13">
                  <c:v>55.4</c:v>
                </c:pt>
                <c:pt idx="14">
                  <c:v>51.355800000000002</c:v>
                </c:pt>
                <c:pt idx="15">
                  <c:v>47.630528750690004</c:v>
                </c:pt>
              </c:numCache>
            </c:numRef>
          </c:val>
          <c:smooth val="0"/>
          <c:extLst>
            <c:ext xmlns:c16="http://schemas.microsoft.com/office/drawing/2014/chart" uri="{C3380CC4-5D6E-409C-BE32-E72D297353CC}">
              <c16:uniqueId val="{00000004-7165-4677-8215-78E7F10AFF37}"/>
            </c:ext>
          </c:extLst>
        </c:ser>
        <c:ser>
          <c:idx val="3"/>
          <c:order val="5"/>
          <c:tx>
            <c:strRef>
              <c:f>'G2-St.rozpočet-výdaje'!$G$31</c:f>
              <c:strCache>
                <c:ptCount val="1"/>
                <c:pt idx="0">
                  <c:v>Dávky sociální péče***</c:v>
                </c:pt>
              </c:strCache>
            </c:strRef>
          </c:tx>
          <c:spPr>
            <a:ln w="15875">
              <a:solidFill>
                <a:srgbClr val="7030A0"/>
              </a:solidFill>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'G2-St.rozpočet-výdaje'!$G$34:$G$49</c:f>
              <c:numCache>
                <c:formatCode>0.0</c:formatCode>
                <c:ptCount val="16"/>
                <c:pt idx="0">
                  <c:v>20.811000000000014</c:v>
                </c:pt>
                <c:pt idx="1">
                  <c:v>23.542000000000002</c:v>
                </c:pt>
                <c:pt idx="2">
                  <c:v>24.256</c:v>
                </c:pt>
                <c:pt idx="3">
                  <c:v>25.292000000000002</c:v>
                </c:pt>
                <c:pt idx="4">
                  <c:v>24.966999999999981</c:v>
                </c:pt>
                <c:pt idx="5">
                  <c:v>27.695499999999985</c:v>
                </c:pt>
                <c:pt idx="6">
                  <c:v>31.978999999999989</c:v>
                </c:pt>
                <c:pt idx="7">
                  <c:v>33.622000000000028</c:v>
                </c:pt>
                <c:pt idx="8">
                  <c:v>33.621000000000002</c:v>
                </c:pt>
                <c:pt idx="9">
                  <c:v>34.29500000000003</c:v>
                </c:pt>
                <c:pt idx="10">
                  <c:v>34.439</c:v>
                </c:pt>
                <c:pt idx="11">
                  <c:v>33.990400000000001</c:v>
                </c:pt>
                <c:pt idx="12">
                  <c:v>36.831099999999999</c:v>
                </c:pt>
                <c:pt idx="13">
                  <c:v>40.510200000000005</c:v>
                </c:pt>
                <c:pt idx="14">
                  <c:v>40.537129800000002</c:v>
                </c:pt>
              </c:numCache>
            </c:numRef>
          </c:val>
          <c:smooth val="0"/>
          <c:extLst>
            <c:ext xmlns:c16="http://schemas.microsoft.com/office/drawing/2014/chart" uri="{C3380CC4-5D6E-409C-BE32-E72D297353CC}">
              <c16:uniqueId val="{00000005-7165-4677-8215-78E7F10AFF37}"/>
            </c:ext>
          </c:extLst>
        </c:ser>
        <c:ser>
          <c:idx val="4"/>
          <c:order val="6"/>
          <c:tx>
            <c:strRef>
              <c:f>'G2-St.rozpočet-výdaje'!$H$31</c:f>
              <c:strCache>
                <c:ptCount val="1"/>
                <c:pt idx="0">
                  <c:v>Neinvestič. nákupy a souvis. výdaje****</c:v>
                </c:pt>
              </c:strCache>
            </c:strRef>
          </c:tx>
          <c:spPr>
            <a:ln w="15875">
              <a:solidFill>
                <a:srgbClr val="D5D000"/>
              </a:solidFill>
              <a:prstDash val="solid"/>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'G2-St.rozpočet-výdaje'!$H$34:$H$49</c:f>
              <c:numCache>
                <c:formatCode>0.0</c:formatCode>
                <c:ptCount val="16"/>
                <c:pt idx="0">
                  <c:v>63.827000000000005</c:v>
                </c:pt>
                <c:pt idx="1">
                  <c:v>71.581999999999994</c:v>
                </c:pt>
                <c:pt idx="2">
                  <c:v>69.73</c:v>
                </c:pt>
                <c:pt idx="3">
                  <c:v>65.116</c:v>
                </c:pt>
                <c:pt idx="4">
                  <c:v>57.98</c:v>
                </c:pt>
                <c:pt idx="5">
                  <c:v>53.175000000000011</c:v>
                </c:pt>
                <c:pt idx="6">
                  <c:v>54.193000000000012</c:v>
                </c:pt>
                <c:pt idx="7">
                  <c:v>54.751000000000005</c:v>
                </c:pt>
                <c:pt idx="8">
                  <c:v>62.36</c:v>
                </c:pt>
                <c:pt idx="9">
                  <c:v>57.560000000000009</c:v>
                </c:pt>
                <c:pt idx="10">
                  <c:v>62.760000000000012</c:v>
                </c:pt>
                <c:pt idx="11">
                  <c:v>68.410000000000025</c:v>
                </c:pt>
                <c:pt idx="12">
                  <c:v>66.430000000000007</c:v>
                </c:pt>
                <c:pt idx="13">
                  <c:v>77.884951001920001</c:v>
                </c:pt>
                <c:pt idx="14">
                  <c:v>78.966372350419888</c:v>
                </c:pt>
                <c:pt idx="15">
                  <c:v>91.408634165139986</c:v>
                </c:pt>
              </c:numCache>
            </c:numRef>
          </c:val>
          <c:smooth val="0"/>
          <c:extLst>
            <c:ext xmlns:c16="http://schemas.microsoft.com/office/drawing/2014/chart" uri="{C3380CC4-5D6E-409C-BE32-E72D297353CC}">
              <c16:uniqueId val="{00000006-7165-4677-8215-78E7F10AFF37}"/>
            </c:ext>
          </c:extLst>
        </c:ser>
        <c:ser>
          <c:idx val="5"/>
          <c:order val="7"/>
          <c:tx>
            <c:strRef>
              <c:f>'G2-St.rozpočet-výdaje'!$I$31</c:f>
              <c:strCache>
                <c:ptCount val="1"/>
                <c:pt idx="0">
                  <c:v>Státní dluh (čisté výdaje)*****</c:v>
                </c:pt>
              </c:strCache>
            </c:strRef>
          </c:tx>
          <c:spPr>
            <a:ln w="15875">
              <a:solidFill>
                <a:srgbClr val="996633"/>
              </a:solidFill>
              <a:prstDash val="sysDash"/>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'G2-St.rozpočet-výdaje'!$I$34:$I$49</c:f>
              <c:numCache>
                <c:formatCode>0.0</c:formatCode>
                <c:ptCount val="16"/>
                <c:pt idx="0">
                  <c:v>34.130000000000003</c:v>
                </c:pt>
                <c:pt idx="1">
                  <c:v>37.64</c:v>
                </c:pt>
                <c:pt idx="2">
                  <c:v>44.46</c:v>
                </c:pt>
                <c:pt idx="3">
                  <c:v>35.840000000000003</c:v>
                </c:pt>
                <c:pt idx="4">
                  <c:v>45.120000000000012</c:v>
                </c:pt>
                <c:pt idx="5">
                  <c:v>41.400000000000006</c:v>
                </c:pt>
                <c:pt idx="6">
                  <c:v>50.89</c:v>
                </c:pt>
                <c:pt idx="7">
                  <c:v>48.49</c:v>
                </c:pt>
                <c:pt idx="8">
                  <c:v>45.28</c:v>
                </c:pt>
                <c:pt idx="9">
                  <c:v>40.65</c:v>
                </c:pt>
                <c:pt idx="10">
                  <c:v>39.77000000000001</c:v>
                </c:pt>
                <c:pt idx="11">
                  <c:v>40.730000000000011</c:v>
                </c:pt>
                <c:pt idx="12">
                  <c:v>39.550577993799998</c:v>
                </c:pt>
                <c:pt idx="13">
                  <c:v>40.145474011320005</c:v>
                </c:pt>
                <c:pt idx="14">
                  <c:v>42.233847726200004</c:v>
                </c:pt>
                <c:pt idx="15">
                  <c:v>49.705483243530011</c:v>
                </c:pt>
              </c:numCache>
            </c:numRef>
          </c:val>
          <c:smooth val="0"/>
          <c:extLst>
            <c:ext xmlns:c16="http://schemas.microsoft.com/office/drawing/2014/chart" uri="{C3380CC4-5D6E-409C-BE32-E72D297353CC}">
              <c16:uniqueId val="{00000007-7165-4677-8215-78E7F10AFF37}"/>
            </c:ext>
          </c:extLst>
        </c:ser>
        <c:ser>
          <c:idx val="8"/>
          <c:order val="8"/>
          <c:tx>
            <c:strRef>
              <c:f>'G2-St.rozpočet-výdaje'!$J$31</c:f>
              <c:strCache>
                <c:ptCount val="1"/>
                <c:pt idx="0">
                  <c:v>Neinvestič. transfery podnikat. subjektům</c:v>
                </c:pt>
              </c:strCache>
            </c:strRef>
          </c:tx>
          <c:spPr>
            <a:ln w="15875">
              <a:solidFill>
                <a:schemeClr val="tx1">
                  <a:lumMod val="95000"/>
                  <a:lumOff val="5000"/>
                </a:schemeClr>
              </a:solidFill>
              <a:prstDash val="dash"/>
            </a:ln>
          </c:spPr>
          <c:marker>
            <c:symbol val="none"/>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'G2-St.rozpočet-výdaje'!$J$34:$J$49</c:f>
              <c:numCache>
                <c:formatCode>0.00</c:formatCode>
                <c:ptCount val="16"/>
                <c:pt idx="0">
                  <c:v>23.696000000000005</c:v>
                </c:pt>
                <c:pt idx="1">
                  <c:v>26.108000000000001</c:v>
                </c:pt>
                <c:pt idx="2">
                  <c:v>28.491</c:v>
                </c:pt>
                <c:pt idx="3">
                  <c:v>28.100999999999999</c:v>
                </c:pt>
                <c:pt idx="4">
                  <c:v>33.263000000000012</c:v>
                </c:pt>
                <c:pt idx="5">
                  <c:v>35.61</c:v>
                </c:pt>
                <c:pt idx="6">
                  <c:v>35.03</c:v>
                </c:pt>
                <c:pt idx="7">
                  <c:v>41.230000000000011</c:v>
                </c:pt>
                <c:pt idx="8">
                  <c:v>39.14</c:v>
                </c:pt>
                <c:pt idx="9">
                  <c:v>44.230000000000011</c:v>
                </c:pt>
                <c:pt idx="10">
                  <c:v>48.3</c:v>
                </c:pt>
                <c:pt idx="11">
                  <c:v>57.32</c:v>
                </c:pt>
                <c:pt idx="12">
                  <c:v>57.932912725290002</c:v>
                </c:pt>
                <c:pt idx="13">
                  <c:v>106.75302514385</c:v>
                </c:pt>
                <c:pt idx="14">
                  <c:v>125.41352918255002</c:v>
                </c:pt>
                <c:pt idx="15">
                  <c:v>89.292856818779896</c:v>
                </c:pt>
              </c:numCache>
            </c:numRef>
          </c:val>
          <c:smooth val="0"/>
          <c:extLst>
            <c:ext xmlns:c16="http://schemas.microsoft.com/office/drawing/2014/chart" uri="{C3380CC4-5D6E-409C-BE32-E72D297353CC}">
              <c16:uniqueId val="{00000008-7165-4677-8215-78E7F10AFF37}"/>
            </c:ext>
          </c:extLst>
        </c:ser>
        <c:ser>
          <c:idx val="9"/>
          <c:order val="9"/>
          <c:tx>
            <c:strRef>
              <c:f>'G2-St.rozpočet-výdaje'!$K$31</c:f>
              <c:strCache>
                <c:ptCount val="1"/>
                <c:pt idx="0">
                  <c:v>Kapitálové výdaje</c:v>
                </c:pt>
              </c:strCache>
            </c:strRef>
          </c:tx>
          <c:spPr>
            <a:ln w="9525">
              <a:solidFill>
                <a:srgbClr val="C00000"/>
              </a:solidFill>
              <a:prstDash val="sysDot"/>
            </a:ln>
          </c:spPr>
          <c:marker>
            <c:symbol val="circle"/>
            <c:size val="4"/>
            <c:spPr>
              <a:solidFill>
                <a:srgbClr val="C00000"/>
              </a:solidFill>
              <a:ln>
                <a:noFill/>
              </a:ln>
            </c:spPr>
          </c:marker>
          <c:cat>
            <c:numRef>
              <c:f>'G2-St.rozpočet-výdaje'!$A$34:$A$49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'G2-St.rozpočet-výdaje'!$K$34:$K$49</c:f>
              <c:numCache>
                <c:formatCode>0.0</c:formatCode>
                <c:ptCount val="16"/>
                <c:pt idx="0">
                  <c:v>118.42</c:v>
                </c:pt>
                <c:pt idx="1">
                  <c:v>108.08</c:v>
                </c:pt>
                <c:pt idx="2">
                  <c:v>134.22999999999999</c:v>
                </c:pt>
                <c:pt idx="3">
                  <c:v>134.91</c:v>
                </c:pt>
                <c:pt idx="4">
                  <c:v>123.69</c:v>
                </c:pt>
                <c:pt idx="5">
                  <c:v>113.61999999999999</c:v>
                </c:pt>
                <c:pt idx="6">
                  <c:v>102.315</c:v>
                </c:pt>
                <c:pt idx="7">
                  <c:v>111.50700000000002</c:v>
                </c:pt>
                <c:pt idx="8">
                  <c:v>175.66</c:v>
                </c:pt>
                <c:pt idx="9">
                  <c:v>84.27</c:v>
                </c:pt>
                <c:pt idx="10">
                  <c:v>81.75</c:v>
                </c:pt>
                <c:pt idx="11">
                  <c:v>116.46000000000002</c:v>
                </c:pt>
                <c:pt idx="12">
                  <c:v>139.13928546781995</c:v>
                </c:pt>
                <c:pt idx="13">
                  <c:v>172.62079654905</c:v>
                </c:pt>
                <c:pt idx="14">
                  <c:v>177.13556603781998</c:v>
                </c:pt>
                <c:pt idx="15">
                  <c:v>186.85457144361001</c:v>
                </c:pt>
              </c:numCache>
            </c:numRef>
          </c:val>
          <c:smooth val="0"/>
          <c:extLst>
            <c:ext xmlns:c16="http://schemas.microsoft.com/office/drawing/2014/chart" uri="{C3380CC4-5D6E-409C-BE32-E72D297353CC}">
              <c16:uniqueId val="{00000009-7165-4677-8215-78E7F10AFF37}"/>
            </c:ext>
          </c:extLst>
        </c:ser>
        <c:dLbls>
          <c:showLegendKey val="0"/>
          <c:showVal val="0"/>
          <c:showCatName val="0"/>
          <c:showSerName val="0"/>
          <c:showPercent val="0"/>
          <c:showBubbleSize val="0"/>
        </c:dLbls>
        <c:marker val="1"/>
        <c:smooth val="0"/>
        <c:axId val="129125376"/>
        <c:axId val="129157760"/>
      </c:lineChart>
      <c:catAx>
        <c:axId val="129125376"/>
        <c:scaling>
          <c:orientation val="minMax"/>
        </c:scaling>
        <c:delete val="0"/>
        <c:axPos val="b"/>
        <c:numFmt formatCode="General" sourceLinked="1"/>
        <c:majorTickMark val="out"/>
        <c:minorTickMark val="none"/>
        <c:tickLblPos val="low"/>
        <c:spPr>
          <a:ln w="6350">
            <a:solidFill>
              <a:schemeClr val="bg1">
                <a:lumMod val="50000"/>
              </a:schemeClr>
            </a:solidFill>
          </a:ln>
        </c:spPr>
        <c:crossAx val="129157760"/>
        <c:crosses val="autoZero"/>
        <c:auto val="1"/>
        <c:lblAlgn val="ctr"/>
        <c:lblOffset val="20"/>
        <c:noMultiLvlLbl val="0"/>
      </c:catAx>
      <c:valAx>
        <c:axId val="129157760"/>
        <c:scaling>
          <c:orientation val="minMax"/>
          <c:max val="200"/>
          <c:min val="0"/>
        </c:scaling>
        <c:delete val="0"/>
        <c:axPos val="l"/>
        <c:majorGridlines>
          <c:spPr>
            <a:ln w="6350">
              <a:solidFill>
                <a:schemeClr val="bg1">
                  <a:lumMod val="75000"/>
                </a:schemeClr>
              </a:solidFill>
            </a:ln>
          </c:spPr>
        </c:majorGridlines>
        <c:title>
          <c:tx>
            <c:rich>
              <a:bodyPr/>
              <a:lstStyle/>
              <a:p>
                <a:pPr>
                  <a:defRPr sz="700" b="0" i="1"/>
                </a:pPr>
                <a:r>
                  <a:rPr lang="cs-CZ" sz="700" b="0" i="1"/>
                  <a:t>Vybrané</a:t>
                </a:r>
                <a:r>
                  <a:rPr lang="cs-CZ" sz="700" b="0" i="1" baseline="0"/>
                  <a:t> </a:t>
                </a:r>
                <a:r>
                  <a:rPr lang="cs-CZ" sz="700" b="0" i="1"/>
                  <a:t>výdaje</a:t>
                </a:r>
              </a:p>
            </c:rich>
          </c:tx>
          <c:overlay val="0"/>
        </c:title>
        <c:numFmt formatCode="0" sourceLinked="0"/>
        <c:majorTickMark val="out"/>
        <c:minorTickMark val="none"/>
        <c:tickLblPos val="nextTo"/>
        <c:spPr>
          <a:ln w="6350">
            <a:solidFill>
              <a:schemeClr val="tx1"/>
            </a:solidFill>
          </a:ln>
        </c:spPr>
        <c:crossAx val="129125376"/>
        <c:crosses val="autoZero"/>
        <c:crossBetween val="between"/>
        <c:majorUnit val="20"/>
      </c:valAx>
      <c:valAx>
        <c:axId val="129184512"/>
        <c:scaling>
          <c:orientation val="minMax"/>
          <c:max val="2000"/>
          <c:min val="0"/>
        </c:scaling>
        <c:delete val="0"/>
        <c:axPos val="r"/>
        <c:title>
          <c:tx>
            <c:rich>
              <a:bodyPr/>
              <a:lstStyle/>
              <a:p>
                <a:pPr>
                  <a:defRPr sz="700" b="0" i="1"/>
                </a:pPr>
                <a:r>
                  <a:rPr lang="cs-CZ" sz="700" b="0" i="1"/>
                  <a:t>Běžné výdaje celkem</a:t>
                </a:r>
              </a:p>
            </c:rich>
          </c:tx>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129331968"/>
        <c:crosses val="max"/>
        <c:crossBetween val="between"/>
        <c:majorUnit val="200"/>
        <c:minorUnit val="10"/>
      </c:valAx>
      <c:catAx>
        <c:axId val="129331968"/>
        <c:scaling>
          <c:orientation val="minMax"/>
        </c:scaling>
        <c:delete val="1"/>
        <c:axPos val="b"/>
        <c:numFmt formatCode="General" sourceLinked="1"/>
        <c:majorTickMark val="out"/>
        <c:minorTickMark val="none"/>
        <c:tickLblPos val="none"/>
        <c:crossAx val="129184512"/>
        <c:crosses val="autoZero"/>
        <c:auto val="1"/>
        <c:lblAlgn val="ctr"/>
        <c:lblOffset val="100"/>
        <c:noMultiLvlLbl val="0"/>
      </c:catAx>
      <c:spPr>
        <a:ln w="6350">
          <a:solidFill>
            <a:schemeClr val="tx1"/>
          </a:solidFill>
        </a:ln>
      </c:spPr>
    </c:plotArea>
    <c:legend>
      <c:legendPos val="b"/>
      <c:layout>
        <c:manualLayout>
          <c:xMode val="edge"/>
          <c:yMode val="edge"/>
          <c:x val="1.8694652958186689E-2"/>
          <c:y val="0.82695584929121102"/>
          <c:w val="0.96274947908666564"/>
          <c:h val="0.16585489978301932"/>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459500701947142E-2"/>
          <c:y val="2.3228803716608595E-2"/>
          <c:w val="0.92596734520780277"/>
          <c:h val="0.81080883387586233"/>
        </c:manualLayout>
      </c:layout>
      <c:areaChart>
        <c:grouping val="standard"/>
        <c:varyColors val="0"/>
        <c:ser>
          <c:idx val="0"/>
          <c:order val="0"/>
          <c:tx>
            <c:strRef>
              <c:f>'G3-Sektor vlád.institucí'!$A$42</c:f>
              <c:strCache>
                <c:ptCount val="1"/>
                <c:pt idx="0">
                  <c:v>Česko</c:v>
                </c:pt>
              </c:strCache>
            </c:strRef>
          </c:tx>
          <c:spPr>
            <a:solidFill>
              <a:schemeClr val="bg2">
                <a:lumMod val="75000"/>
              </a:schemeClr>
            </a:solidFill>
            <a:ln w="25400">
              <a:noFill/>
            </a:ln>
            <a:effectLst/>
          </c:spPr>
          <c:cat>
            <c:multiLvlStrRef>
              <c:f>'G3-Sektor vlád.institucí'!$B$40:$AF$41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'G3-Sektor vlád.institucí'!$B$42:$AF$42</c:f>
              <c:numCache>
                <c:formatCode>#\ ##0.##########</c:formatCode>
                <c:ptCount val="31"/>
                <c:pt idx="0">
                  <c:v>0.2</c:v>
                </c:pt>
                <c:pt idx="1">
                  <c:v>-0.4</c:v>
                </c:pt>
                <c:pt idx="2">
                  <c:v>-0.60000000000000042</c:v>
                </c:pt>
                <c:pt idx="3">
                  <c:v>-1.9000000000000001</c:v>
                </c:pt>
                <c:pt idx="4">
                  <c:v>0.7000000000000004</c:v>
                </c:pt>
                <c:pt idx="5">
                  <c:v>0.8</c:v>
                </c:pt>
                <c:pt idx="6" formatCode="#\ ##0.0">
                  <c:v>1</c:v>
                </c:pt>
                <c:pt idx="7">
                  <c:v>0.4</c:v>
                </c:pt>
                <c:pt idx="8">
                  <c:v>0.9</c:v>
                </c:pt>
                <c:pt idx="9">
                  <c:v>1.6</c:v>
                </c:pt>
                <c:pt idx="10">
                  <c:v>1.7</c:v>
                </c:pt>
                <c:pt idx="11">
                  <c:v>1.7</c:v>
                </c:pt>
                <c:pt idx="12">
                  <c:v>1.2</c:v>
                </c:pt>
                <c:pt idx="13">
                  <c:v>1.6</c:v>
                </c:pt>
                <c:pt idx="14">
                  <c:v>0.2</c:v>
                </c:pt>
                <c:pt idx="15">
                  <c:v>0.60000000000000042</c:v>
                </c:pt>
                <c:pt idx="16" formatCode="#\ ##0.0">
                  <c:v>1</c:v>
                </c:pt>
                <c:pt idx="17">
                  <c:v>1.1000000000000001</c:v>
                </c:pt>
                <c:pt idx="18">
                  <c:v>-0.2</c:v>
                </c:pt>
                <c:pt idx="19">
                  <c:v>-0.7000000000000004</c:v>
                </c:pt>
                <c:pt idx="20">
                  <c:v>-2.6</c:v>
                </c:pt>
                <c:pt idx="21">
                  <c:v>-8.4</c:v>
                </c:pt>
                <c:pt idx="22">
                  <c:v>-5.3</c:v>
                </c:pt>
                <c:pt idx="23">
                  <c:v>-6.9</c:v>
                </c:pt>
                <c:pt idx="24">
                  <c:v>-7.4</c:v>
                </c:pt>
                <c:pt idx="25">
                  <c:v>-4.5</c:v>
                </c:pt>
                <c:pt idx="26">
                  <c:v>-4.4000000000000004</c:v>
                </c:pt>
                <c:pt idx="27">
                  <c:v>-4.2</c:v>
                </c:pt>
                <c:pt idx="28">
                  <c:v>-3.5</c:v>
                </c:pt>
                <c:pt idx="29" formatCode="#\ ##0.0">
                  <c:v>-3</c:v>
                </c:pt>
                <c:pt idx="30">
                  <c:v>-4.4000000000000004</c:v>
                </c:pt>
              </c:numCache>
            </c:numRef>
          </c:val>
          <c:extLst>
            <c:ext xmlns:c16="http://schemas.microsoft.com/office/drawing/2014/chart" uri="{C3380CC4-5D6E-409C-BE32-E72D297353CC}">
              <c16:uniqueId val="{00000000-5491-44BB-87AA-882F14DB4338}"/>
            </c:ext>
          </c:extLst>
        </c:ser>
        <c:dLbls>
          <c:showLegendKey val="0"/>
          <c:showVal val="0"/>
          <c:showCatName val="0"/>
          <c:showSerName val="0"/>
          <c:showPercent val="0"/>
          <c:showBubbleSize val="0"/>
        </c:dLbls>
        <c:axId val="129668224"/>
        <c:axId val="129669760"/>
      </c:areaChart>
      <c:lineChart>
        <c:grouping val="standard"/>
        <c:varyColors val="0"/>
        <c:ser>
          <c:idx val="1"/>
          <c:order val="1"/>
          <c:tx>
            <c:strRef>
              <c:f>'G3-Sektor vlád.institucí'!$A$43</c:f>
              <c:strCache>
                <c:ptCount val="1"/>
                <c:pt idx="0">
                  <c:v>EU27</c:v>
                </c:pt>
              </c:strCache>
            </c:strRef>
          </c:tx>
          <c:spPr>
            <a:ln w="19050" cap="rnd">
              <a:solidFill>
                <a:schemeClr val="accent2"/>
              </a:solidFill>
              <a:round/>
            </a:ln>
            <a:effectLst/>
          </c:spPr>
          <c:marker>
            <c:symbol val="none"/>
          </c:marker>
          <c:cat>
            <c:multiLvlStrRef>
              <c:f>'G3-Sektor vlád.institucí'!$B$40:$AF$41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'G3-Sektor vlád.institucí'!$B$43:$AF$43</c:f>
              <c:numCache>
                <c:formatCode>#\ ##0.0</c:formatCode>
                <c:ptCount val="31"/>
                <c:pt idx="0" formatCode="#\ ##0.##########">
                  <c:v>-2.2000000000000002</c:v>
                </c:pt>
                <c:pt idx="1">
                  <c:v>-2</c:v>
                </c:pt>
                <c:pt idx="2" formatCode="#\ ##0.##########">
                  <c:v>-1.7</c:v>
                </c:pt>
                <c:pt idx="3" formatCode="#\ ##0.##########">
                  <c:v>-1.8</c:v>
                </c:pt>
                <c:pt idx="4" formatCode="#\ ##0.##########">
                  <c:v>-1.6</c:v>
                </c:pt>
                <c:pt idx="5" formatCode="#\ ##0.##########">
                  <c:v>-1.4</c:v>
                </c:pt>
                <c:pt idx="6" formatCode="#\ ##0.##########">
                  <c:v>-1.6</c:v>
                </c:pt>
                <c:pt idx="7" formatCode="#\ ##0.##########">
                  <c:v>-0.8</c:v>
                </c:pt>
                <c:pt idx="8" formatCode="#\ ##0.##########">
                  <c:v>-0.8</c:v>
                </c:pt>
                <c:pt idx="9" formatCode="#\ ##0.##########">
                  <c:v>-1.2</c:v>
                </c:pt>
                <c:pt idx="10" formatCode="#\ ##0.##########">
                  <c:v>-0.7000000000000004</c:v>
                </c:pt>
                <c:pt idx="11" formatCode="#\ ##0.##########">
                  <c:v>-0.30000000000000021</c:v>
                </c:pt>
                <c:pt idx="12" formatCode="#\ ##0.##########">
                  <c:v>-0.1</c:v>
                </c:pt>
                <c:pt idx="13" formatCode="#\ ##0.##########">
                  <c:v>-0.1</c:v>
                </c:pt>
                <c:pt idx="14" formatCode="#\ ##0.##########">
                  <c:v>-0.5</c:v>
                </c:pt>
                <c:pt idx="15" formatCode="#\ ##0.##########">
                  <c:v>-0.7000000000000004</c:v>
                </c:pt>
                <c:pt idx="16" formatCode="#\ ##0.##########">
                  <c:v>-0.2</c:v>
                </c:pt>
                <c:pt idx="17" formatCode="#\ ##0.##########">
                  <c:v>-0.2</c:v>
                </c:pt>
                <c:pt idx="18" formatCode="#\ ##0.##########">
                  <c:v>-0.9</c:v>
                </c:pt>
                <c:pt idx="19" formatCode="#\ ##0.##########">
                  <c:v>-0.8</c:v>
                </c:pt>
                <c:pt idx="20" formatCode="#\ ##0.##########">
                  <c:v>-2.7</c:v>
                </c:pt>
                <c:pt idx="21" formatCode="#\ ##0.##########">
                  <c:v>-11.6</c:v>
                </c:pt>
                <c:pt idx="22" formatCode="#\ ##0.##########">
                  <c:v>-6.1</c:v>
                </c:pt>
                <c:pt idx="23" formatCode="#\ ##0.##########">
                  <c:v>-6.9</c:v>
                </c:pt>
                <c:pt idx="24" formatCode="#\ ##0.##########">
                  <c:v>-6.2</c:v>
                </c:pt>
                <c:pt idx="25" formatCode="#\ ##0.##########">
                  <c:v>-5.9</c:v>
                </c:pt>
                <c:pt idx="26" formatCode="#\ ##0.##########">
                  <c:v>-3.6</c:v>
                </c:pt>
                <c:pt idx="27" formatCode="#\ ##0.##########">
                  <c:v>-3.1</c:v>
                </c:pt>
                <c:pt idx="28" formatCode="#\ ##0.##########">
                  <c:v>-2.1</c:v>
                </c:pt>
                <c:pt idx="29" formatCode="#\ ##0.##########">
                  <c:v>-1.8</c:v>
                </c:pt>
                <c:pt idx="30" formatCode="#\ ##0.##########">
                  <c:v>-3.2</c:v>
                </c:pt>
              </c:numCache>
            </c:numRef>
          </c:val>
          <c:smooth val="0"/>
          <c:extLst>
            <c:ext xmlns:c16="http://schemas.microsoft.com/office/drawing/2014/chart" uri="{C3380CC4-5D6E-409C-BE32-E72D297353CC}">
              <c16:uniqueId val="{00000001-5491-44BB-87AA-882F14DB4338}"/>
            </c:ext>
          </c:extLst>
        </c:ser>
        <c:ser>
          <c:idx val="2"/>
          <c:order val="2"/>
          <c:tx>
            <c:strRef>
              <c:f>'G3-Sektor vlád.institucí'!$A$44</c:f>
              <c:strCache>
                <c:ptCount val="1"/>
                <c:pt idx="0">
                  <c:v>Německo</c:v>
                </c:pt>
              </c:strCache>
            </c:strRef>
          </c:tx>
          <c:spPr>
            <a:ln w="19050" cap="rnd">
              <a:solidFill>
                <a:srgbClr val="F8A124"/>
              </a:solidFill>
              <a:round/>
            </a:ln>
            <a:effectLst/>
          </c:spPr>
          <c:marker>
            <c:symbol val="none"/>
          </c:marker>
          <c:cat>
            <c:multiLvlStrRef>
              <c:f>'G3-Sektor vlád.institucí'!$B$40:$AF$41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'G3-Sektor vlád.institucí'!$B$44:$AF$44</c:f>
              <c:numCache>
                <c:formatCode>#\ ##0.##########</c:formatCode>
                <c:ptCount val="31"/>
                <c:pt idx="0">
                  <c:v>0.8</c:v>
                </c:pt>
                <c:pt idx="1">
                  <c:v>0.7000000000000004</c:v>
                </c:pt>
                <c:pt idx="2">
                  <c:v>1.6</c:v>
                </c:pt>
                <c:pt idx="3">
                  <c:v>0.8</c:v>
                </c:pt>
                <c:pt idx="4">
                  <c:v>1.1000000000000001</c:v>
                </c:pt>
                <c:pt idx="5">
                  <c:v>0.9</c:v>
                </c:pt>
                <c:pt idx="6">
                  <c:v>0.5</c:v>
                </c:pt>
                <c:pt idx="7">
                  <c:v>2.1</c:v>
                </c:pt>
                <c:pt idx="8">
                  <c:v>1.6</c:v>
                </c:pt>
                <c:pt idx="9">
                  <c:v>0.4</c:v>
                </c:pt>
                <c:pt idx="10">
                  <c:v>1.5</c:v>
                </c:pt>
                <c:pt idx="11">
                  <c:v>1.8</c:v>
                </c:pt>
                <c:pt idx="12">
                  <c:v>2.5</c:v>
                </c:pt>
                <c:pt idx="13">
                  <c:v>2.6</c:v>
                </c:pt>
                <c:pt idx="14">
                  <c:v>1.6</c:v>
                </c:pt>
                <c:pt idx="15">
                  <c:v>1.1000000000000001</c:v>
                </c:pt>
                <c:pt idx="16">
                  <c:v>2.4</c:v>
                </c:pt>
                <c:pt idx="17">
                  <c:v>2.1</c:v>
                </c:pt>
                <c:pt idx="18">
                  <c:v>0.60000000000000042</c:v>
                </c:pt>
                <c:pt idx="19">
                  <c:v>1.1000000000000001</c:v>
                </c:pt>
                <c:pt idx="20">
                  <c:v>0.7000000000000004</c:v>
                </c:pt>
                <c:pt idx="21">
                  <c:v>-8.3000000000000007</c:v>
                </c:pt>
                <c:pt idx="22">
                  <c:v>-5.9</c:v>
                </c:pt>
                <c:pt idx="23">
                  <c:v>-4.2</c:v>
                </c:pt>
                <c:pt idx="24">
                  <c:v>-4.5999999999999996</c:v>
                </c:pt>
                <c:pt idx="25">
                  <c:v>-5.5</c:v>
                </c:pt>
                <c:pt idx="26">
                  <c:v>-3.2</c:v>
                </c:pt>
                <c:pt idx="27">
                  <c:v>-1.8</c:v>
                </c:pt>
                <c:pt idx="28">
                  <c:v>-0.9</c:v>
                </c:pt>
                <c:pt idx="29">
                  <c:v>-1.1000000000000001</c:v>
                </c:pt>
                <c:pt idx="30">
                  <c:v>-3.8</c:v>
                </c:pt>
              </c:numCache>
            </c:numRef>
          </c:val>
          <c:smooth val="0"/>
          <c:extLst>
            <c:ext xmlns:c16="http://schemas.microsoft.com/office/drawing/2014/chart" uri="{C3380CC4-5D6E-409C-BE32-E72D297353CC}">
              <c16:uniqueId val="{00000002-5491-44BB-87AA-882F14DB4338}"/>
            </c:ext>
          </c:extLst>
        </c:ser>
        <c:ser>
          <c:idx val="5"/>
          <c:order val="3"/>
          <c:tx>
            <c:strRef>
              <c:f>'G3-Sektor vlád.institucí'!$A$46</c:f>
              <c:strCache>
                <c:ptCount val="1"/>
                <c:pt idx="0">
                  <c:v>Slovensko</c:v>
                </c:pt>
              </c:strCache>
            </c:strRef>
          </c:tx>
          <c:spPr>
            <a:ln w="19050" cap="rnd">
              <a:solidFill>
                <a:srgbClr val="00B050"/>
              </a:solidFill>
              <a:prstDash val="solid"/>
              <a:round/>
            </a:ln>
            <a:effectLst/>
          </c:spPr>
          <c:marker>
            <c:symbol val="none"/>
          </c:marker>
          <c:cat>
            <c:multiLvlStrRef>
              <c:f>'G3-Sektor vlád.institucí'!$B$40:$AF$41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'G3-Sektor vlád.institucí'!$B$46:$AF$46</c:f>
              <c:numCache>
                <c:formatCode>#\ ##0.##########</c:formatCode>
                <c:ptCount val="31"/>
                <c:pt idx="0">
                  <c:v>-3.2</c:v>
                </c:pt>
                <c:pt idx="1">
                  <c:v>-2.5</c:v>
                </c:pt>
                <c:pt idx="2">
                  <c:v>-2.2999999999999998</c:v>
                </c:pt>
                <c:pt idx="3">
                  <c:v>-2.2999999999999998</c:v>
                </c:pt>
                <c:pt idx="4">
                  <c:v>-3.4</c:v>
                </c:pt>
                <c:pt idx="5" formatCode="#\ ##0.0">
                  <c:v>-3</c:v>
                </c:pt>
                <c:pt idx="6">
                  <c:v>-2.2000000000000002</c:v>
                </c:pt>
                <c:pt idx="7" formatCode="#\ ##0.0">
                  <c:v>-2</c:v>
                </c:pt>
                <c:pt idx="8">
                  <c:v>-2.1</c:v>
                </c:pt>
                <c:pt idx="9">
                  <c:v>-1.2</c:v>
                </c:pt>
                <c:pt idx="10">
                  <c:v>-1.3</c:v>
                </c:pt>
                <c:pt idx="11">
                  <c:v>0.4</c:v>
                </c:pt>
                <c:pt idx="12">
                  <c:v>-1.2</c:v>
                </c:pt>
                <c:pt idx="13" formatCode="#\ ##0.0">
                  <c:v>-1</c:v>
                </c:pt>
                <c:pt idx="14">
                  <c:v>-1.4</c:v>
                </c:pt>
                <c:pt idx="15">
                  <c:v>-0.4</c:v>
                </c:pt>
                <c:pt idx="16">
                  <c:v>-1.1000000000000001</c:v>
                </c:pt>
                <c:pt idx="17">
                  <c:v>-1.2</c:v>
                </c:pt>
                <c:pt idx="18">
                  <c:v>-1.9000000000000001</c:v>
                </c:pt>
                <c:pt idx="19">
                  <c:v>-0.5</c:v>
                </c:pt>
                <c:pt idx="20" formatCode="#\ ##0.0">
                  <c:v>-3</c:v>
                </c:pt>
                <c:pt idx="21">
                  <c:v>-7.4</c:v>
                </c:pt>
                <c:pt idx="22">
                  <c:v>-5.3</c:v>
                </c:pt>
                <c:pt idx="23">
                  <c:v>-5.5</c:v>
                </c:pt>
                <c:pt idx="24">
                  <c:v>-6.1</c:v>
                </c:pt>
                <c:pt idx="25">
                  <c:v>-7.3</c:v>
                </c:pt>
                <c:pt idx="26">
                  <c:v>-3.2</c:v>
                </c:pt>
                <c:pt idx="27">
                  <c:v>-5.0999999999999996</c:v>
                </c:pt>
                <c:pt idx="28">
                  <c:v>-3.2</c:v>
                </c:pt>
                <c:pt idx="29">
                  <c:v>-3.3</c:v>
                </c:pt>
                <c:pt idx="30">
                  <c:v>-3.2</c:v>
                </c:pt>
              </c:numCache>
            </c:numRef>
          </c:val>
          <c:smooth val="0"/>
          <c:extLst>
            <c:ext xmlns:c16="http://schemas.microsoft.com/office/drawing/2014/chart" uri="{C3380CC4-5D6E-409C-BE32-E72D297353CC}">
              <c16:uniqueId val="{00000003-5491-44BB-87AA-882F14DB4338}"/>
            </c:ext>
          </c:extLst>
        </c:ser>
        <c:ser>
          <c:idx val="6"/>
          <c:order val="4"/>
          <c:tx>
            <c:strRef>
              <c:f>'G3-Sektor vlád.institucí'!$A$48</c:f>
              <c:strCache>
                <c:ptCount val="1"/>
                <c:pt idx="0">
                  <c:v>Dánsko</c:v>
                </c:pt>
              </c:strCache>
            </c:strRef>
          </c:tx>
          <c:spPr>
            <a:ln w="19050" cap="rnd">
              <a:solidFill>
                <a:srgbClr val="0070C0"/>
              </a:solidFill>
              <a:round/>
            </a:ln>
            <a:effectLst/>
          </c:spPr>
          <c:marker>
            <c:symbol val="none"/>
          </c:marker>
          <c:cat>
            <c:multiLvlStrRef>
              <c:f>'G3-Sektor vlád.institucí'!$B$40:$AF$41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'G3-Sektor vlád.institucí'!$B$48:$AF$48</c:f>
              <c:numCache>
                <c:formatCode>#\ ##0.##########</c:formatCode>
                <c:ptCount val="31"/>
                <c:pt idx="0">
                  <c:v>-3.4</c:v>
                </c:pt>
                <c:pt idx="1">
                  <c:v>-1.6</c:v>
                </c:pt>
                <c:pt idx="2">
                  <c:v>-0.8</c:v>
                </c:pt>
                <c:pt idx="3">
                  <c:v>-0.60000000000000042</c:v>
                </c:pt>
                <c:pt idx="4">
                  <c:v>-0.4</c:v>
                </c:pt>
                <c:pt idx="5">
                  <c:v>-0.60000000000000042</c:v>
                </c:pt>
                <c:pt idx="6">
                  <c:v>-0.4</c:v>
                </c:pt>
                <c:pt idx="7">
                  <c:v>0.60000000000000042</c:v>
                </c:pt>
                <c:pt idx="8">
                  <c:v>2.2000000000000002</c:v>
                </c:pt>
                <c:pt idx="9">
                  <c:v>1.3</c:v>
                </c:pt>
                <c:pt idx="10">
                  <c:v>1.7</c:v>
                </c:pt>
                <c:pt idx="11" formatCode="#\ ##0.0">
                  <c:v>2</c:v>
                </c:pt>
                <c:pt idx="12">
                  <c:v>1.1000000000000001</c:v>
                </c:pt>
                <c:pt idx="13">
                  <c:v>1.2</c:v>
                </c:pt>
                <c:pt idx="14">
                  <c:v>1.7</c:v>
                </c:pt>
                <c:pt idx="15">
                  <c:v>-0.1</c:v>
                </c:pt>
                <c:pt idx="16">
                  <c:v>5.5</c:v>
                </c:pt>
                <c:pt idx="17">
                  <c:v>4.9000000000000004</c:v>
                </c:pt>
                <c:pt idx="18">
                  <c:v>3.3</c:v>
                </c:pt>
                <c:pt idx="19">
                  <c:v>3.1</c:v>
                </c:pt>
                <c:pt idx="20">
                  <c:v>1.2</c:v>
                </c:pt>
                <c:pt idx="21">
                  <c:v>-1.8</c:v>
                </c:pt>
                <c:pt idx="22">
                  <c:v>0.8</c:v>
                </c:pt>
                <c:pt idx="23">
                  <c:v>0.9</c:v>
                </c:pt>
                <c:pt idx="24">
                  <c:v>3.9</c:v>
                </c:pt>
                <c:pt idx="25">
                  <c:v>4.3</c:v>
                </c:pt>
                <c:pt idx="26">
                  <c:v>4.7</c:v>
                </c:pt>
                <c:pt idx="27">
                  <c:v>1.9000000000000001</c:v>
                </c:pt>
                <c:pt idx="28">
                  <c:v>1.4</c:v>
                </c:pt>
                <c:pt idx="29">
                  <c:v>1.3</c:v>
                </c:pt>
                <c:pt idx="30">
                  <c:v>0.9</c:v>
                </c:pt>
              </c:numCache>
            </c:numRef>
          </c:val>
          <c:smooth val="0"/>
          <c:extLst>
            <c:ext xmlns:c16="http://schemas.microsoft.com/office/drawing/2014/chart" uri="{C3380CC4-5D6E-409C-BE32-E72D297353CC}">
              <c16:uniqueId val="{00000004-5491-44BB-87AA-882F14DB4338}"/>
            </c:ext>
          </c:extLst>
        </c:ser>
        <c:ser>
          <c:idx val="7"/>
          <c:order val="5"/>
          <c:tx>
            <c:strRef>
              <c:f>'G3-Sektor vlád.institucí'!$A$49</c:f>
              <c:strCache>
                <c:ptCount val="1"/>
                <c:pt idx="0">
                  <c:v>Španělsko</c:v>
                </c:pt>
              </c:strCache>
            </c:strRef>
          </c:tx>
          <c:spPr>
            <a:ln w="19050" cap="rnd">
              <a:solidFill>
                <a:srgbClr val="D5D000"/>
              </a:solidFill>
              <a:prstDash val="solid"/>
              <a:round/>
            </a:ln>
            <a:effectLst/>
          </c:spPr>
          <c:marker>
            <c:symbol val="none"/>
          </c:marker>
          <c:cat>
            <c:multiLvlStrRef>
              <c:f>'G3-Sektor vlád.institucí'!$B$40:$AF$41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'G3-Sektor vlád.institucí'!$B$49:$AF$49</c:f>
              <c:numCache>
                <c:formatCode>#\ ##0.##########</c:formatCode>
                <c:ptCount val="31"/>
                <c:pt idx="0" formatCode="#\ ##0.0">
                  <c:v>-5</c:v>
                </c:pt>
                <c:pt idx="1">
                  <c:v>-5.4</c:v>
                </c:pt>
                <c:pt idx="2">
                  <c:v>-5.8</c:v>
                </c:pt>
                <c:pt idx="3">
                  <c:v>-5.0999999999999996</c:v>
                </c:pt>
                <c:pt idx="4">
                  <c:v>-4.5</c:v>
                </c:pt>
                <c:pt idx="5">
                  <c:v>-4.7</c:v>
                </c:pt>
                <c:pt idx="6">
                  <c:v>-4.5999999999999996</c:v>
                </c:pt>
                <c:pt idx="7">
                  <c:v>-3.4</c:v>
                </c:pt>
                <c:pt idx="8">
                  <c:v>-3.5</c:v>
                </c:pt>
                <c:pt idx="9" formatCode="#\ ##0.0">
                  <c:v>-3</c:v>
                </c:pt>
                <c:pt idx="10">
                  <c:v>-2.9</c:v>
                </c:pt>
                <c:pt idx="11" formatCode="#\ ##0.0">
                  <c:v>-3</c:v>
                </c:pt>
                <c:pt idx="12">
                  <c:v>-2.8</c:v>
                </c:pt>
                <c:pt idx="13">
                  <c:v>-2.6</c:v>
                </c:pt>
                <c:pt idx="14">
                  <c:v>-2.7</c:v>
                </c:pt>
                <c:pt idx="15">
                  <c:v>-2.2999999999999998</c:v>
                </c:pt>
                <c:pt idx="16">
                  <c:v>-2.6</c:v>
                </c:pt>
                <c:pt idx="17">
                  <c:v>-3.3</c:v>
                </c:pt>
                <c:pt idx="18">
                  <c:v>-3.2</c:v>
                </c:pt>
                <c:pt idx="19">
                  <c:v>-3.2</c:v>
                </c:pt>
                <c:pt idx="20">
                  <c:v>-5.4</c:v>
                </c:pt>
                <c:pt idx="21">
                  <c:v>-20.3</c:v>
                </c:pt>
                <c:pt idx="22">
                  <c:v>-8.5</c:v>
                </c:pt>
                <c:pt idx="23">
                  <c:v>-7.9</c:v>
                </c:pt>
                <c:pt idx="24">
                  <c:v>-9.1</c:v>
                </c:pt>
                <c:pt idx="25">
                  <c:v>-7.9</c:v>
                </c:pt>
                <c:pt idx="26">
                  <c:v>-7.2</c:v>
                </c:pt>
                <c:pt idx="27">
                  <c:v>-3.7</c:v>
                </c:pt>
                <c:pt idx="28">
                  <c:v>-3.8</c:v>
                </c:pt>
                <c:pt idx="29">
                  <c:v>-3.7</c:v>
                </c:pt>
                <c:pt idx="30">
                  <c:v>-4.2</c:v>
                </c:pt>
              </c:numCache>
            </c:numRef>
          </c:val>
          <c:smooth val="0"/>
          <c:extLst>
            <c:ext xmlns:c16="http://schemas.microsoft.com/office/drawing/2014/chart" uri="{C3380CC4-5D6E-409C-BE32-E72D297353CC}">
              <c16:uniqueId val="{00000005-5491-44BB-87AA-882F14DB4338}"/>
            </c:ext>
          </c:extLst>
        </c:ser>
        <c:dLbls>
          <c:showLegendKey val="0"/>
          <c:showVal val="0"/>
          <c:showCatName val="0"/>
          <c:showSerName val="0"/>
          <c:showPercent val="0"/>
          <c:showBubbleSize val="0"/>
        </c:dLbls>
        <c:marker val="1"/>
        <c:smooth val="0"/>
        <c:axId val="129668224"/>
        <c:axId val="129669760"/>
      </c:lineChart>
      <c:catAx>
        <c:axId val="1296682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cs-CZ"/>
          </a:p>
        </c:txPr>
        <c:crossAx val="129669760"/>
        <c:crosses val="autoZero"/>
        <c:auto val="1"/>
        <c:lblAlgn val="ctr"/>
        <c:lblOffset val="0"/>
        <c:noMultiLvlLbl val="0"/>
      </c:catAx>
      <c:valAx>
        <c:axId val="129669760"/>
        <c:scaling>
          <c:orientation val="minMax"/>
          <c:max val="6"/>
          <c:min val="-21"/>
        </c:scaling>
        <c:delete val="0"/>
        <c:axPos val="l"/>
        <c:majorGridlines>
          <c:spPr>
            <a:ln w="6350" cap="flat" cmpd="sng" algn="ctr">
              <a:solidFill>
                <a:schemeClr val="bg1">
                  <a:lumMod val="7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cs-CZ"/>
          </a:p>
        </c:txPr>
        <c:crossAx val="129668224"/>
        <c:crosses val="autoZero"/>
        <c:crossBetween val="between"/>
        <c:majorUnit val="3"/>
      </c:valAx>
      <c:spPr>
        <a:noFill/>
        <a:ln w="6350">
          <a:solidFill>
            <a:schemeClr val="tx1"/>
          </a:solidFill>
        </a:ln>
        <a:effectLst/>
      </c:spPr>
    </c:plotArea>
    <c:legend>
      <c:legendPos val="b"/>
      <c:layout>
        <c:manualLayout>
          <c:xMode val="edge"/>
          <c:yMode val="edge"/>
          <c:x val="7.3409033078880401E-2"/>
          <c:y val="0.9264709295169411"/>
          <c:w val="0.90985114503816789"/>
          <c:h val="6.5108399432100422E-2"/>
        </c:manualLayout>
      </c:layout>
      <c:overlay val="0"/>
      <c:spPr>
        <a:noFill/>
        <a:ln w="6350">
          <a:solidFill>
            <a:schemeClr val="tx1"/>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2" ma:contentTypeDescription="Vytvoří nový dokument" ma:contentTypeScope="" ma:versionID="eb01c1c0223ab0a1c9372071ddfa2e5f">
  <xsd:schema xmlns:xsd="http://www.w3.org/2001/XMLSchema" xmlns:xs="http://www.w3.org/2001/XMLSchema" xmlns:p="http://schemas.microsoft.com/office/2006/metadata/properties" xmlns:ns2="eabc42bd-08fe-4a27-9645-04f6ad96d74a" targetNamespace="http://schemas.microsoft.com/office/2006/metadata/properties" ma:root="true" ma:fieldsID="3d4f44d82d427914eb8ec1afbd279452" ns2:_="">
    <xsd:import namespace="eabc42bd-08fe-4a27-9645-04f6ad96d7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2.xml><?xml version="1.0" encoding="utf-8"?>
<ds:datastoreItem xmlns:ds="http://schemas.openxmlformats.org/officeDocument/2006/customXml" ds:itemID="{0770C5A8-E1D4-45B9-A6FC-B1B245DA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38702-393C-4E0B-95FC-639749005827}">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eabc42bd-08fe-4a27-9645-04f6ad96d74a"/>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77D090CF-62AF-4131-9322-2E648D49B256}">
  <ds:schemaRefs>
    <ds:schemaRef ds:uri="http://schemas.openxmlformats.org/officeDocument/2006/bibliography"/>
  </ds:schemaRefs>
</ds:datastoreItem>
</file>

<file path=customXml/itemProps5.xml><?xml version="1.0" encoding="utf-8"?>
<ds:datastoreItem xmlns:ds="http://schemas.openxmlformats.org/officeDocument/2006/customXml" ds:itemID="{30075E46-B04D-41F5-8C6A-84D308B1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2</TotalTime>
  <Pages>6</Pages>
  <Words>2938</Words>
  <Characters>17341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4</cp:revision>
  <cp:lastPrinted>2019-04-08T10:52:00Z</cp:lastPrinted>
  <dcterms:created xsi:type="dcterms:W3CDTF">2023-03-21T09:13:00Z</dcterms:created>
  <dcterms:modified xsi:type="dcterms:W3CDTF">2023-03-21T09:25:00Z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ies>
</file>