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0" w:rsidRDefault="008247CC" w:rsidP="008247CC">
      <w:pPr>
        <w:pStyle w:val="Nadpis1"/>
        <w:numPr>
          <w:ilvl w:val="0"/>
          <w:numId w:val="0"/>
        </w:numPr>
        <w:ind w:left="432" w:hanging="432"/>
        <w:jc w:val="left"/>
      </w:pPr>
      <w:r>
        <w:rPr>
          <w:lang w:val="cs-CZ"/>
        </w:rPr>
        <w:t xml:space="preserve">12. </w:t>
      </w:r>
      <w:r w:rsidR="00EE38E0">
        <w:t xml:space="preserve">Poskytnutí </w:t>
      </w:r>
      <w:r w:rsidR="005D019B">
        <w:rPr>
          <w:lang w:val="cs-CZ"/>
        </w:rPr>
        <w:t xml:space="preserve">první </w:t>
      </w:r>
      <w:r w:rsidR="00EE38E0">
        <w:t>pomoci účastníkům dopravních nehod</w:t>
      </w:r>
    </w:p>
    <w:p w:rsidR="00EE38E0" w:rsidRDefault="00EE38E0">
      <w:pPr>
        <w:rPr>
          <w:lang/>
        </w:rPr>
      </w:pPr>
    </w:p>
    <w:p w:rsidR="00EE38E0" w:rsidRDefault="00EE38E0">
      <w:pPr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8F14A6" w:rsidP="008F14A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Neposkytnutí první pomoci zraněným může motivovat strach nebo obava z nedostatečné odborné způsobilosti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8F14A6" w:rsidRDefault="002329D5" w:rsidP="008F14A6">
            <w:r>
              <w:t>Důležitým faktorem bezpečnosti silničního provozu, ale i nepřímým ukazatelem zodpovědného chování</w:t>
            </w:r>
            <w:r w:rsidR="00DD2F40">
              <w:t xml:space="preserve"> řidičů, je schopnosti či ochota</w:t>
            </w:r>
            <w:r>
              <w:t xml:space="preserve"> pomoci na místě nehody ostatním nehodou postiženým účastníkům. Poskytnutí první pomoci zraněným účastníkům na místě nehody je přitom pro přítomné osoby (zejména viníky nehody) nejen morální povinností a jejím obcházením se mohou vystavit riziku trestního postihu. </w:t>
            </w:r>
          </w:p>
          <w:p w:rsidR="008F14A6" w:rsidRDefault="008F14A6" w:rsidP="008F14A6"/>
          <w:p w:rsidR="00EE38E0" w:rsidRDefault="002329D5" w:rsidP="008F14A6">
            <w:r>
              <w:t xml:space="preserve">Ne ve všech případech samozřejmě okolnosti umožňují takovou pomoc poskytnout, např. jsou-li všichni účastníci vážně zraněni </w:t>
            </w:r>
            <w:r w:rsidR="00D76415">
              <w:t>a nehoda se stane v řídc</w:t>
            </w:r>
            <w:r w:rsidR="00DD2F40">
              <w:t>e zalidněné oblasti s minimální</w:t>
            </w:r>
            <w:r w:rsidR="00D76415">
              <w:t xml:space="preserve"> intenzitou provozu (a první pomoc tak nemohou poskytnout ani náhodní kole</w:t>
            </w:r>
            <w:r w:rsidR="006F1330">
              <w:t>m</w:t>
            </w:r>
            <w:r w:rsidR="00D76415">
              <w:t xml:space="preserve">jdoucí(-jedoucí) osoby). Za závažné lze ale považovat nejen případy, kdy ostatní účastníci první pomoc neposkytnou z důvodů domnělé neznalosti či strachu </w:t>
            </w:r>
            <w:r w:rsidR="00DD2F40">
              <w:t xml:space="preserve">z </w:t>
            </w:r>
            <w:r w:rsidR="00D76415">
              <w:t>nedostatečné odborné způsobilosti, ale zejména v případech, kdy viník z místa nehody ujede, aniž by se zajímal o osudy osob, které svým chováním negativně ovlivnil.</w:t>
            </w:r>
          </w:p>
          <w:p w:rsidR="008F14A6" w:rsidRDefault="008F14A6" w:rsidP="008F14A6"/>
        </w:tc>
      </w:tr>
    </w:tbl>
    <w:p w:rsidR="00EE38E0" w:rsidRDefault="00EE38E0">
      <w:pPr>
        <w:pStyle w:val="Bezmezer"/>
        <w:spacing w:line="120" w:lineRule="auto"/>
        <w:rPr>
          <w:lang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4"/>
        <w:gridCol w:w="706"/>
        <w:gridCol w:w="3830"/>
      </w:tblGrid>
      <w:tr w:rsidR="001E5CAB" w:rsidTr="003F300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</w:tcPr>
          <w:p w:rsidR="001E5CAB" w:rsidRPr="001E5CAB" w:rsidRDefault="003F3007" w:rsidP="00552C98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cs-CZ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10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</w:tcPr>
          <w:p w:rsidR="001E5CAB" w:rsidRPr="00056F9B" w:rsidRDefault="00056F9B" w:rsidP="00552C98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56F9B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všech </w:t>
            </w:r>
            <w:r w:rsidRPr="00056F9B">
              <w:rPr>
                <w:rFonts w:ascii="Arial" w:hAnsi="Arial" w:cs="Arial"/>
                <w:b/>
                <w:sz w:val="20"/>
                <w:szCs w:val="20"/>
              </w:rPr>
              <w:t>chodců jako účastníků dopravních nehod v ČR podle způsobu</w:t>
            </w:r>
            <w:r w:rsidR="009409A3">
              <w:rPr>
                <w:rFonts w:ascii="Arial" w:hAnsi="Arial" w:cs="Arial"/>
                <w:b/>
                <w:sz w:val="20"/>
                <w:szCs w:val="20"/>
              </w:rPr>
              <w:t>, kterým jim byla poskytnuta</w:t>
            </w:r>
            <w:r w:rsidRPr="00056F9B">
              <w:rPr>
                <w:rFonts w:ascii="Arial" w:hAnsi="Arial" w:cs="Arial"/>
                <w:b/>
                <w:sz w:val="20"/>
                <w:szCs w:val="20"/>
              </w:rPr>
              <w:t xml:space="preserve"> první pomoc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1E5CAB" w:rsidRPr="001E5CAB" w:rsidRDefault="003F3007" w:rsidP="00552C98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  <w:lang w:val="cs-CZ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11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nil"/>
            </w:tcBorders>
          </w:tcPr>
          <w:p w:rsidR="001E5CAB" w:rsidRPr="00056F9B" w:rsidRDefault="00056F9B" w:rsidP="00552C98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 w:rsidRPr="00056F9B">
              <w:rPr>
                <w:rFonts w:cs="Arial"/>
                <w:sz w:val="20"/>
                <w:szCs w:val="20"/>
              </w:rPr>
              <w:t xml:space="preserve">Počet </w:t>
            </w:r>
            <w:r w:rsidRPr="00056F9B">
              <w:rPr>
                <w:rFonts w:cs="Arial"/>
                <w:sz w:val="20"/>
                <w:szCs w:val="20"/>
                <w:lang w:val="cs-CZ"/>
              </w:rPr>
              <w:t>zraněn</w:t>
            </w:r>
            <w:r w:rsidRPr="00E775EF">
              <w:rPr>
                <w:rFonts w:cs="Arial"/>
                <w:sz w:val="20"/>
                <w:szCs w:val="20"/>
                <w:lang w:val="cs-CZ"/>
              </w:rPr>
              <w:t>ých</w:t>
            </w:r>
            <w:r w:rsidRPr="00E775EF">
              <w:rPr>
                <w:rFonts w:cs="Arial"/>
                <w:sz w:val="20"/>
                <w:szCs w:val="20"/>
              </w:rPr>
              <w:t xml:space="preserve"> účastníků </w:t>
            </w:r>
            <w:r w:rsidRPr="00E775EF">
              <w:rPr>
                <w:rFonts w:cs="Arial"/>
                <w:sz w:val="20"/>
                <w:szCs w:val="20"/>
                <w:lang w:val="cs-CZ"/>
              </w:rPr>
              <w:t>(mimo chodce</w:t>
            </w:r>
            <w:r w:rsidRPr="00056F9B">
              <w:rPr>
                <w:rFonts w:cs="Arial"/>
                <w:b w:val="0"/>
                <w:sz w:val="20"/>
                <w:szCs w:val="20"/>
                <w:lang w:val="cs-CZ"/>
              </w:rPr>
              <w:t>)</w:t>
            </w:r>
            <w:r w:rsidRPr="00056F9B"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Pr="00056F9B">
              <w:rPr>
                <w:rFonts w:cs="Arial"/>
                <w:sz w:val="20"/>
                <w:szCs w:val="20"/>
              </w:rPr>
              <w:t>dopravních nehod v ČR podle způsobu poskytnutí první pomoci</w:t>
            </w:r>
          </w:p>
        </w:tc>
      </w:tr>
    </w:tbl>
    <w:p w:rsidR="000B1A54" w:rsidRDefault="00094786">
      <w:pPr>
        <w:rPr>
          <w:lang/>
        </w:rPr>
      </w:pPr>
      <w:r w:rsidRPr="000947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pt;height:195.85pt">
            <v:imagedata r:id="rId8" o:title=""/>
          </v:shape>
        </w:pict>
      </w:r>
      <w:r w:rsidRPr="00094786">
        <w:pict>
          <v:shape id="_x0000_i1026" type="#_x0000_t75" style="width:233.3pt;height:195.85pt">
            <v:imagedata r:id="rId9" o:title=""/>
          </v:shape>
        </w:pict>
      </w:r>
    </w:p>
    <w:p w:rsidR="000B1A54" w:rsidRPr="00056F9B" w:rsidRDefault="00056F9B" w:rsidP="00056F9B">
      <w:pPr>
        <w:jc w:val="left"/>
        <w:rPr>
          <w:sz w:val="18"/>
          <w:szCs w:val="18"/>
          <w:lang/>
        </w:rPr>
      </w:pPr>
      <w:r w:rsidRPr="00056F9B">
        <w:rPr>
          <w:sz w:val="18"/>
          <w:szCs w:val="18"/>
          <w:lang/>
        </w:rPr>
        <w:t xml:space="preserve">Pozn.: čísla u sloupců uvádí % podíl případů neposkytnutí první pomoci na místě nehody </w:t>
      </w:r>
      <w:r>
        <w:rPr>
          <w:sz w:val="18"/>
          <w:szCs w:val="18"/>
          <w:lang/>
        </w:rPr>
        <w:t>ze všech případů,</w:t>
      </w:r>
      <w:r w:rsidRPr="00056F9B">
        <w:rPr>
          <w:sz w:val="18"/>
          <w:szCs w:val="18"/>
          <w:lang/>
        </w:rPr>
        <w:t xml:space="preserve"> kdy byla tato pomoc potřebná</w:t>
      </w:r>
    </w:p>
    <w:p w:rsidR="00056F9B" w:rsidRDefault="00056F9B" w:rsidP="00056F9B">
      <w:pPr>
        <w:rPr>
          <w:b/>
          <w:bCs/>
        </w:rPr>
      </w:pPr>
      <w:r>
        <w:rPr>
          <w:sz w:val="18"/>
        </w:rPr>
        <w:t>Pramen: Policejní prezidium ČR, vlastní výpočty</w:t>
      </w:r>
    </w:p>
    <w:p w:rsidR="00056F9B" w:rsidRDefault="00056F9B">
      <w:pPr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8F14A6" w:rsidP="008F14A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 zraněným chodcům nebývá první pomoc poskytnuta zhruba v pěti procentech případů  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D76415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Počet všech zúčastněných </w:t>
            </w:r>
            <w:r w:rsidR="003A1872">
              <w:rPr>
                <w:lang w:val="cs-CZ" w:eastAsia="cs-CZ"/>
              </w:rPr>
              <w:t xml:space="preserve">chodců </w:t>
            </w:r>
            <w:r>
              <w:rPr>
                <w:lang w:val="cs-CZ" w:eastAsia="cs-CZ"/>
              </w:rPr>
              <w:t xml:space="preserve">při dopravních nehodách v ČR dlouhodobě </w:t>
            </w:r>
            <w:r w:rsidR="006F1330">
              <w:rPr>
                <w:lang w:val="cs-CZ" w:eastAsia="cs-CZ"/>
              </w:rPr>
              <w:t>klesá (v roce 201</w:t>
            </w:r>
            <w:r w:rsidR="003A1872">
              <w:rPr>
                <w:lang w:val="cs-CZ" w:eastAsia="cs-CZ"/>
              </w:rPr>
              <w:t>2 jich bylo 3,9 tis.,</w:t>
            </w:r>
            <w:r w:rsidR="006F1330">
              <w:rPr>
                <w:lang w:val="cs-CZ" w:eastAsia="cs-CZ"/>
              </w:rPr>
              <w:t xml:space="preserve"> zatímco v polovině 90. let více než 7 tis.).</w:t>
            </w:r>
            <w:r w:rsidR="003A1872">
              <w:rPr>
                <w:lang w:val="cs-CZ" w:eastAsia="cs-CZ"/>
              </w:rPr>
              <w:t xml:space="preserve"> Na tomto příznivém vývoji mají významný podíl i preventivní dopravní opatření. V plných 90 % případů došlo při střetu chodce s ostatními účastníky silniční dopravy k újmě na zdraví chodce. Podíl případů, kdy chodci není na místě dopravní nehody poskytnuta první pomoc se dlouhodobě pohybuje mezi 4-5 %. Příznivý vývoj bylo v tomto smyslu možné pozorovat zejména v druhé polovině 90. let, naopak mezi roky 2007 a 2012 se podíl případů neposkytnutí první pomoci zraněným chodcům v ČR zvýšil z 3,8 % na 5,2 %.</w:t>
            </w:r>
            <w:r w:rsidR="006F1330">
              <w:rPr>
                <w:lang w:val="cs-CZ" w:eastAsia="cs-CZ"/>
              </w:rPr>
              <w:t xml:space="preserve"> </w:t>
            </w:r>
            <w:r w:rsidR="00AE3F7F">
              <w:rPr>
                <w:lang w:val="cs-CZ" w:eastAsia="cs-CZ"/>
              </w:rPr>
              <w:t>Dlouhodobě klesá podíl první pomoci chodcům poskytnutým posádkou zúčastněného vozidla a také podíl pomoci poskytnuté jinou osobou (přestože narůstá podíl nehod chodcům v </w:t>
            </w:r>
            <w:proofErr w:type="spellStart"/>
            <w:r w:rsidR="00AE3F7F">
              <w:rPr>
                <w:lang w:val="cs-CZ" w:eastAsia="cs-CZ"/>
              </w:rPr>
              <w:t>intravilánu</w:t>
            </w:r>
            <w:proofErr w:type="spellEnd"/>
            <w:r w:rsidR="00AE3F7F">
              <w:rPr>
                <w:lang w:val="cs-CZ" w:eastAsia="cs-CZ"/>
              </w:rPr>
              <w:t xml:space="preserve"> na úkor území mimo obce). Tato skutečnost by mohla být částečně vysvětlena rychlejšími zásahy vozidel rychlé záchranné pomoci (RZP).</w:t>
            </w:r>
          </w:p>
          <w:p w:rsidR="003A1872" w:rsidRDefault="003A1872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54" w:type="pct"/>
          </w:tcPr>
          <w:p w:rsidR="00EE38E0" w:rsidRDefault="008F14A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ostatním kolem 3 % případů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1642DB" w:rsidP="001642DB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V případě nehod s následky na zdraví u ostatních účastníků silničního provozu (mimo chodce) nacházíme u struktury poskytnuté první pomoci podobné tendence jako u nehod chodců. Četnost případů neposkytnutí potřebné první pomoci zde dlouhodobě osciluje kolem 3 % (i zde ale můžeme pozorovat mírný nárůst v posledních pěti letech). Oproti nehodám chodců častěji poskytuje první pomoc </w:t>
            </w:r>
            <w:r>
              <w:rPr>
                <w:lang w:val="cs-CZ" w:eastAsia="cs-CZ"/>
              </w:rPr>
              <w:lastRenderedPageBreak/>
              <w:t>letecká záchranná služba, neboť větší podíl nehod je situován do hůře dostupných oblastí v </w:t>
            </w:r>
            <w:proofErr w:type="spellStart"/>
            <w:r>
              <w:rPr>
                <w:lang w:val="cs-CZ" w:eastAsia="cs-CZ"/>
              </w:rPr>
              <w:t>extravilánu</w:t>
            </w:r>
            <w:proofErr w:type="spellEnd"/>
            <w:r>
              <w:rPr>
                <w:lang w:val="cs-CZ" w:eastAsia="cs-CZ"/>
              </w:rPr>
              <w:t>.</w:t>
            </w:r>
          </w:p>
        </w:tc>
      </w:tr>
      <w:tr w:rsidR="00EE38E0">
        <w:tc>
          <w:tcPr>
            <w:tcW w:w="1054" w:type="pct"/>
          </w:tcPr>
          <w:p w:rsidR="00EE38E0" w:rsidRDefault="00EE3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</w:tbl>
    <w:p w:rsidR="00EE38E0" w:rsidRDefault="00EE38E0">
      <w:pPr>
        <w:pStyle w:val="Bezmezer"/>
        <w:spacing w:line="120" w:lineRule="auto"/>
        <w:rPr>
          <w:lang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653"/>
      </w:tblGrid>
      <w:tr w:rsidR="00D50CB6" w:rsidTr="003F300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D50CB6" w:rsidRPr="001E5CAB" w:rsidRDefault="003F3007" w:rsidP="00552C98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cs-CZ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12</w:t>
            </w:r>
          </w:p>
        </w:tc>
        <w:tc>
          <w:tcPr>
            <w:tcW w:w="4587" w:type="pct"/>
            <w:tcBorders>
              <w:top w:val="nil"/>
              <w:left w:val="nil"/>
              <w:bottom w:val="nil"/>
              <w:right w:val="nil"/>
            </w:tcBorders>
          </w:tcPr>
          <w:p w:rsidR="00D50CB6" w:rsidRPr="00F76F2C" w:rsidRDefault="00F76F2C" w:rsidP="00CA6D70">
            <w:pPr>
              <w:pStyle w:val="Nadpis2"/>
              <w:numPr>
                <w:ilvl w:val="0"/>
                <w:numId w:val="0"/>
              </w:numPr>
              <w:spacing w:before="0" w:after="0"/>
              <w:jc w:val="left"/>
              <w:rPr>
                <w:rFonts w:cs="Arial"/>
                <w:sz w:val="20"/>
                <w:szCs w:val="20"/>
                <w:lang w:val="cs-CZ"/>
              </w:rPr>
            </w:pPr>
            <w:r w:rsidRPr="00F76F2C">
              <w:rPr>
                <w:rFonts w:cs="Arial"/>
                <w:sz w:val="20"/>
                <w:szCs w:val="20"/>
                <w:lang w:val="cs-CZ"/>
              </w:rPr>
              <w:t>Případy, kdy viník nehody</w:t>
            </w:r>
            <w:r w:rsidRPr="00F76F2C">
              <w:rPr>
                <w:rFonts w:cs="Arial"/>
                <w:b w:val="0"/>
                <w:sz w:val="20"/>
                <w:szCs w:val="20"/>
                <w:lang w:val="cs-CZ"/>
              </w:rPr>
              <w:t xml:space="preserve"> (řidič motorového či nemotorového vozidla</w:t>
            </w:r>
            <w:r w:rsidRPr="00B171F3">
              <w:rPr>
                <w:rFonts w:cs="Arial"/>
                <w:b w:val="0"/>
                <w:sz w:val="20"/>
                <w:szCs w:val="20"/>
                <w:lang w:val="cs-CZ"/>
              </w:rPr>
              <w:t>)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</w:t>
            </w:r>
            <w:r w:rsidRPr="00F76F2C">
              <w:rPr>
                <w:rFonts w:cs="Arial"/>
                <w:sz w:val="20"/>
                <w:szCs w:val="20"/>
                <w:lang w:val="cs-CZ"/>
              </w:rPr>
              <w:t xml:space="preserve">od místa nehody 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ujel </w:t>
            </w:r>
            <w:r w:rsidRPr="00F76F2C">
              <w:rPr>
                <w:rFonts w:cs="Arial"/>
                <w:sz w:val="20"/>
                <w:szCs w:val="20"/>
                <w:lang w:val="cs-CZ"/>
              </w:rPr>
              <w:t>podle následků nehody</w:t>
            </w:r>
            <w:r>
              <w:rPr>
                <w:rFonts w:cs="Arial"/>
                <w:sz w:val="20"/>
                <w:szCs w:val="20"/>
                <w:lang w:val="cs-CZ"/>
              </w:rPr>
              <w:t xml:space="preserve"> v</w:t>
            </w:r>
            <w:r w:rsidR="00CA6D70">
              <w:rPr>
                <w:rFonts w:cs="Arial"/>
                <w:sz w:val="20"/>
                <w:szCs w:val="20"/>
                <w:lang w:val="cs-CZ"/>
              </w:rPr>
              <w:t xml:space="preserve"> ČR</w:t>
            </w:r>
          </w:p>
        </w:tc>
      </w:tr>
    </w:tbl>
    <w:p w:rsidR="00D50CB6" w:rsidRDefault="002E2960">
      <w:pPr>
        <w:rPr>
          <w:lang/>
        </w:rPr>
      </w:pPr>
      <w:r w:rsidRPr="002E2960">
        <w:pict>
          <v:shape id="_x0000_i1029" type="#_x0000_t75" style="width:378.45pt;height:199.85pt">
            <v:imagedata r:id="rId10" o:title=""/>
          </v:shape>
        </w:pict>
      </w:r>
    </w:p>
    <w:p w:rsidR="00D50CB6" w:rsidRDefault="00D50CB6" w:rsidP="00D50CB6">
      <w:pPr>
        <w:rPr>
          <w:b/>
          <w:bCs/>
        </w:rPr>
      </w:pPr>
      <w:r>
        <w:rPr>
          <w:sz w:val="18"/>
        </w:rPr>
        <w:t>Pramen: Policejní prezidium ČR, vlastní výpočty</w:t>
      </w:r>
    </w:p>
    <w:p w:rsidR="00D50CB6" w:rsidRDefault="00D50CB6">
      <w:pPr>
        <w:rPr>
          <w:lang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044"/>
        <w:gridCol w:w="275"/>
        <w:gridCol w:w="7375"/>
      </w:tblGrid>
      <w:tr w:rsidR="00EE38E0">
        <w:tc>
          <w:tcPr>
            <w:tcW w:w="1054" w:type="pct"/>
          </w:tcPr>
          <w:p w:rsidR="00EE38E0" w:rsidRDefault="008F14A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Když řidič  od způsobené nehody ujede…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1642DB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>Za zvlášť závažné lze označit případy, kdy viník nehody od místa ujel. Motivací k takovému činu může být nejen neochota pomoci obětem nehody, ale i strach z</w:t>
            </w:r>
            <w:r w:rsidR="00057357">
              <w:rPr>
                <w:lang w:val="cs-CZ" w:eastAsia="cs-CZ"/>
              </w:rPr>
              <w:t xml:space="preserve"> vlastního </w:t>
            </w:r>
            <w:r>
              <w:rPr>
                <w:lang w:val="cs-CZ" w:eastAsia="cs-CZ"/>
              </w:rPr>
              <w:t xml:space="preserve">kontaktu s Policií (např. v důsledku jízdy pod vlivem alkoholu či jiných návykových látek, </w:t>
            </w:r>
            <w:r w:rsidR="00057357">
              <w:rPr>
                <w:lang w:val="cs-CZ" w:eastAsia="cs-CZ"/>
              </w:rPr>
              <w:t xml:space="preserve">předchozí dopravní prohřešky, jízda v ukradeném voze, častěji může jít i o osoby s cizí státní příslušností). </w:t>
            </w:r>
          </w:p>
          <w:p w:rsidR="00057357" w:rsidRDefault="00057357">
            <w:pPr>
              <w:pStyle w:val="Textpoznpodarou"/>
              <w:jc w:val="both"/>
              <w:rPr>
                <w:lang w:val="cs-CZ" w:eastAsia="cs-CZ"/>
              </w:rPr>
            </w:pPr>
          </w:p>
        </w:tc>
      </w:tr>
      <w:tr w:rsidR="00EE38E0">
        <w:tc>
          <w:tcPr>
            <w:tcW w:w="1054" w:type="pct"/>
          </w:tcPr>
          <w:p w:rsidR="00EE38E0" w:rsidRDefault="008F14A6" w:rsidP="0019485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znamená to smrt či zranění zhruba 2-4 procentech</w:t>
            </w:r>
            <w:r w:rsidR="00194858">
              <w:rPr>
                <w:sz w:val="16"/>
                <w:szCs w:val="16"/>
              </w:rPr>
              <w:t xml:space="preserve"> všech případů nehod s takovýmito následky</w:t>
            </w:r>
          </w:p>
        </w:tc>
        <w:tc>
          <w:tcPr>
            <w:tcW w:w="142" w:type="pct"/>
          </w:tcPr>
          <w:p w:rsidR="00EE38E0" w:rsidRDefault="00EE38E0">
            <w:pPr>
              <w:pStyle w:val="Textpoznpodarou"/>
              <w:jc w:val="both"/>
              <w:rPr>
                <w:lang w:val="cs-CZ" w:eastAsia="cs-CZ"/>
              </w:rPr>
            </w:pPr>
          </w:p>
        </w:tc>
        <w:tc>
          <w:tcPr>
            <w:tcW w:w="3804" w:type="pct"/>
          </w:tcPr>
          <w:p w:rsidR="00EE38E0" w:rsidRDefault="00AF63C0">
            <w:pPr>
              <w:pStyle w:val="Textpoznpodarou"/>
              <w:jc w:val="both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Počet případů ujetí viníka z místa nehody dlouhodobě roste v relaci k celkovému počtu nehod </w:t>
            </w:r>
            <w:r w:rsidR="00736072">
              <w:rPr>
                <w:lang w:val="cs-CZ" w:eastAsia="cs-CZ"/>
              </w:rPr>
              <w:t xml:space="preserve">zaviněných řidiči (ne-)motorových vozidel </w:t>
            </w:r>
            <w:r>
              <w:rPr>
                <w:lang w:val="cs-CZ" w:eastAsia="cs-CZ"/>
              </w:rPr>
              <w:t>(rychlejší dynamikou v roce 2009-2013, což zčásti souvisí i s výše uvedeným rostoucí</w:t>
            </w:r>
            <w:r w:rsidR="00DD2F40">
              <w:rPr>
                <w:lang w:val="cs-CZ" w:eastAsia="cs-CZ"/>
              </w:rPr>
              <w:t>m</w:t>
            </w:r>
            <w:r>
              <w:rPr>
                <w:lang w:val="cs-CZ" w:eastAsia="cs-CZ"/>
              </w:rPr>
              <w:t xml:space="preserve"> podílem neposkytnutí první pomoci). Podíl usmrcených a zraněných osob připadajících na nehody, při nichž viník z místa události ujel, však dlouhodobě spíše stagnuje (kolem 2-3 %. </w:t>
            </w:r>
            <w:proofErr w:type="spellStart"/>
            <w:r>
              <w:rPr>
                <w:lang w:val="cs-CZ" w:eastAsia="cs-CZ"/>
              </w:rPr>
              <w:t>reps</w:t>
            </w:r>
            <w:proofErr w:type="spellEnd"/>
            <w:r>
              <w:rPr>
                <w:lang w:val="cs-CZ" w:eastAsia="cs-CZ"/>
              </w:rPr>
              <w:t xml:space="preserve">. 4 %), vinící nehod nejčastěji ujíždějí od nehod pouze s hmotnou škodou. </w:t>
            </w:r>
          </w:p>
        </w:tc>
      </w:tr>
    </w:tbl>
    <w:p w:rsidR="00B171F3" w:rsidRDefault="00B171F3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969"/>
        <w:gridCol w:w="851"/>
        <w:gridCol w:w="4111"/>
      </w:tblGrid>
      <w:tr w:rsidR="00B171F3" w:rsidTr="003F300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B171F3" w:rsidRPr="001E5CAB" w:rsidRDefault="003F3007" w:rsidP="00552C98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  <w:lang w:val="cs-CZ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13</w:t>
            </w: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</w:tcPr>
          <w:p w:rsidR="00B171F3" w:rsidRPr="00B171F3" w:rsidRDefault="00E775EF" w:rsidP="00B171F3">
            <w:pPr>
              <w:pStyle w:val="Zpat"/>
              <w:tabs>
                <w:tab w:val="clear" w:pos="4536"/>
                <w:tab w:val="clear" w:pos="9072"/>
                <w:tab w:val="left" w:pos="1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(%) událostí připadajících na p</w:t>
            </w:r>
            <w:r w:rsidR="00B171F3" w:rsidRPr="00B171F3">
              <w:rPr>
                <w:rFonts w:ascii="Arial" w:hAnsi="Arial" w:cs="Arial"/>
                <w:b/>
                <w:sz w:val="20"/>
                <w:szCs w:val="20"/>
              </w:rPr>
              <w:t xml:space="preserve">řípady, kdy viník od místa nehody ujel </w:t>
            </w:r>
            <w:r w:rsidR="00B171F3">
              <w:rPr>
                <w:rFonts w:ascii="Arial" w:hAnsi="Arial" w:cs="Arial"/>
                <w:b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sz w:val="20"/>
                <w:szCs w:val="20"/>
              </w:rPr>
              <w:t>dle krajů</w:t>
            </w:r>
            <w:r w:rsidR="003F30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478E">
              <w:rPr>
                <w:rFonts w:ascii="Arial" w:hAnsi="Arial" w:cs="Arial"/>
                <w:sz w:val="20"/>
                <w:szCs w:val="20"/>
              </w:rPr>
              <w:t>(průměr let 2010-2013</w:t>
            </w:r>
            <w:r w:rsidR="00B171F3" w:rsidRPr="00B171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B171F3" w:rsidRPr="001E5CAB" w:rsidRDefault="003F3007" w:rsidP="00552C98">
            <w:pPr>
              <w:pStyle w:val="Nadpis5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i w:val="0"/>
                <w:sz w:val="20"/>
                <w:szCs w:val="20"/>
                <w:lang w:val="cs-CZ"/>
              </w:rPr>
            </w:pP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</w:rPr>
              <w:t xml:space="preserve">Graf </w:t>
            </w:r>
            <w:r w:rsidRPr="003F3007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 xml:space="preserve">č. </w:t>
            </w:r>
            <w:r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</w:t>
            </w:r>
            <w:r w:rsidR="00F925BA">
              <w:rPr>
                <w:rFonts w:ascii="Arial" w:hAnsi="Arial" w:cs="Arial"/>
                <w:b w:val="0"/>
                <w:i w:val="0"/>
                <w:iCs w:val="0"/>
                <w:sz w:val="20"/>
                <w:szCs w:val="20"/>
                <w:lang w:val="cs-CZ"/>
              </w:rPr>
              <w:t>14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B171F3" w:rsidRPr="00B171F3" w:rsidRDefault="00B171F3" w:rsidP="00B171F3">
            <w:pPr>
              <w:jc w:val="left"/>
              <w:rPr>
                <w:b/>
                <w:szCs w:val="20"/>
                <w:lang/>
              </w:rPr>
            </w:pPr>
            <w:r w:rsidRPr="00B171F3">
              <w:rPr>
                <w:b/>
                <w:szCs w:val="20"/>
                <w:lang/>
              </w:rPr>
              <w:t xml:space="preserve">Podíl (%) případů neposkytnutí první pomoci na místě nehody ze všech případů, kdy byla tato pomoc potřebná </w:t>
            </w:r>
          </w:p>
          <w:p w:rsidR="00B171F3" w:rsidRPr="00B171F3" w:rsidRDefault="00B171F3" w:rsidP="00B171F3">
            <w:pPr>
              <w:jc w:val="left"/>
              <w:rPr>
                <w:sz w:val="18"/>
                <w:szCs w:val="18"/>
                <w:lang/>
              </w:rPr>
            </w:pPr>
            <w:r w:rsidRPr="00B171F3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 xml:space="preserve">kraje, </w:t>
            </w:r>
            <w:r w:rsidR="004F1BFA">
              <w:rPr>
                <w:rFonts w:cs="Arial"/>
                <w:szCs w:val="20"/>
              </w:rPr>
              <w:t>průměr let 2010-2013</w:t>
            </w:r>
            <w:r w:rsidRPr="00B171F3">
              <w:rPr>
                <w:rFonts w:cs="Arial"/>
                <w:szCs w:val="20"/>
              </w:rPr>
              <w:t>)</w:t>
            </w:r>
          </w:p>
        </w:tc>
      </w:tr>
    </w:tbl>
    <w:p w:rsidR="00FC0100" w:rsidRDefault="009B478E">
      <w:r w:rsidRPr="009B478E">
        <w:pict>
          <v:shape id="_x0000_i1027" type="#_x0000_t75" style="width:233.85pt;height:199.3pt">
            <v:imagedata r:id="rId11" o:title=""/>
          </v:shape>
        </w:pict>
      </w:r>
      <w:r w:rsidRPr="004F1BFA">
        <w:pict>
          <v:shape id="_x0000_i1028" type="#_x0000_t75" style="width:244.8pt;height:198.7pt">
            <v:imagedata r:id="rId12" o:title=""/>
          </v:shape>
        </w:pict>
      </w:r>
    </w:p>
    <w:p w:rsidR="00B171F3" w:rsidRDefault="00B171F3" w:rsidP="00B171F3">
      <w:pPr>
        <w:rPr>
          <w:b/>
          <w:bCs/>
        </w:rPr>
      </w:pPr>
      <w:r>
        <w:rPr>
          <w:sz w:val="18"/>
        </w:rPr>
        <w:t>Pramen: Policejní prezidium ČR, vlastní výpočt</w:t>
      </w:r>
      <w:r w:rsidR="00C83D48">
        <w:rPr>
          <w:sz w:val="18"/>
        </w:rPr>
        <w:t>y</w:t>
      </w:r>
    </w:p>
    <w:p w:rsidR="00B171F3" w:rsidRDefault="00B171F3">
      <w:pPr>
        <w:rPr>
          <w:lang/>
        </w:rPr>
      </w:pPr>
    </w:p>
    <w:p w:rsidR="00EE38E0" w:rsidRPr="008247CC" w:rsidRDefault="00EE38E0" w:rsidP="008247CC">
      <w:pPr>
        <w:pStyle w:val="Nadpis1"/>
        <w:numPr>
          <w:ilvl w:val="0"/>
          <w:numId w:val="0"/>
        </w:numPr>
        <w:jc w:val="left"/>
        <w:rPr>
          <w:lang w:val="cs-CZ"/>
        </w:rPr>
      </w:pPr>
    </w:p>
    <w:sectPr w:rsidR="00EE38E0" w:rsidRPr="008247CC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B3" w:rsidRDefault="004B23B3">
      <w:r>
        <w:separator/>
      </w:r>
    </w:p>
  </w:endnote>
  <w:endnote w:type="continuationSeparator" w:id="0">
    <w:p w:rsidR="004B23B3" w:rsidRDefault="004B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45.7pt;margin-top:-4.15pt;width:36.75pt;height:17.25pt;z-index:2">
          <v:imagedata r:id="rId1" o:title="3"/>
        </v:shape>
      </w:pict>
    </w:r>
    <w:r>
      <w:rPr>
        <w:rFonts w:ascii="Arial" w:hAnsi="Arial" w:cs="Arial"/>
        <w:sz w:val="16"/>
        <w:szCs w:val="16"/>
      </w:rPr>
      <w:tab/>
    </w:r>
    <w:r w:rsidR="0086691A">
      <w:rPr>
        <w:rFonts w:ascii="Arial" w:hAnsi="Arial" w:cs="Arial"/>
        <w:sz w:val="16"/>
        <w:szCs w:val="16"/>
      </w:rPr>
      <w:t>říjen 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94" w:rsidRDefault="00685B94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3pt;margin-top:7.1pt;width:39pt;height:21pt;z-index:1">
          <v:imagedata r:id="rId1" o:title="3"/>
        </v:shape>
      </w:pict>
    </w:r>
    <w:r>
      <w:tab/>
    </w:r>
    <w:r>
      <w:tab/>
    </w:r>
  </w:p>
  <w:p w:rsidR="00685B94" w:rsidRDefault="0086691A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říjen</w:t>
    </w:r>
    <w:r w:rsidR="00685B94">
      <w:rPr>
        <w:rFonts w:ascii="Arial" w:hAnsi="Arial" w:cs="Arial"/>
        <w:sz w:val="16"/>
        <w:szCs w:val="16"/>
      </w:rPr>
      <w:t xml:space="preserve"> 2014</w:t>
    </w:r>
    <w:r w:rsidR="00685B9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B3" w:rsidRDefault="004B23B3">
      <w:r>
        <w:separator/>
      </w:r>
    </w:p>
  </w:footnote>
  <w:footnote w:type="continuationSeparator" w:id="0">
    <w:p w:rsidR="004B23B3" w:rsidRDefault="004B2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>
      <w:tc>
        <w:tcPr>
          <w:tcW w:w="6518" w:type="dxa"/>
        </w:tcPr>
        <w:p w:rsidR="00685B94" w:rsidRDefault="00685B94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518"/>
      <w:gridCol w:w="3260"/>
    </w:tblGrid>
    <w:tr w:rsidR="00685B94" w:rsidRPr="0086691A">
      <w:tc>
        <w:tcPr>
          <w:tcW w:w="6518" w:type="dxa"/>
        </w:tcPr>
        <w:p w:rsidR="00685B94" w:rsidRDefault="00685B94" w:rsidP="00B75BBF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Dopravní nehodovost a její důsledky v ČR v dlouhodobém pohledu</w:t>
          </w:r>
        </w:p>
      </w:tc>
      <w:tc>
        <w:tcPr>
          <w:tcW w:w="3260" w:type="dxa"/>
        </w:tcPr>
        <w:p w:rsidR="00685B94" w:rsidRDefault="0086691A">
          <w:pPr>
            <w:pStyle w:val="Zhlav"/>
            <w:tabs>
              <w:tab w:val="clear" w:pos="4536"/>
              <w:tab w:val="clear" w:pos="9072"/>
              <w:tab w:val="left" w:pos="-6379"/>
              <w:tab w:val="center" w:pos="4820"/>
              <w:tab w:val="right" w:pos="9639"/>
            </w:tabs>
            <w:jc w:val="right"/>
            <w:rPr>
              <w:rFonts w:ascii="Arial" w:hAnsi="Arial" w:cs="Arial"/>
              <w:sz w:val="16"/>
              <w:szCs w:val="16"/>
              <w:highlight w:val="yellow"/>
            </w:rPr>
          </w:pPr>
          <w:r w:rsidRPr="0086691A">
            <w:rPr>
              <w:rFonts w:ascii="Arial" w:hAnsi="Arial" w:cs="Arial"/>
              <w:sz w:val="16"/>
              <w:szCs w:val="16"/>
            </w:rPr>
            <w:t>kód : 320254-14</w:t>
          </w:r>
        </w:p>
      </w:tc>
    </w:tr>
  </w:tbl>
  <w:p w:rsidR="00685B94" w:rsidRDefault="00685B94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F6E"/>
    <w:multiLevelType w:val="multilevel"/>
    <w:tmpl w:val="376451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185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4F43100"/>
    <w:multiLevelType w:val="hybridMultilevel"/>
    <w:tmpl w:val="A346433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123"/>
    <w:multiLevelType w:val="hybridMultilevel"/>
    <w:tmpl w:val="F96EB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E4B7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00B0"/>
    <w:multiLevelType w:val="hybridMultilevel"/>
    <w:tmpl w:val="0290A0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1254A"/>
    <w:multiLevelType w:val="hybridMultilevel"/>
    <w:tmpl w:val="196EFA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816"/>
    <w:multiLevelType w:val="multilevel"/>
    <w:tmpl w:val="0B6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12F56"/>
    <w:multiLevelType w:val="multilevel"/>
    <w:tmpl w:val="B7724A2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EB0369"/>
    <w:multiLevelType w:val="hybridMultilevel"/>
    <w:tmpl w:val="E92012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F602B"/>
    <w:multiLevelType w:val="hybridMultilevel"/>
    <w:tmpl w:val="C4D0FC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9423F"/>
    <w:multiLevelType w:val="hybridMultilevel"/>
    <w:tmpl w:val="80D04F0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F2685"/>
    <w:multiLevelType w:val="hybridMultilevel"/>
    <w:tmpl w:val="0290A026"/>
    <w:lvl w:ilvl="0" w:tplc="E3860FD4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03756"/>
    <w:multiLevelType w:val="hybridMultilevel"/>
    <w:tmpl w:val="1E04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67461"/>
    <w:multiLevelType w:val="hybridMultilevel"/>
    <w:tmpl w:val="61845866"/>
    <w:lvl w:ilvl="0" w:tplc="69566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E612E"/>
    <w:multiLevelType w:val="hybridMultilevel"/>
    <w:tmpl w:val="98160A84"/>
    <w:lvl w:ilvl="0" w:tplc="F642FA9A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AC7CE2"/>
    <w:multiLevelType w:val="hybridMultilevel"/>
    <w:tmpl w:val="5DE0B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34C17"/>
    <w:multiLevelType w:val="hybridMultilevel"/>
    <w:tmpl w:val="F490C5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F6C65"/>
    <w:multiLevelType w:val="multilevel"/>
    <w:tmpl w:val="4158475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5BEF31DE"/>
    <w:multiLevelType w:val="hybridMultilevel"/>
    <w:tmpl w:val="280C96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A591A"/>
    <w:multiLevelType w:val="hybridMultilevel"/>
    <w:tmpl w:val="605AD6D0"/>
    <w:lvl w:ilvl="0" w:tplc="1974D2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06567"/>
    <w:multiLevelType w:val="hybridMultilevel"/>
    <w:tmpl w:val="213C4E38"/>
    <w:lvl w:ilvl="0" w:tplc="9D96ED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636F2"/>
    <w:multiLevelType w:val="hybridMultilevel"/>
    <w:tmpl w:val="DFBCC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50A0F"/>
    <w:multiLevelType w:val="hybridMultilevel"/>
    <w:tmpl w:val="5A76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18"/>
  </w:num>
  <w:num w:numId="6">
    <w:abstractNumId w:val="23"/>
  </w:num>
  <w:num w:numId="7">
    <w:abstractNumId w:val="12"/>
  </w:num>
  <w:num w:numId="8">
    <w:abstractNumId w:val="15"/>
  </w:num>
  <w:num w:numId="9">
    <w:abstractNumId w:val="4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22"/>
  </w:num>
  <w:num w:numId="18">
    <w:abstractNumId w:val="2"/>
  </w:num>
  <w:num w:numId="19">
    <w:abstractNumId w:val="3"/>
  </w:num>
  <w:num w:numId="20">
    <w:abstractNumId w:val="0"/>
  </w:num>
  <w:num w:numId="21">
    <w:abstractNumId w:val="0"/>
  </w:num>
  <w:num w:numId="22">
    <w:abstractNumId w:val="0"/>
  </w:num>
  <w:num w:numId="23">
    <w:abstractNumId w:val="18"/>
  </w:num>
  <w:num w:numId="24">
    <w:abstractNumId w:val="0"/>
  </w:num>
  <w:num w:numId="25">
    <w:abstractNumId w:val="0"/>
  </w:num>
  <w:num w:numId="26">
    <w:abstractNumId w:val="0"/>
  </w:num>
  <w:num w:numId="27">
    <w:abstractNumId w:val="20"/>
  </w:num>
  <w:num w:numId="28">
    <w:abstractNumId w:val="14"/>
  </w:num>
  <w:num w:numId="29">
    <w:abstractNumId w:val="21"/>
  </w:num>
  <w:num w:numId="30">
    <w:abstractNumId w:val="8"/>
  </w:num>
  <w:num w:numId="31">
    <w:abstractNumId w:val="19"/>
  </w:num>
  <w:num w:numId="32">
    <w:abstractNumId w:val="6"/>
  </w:num>
  <w:num w:numId="33">
    <w:abstractNumId w:val="17"/>
  </w:num>
  <w:num w:numId="34">
    <w:abstractNumId w:val="1"/>
  </w:num>
  <w:num w:numId="35">
    <w:abstractNumId w:val="0"/>
  </w:num>
  <w:num w:numId="36">
    <w:abstractNumId w:val="0"/>
  </w:num>
  <w:num w:numId="37">
    <w:abstractNumId w:val="10"/>
  </w:num>
  <w:num w:numId="38">
    <w:abstractNumId w:val="16"/>
  </w:num>
  <w:num w:numId="39">
    <w:abstractNumId w:val="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AB"/>
    <w:rsid w:val="00001DD7"/>
    <w:rsid w:val="0000373F"/>
    <w:rsid w:val="00005800"/>
    <w:rsid w:val="0001070A"/>
    <w:rsid w:val="000124A7"/>
    <w:rsid w:val="00014521"/>
    <w:rsid w:val="0001612E"/>
    <w:rsid w:val="000162DA"/>
    <w:rsid w:val="00016E79"/>
    <w:rsid w:val="00020310"/>
    <w:rsid w:val="00020843"/>
    <w:rsid w:val="000217A8"/>
    <w:rsid w:val="00022498"/>
    <w:rsid w:val="0002336E"/>
    <w:rsid w:val="00030A7A"/>
    <w:rsid w:val="00032F16"/>
    <w:rsid w:val="00040F48"/>
    <w:rsid w:val="000421B1"/>
    <w:rsid w:val="00043998"/>
    <w:rsid w:val="00045D51"/>
    <w:rsid w:val="00051290"/>
    <w:rsid w:val="00053458"/>
    <w:rsid w:val="00054809"/>
    <w:rsid w:val="00054B25"/>
    <w:rsid w:val="00054D5B"/>
    <w:rsid w:val="0005570C"/>
    <w:rsid w:val="00055719"/>
    <w:rsid w:val="00056F9B"/>
    <w:rsid w:val="00057357"/>
    <w:rsid w:val="00060D72"/>
    <w:rsid w:val="000616DD"/>
    <w:rsid w:val="000630F4"/>
    <w:rsid w:val="00063196"/>
    <w:rsid w:val="000705C4"/>
    <w:rsid w:val="00071465"/>
    <w:rsid w:val="00074EB7"/>
    <w:rsid w:val="00074ED6"/>
    <w:rsid w:val="00080BC0"/>
    <w:rsid w:val="00081687"/>
    <w:rsid w:val="00083E44"/>
    <w:rsid w:val="000862A6"/>
    <w:rsid w:val="00087E95"/>
    <w:rsid w:val="000905B3"/>
    <w:rsid w:val="00090E50"/>
    <w:rsid w:val="00092F94"/>
    <w:rsid w:val="00094786"/>
    <w:rsid w:val="0009665E"/>
    <w:rsid w:val="00097BAA"/>
    <w:rsid w:val="000A03AF"/>
    <w:rsid w:val="000A2679"/>
    <w:rsid w:val="000B0A1A"/>
    <w:rsid w:val="000B1272"/>
    <w:rsid w:val="000B1A54"/>
    <w:rsid w:val="000B4A49"/>
    <w:rsid w:val="000B6A1C"/>
    <w:rsid w:val="000B7F7B"/>
    <w:rsid w:val="000C126C"/>
    <w:rsid w:val="000C44D3"/>
    <w:rsid w:val="000C46AC"/>
    <w:rsid w:val="000C7133"/>
    <w:rsid w:val="000D222D"/>
    <w:rsid w:val="000D2717"/>
    <w:rsid w:val="000D3038"/>
    <w:rsid w:val="000D3A1D"/>
    <w:rsid w:val="000D56D3"/>
    <w:rsid w:val="000E0F6F"/>
    <w:rsid w:val="000E21C6"/>
    <w:rsid w:val="000E3FAF"/>
    <w:rsid w:val="000E4BA2"/>
    <w:rsid w:val="000E54EF"/>
    <w:rsid w:val="000F1280"/>
    <w:rsid w:val="000F1499"/>
    <w:rsid w:val="001000EA"/>
    <w:rsid w:val="00100E80"/>
    <w:rsid w:val="00101017"/>
    <w:rsid w:val="00103AE8"/>
    <w:rsid w:val="00106185"/>
    <w:rsid w:val="00107C20"/>
    <w:rsid w:val="0011597C"/>
    <w:rsid w:val="00116DE8"/>
    <w:rsid w:val="00120887"/>
    <w:rsid w:val="00131152"/>
    <w:rsid w:val="00131AE5"/>
    <w:rsid w:val="001324DB"/>
    <w:rsid w:val="001328B8"/>
    <w:rsid w:val="00136973"/>
    <w:rsid w:val="00140349"/>
    <w:rsid w:val="001406A6"/>
    <w:rsid w:val="00141D9C"/>
    <w:rsid w:val="001429DB"/>
    <w:rsid w:val="00142D85"/>
    <w:rsid w:val="001463C5"/>
    <w:rsid w:val="0015495A"/>
    <w:rsid w:val="001549E6"/>
    <w:rsid w:val="00160668"/>
    <w:rsid w:val="001642DB"/>
    <w:rsid w:val="001649F5"/>
    <w:rsid w:val="00164B15"/>
    <w:rsid w:val="00170306"/>
    <w:rsid w:val="00175609"/>
    <w:rsid w:val="001764CB"/>
    <w:rsid w:val="001768D4"/>
    <w:rsid w:val="001779B6"/>
    <w:rsid w:val="00181BF3"/>
    <w:rsid w:val="001843E0"/>
    <w:rsid w:val="00184967"/>
    <w:rsid w:val="00184B9C"/>
    <w:rsid w:val="00185232"/>
    <w:rsid w:val="00194858"/>
    <w:rsid w:val="001972EE"/>
    <w:rsid w:val="001A0112"/>
    <w:rsid w:val="001A0382"/>
    <w:rsid w:val="001A6A25"/>
    <w:rsid w:val="001B11BB"/>
    <w:rsid w:val="001B30E3"/>
    <w:rsid w:val="001B38C6"/>
    <w:rsid w:val="001B497C"/>
    <w:rsid w:val="001B5961"/>
    <w:rsid w:val="001B7668"/>
    <w:rsid w:val="001B7D59"/>
    <w:rsid w:val="001C6A8E"/>
    <w:rsid w:val="001D0EA9"/>
    <w:rsid w:val="001D433E"/>
    <w:rsid w:val="001D4BFC"/>
    <w:rsid w:val="001D5E35"/>
    <w:rsid w:val="001D7367"/>
    <w:rsid w:val="001E4717"/>
    <w:rsid w:val="001E5CAB"/>
    <w:rsid w:val="001F1E91"/>
    <w:rsid w:val="001F1EF2"/>
    <w:rsid w:val="001F1F74"/>
    <w:rsid w:val="001F4705"/>
    <w:rsid w:val="00203FF4"/>
    <w:rsid w:val="00205BAC"/>
    <w:rsid w:val="00205DEC"/>
    <w:rsid w:val="002062BD"/>
    <w:rsid w:val="00213FE7"/>
    <w:rsid w:val="00214A41"/>
    <w:rsid w:val="00217B11"/>
    <w:rsid w:val="00220C0E"/>
    <w:rsid w:val="00222C70"/>
    <w:rsid w:val="00224F57"/>
    <w:rsid w:val="00225892"/>
    <w:rsid w:val="00226758"/>
    <w:rsid w:val="0023076D"/>
    <w:rsid w:val="002329D5"/>
    <w:rsid w:val="00233029"/>
    <w:rsid w:val="002335A9"/>
    <w:rsid w:val="0023708F"/>
    <w:rsid w:val="0024140C"/>
    <w:rsid w:val="0024249F"/>
    <w:rsid w:val="00244340"/>
    <w:rsid w:val="00245159"/>
    <w:rsid w:val="00257C4F"/>
    <w:rsid w:val="00265D38"/>
    <w:rsid w:val="002706D0"/>
    <w:rsid w:val="002802C9"/>
    <w:rsid w:val="00281A9A"/>
    <w:rsid w:val="00284B2E"/>
    <w:rsid w:val="00286F00"/>
    <w:rsid w:val="00287D8E"/>
    <w:rsid w:val="002915E0"/>
    <w:rsid w:val="0029731D"/>
    <w:rsid w:val="002A7920"/>
    <w:rsid w:val="002B13EC"/>
    <w:rsid w:val="002B1C65"/>
    <w:rsid w:val="002B4B5F"/>
    <w:rsid w:val="002C4EA8"/>
    <w:rsid w:val="002C6ED9"/>
    <w:rsid w:val="002C72CA"/>
    <w:rsid w:val="002C75DC"/>
    <w:rsid w:val="002C7F6E"/>
    <w:rsid w:val="002D1957"/>
    <w:rsid w:val="002D1D14"/>
    <w:rsid w:val="002D1D44"/>
    <w:rsid w:val="002D32BC"/>
    <w:rsid w:val="002D5139"/>
    <w:rsid w:val="002D786E"/>
    <w:rsid w:val="002E0962"/>
    <w:rsid w:val="002E2960"/>
    <w:rsid w:val="002E2B63"/>
    <w:rsid w:val="002E5831"/>
    <w:rsid w:val="002E5F5C"/>
    <w:rsid w:val="002F2741"/>
    <w:rsid w:val="002F5205"/>
    <w:rsid w:val="002F60B4"/>
    <w:rsid w:val="002F6845"/>
    <w:rsid w:val="002F70E5"/>
    <w:rsid w:val="0030074E"/>
    <w:rsid w:val="00300C48"/>
    <w:rsid w:val="003024D4"/>
    <w:rsid w:val="003026CD"/>
    <w:rsid w:val="00304881"/>
    <w:rsid w:val="00306810"/>
    <w:rsid w:val="00311401"/>
    <w:rsid w:val="00311BF5"/>
    <w:rsid w:val="00316C37"/>
    <w:rsid w:val="003175FF"/>
    <w:rsid w:val="00322507"/>
    <w:rsid w:val="003266F3"/>
    <w:rsid w:val="00326794"/>
    <w:rsid w:val="003270C2"/>
    <w:rsid w:val="003279AA"/>
    <w:rsid w:val="003304FF"/>
    <w:rsid w:val="00331834"/>
    <w:rsid w:val="003321B5"/>
    <w:rsid w:val="00334A30"/>
    <w:rsid w:val="00334F6C"/>
    <w:rsid w:val="00336BAF"/>
    <w:rsid w:val="00337330"/>
    <w:rsid w:val="00342A90"/>
    <w:rsid w:val="00343A08"/>
    <w:rsid w:val="00346F3E"/>
    <w:rsid w:val="00350C31"/>
    <w:rsid w:val="00352B50"/>
    <w:rsid w:val="00353088"/>
    <w:rsid w:val="003557B5"/>
    <w:rsid w:val="00355DEB"/>
    <w:rsid w:val="003611E9"/>
    <w:rsid w:val="00364A29"/>
    <w:rsid w:val="00365894"/>
    <w:rsid w:val="00366A7A"/>
    <w:rsid w:val="0036731C"/>
    <w:rsid w:val="00370CCC"/>
    <w:rsid w:val="003710FC"/>
    <w:rsid w:val="00371BEE"/>
    <w:rsid w:val="003722A4"/>
    <w:rsid w:val="00372502"/>
    <w:rsid w:val="00375009"/>
    <w:rsid w:val="00376262"/>
    <w:rsid w:val="00380CDD"/>
    <w:rsid w:val="0038416B"/>
    <w:rsid w:val="003876A7"/>
    <w:rsid w:val="00387B5E"/>
    <w:rsid w:val="003921B0"/>
    <w:rsid w:val="0039431A"/>
    <w:rsid w:val="00394840"/>
    <w:rsid w:val="00395C0E"/>
    <w:rsid w:val="0039614C"/>
    <w:rsid w:val="003A1872"/>
    <w:rsid w:val="003A1E81"/>
    <w:rsid w:val="003A21A8"/>
    <w:rsid w:val="003A328F"/>
    <w:rsid w:val="003B2F98"/>
    <w:rsid w:val="003B3FD1"/>
    <w:rsid w:val="003B5C56"/>
    <w:rsid w:val="003C2C27"/>
    <w:rsid w:val="003C2E72"/>
    <w:rsid w:val="003C331A"/>
    <w:rsid w:val="003C5C58"/>
    <w:rsid w:val="003C648B"/>
    <w:rsid w:val="003C719F"/>
    <w:rsid w:val="003C7C62"/>
    <w:rsid w:val="003D0B76"/>
    <w:rsid w:val="003D5184"/>
    <w:rsid w:val="003D6B07"/>
    <w:rsid w:val="003E13D1"/>
    <w:rsid w:val="003E17E1"/>
    <w:rsid w:val="003E20FD"/>
    <w:rsid w:val="003E3C3B"/>
    <w:rsid w:val="003E5662"/>
    <w:rsid w:val="003E78AD"/>
    <w:rsid w:val="003F0DC6"/>
    <w:rsid w:val="003F160E"/>
    <w:rsid w:val="003F3007"/>
    <w:rsid w:val="00400252"/>
    <w:rsid w:val="00401547"/>
    <w:rsid w:val="00402542"/>
    <w:rsid w:val="004026AE"/>
    <w:rsid w:val="0040316B"/>
    <w:rsid w:val="00404D35"/>
    <w:rsid w:val="00411890"/>
    <w:rsid w:val="004130CC"/>
    <w:rsid w:val="00415163"/>
    <w:rsid w:val="00417003"/>
    <w:rsid w:val="00417553"/>
    <w:rsid w:val="004178F2"/>
    <w:rsid w:val="00421BB3"/>
    <w:rsid w:val="0042352F"/>
    <w:rsid w:val="00437986"/>
    <w:rsid w:val="004419BC"/>
    <w:rsid w:val="00447192"/>
    <w:rsid w:val="00450385"/>
    <w:rsid w:val="004519F0"/>
    <w:rsid w:val="00452EF4"/>
    <w:rsid w:val="00460619"/>
    <w:rsid w:val="0046132E"/>
    <w:rsid w:val="00461BE8"/>
    <w:rsid w:val="00465185"/>
    <w:rsid w:val="00467F46"/>
    <w:rsid w:val="00470380"/>
    <w:rsid w:val="004711BA"/>
    <w:rsid w:val="00471A7C"/>
    <w:rsid w:val="004724A0"/>
    <w:rsid w:val="00476322"/>
    <w:rsid w:val="004779D0"/>
    <w:rsid w:val="00481DC9"/>
    <w:rsid w:val="00483783"/>
    <w:rsid w:val="00486E71"/>
    <w:rsid w:val="00493E93"/>
    <w:rsid w:val="004947B9"/>
    <w:rsid w:val="004A3F65"/>
    <w:rsid w:val="004A40F8"/>
    <w:rsid w:val="004A5847"/>
    <w:rsid w:val="004A6CCA"/>
    <w:rsid w:val="004B16F6"/>
    <w:rsid w:val="004B23B3"/>
    <w:rsid w:val="004B3EFB"/>
    <w:rsid w:val="004B42B5"/>
    <w:rsid w:val="004B435A"/>
    <w:rsid w:val="004B7927"/>
    <w:rsid w:val="004C259A"/>
    <w:rsid w:val="004C313C"/>
    <w:rsid w:val="004C4BCC"/>
    <w:rsid w:val="004C526C"/>
    <w:rsid w:val="004C5C1F"/>
    <w:rsid w:val="004D03E4"/>
    <w:rsid w:val="004D39F8"/>
    <w:rsid w:val="004D560B"/>
    <w:rsid w:val="004E0E01"/>
    <w:rsid w:val="004E3CF7"/>
    <w:rsid w:val="004E64B1"/>
    <w:rsid w:val="004F08FD"/>
    <w:rsid w:val="004F1BFA"/>
    <w:rsid w:val="004F24C3"/>
    <w:rsid w:val="004F5E15"/>
    <w:rsid w:val="004F6603"/>
    <w:rsid w:val="0050158F"/>
    <w:rsid w:val="00503CD7"/>
    <w:rsid w:val="00503DE4"/>
    <w:rsid w:val="0050498C"/>
    <w:rsid w:val="00504F27"/>
    <w:rsid w:val="00506508"/>
    <w:rsid w:val="0051155F"/>
    <w:rsid w:val="00512422"/>
    <w:rsid w:val="005154B4"/>
    <w:rsid w:val="00516BF8"/>
    <w:rsid w:val="00517914"/>
    <w:rsid w:val="005208C1"/>
    <w:rsid w:val="0052140D"/>
    <w:rsid w:val="00522F6B"/>
    <w:rsid w:val="00524A3E"/>
    <w:rsid w:val="00535E17"/>
    <w:rsid w:val="005368B9"/>
    <w:rsid w:val="005405FF"/>
    <w:rsid w:val="0054160F"/>
    <w:rsid w:val="0054384C"/>
    <w:rsid w:val="00543C96"/>
    <w:rsid w:val="00544FF0"/>
    <w:rsid w:val="00545DD6"/>
    <w:rsid w:val="005461F2"/>
    <w:rsid w:val="00547418"/>
    <w:rsid w:val="00547B96"/>
    <w:rsid w:val="00550C2F"/>
    <w:rsid w:val="00550F22"/>
    <w:rsid w:val="00552459"/>
    <w:rsid w:val="00552C98"/>
    <w:rsid w:val="00555455"/>
    <w:rsid w:val="005573FD"/>
    <w:rsid w:val="00557ACF"/>
    <w:rsid w:val="00562C45"/>
    <w:rsid w:val="00562FE3"/>
    <w:rsid w:val="0056786E"/>
    <w:rsid w:val="00570106"/>
    <w:rsid w:val="00575C06"/>
    <w:rsid w:val="00580054"/>
    <w:rsid w:val="005811EC"/>
    <w:rsid w:val="005828A6"/>
    <w:rsid w:val="00585E3A"/>
    <w:rsid w:val="00587618"/>
    <w:rsid w:val="00591383"/>
    <w:rsid w:val="00591B2B"/>
    <w:rsid w:val="00594F0B"/>
    <w:rsid w:val="005952D0"/>
    <w:rsid w:val="005973F6"/>
    <w:rsid w:val="005A1F89"/>
    <w:rsid w:val="005A2384"/>
    <w:rsid w:val="005A2824"/>
    <w:rsid w:val="005A3E80"/>
    <w:rsid w:val="005A738A"/>
    <w:rsid w:val="005B2ADF"/>
    <w:rsid w:val="005B3B6C"/>
    <w:rsid w:val="005B5E1F"/>
    <w:rsid w:val="005C1B29"/>
    <w:rsid w:val="005C2E7E"/>
    <w:rsid w:val="005C4AB5"/>
    <w:rsid w:val="005C521B"/>
    <w:rsid w:val="005D019B"/>
    <w:rsid w:val="005D3516"/>
    <w:rsid w:val="005D5D20"/>
    <w:rsid w:val="005E0B29"/>
    <w:rsid w:val="005E1C26"/>
    <w:rsid w:val="005E1E8A"/>
    <w:rsid w:val="005E21C7"/>
    <w:rsid w:val="005E6E54"/>
    <w:rsid w:val="005F18E4"/>
    <w:rsid w:val="005F5282"/>
    <w:rsid w:val="00602D54"/>
    <w:rsid w:val="00604EA3"/>
    <w:rsid w:val="00605801"/>
    <w:rsid w:val="006059AB"/>
    <w:rsid w:val="0060740F"/>
    <w:rsid w:val="0061176D"/>
    <w:rsid w:val="00614128"/>
    <w:rsid w:val="0061755D"/>
    <w:rsid w:val="00620024"/>
    <w:rsid w:val="00625FDD"/>
    <w:rsid w:val="006266FB"/>
    <w:rsid w:val="006267A5"/>
    <w:rsid w:val="0063254B"/>
    <w:rsid w:val="006416FA"/>
    <w:rsid w:val="00645582"/>
    <w:rsid w:val="0064571A"/>
    <w:rsid w:val="006457C5"/>
    <w:rsid w:val="00647E04"/>
    <w:rsid w:val="006512E9"/>
    <w:rsid w:val="006532F4"/>
    <w:rsid w:val="0065586C"/>
    <w:rsid w:val="006649E5"/>
    <w:rsid w:val="00666A4A"/>
    <w:rsid w:val="006700A2"/>
    <w:rsid w:val="006704BC"/>
    <w:rsid w:val="006722A1"/>
    <w:rsid w:val="00683B9E"/>
    <w:rsid w:val="00683CD2"/>
    <w:rsid w:val="00685B94"/>
    <w:rsid w:val="006873F2"/>
    <w:rsid w:val="00690C2A"/>
    <w:rsid w:val="00691B43"/>
    <w:rsid w:val="00692045"/>
    <w:rsid w:val="006921FF"/>
    <w:rsid w:val="0069221A"/>
    <w:rsid w:val="006933AC"/>
    <w:rsid w:val="00697393"/>
    <w:rsid w:val="0069784E"/>
    <w:rsid w:val="006A4820"/>
    <w:rsid w:val="006B24FC"/>
    <w:rsid w:val="006C1611"/>
    <w:rsid w:val="006C66FB"/>
    <w:rsid w:val="006D38BE"/>
    <w:rsid w:val="006D3EAA"/>
    <w:rsid w:val="006D419F"/>
    <w:rsid w:val="006D52BA"/>
    <w:rsid w:val="006E0372"/>
    <w:rsid w:val="006E0539"/>
    <w:rsid w:val="006E22F0"/>
    <w:rsid w:val="006F0A06"/>
    <w:rsid w:val="006F0FAD"/>
    <w:rsid w:val="006F1330"/>
    <w:rsid w:val="006F13C6"/>
    <w:rsid w:val="006F1942"/>
    <w:rsid w:val="006F366C"/>
    <w:rsid w:val="006F52AC"/>
    <w:rsid w:val="006F5C2E"/>
    <w:rsid w:val="006F762F"/>
    <w:rsid w:val="006F7EF0"/>
    <w:rsid w:val="0070242E"/>
    <w:rsid w:val="00704198"/>
    <w:rsid w:val="007053F7"/>
    <w:rsid w:val="00706359"/>
    <w:rsid w:val="0071217B"/>
    <w:rsid w:val="00714AEB"/>
    <w:rsid w:val="00715D94"/>
    <w:rsid w:val="00717295"/>
    <w:rsid w:val="00720C53"/>
    <w:rsid w:val="00721EBD"/>
    <w:rsid w:val="0072216C"/>
    <w:rsid w:val="00722EFB"/>
    <w:rsid w:val="007252DF"/>
    <w:rsid w:val="0072626E"/>
    <w:rsid w:val="00736072"/>
    <w:rsid w:val="00736D3F"/>
    <w:rsid w:val="00743F52"/>
    <w:rsid w:val="00744AAD"/>
    <w:rsid w:val="00745816"/>
    <w:rsid w:val="00746384"/>
    <w:rsid w:val="00750525"/>
    <w:rsid w:val="00762235"/>
    <w:rsid w:val="007649BD"/>
    <w:rsid w:val="00765B01"/>
    <w:rsid w:val="00765BCF"/>
    <w:rsid w:val="00771297"/>
    <w:rsid w:val="00771514"/>
    <w:rsid w:val="00773740"/>
    <w:rsid w:val="00773D36"/>
    <w:rsid w:val="00775A37"/>
    <w:rsid w:val="00775EB8"/>
    <w:rsid w:val="00776983"/>
    <w:rsid w:val="00780C60"/>
    <w:rsid w:val="00782697"/>
    <w:rsid w:val="00791527"/>
    <w:rsid w:val="00792DA6"/>
    <w:rsid w:val="00796D59"/>
    <w:rsid w:val="00796F09"/>
    <w:rsid w:val="007A0371"/>
    <w:rsid w:val="007A1117"/>
    <w:rsid w:val="007A11E2"/>
    <w:rsid w:val="007A72D7"/>
    <w:rsid w:val="007B304C"/>
    <w:rsid w:val="007B394C"/>
    <w:rsid w:val="007C11BE"/>
    <w:rsid w:val="007C43C0"/>
    <w:rsid w:val="007C529E"/>
    <w:rsid w:val="007D1C2C"/>
    <w:rsid w:val="007D49C2"/>
    <w:rsid w:val="007D53D8"/>
    <w:rsid w:val="007D73DF"/>
    <w:rsid w:val="007E4BCB"/>
    <w:rsid w:val="007E51AC"/>
    <w:rsid w:val="007E5C2D"/>
    <w:rsid w:val="007E6854"/>
    <w:rsid w:val="007E6BDA"/>
    <w:rsid w:val="007E7B58"/>
    <w:rsid w:val="007F2B54"/>
    <w:rsid w:val="007F2F60"/>
    <w:rsid w:val="007F6AEB"/>
    <w:rsid w:val="00813973"/>
    <w:rsid w:val="008146D3"/>
    <w:rsid w:val="00816636"/>
    <w:rsid w:val="00816A7D"/>
    <w:rsid w:val="00817BAF"/>
    <w:rsid w:val="00820D0F"/>
    <w:rsid w:val="008238A2"/>
    <w:rsid w:val="008247CC"/>
    <w:rsid w:val="00825290"/>
    <w:rsid w:val="00827E30"/>
    <w:rsid w:val="00827E5E"/>
    <w:rsid w:val="008373CC"/>
    <w:rsid w:val="00837660"/>
    <w:rsid w:val="00837BDE"/>
    <w:rsid w:val="00837F6F"/>
    <w:rsid w:val="008421EE"/>
    <w:rsid w:val="00843397"/>
    <w:rsid w:val="008449EC"/>
    <w:rsid w:val="00845380"/>
    <w:rsid w:val="00854197"/>
    <w:rsid w:val="00855AB2"/>
    <w:rsid w:val="0085794E"/>
    <w:rsid w:val="0086085B"/>
    <w:rsid w:val="00861142"/>
    <w:rsid w:val="00861E37"/>
    <w:rsid w:val="00862AFC"/>
    <w:rsid w:val="008636B6"/>
    <w:rsid w:val="0086453F"/>
    <w:rsid w:val="0086691A"/>
    <w:rsid w:val="008701C7"/>
    <w:rsid w:val="0087031C"/>
    <w:rsid w:val="00870DB2"/>
    <w:rsid w:val="00871E2D"/>
    <w:rsid w:val="00876E08"/>
    <w:rsid w:val="00877613"/>
    <w:rsid w:val="00881E38"/>
    <w:rsid w:val="00884794"/>
    <w:rsid w:val="00884908"/>
    <w:rsid w:val="008855AD"/>
    <w:rsid w:val="00885F79"/>
    <w:rsid w:val="008912E5"/>
    <w:rsid w:val="00892ACB"/>
    <w:rsid w:val="00892BEE"/>
    <w:rsid w:val="00895F97"/>
    <w:rsid w:val="008A1905"/>
    <w:rsid w:val="008A536F"/>
    <w:rsid w:val="008A74E1"/>
    <w:rsid w:val="008B0B07"/>
    <w:rsid w:val="008B1F5C"/>
    <w:rsid w:val="008B55C7"/>
    <w:rsid w:val="008C031C"/>
    <w:rsid w:val="008C2BFE"/>
    <w:rsid w:val="008D12E0"/>
    <w:rsid w:val="008D53BC"/>
    <w:rsid w:val="008D7AE7"/>
    <w:rsid w:val="008D7CAB"/>
    <w:rsid w:val="008E12B1"/>
    <w:rsid w:val="008E43BC"/>
    <w:rsid w:val="008E4E91"/>
    <w:rsid w:val="008E64F8"/>
    <w:rsid w:val="008F14A6"/>
    <w:rsid w:val="0090254C"/>
    <w:rsid w:val="00902DB1"/>
    <w:rsid w:val="009079AE"/>
    <w:rsid w:val="00916222"/>
    <w:rsid w:val="00916CBB"/>
    <w:rsid w:val="00916ECB"/>
    <w:rsid w:val="0092001D"/>
    <w:rsid w:val="00921B55"/>
    <w:rsid w:val="009239E0"/>
    <w:rsid w:val="00924182"/>
    <w:rsid w:val="009245E2"/>
    <w:rsid w:val="009264B0"/>
    <w:rsid w:val="0092726A"/>
    <w:rsid w:val="00927836"/>
    <w:rsid w:val="009304B6"/>
    <w:rsid w:val="009324A3"/>
    <w:rsid w:val="009331C6"/>
    <w:rsid w:val="00933576"/>
    <w:rsid w:val="00934ED7"/>
    <w:rsid w:val="00940137"/>
    <w:rsid w:val="009409A3"/>
    <w:rsid w:val="009427BC"/>
    <w:rsid w:val="0094690C"/>
    <w:rsid w:val="00947700"/>
    <w:rsid w:val="0095013C"/>
    <w:rsid w:val="009513F0"/>
    <w:rsid w:val="009530DD"/>
    <w:rsid w:val="00956A39"/>
    <w:rsid w:val="00960330"/>
    <w:rsid w:val="00961BE8"/>
    <w:rsid w:val="00963403"/>
    <w:rsid w:val="00967824"/>
    <w:rsid w:val="0097040D"/>
    <w:rsid w:val="0097075F"/>
    <w:rsid w:val="009778C7"/>
    <w:rsid w:val="00981FEA"/>
    <w:rsid w:val="0098217E"/>
    <w:rsid w:val="0098243E"/>
    <w:rsid w:val="00982DE4"/>
    <w:rsid w:val="00985308"/>
    <w:rsid w:val="00991BC1"/>
    <w:rsid w:val="00991DF7"/>
    <w:rsid w:val="00996925"/>
    <w:rsid w:val="009A62AC"/>
    <w:rsid w:val="009B2451"/>
    <w:rsid w:val="009B478E"/>
    <w:rsid w:val="009D5203"/>
    <w:rsid w:val="009D5370"/>
    <w:rsid w:val="009D735E"/>
    <w:rsid w:val="009D765C"/>
    <w:rsid w:val="009E5FC0"/>
    <w:rsid w:val="009E623E"/>
    <w:rsid w:val="009F3BAE"/>
    <w:rsid w:val="009F5C2B"/>
    <w:rsid w:val="00A006E5"/>
    <w:rsid w:val="00A01751"/>
    <w:rsid w:val="00A03078"/>
    <w:rsid w:val="00A049CA"/>
    <w:rsid w:val="00A0693C"/>
    <w:rsid w:val="00A238DA"/>
    <w:rsid w:val="00A256CB"/>
    <w:rsid w:val="00A25A9E"/>
    <w:rsid w:val="00A2738E"/>
    <w:rsid w:val="00A32AC9"/>
    <w:rsid w:val="00A353EF"/>
    <w:rsid w:val="00A36231"/>
    <w:rsid w:val="00A376EE"/>
    <w:rsid w:val="00A41341"/>
    <w:rsid w:val="00A4326D"/>
    <w:rsid w:val="00A44044"/>
    <w:rsid w:val="00A45812"/>
    <w:rsid w:val="00A535DC"/>
    <w:rsid w:val="00A57BE3"/>
    <w:rsid w:val="00A64FE3"/>
    <w:rsid w:val="00A653CB"/>
    <w:rsid w:val="00A71933"/>
    <w:rsid w:val="00A7266D"/>
    <w:rsid w:val="00A77556"/>
    <w:rsid w:val="00A80FAA"/>
    <w:rsid w:val="00A84610"/>
    <w:rsid w:val="00A847BA"/>
    <w:rsid w:val="00A851DA"/>
    <w:rsid w:val="00A87325"/>
    <w:rsid w:val="00A92C50"/>
    <w:rsid w:val="00A937FE"/>
    <w:rsid w:val="00A93871"/>
    <w:rsid w:val="00A945D6"/>
    <w:rsid w:val="00A95852"/>
    <w:rsid w:val="00A964D6"/>
    <w:rsid w:val="00A966CF"/>
    <w:rsid w:val="00AA0882"/>
    <w:rsid w:val="00AA13E4"/>
    <w:rsid w:val="00AA3E9A"/>
    <w:rsid w:val="00AA400D"/>
    <w:rsid w:val="00AA4835"/>
    <w:rsid w:val="00AA5B67"/>
    <w:rsid w:val="00AA64D1"/>
    <w:rsid w:val="00AB4406"/>
    <w:rsid w:val="00AB57A2"/>
    <w:rsid w:val="00AB5E18"/>
    <w:rsid w:val="00AC3783"/>
    <w:rsid w:val="00AC3A84"/>
    <w:rsid w:val="00AC5721"/>
    <w:rsid w:val="00AC639F"/>
    <w:rsid w:val="00AD0B0C"/>
    <w:rsid w:val="00AD308E"/>
    <w:rsid w:val="00AD42CE"/>
    <w:rsid w:val="00AD485A"/>
    <w:rsid w:val="00AD5288"/>
    <w:rsid w:val="00AD5715"/>
    <w:rsid w:val="00AD78FE"/>
    <w:rsid w:val="00AD7EE2"/>
    <w:rsid w:val="00AE3DBC"/>
    <w:rsid w:val="00AE3F7F"/>
    <w:rsid w:val="00AE7B7B"/>
    <w:rsid w:val="00AE7DA7"/>
    <w:rsid w:val="00AF1C70"/>
    <w:rsid w:val="00AF32AA"/>
    <w:rsid w:val="00AF36DA"/>
    <w:rsid w:val="00AF3B7D"/>
    <w:rsid w:val="00AF5FBF"/>
    <w:rsid w:val="00AF63C0"/>
    <w:rsid w:val="00AF683F"/>
    <w:rsid w:val="00AF7AF5"/>
    <w:rsid w:val="00B00B48"/>
    <w:rsid w:val="00B03872"/>
    <w:rsid w:val="00B041C4"/>
    <w:rsid w:val="00B05CBF"/>
    <w:rsid w:val="00B109F9"/>
    <w:rsid w:val="00B171F3"/>
    <w:rsid w:val="00B177CD"/>
    <w:rsid w:val="00B202DB"/>
    <w:rsid w:val="00B22640"/>
    <w:rsid w:val="00B23763"/>
    <w:rsid w:val="00B27BAF"/>
    <w:rsid w:val="00B3089E"/>
    <w:rsid w:val="00B320B3"/>
    <w:rsid w:val="00B3351F"/>
    <w:rsid w:val="00B361BB"/>
    <w:rsid w:val="00B40662"/>
    <w:rsid w:val="00B40861"/>
    <w:rsid w:val="00B50E03"/>
    <w:rsid w:val="00B51F46"/>
    <w:rsid w:val="00B529BE"/>
    <w:rsid w:val="00B52E36"/>
    <w:rsid w:val="00B53005"/>
    <w:rsid w:val="00B54AFA"/>
    <w:rsid w:val="00B56A51"/>
    <w:rsid w:val="00B604A7"/>
    <w:rsid w:val="00B657C2"/>
    <w:rsid w:val="00B74975"/>
    <w:rsid w:val="00B75185"/>
    <w:rsid w:val="00B75BBF"/>
    <w:rsid w:val="00B76512"/>
    <w:rsid w:val="00B817D3"/>
    <w:rsid w:val="00B81B15"/>
    <w:rsid w:val="00B8469E"/>
    <w:rsid w:val="00B85627"/>
    <w:rsid w:val="00B8657F"/>
    <w:rsid w:val="00B91650"/>
    <w:rsid w:val="00B93604"/>
    <w:rsid w:val="00BA4771"/>
    <w:rsid w:val="00BB007D"/>
    <w:rsid w:val="00BB5CCA"/>
    <w:rsid w:val="00BB6ADE"/>
    <w:rsid w:val="00BC0071"/>
    <w:rsid w:val="00BC2CD5"/>
    <w:rsid w:val="00BC322D"/>
    <w:rsid w:val="00BC4383"/>
    <w:rsid w:val="00BC578F"/>
    <w:rsid w:val="00BD1290"/>
    <w:rsid w:val="00BE2CC0"/>
    <w:rsid w:val="00BE582F"/>
    <w:rsid w:val="00BE7EF1"/>
    <w:rsid w:val="00BF173F"/>
    <w:rsid w:val="00BF198B"/>
    <w:rsid w:val="00C04BCE"/>
    <w:rsid w:val="00C133E6"/>
    <w:rsid w:val="00C13ABB"/>
    <w:rsid w:val="00C151CD"/>
    <w:rsid w:val="00C246F0"/>
    <w:rsid w:val="00C33A45"/>
    <w:rsid w:val="00C40D0B"/>
    <w:rsid w:val="00C43AB7"/>
    <w:rsid w:val="00C45B2E"/>
    <w:rsid w:val="00C539A6"/>
    <w:rsid w:val="00C5600A"/>
    <w:rsid w:val="00C6183C"/>
    <w:rsid w:val="00C6237C"/>
    <w:rsid w:val="00C62FFA"/>
    <w:rsid w:val="00C718DA"/>
    <w:rsid w:val="00C7399D"/>
    <w:rsid w:val="00C77E52"/>
    <w:rsid w:val="00C809E8"/>
    <w:rsid w:val="00C839C1"/>
    <w:rsid w:val="00C83D48"/>
    <w:rsid w:val="00C84569"/>
    <w:rsid w:val="00C84785"/>
    <w:rsid w:val="00C9082F"/>
    <w:rsid w:val="00C92CDD"/>
    <w:rsid w:val="00C97722"/>
    <w:rsid w:val="00CA022A"/>
    <w:rsid w:val="00CA24C4"/>
    <w:rsid w:val="00CA33FE"/>
    <w:rsid w:val="00CA401B"/>
    <w:rsid w:val="00CA473A"/>
    <w:rsid w:val="00CA5ABC"/>
    <w:rsid w:val="00CA6D70"/>
    <w:rsid w:val="00CB20B5"/>
    <w:rsid w:val="00CB2ACF"/>
    <w:rsid w:val="00CB3257"/>
    <w:rsid w:val="00CB3AA8"/>
    <w:rsid w:val="00CB5878"/>
    <w:rsid w:val="00CB7FEA"/>
    <w:rsid w:val="00CD2D5C"/>
    <w:rsid w:val="00CD30C2"/>
    <w:rsid w:val="00CD33C2"/>
    <w:rsid w:val="00CD6B5E"/>
    <w:rsid w:val="00CD6D77"/>
    <w:rsid w:val="00CE059E"/>
    <w:rsid w:val="00CE1BA5"/>
    <w:rsid w:val="00CE296E"/>
    <w:rsid w:val="00CE2DAD"/>
    <w:rsid w:val="00CE2DB1"/>
    <w:rsid w:val="00CE33C0"/>
    <w:rsid w:val="00CE3E47"/>
    <w:rsid w:val="00CE504D"/>
    <w:rsid w:val="00CE56C1"/>
    <w:rsid w:val="00CF0CE5"/>
    <w:rsid w:val="00CF5C9C"/>
    <w:rsid w:val="00D00D87"/>
    <w:rsid w:val="00D02105"/>
    <w:rsid w:val="00D0275F"/>
    <w:rsid w:val="00D02FE2"/>
    <w:rsid w:val="00D10A3F"/>
    <w:rsid w:val="00D115B6"/>
    <w:rsid w:val="00D123C1"/>
    <w:rsid w:val="00D15E58"/>
    <w:rsid w:val="00D1762B"/>
    <w:rsid w:val="00D22067"/>
    <w:rsid w:val="00D2277F"/>
    <w:rsid w:val="00D254FC"/>
    <w:rsid w:val="00D26F91"/>
    <w:rsid w:val="00D27CDB"/>
    <w:rsid w:val="00D338D7"/>
    <w:rsid w:val="00D36ED0"/>
    <w:rsid w:val="00D50CB6"/>
    <w:rsid w:val="00D54271"/>
    <w:rsid w:val="00D6000C"/>
    <w:rsid w:val="00D60951"/>
    <w:rsid w:val="00D60C33"/>
    <w:rsid w:val="00D61589"/>
    <w:rsid w:val="00D6212A"/>
    <w:rsid w:val="00D63523"/>
    <w:rsid w:val="00D6376B"/>
    <w:rsid w:val="00D639FD"/>
    <w:rsid w:val="00D652F8"/>
    <w:rsid w:val="00D6563D"/>
    <w:rsid w:val="00D66335"/>
    <w:rsid w:val="00D6768E"/>
    <w:rsid w:val="00D72091"/>
    <w:rsid w:val="00D75F5B"/>
    <w:rsid w:val="00D76415"/>
    <w:rsid w:val="00D8144F"/>
    <w:rsid w:val="00D818A3"/>
    <w:rsid w:val="00D93460"/>
    <w:rsid w:val="00D93D32"/>
    <w:rsid w:val="00D95B3E"/>
    <w:rsid w:val="00DA0967"/>
    <w:rsid w:val="00DA0DD3"/>
    <w:rsid w:val="00DA1FBA"/>
    <w:rsid w:val="00DA2910"/>
    <w:rsid w:val="00DA3E19"/>
    <w:rsid w:val="00DA6281"/>
    <w:rsid w:val="00DB5179"/>
    <w:rsid w:val="00DB5798"/>
    <w:rsid w:val="00DB58DB"/>
    <w:rsid w:val="00DB7E77"/>
    <w:rsid w:val="00DC338D"/>
    <w:rsid w:val="00DD022C"/>
    <w:rsid w:val="00DD0B20"/>
    <w:rsid w:val="00DD0CEC"/>
    <w:rsid w:val="00DD1E2B"/>
    <w:rsid w:val="00DD2F40"/>
    <w:rsid w:val="00DD6077"/>
    <w:rsid w:val="00DD66B3"/>
    <w:rsid w:val="00DF08CE"/>
    <w:rsid w:val="00DF1599"/>
    <w:rsid w:val="00DF1B0C"/>
    <w:rsid w:val="00DF2DE2"/>
    <w:rsid w:val="00DF4F68"/>
    <w:rsid w:val="00E01837"/>
    <w:rsid w:val="00E04FDF"/>
    <w:rsid w:val="00E052B8"/>
    <w:rsid w:val="00E05343"/>
    <w:rsid w:val="00E068AD"/>
    <w:rsid w:val="00E10159"/>
    <w:rsid w:val="00E118A7"/>
    <w:rsid w:val="00E27382"/>
    <w:rsid w:val="00E27589"/>
    <w:rsid w:val="00E32EE9"/>
    <w:rsid w:val="00E3510D"/>
    <w:rsid w:val="00E41C0F"/>
    <w:rsid w:val="00E41E11"/>
    <w:rsid w:val="00E4391D"/>
    <w:rsid w:val="00E43CD8"/>
    <w:rsid w:val="00E46E44"/>
    <w:rsid w:val="00E473DC"/>
    <w:rsid w:val="00E51805"/>
    <w:rsid w:val="00E55A30"/>
    <w:rsid w:val="00E55E8D"/>
    <w:rsid w:val="00E56C74"/>
    <w:rsid w:val="00E57DCA"/>
    <w:rsid w:val="00E615DF"/>
    <w:rsid w:val="00E647CF"/>
    <w:rsid w:val="00E64D14"/>
    <w:rsid w:val="00E70305"/>
    <w:rsid w:val="00E71DC8"/>
    <w:rsid w:val="00E775EF"/>
    <w:rsid w:val="00E8107A"/>
    <w:rsid w:val="00E82D6F"/>
    <w:rsid w:val="00E82EC2"/>
    <w:rsid w:val="00E85786"/>
    <w:rsid w:val="00E877E4"/>
    <w:rsid w:val="00E87CEE"/>
    <w:rsid w:val="00E94247"/>
    <w:rsid w:val="00E97183"/>
    <w:rsid w:val="00EA21A6"/>
    <w:rsid w:val="00EA44AD"/>
    <w:rsid w:val="00EA5BF5"/>
    <w:rsid w:val="00EA76B0"/>
    <w:rsid w:val="00EB1E28"/>
    <w:rsid w:val="00EB23A7"/>
    <w:rsid w:val="00EB53D5"/>
    <w:rsid w:val="00EB651F"/>
    <w:rsid w:val="00EC1AEE"/>
    <w:rsid w:val="00ED0BD0"/>
    <w:rsid w:val="00ED397C"/>
    <w:rsid w:val="00ED5D81"/>
    <w:rsid w:val="00ED63CA"/>
    <w:rsid w:val="00ED6D4C"/>
    <w:rsid w:val="00EE295E"/>
    <w:rsid w:val="00EE38E0"/>
    <w:rsid w:val="00EE6AAC"/>
    <w:rsid w:val="00EF2CFF"/>
    <w:rsid w:val="00EF3975"/>
    <w:rsid w:val="00EF7DE7"/>
    <w:rsid w:val="00EF7DF4"/>
    <w:rsid w:val="00F01023"/>
    <w:rsid w:val="00F03E6D"/>
    <w:rsid w:val="00F056D4"/>
    <w:rsid w:val="00F05DAC"/>
    <w:rsid w:val="00F1295F"/>
    <w:rsid w:val="00F169A6"/>
    <w:rsid w:val="00F21BE0"/>
    <w:rsid w:val="00F23A60"/>
    <w:rsid w:val="00F23DBB"/>
    <w:rsid w:val="00F2751F"/>
    <w:rsid w:val="00F32831"/>
    <w:rsid w:val="00F41529"/>
    <w:rsid w:val="00F42750"/>
    <w:rsid w:val="00F45E96"/>
    <w:rsid w:val="00F5026B"/>
    <w:rsid w:val="00F50406"/>
    <w:rsid w:val="00F50B68"/>
    <w:rsid w:val="00F52766"/>
    <w:rsid w:val="00F537CF"/>
    <w:rsid w:val="00F56770"/>
    <w:rsid w:val="00F667D7"/>
    <w:rsid w:val="00F71D4D"/>
    <w:rsid w:val="00F76F2C"/>
    <w:rsid w:val="00F773BE"/>
    <w:rsid w:val="00F77B2C"/>
    <w:rsid w:val="00F804D3"/>
    <w:rsid w:val="00F85E54"/>
    <w:rsid w:val="00F9085F"/>
    <w:rsid w:val="00F90C69"/>
    <w:rsid w:val="00F91490"/>
    <w:rsid w:val="00F925BA"/>
    <w:rsid w:val="00F937A7"/>
    <w:rsid w:val="00F947E2"/>
    <w:rsid w:val="00F97EA2"/>
    <w:rsid w:val="00FA28AE"/>
    <w:rsid w:val="00FA35A9"/>
    <w:rsid w:val="00FA5D55"/>
    <w:rsid w:val="00FA5F6A"/>
    <w:rsid w:val="00FA7710"/>
    <w:rsid w:val="00FB3A9D"/>
    <w:rsid w:val="00FB6D44"/>
    <w:rsid w:val="00FB7488"/>
    <w:rsid w:val="00FC0100"/>
    <w:rsid w:val="00FC2924"/>
    <w:rsid w:val="00FC48CD"/>
    <w:rsid w:val="00FC4DD1"/>
    <w:rsid w:val="00FC5124"/>
    <w:rsid w:val="00FC6912"/>
    <w:rsid w:val="00FC70D9"/>
    <w:rsid w:val="00FD3FE8"/>
    <w:rsid w:val="00FD6A7E"/>
    <w:rsid w:val="00FD7B8F"/>
    <w:rsid w:val="00FE1CCC"/>
    <w:rsid w:val="00FE2B3B"/>
    <w:rsid w:val="00FF19D7"/>
    <w:rsid w:val="00FF2BC9"/>
    <w:rsid w:val="00FF31B0"/>
    <w:rsid w:val="00FF711D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5"/>
      </w:numPr>
      <w:outlineLvl w:val="0"/>
    </w:pPr>
    <w:rPr>
      <w:b/>
      <w:bCs/>
      <w:sz w:val="28"/>
      <w:szCs w:val="28"/>
      <w:lang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240" w:after="60"/>
      <w:outlineLvl w:val="1"/>
    </w:pPr>
    <w:rPr>
      <w:b/>
      <w:bCs/>
      <w:iCs/>
      <w:sz w:val="24"/>
      <w:lang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Nadpis5">
    <w:name w:val="heading 5"/>
    <w:basedOn w:val="Normln"/>
    <w:next w:val="Normln"/>
    <w:qFormat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qFormat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Nadpis7">
    <w:name w:val="heading 7"/>
    <w:basedOn w:val="Normln"/>
    <w:next w:val="Normln"/>
    <w:qFormat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lang/>
    </w:rPr>
  </w:style>
  <w:style w:type="paragraph" w:styleId="Nadpis8">
    <w:name w:val="heading 8"/>
    <w:basedOn w:val="Normln"/>
    <w:next w:val="Normln"/>
    <w:qFormat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lang/>
    </w:rPr>
  </w:style>
  <w:style w:type="paragraph" w:styleId="Nadpis9">
    <w:name w:val="heading 9"/>
    <w:basedOn w:val="Normln"/>
    <w:next w:val="Normln"/>
    <w:qFormat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tyl1">
    <w:name w:val="Styl1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 w:val="28"/>
      <w:szCs w:val="28"/>
    </w:rPr>
  </w:style>
  <w:style w:type="paragraph" w:styleId="Textpoznpodarou">
    <w:name w:val="footnote text"/>
    <w:aliases w:val="Text pozn. pod čarou_martin_ang"/>
    <w:basedOn w:val="Normln"/>
    <w:semiHidden/>
    <w:pPr>
      <w:jc w:val="left"/>
    </w:pPr>
    <w:rPr>
      <w:szCs w:val="20"/>
      <w:lang/>
    </w:rPr>
  </w:style>
  <w:style w:type="character" w:customStyle="1" w:styleId="TextpoznpodarouChar">
    <w:name w:val="Text pozn. pod čarou Char"/>
    <w:aliases w:val="Text pozn. pod čarou_martin_ang Char1"/>
    <w:semiHidden/>
    <w:rPr>
      <w:rFonts w:ascii="Arial" w:eastAsia="Times New Roman" w:hAnsi="Arial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qFormat/>
    <w:pPr>
      <w:ind w:left="708"/>
      <w:jc w:val="left"/>
    </w:pPr>
    <w:rPr>
      <w:sz w:val="18"/>
      <w:szCs w:val="20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pPr>
      <w:jc w:val="left"/>
    </w:pPr>
    <w:rPr>
      <w:szCs w:val="20"/>
      <w:lang/>
    </w:rPr>
  </w:style>
  <w:style w:type="character" w:customStyle="1" w:styleId="TextkomenteChar">
    <w:name w:val="Text komentáře Char"/>
    <w:semiHidden/>
    <w:rPr>
      <w:rFonts w:ascii="Arial" w:eastAsia="Times New Roman" w:hAnsi="Arial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semiHidden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Obsah2">
    <w:name w:val="toc 2"/>
    <w:basedOn w:val="Normln"/>
    <w:next w:val="Normln"/>
    <w:autoRedefine/>
    <w:semiHidden/>
    <w:unhideWhenUsed/>
    <w:qFormat/>
    <w:pPr>
      <w:tabs>
        <w:tab w:val="left" w:pos="880"/>
        <w:tab w:val="right" w:leader="dot" w:pos="9628"/>
      </w:tabs>
      <w:spacing w:after="100" w:line="276" w:lineRule="auto"/>
      <w:ind w:left="851" w:hanging="567"/>
      <w:jc w:val="left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628"/>
      </w:tabs>
      <w:spacing w:after="100" w:line="276" w:lineRule="auto"/>
      <w:jc w:val="left"/>
    </w:pPr>
    <w:rPr>
      <w:szCs w:val="22"/>
    </w:rPr>
  </w:style>
  <w:style w:type="paragraph" w:styleId="Obsah3">
    <w:name w:val="toc 3"/>
    <w:basedOn w:val="Normln"/>
    <w:next w:val="Normln"/>
    <w:autoRedefine/>
    <w:semiHidden/>
    <w:unhideWhenUsed/>
    <w:qFormat/>
    <w:pPr>
      <w:tabs>
        <w:tab w:val="right" w:leader="dot" w:pos="9638"/>
      </w:tabs>
      <w:spacing w:after="100" w:line="276" w:lineRule="auto"/>
      <w:ind w:left="446"/>
      <w:jc w:val="left"/>
    </w:pPr>
    <w:rPr>
      <w:rFonts w:ascii="Calibri" w:hAnsi="Calibri"/>
      <w:sz w:val="22"/>
      <w:szCs w:val="22"/>
    </w:rPr>
  </w:style>
  <w:style w:type="paragraph" w:styleId="Bezmezer">
    <w:name w:val="No Spacing"/>
    <w:qFormat/>
    <w:pPr>
      <w:jc w:val="both"/>
    </w:pPr>
    <w:rPr>
      <w:rFonts w:ascii="Arial" w:eastAsia="Times New Roman" w:hAnsi="Arial"/>
      <w:szCs w:val="24"/>
    </w:rPr>
  </w:style>
  <w:style w:type="paragraph" w:styleId="Obsah10">
    <w:name w:val="toc 1"/>
    <w:basedOn w:val="Normln"/>
    <w:next w:val="Normln"/>
    <w:autoRedefine/>
    <w:semiHidden/>
    <w:unhideWhenUsed/>
    <w:qFormat/>
    <w:pPr>
      <w:tabs>
        <w:tab w:val="left" w:pos="851"/>
        <w:tab w:val="right" w:leader="dot" w:pos="9498"/>
      </w:tabs>
      <w:spacing w:after="100" w:line="276" w:lineRule="auto"/>
      <w:jc w:val="left"/>
    </w:pPr>
    <w:rPr>
      <w:szCs w:val="22"/>
    </w:rPr>
  </w:style>
  <w:style w:type="paragraph" w:styleId="Zkladntext">
    <w:name w:val="Body Text"/>
    <w:basedOn w:val="Normln"/>
    <w:semiHidden/>
    <w:rPr>
      <w:color w:val="000000"/>
    </w:rPr>
  </w:style>
  <w:style w:type="paragraph" w:styleId="Zkladntext3">
    <w:name w:val="Body Text 3"/>
    <w:basedOn w:val="Normln"/>
    <w:semiHidden/>
    <w:rPr>
      <w:sz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card">
    <w:name w:val="card"/>
    <w:basedOn w:val="Standardnpsmoodstavce"/>
  </w:style>
  <w:style w:type="paragraph" w:styleId="Zkladntext2">
    <w:name w:val="Body Text 2"/>
    <w:basedOn w:val="Normln"/>
    <w:semiHidden/>
    <w:pPr>
      <w:jc w:val="left"/>
    </w:pPr>
    <w:rPr>
      <w:b/>
      <w:bCs/>
    </w:rPr>
  </w:style>
  <w:style w:type="paragraph" w:customStyle="1" w:styleId="normalnsodrkami">
    <w:name w:val="normalní s odrážkami"/>
    <w:basedOn w:val="Normln"/>
    <w:pPr>
      <w:numPr>
        <w:numId w:val="19"/>
      </w:numPr>
    </w:p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rsid w:val="004D0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3D1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3D1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E13D1"/>
    <w:rPr>
      <w:vertAlign w:val="superscript"/>
    </w:rPr>
  </w:style>
  <w:style w:type="character" w:customStyle="1" w:styleId="hps">
    <w:name w:val="hps"/>
    <w:basedOn w:val="Standardnpsmoodstavce"/>
    <w:rsid w:val="00FF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3F65-06B3-4027-BEB3-B668661F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</vt:lpstr>
    </vt:vector>
  </TitlesOfParts>
  <Company>ČSÚ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</dc:title>
  <dc:creator>SystemService</dc:creator>
  <cp:lastModifiedBy>Jiří Kamenický</cp:lastModifiedBy>
  <cp:revision>2</cp:revision>
  <cp:lastPrinted>2014-06-02T17:09:00Z</cp:lastPrinted>
  <dcterms:created xsi:type="dcterms:W3CDTF">2014-10-24T06:31:00Z</dcterms:created>
  <dcterms:modified xsi:type="dcterms:W3CDTF">2014-10-24T06:31:00Z</dcterms:modified>
</cp:coreProperties>
</file>