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DB24C" w14:textId="77777777" w:rsidR="008B2CA8" w:rsidRPr="007E103C" w:rsidRDefault="008B2CA8" w:rsidP="008B2CA8">
      <w:pPr>
        <w:pStyle w:val="Nadpis1"/>
        <w:rPr>
          <w:lang w:val="en-GB"/>
        </w:rPr>
      </w:pPr>
      <w:bookmarkStart w:id="0" w:name="_Toc176767109"/>
      <w:bookmarkStart w:id="1" w:name="_Toc208920080"/>
      <w:bookmarkStart w:id="2" w:name="_Toc211594522"/>
      <w:r w:rsidRPr="007E103C">
        <w:rPr>
          <w:lang w:val="en-GB"/>
        </w:rPr>
        <w:t>4</w:t>
      </w:r>
      <w:bookmarkStart w:id="3" w:name="_Toc19090679"/>
      <w:bookmarkStart w:id="4" w:name="_Toc74643856"/>
      <w:bookmarkStart w:id="5" w:name="_Toc42852411"/>
      <w:bookmarkStart w:id="6" w:name="_Toc74643857"/>
      <w:bookmarkEnd w:id="3"/>
      <w:r w:rsidRPr="007E103C">
        <w:rPr>
          <w:lang w:val="en-GB"/>
        </w:rPr>
        <w:t>. External Relations</w:t>
      </w:r>
      <w:bookmarkEnd w:id="1"/>
      <w:bookmarkEnd w:id="2"/>
    </w:p>
    <w:tbl>
      <w:tblPr>
        <w:tblW w:w="9677" w:type="dxa"/>
        <w:tblInd w:w="-15" w:type="dxa"/>
        <w:tblLayout w:type="fixed"/>
        <w:tblCellMar>
          <w:left w:w="0" w:type="dxa"/>
          <w:right w:w="0" w:type="dxa"/>
        </w:tblCellMar>
        <w:tblLook w:val="00A0" w:firstRow="1" w:lastRow="0" w:firstColumn="1" w:lastColumn="0" w:noHBand="0" w:noVBand="0"/>
      </w:tblPr>
      <w:tblGrid>
        <w:gridCol w:w="1748"/>
        <w:gridCol w:w="252"/>
        <w:gridCol w:w="2811"/>
        <w:gridCol w:w="57"/>
        <w:gridCol w:w="4809"/>
      </w:tblGrid>
      <w:tr w:rsidR="008B2CA8" w:rsidRPr="007E103C" w14:paraId="0E6DEF8B" w14:textId="77777777" w:rsidTr="008B2CA8">
        <w:trPr>
          <w:trHeight w:val="145"/>
        </w:trPr>
        <w:tc>
          <w:tcPr>
            <w:tcW w:w="1748" w:type="dxa"/>
            <w:hideMark/>
          </w:tcPr>
          <w:p w14:paraId="623DBA91" w14:textId="77777777" w:rsidR="008B2CA8" w:rsidRPr="007E103C" w:rsidRDefault="008B2CA8" w:rsidP="008B2CA8">
            <w:pPr>
              <w:pStyle w:val="Marginlie"/>
              <w:rPr>
                <w:lang w:val="en-GB" w:eastAsia="en-US"/>
              </w:rPr>
            </w:pPr>
            <w:r w:rsidRPr="007E103C">
              <w:rPr>
                <w:lang w:val="en-GB" w:eastAsia="en-US"/>
              </w:rPr>
              <w:t xml:space="preserve">Exports of goods grew more moderately in Q2 than in Q1. </w:t>
            </w:r>
          </w:p>
        </w:tc>
        <w:tc>
          <w:tcPr>
            <w:tcW w:w="252" w:type="dxa"/>
          </w:tcPr>
          <w:p w14:paraId="752B25EA" w14:textId="77777777" w:rsidR="008B2CA8" w:rsidRPr="007E103C" w:rsidRDefault="008B2CA8" w:rsidP="008B2CA8">
            <w:pPr>
              <w:pStyle w:val="Textpoznpodarou"/>
              <w:jc w:val="both"/>
              <w:rPr>
                <w:spacing w:val="-4"/>
                <w:lang w:val="en-GB" w:eastAsia="en-US"/>
              </w:rPr>
            </w:pPr>
          </w:p>
        </w:tc>
        <w:tc>
          <w:tcPr>
            <w:tcW w:w="7677" w:type="dxa"/>
            <w:gridSpan w:val="3"/>
            <w:hideMark/>
          </w:tcPr>
          <w:p w14:paraId="135A68AA" w14:textId="77777777" w:rsidR="008B2CA8" w:rsidRPr="007E103C" w:rsidRDefault="008B2CA8" w:rsidP="008B2CA8">
            <w:pPr>
              <w:spacing w:after="180"/>
              <w:rPr>
                <w:spacing w:val="-4"/>
                <w:lang w:val="en-GB" w:eastAsia="en-US"/>
              </w:rPr>
            </w:pPr>
            <w:r w:rsidRPr="007E103C">
              <w:rPr>
                <w:spacing w:val="-4"/>
                <w:lang w:val="en-GB" w:eastAsia="en-US"/>
              </w:rPr>
              <w:t>The total value of exports of goods</w:t>
            </w:r>
            <w:r w:rsidRPr="007E103C">
              <w:rPr>
                <w:rStyle w:val="Znakapoznpodarou"/>
                <w:spacing w:val="-4"/>
                <w:lang w:val="en-GB" w:eastAsia="en-US"/>
              </w:rPr>
              <w:footnoteReference w:id="2"/>
            </w:r>
            <w:r w:rsidRPr="007E103C">
              <w:rPr>
                <w:spacing w:val="-4"/>
                <w:lang w:val="en-GB" w:eastAsia="en-US"/>
              </w:rPr>
              <w:t xml:space="preserve"> increased by 103.4 bn CZK (4.4%) in H1 2025 and reached 2,445.3 bn CZK. The recorded increase mostly resulted from the development in Q1 of the year, as exports increased by only 33.7 bn CZK (2.8%) to 1,220.2 bn CZK in Q2 alone. The different dynamics of exports in Q1 and Q2 were also influenced by efforts to stock up on the US market due to tariffs, which stimulated exporters in Europe in Q1</w:t>
            </w:r>
            <w:r w:rsidRPr="007E103C">
              <w:rPr>
                <w:rStyle w:val="Znakapoznpodarou"/>
                <w:spacing w:val="-4"/>
                <w:lang w:val="en-GB" w:eastAsia="en-US"/>
              </w:rPr>
              <w:footnoteReference w:id="3"/>
            </w:r>
            <w:r w:rsidRPr="007E103C">
              <w:rPr>
                <w:spacing w:val="-4"/>
                <w:lang w:val="en-GB" w:eastAsia="en-US"/>
              </w:rPr>
              <w:t>. Export prices did not have a significant impact on the year-on-year development of the value of exports and dragged down the quarter-on-quarter increase</w:t>
            </w:r>
            <w:r w:rsidRPr="007E103C">
              <w:rPr>
                <w:rStyle w:val="Znakapoznpodarou"/>
                <w:spacing w:val="-4"/>
                <w:lang w:val="en-GB" w:eastAsia="en-US"/>
              </w:rPr>
              <w:footnoteReference w:id="4"/>
            </w:r>
            <w:r w:rsidRPr="007E103C">
              <w:rPr>
                <w:spacing w:val="-4"/>
                <w:lang w:val="en-GB" w:eastAsia="en-US"/>
              </w:rPr>
              <w:t xml:space="preserve">. According to seasonally adjusted data, the value of exports increased by 0.1%, quarter-on-quarter, marking a significant weakening compared to the previous quarter.   </w:t>
            </w:r>
          </w:p>
        </w:tc>
      </w:tr>
      <w:tr w:rsidR="008B2CA8" w:rsidRPr="007E103C" w14:paraId="1384B8A4" w14:textId="77777777" w:rsidTr="008B2CA8">
        <w:trPr>
          <w:trHeight w:val="145"/>
        </w:trPr>
        <w:tc>
          <w:tcPr>
            <w:tcW w:w="1748" w:type="dxa"/>
          </w:tcPr>
          <w:p w14:paraId="2A8B5A4D" w14:textId="77777777" w:rsidR="008B2CA8" w:rsidRPr="007E103C" w:rsidRDefault="008B2CA8" w:rsidP="008B2CA8">
            <w:pPr>
              <w:pStyle w:val="Marginlie"/>
              <w:rPr>
                <w:lang w:val="en-GB" w:eastAsia="en-US"/>
              </w:rPr>
            </w:pPr>
            <w:r w:rsidRPr="007E103C">
              <w:rPr>
                <w:lang w:val="en-GB" w:eastAsia="en-US"/>
              </w:rPr>
              <w:t xml:space="preserve">Mainly exports to Germany moderated. </w:t>
            </w:r>
          </w:p>
        </w:tc>
        <w:tc>
          <w:tcPr>
            <w:tcW w:w="252" w:type="dxa"/>
          </w:tcPr>
          <w:p w14:paraId="3F13F54B" w14:textId="77777777" w:rsidR="008B2CA8" w:rsidRPr="007E103C" w:rsidRDefault="008B2CA8" w:rsidP="008B2CA8">
            <w:pPr>
              <w:pStyle w:val="Textpoznpodarou"/>
              <w:jc w:val="both"/>
              <w:rPr>
                <w:spacing w:val="-4"/>
                <w:lang w:val="en-GB" w:eastAsia="en-US"/>
              </w:rPr>
            </w:pPr>
          </w:p>
        </w:tc>
        <w:tc>
          <w:tcPr>
            <w:tcW w:w="7677" w:type="dxa"/>
            <w:gridSpan w:val="3"/>
          </w:tcPr>
          <w:p w14:paraId="7BB6165C" w14:textId="68848CE6" w:rsidR="008B2CA8" w:rsidRPr="007E103C" w:rsidRDefault="008B2CA8" w:rsidP="003A7DE6">
            <w:pPr>
              <w:spacing w:after="220"/>
              <w:rPr>
                <w:spacing w:val="-4"/>
                <w:lang w:val="en-GB" w:eastAsia="en-US"/>
              </w:rPr>
            </w:pPr>
            <w:r w:rsidRPr="007E103C">
              <w:rPr>
                <w:spacing w:val="-4"/>
                <w:lang w:val="en-GB" w:eastAsia="en-US"/>
              </w:rPr>
              <w:t>The percentage increase of exports to EU countries (+53.4 bn CZK, 2.9%) was significantly weaker in H1 than in the case of exports outside the EU (+50.0 bn, 10.1%). This was caused by the solid increases of exports to the United Kingdom (+9.5 bn CZK, 8.7%) and the United States (+8.5 bn, 13.3%), as well as a sharp increase of the value of exports to Ukraine (+8.3 bn, 45.1%). Exports to the EU grew mainly due to exports to Germany (+27.6 bn CZK, 3.9%), followed by the less usual Denmark</w:t>
            </w:r>
            <w:r w:rsidRPr="007E103C">
              <w:rPr>
                <w:rStyle w:val="Znakapoznpodarou"/>
                <w:spacing w:val="-4"/>
                <w:lang w:val="en-GB" w:eastAsia="en-US"/>
              </w:rPr>
              <w:footnoteReference w:id="5"/>
            </w:r>
            <w:r w:rsidRPr="007E103C">
              <w:rPr>
                <w:spacing w:val="-4"/>
                <w:lang w:val="en-GB" w:eastAsia="en-US"/>
              </w:rPr>
              <w:t xml:space="preserve"> (+6.5 billion, 39.6%) in H1. Imports to Spain (−3.8 bn CZK, −5.4%), Hungary (−3.5 bn, −4.8%) and the Netherlands (−3.5 bn, −4.7%) declined the most. Growth of exports to the EU (+18.8 bn CZK, 2.0%) and outside the EU (+14.8 billion, 5.8%) weakened in Q2 alone. Exports to Ukraine contributed the most to the total increase of exports (see Table 2), for which the heightened year-on-year dynamics has persisted since the end of 2024. Belgium, Poland, Austria and Denmark also made a solid contribution to the increase of exports. Year-on-year growth of exports to Germany weakened after a strong Q1. Stronger declines of exports were recorded in the Netherlands and China, and exports to Latvia also fell by more than 1 bn CZK.  </w:t>
            </w:r>
          </w:p>
        </w:tc>
      </w:tr>
      <w:tr w:rsidR="008B2CA8" w:rsidRPr="007E103C" w14:paraId="15B0B6BB" w14:textId="77777777" w:rsidTr="008B2CA8">
        <w:trPr>
          <w:trHeight w:val="170"/>
        </w:trPr>
        <w:tc>
          <w:tcPr>
            <w:tcW w:w="4811" w:type="dxa"/>
            <w:gridSpan w:val="3"/>
            <w:hideMark/>
          </w:tcPr>
          <w:p w14:paraId="65AC30BC" w14:textId="77777777" w:rsidR="008B2CA8" w:rsidRPr="007E103C" w:rsidRDefault="008B2CA8" w:rsidP="008B2CA8">
            <w:pPr>
              <w:spacing w:after="0"/>
              <w:rPr>
                <w:spacing w:val="-4"/>
                <w:lang w:val="en-GB" w:eastAsia="en-US"/>
              </w:rPr>
            </w:pPr>
            <w:r w:rsidRPr="007E103C">
              <w:rPr>
                <w:rFonts w:cs="Arial"/>
                <w:b/>
                <w:bCs/>
                <w:color w:val="000000"/>
                <w:sz w:val="18"/>
                <w:szCs w:val="18"/>
                <w:lang w:val="en-GB" w:eastAsia="en-US"/>
              </w:rPr>
              <w:t xml:space="preserve">Table 1 Sections of CPA classification with impact on goods exports in Q2 2025 </w:t>
            </w:r>
            <w:r w:rsidRPr="007E103C">
              <w:rPr>
                <w:rFonts w:cs="Arial"/>
                <w:bCs/>
                <w:color w:val="000000"/>
                <w:sz w:val="18"/>
                <w:szCs w:val="18"/>
                <w:lang w:val="en-GB" w:eastAsia="en-US"/>
              </w:rPr>
              <w:t>(year-on-year)</w:t>
            </w:r>
          </w:p>
        </w:tc>
        <w:tc>
          <w:tcPr>
            <w:tcW w:w="57" w:type="dxa"/>
          </w:tcPr>
          <w:p w14:paraId="19D68F3D" w14:textId="77777777" w:rsidR="008B2CA8" w:rsidRPr="007E103C" w:rsidRDefault="008B2CA8" w:rsidP="008B2CA8">
            <w:pPr>
              <w:spacing w:after="0"/>
              <w:rPr>
                <w:spacing w:val="-4"/>
                <w:lang w:val="en-GB" w:eastAsia="en-US"/>
              </w:rPr>
            </w:pPr>
          </w:p>
        </w:tc>
        <w:tc>
          <w:tcPr>
            <w:tcW w:w="4809" w:type="dxa"/>
            <w:hideMark/>
          </w:tcPr>
          <w:p w14:paraId="5741E310" w14:textId="77777777" w:rsidR="008B2CA8" w:rsidRPr="007E103C" w:rsidRDefault="008B2CA8" w:rsidP="008B2CA8">
            <w:pPr>
              <w:spacing w:after="0"/>
              <w:jc w:val="left"/>
              <w:rPr>
                <w:spacing w:val="-4"/>
                <w:sz w:val="18"/>
                <w:szCs w:val="18"/>
                <w:lang w:val="en-GB" w:eastAsia="en-US"/>
              </w:rPr>
            </w:pPr>
            <w:r w:rsidRPr="007E103C">
              <w:rPr>
                <w:rFonts w:cs="Arial"/>
                <w:b/>
                <w:bCs/>
                <w:color w:val="000000"/>
                <w:sz w:val="18"/>
                <w:szCs w:val="18"/>
                <w:lang w:val="en-GB" w:eastAsia="en-US"/>
              </w:rPr>
              <w:t xml:space="preserve">Table 2 Countries with largest impact on exports of goods in Q2 2025 </w:t>
            </w:r>
            <w:r w:rsidRPr="007E103C">
              <w:rPr>
                <w:rFonts w:cs="Arial"/>
                <w:bCs/>
                <w:color w:val="000000"/>
                <w:sz w:val="18"/>
                <w:szCs w:val="18"/>
                <w:lang w:val="en-GB" w:eastAsia="en-US"/>
              </w:rPr>
              <w:t>(year-on-year)</w:t>
            </w:r>
          </w:p>
        </w:tc>
      </w:tr>
      <w:tr w:rsidR="008B2CA8" w:rsidRPr="007E103C" w14:paraId="7CF62F57" w14:textId="77777777" w:rsidTr="008B2CA8">
        <w:trPr>
          <w:trHeight w:val="170"/>
        </w:trPr>
        <w:tc>
          <w:tcPr>
            <w:tcW w:w="4811" w:type="dxa"/>
            <w:gridSpan w:val="3"/>
            <w:hideMark/>
          </w:tcPr>
          <w:tbl>
            <w:tblPr>
              <w:tblW w:w="4817" w:type="dxa"/>
              <w:tblLayout w:type="fixed"/>
              <w:tblCellMar>
                <w:left w:w="70" w:type="dxa"/>
                <w:right w:w="70" w:type="dxa"/>
              </w:tblCellMar>
              <w:tblLook w:val="04A0" w:firstRow="1" w:lastRow="0" w:firstColumn="1" w:lastColumn="0" w:noHBand="0" w:noVBand="1"/>
            </w:tblPr>
            <w:tblGrid>
              <w:gridCol w:w="3417"/>
              <w:gridCol w:w="700"/>
              <w:gridCol w:w="700"/>
            </w:tblGrid>
            <w:tr w:rsidR="008B2CA8" w:rsidRPr="007E103C" w14:paraId="46177568" w14:textId="77777777" w:rsidTr="008B2CA8">
              <w:trPr>
                <w:trHeight w:val="255"/>
              </w:trPr>
              <w:tc>
                <w:tcPr>
                  <w:tcW w:w="3417" w:type="dxa"/>
                  <w:tcBorders>
                    <w:top w:val="nil"/>
                    <w:left w:val="nil"/>
                    <w:bottom w:val="nil"/>
                    <w:right w:val="nil"/>
                  </w:tcBorders>
                  <w:noWrap/>
                  <w:vAlign w:val="bottom"/>
                  <w:hideMark/>
                </w:tcPr>
                <w:p w14:paraId="375ED636" w14:textId="77777777" w:rsidR="008B2CA8" w:rsidRPr="007E103C" w:rsidRDefault="008B2CA8" w:rsidP="008B2CA8">
                  <w:pPr>
                    <w:spacing w:after="0" w:line="240" w:lineRule="auto"/>
                    <w:jc w:val="left"/>
                    <w:rPr>
                      <w:rFonts w:ascii="Times New Roman" w:hAnsi="Times New Roman"/>
                      <w:sz w:val="24"/>
                      <w:szCs w:val="20"/>
                      <w:lang w:val="en-GB"/>
                    </w:rPr>
                  </w:pPr>
                </w:p>
              </w:tc>
              <w:tc>
                <w:tcPr>
                  <w:tcW w:w="700" w:type="dxa"/>
                  <w:tcBorders>
                    <w:top w:val="nil"/>
                    <w:left w:val="nil"/>
                    <w:bottom w:val="nil"/>
                    <w:right w:val="nil"/>
                  </w:tcBorders>
                  <w:noWrap/>
                  <w:vAlign w:val="bottom"/>
                  <w:hideMark/>
                </w:tcPr>
                <w:p w14:paraId="4C4CAAE3"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bn CZK</w:t>
                  </w:r>
                </w:p>
              </w:tc>
              <w:tc>
                <w:tcPr>
                  <w:tcW w:w="700" w:type="dxa"/>
                  <w:tcBorders>
                    <w:top w:val="nil"/>
                    <w:left w:val="nil"/>
                    <w:bottom w:val="nil"/>
                    <w:right w:val="nil"/>
                  </w:tcBorders>
                  <w:noWrap/>
                  <w:vAlign w:val="bottom"/>
                  <w:hideMark/>
                </w:tcPr>
                <w:p w14:paraId="34449511"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w:t>
                  </w:r>
                </w:p>
              </w:tc>
            </w:tr>
            <w:tr w:rsidR="008B2CA8" w:rsidRPr="007E103C" w14:paraId="7DB6713F" w14:textId="77777777" w:rsidTr="008B2CA8">
              <w:trPr>
                <w:trHeight w:val="255"/>
              </w:trPr>
              <w:tc>
                <w:tcPr>
                  <w:tcW w:w="3417" w:type="dxa"/>
                  <w:tcBorders>
                    <w:top w:val="single" w:sz="4" w:space="0" w:color="auto"/>
                    <w:left w:val="nil"/>
                    <w:bottom w:val="nil"/>
                    <w:right w:val="nil"/>
                  </w:tcBorders>
                  <w:vAlign w:val="bottom"/>
                  <w:hideMark/>
                </w:tcPr>
                <w:p w14:paraId="0CFFF485"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Motor vehicles (excl. motorcycles) and parts</w:t>
                  </w:r>
                </w:p>
              </w:tc>
              <w:tc>
                <w:tcPr>
                  <w:tcW w:w="700" w:type="dxa"/>
                  <w:tcBorders>
                    <w:top w:val="single" w:sz="4" w:space="0" w:color="auto"/>
                    <w:left w:val="nil"/>
                    <w:bottom w:val="nil"/>
                    <w:right w:val="nil"/>
                  </w:tcBorders>
                  <w:noWrap/>
                  <w:vAlign w:val="bottom"/>
                  <w:hideMark/>
                </w:tcPr>
                <w:p w14:paraId="52544EB5"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+19.7</w:t>
                  </w:r>
                </w:p>
              </w:tc>
              <w:tc>
                <w:tcPr>
                  <w:tcW w:w="700" w:type="dxa"/>
                  <w:tcBorders>
                    <w:top w:val="single" w:sz="4" w:space="0" w:color="auto"/>
                    <w:left w:val="nil"/>
                    <w:bottom w:val="nil"/>
                    <w:right w:val="nil"/>
                  </w:tcBorders>
                  <w:noWrap/>
                  <w:vAlign w:val="bottom"/>
                  <w:hideMark/>
                </w:tcPr>
                <w:p w14:paraId="075C5F08"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+5.8</w:t>
                  </w:r>
                </w:p>
              </w:tc>
            </w:tr>
            <w:tr w:rsidR="008B2CA8" w:rsidRPr="007E103C" w14:paraId="5A25857D" w14:textId="77777777" w:rsidTr="008B2CA8">
              <w:trPr>
                <w:trHeight w:val="255"/>
              </w:trPr>
              <w:tc>
                <w:tcPr>
                  <w:tcW w:w="3417" w:type="dxa"/>
                  <w:tcBorders>
                    <w:top w:val="nil"/>
                    <w:left w:val="nil"/>
                    <w:bottom w:val="nil"/>
                    <w:right w:val="nil"/>
                  </w:tcBorders>
                  <w:vAlign w:val="bottom"/>
                  <w:hideMark/>
                </w:tcPr>
                <w:p w14:paraId="5B2378B1"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Computers, electron. and opt. appliances and equipment</w:t>
                  </w:r>
                </w:p>
              </w:tc>
              <w:tc>
                <w:tcPr>
                  <w:tcW w:w="700" w:type="dxa"/>
                  <w:tcBorders>
                    <w:top w:val="nil"/>
                    <w:left w:val="nil"/>
                    <w:bottom w:val="nil"/>
                    <w:right w:val="nil"/>
                  </w:tcBorders>
                  <w:noWrap/>
                  <w:vAlign w:val="bottom"/>
                  <w:hideMark/>
                </w:tcPr>
                <w:p w14:paraId="7ADA1369"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+5.6</w:t>
                  </w:r>
                </w:p>
              </w:tc>
              <w:tc>
                <w:tcPr>
                  <w:tcW w:w="700" w:type="dxa"/>
                  <w:tcBorders>
                    <w:top w:val="nil"/>
                    <w:left w:val="nil"/>
                    <w:bottom w:val="nil"/>
                    <w:right w:val="nil"/>
                  </w:tcBorders>
                  <w:noWrap/>
                  <w:vAlign w:val="bottom"/>
                  <w:hideMark/>
                </w:tcPr>
                <w:p w14:paraId="1B279FAE"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+5.4</w:t>
                  </w:r>
                </w:p>
              </w:tc>
            </w:tr>
            <w:tr w:rsidR="008B2CA8" w:rsidRPr="007E103C" w14:paraId="6E334A97" w14:textId="77777777" w:rsidTr="008B2CA8">
              <w:trPr>
                <w:trHeight w:val="255"/>
              </w:trPr>
              <w:tc>
                <w:tcPr>
                  <w:tcW w:w="3417" w:type="dxa"/>
                  <w:tcBorders>
                    <w:top w:val="nil"/>
                    <w:left w:val="nil"/>
                    <w:bottom w:val="nil"/>
                    <w:right w:val="nil"/>
                  </w:tcBorders>
                  <w:vAlign w:val="bottom"/>
                  <w:hideMark/>
                </w:tcPr>
                <w:p w14:paraId="6C7EFDD9"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Other transport equipment</w:t>
                  </w:r>
                </w:p>
              </w:tc>
              <w:tc>
                <w:tcPr>
                  <w:tcW w:w="700" w:type="dxa"/>
                  <w:tcBorders>
                    <w:top w:val="nil"/>
                    <w:left w:val="nil"/>
                    <w:bottom w:val="nil"/>
                    <w:right w:val="nil"/>
                  </w:tcBorders>
                  <w:noWrap/>
                  <w:vAlign w:val="bottom"/>
                  <w:hideMark/>
                </w:tcPr>
                <w:p w14:paraId="5EDD6E2F"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+4.3</w:t>
                  </w:r>
                </w:p>
              </w:tc>
              <w:tc>
                <w:tcPr>
                  <w:tcW w:w="700" w:type="dxa"/>
                  <w:tcBorders>
                    <w:top w:val="nil"/>
                    <w:left w:val="nil"/>
                    <w:bottom w:val="nil"/>
                    <w:right w:val="nil"/>
                  </w:tcBorders>
                  <w:noWrap/>
                  <w:vAlign w:val="bottom"/>
                  <w:hideMark/>
                </w:tcPr>
                <w:p w14:paraId="6FD8E0C1"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+20.2</w:t>
                  </w:r>
                </w:p>
              </w:tc>
            </w:tr>
            <w:tr w:rsidR="008B2CA8" w:rsidRPr="007E103C" w14:paraId="5C5D443B" w14:textId="77777777" w:rsidTr="008B2CA8">
              <w:trPr>
                <w:trHeight w:val="255"/>
              </w:trPr>
              <w:tc>
                <w:tcPr>
                  <w:tcW w:w="3417" w:type="dxa"/>
                  <w:tcBorders>
                    <w:top w:val="nil"/>
                    <w:left w:val="nil"/>
                    <w:bottom w:val="nil"/>
                    <w:right w:val="nil"/>
                  </w:tcBorders>
                  <w:vAlign w:val="bottom"/>
                  <w:hideMark/>
                </w:tcPr>
                <w:p w14:paraId="40C17413"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Food products</w:t>
                  </w:r>
                </w:p>
              </w:tc>
              <w:tc>
                <w:tcPr>
                  <w:tcW w:w="700" w:type="dxa"/>
                  <w:tcBorders>
                    <w:top w:val="nil"/>
                    <w:left w:val="nil"/>
                    <w:bottom w:val="nil"/>
                    <w:right w:val="nil"/>
                  </w:tcBorders>
                  <w:noWrap/>
                  <w:vAlign w:val="bottom"/>
                  <w:hideMark/>
                </w:tcPr>
                <w:p w14:paraId="588EC20F"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+3.5</w:t>
                  </w:r>
                </w:p>
              </w:tc>
              <w:tc>
                <w:tcPr>
                  <w:tcW w:w="700" w:type="dxa"/>
                  <w:tcBorders>
                    <w:top w:val="nil"/>
                    <w:left w:val="nil"/>
                    <w:bottom w:val="nil"/>
                    <w:right w:val="nil"/>
                  </w:tcBorders>
                  <w:noWrap/>
                  <w:vAlign w:val="bottom"/>
                  <w:hideMark/>
                </w:tcPr>
                <w:p w14:paraId="77B7AC63"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+7.6</w:t>
                  </w:r>
                </w:p>
              </w:tc>
            </w:tr>
            <w:tr w:rsidR="008B2CA8" w:rsidRPr="007E103C" w14:paraId="29E391D7" w14:textId="77777777" w:rsidTr="008B2CA8">
              <w:trPr>
                <w:trHeight w:val="255"/>
              </w:trPr>
              <w:tc>
                <w:tcPr>
                  <w:tcW w:w="3417" w:type="dxa"/>
                  <w:tcBorders>
                    <w:top w:val="nil"/>
                    <w:left w:val="nil"/>
                    <w:bottom w:val="nil"/>
                    <w:right w:val="nil"/>
                  </w:tcBorders>
                  <w:vAlign w:val="bottom"/>
                  <w:hideMark/>
                </w:tcPr>
                <w:p w14:paraId="010F656D"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Electric equipment</w:t>
                  </w:r>
                </w:p>
              </w:tc>
              <w:tc>
                <w:tcPr>
                  <w:tcW w:w="700" w:type="dxa"/>
                  <w:tcBorders>
                    <w:top w:val="nil"/>
                    <w:left w:val="nil"/>
                    <w:bottom w:val="nil"/>
                    <w:right w:val="nil"/>
                  </w:tcBorders>
                  <w:noWrap/>
                  <w:vAlign w:val="bottom"/>
                  <w:hideMark/>
                </w:tcPr>
                <w:p w14:paraId="46B2BFD8"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+2.5</w:t>
                  </w:r>
                </w:p>
              </w:tc>
              <w:tc>
                <w:tcPr>
                  <w:tcW w:w="700" w:type="dxa"/>
                  <w:tcBorders>
                    <w:top w:val="nil"/>
                    <w:left w:val="nil"/>
                    <w:bottom w:val="nil"/>
                    <w:right w:val="nil"/>
                  </w:tcBorders>
                  <w:noWrap/>
                  <w:vAlign w:val="bottom"/>
                  <w:hideMark/>
                </w:tcPr>
                <w:p w14:paraId="5276929E"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+2.1</w:t>
                  </w:r>
                </w:p>
              </w:tc>
            </w:tr>
            <w:tr w:rsidR="008B2CA8" w:rsidRPr="007E103C" w14:paraId="15B42774" w14:textId="77777777" w:rsidTr="008B2CA8">
              <w:trPr>
                <w:trHeight w:val="255"/>
              </w:trPr>
              <w:tc>
                <w:tcPr>
                  <w:tcW w:w="3417" w:type="dxa"/>
                  <w:tcBorders>
                    <w:top w:val="nil"/>
                    <w:left w:val="nil"/>
                    <w:bottom w:val="nil"/>
                    <w:right w:val="nil"/>
                  </w:tcBorders>
                  <w:vAlign w:val="bottom"/>
                  <w:hideMark/>
                </w:tcPr>
                <w:p w14:paraId="1A5EA1CD"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Coke and refined petroleum products</w:t>
                  </w:r>
                </w:p>
              </w:tc>
              <w:tc>
                <w:tcPr>
                  <w:tcW w:w="700" w:type="dxa"/>
                  <w:tcBorders>
                    <w:top w:val="nil"/>
                    <w:left w:val="nil"/>
                    <w:bottom w:val="nil"/>
                    <w:right w:val="nil"/>
                  </w:tcBorders>
                  <w:noWrap/>
                  <w:vAlign w:val="bottom"/>
                  <w:hideMark/>
                </w:tcPr>
                <w:p w14:paraId="3B71EDE5"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+2.2</w:t>
                  </w:r>
                </w:p>
              </w:tc>
              <w:tc>
                <w:tcPr>
                  <w:tcW w:w="700" w:type="dxa"/>
                  <w:tcBorders>
                    <w:top w:val="nil"/>
                    <w:left w:val="nil"/>
                    <w:bottom w:val="nil"/>
                    <w:right w:val="nil"/>
                  </w:tcBorders>
                  <w:noWrap/>
                  <w:vAlign w:val="bottom"/>
                  <w:hideMark/>
                </w:tcPr>
                <w:p w14:paraId="1CC03B6B"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+22.3</w:t>
                  </w:r>
                </w:p>
              </w:tc>
            </w:tr>
            <w:tr w:rsidR="008B2CA8" w:rsidRPr="007E103C" w14:paraId="6CD0C22B" w14:textId="77777777" w:rsidTr="008B2CA8">
              <w:trPr>
                <w:trHeight w:val="255"/>
              </w:trPr>
              <w:tc>
                <w:tcPr>
                  <w:tcW w:w="3417" w:type="dxa"/>
                  <w:tcBorders>
                    <w:top w:val="nil"/>
                    <w:left w:val="nil"/>
                    <w:bottom w:val="nil"/>
                    <w:right w:val="nil"/>
                  </w:tcBorders>
                  <w:vAlign w:val="bottom"/>
                  <w:hideMark/>
                </w:tcPr>
                <w:p w14:paraId="3B5A4DBB" w14:textId="706F125D" w:rsidR="008B2CA8" w:rsidRPr="007E103C" w:rsidRDefault="008B2CA8" w:rsidP="00B07993">
                  <w:pPr>
                    <w:spacing w:after="0" w:line="240" w:lineRule="auto"/>
                    <w:jc w:val="left"/>
                    <w:rPr>
                      <w:rFonts w:cs="Arial"/>
                      <w:color w:val="000000"/>
                      <w:sz w:val="16"/>
                      <w:szCs w:val="16"/>
                      <w:lang w:val="en-GB"/>
                    </w:rPr>
                  </w:pPr>
                  <w:r w:rsidRPr="007E103C">
                    <w:rPr>
                      <w:rFonts w:cs="Arial"/>
                      <w:color w:val="000000"/>
                      <w:sz w:val="16"/>
                      <w:szCs w:val="16"/>
                      <w:lang w:val="en-GB"/>
                    </w:rPr>
                    <w:t>Basic pharmaceutical products</w:t>
                  </w:r>
                </w:p>
              </w:tc>
              <w:tc>
                <w:tcPr>
                  <w:tcW w:w="700" w:type="dxa"/>
                  <w:tcBorders>
                    <w:top w:val="nil"/>
                    <w:left w:val="nil"/>
                    <w:bottom w:val="nil"/>
                    <w:right w:val="nil"/>
                  </w:tcBorders>
                  <w:noWrap/>
                  <w:vAlign w:val="bottom"/>
                  <w:hideMark/>
                </w:tcPr>
                <w:p w14:paraId="1264C871"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+1.6</w:t>
                  </w:r>
                </w:p>
              </w:tc>
              <w:tc>
                <w:tcPr>
                  <w:tcW w:w="700" w:type="dxa"/>
                  <w:tcBorders>
                    <w:top w:val="nil"/>
                    <w:left w:val="nil"/>
                    <w:bottom w:val="nil"/>
                    <w:right w:val="nil"/>
                  </w:tcBorders>
                  <w:noWrap/>
                  <w:vAlign w:val="bottom"/>
                  <w:hideMark/>
                </w:tcPr>
                <w:p w14:paraId="3F6A51CC"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+8.7</w:t>
                  </w:r>
                </w:p>
              </w:tc>
            </w:tr>
            <w:tr w:rsidR="008B2CA8" w:rsidRPr="007E103C" w14:paraId="5B8C45B1" w14:textId="77777777" w:rsidTr="008B2CA8">
              <w:trPr>
                <w:trHeight w:val="255"/>
              </w:trPr>
              <w:tc>
                <w:tcPr>
                  <w:tcW w:w="3417" w:type="dxa"/>
                  <w:tcBorders>
                    <w:top w:val="nil"/>
                    <w:left w:val="nil"/>
                    <w:bottom w:val="nil"/>
                    <w:right w:val="nil"/>
                  </w:tcBorders>
                  <w:vAlign w:val="bottom"/>
                  <w:hideMark/>
                </w:tcPr>
                <w:p w14:paraId="1FB5DB44"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Other manufacturing products</w:t>
                  </w:r>
                </w:p>
              </w:tc>
              <w:tc>
                <w:tcPr>
                  <w:tcW w:w="700" w:type="dxa"/>
                  <w:tcBorders>
                    <w:top w:val="nil"/>
                    <w:left w:val="nil"/>
                    <w:bottom w:val="nil"/>
                    <w:right w:val="nil"/>
                  </w:tcBorders>
                  <w:noWrap/>
                  <w:vAlign w:val="bottom"/>
                  <w:hideMark/>
                </w:tcPr>
                <w:p w14:paraId="1EA98C0F"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+1.4</w:t>
                  </w:r>
                </w:p>
              </w:tc>
              <w:tc>
                <w:tcPr>
                  <w:tcW w:w="700" w:type="dxa"/>
                  <w:tcBorders>
                    <w:top w:val="nil"/>
                    <w:left w:val="nil"/>
                    <w:bottom w:val="nil"/>
                    <w:right w:val="nil"/>
                  </w:tcBorders>
                  <w:noWrap/>
                  <w:vAlign w:val="bottom"/>
                  <w:hideMark/>
                </w:tcPr>
                <w:p w14:paraId="696ED272"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+5.1</w:t>
                  </w:r>
                </w:p>
              </w:tc>
            </w:tr>
            <w:tr w:rsidR="008B2CA8" w:rsidRPr="007E103C" w14:paraId="75C3DB04" w14:textId="77777777" w:rsidTr="008B2CA8">
              <w:trPr>
                <w:trHeight w:val="255"/>
              </w:trPr>
              <w:tc>
                <w:tcPr>
                  <w:tcW w:w="3417" w:type="dxa"/>
                  <w:tcBorders>
                    <w:top w:val="nil"/>
                    <w:left w:val="nil"/>
                    <w:bottom w:val="nil"/>
                    <w:right w:val="nil"/>
                  </w:tcBorders>
                  <w:vAlign w:val="bottom"/>
                  <w:hideMark/>
                </w:tcPr>
                <w:p w14:paraId="2F5A6ED2"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Electricity, gas, steam and air conditioning</w:t>
                  </w:r>
                </w:p>
              </w:tc>
              <w:tc>
                <w:tcPr>
                  <w:tcW w:w="700" w:type="dxa"/>
                  <w:tcBorders>
                    <w:top w:val="nil"/>
                    <w:left w:val="nil"/>
                    <w:bottom w:val="nil"/>
                    <w:right w:val="nil"/>
                  </w:tcBorders>
                  <w:noWrap/>
                  <w:vAlign w:val="bottom"/>
                  <w:hideMark/>
                </w:tcPr>
                <w:p w14:paraId="3B5A27C2"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+1.1</w:t>
                  </w:r>
                </w:p>
              </w:tc>
              <w:tc>
                <w:tcPr>
                  <w:tcW w:w="700" w:type="dxa"/>
                  <w:tcBorders>
                    <w:top w:val="nil"/>
                    <w:left w:val="nil"/>
                    <w:bottom w:val="nil"/>
                    <w:right w:val="nil"/>
                  </w:tcBorders>
                  <w:noWrap/>
                  <w:vAlign w:val="bottom"/>
                  <w:hideMark/>
                </w:tcPr>
                <w:p w14:paraId="0CB42388"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+14.0</w:t>
                  </w:r>
                </w:p>
              </w:tc>
            </w:tr>
            <w:tr w:rsidR="008B2CA8" w:rsidRPr="007E103C" w14:paraId="6462809D" w14:textId="77777777" w:rsidTr="008B2CA8">
              <w:trPr>
                <w:trHeight w:val="255"/>
              </w:trPr>
              <w:tc>
                <w:tcPr>
                  <w:tcW w:w="3417" w:type="dxa"/>
                  <w:tcBorders>
                    <w:top w:val="nil"/>
                    <w:left w:val="nil"/>
                    <w:bottom w:val="nil"/>
                    <w:right w:val="nil"/>
                  </w:tcBorders>
                  <w:vAlign w:val="bottom"/>
                  <w:hideMark/>
                </w:tcPr>
                <w:p w14:paraId="75B614A6"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Wood and wood products excl. furniture</w:t>
                  </w:r>
                </w:p>
              </w:tc>
              <w:tc>
                <w:tcPr>
                  <w:tcW w:w="700" w:type="dxa"/>
                  <w:tcBorders>
                    <w:top w:val="nil"/>
                    <w:left w:val="nil"/>
                    <w:bottom w:val="nil"/>
                    <w:right w:val="nil"/>
                  </w:tcBorders>
                  <w:noWrap/>
                  <w:vAlign w:val="bottom"/>
                  <w:hideMark/>
                </w:tcPr>
                <w:p w14:paraId="6543093B"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+0.7</w:t>
                  </w:r>
                </w:p>
              </w:tc>
              <w:tc>
                <w:tcPr>
                  <w:tcW w:w="700" w:type="dxa"/>
                  <w:tcBorders>
                    <w:top w:val="nil"/>
                    <w:left w:val="nil"/>
                    <w:bottom w:val="nil"/>
                    <w:right w:val="nil"/>
                  </w:tcBorders>
                  <w:noWrap/>
                  <w:vAlign w:val="bottom"/>
                  <w:hideMark/>
                </w:tcPr>
                <w:p w14:paraId="57C6100C"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+5.5</w:t>
                  </w:r>
                </w:p>
              </w:tc>
            </w:tr>
            <w:tr w:rsidR="008B2CA8" w:rsidRPr="007E103C" w14:paraId="737A439F" w14:textId="77777777" w:rsidTr="008B2CA8">
              <w:trPr>
                <w:trHeight w:val="255"/>
              </w:trPr>
              <w:tc>
                <w:tcPr>
                  <w:tcW w:w="3417" w:type="dxa"/>
                  <w:tcBorders>
                    <w:top w:val="nil"/>
                    <w:left w:val="nil"/>
                    <w:bottom w:val="nil"/>
                    <w:right w:val="nil"/>
                  </w:tcBorders>
                  <w:vAlign w:val="bottom"/>
                  <w:hideMark/>
                </w:tcPr>
                <w:p w14:paraId="31ECE239"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Clothing</w:t>
                  </w:r>
                </w:p>
              </w:tc>
              <w:tc>
                <w:tcPr>
                  <w:tcW w:w="700" w:type="dxa"/>
                  <w:tcBorders>
                    <w:top w:val="nil"/>
                    <w:left w:val="nil"/>
                    <w:bottom w:val="nil"/>
                    <w:right w:val="nil"/>
                  </w:tcBorders>
                  <w:noWrap/>
                  <w:vAlign w:val="bottom"/>
                  <w:hideMark/>
                </w:tcPr>
                <w:p w14:paraId="67AF80B8"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−0.9</w:t>
                  </w:r>
                </w:p>
              </w:tc>
              <w:tc>
                <w:tcPr>
                  <w:tcW w:w="700" w:type="dxa"/>
                  <w:tcBorders>
                    <w:top w:val="nil"/>
                    <w:left w:val="nil"/>
                    <w:bottom w:val="nil"/>
                    <w:right w:val="nil"/>
                  </w:tcBorders>
                  <w:noWrap/>
                  <w:vAlign w:val="bottom"/>
                  <w:hideMark/>
                </w:tcPr>
                <w:p w14:paraId="52E9EEC8"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−14.8</w:t>
                  </w:r>
                </w:p>
              </w:tc>
            </w:tr>
            <w:tr w:rsidR="008B2CA8" w:rsidRPr="007E103C" w14:paraId="1124524A" w14:textId="77777777" w:rsidTr="008B2CA8">
              <w:trPr>
                <w:trHeight w:val="255"/>
              </w:trPr>
              <w:tc>
                <w:tcPr>
                  <w:tcW w:w="3417" w:type="dxa"/>
                  <w:tcBorders>
                    <w:top w:val="nil"/>
                    <w:left w:val="nil"/>
                    <w:bottom w:val="nil"/>
                    <w:right w:val="nil"/>
                  </w:tcBorders>
                  <w:vAlign w:val="bottom"/>
                  <w:hideMark/>
                </w:tcPr>
                <w:p w14:paraId="34812A37"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 xml:space="preserve">Machinery and equipment, </w:t>
                  </w:r>
                  <w:proofErr w:type="spellStart"/>
                  <w:r w:rsidRPr="007E103C">
                    <w:rPr>
                      <w:rFonts w:cs="Arial"/>
                      <w:color w:val="000000"/>
                      <w:sz w:val="16"/>
                      <w:szCs w:val="16"/>
                      <w:lang w:val="en-GB"/>
                    </w:rPr>
                    <w:t>n.c.e</w:t>
                  </w:r>
                  <w:proofErr w:type="spellEnd"/>
                  <w:r w:rsidRPr="007E103C">
                    <w:rPr>
                      <w:rFonts w:cs="Arial"/>
                      <w:color w:val="000000"/>
                      <w:sz w:val="16"/>
                      <w:szCs w:val="16"/>
                      <w:lang w:val="en-GB"/>
                    </w:rPr>
                    <w:t>.</w:t>
                  </w:r>
                </w:p>
              </w:tc>
              <w:tc>
                <w:tcPr>
                  <w:tcW w:w="700" w:type="dxa"/>
                  <w:tcBorders>
                    <w:top w:val="nil"/>
                    <w:left w:val="nil"/>
                    <w:bottom w:val="nil"/>
                    <w:right w:val="nil"/>
                  </w:tcBorders>
                  <w:noWrap/>
                  <w:vAlign w:val="bottom"/>
                  <w:hideMark/>
                </w:tcPr>
                <w:p w14:paraId="5A3D58C5"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−0.9</w:t>
                  </w:r>
                </w:p>
              </w:tc>
              <w:tc>
                <w:tcPr>
                  <w:tcW w:w="700" w:type="dxa"/>
                  <w:tcBorders>
                    <w:top w:val="nil"/>
                    <w:left w:val="nil"/>
                    <w:bottom w:val="nil"/>
                    <w:right w:val="nil"/>
                  </w:tcBorders>
                  <w:noWrap/>
                  <w:vAlign w:val="bottom"/>
                  <w:hideMark/>
                </w:tcPr>
                <w:p w14:paraId="7E8360C5"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−0.7</w:t>
                  </w:r>
                </w:p>
              </w:tc>
            </w:tr>
            <w:tr w:rsidR="008B2CA8" w:rsidRPr="007E103C" w14:paraId="1F0F3BDF" w14:textId="77777777" w:rsidTr="008B2CA8">
              <w:trPr>
                <w:trHeight w:val="255"/>
              </w:trPr>
              <w:tc>
                <w:tcPr>
                  <w:tcW w:w="3417" w:type="dxa"/>
                  <w:tcBorders>
                    <w:top w:val="nil"/>
                    <w:left w:val="nil"/>
                    <w:bottom w:val="nil"/>
                    <w:right w:val="nil"/>
                  </w:tcBorders>
                  <w:vAlign w:val="bottom"/>
                  <w:hideMark/>
                </w:tcPr>
                <w:p w14:paraId="3975A9F0"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Collection, treatment, management and disposal of waste</w:t>
                  </w:r>
                </w:p>
              </w:tc>
              <w:tc>
                <w:tcPr>
                  <w:tcW w:w="700" w:type="dxa"/>
                  <w:tcBorders>
                    <w:top w:val="nil"/>
                    <w:left w:val="nil"/>
                    <w:bottom w:val="nil"/>
                    <w:right w:val="nil"/>
                  </w:tcBorders>
                  <w:noWrap/>
                  <w:vAlign w:val="bottom"/>
                  <w:hideMark/>
                </w:tcPr>
                <w:p w14:paraId="720539D8"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−1.2</w:t>
                  </w:r>
                </w:p>
              </w:tc>
              <w:tc>
                <w:tcPr>
                  <w:tcW w:w="700" w:type="dxa"/>
                  <w:tcBorders>
                    <w:top w:val="nil"/>
                    <w:left w:val="nil"/>
                    <w:bottom w:val="nil"/>
                    <w:right w:val="nil"/>
                  </w:tcBorders>
                  <w:noWrap/>
                  <w:vAlign w:val="bottom"/>
                  <w:hideMark/>
                </w:tcPr>
                <w:p w14:paraId="4D89159E"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−8.8</w:t>
                  </w:r>
                </w:p>
              </w:tc>
            </w:tr>
            <w:tr w:rsidR="008B2CA8" w:rsidRPr="007E103C" w14:paraId="3BA11E53" w14:textId="77777777" w:rsidTr="008B2CA8">
              <w:trPr>
                <w:trHeight w:val="255"/>
              </w:trPr>
              <w:tc>
                <w:tcPr>
                  <w:tcW w:w="3417" w:type="dxa"/>
                  <w:tcBorders>
                    <w:top w:val="nil"/>
                    <w:left w:val="nil"/>
                    <w:bottom w:val="nil"/>
                    <w:right w:val="nil"/>
                  </w:tcBorders>
                  <w:vAlign w:val="bottom"/>
                  <w:hideMark/>
                </w:tcPr>
                <w:p w14:paraId="26789BF3"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Product of agriculture and hunting</w:t>
                  </w:r>
                </w:p>
              </w:tc>
              <w:tc>
                <w:tcPr>
                  <w:tcW w:w="700" w:type="dxa"/>
                  <w:tcBorders>
                    <w:top w:val="nil"/>
                    <w:left w:val="nil"/>
                    <w:bottom w:val="nil"/>
                    <w:right w:val="nil"/>
                  </w:tcBorders>
                  <w:noWrap/>
                  <w:vAlign w:val="bottom"/>
                  <w:hideMark/>
                </w:tcPr>
                <w:p w14:paraId="7C038D1E"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−1.8</w:t>
                  </w:r>
                </w:p>
              </w:tc>
              <w:tc>
                <w:tcPr>
                  <w:tcW w:w="700" w:type="dxa"/>
                  <w:tcBorders>
                    <w:top w:val="nil"/>
                    <w:left w:val="nil"/>
                    <w:bottom w:val="nil"/>
                    <w:right w:val="nil"/>
                  </w:tcBorders>
                  <w:noWrap/>
                  <w:vAlign w:val="bottom"/>
                  <w:hideMark/>
                </w:tcPr>
                <w:p w14:paraId="2F49C1EB"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−12.0</w:t>
                  </w:r>
                </w:p>
              </w:tc>
            </w:tr>
            <w:tr w:rsidR="008B2CA8" w:rsidRPr="007E103C" w14:paraId="1D10688F" w14:textId="77777777" w:rsidTr="008B2CA8">
              <w:trPr>
                <w:trHeight w:val="255"/>
              </w:trPr>
              <w:tc>
                <w:tcPr>
                  <w:tcW w:w="3417" w:type="dxa"/>
                  <w:tcBorders>
                    <w:top w:val="nil"/>
                    <w:left w:val="nil"/>
                    <w:bottom w:val="nil"/>
                    <w:right w:val="nil"/>
                  </w:tcBorders>
                  <w:vAlign w:val="bottom"/>
                  <w:hideMark/>
                </w:tcPr>
                <w:p w14:paraId="2F153AB5" w14:textId="4FCE9D0A" w:rsidR="008B2CA8" w:rsidRPr="007E103C" w:rsidRDefault="008B2CA8" w:rsidP="009E6CE4">
                  <w:pPr>
                    <w:spacing w:after="0" w:line="240" w:lineRule="auto"/>
                    <w:jc w:val="left"/>
                    <w:rPr>
                      <w:rFonts w:cs="Arial"/>
                      <w:color w:val="000000"/>
                      <w:sz w:val="16"/>
                      <w:szCs w:val="16"/>
                      <w:lang w:val="en-GB"/>
                    </w:rPr>
                  </w:pPr>
                  <w:r w:rsidRPr="007E103C">
                    <w:rPr>
                      <w:rFonts w:cs="Arial"/>
                      <w:color w:val="000000"/>
                      <w:sz w:val="16"/>
                      <w:szCs w:val="16"/>
                      <w:lang w:val="en-GB"/>
                    </w:rPr>
                    <w:t>Chemical</w:t>
                  </w:r>
                  <w:r w:rsidR="009E6CE4" w:rsidRPr="007E103C">
                    <w:rPr>
                      <w:rFonts w:cs="Arial"/>
                      <w:color w:val="000000"/>
                      <w:sz w:val="16"/>
                      <w:szCs w:val="16"/>
                      <w:lang w:val="en-GB"/>
                    </w:rPr>
                    <w:t>s and chemical</w:t>
                  </w:r>
                  <w:r w:rsidRPr="007E103C">
                    <w:rPr>
                      <w:rFonts w:cs="Arial"/>
                      <w:color w:val="000000"/>
                      <w:sz w:val="16"/>
                      <w:szCs w:val="16"/>
                      <w:lang w:val="en-GB"/>
                    </w:rPr>
                    <w:t xml:space="preserve"> products</w:t>
                  </w:r>
                </w:p>
              </w:tc>
              <w:tc>
                <w:tcPr>
                  <w:tcW w:w="700" w:type="dxa"/>
                  <w:tcBorders>
                    <w:top w:val="nil"/>
                    <w:left w:val="nil"/>
                    <w:bottom w:val="nil"/>
                    <w:right w:val="nil"/>
                  </w:tcBorders>
                  <w:noWrap/>
                  <w:vAlign w:val="bottom"/>
                  <w:hideMark/>
                </w:tcPr>
                <w:p w14:paraId="5C7A0273"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−2.4</w:t>
                  </w:r>
                </w:p>
              </w:tc>
              <w:tc>
                <w:tcPr>
                  <w:tcW w:w="700" w:type="dxa"/>
                  <w:tcBorders>
                    <w:top w:val="nil"/>
                    <w:left w:val="nil"/>
                    <w:bottom w:val="nil"/>
                    <w:right w:val="nil"/>
                  </w:tcBorders>
                  <w:noWrap/>
                  <w:vAlign w:val="bottom"/>
                  <w:hideMark/>
                </w:tcPr>
                <w:p w14:paraId="4FBCE7AB"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−4.2</w:t>
                  </w:r>
                </w:p>
              </w:tc>
            </w:tr>
          </w:tbl>
          <w:p w14:paraId="1987FCD6" w14:textId="77777777" w:rsidR="008B2CA8" w:rsidRPr="007E103C" w:rsidRDefault="008B2CA8" w:rsidP="008B2CA8">
            <w:pPr>
              <w:spacing w:after="0"/>
              <w:rPr>
                <w:spacing w:val="-4"/>
                <w:lang w:val="en-GB" w:eastAsia="en-US"/>
              </w:rPr>
            </w:pPr>
          </w:p>
        </w:tc>
        <w:tc>
          <w:tcPr>
            <w:tcW w:w="57" w:type="dxa"/>
          </w:tcPr>
          <w:p w14:paraId="10FB4AC7" w14:textId="77777777" w:rsidR="008B2CA8" w:rsidRPr="007E103C" w:rsidRDefault="008B2CA8" w:rsidP="008B2CA8">
            <w:pPr>
              <w:spacing w:after="0"/>
              <w:rPr>
                <w:spacing w:val="-4"/>
                <w:lang w:val="en-GB" w:eastAsia="en-US"/>
              </w:rPr>
            </w:pPr>
          </w:p>
        </w:tc>
        <w:tc>
          <w:tcPr>
            <w:tcW w:w="4809" w:type="dxa"/>
            <w:hideMark/>
          </w:tcPr>
          <w:tbl>
            <w:tblPr>
              <w:tblW w:w="4762" w:type="dxa"/>
              <w:tblLayout w:type="fixed"/>
              <w:tblCellMar>
                <w:left w:w="70" w:type="dxa"/>
                <w:right w:w="70" w:type="dxa"/>
              </w:tblCellMar>
              <w:tblLook w:val="04A0" w:firstRow="1" w:lastRow="0" w:firstColumn="1" w:lastColumn="0" w:noHBand="0" w:noVBand="1"/>
            </w:tblPr>
            <w:tblGrid>
              <w:gridCol w:w="3362"/>
              <w:gridCol w:w="700"/>
              <w:gridCol w:w="700"/>
            </w:tblGrid>
            <w:tr w:rsidR="008B2CA8" w:rsidRPr="007E103C" w14:paraId="6426CBAE" w14:textId="77777777" w:rsidTr="008B2CA8">
              <w:trPr>
                <w:trHeight w:val="255"/>
              </w:trPr>
              <w:tc>
                <w:tcPr>
                  <w:tcW w:w="3362" w:type="dxa"/>
                  <w:tcBorders>
                    <w:top w:val="nil"/>
                    <w:left w:val="nil"/>
                    <w:bottom w:val="nil"/>
                    <w:right w:val="nil"/>
                  </w:tcBorders>
                  <w:noWrap/>
                  <w:vAlign w:val="bottom"/>
                  <w:hideMark/>
                </w:tcPr>
                <w:p w14:paraId="13706E24" w14:textId="77777777" w:rsidR="008B2CA8" w:rsidRPr="007E103C" w:rsidRDefault="008B2CA8" w:rsidP="008B2CA8">
                  <w:pPr>
                    <w:spacing w:after="0" w:line="240" w:lineRule="auto"/>
                    <w:jc w:val="left"/>
                    <w:rPr>
                      <w:rFonts w:ascii="Times New Roman" w:hAnsi="Times New Roman"/>
                      <w:sz w:val="24"/>
                      <w:szCs w:val="20"/>
                      <w:lang w:val="en-GB"/>
                    </w:rPr>
                  </w:pPr>
                </w:p>
              </w:tc>
              <w:tc>
                <w:tcPr>
                  <w:tcW w:w="700" w:type="dxa"/>
                  <w:tcBorders>
                    <w:top w:val="nil"/>
                    <w:left w:val="nil"/>
                    <w:bottom w:val="nil"/>
                    <w:right w:val="nil"/>
                  </w:tcBorders>
                  <w:noWrap/>
                  <w:vAlign w:val="bottom"/>
                  <w:hideMark/>
                </w:tcPr>
                <w:p w14:paraId="5B3E173F"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bn CZK</w:t>
                  </w:r>
                </w:p>
              </w:tc>
              <w:tc>
                <w:tcPr>
                  <w:tcW w:w="700" w:type="dxa"/>
                  <w:tcBorders>
                    <w:top w:val="nil"/>
                    <w:left w:val="nil"/>
                    <w:bottom w:val="nil"/>
                    <w:right w:val="nil"/>
                  </w:tcBorders>
                  <w:noWrap/>
                  <w:vAlign w:val="bottom"/>
                  <w:hideMark/>
                </w:tcPr>
                <w:p w14:paraId="780EA041"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w:t>
                  </w:r>
                </w:p>
              </w:tc>
            </w:tr>
            <w:tr w:rsidR="008B2CA8" w:rsidRPr="007E103C" w14:paraId="012F3650" w14:textId="77777777" w:rsidTr="008B2CA8">
              <w:trPr>
                <w:trHeight w:val="255"/>
              </w:trPr>
              <w:tc>
                <w:tcPr>
                  <w:tcW w:w="3362" w:type="dxa"/>
                  <w:tcBorders>
                    <w:top w:val="single" w:sz="4" w:space="0" w:color="auto"/>
                    <w:left w:val="nil"/>
                    <w:bottom w:val="nil"/>
                    <w:right w:val="nil"/>
                  </w:tcBorders>
                  <w:noWrap/>
                  <w:vAlign w:val="bottom"/>
                  <w:hideMark/>
                </w:tcPr>
                <w:p w14:paraId="3F60CBF8"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Ukraine</w:t>
                  </w:r>
                </w:p>
              </w:tc>
              <w:tc>
                <w:tcPr>
                  <w:tcW w:w="700" w:type="dxa"/>
                  <w:tcBorders>
                    <w:top w:val="single" w:sz="4" w:space="0" w:color="auto"/>
                    <w:left w:val="nil"/>
                    <w:bottom w:val="nil"/>
                    <w:right w:val="nil"/>
                  </w:tcBorders>
                  <w:noWrap/>
                  <w:vAlign w:val="bottom"/>
                  <w:hideMark/>
                </w:tcPr>
                <w:p w14:paraId="7F7DC94C"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+4.0</w:t>
                  </w:r>
                </w:p>
              </w:tc>
              <w:tc>
                <w:tcPr>
                  <w:tcW w:w="700" w:type="dxa"/>
                  <w:tcBorders>
                    <w:top w:val="single" w:sz="4" w:space="0" w:color="auto"/>
                    <w:left w:val="nil"/>
                    <w:bottom w:val="nil"/>
                    <w:right w:val="nil"/>
                  </w:tcBorders>
                  <w:noWrap/>
                  <w:vAlign w:val="bottom"/>
                  <w:hideMark/>
                </w:tcPr>
                <w:p w14:paraId="17A07182"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+40.3</w:t>
                  </w:r>
                </w:p>
              </w:tc>
            </w:tr>
            <w:tr w:rsidR="008B2CA8" w:rsidRPr="007E103C" w14:paraId="6DE6223B" w14:textId="77777777" w:rsidTr="008B2CA8">
              <w:trPr>
                <w:trHeight w:val="255"/>
              </w:trPr>
              <w:tc>
                <w:tcPr>
                  <w:tcW w:w="3362" w:type="dxa"/>
                  <w:tcBorders>
                    <w:top w:val="nil"/>
                    <w:left w:val="nil"/>
                    <w:bottom w:val="nil"/>
                    <w:right w:val="nil"/>
                  </w:tcBorders>
                  <w:noWrap/>
                  <w:vAlign w:val="bottom"/>
                  <w:hideMark/>
                </w:tcPr>
                <w:p w14:paraId="0B434361"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Belgium</w:t>
                  </w:r>
                </w:p>
              </w:tc>
              <w:tc>
                <w:tcPr>
                  <w:tcW w:w="700" w:type="dxa"/>
                  <w:tcBorders>
                    <w:top w:val="nil"/>
                    <w:left w:val="nil"/>
                    <w:bottom w:val="nil"/>
                    <w:right w:val="nil"/>
                  </w:tcBorders>
                  <w:noWrap/>
                  <w:vAlign w:val="bottom"/>
                  <w:hideMark/>
                </w:tcPr>
                <w:p w14:paraId="2E7C8914"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+3.8</w:t>
                  </w:r>
                </w:p>
              </w:tc>
              <w:tc>
                <w:tcPr>
                  <w:tcW w:w="700" w:type="dxa"/>
                  <w:tcBorders>
                    <w:top w:val="nil"/>
                    <w:left w:val="nil"/>
                    <w:bottom w:val="nil"/>
                    <w:right w:val="nil"/>
                  </w:tcBorders>
                  <w:noWrap/>
                  <w:vAlign w:val="bottom"/>
                  <w:hideMark/>
                </w:tcPr>
                <w:p w14:paraId="7AA38304"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+15.9</w:t>
                  </w:r>
                </w:p>
              </w:tc>
            </w:tr>
            <w:tr w:rsidR="008B2CA8" w:rsidRPr="007E103C" w14:paraId="571C8F84" w14:textId="77777777" w:rsidTr="008B2CA8">
              <w:trPr>
                <w:trHeight w:val="255"/>
              </w:trPr>
              <w:tc>
                <w:tcPr>
                  <w:tcW w:w="3362" w:type="dxa"/>
                  <w:tcBorders>
                    <w:top w:val="nil"/>
                    <w:left w:val="nil"/>
                    <w:bottom w:val="nil"/>
                    <w:right w:val="nil"/>
                  </w:tcBorders>
                  <w:noWrap/>
                  <w:vAlign w:val="bottom"/>
                  <w:hideMark/>
                </w:tcPr>
                <w:p w14:paraId="30BC17B6"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Poland</w:t>
                  </w:r>
                </w:p>
              </w:tc>
              <w:tc>
                <w:tcPr>
                  <w:tcW w:w="700" w:type="dxa"/>
                  <w:tcBorders>
                    <w:top w:val="nil"/>
                    <w:left w:val="nil"/>
                    <w:bottom w:val="nil"/>
                    <w:right w:val="nil"/>
                  </w:tcBorders>
                  <w:noWrap/>
                  <w:vAlign w:val="bottom"/>
                  <w:hideMark/>
                </w:tcPr>
                <w:p w14:paraId="3AE678B6"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+3.4</w:t>
                  </w:r>
                </w:p>
              </w:tc>
              <w:tc>
                <w:tcPr>
                  <w:tcW w:w="700" w:type="dxa"/>
                  <w:tcBorders>
                    <w:top w:val="nil"/>
                    <w:left w:val="nil"/>
                    <w:bottom w:val="nil"/>
                    <w:right w:val="nil"/>
                  </w:tcBorders>
                  <w:noWrap/>
                  <w:vAlign w:val="bottom"/>
                  <w:hideMark/>
                </w:tcPr>
                <w:p w14:paraId="36B19E8E"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+4.0</w:t>
                  </w:r>
                </w:p>
              </w:tc>
            </w:tr>
            <w:tr w:rsidR="008B2CA8" w:rsidRPr="007E103C" w14:paraId="6119757B" w14:textId="77777777" w:rsidTr="008B2CA8">
              <w:trPr>
                <w:trHeight w:val="255"/>
              </w:trPr>
              <w:tc>
                <w:tcPr>
                  <w:tcW w:w="3362" w:type="dxa"/>
                  <w:tcBorders>
                    <w:top w:val="nil"/>
                    <w:left w:val="nil"/>
                    <w:bottom w:val="nil"/>
                    <w:right w:val="nil"/>
                  </w:tcBorders>
                  <w:noWrap/>
                  <w:vAlign w:val="bottom"/>
                  <w:hideMark/>
                </w:tcPr>
                <w:p w14:paraId="7DBAA44D"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Austria</w:t>
                  </w:r>
                </w:p>
              </w:tc>
              <w:tc>
                <w:tcPr>
                  <w:tcW w:w="700" w:type="dxa"/>
                  <w:tcBorders>
                    <w:top w:val="nil"/>
                    <w:left w:val="nil"/>
                    <w:bottom w:val="nil"/>
                    <w:right w:val="nil"/>
                  </w:tcBorders>
                  <w:noWrap/>
                  <w:vAlign w:val="bottom"/>
                  <w:hideMark/>
                </w:tcPr>
                <w:p w14:paraId="7C3E06A5"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+3.4</w:t>
                  </w:r>
                </w:p>
              </w:tc>
              <w:tc>
                <w:tcPr>
                  <w:tcW w:w="700" w:type="dxa"/>
                  <w:tcBorders>
                    <w:top w:val="nil"/>
                    <w:left w:val="nil"/>
                    <w:bottom w:val="nil"/>
                    <w:right w:val="nil"/>
                  </w:tcBorders>
                  <w:noWrap/>
                  <w:vAlign w:val="bottom"/>
                  <w:hideMark/>
                </w:tcPr>
                <w:p w14:paraId="7291DEB3"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+7.6</w:t>
                  </w:r>
                </w:p>
              </w:tc>
            </w:tr>
            <w:tr w:rsidR="008B2CA8" w:rsidRPr="007E103C" w14:paraId="2AA944B2" w14:textId="77777777" w:rsidTr="008B2CA8">
              <w:trPr>
                <w:trHeight w:val="255"/>
              </w:trPr>
              <w:tc>
                <w:tcPr>
                  <w:tcW w:w="3362" w:type="dxa"/>
                  <w:tcBorders>
                    <w:top w:val="nil"/>
                    <w:left w:val="nil"/>
                    <w:bottom w:val="nil"/>
                    <w:right w:val="nil"/>
                  </w:tcBorders>
                  <w:noWrap/>
                  <w:vAlign w:val="bottom"/>
                  <w:hideMark/>
                </w:tcPr>
                <w:p w14:paraId="28BCE4A6"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Denmark</w:t>
                  </w:r>
                </w:p>
              </w:tc>
              <w:tc>
                <w:tcPr>
                  <w:tcW w:w="700" w:type="dxa"/>
                  <w:tcBorders>
                    <w:top w:val="nil"/>
                    <w:left w:val="nil"/>
                    <w:bottom w:val="nil"/>
                    <w:right w:val="nil"/>
                  </w:tcBorders>
                  <w:noWrap/>
                  <w:vAlign w:val="bottom"/>
                  <w:hideMark/>
                </w:tcPr>
                <w:p w14:paraId="719C7C88"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+3.2</w:t>
                  </w:r>
                </w:p>
              </w:tc>
              <w:tc>
                <w:tcPr>
                  <w:tcW w:w="700" w:type="dxa"/>
                  <w:tcBorders>
                    <w:top w:val="nil"/>
                    <w:left w:val="nil"/>
                    <w:bottom w:val="nil"/>
                    <w:right w:val="nil"/>
                  </w:tcBorders>
                  <w:noWrap/>
                  <w:vAlign w:val="bottom"/>
                  <w:hideMark/>
                </w:tcPr>
                <w:p w14:paraId="1B627182"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+34.7</w:t>
                  </w:r>
                </w:p>
              </w:tc>
            </w:tr>
            <w:tr w:rsidR="008B2CA8" w:rsidRPr="007E103C" w14:paraId="57686CEE" w14:textId="77777777" w:rsidTr="008B2CA8">
              <w:trPr>
                <w:trHeight w:val="255"/>
              </w:trPr>
              <w:tc>
                <w:tcPr>
                  <w:tcW w:w="3362" w:type="dxa"/>
                  <w:tcBorders>
                    <w:top w:val="nil"/>
                    <w:left w:val="nil"/>
                    <w:bottom w:val="nil"/>
                    <w:right w:val="nil"/>
                  </w:tcBorders>
                  <w:noWrap/>
                  <w:vAlign w:val="bottom"/>
                  <w:hideMark/>
                </w:tcPr>
                <w:p w14:paraId="3ABD2A8B"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Germany</w:t>
                  </w:r>
                </w:p>
              </w:tc>
              <w:tc>
                <w:tcPr>
                  <w:tcW w:w="700" w:type="dxa"/>
                  <w:tcBorders>
                    <w:top w:val="nil"/>
                    <w:left w:val="nil"/>
                    <w:bottom w:val="nil"/>
                    <w:right w:val="nil"/>
                  </w:tcBorders>
                  <w:noWrap/>
                  <w:vAlign w:val="bottom"/>
                  <w:hideMark/>
                </w:tcPr>
                <w:p w14:paraId="0615F416"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+3.0</w:t>
                  </w:r>
                </w:p>
              </w:tc>
              <w:tc>
                <w:tcPr>
                  <w:tcW w:w="700" w:type="dxa"/>
                  <w:tcBorders>
                    <w:top w:val="nil"/>
                    <w:left w:val="nil"/>
                    <w:bottom w:val="nil"/>
                    <w:right w:val="nil"/>
                  </w:tcBorders>
                  <w:noWrap/>
                  <w:vAlign w:val="bottom"/>
                  <w:hideMark/>
                </w:tcPr>
                <w:p w14:paraId="13419E73"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+0.8</w:t>
                  </w:r>
                </w:p>
              </w:tc>
            </w:tr>
            <w:tr w:rsidR="008B2CA8" w:rsidRPr="007E103C" w14:paraId="05F8E85F" w14:textId="77777777" w:rsidTr="008B2CA8">
              <w:trPr>
                <w:trHeight w:val="255"/>
              </w:trPr>
              <w:tc>
                <w:tcPr>
                  <w:tcW w:w="3362" w:type="dxa"/>
                  <w:tcBorders>
                    <w:top w:val="nil"/>
                    <w:left w:val="nil"/>
                    <w:bottom w:val="nil"/>
                    <w:right w:val="nil"/>
                  </w:tcBorders>
                  <w:noWrap/>
                  <w:vAlign w:val="bottom"/>
                  <w:hideMark/>
                </w:tcPr>
                <w:p w14:paraId="5C27C76B"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Italy</w:t>
                  </w:r>
                </w:p>
              </w:tc>
              <w:tc>
                <w:tcPr>
                  <w:tcW w:w="700" w:type="dxa"/>
                  <w:tcBorders>
                    <w:top w:val="nil"/>
                    <w:left w:val="nil"/>
                    <w:bottom w:val="nil"/>
                    <w:right w:val="nil"/>
                  </w:tcBorders>
                  <w:noWrap/>
                  <w:vAlign w:val="bottom"/>
                  <w:hideMark/>
                </w:tcPr>
                <w:p w14:paraId="7D1A2F5B"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+2.8</w:t>
                  </w:r>
                </w:p>
              </w:tc>
              <w:tc>
                <w:tcPr>
                  <w:tcW w:w="700" w:type="dxa"/>
                  <w:tcBorders>
                    <w:top w:val="nil"/>
                    <w:left w:val="nil"/>
                    <w:bottom w:val="nil"/>
                    <w:right w:val="nil"/>
                  </w:tcBorders>
                  <w:noWrap/>
                  <w:vAlign w:val="bottom"/>
                  <w:hideMark/>
                </w:tcPr>
                <w:p w14:paraId="7097ADF1"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+5.9</w:t>
                  </w:r>
                </w:p>
              </w:tc>
            </w:tr>
            <w:tr w:rsidR="008B2CA8" w:rsidRPr="007E103C" w14:paraId="072832B3" w14:textId="77777777" w:rsidTr="008B2CA8">
              <w:trPr>
                <w:trHeight w:val="255"/>
              </w:trPr>
              <w:tc>
                <w:tcPr>
                  <w:tcW w:w="3362" w:type="dxa"/>
                  <w:tcBorders>
                    <w:top w:val="nil"/>
                    <w:left w:val="nil"/>
                    <w:bottom w:val="nil"/>
                    <w:right w:val="nil"/>
                  </w:tcBorders>
                  <w:noWrap/>
                  <w:vAlign w:val="bottom"/>
                  <w:hideMark/>
                </w:tcPr>
                <w:p w14:paraId="38F734B1"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United States of America</w:t>
                  </w:r>
                </w:p>
              </w:tc>
              <w:tc>
                <w:tcPr>
                  <w:tcW w:w="700" w:type="dxa"/>
                  <w:tcBorders>
                    <w:top w:val="nil"/>
                    <w:left w:val="nil"/>
                    <w:bottom w:val="nil"/>
                    <w:right w:val="nil"/>
                  </w:tcBorders>
                  <w:noWrap/>
                  <w:vAlign w:val="bottom"/>
                  <w:hideMark/>
                </w:tcPr>
                <w:p w14:paraId="7EAD3C45"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+2.3</w:t>
                  </w:r>
                </w:p>
              </w:tc>
              <w:tc>
                <w:tcPr>
                  <w:tcW w:w="700" w:type="dxa"/>
                  <w:tcBorders>
                    <w:top w:val="nil"/>
                    <w:left w:val="nil"/>
                    <w:bottom w:val="nil"/>
                    <w:right w:val="nil"/>
                  </w:tcBorders>
                  <w:noWrap/>
                  <w:vAlign w:val="bottom"/>
                  <w:hideMark/>
                </w:tcPr>
                <w:p w14:paraId="56EE1854"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+6.7</w:t>
                  </w:r>
                </w:p>
              </w:tc>
            </w:tr>
            <w:tr w:rsidR="008B2CA8" w:rsidRPr="007E103C" w14:paraId="73EDF70F" w14:textId="77777777" w:rsidTr="008B2CA8">
              <w:trPr>
                <w:trHeight w:val="255"/>
              </w:trPr>
              <w:tc>
                <w:tcPr>
                  <w:tcW w:w="3362" w:type="dxa"/>
                  <w:tcBorders>
                    <w:top w:val="nil"/>
                    <w:left w:val="nil"/>
                    <w:bottom w:val="nil"/>
                    <w:right w:val="nil"/>
                  </w:tcBorders>
                  <w:noWrap/>
                  <w:vAlign w:val="bottom"/>
                  <w:hideMark/>
                </w:tcPr>
                <w:p w14:paraId="2C2DAAE3"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Turkey</w:t>
                  </w:r>
                </w:p>
              </w:tc>
              <w:tc>
                <w:tcPr>
                  <w:tcW w:w="700" w:type="dxa"/>
                  <w:tcBorders>
                    <w:top w:val="nil"/>
                    <w:left w:val="nil"/>
                    <w:bottom w:val="nil"/>
                    <w:right w:val="nil"/>
                  </w:tcBorders>
                  <w:noWrap/>
                  <w:vAlign w:val="bottom"/>
                  <w:hideMark/>
                </w:tcPr>
                <w:p w14:paraId="6F01803B"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+1.9</w:t>
                  </w:r>
                </w:p>
              </w:tc>
              <w:tc>
                <w:tcPr>
                  <w:tcW w:w="700" w:type="dxa"/>
                  <w:tcBorders>
                    <w:top w:val="nil"/>
                    <w:left w:val="nil"/>
                    <w:bottom w:val="nil"/>
                    <w:right w:val="nil"/>
                  </w:tcBorders>
                  <w:noWrap/>
                  <w:vAlign w:val="bottom"/>
                  <w:hideMark/>
                </w:tcPr>
                <w:p w14:paraId="27A1595C"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+9.8</w:t>
                  </w:r>
                </w:p>
              </w:tc>
            </w:tr>
            <w:tr w:rsidR="008B2CA8" w:rsidRPr="007E103C" w14:paraId="68DE5046" w14:textId="77777777" w:rsidTr="008B2CA8">
              <w:trPr>
                <w:trHeight w:val="255"/>
              </w:trPr>
              <w:tc>
                <w:tcPr>
                  <w:tcW w:w="3362" w:type="dxa"/>
                  <w:tcBorders>
                    <w:top w:val="nil"/>
                    <w:left w:val="nil"/>
                    <w:bottom w:val="nil"/>
                    <w:right w:val="nil"/>
                  </w:tcBorders>
                  <w:noWrap/>
                  <w:vAlign w:val="bottom"/>
                  <w:hideMark/>
                </w:tcPr>
                <w:p w14:paraId="0B2BF616"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United Arab Emirates</w:t>
                  </w:r>
                </w:p>
              </w:tc>
              <w:tc>
                <w:tcPr>
                  <w:tcW w:w="700" w:type="dxa"/>
                  <w:tcBorders>
                    <w:top w:val="nil"/>
                    <w:left w:val="nil"/>
                    <w:bottom w:val="nil"/>
                    <w:right w:val="nil"/>
                  </w:tcBorders>
                  <w:noWrap/>
                  <w:vAlign w:val="bottom"/>
                  <w:hideMark/>
                </w:tcPr>
                <w:p w14:paraId="308C5261"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+1.7</w:t>
                  </w:r>
                </w:p>
              </w:tc>
              <w:tc>
                <w:tcPr>
                  <w:tcW w:w="700" w:type="dxa"/>
                  <w:tcBorders>
                    <w:top w:val="nil"/>
                    <w:left w:val="nil"/>
                    <w:bottom w:val="nil"/>
                    <w:right w:val="nil"/>
                  </w:tcBorders>
                  <w:noWrap/>
                  <w:vAlign w:val="bottom"/>
                  <w:hideMark/>
                </w:tcPr>
                <w:p w14:paraId="12412969"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+35.7</w:t>
                  </w:r>
                </w:p>
              </w:tc>
            </w:tr>
            <w:tr w:rsidR="008B2CA8" w:rsidRPr="007E103C" w14:paraId="7CD2921A" w14:textId="77777777" w:rsidTr="008B2CA8">
              <w:trPr>
                <w:trHeight w:val="255"/>
              </w:trPr>
              <w:tc>
                <w:tcPr>
                  <w:tcW w:w="3362" w:type="dxa"/>
                  <w:tcBorders>
                    <w:top w:val="nil"/>
                    <w:left w:val="nil"/>
                    <w:bottom w:val="nil"/>
                    <w:right w:val="nil"/>
                  </w:tcBorders>
                  <w:noWrap/>
                  <w:vAlign w:val="bottom"/>
                  <w:hideMark/>
                </w:tcPr>
                <w:p w14:paraId="33BA70EF"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Portugal</w:t>
                  </w:r>
                </w:p>
              </w:tc>
              <w:tc>
                <w:tcPr>
                  <w:tcW w:w="700" w:type="dxa"/>
                  <w:tcBorders>
                    <w:top w:val="nil"/>
                    <w:left w:val="nil"/>
                    <w:bottom w:val="nil"/>
                    <w:right w:val="nil"/>
                  </w:tcBorders>
                  <w:noWrap/>
                  <w:vAlign w:val="bottom"/>
                  <w:hideMark/>
                </w:tcPr>
                <w:p w14:paraId="128B630F"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+1.6</w:t>
                  </w:r>
                </w:p>
              </w:tc>
              <w:tc>
                <w:tcPr>
                  <w:tcW w:w="700" w:type="dxa"/>
                  <w:tcBorders>
                    <w:top w:val="nil"/>
                    <w:left w:val="nil"/>
                    <w:bottom w:val="nil"/>
                    <w:right w:val="nil"/>
                  </w:tcBorders>
                  <w:noWrap/>
                  <w:vAlign w:val="bottom"/>
                  <w:hideMark/>
                </w:tcPr>
                <w:p w14:paraId="0863EEF3"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+38.4</w:t>
                  </w:r>
                </w:p>
              </w:tc>
            </w:tr>
            <w:tr w:rsidR="008B2CA8" w:rsidRPr="007E103C" w14:paraId="207F1426" w14:textId="77777777" w:rsidTr="008B2CA8">
              <w:trPr>
                <w:trHeight w:val="255"/>
              </w:trPr>
              <w:tc>
                <w:tcPr>
                  <w:tcW w:w="3362" w:type="dxa"/>
                  <w:tcBorders>
                    <w:top w:val="nil"/>
                    <w:left w:val="nil"/>
                    <w:bottom w:val="nil"/>
                    <w:right w:val="nil"/>
                  </w:tcBorders>
                  <w:noWrap/>
                  <w:vAlign w:val="bottom"/>
                  <w:hideMark/>
                </w:tcPr>
                <w:p w14:paraId="353BE7A2"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Republic of Korea</w:t>
                  </w:r>
                </w:p>
              </w:tc>
              <w:tc>
                <w:tcPr>
                  <w:tcW w:w="700" w:type="dxa"/>
                  <w:tcBorders>
                    <w:top w:val="nil"/>
                    <w:left w:val="nil"/>
                    <w:bottom w:val="nil"/>
                    <w:right w:val="nil"/>
                  </w:tcBorders>
                  <w:noWrap/>
                  <w:vAlign w:val="bottom"/>
                  <w:hideMark/>
                </w:tcPr>
                <w:p w14:paraId="5631F2D0"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+1.4</w:t>
                  </w:r>
                </w:p>
              </w:tc>
              <w:tc>
                <w:tcPr>
                  <w:tcW w:w="700" w:type="dxa"/>
                  <w:tcBorders>
                    <w:top w:val="nil"/>
                    <w:left w:val="nil"/>
                    <w:bottom w:val="nil"/>
                    <w:right w:val="nil"/>
                  </w:tcBorders>
                  <w:noWrap/>
                  <w:vAlign w:val="bottom"/>
                  <w:hideMark/>
                </w:tcPr>
                <w:p w14:paraId="553D01E8"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+48.7</w:t>
                  </w:r>
                </w:p>
              </w:tc>
            </w:tr>
            <w:tr w:rsidR="008B2CA8" w:rsidRPr="007E103C" w14:paraId="4041C967" w14:textId="77777777" w:rsidTr="008B2CA8">
              <w:trPr>
                <w:trHeight w:val="255"/>
              </w:trPr>
              <w:tc>
                <w:tcPr>
                  <w:tcW w:w="3362" w:type="dxa"/>
                  <w:tcBorders>
                    <w:top w:val="nil"/>
                    <w:left w:val="nil"/>
                    <w:bottom w:val="nil"/>
                    <w:right w:val="nil"/>
                  </w:tcBorders>
                  <w:noWrap/>
                  <w:vAlign w:val="bottom"/>
                  <w:hideMark/>
                </w:tcPr>
                <w:p w14:paraId="4634BABD"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Sweden</w:t>
                  </w:r>
                </w:p>
              </w:tc>
              <w:tc>
                <w:tcPr>
                  <w:tcW w:w="700" w:type="dxa"/>
                  <w:tcBorders>
                    <w:top w:val="nil"/>
                    <w:left w:val="nil"/>
                    <w:bottom w:val="nil"/>
                    <w:right w:val="nil"/>
                  </w:tcBorders>
                  <w:noWrap/>
                  <w:vAlign w:val="bottom"/>
                  <w:hideMark/>
                </w:tcPr>
                <w:p w14:paraId="6FECC2B1"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+1.2</w:t>
                  </w:r>
                </w:p>
              </w:tc>
              <w:tc>
                <w:tcPr>
                  <w:tcW w:w="700" w:type="dxa"/>
                  <w:tcBorders>
                    <w:top w:val="nil"/>
                    <w:left w:val="nil"/>
                    <w:bottom w:val="nil"/>
                    <w:right w:val="nil"/>
                  </w:tcBorders>
                  <w:noWrap/>
                  <w:vAlign w:val="bottom"/>
                  <w:hideMark/>
                </w:tcPr>
                <w:p w14:paraId="68F5FEED"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+6.8</w:t>
                  </w:r>
                </w:p>
              </w:tc>
            </w:tr>
            <w:tr w:rsidR="008B2CA8" w:rsidRPr="007E103C" w14:paraId="67055A22" w14:textId="77777777" w:rsidTr="008B2CA8">
              <w:trPr>
                <w:trHeight w:val="255"/>
              </w:trPr>
              <w:tc>
                <w:tcPr>
                  <w:tcW w:w="3362" w:type="dxa"/>
                  <w:tcBorders>
                    <w:top w:val="nil"/>
                    <w:left w:val="nil"/>
                    <w:bottom w:val="nil"/>
                    <w:right w:val="nil"/>
                  </w:tcBorders>
                  <w:noWrap/>
                  <w:vAlign w:val="bottom"/>
                  <w:hideMark/>
                </w:tcPr>
                <w:p w14:paraId="36D83F33"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China</w:t>
                  </w:r>
                </w:p>
              </w:tc>
              <w:tc>
                <w:tcPr>
                  <w:tcW w:w="700" w:type="dxa"/>
                  <w:tcBorders>
                    <w:top w:val="nil"/>
                    <w:left w:val="nil"/>
                    <w:bottom w:val="nil"/>
                    <w:right w:val="nil"/>
                  </w:tcBorders>
                  <w:noWrap/>
                  <w:vAlign w:val="bottom"/>
                  <w:hideMark/>
                </w:tcPr>
                <w:p w14:paraId="20FD45A5"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−2.4</w:t>
                  </w:r>
                </w:p>
              </w:tc>
              <w:tc>
                <w:tcPr>
                  <w:tcW w:w="700" w:type="dxa"/>
                  <w:tcBorders>
                    <w:top w:val="nil"/>
                    <w:left w:val="nil"/>
                    <w:bottom w:val="nil"/>
                    <w:right w:val="nil"/>
                  </w:tcBorders>
                  <w:noWrap/>
                  <w:vAlign w:val="bottom"/>
                  <w:hideMark/>
                </w:tcPr>
                <w:p w14:paraId="2F6594AC"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−16.4</w:t>
                  </w:r>
                </w:p>
              </w:tc>
            </w:tr>
            <w:tr w:rsidR="008B2CA8" w:rsidRPr="007E103C" w14:paraId="5D863146" w14:textId="77777777" w:rsidTr="008B2CA8">
              <w:trPr>
                <w:trHeight w:val="255"/>
              </w:trPr>
              <w:tc>
                <w:tcPr>
                  <w:tcW w:w="3362" w:type="dxa"/>
                  <w:tcBorders>
                    <w:top w:val="nil"/>
                    <w:left w:val="nil"/>
                    <w:bottom w:val="nil"/>
                    <w:right w:val="nil"/>
                  </w:tcBorders>
                  <w:noWrap/>
                  <w:vAlign w:val="bottom"/>
                  <w:hideMark/>
                </w:tcPr>
                <w:p w14:paraId="535FA769"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Netherlands</w:t>
                  </w:r>
                </w:p>
              </w:tc>
              <w:tc>
                <w:tcPr>
                  <w:tcW w:w="700" w:type="dxa"/>
                  <w:tcBorders>
                    <w:top w:val="nil"/>
                    <w:left w:val="nil"/>
                    <w:bottom w:val="nil"/>
                    <w:right w:val="nil"/>
                  </w:tcBorders>
                  <w:noWrap/>
                  <w:vAlign w:val="bottom"/>
                  <w:hideMark/>
                </w:tcPr>
                <w:p w14:paraId="17A657EA"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−3.7</w:t>
                  </w:r>
                </w:p>
              </w:tc>
              <w:tc>
                <w:tcPr>
                  <w:tcW w:w="700" w:type="dxa"/>
                  <w:tcBorders>
                    <w:top w:val="nil"/>
                    <w:left w:val="nil"/>
                    <w:bottom w:val="nil"/>
                    <w:right w:val="nil"/>
                  </w:tcBorders>
                  <w:noWrap/>
                  <w:vAlign w:val="bottom"/>
                  <w:hideMark/>
                </w:tcPr>
                <w:p w14:paraId="63876DA5"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−9.6</w:t>
                  </w:r>
                </w:p>
              </w:tc>
            </w:tr>
          </w:tbl>
          <w:p w14:paraId="001D3E93" w14:textId="77777777" w:rsidR="008B2CA8" w:rsidRPr="007E103C" w:rsidRDefault="008B2CA8" w:rsidP="008B2CA8">
            <w:pPr>
              <w:spacing w:after="0"/>
              <w:rPr>
                <w:spacing w:val="-4"/>
                <w:lang w:val="en-GB" w:eastAsia="en-US"/>
              </w:rPr>
            </w:pPr>
          </w:p>
        </w:tc>
      </w:tr>
      <w:tr w:rsidR="008B2CA8" w:rsidRPr="007E103C" w14:paraId="03E45C0E" w14:textId="77777777" w:rsidTr="008B2CA8">
        <w:trPr>
          <w:trHeight w:val="170"/>
        </w:trPr>
        <w:tc>
          <w:tcPr>
            <w:tcW w:w="4811" w:type="dxa"/>
            <w:gridSpan w:val="3"/>
            <w:hideMark/>
          </w:tcPr>
          <w:p w14:paraId="0B8327AD" w14:textId="77777777" w:rsidR="008B2CA8" w:rsidRPr="007E103C" w:rsidRDefault="008B2CA8" w:rsidP="00B07993">
            <w:pPr>
              <w:spacing w:after="0"/>
              <w:jc w:val="left"/>
              <w:rPr>
                <w:spacing w:val="-4"/>
                <w:sz w:val="16"/>
                <w:szCs w:val="16"/>
                <w:lang w:val="en-GB" w:eastAsia="en-US"/>
              </w:rPr>
            </w:pPr>
            <w:r w:rsidRPr="007E103C">
              <w:rPr>
                <w:spacing w:val="-4"/>
                <w:sz w:val="16"/>
                <w:szCs w:val="16"/>
                <w:lang w:val="en-GB" w:eastAsia="en-US"/>
              </w:rPr>
              <w:t>Source: CZSO</w:t>
            </w:r>
          </w:p>
        </w:tc>
        <w:tc>
          <w:tcPr>
            <w:tcW w:w="57" w:type="dxa"/>
          </w:tcPr>
          <w:p w14:paraId="4195DE81" w14:textId="77777777" w:rsidR="008B2CA8" w:rsidRPr="007E103C" w:rsidRDefault="008B2CA8" w:rsidP="008B2CA8">
            <w:pPr>
              <w:spacing w:after="0"/>
              <w:rPr>
                <w:spacing w:val="-4"/>
                <w:lang w:val="en-GB" w:eastAsia="en-US"/>
              </w:rPr>
            </w:pPr>
          </w:p>
        </w:tc>
        <w:tc>
          <w:tcPr>
            <w:tcW w:w="4809" w:type="dxa"/>
            <w:hideMark/>
          </w:tcPr>
          <w:p w14:paraId="2D85DFB8" w14:textId="77777777" w:rsidR="008B2CA8" w:rsidRPr="007E103C" w:rsidRDefault="008B2CA8" w:rsidP="008B2CA8">
            <w:pPr>
              <w:spacing w:after="0"/>
              <w:ind w:right="21"/>
              <w:jc w:val="left"/>
              <w:rPr>
                <w:spacing w:val="-4"/>
                <w:lang w:val="en-GB" w:eastAsia="en-US"/>
              </w:rPr>
            </w:pPr>
            <w:r w:rsidRPr="007E103C">
              <w:rPr>
                <w:spacing w:val="-4"/>
                <w:sz w:val="16"/>
                <w:szCs w:val="16"/>
                <w:lang w:val="en-GB" w:eastAsia="en-US"/>
              </w:rPr>
              <w:t>Source: CZSO</w:t>
            </w:r>
          </w:p>
        </w:tc>
      </w:tr>
      <w:tr w:rsidR="008B2CA8" w:rsidRPr="007E103C" w14:paraId="23867B0B" w14:textId="77777777" w:rsidTr="008B2CA8">
        <w:trPr>
          <w:trHeight w:val="145"/>
        </w:trPr>
        <w:tc>
          <w:tcPr>
            <w:tcW w:w="1748" w:type="dxa"/>
          </w:tcPr>
          <w:p w14:paraId="6AAC4021" w14:textId="77777777" w:rsidR="008B2CA8" w:rsidRPr="007E103C" w:rsidRDefault="008B2CA8" w:rsidP="008B2CA8">
            <w:pPr>
              <w:pStyle w:val="Marginlie"/>
              <w:rPr>
                <w:lang w:val="en-GB" w:eastAsia="en-US"/>
              </w:rPr>
            </w:pPr>
            <w:r w:rsidRPr="007E103C">
              <w:rPr>
                <w:lang w:val="en-GB" w:eastAsia="en-US"/>
              </w:rPr>
              <w:lastRenderedPageBreak/>
              <w:t>Motor vehicles drove export growth in the total H1 as well as Q2 itself.</w:t>
            </w:r>
          </w:p>
        </w:tc>
        <w:tc>
          <w:tcPr>
            <w:tcW w:w="252" w:type="dxa"/>
          </w:tcPr>
          <w:p w14:paraId="6D2510EC" w14:textId="77777777" w:rsidR="008B2CA8" w:rsidRPr="007E103C" w:rsidRDefault="008B2CA8" w:rsidP="008B2CA8">
            <w:pPr>
              <w:pStyle w:val="Textpoznpodarou"/>
              <w:jc w:val="both"/>
              <w:rPr>
                <w:spacing w:val="-4"/>
                <w:lang w:val="en-GB" w:eastAsia="en-US"/>
              </w:rPr>
            </w:pPr>
          </w:p>
        </w:tc>
        <w:tc>
          <w:tcPr>
            <w:tcW w:w="7677" w:type="dxa"/>
            <w:gridSpan w:val="3"/>
          </w:tcPr>
          <w:p w14:paraId="42070CE5" w14:textId="1F800A33" w:rsidR="008B2CA8" w:rsidRPr="007E103C" w:rsidRDefault="008B2CA8" w:rsidP="009E6CE4">
            <w:pPr>
              <w:spacing w:after="180"/>
              <w:rPr>
                <w:spacing w:val="-4"/>
                <w:lang w:val="en-GB" w:eastAsia="en-US"/>
              </w:rPr>
            </w:pPr>
            <w:r w:rsidRPr="007E103C">
              <w:rPr>
                <w:spacing w:val="-4"/>
                <w:lang w:val="en-GB" w:eastAsia="en-US"/>
              </w:rPr>
              <w:t xml:space="preserve">Exports of motor vehicles and motorcycles grew the most, year-on-year (+42.0 bn CZK, 6.2%) in H1, followed by computers, electronic and optical appliances (+13.1 bn, 6.4%), electricity, gas, steam and air-conditioning (+11.0 bn, 62.0%) and electrical equipment (+10.5 bn, 4.5%). The largest decrease was recorded for agricultural and hunting products (−CZK 2.1 bn, −7.0%). The dominant motor vehicles broadly maintained their previous growth rate in Q2 (see Table 1). Exports of computers, electronic and optical appliances and other transport equipment also grew robustly in Q2. A more significant decline was recorded for exports of chemicals, agricultural and hunting products, or machinery and equipment. The slowdown of total export dynamics in Q2 was mainly caused by the exports of electricity, electrical equipment (both of which slowed down), machinery and equipment, and chemicals (both of which switched growth to decline). </w:t>
            </w:r>
          </w:p>
        </w:tc>
      </w:tr>
      <w:tr w:rsidR="008B2CA8" w:rsidRPr="007E103C" w14:paraId="41F90910" w14:textId="77777777" w:rsidTr="008B2CA8">
        <w:trPr>
          <w:trHeight w:val="145"/>
        </w:trPr>
        <w:tc>
          <w:tcPr>
            <w:tcW w:w="1748" w:type="dxa"/>
            <w:hideMark/>
          </w:tcPr>
          <w:p w14:paraId="792B2444" w14:textId="77777777" w:rsidR="008B2CA8" w:rsidRPr="007E103C" w:rsidRDefault="008B2CA8" w:rsidP="008B2CA8">
            <w:pPr>
              <w:pStyle w:val="Marginlie"/>
              <w:rPr>
                <w:lang w:val="en-GB" w:eastAsia="en-US"/>
              </w:rPr>
            </w:pPr>
            <w:r w:rsidRPr="007E103C">
              <w:rPr>
                <w:lang w:val="en-GB" w:eastAsia="en-US"/>
              </w:rPr>
              <w:t xml:space="preserve">Imports grew stronger, year-on-year, compared to exports. </w:t>
            </w:r>
          </w:p>
        </w:tc>
        <w:tc>
          <w:tcPr>
            <w:tcW w:w="252" w:type="dxa"/>
          </w:tcPr>
          <w:p w14:paraId="071B4BA7" w14:textId="77777777" w:rsidR="008B2CA8" w:rsidRPr="007E103C" w:rsidRDefault="008B2CA8" w:rsidP="008B2CA8">
            <w:pPr>
              <w:pStyle w:val="Textpoznpodarou"/>
              <w:jc w:val="both"/>
              <w:rPr>
                <w:spacing w:val="-4"/>
                <w:lang w:val="en-GB" w:eastAsia="en-US"/>
              </w:rPr>
            </w:pPr>
          </w:p>
        </w:tc>
        <w:tc>
          <w:tcPr>
            <w:tcW w:w="7677" w:type="dxa"/>
            <w:gridSpan w:val="3"/>
            <w:hideMark/>
          </w:tcPr>
          <w:p w14:paraId="3D31FE64" w14:textId="01FEE36B" w:rsidR="008B2CA8" w:rsidRPr="007E103C" w:rsidRDefault="008B2CA8" w:rsidP="00267096">
            <w:pPr>
              <w:spacing w:after="180"/>
              <w:rPr>
                <w:spacing w:val="-4"/>
                <w:lang w:val="en-GB" w:eastAsia="en-US"/>
              </w:rPr>
            </w:pPr>
            <w:r w:rsidRPr="007E103C">
              <w:rPr>
                <w:spacing w:val="-4"/>
                <w:lang w:val="en-GB" w:eastAsia="en-US"/>
              </w:rPr>
              <w:t>The value of imports of goods increased by 118.4 bn CZK (5.4%) to 2,306.9 Bn CZK in H1 2025. The Q1 also contributed more to this increase in case of imports, as imports increased by 44.5 bn CZK (4.0%) to 1,159.9 bn CZK in Q2. Simultaneously, import prices dropped</w:t>
            </w:r>
            <w:r w:rsidRPr="007E103C">
              <w:rPr>
                <w:rStyle w:val="Znakapoznpodarou"/>
                <w:spacing w:val="-4"/>
                <w:lang w:val="en-GB" w:eastAsia="en-US"/>
              </w:rPr>
              <w:footnoteReference w:id="6"/>
            </w:r>
            <w:r w:rsidRPr="007E103C">
              <w:rPr>
                <w:spacing w:val="-4"/>
                <w:lang w:val="en-GB" w:eastAsia="en-US"/>
              </w:rPr>
              <w:t xml:space="preserve">. The value of imports of goods decreased by 1.1%, quarter on quarter, in Q2 (seasonally adjusted). Again, imports from non-EU countries grew more significantly, year-on-year, in H1 (+59.7 bn CZK, 7.6%). Imports from the EU were higher by 48.8 bn (3.5%). Imports from China (+29.3 bn CZK, 11.9%), Poland (+10.7 bn, 5.2%), Norway (+10.7 bn CZK, 35.9%) and Germany (+10.3 bn, 2.0%) grew the most in H1. A deep slump was recorded for imports from Russia in H1 (−17.5 bn, −51.9%). Imports from China grew the most, year-on-year, in Q2 alone (see Table 4), but the increase weakened significantly compared to the previous three quarters. On the contrary, there was a significant recovery of import dynamics in case of Norway. A weaker increase of imports compared to Q1 was also recorded for Poland, Germany and Austria. Countries that contributed significantly to the growth of imports in Q2 featured a number of Asian destinations – Turkey, Singapore, Kazakhstan </w:t>
            </w:r>
            <w:r w:rsidR="00267096" w:rsidRPr="007E103C">
              <w:rPr>
                <w:spacing w:val="-4"/>
                <w:lang w:val="en-GB" w:eastAsia="en-US"/>
              </w:rPr>
              <w:t>and Malaysia</w:t>
            </w:r>
            <w:r w:rsidRPr="007E103C">
              <w:rPr>
                <w:spacing w:val="-4"/>
                <w:lang w:val="en-GB" w:eastAsia="en-US"/>
              </w:rPr>
              <w:t xml:space="preserve">. Imports from Russia, Taiwan and the United States of America fell significantly.      </w:t>
            </w:r>
          </w:p>
        </w:tc>
      </w:tr>
      <w:tr w:rsidR="008B2CA8" w:rsidRPr="007E103C" w14:paraId="3FB313B6" w14:textId="77777777" w:rsidTr="008B2CA8">
        <w:trPr>
          <w:trHeight w:val="170"/>
        </w:trPr>
        <w:tc>
          <w:tcPr>
            <w:tcW w:w="4811" w:type="dxa"/>
            <w:gridSpan w:val="3"/>
            <w:hideMark/>
          </w:tcPr>
          <w:p w14:paraId="09DD7046" w14:textId="77777777" w:rsidR="008B2CA8" w:rsidRPr="007E103C" w:rsidRDefault="008B2CA8" w:rsidP="008B2CA8">
            <w:pPr>
              <w:spacing w:after="0"/>
              <w:jc w:val="left"/>
              <w:rPr>
                <w:spacing w:val="-4"/>
                <w:lang w:val="en-GB" w:eastAsia="en-US"/>
              </w:rPr>
            </w:pPr>
            <w:r w:rsidRPr="007E103C">
              <w:rPr>
                <w:rFonts w:cs="Arial"/>
                <w:b/>
                <w:bCs/>
                <w:color w:val="000000"/>
                <w:sz w:val="18"/>
                <w:szCs w:val="18"/>
                <w:lang w:val="en-GB" w:eastAsia="en-US"/>
              </w:rPr>
              <w:t xml:space="preserve">Table 3 Sections of CPA classification with highest impact on goods imports development in Q2 2025 </w:t>
            </w:r>
            <w:r w:rsidRPr="007E103C">
              <w:rPr>
                <w:rFonts w:cs="Arial"/>
                <w:bCs/>
                <w:color w:val="000000"/>
                <w:sz w:val="18"/>
                <w:szCs w:val="18"/>
                <w:lang w:val="en-GB" w:eastAsia="en-US"/>
              </w:rPr>
              <w:t xml:space="preserve">(year-on-year) </w:t>
            </w:r>
          </w:p>
        </w:tc>
        <w:tc>
          <w:tcPr>
            <w:tcW w:w="57" w:type="dxa"/>
          </w:tcPr>
          <w:p w14:paraId="0F28EF85" w14:textId="77777777" w:rsidR="008B2CA8" w:rsidRPr="007E103C" w:rsidRDefault="008B2CA8" w:rsidP="008B2CA8">
            <w:pPr>
              <w:spacing w:after="0"/>
              <w:rPr>
                <w:spacing w:val="-4"/>
                <w:lang w:val="en-GB" w:eastAsia="en-US"/>
              </w:rPr>
            </w:pPr>
          </w:p>
        </w:tc>
        <w:tc>
          <w:tcPr>
            <w:tcW w:w="4809" w:type="dxa"/>
            <w:hideMark/>
          </w:tcPr>
          <w:p w14:paraId="30797CBC" w14:textId="77777777" w:rsidR="008B2CA8" w:rsidRPr="007E103C" w:rsidRDefault="008B2CA8" w:rsidP="008B2CA8">
            <w:pPr>
              <w:spacing w:after="0"/>
              <w:jc w:val="left"/>
              <w:rPr>
                <w:spacing w:val="-4"/>
                <w:sz w:val="18"/>
                <w:szCs w:val="18"/>
                <w:lang w:val="en-GB" w:eastAsia="en-US"/>
              </w:rPr>
            </w:pPr>
            <w:r w:rsidRPr="007E103C">
              <w:rPr>
                <w:rFonts w:cs="Arial"/>
                <w:b/>
                <w:bCs/>
                <w:color w:val="000000"/>
                <w:sz w:val="18"/>
                <w:szCs w:val="18"/>
                <w:lang w:val="en-GB" w:eastAsia="en-US"/>
              </w:rPr>
              <w:t xml:space="preserve">Table 4 Countries with largest impact on imports of goods in Q2 2025 </w:t>
            </w:r>
            <w:r w:rsidRPr="007E103C">
              <w:rPr>
                <w:rFonts w:cs="Arial"/>
                <w:bCs/>
                <w:color w:val="000000"/>
                <w:sz w:val="18"/>
                <w:szCs w:val="18"/>
                <w:lang w:val="en-GB" w:eastAsia="en-US"/>
              </w:rPr>
              <w:t xml:space="preserve">(year-on-year) </w:t>
            </w:r>
          </w:p>
        </w:tc>
      </w:tr>
      <w:tr w:rsidR="008B2CA8" w:rsidRPr="007E103C" w14:paraId="2D166DE2" w14:textId="77777777" w:rsidTr="008B2CA8">
        <w:trPr>
          <w:trHeight w:val="170"/>
        </w:trPr>
        <w:tc>
          <w:tcPr>
            <w:tcW w:w="4811" w:type="dxa"/>
            <w:gridSpan w:val="3"/>
            <w:hideMark/>
          </w:tcPr>
          <w:tbl>
            <w:tblPr>
              <w:tblW w:w="4817" w:type="dxa"/>
              <w:tblLayout w:type="fixed"/>
              <w:tblCellMar>
                <w:left w:w="70" w:type="dxa"/>
                <w:right w:w="70" w:type="dxa"/>
              </w:tblCellMar>
              <w:tblLook w:val="04A0" w:firstRow="1" w:lastRow="0" w:firstColumn="1" w:lastColumn="0" w:noHBand="0" w:noVBand="1"/>
            </w:tblPr>
            <w:tblGrid>
              <w:gridCol w:w="3417"/>
              <w:gridCol w:w="700"/>
              <w:gridCol w:w="700"/>
            </w:tblGrid>
            <w:tr w:rsidR="008B2CA8" w:rsidRPr="007E103C" w14:paraId="56E3DD05" w14:textId="77777777" w:rsidTr="008B2CA8">
              <w:trPr>
                <w:trHeight w:val="252"/>
              </w:trPr>
              <w:tc>
                <w:tcPr>
                  <w:tcW w:w="3417" w:type="dxa"/>
                  <w:tcBorders>
                    <w:top w:val="nil"/>
                    <w:left w:val="nil"/>
                    <w:bottom w:val="single" w:sz="4" w:space="0" w:color="auto"/>
                    <w:right w:val="nil"/>
                  </w:tcBorders>
                  <w:noWrap/>
                  <w:vAlign w:val="bottom"/>
                  <w:hideMark/>
                </w:tcPr>
                <w:p w14:paraId="5407F7AC"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 </w:t>
                  </w:r>
                </w:p>
              </w:tc>
              <w:tc>
                <w:tcPr>
                  <w:tcW w:w="700" w:type="dxa"/>
                  <w:tcBorders>
                    <w:top w:val="nil"/>
                    <w:left w:val="nil"/>
                    <w:bottom w:val="single" w:sz="4" w:space="0" w:color="auto"/>
                    <w:right w:val="nil"/>
                  </w:tcBorders>
                  <w:noWrap/>
                  <w:vAlign w:val="bottom"/>
                  <w:hideMark/>
                </w:tcPr>
                <w:p w14:paraId="50B5510F"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bn CZK</w:t>
                  </w:r>
                </w:p>
              </w:tc>
              <w:tc>
                <w:tcPr>
                  <w:tcW w:w="700" w:type="dxa"/>
                  <w:tcBorders>
                    <w:top w:val="nil"/>
                    <w:left w:val="nil"/>
                    <w:bottom w:val="single" w:sz="4" w:space="0" w:color="auto"/>
                    <w:right w:val="nil"/>
                  </w:tcBorders>
                  <w:noWrap/>
                  <w:vAlign w:val="bottom"/>
                  <w:hideMark/>
                </w:tcPr>
                <w:p w14:paraId="56F3828A"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w:t>
                  </w:r>
                </w:p>
              </w:tc>
            </w:tr>
            <w:tr w:rsidR="00D97FE0" w:rsidRPr="007E103C" w14:paraId="1FC64DEF" w14:textId="77777777" w:rsidTr="00D97FE0">
              <w:trPr>
                <w:trHeight w:val="252"/>
              </w:trPr>
              <w:tc>
                <w:tcPr>
                  <w:tcW w:w="3417" w:type="dxa"/>
                  <w:tcBorders>
                    <w:top w:val="nil"/>
                    <w:left w:val="nil"/>
                    <w:bottom w:val="nil"/>
                    <w:right w:val="nil"/>
                  </w:tcBorders>
                  <w:noWrap/>
                  <w:vAlign w:val="bottom"/>
                  <w:hideMark/>
                </w:tcPr>
                <w:p w14:paraId="7EA2F070" w14:textId="2F0E6B70" w:rsidR="00D97FE0" w:rsidRPr="007E103C" w:rsidRDefault="00D97FE0" w:rsidP="00D97FE0">
                  <w:pPr>
                    <w:spacing w:after="0" w:line="240" w:lineRule="auto"/>
                    <w:jc w:val="left"/>
                    <w:rPr>
                      <w:rFonts w:cs="Arial"/>
                      <w:color w:val="000000"/>
                      <w:sz w:val="16"/>
                      <w:szCs w:val="16"/>
                      <w:lang w:val="en-GB"/>
                    </w:rPr>
                  </w:pPr>
                  <w:r w:rsidRPr="007E103C">
                    <w:rPr>
                      <w:sz w:val="16"/>
                      <w:szCs w:val="16"/>
                      <w:lang w:val="en-GB"/>
                    </w:rPr>
                    <w:t>Electrical equipment</w:t>
                  </w:r>
                </w:p>
              </w:tc>
              <w:tc>
                <w:tcPr>
                  <w:tcW w:w="700" w:type="dxa"/>
                  <w:tcBorders>
                    <w:top w:val="nil"/>
                    <w:left w:val="nil"/>
                    <w:bottom w:val="nil"/>
                    <w:right w:val="nil"/>
                  </w:tcBorders>
                  <w:noWrap/>
                  <w:vAlign w:val="bottom"/>
                  <w:hideMark/>
                </w:tcPr>
                <w:p w14:paraId="4BEF00E8"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+13.5</w:t>
                  </w:r>
                </w:p>
              </w:tc>
              <w:tc>
                <w:tcPr>
                  <w:tcW w:w="700" w:type="dxa"/>
                  <w:tcBorders>
                    <w:top w:val="nil"/>
                    <w:left w:val="nil"/>
                    <w:bottom w:val="nil"/>
                    <w:right w:val="nil"/>
                  </w:tcBorders>
                  <w:noWrap/>
                  <w:vAlign w:val="bottom"/>
                  <w:hideMark/>
                </w:tcPr>
                <w:p w14:paraId="2B02A6D0"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+12.6</w:t>
                  </w:r>
                </w:p>
              </w:tc>
            </w:tr>
            <w:tr w:rsidR="00D97FE0" w:rsidRPr="007E103C" w14:paraId="414F6CED" w14:textId="77777777" w:rsidTr="00D97FE0">
              <w:trPr>
                <w:trHeight w:val="252"/>
              </w:trPr>
              <w:tc>
                <w:tcPr>
                  <w:tcW w:w="3417" w:type="dxa"/>
                  <w:tcBorders>
                    <w:top w:val="nil"/>
                    <w:left w:val="nil"/>
                    <w:bottom w:val="nil"/>
                    <w:right w:val="nil"/>
                  </w:tcBorders>
                  <w:noWrap/>
                  <w:vAlign w:val="bottom"/>
                  <w:hideMark/>
                </w:tcPr>
                <w:p w14:paraId="15A89189" w14:textId="44E36501" w:rsidR="00D97FE0" w:rsidRPr="007E103C" w:rsidRDefault="00D97FE0" w:rsidP="00D97FE0">
                  <w:pPr>
                    <w:spacing w:after="0" w:line="240" w:lineRule="auto"/>
                    <w:jc w:val="left"/>
                    <w:rPr>
                      <w:rFonts w:cs="Arial"/>
                      <w:color w:val="000000"/>
                      <w:sz w:val="16"/>
                      <w:szCs w:val="16"/>
                      <w:lang w:val="en-GB"/>
                    </w:rPr>
                  </w:pPr>
                  <w:r w:rsidRPr="007E103C">
                    <w:rPr>
                      <w:sz w:val="16"/>
                      <w:szCs w:val="16"/>
                      <w:lang w:val="en-GB"/>
                    </w:rPr>
                    <w:t>Crude petroleum and natural gas</w:t>
                  </w:r>
                </w:p>
              </w:tc>
              <w:tc>
                <w:tcPr>
                  <w:tcW w:w="700" w:type="dxa"/>
                  <w:tcBorders>
                    <w:top w:val="nil"/>
                    <w:left w:val="nil"/>
                    <w:bottom w:val="nil"/>
                    <w:right w:val="nil"/>
                  </w:tcBorders>
                  <w:noWrap/>
                  <w:vAlign w:val="bottom"/>
                  <w:hideMark/>
                </w:tcPr>
                <w:p w14:paraId="7EE3E1B9"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+11.0</w:t>
                  </w:r>
                </w:p>
              </w:tc>
              <w:tc>
                <w:tcPr>
                  <w:tcW w:w="700" w:type="dxa"/>
                  <w:tcBorders>
                    <w:top w:val="nil"/>
                    <w:left w:val="nil"/>
                    <w:bottom w:val="nil"/>
                    <w:right w:val="nil"/>
                  </w:tcBorders>
                  <w:noWrap/>
                  <w:vAlign w:val="bottom"/>
                  <w:hideMark/>
                </w:tcPr>
                <w:p w14:paraId="075775D0"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+31.7</w:t>
                  </w:r>
                </w:p>
              </w:tc>
            </w:tr>
            <w:tr w:rsidR="00D97FE0" w:rsidRPr="007E103C" w14:paraId="4C167054" w14:textId="77777777" w:rsidTr="00D97FE0">
              <w:trPr>
                <w:trHeight w:val="252"/>
              </w:trPr>
              <w:tc>
                <w:tcPr>
                  <w:tcW w:w="3417" w:type="dxa"/>
                  <w:tcBorders>
                    <w:top w:val="nil"/>
                    <w:left w:val="nil"/>
                    <w:bottom w:val="nil"/>
                    <w:right w:val="nil"/>
                  </w:tcBorders>
                  <w:noWrap/>
                  <w:vAlign w:val="bottom"/>
                  <w:hideMark/>
                </w:tcPr>
                <w:p w14:paraId="1F129B10" w14:textId="2DEC2074" w:rsidR="00D97FE0" w:rsidRPr="007E103C" w:rsidRDefault="00D97FE0" w:rsidP="00D97FE0">
                  <w:pPr>
                    <w:spacing w:after="0" w:line="240" w:lineRule="auto"/>
                    <w:jc w:val="left"/>
                    <w:rPr>
                      <w:rFonts w:cs="Arial"/>
                      <w:color w:val="000000"/>
                      <w:sz w:val="16"/>
                      <w:szCs w:val="16"/>
                      <w:lang w:val="en-GB"/>
                    </w:rPr>
                  </w:pPr>
                  <w:r w:rsidRPr="007E103C">
                    <w:rPr>
                      <w:sz w:val="16"/>
                      <w:szCs w:val="16"/>
                      <w:lang w:val="en-GB"/>
                    </w:rPr>
                    <w:t>Metalworking products</w:t>
                  </w:r>
                </w:p>
              </w:tc>
              <w:tc>
                <w:tcPr>
                  <w:tcW w:w="700" w:type="dxa"/>
                  <w:tcBorders>
                    <w:top w:val="nil"/>
                    <w:left w:val="nil"/>
                    <w:bottom w:val="nil"/>
                    <w:right w:val="nil"/>
                  </w:tcBorders>
                  <w:noWrap/>
                  <w:vAlign w:val="bottom"/>
                  <w:hideMark/>
                </w:tcPr>
                <w:p w14:paraId="27D37BEC"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+10.4</w:t>
                  </w:r>
                </w:p>
              </w:tc>
              <w:tc>
                <w:tcPr>
                  <w:tcW w:w="700" w:type="dxa"/>
                  <w:tcBorders>
                    <w:top w:val="nil"/>
                    <w:left w:val="nil"/>
                    <w:bottom w:val="nil"/>
                    <w:right w:val="nil"/>
                  </w:tcBorders>
                  <w:noWrap/>
                  <w:vAlign w:val="bottom"/>
                  <w:hideMark/>
                </w:tcPr>
                <w:p w14:paraId="7745CEAB"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+20.9</w:t>
                  </w:r>
                </w:p>
              </w:tc>
            </w:tr>
            <w:tr w:rsidR="00D97FE0" w:rsidRPr="007E103C" w14:paraId="752F5024" w14:textId="77777777" w:rsidTr="00D97FE0">
              <w:trPr>
                <w:trHeight w:val="252"/>
              </w:trPr>
              <w:tc>
                <w:tcPr>
                  <w:tcW w:w="3417" w:type="dxa"/>
                  <w:tcBorders>
                    <w:top w:val="nil"/>
                    <w:left w:val="nil"/>
                    <w:bottom w:val="nil"/>
                    <w:right w:val="nil"/>
                  </w:tcBorders>
                  <w:noWrap/>
                  <w:vAlign w:val="bottom"/>
                  <w:hideMark/>
                </w:tcPr>
                <w:p w14:paraId="13E02A40" w14:textId="33F7DDBA" w:rsidR="00D97FE0" w:rsidRPr="007E103C" w:rsidRDefault="00D97FE0" w:rsidP="00D97FE0">
                  <w:pPr>
                    <w:spacing w:after="0" w:line="240" w:lineRule="auto"/>
                    <w:jc w:val="left"/>
                    <w:rPr>
                      <w:rFonts w:cs="Arial"/>
                      <w:color w:val="000000"/>
                      <w:sz w:val="16"/>
                      <w:szCs w:val="16"/>
                      <w:lang w:val="en-GB"/>
                    </w:rPr>
                  </w:pPr>
                  <w:r w:rsidRPr="007E103C">
                    <w:rPr>
                      <w:sz w:val="16"/>
                      <w:szCs w:val="16"/>
                      <w:lang w:val="en-GB"/>
                    </w:rPr>
                    <w:t>Food products</w:t>
                  </w:r>
                </w:p>
              </w:tc>
              <w:tc>
                <w:tcPr>
                  <w:tcW w:w="700" w:type="dxa"/>
                  <w:tcBorders>
                    <w:top w:val="nil"/>
                    <w:left w:val="nil"/>
                    <w:bottom w:val="nil"/>
                    <w:right w:val="nil"/>
                  </w:tcBorders>
                  <w:noWrap/>
                  <w:vAlign w:val="bottom"/>
                  <w:hideMark/>
                </w:tcPr>
                <w:p w14:paraId="19C183A9"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+4.9</w:t>
                  </w:r>
                </w:p>
              </w:tc>
              <w:tc>
                <w:tcPr>
                  <w:tcW w:w="700" w:type="dxa"/>
                  <w:tcBorders>
                    <w:top w:val="nil"/>
                    <w:left w:val="nil"/>
                    <w:bottom w:val="nil"/>
                    <w:right w:val="nil"/>
                  </w:tcBorders>
                  <w:noWrap/>
                  <w:vAlign w:val="bottom"/>
                  <w:hideMark/>
                </w:tcPr>
                <w:p w14:paraId="2FE4BCE4"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+8.1</w:t>
                  </w:r>
                </w:p>
              </w:tc>
            </w:tr>
            <w:tr w:rsidR="00D97FE0" w:rsidRPr="007E103C" w14:paraId="082A7D9D" w14:textId="77777777" w:rsidTr="00D97FE0">
              <w:trPr>
                <w:trHeight w:val="252"/>
              </w:trPr>
              <w:tc>
                <w:tcPr>
                  <w:tcW w:w="3417" w:type="dxa"/>
                  <w:tcBorders>
                    <w:top w:val="nil"/>
                    <w:left w:val="nil"/>
                    <w:bottom w:val="nil"/>
                    <w:right w:val="nil"/>
                  </w:tcBorders>
                  <w:noWrap/>
                  <w:vAlign w:val="bottom"/>
                  <w:hideMark/>
                </w:tcPr>
                <w:p w14:paraId="332262B3" w14:textId="3273EFB5" w:rsidR="00D97FE0" w:rsidRPr="007E103C" w:rsidRDefault="00D97FE0" w:rsidP="00D97FE0">
                  <w:pPr>
                    <w:spacing w:after="0" w:line="240" w:lineRule="auto"/>
                    <w:jc w:val="left"/>
                    <w:rPr>
                      <w:rFonts w:cs="Arial"/>
                      <w:color w:val="000000"/>
                      <w:sz w:val="16"/>
                      <w:szCs w:val="16"/>
                      <w:lang w:val="en-GB"/>
                    </w:rPr>
                  </w:pPr>
                  <w:r w:rsidRPr="007E103C">
                    <w:rPr>
                      <w:sz w:val="16"/>
                      <w:szCs w:val="16"/>
                      <w:lang w:val="en-GB"/>
                    </w:rPr>
                    <w:t>Motor vehicles (excluding motorcycles) and parts</w:t>
                  </w:r>
                </w:p>
              </w:tc>
              <w:tc>
                <w:tcPr>
                  <w:tcW w:w="700" w:type="dxa"/>
                  <w:tcBorders>
                    <w:top w:val="nil"/>
                    <w:left w:val="nil"/>
                    <w:bottom w:val="nil"/>
                    <w:right w:val="nil"/>
                  </w:tcBorders>
                  <w:noWrap/>
                  <w:vAlign w:val="bottom"/>
                  <w:hideMark/>
                </w:tcPr>
                <w:p w14:paraId="49313CFA"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+4.0</w:t>
                  </w:r>
                </w:p>
              </w:tc>
              <w:tc>
                <w:tcPr>
                  <w:tcW w:w="700" w:type="dxa"/>
                  <w:tcBorders>
                    <w:top w:val="nil"/>
                    <w:left w:val="nil"/>
                    <w:bottom w:val="nil"/>
                    <w:right w:val="nil"/>
                  </w:tcBorders>
                  <w:noWrap/>
                  <w:vAlign w:val="bottom"/>
                  <w:hideMark/>
                </w:tcPr>
                <w:p w14:paraId="00FD1565"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+2.3</w:t>
                  </w:r>
                </w:p>
              </w:tc>
            </w:tr>
            <w:tr w:rsidR="00D97FE0" w:rsidRPr="007E103C" w14:paraId="3D142DB1" w14:textId="77777777" w:rsidTr="00D97FE0">
              <w:trPr>
                <w:trHeight w:val="252"/>
              </w:trPr>
              <w:tc>
                <w:tcPr>
                  <w:tcW w:w="3417" w:type="dxa"/>
                  <w:tcBorders>
                    <w:top w:val="nil"/>
                    <w:left w:val="nil"/>
                    <w:bottom w:val="nil"/>
                    <w:right w:val="nil"/>
                  </w:tcBorders>
                  <w:noWrap/>
                  <w:vAlign w:val="bottom"/>
                  <w:hideMark/>
                </w:tcPr>
                <w:p w14:paraId="6121B32C" w14:textId="6A753348" w:rsidR="00D97FE0" w:rsidRPr="007E103C" w:rsidRDefault="00D97FE0" w:rsidP="00D97FE0">
                  <w:pPr>
                    <w:spacing w:after="0" w:line="240" w:lineRule="auto"/>
                    <w:jc w:val="left"/>
                    <w:rPr>
                      <w:rFonts w:cs="Arial"/>
                      <w:color w:val="000000"/>
                      <w:sz w:val="16"/>
                      <w:szCs w:val="16"/>
                      <w:lang w:val="en-GB"/>
                    </w:rPr>
                  </w:pPr>
                  <w:r w:rsidRPr="007E103C">
                    <w:rPr>
                      <w:sz w:val="16"/>
                      <w:szCs w:val="16"/>
                      <w:lang w:val="en-GB"/>
                    </w:rPr>
                    <w:t>Electricity, gas, steam and air conditioning</w:t>
                  </w:r>
                </w:p>
              </w:tc>
              <w:tc>
                <w:tcPr>
                  <w:tcW w:w="700" w:type="dxa"/>
                  <w:tcBorders>
                    <w:top w:val="nil"/>
                    <w:left w:val="nil"/>
                    <w:bottom w:val="nil"/>
                    <w:right w:val="nil"/>
                  </w:tcBorders>
                  <w:noWrap/>
                  <w:vAlign w:val="bottom"/>
                  <w:hideMark/>
                </w:tcPr>
                <w:p w14:paraId="64E37ABB"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+2.2</w:t>
                  </w:r>
                </w:p>
              </w:tc>
              <w:tc>
                <w:tcPr>
                  <w:tcW w:w="700" w:type="dxa"/>
                  <w:tcBorders>
                    <w:top w:val="nil"/>
                    <w:left w:val="nil"/>
                    <w:bottom w:val="nil"/>
                    <w:right w:val="nil"/>
                  </w:tcBorders>
                  <w:noWrap/>
                  <w:vAlign w:val="bottom"/>
                  <w:hideMark/>
                </w:tcPr>
                <w:p w14:paraId="05E85511"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+68.2</w:t>
                  </w:r>
                </w:p>
              </w:tc>
            </w:tr>
            <w:tr w:rsidR="00D97FE0" w:rsidRPr="007E103C" w14:paraId="28988A3F" w14:textId="77777777" w:rsidTr="00D97FE0">
              <w:trPr>
                <w:trHeight w:val="252"/>
              </w:trPr>
              <w:tc>
                <w:tcPr>
                  <w:tcW w:w="3417" w:type="dxa"/>
                  <w:tcBorders>
                    <w:top w:val="nil"/>
                    <w:left w:val="nil"/>
                    <w:bottom w:val="nil"/>
                    <w:right w:val="nil"/>
                  </w:tcBorders>
                  <w:noWrap/>
                  <w:vAlign w:val="bottom"/>
                  <w:hideMark/>
                </w:tcPr>
                <w:p w14:paraId="4A29A1D6" w14:textId="1FFD5AEC" w:rsidR="00D97FE0" w:rsidRPr="007E103C" w:rsidRDefault="00D97FE0" w:rsidP="00D97FE0">
                  <w:pPr>
                    <w:spacing w:after="0" w:line="240" w:lineRule="auto"/>
                    <w:jc w:val="left"/>
                    <w:rPr>
                      <w:rFonts w:cs="Arial"/>
                      <w:color w:val="000000"/>
                      <w:sz w:val="16"/>
                      <w:szCs w:val="16"/>
                      <w:lang w:val="en-GB"/>
                    </w:rPr>
                  </w:pPr>
                  <w:r w:rsidRPr="007E103C">
                    <w:rPr>
                      <w:sz w:val="16"/>
                      <w:szCs w:val="16"/>
                      <w:lang w:val="en-GB"/>
                    </w:rPr>
                    <w:t>Other manufacturing products</w:t>
                  </w:r>
                </w:p>
              </w:tc>
              <w:tc>
                <w:tcPr>
                  <w:tcW w:w="700" w:type="dxa"/>
                  <w:tcBorders>
                    <w:top w:val="nil"/>
                    <w:left w:val="nil"/>
                    <w:bottom w:val="nil"/>
                    <w:right w:val="nil"/>
                  </w:tcBorders>
                  <w:noWrap/>
                  <w:vAlign w:val="bottom"/>
                  <w:hideMark/>
                </w:tcPr>
                <w:p w14:paraId="3A3273F9"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+2.2</w:t>
                  </w:r>
                </w:p>
              </w:tc>
              <w:tc>
                <w:tcPr>
                  <w:tcW w:w="700" w:type="dxa"/>
                  <w:tcBorders>
                    <w:top w:val="nil"/>
                    <w:left w:val="nil"/>
                    <w:bottom w:val="nil"/>
                    <w:right w:val="nil"/>
                  </w:tcBorders>
                  <w:noWrap/>
                  <w:vAlign w:val="bottom"/>
                  <w:hideMark/>
                </w:tcPr>
                <w:p w14:paraId="3C97DA25"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+9.9</w:t>
                  </w:r>
                </w:p>
              </w:tc>
            </w:tr>
            <w:tr w:rsidR="00D97FE0" w:rsidRPr="007E103C" w14:paraId="75764624" w14:textId="77777777" w:rsidTr="00D97FE0">
              <w:trPr>
                <w:trHeight w:val="252"/>
              </w:trPr>
              <w:tc>
                <w:tcPr>
                  <w:tcW w:w="3417" w:type="dxa"/>
                  <w:tcBorders>
                    <w:top w:val="nil"/>
                    <w:left w:val="nil"/>
                    <w:bottom w:val="nil"/>
                    <w:right w:val="nil"/>
                  </w:tcBorders>
                  <w:noWrap/>
                  <w:vAlign w:val="bottom"/>
                  <w:hideMark/>
                </w:tcPr>
                <w:p w14:paraId="7EFC4D54" w14:textId="6E9C92B5" w:rsidR="00D97FE0" w:rsidRPr="007E103C" w:rsidRDefault="00D97FE0" w:rsidP="00D97FE0">
                  <w:pPr>
                    <w:spacing w:after="0" w:line="240" w:lineRule="auto"/>
                    <w:jc w:val="left"/>
                    <w:rPr>
                      <w:rFonts w:cs="Arial"/>
                      <w:color w:val="000000"/>
                      <w:sz w:val="16"/>
                      <w:szCs w:val="16"/>
                      <w:lang w:val="en-GB"/>
                    </w:rPr>
                  </w:pPr>
                  <w:r w:rsidRPr="007E103C">
                    <w:rPr>
                      <w:sz w:val="16"/>
                      <w:szCs w:val="16"/>
                      <w:lang w:val="en-GB"/>
                    </w:rPr>
                    <w:t>Product of agriculture and hunting</w:t>
                  </w:r>
                </w:p>
              </w:tc>
              <w:tc>
                <w:tcPr>
                  <w:tcW w:w="700" w:type="dxa"/>
                  <w:tcBorders>
                    <w:top w:val="nil"/>
                    <w:left w:val="nil"/>
                    <w:bottom w:val="nil"/>
                    <w:right w:val="nil"/>
                  </w:tcBorders>
                  <w:noWrap/>
                  <w:vAlign w:val="bottom"/>
                  <w:hideMark/>
                </w:tcPr>
                <w:p w14:paraId="302F836E"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+1.9</w:t>
                  </w:r>
                </w:p>
              </w:tc>
              <w:tc>
                <w:tcPr>
                  <w:tcW w:w="700" w:type="dxa"/>
                  <w:tcBorders>
                    <w:top w:val="nil"/>
                    <w:left w:val="nil"/>
                    <w:bottom w:val="nil"/>
                    <w:right w:val="nil"/>
                  </w:tcBorders>
                  <w:noWrap/>
                  <w:vAlign w:val="bottom"/>
                  <w:hideMark/>
                </w:tcPr>
                <w:p w14:paraId="29D1ECCD"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+11.3</w:t>
                  </w:r>
                </w:p>
              </w:tc>
            </w:tr>
            <w:tr w:rsidR="00D97FE0" w:rsidRPr="007E103C" w14:paraId="2D3724AF" w14:textId="77777777" w:rsidTr="00D97FE0">
              <w:trPr>
                <w:trHeight w:val="252"/>
              </w:trPr>
              <w:tc>
                <w:tcPr>
                  <w:tcW w:w="3417" w:type="dxa"/>
                  <w:tcBorders>
                    <w:top w:val="nil"/>
                    <w:left w:val="nil"/>
                    <w:bottom w:val="nil"/>
                    <w:right w:val="nil"/>
                  </w:tcBorders>
                  <w:noWrap/>
                  <w:vAlign w:val="bottom"/>
                  <w:hideMark/>
                </w:tcPr>
                <w:p w14:paraId="556DD2D4" w14:textId="4A6B2118" w:rsidR="00D97FE0" w:rsidRPr="007E103C" w:rsidRDefault="00D97FE0" w:rsidP="00D97FE0">
                  <w:pPr>
                    <w:spacing w:after="0" w:line="240" w:lineRule="auto"/>
                    <w:jc w:val="left"/>
                    <w:rPr>
                      <w:rFonts w:cs="Arial"/>
                      <w:color w:val="000000"/>
                      <w:sz w:val="16"/>
                      <w:szCs w:val="16"/>
                      <w:lang w:val="en-GB"/>
                    </w:rPr>
                  </w:pPr>
                  <w:r w:rsidRPr="007E103C">
                    <w:rPr>
                      <w:sz w:val="16"/>
                      <w:szCs w:val="16"/>
                      <w:lang w:val="en-GB"/>
                    </w:rPr>
                    <w:t>Tobacco products</w:t>
                  </w:r>
                </w:p>
              </w:tc>
              <w:tc>
                <w:tcPr>
                  <w:tcW w:w="700" w:type="dxa"/>
                  <w:tcBorders>
                    <w:top w:val="nil"/>
                    <w:left w:val="nil"/>
                    <w:bottom w:val="nil"/>
                    <w:right w:val="nil"/>
                  </w:tcBorders>
                  <w:noWrap/>
                  <w:vAlign w:val="bottom"/>
                  <w:hideMark/>
                </w:tcPr>
                <w:p w14:paraId="713E03AD"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+0.8</w:t>
                  </w:r>
                </w:p>
              </w:tc>
              <w:tc>
                <w:tcPr>
                  <w:tcW w:w="700" w:type="dxa"/>
                  <w:tcBorders>
                    <w:top w:val="nil"/>
                    <w:left w:val="nil"/>
                    <w:bottom w:val="nil"/>
                    <w:right w:val="nil"/>
                  </w:tcBorders>
                  <w:noWrap/>
                  <w:vAlign w:val="bottom"/>
                  <w:hideMark/>
                </w:tcPr>
                <w:p w14:paraId="731FFCEE"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+15.9</w:t>
                  </w:r>
                </w:p>
              </w:tc>
            </w:tr>
            <w:tr w:rsidR="00D97FE0" w:rsidRPr="007E103C" w14:paraId="2828BD22" w14:textId="77777777" w:rsidTr="00D97FE0">
              <w:trPr>
                <w:trHeight w:val="252"/>
              </w:trPr>
              <w:tc>
                <w:tcPr>
                  <w:tcW w:w="3417" w:type="dxa"/>
                  <w:tcBorders>
                    <w:top w:val="nil"/>
                    <w:left w:val="nil"/>
                    <w:bottom w:val="nil"/>
                    <w:right w:val="nil"/>
                  </w:tcBorders>
                  <w:noWrap/>
                  <w:vAlign w:val="bottom"/>
                  <w:hideMark/>
                </w:tcPr>
                <w:p w14:paraId="3787088B" w14:textId="078F9AF5" w:rsidR="00D97FE0" w:rsidRPr="007E103C" w:rsidRDefault="00D97FE0" w:rsidP="00D97FE0">
                  <w:pPr>
                    <w:spacing w:after="0" w:line="240" w:lineRule="auto"/>
                    <w:jc w:val="left"/>
                    <w:rPr>
                      <w:rFonts w:cs="Arial"/>
                      <w:color w:val="000000"/>
                      <w:sz w:val="16"/>
                      <w:szCs w:val="16"/>
                      <w:lang w:val="en-GB"/>
                    </w:rPr>
                  </w:pPr>
                  <w:r w:rsidRPr="007E103C">
                    <w:rPr>
                      <w:sz w:val="16"/>
                      <w:szCs w:val="16"/>
                      <w:lang w:val="en-GB"/>
                    </w:rPr>
                    <w:t>Basic metals</w:t>
                  </w:r>
                </w:p>
              </w:tc>
              <w:tc>
                <w:tcPr>
                  <w:tcW w:w="700" w:type="dxa"/>
                  <w:tcBorders>
                    <w:top w:val="nil"/>
                    <w:left w:val="nil"/>
                    <w:bottom w:val="nil"/>
                    <w:right w:val="nil"/>
                  </w:tcBorders>
                  <w:noWrap/>
                  <w:vAlign w:val="bottom"/>
                  <w:hideMark/>
                </w:tcPr>
                <w:p w14:paraId="525F9476"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+0.7</w:t>
                  </w:r>
                </w:p>
              </w:tc>
              <w:tc>
                <w:tcPr>
                  <w:tcW w:w="700" w:type="dxa"/>
                  <w:tcBorders>
                    <w:top w:val="nil"/>
                    <w:left w:val="nil"/>
                    <w:bottom w:val="nil"/>
                    <w:right w:val="nil"/>
                  </w:tcBorders>
                  <w:noWrap/>
                  <w:vAlign w:val="bottom"/>
                  <w:hideMark/>
                </w:tcPr>
                <w:p w14:paraId="37CF5626"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+0.8</w:t>
                  </w:r>
                </w:p>
              </w:tc>
            </w:tr>
            <w:tr w:rsidR="00D97FE0" w:rsidRPr="007E103C" w14:paraId="7EF5D2C7" w14:textId="77777777" w:rsidTr="00D97FE0">
              <w:trPr>
                <w:trHeight w:val="252"/>
              </w:trPr>
              <w:tc>
                <w:tcPr>
                  <w:tcW w:w="3417" w:type="dxa"/>
                  <w:tcBorders>
                    <w:top w:val="nil"/>
                    <w:left w:val="nil"/>
                    <w:bottom w:val="nil"/>
                    <w:right w:val="nil"/>
                  </w:tcBorders>
                  <w:noWrap/>
                  <w:vAlign w:val="bottom"/>
                  <w:hideMark/>
                </w:tcPr>
                <w:p w14:paraId="3DEC8636" w14:textId="2E267680" w:rsidR="00D97FE0" w:rsidRPr="007E103C" w:rsidRDefault="00D97FE0" w:rsidP="00D97FE0">
                  <w:pPr>
                    <w:spacing w:after="0" w:line="240" w:lineRule="auto"/>
                    <w:jc w:val="left"/>
                    <w:rPr>
                      <w:rFonts w:cs="Arial"/>
                      <w:color w:val="000000"/>
                      <w:sz w:val="16"/>
                      <w:szCs w:val="16"/>
                      <w:lang w:val="en-GB"/>
                    </w:rPr>
                  </w:pPr>
                  <w:r w:rsidRPr="007E103C">
                    <w:rPr>
                      <w:sz w:val="16"/>
                      <w:szCs w:val="16"/>
                      <w:lang w:val="en-GB"/>
                    </w:rPr>
                    <w:t>Hard coal, brown coal and lignite</w:t>
                  </w:r>
                </w:p>
              </w:tc>
              <w:tc>
                <w:tcPr>
                  <w:tcW w:w="700" w:type="dxa"/>
                  <w:tcBorders>
                    <w:top w:val="nil"/>
                    <w:left w:val="nil"/>
                    <w:bottom w:val="nil"/>
                    <w:right w:val="nil"/>
                  </w:tcBorders>
                  <w:noWrap/>
                  <w:vAlign w:val="bottom"/>
                  <w:hideMark/>
                </w:tcPr>
                <w:p w14:paraId="35E59CAF"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−0.6</w:t>
                  </w:r>
                </w:p>
              </w:tc>
              <w:tc>
                <w:tcPr>
                  <w:tcW w:w="700" w:type="dxa"/>
                  <w:tcBorders>
                    <w:top w:val="nil"/>
                    <w:left w:val="nil"/>
                    <w:bottom w:val="nil"/>
                    <w:right w:val="nil"/>
                  </w:tcBorders>
                  <w:noWrap/>
                  <w:vAlign w:val="bottom"/>
                  <w:hideMark/>
                </w:tcPr>
                <w:p w14:paraId="44B8C1F6"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−18.5</w:t>
                  </w:r>
                </w:p>
              </w:tc>
            </w:tr>
            <w:tr w:rsidR="00D97FE0" w:rsidRPr="007E103C" w14:paraId="38DE4ED9" w14:textId="77777777" w:rsidTr="00D97FE0">
              <w:trPr>
                <w:trHeight w:val="252"/>
              </w:trPr>
              <w:tc>
                <w:tcPr>
                  <w:tcW w:w="3417" w:type="dxa"/>
                  <w:tcBorders>
                    <w:top w:val="nil"/>
                    <w:left w:val="nil"/>
                    <w:bottom w:val="nil"/>
                    <w:right w:val="nil"/>
                  </w:tcBorders>
                  <w:noWrap/>
                  <w:vAlign w:val="bottom"/>
                  <w:hideMark/>
                </w:tcPr>
                <w:p w14:paraId="37A42962" w14:textId="61491445" w:rsidR="00D97FE0" w:rsidRPr="007E103C" w:rsidRDefault="00D97FE0" w:rsidP="00D97FE0">
                  <w:pPr>
                    <w:spacing w:after="0" w:line="240" w:lineRule="auto"/>
                    <w:jc w:val="left"/>
                    <w:rPr>
                      <w:rFonts w:cs="Arial"/>
                      <w:color w:val="000000"/>
                      <w:sz w:val="16"/>
                      <w:szCs w:val="16"/>
                      <w:lang w:val="en-GB"/>
                    </w:rPr>
                  </w:pPr>
                  <w:r w:rsidRPr="007E103C">
                    <w:rPr>
                      <w:sz w:val="16"/>
                      <w:szCs w:val="16"/>
                      <w:lang w:val="en-GB"/>
                    </w:rPr>
                    <w:t>Textiles</w:t>
                  </w:r>
                </w:p>
              </w:tc>
              <w:tc>
                <w:tcPr>
                  <w:tcW w:w="700" w:type="dxa"/>
                  <w:tcBorders>
                    <w:top w:val="nil"/>
                    <w:left w:val="nil"/>
                    <w:bottom w:val="nil"/>
                    <w:right w:val="nil"/>
                  </w:tcBorders>
                  <w:noWrap/>
                  <w:vAlign w:val="bottom"/>
                  <w:hideMark/>
                </w:tcPr>
                <w:p w14:paraId="2FD46FA4"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−0.6</w:t>
                  </w:r>
                </w:p>
              </w:tc>
              <w:tc>
                <w:tcPr>
                  <w:tcW w:w="700" w:type="dxa"/>
                  <w:tcBorders>
                    <w:top w:val="nil"/>
                    <w:left w:val="nil"/>
                    <w:bottom w:val="nil"/>
                    <w:right w:val="nil"/>
                  </w:tcBorders>
                  <w:noWrap/>
                  <w:vAlign w:val="bottom"/>
                  <w:hideMark/>
                </w:tcPr>
                <w:p w14:paraId="03CBB4A8"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−4.5</w:t>
                  </w:r>
                </w:p>
              </w:tc>
            </w:tr>
            <w:tr w:rsidR="00D97FE0" w:rsidRPr="007E103C" w14:paraId="0F4EA3C1" w14:textId="77777777" w:rsidTr="00D97FE0">
              <w:trPr>
                <w:trHeight w:val="252"/>
              </w:trPr>
              <w:tc>
                <w:tcPr>
                  <w:tcW w:w="3417" w:type="dxa"/>
                  <w:tcBorders>
                    <w:top w:val="nil"/>
                    <w:left w:val="nil"/>
                    <w:bottom w:val="nil"/>
                    <w:right w:val="nil"/>
                  </w:tcBorders>
                  <w:noWrap/>
                  <w:vAlign w:val="bottom"/>
                  <w:hideMark/>
                </w:tcPr>
                <w:p w14:paraId="4383AF0D" w14:textId="26901211" w:rsidR="00D97FE0" w:rsidRPr="007E103C" w:rsidRDefault="00D97FE0" w:rsidP="00D97FE0">
                  <w:pPr>
                    <w:spacing w:after="0" w:line="240" w:lineRule="auto"/>
                    <w:jc w:val="left"/>
                    <w:rPr>
                      <w:rFonts w:cs="Arial"/>
                      <w:color w:val="000000"/>
                      <w:sz w:val="16"/>
                      <w:szCs w:val="16"/>
                      <w:lang w:val="en-GB"/>
                    </w:rPr>
                  </w:pPr>
                  <w:r w:rsidRPr="007E103C">
                    <w:rPr>
                      <w:sz w:val="16"/>
                      <w:szCs w:val="16"/>
                      <w:lang w:val="en-GB"/>
                    </w:rPr>
                    <w:t>Other transport equipment</w:t>
                  </w:r>
                </w:p>
              </w:tc>
              <w:tc>
                <w:tcPr>
                  <w:tcW w:w="700" w:type="dxa"/>
                  <w:tcBorders>
                    <w:top w:val="nil"/>
                    <w:left w:val="nil"/>
                    <w:bottom w:val="nil"/>
                    <w:right w:val="nil"/>
                  </w:tcBorders>
                  <w:noWrap/>
                  <w:vAlign w:val="bottom"/>
                  <w:hideMark/>
                </w:tcPr>
                <w:p w14:paraId="2DDF65DB"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−0.7</w:t>
                  </w:r>
                </w:p>
              </w:tc>
              <w:tc>
                <w:tcPr>
                  <w:tcW w:w="700" w:type="dxa"/>
                  <w:tcBorders>
                    <w:top w:val="nil"/>
                    <w:left w:val="nil"/>
                    <w:bottom w:val="nil"/>
                    <w:right w:val="nil"/>
                  </w:tcBorders>
                  <w:noWrap/>
                  <w:vAlign w:val="bottom"/>
                  <w:hideMark/>
                </w:tcPr>
                <w:p w14:paraId="6E535E1E"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−3.9</w:t>
                  </w:r>
                </w:p>
              </w:tc>
            </w:tr>
            <w:tr w:rsidR="00D97FE0" w:rsidRPr="007E103C" w14:paraId="7033BA7C" w14:textId="77777777" w:rsidTr="00D97FE0">
              <w:trPr>
                <w:trHeight w:val="252"/>
              </w:trPr>
              <w:tc>
                <w:tcPr>
                  <w:tcW w:w="3417" w:type="dxa"/>
                  <w:tcBorders>
                    <w:top w:val="nil"/>
                    <w:left w:val="nil"/>
                    <w:bottom w:val="nil"/>
                    <w:right w:val="nil"/>
                  </w:tcBorders>
                  <w:noWrap/>
                  <w:vAlign w:val="bottom"/>
                  <w:hideMark/>
                </w:tcPr>
                <w:p w14:paraId="56ECEA85" w14:textId="47F2E080" w:rsidR="00D97FE0" w:rsidRPr="007E103C" w:rsidRDefault="00D97FE0" w:rsidP="00D97FE0">
                  <w:pPr>
                    <w:spacing w:after="0" w:line="240" w:lineRule="auto"/>
                    <w:jc w:val="left"/>
                    <w:rPr>
                      <w:rFonts w:cs="Arial"/>
                      <w:color w:val="000000"/>
                      <w:sz w:val="16"/>
                      <w:szCs w:val="16"/>
                      <w:lang w:val="en-GB"/>
                    </w:rPr>
                  </w:pPr>
                  <w:r w:rsidRPr="007E103C">
                    <w:rPr>
                      <w:sz w:val="16"/>
                      <w:szCs w:val="16"/>
                      <w:lang w:val="en-GB"/>
                    </w:rPr>
                    <w:t>Chemicals and chemical products</w:t>
                  </w:r>
                </w:p>
              </w:tc>
              <w:tc>
                <w:tcPr>
                  <w:tcW w:w="700" w:type="dxa"/>
                  <w:tcBorders>
                    <w:top w:val="nil"/>
                    <w:left w:val="nil"/>
                    <w:bottom w:val="nil"/>
                    <w:right w:val="nil"/>
                  </w:tcBorders>
                  <w:noWrap/>
                  <w:vAlign w:val="bottom"/>
                  <w:hideMark/>
                </w:tcPr>
                <w:p w14:paraId="59EDCE20"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−2.0</w:t>
                  </w:r>
                </w:p>
              </w:tc>
              <w:tc>
                <w:tcPr>
                  <w:tcW w:w="700" w:type="dxa"/>
                  <w:tcBorders>
                    <w:top w:val="nil"/>
                    <w:left w:val="nil"/>
                    <w:bottom w:val="nil"/>
                    <w:right w:val="nil"/>
                  </w:tcBorders>
                  <w:noWrap/>
                  <w:vAlign w:val="bottom"/>
                  <w:hideMark/>
                </w:tcPr>
                <w:p w14:paraId="13098B5A"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−2.2</w:t>
                  </w:r>
                </w:p>
              </w:tc>
            </w:tr>
            <w:tr w:rsidR="00D97FE0" w:rsidRPr="007E103C" w14:paraId="78A6783A" w14:textId="77777777" w:rsidTr="00D97FE0">
              <w:trPr>
                <w:trHeight w:val="252"/>
              </w:trPr>
              <w:tc>
                <w:tcPr>
                  <w:tcW w:w="3417" w:type="dxa"/>
                  <w:tcBorders>
                    <w:top w:val="nil"/>
                    <w:left w:val="nil"/>
                    <w:bottom w:val="nil"/>
                    <w:right w:val="nil"/>
                  </w:tcBorders>
                  <w:noWrap/>
                  <w:vAlign w:val="bottom"/>
                  <w:hideMark/>
                </w:tcPr>
                <w:p w14:paraId="0B860922" w14:textId="242F8EB8" w:rsidR="00D97FE0" w:rsidRPr="007E103C" w:rsidRDefault="00D97FE0" w:rsidP="00D97FE0">
                  <w:pPr>
                    <w:spacing w:after="0" w:line="240" w:lineRule="auto"/>
                    <w:jc w:val="left"/>
                    <w:rPr>
                      <w:rFonts w:cs="Arial"/>
                      <w:color w:val="000000"/>
                      <w:sz w:val="16"/>
                      <w:szCs w:val="16"/>
                      <w:lang w:val="en-GB"/>
                    </w:rPr>
                  </w:pPr>
                  <w:r w:rsidRPr="007E103C">
                    <w:rPr>
                      <w:sz w:val="16"/>
                      <w:szCs w:val="16"/>
                      <w:lang w:val="en-GB"/>
                    </w:rPr>
                    <w:t>Coke and refined petroleum products</w:t>
                  </w:r>
                </w:p>
              </w:tc>
              <w:tc>
                <w:tcPr>
                  <w:tcW w:w="700" w:type="dxa"/>
                  <w:tcBorders>
                    <w:top w:val="nil"/>
                    <w:left w:val="nil"/>
                    <w:bottom w:val="nil"/>
                    <w:right w:val="nil"/>
                  </w:tcBorders>
                  <w:noWrap/>
                  <w:vAlign w:val="bottom"/>
                  <w:hideMark/>
                </w:tcPr>
                <w:p w14:paraId="301907FD"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−6.1</w:t>
                  </w:r>
                </w:p>
              </w:tc>
              <w:tc>
                <w:tcPr>
                  <w:tcW w:w="700" w:type="dxa"/>
                  <w:tcBorders>
                    <w:top w:val="nil"/>
                    <w:left w:val="nil"/>
                    <w:bottom w:val="nil"/>
                    <w:right w:val="nil"/>
                  </w:tcBorders>
                  <w:noWrap/>
                  <w:vAlign w:val="bottom"/>
                  <w:hideMark/>
                </w:tcPr>
                <w:p w14:paraId="4B5435F3"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−21.5</w:t>
                  </w:r>
                </w:p>
              </w:tc>
            </w:tr>
          </w:tbl>
          <w:p w14:paraId="255F37D1" w14:textId="77777777" w:rsidR="008B2CA8" w:rsidRPr="007E103C" w:rsidRDefault="008B2CA8" w:rsidP="008B2CA8">
            <w:pPr>
              <w:spacing w:after="0"/>
              <w:rPr>
                <w:spacing w:val="-4"/>
                <w:sz w:val="16"/>
                <w:szCs w:val="16"/>
                <w:lang w:val="en-GB" w:eastAsia="en-US"/>
              </w:rPr>
            </w:pPr>
          </w:p>
        </w:tc>
        <w:tc>
          <w:tcPr>
            <w:tcW w:w="57" w:type="dxa"/>
          </w:tcPr>
          <w:p w14:paraId="50ED1262" w14:textId="77777777" w:rsidR="008B2CA8" w:rsidRPr="007E103C" w:rsidRDefault="008B2CA8" w:rsidP="008B2CA8">
            <w:pPr>
              <w:spacing w:after="0"/>
              <w:rPr>
                <w:spacing w:val="-4"/>
                <w:sz w:val="16"/>
                <w:szCs w:val="16"/>
                <w:lang w:val="en-GB" w:eastAsia="en-US"/>
              </w:rPr>
            </w:pPr>
          </w:p>
        </w:tc>
        <w:tc>
          <w:tcPr>
            <w:tcW w:w="4809" w:type="dxa"/>
            <w:hideMark/>
          </w:tcPr>
          <w:tbl>
            <w:tblPr>
              <w:tblW w:w="4762" w:type="dxa"/>
              <w:tblLayout w:type="fixed"/>
              <w:tblCellMar>
                <w:left w:w="70" w:type="dxa"/>
                <w:right w:w="70" w:type="dxa"/>
              </w:tblCellMar>
              <w:tblLook w:val="04A0" w:firstRow="1" w:lastRow="0" w:firstColumn="1" w:lastColumn="0" w:noHBand="0" w:noVBand="1"/>
            </w:tblPr>
            <w:tblGrid>
              <w:gridCol w:w="3362"/>
              <w:gridCol w:w="700"/>
              <w:gridCol w:w="700"/>
            </w:tblGrid>
            <w:tr w:rsidR="008B2CA8" w:rsidRPr="007E103C" w14:paraId="2C24FC59" w14:textId="77777777" w:rsidTr="008B2CA8">
              <w:trPr>
                <w:trHeight w:val="252"/>
              </w:trPr>
              <w:tc>
                <w:tcPr>
                  <w:tcW w:w="3362" w:type="dxa"/>
                  <w:tcBorders>
                    <w:top w:val="nil"/>
                    <w:left w:val="nil"/>
                    <w:bottom w:val="single" w:sz="4" w:space="0" w:color="auto"/>
                    <w:right w:val="nil"/>
                  </w:tcBorders>
                  <w:noWrap/>
                  <w:vAlign w:val="bottom"/>
                  <w:hideMark/>
                </w:tcPr>
                <w:p w14:paraId="31E7220E" w14:textId="77777777" w:rsidR="008B2CA8" w:rsidRPr="007E103C" w:rsidRDefault="008B2CA8" w:rsidP="008B2CA8">
                  <w:pPr>
                    <w:spacing w:after="0" w:line="240" w:lineRule="auto"/>
                    <w:jc w:val="left"/>
                    <w:rPr>
                      <w:rFonts w:cs="Arial"/>
                      <w:color w:val="000000"/>
                      <w:sz w:val="22"/>
                      <w:szCs w:val="22"/>
                      <w:lang w:val="en-GB"/>
                    </w:rPr>
                  </w:pPr>
                </w:p>
              </w:tc>
              <w:tc>
                <w:tcPr>
                  <w:tcW w:w="700" w:type="dxa"/>
                  <w:tcBorders>
                    <w:top w:val="nil"/>
                    <w:left w:val="nil"/>
                    <w:bottom w:val="single" w:sz="4" w:space="0" w:color="auto"/>
                    <w:right w:val="nil"/>
                  </w:tcBorders>
                  <w:noWrap/>
                  <w:vAlign w:val="bottom"/>
                  <w:hideMark/>
                </w:tcPr>
                <w:p w14:paraId="0B122E82"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bn CZK</w:t>
                  </w:r>
                </w:p>
              </w:tc>
              <w:tc>
                <w:tcPr>
                  <w:tcW w:w="700" w:type="dxa"/>
                  <w:tcBorders>
                    <w:top w:val="nil"/>
                    <w:left w:val="nil"/>
                    <w:bottom w:val="single" w:sz="4" w:space="0" w:color="auto"/>
                    <w:right w:val="nil"/>
                  </w:tcBorders>
                  <w:noWrap/>
                  <w:vAlign w:val="bottom"/>
                  <w:hideMark/>
                </w:tcPr>
                <w:p w14:paraId="538EE646"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w:t>
                  </w:r>
                </w:p>
              </w:tc>
            </w:tr>
            <w:tr w:rsidR="008B2CA8" w:rsidRPr="007E103C" w14:paraId="3F555CAE" w14:textId="77777777" w:rsidTr="008B2CA8">
              <w:trPr>
                <w:trHeight w:val="252"/>
              </w:trPr>
              <w:tc>
                <w:tcPr>
                  <w:tcW w:w="3362" w:type="dxa"/>
                  <w:tcBorders>
                    <w:top w:val="nil"/>
                    <w:left w:val="nil"/>
                    <w:bottom w:val="nil"/>
                    <w:right w:val="nil"/>
                  </w:tcBorders>
                  <w:noWrap/>
                  <w:vAlign w:val="bottom"/>
                  <w:hideMark/>
                </w:tcPr>
                <w:p w14:paraId="21F1B1E8"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China</w:t>
                  </w:r>
                </w:p>
              </w:tc>
              <w:tc>
                <w:tcPr>
                  <w:tcW w:w="700" w:type="dxa"/>
                  <w:tcBorders>
                    <w:top w:val="nil"/>
                    <w:left w:val="nil"/>
                    <w:bottom w:val="nil"/>
                    <w:right w:val="nil"/>
                  </w:tcBorders>
                  <w:noWrap/>
                  <w:vAlign w:val="bottom"/>
                  <w:hideMark/>
                </w:tcPr>
                <w:p w14:paraId="5042E760"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+8.5</w:t>
                  </w:r>
                </w:p>
              </w:tc>
              <w:tc>
                <w:tcPr>
                  <w:tcW w:w="700" w:type="dxa"/>
                  <w:tcBorders>
                    <w:top w:val="nil"/>
                    <w:left w:val="nil"/>
                    <w:bottom w:val="nil"/>
                    <w:right w:val="nil"/>
                  </w:tcBorders>
                  <w:noWrap/>
                  <w:vAlign w:val="bottom"/>
                  <w:hideMark/>
                </w:tcPr>
                <w:p w14:paraId="31B31C67"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+6.7</w:t>
                  </w:r>
                </w:p>
              </w:tc>
            </w:tr>
            <w:tr w:rsidR="008B2CA8" w:rsidRPr="007E103C" w14:paraId="3272A68D" w14:textId="77777777" w:rsidTr="008B2CA8">
              <w:trPr>
                <w:trHeight w:val="252"/>
              </w:trPr>
              <w:tc>
                <w:tcPr>
                  <w:tcW w:w="3362" w:type="dxa"/>
                  <w:tcBorders>
                    <w:top w:val="nil"/>
                    <w:left w:val="nil"/>
                    <w:bottom w:val="nil"/>
                    <w:right w:val="nil"/>
                  </w:tcBorders>
                  <w:noWrap/>
                  <w:vAlign w:val="bottom"/>
                  <w:hideMark/>
                </w:tcPr>
                <w:p w14:paraId="48D16111"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Norway</w:t>
                  </w:r>
                </w:p>
              </w:tc>
              <w:tc>
                <w:tcPr>
                  <w:tcW w:w="700" w:type="dxa"/>
                  <w:tcBorders>
                    <w:top w:val="nil"/>
                    <w:left w:val="nil"/>
                    <w:bottom w:val="nil"/>
                    <w:right w:val="nil"/>
                  </w:tcBorders>
                  <w:noWrap/>
                  <w:vAlign w:val="bottom"/>
                  <w:hideMark/>
                </w:tcPr>
                <w:p w14:paraId="2385AB8F"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+8.4</w:t>
                  </w:r>
                </w:p>
              </w:tc>
              <w:tc>
                <w:tcPr>
                  <w:tcW w:w="700" w:type="dxa"/>
                  <w:tcBorders>
                    <w:top w:val="nil"/>
                    <w:left w:val="nil"/>
                    <w:bottom w:val="nil"/>
                    <w:right w:val="nil"/>
                  </w:tcBorders>
                  <w:noWrap/>
                  <w:vAlign w:val="bottom"/>
                  <w:hideMark/>
                </w:tcPr>
                <w:p w14:paraId="5A135361"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+51.2</w:t>
                  </w:r>
                </w:p>
              </w:tc>
            </w:tr>
            <w:tr w:rsidR="008B2CA8" w:rsidRPr="007E103C" w14:paraId="68A7A51D" w14:textId="77777777" w:rsidTr="008B2CA8">
              <w:trPr>
                <w:trHeight w:val="252"/>
              </w:trPr>
              <w:tc>
                <w:tcPr>
                  <w:tcW w:w="3362" w:type="dxa"/>
                  <w:tcBorders>
                    <w:top w:val="nil"/>
                    <w:left w:val="nil"/>
                    <w:bottom w:val="nil"/>
                    <w:right w:val="nil"/>
                  </w:tcBorders>
                  <w:noWrap/>
                  <w:vAlign w:val="bottom"/>
                  <w:hideMark/>
                </w:tcPr>
                <w:p w14:paraId="736C41CA"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Turkey</w:t>
                  </w:r>
                </w:p>
              </w:tc>
              <w:tc>
                <w:tcPr>
                  <w:tcW w:w="700" w:type="dxa"/>
                  <w:tcBorders>
                    <w:top w:val="nil"/>
                    <w:left w:val="nil"/>
                    <w:bottom w:val="nil"/>
                    <w:right w:val="nil"/>
                  </w:tcBorders>
                  <w:noWrap/>
                  <w:vAlign w:val="bottom"/>
                  <w:hideMark/>
                </w:tcPr>
                <w:p w14:paraId="1B24E908"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+2.9</w:t>
                  </w:r>
                </w:p>
              </w:tc>
              <w:tc>
                <w:tcPr>
                  <w:tcW w:w="700" w:type="dxa"/>
                  <w:tcBorders>
                    <w:top w:val="nil"/>
                    <w:left w:val="nil"/>
                    <w:bottom w:val="nil"/>
                    <w:right w:val="nil"/>
                  </w:tcBorders>
                  <w:noWrap/>
                  <w:vAlign w:val="bottom"/>
                  <w:hideMark/>
                </w:tcPr>
                <w:p w14:paraId="720C9B1D"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+21.4</w:t>
                  </w:r>
                </w:p>
              </w:tc>
            </w:tr>
            <w:tr w:rsidR="008B2CA8" w:rsidRPr="007E103C" w14:paraId="2BD3F014" w14:textId="77777777" w:rsidTr="008B2CA8">
              <w:trPr>
                <w:trHeight w:val="252"/>
              </w:trPr>
              <w:tc>
                <w:tcPr>
                  <w:tcW w:w="3362" w:type="dxa"/>
                  <w:tcBorders>
                    <w:top w:val="nil"/>
                    <w:left w:val="nil"/>
                    <w:bottom w:val="nil"/>
                    <w:right w:val="nil"/>
                  </w:tcBorders>
                  <w:noWrap/>
                  <w:vAlign w:val="bottom"/>
                  <w:hideMark/>
                </w:tcPr>
                <w:p w14:paraId="027633DD"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Singapore</w:t>
                  </w:r>
                </w:p>
              </w:tc>
              <w:tc>
                <w:tcPr>
                  <w:tcW w:w="700" w:type="dxa"/>
                  <w:tcBorders>
                    <w:top w:val="nil"/>
                    <w:left w:val="nil"/>
                    <w:bottom w:val="nil"/>
                    <w:right w:val="nil"/>
                  </w:tcBorders>
                  <w:noWrap/>
                  <w:vAlign w:val="bottom"/>
                  <w:hideMark/>
                </w:tcPr>
                <w:p w14:paraId="0BB04F19"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+2.8</w:t>
                  </w:r>
                </w:p>
              </w:tc>
              <w:tc>
                <w:tcPr>
                  <w:tcW w:w="700" w:type="dxa"/>
                  <w:tcBorders>
                    <w:top w:val="nil"/>
                    <w:left w:val="nil"/>
                    <w:bottom w:val="nil"/>
                    <w:right w:val="nil"/>
                  </w:tcBorders>
                  <w:noWrap/>
                  <w:vAlign w:val="bottom"/>
                  <w:hideMark/>
                </w:tcPr>
                <w:p w14:paraId="05D73333"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+217.5</w:t>
                  </w:r>
                </w:p>
              </w:tc>
            </w:tr>
            <w:tr w:rsidR="008B2CA8" w:rsidRPr="007E103C" w14:paraId="33DB47F6" w14:textId="77777777" w:rsidTr="008B2CA8">
              <w:trPr>
                <w:trHeight w:val="252"/>
              </w:trPr>
              <w:tc>
                <w:tcPr>
                  <w:tcW w:w="3362" w:type="dxa"/>
                  <w:tcBorders>
                    <w:top w:val="nil"/>
                    <w:left w:val="nil"/>
                    <w:bottom w:val="nil"/>
                    <w:right w:val="nil"/>
                  </w:tcBorders>
                  <w:noWrap/>
                  <w:vAlign w:val="bottom"/>
                  <w:hideMark/>
                </w:tcPr>
                <w:p w14:paraId="7CAE0190"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Poland</w:t>
                  </w:r>
                </w:p>
              </w:tc>
              <w:tc>
                <w:tcPr>
                  <w:tcW w:w="700" w:type="dxa"/>
                  <w:tcBorders>
                    <w:top w:val="nil"/>
                    <w:left w:val="nil"/>
                    <w:bottom w:val="nil"/>
                    <w:right w:val="nil"/>
                  </w:tcBorders>
                  <w:noWrap/>
                  <w:vAlign w:val="bottom"/>
                  <w:hideMark/>
                </w:tcPr>
                <w:p w14:paraId="3A7EE381"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+2.5</w:t>
                  </w:r>
                </w:p>
              </w:tc>
              <w:tc>
                <w:tcPr>
                  <w:tcW w:w="700" w:type="dxa"/>
                  <w:tcBorders>
                    <w:top w:val="nil"/>
                    <w:left w:val="nil"/>
                    <w:bottom w:val="nil"/>
                    <w:right w:val="nil"/>
                  </w:tcBorders>
                  <w:noWrap/>
                  <w:vAlign w:val="bottom"/>
                  <w:hideMark/>
                </w:tcPr>
                <w:p w14:paraId="30EA9ECF"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+2.3</w:t>
                  </w:r>
                </w:p>
              </w:tc>
            </w:tr>
            <w:tr w:rsidR="008B2CA8" w:rsidRPr="007E103C" w14:paraId="47DF8154" w14:textId="77777777" w:rsidTr="008B2CA8">
              <w:trPr>
                <w:trHeight w:val="252"/>
              </w:trPr>
              <w:tc>
                <w:tcPr>
                  <w:tcW w:w="3362" w:type="dxa"/>
                  <w:tcBorders>
                    <w:top w:val="nil"/>
                    <w:left w:val="nil"/>
                    <w:bottom w:val="nil"/>
                    <w:right w:val="nil"/>
                  </w:tcBorders>
                  <w:noWrap/>
                  <w:vAlign w:val="bottom"/>
                  <w:hideMark/>
                </w:tcPr>
                <w:p w14:paraId="7E647D42"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Canada</w:t>
                  </w:r>
                </w:p>
              </w:tc>
              <w:tc>
                <w:tcPr>
                  <w:tcW w:w="700" w:type="dxa"/>
                  <w:tcBorders>
                    <w:top w:val="nil"/>
                    <w:left w:val="nil"/>
                    <w:bottom w:val="nil"/>
                    <w:right w:val="nil"/>
                  </w:tcBorders>
                  <w:noWrap/>
                  <w:vAlign w:val="bottom"/>
                  <w:hideMark/>
                </w:tcPr>
                <w:p w14:paraId="70264575"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+2.4</w:t>
                  </w:r>
                </w:p>
              </w:tc>
              <w:tc>
                <w:tcPr>
                  <w:tcW w:w="700" w:type="dxa"/>
                  <w:tcBorders>
                    <w:top w:val="nil"/>
                    <w:left w:val="nil"/>
                    <w:bottom w:val="nil"/>
                    <w:right w:val="nil"/>
                  </w:tcBorders>
                  <w:noWrap/>
                  <w:vAlign w:val="bottom"/>
                  <w:hideMark/>
                </w:tcPr>
                <w:p w14:paraId="07439CB5"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+122.9</w:t>
                  </w:r>
                </w:p>
              </w:tc>
            </w:tr>
            <w:tr w:rsidR="008B2CA8" w:rsidRPr="007E103C" w14:paraId="00737934" w14:textId="77777777" w:rsidTr="008B2CA8">
              <w:trPr>
                <w:trHeight w:val="252"/>
              </w:trPr>
              <w:tc>
                <w:tcPr>
                  <w:tcW w:w="3362" w:type="dxa"/>
                  <w:tcBorders>
                    <w:top w:val="nil"/>
                    <w:left w:val="nil"/>
                    <w:bottom w:val="nil"/>
                    <w:right w:val="nil"/>
                  </w:tcBorders>
                  <w:noWrap/>
                  <w:vAlign w:val="bottom"/>
                  <w:hideMark/>
                </w:tcPr>
                <w:p w14:paraId="6471487B"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Germany</w:t>
                  </w:r>
                </w:p>
              </w:tc>
              <w:tc>
                <w:tcPr>
                  <w:tcW w:w="700" w:type="dxa"/>
                  <w:tcBorders>
                    <w:top w:val="nil"/>
                    <w:left w:val="nil"/>
                    <w:bottom w:val="nil"/>
                    <w:right w:val="nil"/>
                  </w:tcBorders>
                  <w:noWrap/>
                  <w:vAlign w:val="bottom"/>
                  <w:hideMark/>
                </w:tcPr>
                <w:p w14:paraId="68F69622"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+1.8</w:t>
                  </w:r>
                </w:p>
              </w:tc>
              <w:tc>
                <w:tcPr>
                  <w:tcW w:w="700" w:type="dxa"/>
                  <w:tcBorders>
                    <w:top w:val="nil"/>
                    <w:left w:val="nil"/>
                    <w:bottom w:val="nil"/>
                    <w:right w:val="nil"/>
                  </w:tcBorders>
                  <w:noWrap/>
                  <w:vAlign w:val="bottom"/>
                  <w:hideMark/>
                </w:tcPr>
                <w:p w14:paraId="56EA956E"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+0.7</w:t>
                  </w:r>
                </w:p>
              </w:tc>
            </w:tr>
            <w:tr w:rsidR="008B2CA8" w:rsidRPr="007E103C" w14:paraId="41577F15" w14:textId="77777777" w:rsidTr="008B2CA8">
              <w:trPr>
                <w:trHeight w:val="252"/>
              </w:trPr>
              <w:tc>
                <w:tcPr>
                  <w:tcW w:w="3362" w:type="dxa"/>
                  <w:tcBorders>
                    <w:top w:val="nil"/>
                    <w:left w:val="nil"/>
                    <w:bottom w:val="nil"/>
                    <w:right w:val="nil"/>
                  </w:tcBorders>
                  <w:noWrap/>
                  <w:vAlign w:val="bottom"/>
                  <w:hideMark/>
                </w:tcPr>
                <w:p w14:paraId="68FD6401"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France</w:t>
                  </w:r>
                </w:p>
              </w:tc>
              <w:tc>
                <w:tcPr>
                  <w:tcW w:w="700" w:type="dxa"/>
                  <w:tcBorders>
                    <w:top w:val="nil"/>
                    <w:left w:val="nil"/>
                    <w:bottom w:val="nil"/>
                    <w:right w:val="nil"/>
                  </w:tcBorders>
                  <w:noWrap/>
                  <w:vAlign w:val="bottom"/>
                  <w:hideMark/>
                </w:tcPr>
                <w:p w14:paraId="5BF26955"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+1.6</w:t>
                  </w:r>
                </w:p>
              </w:tc>
              <w:tc>
                <w:tcPr>
                  <w:tcW w:w="700" w:type="dxa"/>
                  <w:tcBorders>
                    <w:top w:val="nil"/>
                    <w:left w:val="nil"/>
                    <w:bottom w:val="nil"/>
                    <w:right w:val="nil"/>
                  </w:tcBorders>
                  <w:noWrap/>
                  <w:vAlign w:val="bottom"/>
                  <w:hideMark/>
                </w:tcPr>
                <w:p w14:paraId="7DBFC78E"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+4.8</w:t>
                  </w:r>
                </w:p>
              </w:tc>
            </w:tr>
            <w:tr w:rsidR="008B2CA8" w:rsidRPr="007E103C" w14:paraId="13E529A5" w14:textId="77777777" w:rsidTr="008B2CA8">
              <w:trPr>
                <w:trHeight w:val="252"/>
              </w:trPr>
              <w:tc>
                <w:tcPr>
                  <w:tcW w:w="3362" w:type="dxa"/>
                  <w:tcBorders>
                    <w:top w:val="nil"/>
                    <w:left w:val="nil"/>
                    <w:bottom w:val="nil"/>
                    <w:right w:val="nil"/>
                  </w:tcBorders>
                  <w:noWrap/>
                  <w:vAlign w:val="bottom"/>
                  <w:hideMark/>
                </w:tcPr>
                <w:p w14:paraId="54B32311"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Kazakhstan</w:t>
                  </w:r>
                </w:p>
              </w:tc>
              <w:tc>
                <w:tcPr>
                  <w:tcW w:w="700" w:type="dxa"/>
                  <w:tcBorders>
                    <w:top w:val="nil"/>
                    <w:left w:val="nil"/>
                    <w:bottom w:val="nil"/>
                    <w:right w:val="nil"/>
                  </w:tcBorders>
                  <w:noWrap/>
                  <w:vAlign w:val="bottom"/>
                  <w:hideMark/>
                </w:tcPr>
                <w:p w14:paraId="7755263A"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+1.6</w:t>
                  </w:r>
                </w:p>
              </w:tc>
              <w:tc>
                <w:tcPr>
                  <w:tcW w:w="700" w:type="dxa"/>
                  <w:tcBorders>
                    <w:top w:val="nil"/>
                    <w:left w:val="nil"/>
                    <w:bottom w:val="nil"/>
                    <w:right w:val="nil"/>
                  </w:tcBorders>
                  <w:noWrap/>
                  <w:vAlign w:val="bottom"/>
                  <w:hideMark/>
                </w:tcPr>
                <w:p w14:paraId="18A88438"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+47.3</w:t>
                  </w:r>
                </w:p>
              </w:tc>
            </w:tr>
            <w:tr w:rsidR="008B2CA8" w:rsidRPr="007E103C" w14:paraId="67634827" w14:textId="77777777" w:rsidTr="008B2CA8">
              <w:trPr>
                <w:trHeight w:val="252"/>
              </w:trPr>
              <w:tc>
                <w:tcPr>
                  <w:tcW w:w="3362" w:type="dxa"/>
                  <w:tcBorders>
                    <w:top w:val="nil"/>
                    <w:left w:val="nil"/>
                    <w:bottom w:val="nil"/>
                    <w:right w:val="nil"/>
                  </w:tcBorders>
                  <w:noWrap/>
                  <w:vAlign w:val="bottom"/>
                  <w:hideMark/>
                </w:tcPr>
                <w:p w14:paraId="597B557D"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Malaysia</w:t>
                  </w:r>
                </w:p>
              </w:tc>
              <w:tc>
                <w:tcPr>
                  <w:tcW w:w="700" w:type="dxa"/>
                  <w:tcBorders>
                    <w:top w:val="nil"/>
                    <w:left w:val="nil"/>
                    <w:bottom w:val="nil"/>
                    <w:right w:val="nil"/>
                  </w:tcBorders>
                  <w:noWrap/>
                  <w:vAlign w:val="bottom"/>
                  <w:hideMark/>
                </w:tcPr>
                <w:p w14:paraId="6B8B7F3D"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+1.6</w:t>
                  </w:r>
                </w:p>
              </w:tc>
              <w:tc>
                <w:tcPr>
                  <w:tcW w:w="700" w:type="dxa"/>
                  <w:tcBorders>
                    <w:top w:val="nil"/>
                    <w:left w:val="nil"/>
                    <w:bottom w:val="nil"/>
                    <w:right w:val="nil"/>
                  </w:tcBorders>
                  <w:noWrap/>
                  <w:vAlign w:val="bottom"/>
                  <w:hideMark/>
                </w:tcPr>
                <w:p w14:paraId="619D3767"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+28.6</w:t>
                  </w:r>
                </w:p>
              </w:tc>
            </w:tr>
            <w:tr w:rsidR="008B2CA8" w:rsidRPr="007E103C" w14:paraId="2AC155C5" w14:textId="77777777" w:rsidTr="008B2CA8">
              <w:trPr>
                <w:trHeight w:val="252"/>
              </w:trPr>
              <w:tc>
                <w:tcPr>
                  <w:tcW w:w="3362" w:type="dxa"/>
                  <w:tcBorders>
                    <w:top w:val="nil"/>
                    <w:left w:val="nil"/>
                    <w:bottom w:val="nil"/>
                    <w:right w:val="nil"/>
                  </w:tcBorders>
                  <w:noWrap/>
                  <w:vAlign w:val="bottom"/>
                  <w:hideMark/>
                </w:tcPr>
                <w:p w14:paraId="66D3E2EC"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Switzerland</w:t>
                  </w:r>
                </w:p>
              </w:tc>
              <w:tc>
                <w:tcPr>
                  <w:tcW w:w="700" w:type="dxa"/>
                  <w:tcBorders>
                    <w:top w:val="nil"/>
                    <w:left w:val="nil"/>
                    <w:bottom w:val="nil"/>
                    <w:right w:val="nil"/>
                  </w:tcBorders>
                  <w:noWrap/>
                  <w:vAlign w:val="bottom"/>
                  <w:hideMark/>
                </w:tcPr>
                <w:p w14:paraId="69B56102"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+1.4</w:t>
                  </w:r>
                </w:p>
              </w:tc>
              <w:tc>
                <w:tcPr>
                  <w:tcW w:w="700" w:type="dxa"/>
                  <w:tcBorders>
                    <w:top w:val="nil"/>
                    <w:left w:val="nil"/>
                    <w:bottom w:val="nil"/>
                    <w:right w:val="nil"/>
                  </w:tcBorders>
                  <w:noWrap/>
                  <w:vAlign w:val="bottom"/>
                  <w:hideMark/>
                </w:tcPr>
                <w:p w14:paraId="6E576B6E"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+11.4</w:t>
                  </w:r>
                </w:p>
              </w:tc>
            </w:tr>
            <w:tr w:rsidR="008B2CA8" w:rsidRPr="007E103C" w14:paraId="642D5FB2" w14:textId="77777777" w:rsidTr="008B2CA8">
              <w:trPr>
                <w:trHeight w:val="252"/>
              </w:trPr>
              <w:tc>
                <w:tcPr>
                  <w:tcW w:w="3362" w:type="dxa"/>
                  <w:tcBorders>
                    <w:top w:val="nil"/>
                    <w:left w:val="nil"/>
                    <w:bottom w:val="nil"/>
                    <w:right w:val="nil"/>
                  </w:tcBorders>
                  <w:noWrap/>
                  <w:vAlign w:val="bottom"/>
                  <w:hideMark/>
                </w:tcPr>
                <w:p w14:paraId="56043551"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Austria</w:t>
                  </w:r>
                </w:p>
              </w:tc>
              <w:tc>
                <w:tcPr>
                  <w:tcW w:w="700" w:type="dxa"/>
                  <w:tcBorders>
                    <w:top w:val="nil"/>
                    <w:left w:val="nil"/>
                    <w:bottom w:val="nil"/>
                    <w:right w:val="nil"/>
                  </w:tcBorders>
                  <w:noWrap/>
                  <w:vAlign w:val="bottom"/>
                  <w:hideMark/>
                </w:tcPr>
                <w:p w14:paraId="7A7E3A97"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+1.3</w:t>
                  </w:r>
                </w:p>
              </w:tc>
              <w:tc>
                <w:tcPr>
                  <w:tcW w:w="700" w:type="dxa"/>
                  <w:tcBorders>
                    <w:top w:val="nil"/>
                    <w:left w:val="nil"/>
                    <w:bottom w:val="nil"/>
                    <w:right w:val="nil"/>
                  </w:tcBorders>
                  <w:noWrap/>
                  <w:vAlign w:val="bottom"/>
                  <w:hideMark/>
                </w:tcPr>
                <w:p w14:paraId="579AAEB6"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+4.4</w:t>
                  </w:r>
                </w:p>
              </w:tc>
            </w:tr>
            <w:tr w:rsidR="008B2CA8" w:rsidRPr="007E103C" w14:paraId="35BA6CB0" w14:textId="77777777" w:rsidTr="008B2CA8">
              <w:trPr>
                <w:trHeight w:val="252"/>
              </w:trPr>
              <w:tc>
                <w:tcPr>
                  <w:tcW w:w="3362" w:type="dxa"/>
                  <w:tcBorders>
                    <w:top w:val="nil"/>
                    <w:left w:val="nil"/>
                    <w:bottom w:val="nil"/>
                    <w:right w:val="nil"/>
                  </w:tcBorders>
                  <w:noWrap/>
                  <w:vAlign w:val="bottom"/>
                  <w:hideMark/>
                </w:tcPr>
                <w:p w14:paraId="3BBD18DD"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Taiwan</w:t>
                  </w:r>
                </w:p>
              </w:tc>
              <w:tc>
                <w:tcPr>
                  <w:tcW w:w="700" w:type="dxa"/>
                  <w:tcBorders>
                    <w:top w:val="nil"/>
                    <w:left w:val="nil"/>
                    <w:bottom w:val="nil"/>
                    <w:right w:val="nil"/>
                  </w:tcBorders>
                  <w:noWrap/>
                  <w:vAlign w:val="bottom"/>
                  <w:hideMark/>
                </w:tcPr>
                <w:p w14:paraId="606FB106"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−5.3</w:t>
                  </w:r>
                </w:p>
              </w:tc>
              <w:tc>
                <w:tcPr>
                  <w:tcW w:w="700" w:type="dxa"/>
                  <w:tcBorders>
                    <w:top w:val="nil"/>
                    <w:left w:val="nil"/>
                    <w:bottom w:val="nil"/>
                    <w:right w:val="nil"/>
                  </w:tcBorders>
                  <w:noWrap/>
                  <w:vAlign w:val="bottom"/>
                  <w:hideMark/>
                </w:tcPr>
                <w:p w14:paraId="37E70BBF"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−35.4</w:t>
                  </w:r>
                </w:p>
              </w:tc>
            </w:tr>
            <w:tr w:rsidR="008B2CA8" w:rsidRPr="007E103C" w14:paraId="1B6E3D3A" w14:textId="77777777" w:rsidTr="008B2CA8">
              <w:trPr>
                <w:trHeight w:val="252"/>
              </w:trPr>
              <w:tc>
                <w:tcPr>
                  <w:tcW w:w="3362" w:type="dxa"/>
                  <w:tcBorders>
                    <w:top w:val="nil"/>
                    <w:left w:val="nil"/>
                    <w:bottom w:val="nil"/>
                    <w:right w:val="nil"/>
                  </w:tcBorders>
                  <w:noWrap/>
                  <w:vAlign w:val="bottom"/>
                  <w:hideMark/>
                </w:tcPr>
                <w:p w14:paraId="4BE86EA8"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United States of America</w:t>
                  </w:r>
                </w:p>
              </w:tc>
              <w:tc>
                <w:tcPr>
                  <w:tcW w:w="700" w:type="dxa"/>
                  <w:tcBorders>
                    <w:top w:val="nil"/>
                    <w:left w:val="nil"/>
                    <w:bottom w:val="nil"/>
                    <w:right w:val="nil"/>
                  </w:tcBorders>
                  <w:noWrap/>
                  <w:vAlign w:val="bottom"/>
                  <w:hideMark/>
                </w:tcPr>
                <w:p w14:paraId="2EEA1141"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−5.3</w:t>
                  </w:r>
                </w:p>
              </w:tc>
              <w:tc>
                <w:tcPr>
                  <w:tcW w:w="700" w:type="dxa"/>
                  <w:tcBorders>
                    <w:top w:val="nil"/>
                    <w:left w:val="nil"/>
                    <w:bottom w:val="nil"/>
                    <w:right w:val="nil"/>
                  </w:tcBorders>
                  <w:noWrap/>
                  <w:vAlign w:val="bottom"/>
                  <w:hideMark/>
                </w:tcPr>
                <w:p w14:paraId="64A4A581"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−15.0</w:t>
                  </w:r>
                </w:p>
              </w:tc>
            </w:tr>
            <w:tr w:rsidR="008B2CA8" w:rsidRPr="007E103C" w14:paraId="380BF3E8" w14:textId="77777777" w:rsidTr="008B2CA8">
              <w:trPr>
                <w:trHeight w:val="252"/>
              </w:trPr>
              <w:tc>
                <w:tcPr>
                  <w:tcW w:w="3362" w:type="dxa"/>
                  <w:tcBorders>
                    <w:top w:val="nil"/>
                    <w:left w:val="nil"/>
                    <w:bottom w:val="nil"/>
                    <w:right w:val="nil"/>
                  </w:tcBorders>
                  <w:noWrap/>
                  <w:vAlign w:val="bottom"/>
                  <w:hideMark/>
                </w:tcPr>
                <w:p w14:paraId="6F2F9B1B" w14:textId="541CAA47" w:rsidR="008B2CA8" w:rsidRPr="007E103C" w:rsidRDefault="008B2CA8" w:rsidP="008F3D62">
                  <w:pPr>
                    <w:spacing w:after="0" w:line="240" w:lineRule="auto"/>
                    <w:jc w:val="left"/>
                    <w:rPr>
                      <w:rFonts w:cs="Arial"/>
                      <w:color w:val="000000"/>
                      <w:sz w:val="16"/>
                      <w:szCs w:val="16"/>
                      <w:lang w:val="en-GB"/>
                    </w:rPr>
                  </w:pPr>
                  <w:r w:rsidRPr="007E103C">
                    <w:rPr>
                      <w:rFonts w:cs="Arial"/>
                      <w:color w:val="000000"/>
                      <w:sz w:val="16"/>
                      <w:szCs w:val="16"/>
                      <w:lang w:val="en-GB"/>
                    </w:rPr>
                    <w:t>Russia</w:t>
                  </w:r>
                </w:p>
              </w:tc>
              <w:tc>
                <w:tcPr>
                  <w:tcW w:w="700" w:type="dxa"/>
                  <w:tcBorders>
                    <w:top w:val="nil"/>
                    <w:left w:val="nil"/>
                    <w:bottom w:val="nil"/>
                    <w:right w:val="nil"/>
                  </w:tcBorders>
                  <w:noWrap/>
                  <w:vAlign w:val="bottom"/>
                  <w:hideMark/>
                </w:tcPr>
                <w:p w14:paraId="105E4E20"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−8.2</w:t>
                  </w:r>
                </w:p>
              </w:tc>
              <w:tc>
                <w:tcPr>
                  <w:tcW w:w="700" w:type="dxa"/>
                  <w:tcBorders>
                    <w:top w:val="nil"/>
                    <w:left w:val="nil"/>
                    <w:bottom w:val="nil"/>
                    <w:right w:val="nil"/>
                  </w:tcBorders>
                  <w:noWrap/>
                  <w:vAlign w:val="bottom"/>
                  <w:hideMark/>
                </w:tcPr>
                <w:p w14:paraId="0CE7EA16"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−60.8</w:t>
                  </w:r>
                </w:p>
              </w:tc>
            </w:tr>
          </w:tbl>
          <w:p w14:paraId="3D98E1AD" w14:textId="77777777" w:rsidR="008B2CA8" w:rsidRPr="007E103C" w:rsidRDefault="008B2CA8" w:rsidP="008B2CA8">
            <w:pPr>
              <w:spacing w:after="0"/>
              <w:rPr>
                <w:spacing w:val="-4"/>
                <w:sz w:val="16"/>
                <w:szCs w:val="16"/>
                <w:lang w:val="en-GB" w:eastAsia="en-US"/>
              </w:rPr>
            </w:pPr>
          </w:p>
        </w:tc>
      </w:tr>
      <w:tr w:rsidR="008B2CA8" w:rsidRPr="007E103C" w14:paraId="43DCD102" w14:textId="77777777" w:rsidTr="008B2CA8">
        <w:trPr>
          <w:trHeight w:val="170"/>
        </w:trPr>
        <w:tc>
          <w:tcPr>
            <w:tcW w:w="4811" w:type="dxa"/>
            <w:gridSpan w:val="3"/>
            <w:hideMark/>
          </w:tcPr>
          <w:p w14:paraId="50824E3E" w14:textId="77777777" w:rsidR="008B2CA8" w:rsidRPr="007E103C" w:rsidRDefault="008B2CA8" w:rsidP="008B2CA8">
            <w:pPr>
              <w:jc w:val="left"/>
              <w:rPr>
                <w:spacing w:val="-4"/>
                <w:sz w:val="16"/>
                <w:szCs w:val="16"/>
                <w:lang w:val="en-GB" w:eastAsia="en-US"/>
              </w:rPr>
            </w:pPr>
            <w:r w:rsidRPr="007E103C">
              <w:rPr>
                <w:spacing w:val="-4"/>
                <w:sz w:val="16"/>
                <w:szCs w:val="16"/>
                <w:lang w:val="en-GB" w:eastAsia="en-US"/>
              </w:rPr>
              <w:t>Source: CZSO</w:t>
            </w:r>
          </w:p>
        </w:tc>
        <w:tc>
          <w:tcPr>
            <w:tcW w:w="57" w:type="dxa"/>
          </w:tcPr>
          <w:p w14:paraId="320083E1" w14:textId="77777777" w:rsidR="008B2CA8" w:rsidRPr="007E103C" w:rsidRDefault="008B2CA8" w:rsidP="008B2CA8">
            <w:pPr>
              <w:spacing w:after="0"/>
              <w:rPr>
                <w:spacing w:val="-4"/>
                <w:lang w:val="en-GB" w:eastAsia="en-US"/>
              </w:rPr>
            </w:pPr>
          </w:p>
        </w:tc>
        <w:tc>
          <w:tcPr>
            <w:tcW w:w="4809" w:type="dxa"/>
            <w:hideMark/>
          </w:tcPr>
          <w:p w14:paraId="58D02308" w14:textId="77777777" w:rsidR="008B2CA8" w:rsidRPr="007E103C" w:rsidRDefault="008B2CA8" w:rsidP="008B2CA8">
            <w:pPr>
              <w:spacing w:after="0"/>
              <w:ind w:right="21"/>
              <w:jc w:val="left"/>
              <w:rPr>
                <w:spacing w:val="-4"/>
                <w:lang w:val="en-GB" w:eastAsia="en-US"/>
              </w:rPr>
            </w:pPr>
            <w:r w:rsidRPr="007E103C">
              <w:rPr>
                <w:spacing w:val="-4"/>
                <w:sz w:val="16"/>
                <w:szCs w:val="16"/>
                <w:lang w:val="en-GB" w:eastAsia="en-US"/>
              </w:rPr>
              <w:t>Source: CZSO</w:t>
            </w:r>
          </w:p>
        </w:tc>
      </w:tr>
      <w:tr w:rsidR="008B2CA8" w:rsidRPr="007E103C" w14:paraId="2EE6DEF2" w14:textId="77777777" w:rsidTr="008B2CA8">
        <w:trPr>
          <w:trHeight w:val="145"/>
        </w:trPr>
        <w:tc>
          <w:tcPr>
            <w:tcW w:w="1748" w:type="dxa"/>
          </w:tcPr>
          <w:p w14:paraId="094B112C" w14:textId="77777777" w:rsidR="008B2CA8" w:rsidRPr="007E103C" w:rsidRDefault="008B2CA8" w:rsidP="008B2CA8">
            <w:pPr>
              <w:pStyle w:val="Marginlie"/>
              <w:rPr>
                <w:lang w:val="en-GB" w:eastAsia="en-US"/>
              </w:rPr>
            </w:pPr>
            <w:r w:rsidRPr="007E103C">
              <w:rPr>
                <w:lang w:val="en-GB" w:eastAsia="en-US"/>
              </w:rPr>
              <w:t xml:space="preserve">Electrical equipment supported the import growth the most. </w:t>
            </w:r>
          </w:p>
        </w:tc>
        <w:tc>
          <w:tcPr>
            <w:tcW w:w="252" w:type="dxa"/>
          </w:tcPr>
          <w:p w14:paraId="1FDE777D" w14:textId="77777777" w:rsidR="008B2CA8" w:rsidRPr="007E103C" w:rsidRDefault="008B2CA8" w:rsidP="008B2CA8">
            <w:pPr>
              <w:pStyle w:val="Textpoznpodarou"/>
              <w:jc w:val="both"/>
              <w:rPr>
                <w:spacing w:val="-4"/>
                <w:lang w:val="en-GB" w:eastAsia="en-US"/>
              </w:rPr>
            </w:pPr>
          </w:p>
        </w:tc>
        <w:tc>
          <w:tcPr>
            <w:tcW w:w="7677" w:type="dxa"/>
            <w:gridSpan w:val="3"/>
          </w:tcPr>
          <w:p w14:paraId="349ABA39" w14:textId="41C309F6" w:rsidR="008B2CA8" w:rsidRPr="007E103C" w:rsidRDefault="008B2CA8" w:rsidP="009E6CE4">
            <w:pPr>
              <w:spacing w:after="180"/>
              <w:rPr>
                <w:spacing w:val="-4"/>
                <w:szCs w:val="20"/>
                <w:lang w:val="en-GB" w:eastAsia="en-US"/>
              </w:rPr>
            </w:pPr>
            <w:r w:rsidRPr="007E103C">
              <w:rPr>
                <w:spacing w:val="-4"/>
                <w:lang w:val="en-GB" w:eastAsia="en-US"/>
              </w:rPr>
              <w:t>The sections electrical equipment</w:t>
            </w:r>
            <w:r w:rsidRPr="007E103C">
              <w:rPr>
                <w:rStyle w:val="Znakapoznpodarou"/>
                <w:spacing w:val="-4"/>
                <w:lang w:val="en-GB" w:eastAsia="en-US"/>
              </w:rPr>
              <w:footnoteReference w:id="7"/>
            </w:r>
            <w:r w:rsidRPr="007E103C">
              <w:rPr>
                <w:spacing w:val="-4"/>
                <w:lang w:val="en-GB" w:eastAsia="en-US"/>
              </w:rPr>
              <w:t xml:space="preserve"> (+33.4 bn CZK, 16.2%), fabricated metal products (+24.7 bn, 25.1%) and food products (+11.0 bn, 9.3%) influenced the year-on-year import growth</w:t>
            </w:r>
            <w:r w:rsidR="008F3D62" w:rsidRPr="007E103C">
              <w:rPr>
                <w:spacing w:val="-4"/>
                <w:lang w:val="en-GB" w:eastAsia="en-US"/>
              </w:rPr>
              <w:t xml:space="preserve"> in H1</w:t>
            </w:r>
            <w:r w:rsidRPr="007E103C">
              <w:rPr>
                <w:spacing w:val="-4"/>
                <w:lang w:val="en-GB" w:eastAsia="en-US"/>
              </w:rPr>
              <w:t xml:space="preserve"> the most. On the contrary, imports of coke and refined petroleum products decreased (−6.4 bn CZK, −12.2%). Electrical equipment also contributed the most to import growth in </w:t>
            </w:r>
            <w:r w:rsidRPr="007E103C">
              <w:rPr>
                <w:spacing w:val="-4"/>
                <w:lang w:val="en-GB" w:eastAsia="en-US"/>
              </w:rPr>
              <w:lastRenderedPageBreak/>
              <w:t>Q2 alone (see Table 3), although the increase shrank compared to the previous quarter. On the contrary, the value of crude oil and natural gas imports rose notably, year-on-year, after nine quarters of declines. Imports of metalworking and food products also maintained a strong increase. Imports of coke and refined petroleum products and chemical</w:t>
            </w:r>
            <w:r w:rsidR="009E6CE4" w:rsidRPr="007E103C">
              <w:rPr>
                <w:spacing w:val="-4"/>
                <w:lang w:val="en-GB" w:eastAsia="en-US"/>
              </w:rPr>
              <w:t>s</w:t>
            </w:r>
            <w:r w:rsidRPr="007E103C">
              <w:rPr>
                <w:spacing w:val="-4"/>
                <w:lang w:val="en-GB" w:eastAsia="en-US"/>
              </w:rPr>
              <w:t xml:space="preserve"> fell the most, year-on-year, in Q2.    </w:t>
            </w:r>
          </w:p>
        </w:tc>
      </w:tr>
      <w:tr w:rsidR="008B2CA8" w:rsidRPr="007E103C" w14:paraId="67ACE9C2" w14:textId="77777777" w:rsidTr="008B2CA8">
        <w:trPr>
          <w:trHeight w:val="145"/>
        </w:trPr>
        <w:tc>
          <w:tcPr>
            <w:tcW w:w="1748" w:type="dxa"/>
            <w:hideMark/>
          </w:tcPr>
          <w:p w14:paraId="6A03B344" w14:textId="77777777" w:rsidR="008B2CA8" w:rsidRPr="007E103C" w:rsidRDefault="008B2CA8" w:rsidP="008B2CA8">
            <w:pPr>
              <w:pStyle w:val="Marginlie"/>
              <w:rPr>
                <w:lang w:val="en-GB" w:eastAsia="en-US"/>
              </w:rPr>
            </w:pPr>
            <w:r w:rsidRPr="007E103C">
              <w:rPr>
                <w:lang w:val="en-GB" w:eastAsia="en-US"/>
              </w:rPr>
              <w:lastRenderedPageBreak/>
              <w:t xml:space="preserve">The surplus of the international trade with goods </w:t>
            </w:r>
            <w:proofErr w:type="gramStart"/>
            <w:r w:rsidRPr="007E103C">
              <w:rPr>
                <w:lang w:val="en-GB" w:eastAsia="en-US"/>
              </w:rPr>
              <w:t>decreased,</w:t>
            </w:r>
            <w:proofErr w:type="gramEnd"/>
            <w:r w:rsidRPr="007E103C">
              <w:rPr>
                <w:lang w:val="en-GB" w:eastAsia="en-US"/>
              </w:rPr>
              <w:t xml:space="preserve"> year-on-year.</w:t>
            </w:r>
          </w:p>
        </w:tc>
        <w:tc>
          <w:tcPr>
            <w:tcW w:w="252" w:type="dxa"/>
          </w:tcPr>
          <w:p w14:paraId="2B01313D" w14:textId="77777777" w:rsidR="008B2CA8" w:rsidRPr="007E103C" w:rsidRDefault="008B2CA8" w:rsidP="008B2CA8">
            <w:pPr>
              <w:pStyle w:val="Textpoznpodarou"/>
              <w:jc w:val="both"/>
              <w:rPr>
                <w:spacing w:val="-4"/>
                <w:lang w:val="en-GB" w:eastAsia="en-US"/>
              </w:rPr>
            </w:pPr>
          </w:p>
        </w:tc>
        <w:tc>
          <w:tcPr>
            <w:tcW w:w="7677" w:type="dxa"/>
            <w:gridSpan w:val="3"/>
            <w:hideMark/>
          </w:tcPr>
          <w:p w14:paraId="67CABC76" w14:textId="77777777" w:rsidR="008B2CA8" w:rsidRPr="007E103C" w:rsidRDefault="008B2CA8" w:rsidP="008B2CA8">
            <w:pPr>
              <w:spacing w:after="180"/>
              <w:rPr>
                <w:spacing w:val="-4"/>
                <w:szCs w:val="20"/>
                <w:lang w:val="en-GB" w:eastAsia="en-US"/>
              </w:rPr>
            </w:pPr>
            <w:r w:rsidRPr="007E103C">
              <w:rPr>
                <w:spacing w:val="-4"/>
                <w:szCs w:val="20"/>
                <w:lang w:val="en-GB" w:eastAsia="en-US"/>
              </w:rPr>
              <w:t>The balance of international trade with goods reached a surplus of 138.3 bn CZK for the whole H1. However, due to the significant excess of the growth rate of imports over exports, the positive balance deteriorated by 14.9 bn CZK, year-on-year. Q2 stood mostly behind this deterioration, when the balance attained a surplus of 60.2 bn CZK, which decreased by 10.7 bn CZK, year-on-year. According to seasonally adjusted data, the balance of international trade with goods improved, quarter-on-quarter, in Q2. Trade with non-EU countries contributed to the year-on-year deterioration of the balance of international trade with goods in H1 (−9.7 bn CZK), while the balance of trade with the EU improved by 4.6 bn CZK</w:t>
            </w:r>
            <w:r w:rsidRPr="007E103C">
              <w:rPr>
                <w:rStyle w:val="Znakapoznpodarou"/>
                <w:spacing w:val="-4"/>
                <w:szCs w:val="20"/>
                <w:lang w:val="en-GB" w:eastAsia="en-US"/>
              </w:rPr>
              <w:footnoteReference w:id="8"/>
            </w:r>
            <w:r w:rsidRPr="007E103C">
              <w:rPr>
                <w:spacing w:val="-4"/>
                <w:szCs w:val="20"/>
                <w:lang w:val="en-GB" w:eastAsia="en-US"/>
              </w:rPr>
              <w:t>. Trade with China (−32.0 bn CZK) and Norway (−12.5 bn CZK) contributed the most to the deterioration of the balance in H1. In contrast, the balance improved for trade with Germany (+17.3 bn CZK, majority of improvement occurred in Q1), Russia (+16.0 bn) and the United States (+11.5 bn). The balance of trade with EU countries improved by 2.4 bn CZK, year-on-year, in Q2 alone, while with countries outside the EU it deteriorated by 4.5 bn CZK</w:t>
            </w:r>
            <w:r w:rsidRPr="007E103C">
              <w:rPr>
                <w:rStyle w:val="Znakapoznpodarou"/>
                <w:spacing w:val="-4"/>
                <w:szCs w:val="20"/>
                <w:lang w:val="en-GB" w:eastAsia="en-US"/>
              </w:rPr>
              <w:footnoteReference w:id="9"/>
            </w:r>
            <w:r w:rsidRPr="007E103C">
              <w:rPr>
                <w:spacing w:val="-4"/>
                <w:szCs w:val="20"/>
                <w:lang w:val="en-GB" w:eastAsia="en-US"/>
              </w:rPr>
              <w:t xml:space="preserve">. In particular, trade with China (see Table 6), Norway and the Netherlands worsened, year-on-year. On the contrary, a significant improvement of the balance was recorded for trade with the United States, Russia and Taiwan. </w:t>
            </w:r>
          </w:p>
        </w:tc>
      </w:tr>
      <w:tr w:rsidR="008B2CA8" w:rsidRPr="007E103C" w14:paraId="7DB4EFE5" w14:textId="77777777" w:rsidTr="008B2CA8">
        <w:trPr>
          <w:trHeight w:val="170"/>
        </w:trPr>
        <w:tc>
          <w:tcPr>
            <w:tcW w:w="4811" w:type="dxa"/>
            <w:gridSpan w:val="3"/>
            <w:hideMark/>
          </w:tcPr>
          <w:p w14:paraId="6F90B115" w14:textId="77777777" w:rsidR="008B2CA8" w:rsidRPr="007E103C" w:rsidRDefault="008B2CA8" w:rsidP="008B2CA8">
            <w:pPr>
              <w:spacing w:after="0"/>
              <w:rPr>
                <w:rFonts w:cs="Arial"/>
                <w:b/>
                <w:bCs/>
                <w:color w:val="000000"/>
                <w:sz w:val="18"/>
                <w:szCs w:val="18"/>
                <w:lang w:val="en-GB" w:eastAsia="en-US"/>
              </w:rPr>
            </w:pPr>
            <w:r w:rsidRPr="007E103C">
              <w:rPr>
                <w:rFonts w:cs="Arial"/>
                <w:b/>
                <w:bCs/>
                <w:color w:val="000000"/>
                <w:sz w:val="18"/>
                <w:szCs w:val="18"/>
                <w:lang w:val="en-GB" w:eastAsia="en-US"/>
              </w:rPr>
              <w:t xml:space="preserve">Table 5 Sections of CPA classification with highest impact on international trade with goods balance development in Q2 2025 </w:t>
            </w:r>
            <w:r w:rsidRPr="007E103C">
              <w:rPr>
                <w:rFonts w:cs="Arial"/>
                <w:bCs/>
                <w:color w:val="000000"/>
                <w:sz w:val="18"/>
                <w:szCs w:val="18"/>
                <w:lang w:val="en-GB" w:eastAsia="en-US"/>
              </w:rPr>
              <w:t>(year-on-year)</w:t>
            </w:r>
          </w:p>
        </w:tc>
        <w:tc>
          <w:tcPr>
            <w:tcW w:w="57" w:type="dxa"/>
          </w:tcPr>
          <w:p w14:paraId="1CE66B44" w14:textId="77777777" w:rsidR="008B2CA8" w:rsidRPr="007E103C" w:rsidRDefault="008B2CA8" w:rsidP="008B2CA8">
            <w:pPr>
              <w:spacing w:after="0"/>
              <w:rPr>
                <w:spacing w:val="-4"/>
                <w:lang w:val="en-GB" w:eastAsia="en-US"/>
              </w:rPr>
            </w:pPr>
          </w:p>
        </w:tc>
        <w:tc>
          <w:tcPr>
            <w:tcW w:w="4809" w:type="dxa"/>
            <w:hideMark/>
          </w:tcPr>
          <w:p w14:paraId="4EADD443" w14:textId="77777777" w:rsidR="008B2CA8" w:rsidRPr="007E103C" w:rsidRDefault="008B2CA8" w:rsidP="008B2CA8">
            <w:pPr>
              <w:spacing w:after="0"/>
              <w:jc w:val="left"/>
              <w:rPr>
                <w:spacing w:val="-4"/>
                <w:sz w:val="18"/>
                <w:szCs w:val="18"/>
                <w:lang w:val="en-GB" w:eastAsia="en-US"/>
              </w:rPr>
            </w:pPr>
            <w:r w:rsidRPr="007E103C">
              <w:rPr>
                <w:rFonts w:cs="Arial"/>
                <w:b/>
                <w:bCs/>
                <w:color w:val="000000"/>
                <w:sz w:val="18"/>
                <w:szCs w:val="18"/>
                <w:lang w:val="en-GB" w:eastAsia="en-US"/>
              </w:rPr>
              <w:t xml:space="preserve">Table 6 Countries with largest impact on international trade with goods development in Q2 2025 </w:t>
            </w:r>
            <w:r w:rsidRPr="007E103C">
              <w:rPr>
                <w:rFonts w:cs="Arial"/>
                <w:bCs/>
                <w:color w:val="000000"/>
                <w:sz w:val="18"/>
                <w:szCs w:val="18"/>
                <w:lang w:val="en-GB" w:eastAsia="en-US"/>
              </w:rPr>
              <w:t>(year-on-year)</w:t>
            </w:r>
          </w:p>
        </w:tc>
      </w:tr>
      <w:tr w:rsidR="008B2CA8" w:rsidRPr="007E103C" w14:paraId="7CE01F6D" w14:textId="77777777" w:rsidTr="008B2CA8">
        <w:trPr>
          <w:trHeight w:val="170"/>
        </w:trPr>
        <w:tc>
          <w:tcPr>
            <w:tcW w:w="4811" w:type="dxa"/>
            <w:gridSpan w:val="3"/>
            <w:hideMark/>
          </w:tcPr>
          <w:tbl>
            <w:tblPr>
              <w:tblW w:w="4826" w:type="dxa"/>
              <w:tblLayout w:type="fixed"/>
              <w:tblCellMar>
                <w:left w:w="70" w:type="dxa"/>
                <w:right w:w="70" w:type="dxa"/>
              </w:tblCellMar>
              <w:tblLook w:val="04A0" w:firstRow="1" w:lastRow="0" w:firstColumn="1" w:lastColumn="0" w:noHBand="0" w:noVBand="1"/>
            </w:tblPr>
            <w:tblGrid>
              <w:gridCol w:w="4126"/>
              <w:gridCol w:w="700"/>
            </w:tblGrid>
            <w:tr w:rsidR="008B2CA8" w:rsidRPr="007E103C" w14:paraId="79BAD940" w14:textId="77777777" w:rsidTr="008B2CA8">
              <w:trPr>
                <w:trHeight w:val="255"/>
              </w:trPr>
              <w:tc>
                <w:tcPr>
                  <w:tcW w:w="4126" w:type="dxa"/>
                  <w:tcBorders>
                    <w:top w:val="nil"/>
                    <w:left w:val="nil"/>
                    <w:bottom w:val="single" w:sz="4" w:space="0" w:color="auto"/>
                    <w:right w:val="nil"/>
                  </w:tcBorders>
                  <w:noWrap/>
                  <w:vAlign w:val="bottom"/>
                  <w:hideMark/>
                </w:tcPr>
                <w:p w14:paraId="21641110"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 </w:t>
                  </w:r>
                </w:p>
              </w:tc>
              <w:tc>
                <w:tcPr>
                  <w:tcW w:w="700" w:type="dxa"/>
                  <w:tcBorders>
                    <w:top w:val="nil"/>
                    <w:left w:val="nil"/>
                    <w:bottom w:val="single" w:sz="4" w:space="0" w:color="auto"/>
                    <w:right w:val="nil"/>
                  </w:tcBorders>
                  <w:noWrap/>
                  <w:vAlign w:val="bottom"/>
                  <w:hideMark/>
                </w:tcPr>
                <w:p w14:paraId="16EF69CF"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bn CZK</w:t>
                  </w:r>
                </w:p>
              </w:tc>
            </w:tr>
            <w:tr w:rsidR="008B2CA8" w:rsidRPr="007E103C" w14:paraId="43061BE3" w14:textId="77777777" w:rsidTr="008B2CA8">
              <w:trPr>
                <w:trHeight w:val="255"/>
              </w:trPr>
              <w:tc>
                <w:tcPr>
                  <w:tcW w:w="4126" w:type="dxa"/>
                  <w:tcBorders>
                    <w:top w:val="nil"/>
                    <w:left w:val="nil"/>
                    <w:bottom w:val="nil"/>
                    <w:right w:val="nil"/>
                  </w:tcBorders>
                  <w:noWrap/>
                  <w:vAlign w:val="bottom"/>
                  <w:hideMark/>
                </w:tcPr>
                <w:p w14:paraId="102D6F27"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Motor vehicles (except for motorcycles) and parts</w:t>
                  </w:r>
                </w:p>
              </w:tc>
              <w:tc>
                <w:tcPr>
                  <w:tcW w:w="700" w:type="dxa"/>
                  <w:tcBorders>
                    <w:top w:val="nil"/>
                    <w:left w:val="nil"/>
                    <w:bottom w:val="nil"/>
                    <w:right w:val="nil"/>
                  </w:tcBorders>
                  <w:noWrap/>
                  <w:vAlign w:val="bottom"/>
                  <w:hideMark/>
                </w:tcPr>
                <w:p w14:paraId="3A0DEB3B"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+15.7</w:t>
                  </w:r>
                </w:p>
              </w:tc>
            </w:tr>
            <w:tr w:rsidR="008B2CA8" w:rsidRPr="007E103C" w14:paraId="12E8CC66" w14:textId="77777777" w:rsidTr="008B2CA8">
              <w:trPr>
                <w:trHeight w:val="255"/>
              </w:trPr>
              <w:tc>
                <w:tcPr>
                  <w:tcW w:w="4126" w:type="dxa"/>
                  <w:tcBorders>
                    <w:top w:val="nil"/>
                    <w:left w:val="nil"/>
                    <w:bottom w:val="nil"/>
                    <w:right w:val="nil"/>
                  </w:tcBorders>
                  <w:noWrap/>
                  <w:vAlign w:val="bottom"/>
                  <w:hideMark/>
                </w:tcPr>
                <w:p w14:paraId="5C68AB0E"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Coke and refined petroleum products</w:t>
                  </w:r>
                </w:p>
              </w:tc>
              <w:tc>
                <w:tcPr>
                  <w:tcW w:w="700" w:type="dxa"/>
                  <w:tcBorders>
                    <w:top w:val="nil"/>
                    <w:left w:val="nil"/>
                    <w:bottom w:val="nil"/>
                    <w:right w:val="nil"/>
                  </w:tcBorders>
                  <w:noWrap/>
                  <w:vAlign w:val="bottom"/>
                  <w:hideMark/>
                </w:tcPr>
                <w:p w14:paraId="36771EE3"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+8.4</w:t>
                  </w:r>
                </w:p>
              </w:tc>
            </w:tr>
            <w:tr w:rsidR="008B2CA8" w:rsidRPr="007E103C" w14:paraId="6691D705" w14:textId="77777777" w:rsidTr="008B2CA8">
              <w:trPr>
                <w:trHeight w:val="255"/>
              </w:trPr>
              <w:tc>
                <w:tcPr>
                  <w:tcW w:w="4126" w:type="dxa"/>
                  <w:tcBorders>
                    <w:top w:val="nil"/>
                    <w:left w:val="nil"/>
                    <w:bottom w:val="nil"/>
                    <w:right w:val="nil"/>
                  </w:tcBorders>
                  <w:noWrap/>
                  <w:vAlign w:val="bottom"/>
                  <w:hideMark/>
                </w:tcPr>
                <w:p w14:paraId="07F6280B"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 xml:space="preserve">Computers, </w:t>
                  </w:r>
                  <w:proofErr w:type="spellStart"/>
                  <w:r w:rsidRPr="007E103C">
                    <w:rPr>
                      <w:rFonts w:cs="Arial"/>
                      <w:color w:val="000000"/>
                      <w:sz w:val="16"/>
                      <w:szCs w:val="16"/>
                      <w:lang w:val="en-GB"/>
                    </w:rPr>
                    <w:t>electr</w:t>
                  </w:r>
                  <w:proofErr w:type="spellEnd"/>
                  <w:r w:rsidRPr="007E103C">
                    <w:rPr>
                      <w:rFonts w:cs="Arial"/>
                      <w:color w:val="000000"/>
                      <w:sz w:val="16"/>
                      <w:szCs w:val="16"/>
                      <w:lang w:val="en-GB"/>
                    </w:rPr>
                    <w:t>. and opt. appliances and equipment</w:t>
                  </w:r>
                </w:p>
              </w:tc>
              <w:tc>
                <w:tcPr>
                  <w:tcW w:w="700" w:type="dxa"/>
                  <w:tcBorders>
                    <w:top w:val="nil"/>
                    <w:left w:val="nil"/>
                    <w:bottom w:val="nil"/>
                    <w:right w:val="nil"/>
                  </w:tcBorders>
                  <w:noWrap/>
                  <w:vAlign w:val="bottom"/>
                  <w:hideMark/>
                </w:tcPr>
                <w:p w14:paraId="096AF050"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+5.4</w:t>
                  </w:r>
                </w:p>
              </w:tc>
            </w:tr>
            <w:tr w:rsidR="008B2CA8" w:rsidRPr="007E103C" w14:paraId="3554A48C" w14:textId="77777777" w:rsidTr="008B2CA8">
              <w:trPr>
                <w:trHeight w:val="255"/>
              </w:trPr>
              <w:tc>
                <w:tcPr>
                  <w:tcW w:w="4126" w:type="dxa"/>
                  <w:tcBorders>
                    <w:top w:val="nil"/>
                    <w:left w:val="nil"/>
                    <w:bottom w:val="nil"/>
                    <w:right w:val="nil"/>
                  </w:tcBorders>
                  <w:noWrap/>
                  <w:vAlign w:val="bottom"/>
                  <w:hideMark/>
                </w:tcPr>
                <w:p w14:paraId="03F2D03C"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Other transport equipment</w:t>
                  </w:r>
                </w:p>
              </w:tc>
              <w:tc>
                <w:tcPr>
                  <w:tcW w:w="700" w:type="dxa"/>
                  <w:tcBorders>
                    <w:top w:val="nil"/>
                    <w:left w:val="nil"/>
                    <w:bottom w:val="nil"/>
                    <w:right w:val="nil"/>
                  </w:tcBorders>
                  <w:noWrap/>
                  <w:vAlign w:val="bottom"/>
                  <w:hideMark/>
                </w:tcPr>
                <w:p w14:paraId="152B331D"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+4.9</w:t>
                  </w:r>
                </w:p>
              </w:tc>
            </w:tr>
            <w:tr w:rsidR="008B2CA8" w:rsidRPr="007E103C" w14:paraId="46E8C21B" w14:textId="77777777" w:rsidTr="008B2CA8">
              <w:trPr>
                <w:trHeight w:val="255"/>
              </w:trPr>
              <w:tc>
                <w:tcPr>
                  <w:tcW w:w="4126" w:type="dxa"/>
                  <w:tcBorders>
                    <w:top w:val="nil"/>
                    <w:left w:val="nil"/>
                    <w:bottom w:val="nil"/>
                    <w:right w:val="nil"/>
                  </w:tcBorders>
                  <w:noWrap/>
                  <w:vAlign w:val="bottom"/>
                  <w:hideMark/>
                </w:tcPr>
                <w:p w14:paraId="0B394D81" w14:textId="78CEBD95" w:rsidR="008B2CA8" w:rsidRPr="007E103C" w:rsidRDefault="008B2CA8" w:rsidP="009E6CE4">
                  <w:pPr>
                    <w:spacing w:after="0" w:line="240" w:lineRule="auto"/>
                    <w:jc w:val="left"/>
                    <w:rPr>
                      <w:rFonts w:cs="Arial"/>
                      <w:color w:val="000000"/>
                      <w:sz w:val="16"/>
                      <w:szCs w:val="16"/>
                      <w:lang w:val="en-GB"/>
                    </w:rPr>
                  </w:pPr>
                  <w:r w:rsidRPr="007E103C">
                    <w:rPr>
                      <w:rFonts w:cs="Arial"/>
                      <w:color w:val="000000"/>
                      <w:sz w:val="16"/>
                      <w:szCs w:val="16"/>
                      <w:lang w:val="en-GB"/>
                    </w:rPr>
                    <w:t>Basic pharmaceutical products</w:t>
                  </w:r>
                </w:p>
              </w:tc>
              <w:tc>
                <w:tcPr>
                  <w:tcW w:w="700" w:type="dxa"/>
                  <w:tcBorders>
                    <w:top w:val="nil"/>
                    <w:left w:val="nil"/>
                    <w:bottom w:val="nil"/>
                    <w:right w:val="nil"/>
                  </w:tcBorders>
                  <w:noWrap/>
                  <w:vAlign w:val="bottom"/>
                  <w:hideMark/>
                </w:tcPr>
                <w:p w14:paraId="305EFBA5"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+1.1</w:t>
                  </w:r>
                </w:p>
              </w:tc>
            </w:tr>
            <w:tr w:rsidR="008B2CA8" w:rsidRPr="007E103C" w14:paraId="5E0E77AE" w14:textId="77777777" w:rsidTr="008B2CA8">
              <w:trPr>
                <w:trHeight w:val="255"/>
              </w:trPr>
              <w:tc>
                <w:tcPr>
                  <w:tcW w:w="4126" w:type="dxa"/>
                  <w:tcBorders>
                    <w:top w:val="nil"/>
                    <w:left w:val="nil"/>
                    <w:bottom w:val="nil"/>
                    <w:right w:val="nil"/>
                  </w:tcBorders>
                  <w:noWrap/>
                  <w:vAlign w:val="bottom"/>
                  <w:hideMark/>
                </w:tcPr>
                <w:p w14:paraId="6A6B657D"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 xml:space="preserve">Machinery and equipment, </w:t>
                  </w:r>
                  <w:proofErr w:type="spellStart"/>
                  <w:r w:rsidRPr="007E103C">
                    <w:rPr>
                      <w:rFonts w:cs="Arial"/>
                      <w:color w:val="000000"/>
                      <w:sz w:val="16"/>
                      <w:szCs w:val="16"/>
                      <w:lang w:val="en-GB"/>
                    </w:rPr>
                    <w:t>n.c.e</w:t>
                  </w:r>
                  <w:proofErr w:type="spellEnd"/>
                  <w:r w:rsidRPr="007E103C">
                    <w:rPr>
                      <w:rFonts w:cs="Arial"/>
                      <w:color w:val="000000"/>
                      <w:sz w:val="16"/>
                      <w:szCs w:val="16"/>
                      <w:lang w:val="en-GB"/>
                    </w:rPr>
                    <w:t>.</w:t>
                  </w:r>
                </w:p>
              </w:tc>
              <w:tc>
                <w:tcPr>
                  <w:tcW w:w="700" w:type="dxa"/>
                  <w:tcBorders>
                    <w:top w:val="nil"/>
                    <w:left w:val="nil"/>
                    <w:bottom w:val="nil"/>
                    <w:right w:val="nil"/>
                  </w:tcBorders>
                  <w:noWrap/>
                  <w:vAlign w:val="bottom"/>
                  <w:hideMark/>
                </w:tcPr>
                <w:p w14:paraId="35216AE4"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−1.0</w:t>
                  </w:r>
                </w:p>
              </w:tc>
            </w:tr>
            <w:tr w:rsidR="008B2CA8" w:rsidRPr="007E103C" w14:paraId="74FDCC75" w14:textId="77777777" w:rsidTr="008B2CA8">
              <w:trPr>
                <w:trHeight w:val="255"/>
              </w:trPr>
              <w:tc>
                <w:tcPr>
                  <w:tcW w:w="4126" w:type="dxa"/>
                  <w:tcBorders>
                    <w:top w:val="nil"/>
                    <w:left w:val="nil"/>
                    <w:bottom w:val="nil"/>
                    <w:right w:val="nil"/>
                  </w:tcBorders>
                  <w:noWrap/>
                  <w:vAlign w:val="bottom"/>
                  <w:hideMark/>
                </w:tcPr>
                <w:p w14:paraId="6C1239A8"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Other non-metal mineral products</w:t>
                  </w:r>
                </w:p>
              </w:tc>
              <w:tc>
                <w:tcPr>
                  <w:tcW w:w="700" w:type="dxa"/>
                  <w:tcBorders>
                    <w:top w:val="nil"/>
                    <w:left w:val="nil"/>
                    <w:bottom w:val="nil"/>
                    <w:right w:val="nil"/>
                  </w:tcBorders>
                  <w:noWrap/>
                  <w:vAlign w:val="bottom"/>
                  <w:hideMark/>
                </w:tcPr>
                <w:p w14:paraId="123ACE02"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−1.0</w:t>
                  </w:r>
                </w:p>
              </w:tc>
            </w:tr>
            <w:tr w:rsidR="008B2CA8" w:rsidRPr="007E103C" w14:paraId="3E965042" w14:textId="77777777" w:rsidTr="008B2CA8">
              <w:trPr>
                <w:trHeight w:val="255"/>
              </w:trPr>
              <w:tc>
                <w:tcPr>
                  <w:tcW w:w="4126" w:type="dxa"/>
                  <w:tcBorders>
                    <w:top w:val="nil"/>
                    <w:left w:val="nil"/>
                    <w:bottom w:val="nil"/>
                    <w:right w:val="nil"/>
                  </w:tcBorders>
                  <w:noWrap/>
                  <w:vAlign w:val="bottom"/>
                  <w:hideMark/>
                </w:tcPr>
                <w:p w14:paraId="4799AB60"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Electricity, gas, steam and air conditioning</w:t>
                  </w:r>
                </w:p>
              </w:tc>
              <w:tc>
                <w:tcPr>
                  <w:tcW w:w="700" w:type="dxa"/>
                  <w:tcBorders>
                    <w:top w:val="nil"/>
                    <w:left w:val="nil"/>
                    <w:bottom w:val="nil"/>
                    <w:right w:val="nil"/>
                  </w:tcBorders>
                  <w:noWrap/>
                  <w:vAlign w:val="bottom"/>
                  <w:hideMark/>
                </w:tcPr>
                <w:p w14:paraId="6D5059EA"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−1.1</w:t>
                  </w:r>
                </w:p>
              </w:tc>
            </w:tr>
            <w:tr w:rsidR="008B2CA8" w:rsidRPr="007E103C" w14:paraId="6BAE7306" w14:textId="77777777" w:rsidTr="008B2CA8">
              <w:trPr>
                <w:trHeight w:val="255"/>
              </w:trPr>
              <w:tc>
                <w:tcPr>
                  <w:tcW w:w="4126" w:type="dxa"/>
                  <w:tcBorders>
                    <w:top w:val="nil"/>
                    <w:left w:val="nil"/>
                    <w:bottom w:val="nil"/>
                    <w:right w:val="nil"/>
                  </w:tcBorders>
                  <w:noWrap/>
                  <w:vAlign w:val="bottom"/>
                  <w:hideMark/>
                </w:tcPr>
                <w:p w14:paraId="2791BD55"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Clothing</w:t>
                  </w:r>
                </w:p>
              </w:tc>
              <w:tc>
                <w:tcPr>
                  <w:tcW w:w="700" w:type="dxa"/>
                  <w:tcBorders>
                    <w:top w:val="nil"/>
                    <w:left w:val="nil"/>
                    <w:bottom w:val="nil"/>
                    <w:right w:val="nil"/>
                  </w:tcBorders>
                  <w:noWrap/>
                  <w:vAlign w:val="bottom"/>
                  <w:hideMark/>
                </w:tcPr>
                <w:p w14:paraId="1D19390D"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−1.3</w:t>
                  </w:r>
                </w:p>
              </w:tc>
            </w:tr>
            <w:tr w:rsidR="008B2CA8" w:rsidRPr="007E103C" w14:paraId="4FA97C13" w14:textId="77777777" w:rsidTr="008B2CA8">
              <w:trPr>
                <w:trHeight w:val="255"/>
              </w:trPr>
              <w:tc>
                <w:tcPr>
                  <w:tcW w:w="4126" w:type="dxa"/>
                  <w:tcBorders>
                    <w:top w:val="nil"/>
                    <w:left w:val="nil"/>
                    <w:bottom w:val="nil"/>
                    <w:right w:val="nil"/>
                  </w:tcBorders>
                  <w:noWrap/>
                  <w:vAlign w:val="bottom"/>
                  <w:hideMark/>
                </w:tcPr>
                <w:p w14:paraId="1E7F9C13"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Food products</w:t>
                  </w:r>
                </w:p>
              </w:tc>
              <w:tc>
                <w:tcPr>
                  <w:tcW w:w="700" w:type="dxa"/>
                  <w:tcBorders>
                    <w:top w:val="nil"/>
                    <w:left w:val="nil"/>
                    <w:bottom w:val="nil"/>
                    <w:right w:val="nil"/>
                  </w:tcBorders>
                  <w:noWrap/>
                  <w:vAlign w:val="bottom"/>
                  <w:hideMark/>
                </w:tcPr>
                <w:p w14:paraId="20935826"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−1.4</w:t>
                  </w:r>
                </w:p>
              </w:tc>
            </w:tr>
            <w:tr w:rsidR="008B2CA8" w:rsidRPr="007E103C" w14:paraId="43391158" w14:textId="77777777" w:rsidTr="008B2CA8">
              <w:trPr>
                <w:trHeight w:val="255"/>
              </w:trPr>
              <w:tc>
                <w:tcPr>
                  <w:tcW w:w="4126" w:type="dxa"/>
                  <w:tcBorders>
                    <w:top w:val="nil"/>
                    <w:left w:val="nil"/>
                    <w:bottom w:val="nil"/>
                    <w:right w:val="nil"/>
                  </w:tcBorders>
                  <w:noWrap/>
                  <w:vAlign w:val="bottom"/>
                  <w:hideMark/>
                </w:tcPr>
                <w:p w14:paraId="3409CFAD"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Collection, treatment, management and disposal of waste</w:t>
                  </w:r>
                </w:p>
              </w:tc>
              <w:tc>
                <w:tcPr>
                  <w:tcW w:w="700" w:type="dxa"/>
                  <w:tcBorders>
                    <w:top w:val="nil"/>
                    <w:left w:val="nil"/>
                    <w:bottom w:val="nil"/>
                    <w:right w:val="nil"/>
                  </w:tcBorders>
                  <w:noWrap/>
                  <w:vAlign w:val="bottom"/>
                  <w:hideMark/>
                </w:tcPr>
                <w:p w14:paraId="7770F377"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−1.5</w:t>
                  </w:r>
                </w:p>
              </w:tc>
            </w:tr>
            <w:tr w:rsidR="008B2CA8" w:rsidRPr="007E103C" w14:paraId="6E268DCC" w14:textId="77777777" w:rsidTr="008B2CA8">
              <w:trPr>
                <w:trHeight w:val="255"/>
              </w:trPr>
              <w:tc>
                <w:tcPr>
                  <w:tcW w:w="4126" w:type="dxa"/>
                  <w:tcBorders>
                    <w:top w:val="nil"/>
                    <w:left w:val="nil"/>
                    <w:bottom w:val="nil"/>
                    <w:right w:val="nil"/>
                  </w:tcBorders>
                  <w:noWrap/>
                  <w:vAlign w:val="bottom"/>
                  <w:hideMark/>
                </w:tcPr>
                <w:p w14:paraId="7F5B3335"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Products of agriculture and hunting</w:t>
                  </w:r>
                </w:p>
              </w:tc>
              <w:tc>
                <w:tcPr>
                  <w:tcW w:w="700" w:type="dxa"/>
                  <w:tcBorders>
                    <w:top w:val="nil"/>
                    <w:left w:val="nil"/>
                    <w:bottom w:val="nil"/>
                    <w:right w:val="nil"/>
                  </w:tcBorders>
                  <w:noWrap/>
                  <w:vAlign w:val="bottom"/>
                  <w:hideMark/>
                </w:tcPr>
                <w:p w14:paraId="68C87B14"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−3.7</w:t>
                  </w:r>
                </w:p>
              </w:tc>
            </w:tr>
            <w:tr w:rsidR="008B2CA8" w:rsidRPr="007E103C" w14:paraId="04318B48" w14:textId="77777777" w:rsidTr="008B2CA8">
              <w:trPr>
                <w:trHeight w:val="255"/>
              </w:trPr>
              <w:tc>
                <w:tcPr>
                  <w:tcW w:w="4126" w:type="dxa"/>
                  <w:tcBorders>
                    <w:top w:val="nil"/>
                    <w:left w:val="nil"/>
                    <w:bottom w:val="nil"/>
                    <w:right w:val="nil"/>
                  </w:tcBorders>
                  <w:noWrap/>
                  <w:vAlign w:val="bottom"/>
                  <w:hideMark/>
                </w:tcPr>
                <w:p w14:paraId="581ABBA7"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Metalworking products</w:t>
                  </w:r>
                </w:p>
              </w:tc>
              <w:tc>
                <w:tcPr>
                  <w:tcW w:w="700" w:type="dxa"/>
                  <w:tcBorders>
                    <w:top w:val="nil"/>
                    <w:left w:val="nil"/>
                    <w:bottom w:val="nil"/>
                    <w:right w:val="nil"/>
                  </w:tcBorders>
                  <w:noWrap/>
                  <w:vAlign w:val="bottom"/>
                  <w:hideMark/>
                </w:tcPr>
                <w:p w14:paraId="149DC8EB"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−10.6</w:t>
                  </w:r>
                </w:p>
              </w:tc>
            </w:tr>
            <w:tr w:rsidR="008B2CA8" w:rsidRPr="007E103C" w14:paraId="0D9DFD5D" w14:textId="77777777" w:rsidTr="008B2CA8">
              <w:trPr>
                <w:trHeight w:val="255"/>
              </w:trPr>
              <w:tc>
                <w:tcPr>
                  <w:tcW w:w="4126" w:type="dxa"/>
                  <w:tcBorders>
                    <w:top w:val="nil"/>
                    <w:left w:val="nil"/>
                    <w:bottom w:val="nil"/>
                    <w:right w:val="nil"/>
                  </w:tcBorders>
                  <w:noWrap/>
                  <w:vAlign w:val="bottom"/>
                  <w:hideMark/>
                </w:tcPr>
                <w:p w14:paraId="7BB90D90"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Crude oil and natural gas</w:t>
                  </w:r>
                </w:p>
              </w:tc>
              <w:tc>
                <w:tcPr>
                  <w:tcW w:w="700" w:type="dxa"/>
                  <w:tcBorders>
                    <w:top w:val="nil"/>
                    <w:left w:val="nil"/>
                    <w:bottom w:val="nil"/>
                    <w:right w:val="nil"/>
                  </w:tcBorders>
                  <w:noWrap/>
                  <w:vAlign w:val="bottom"/>
                  <w:hideMark/>
                </w:tcPr>
                <w:p w14:paraId="054A474D"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−11.0</w:t>
                  </w:r>
                </w:p>
              </w:tc>
            </w:tr>
            <w:tr w:rsidR="008B2CA8" w:rsidRPr="007E103C" w14:paraId="0387DFD8" w14:textId="77777777" w:rsidTr="008B2CA8">
              <w:trPr>
                <w:trHeight w:val="255"/>
              </w:trPr>
              <w:tc>
                <w:tcPr>
                  <w:tcW w:w="4126" w:type="dxa"/>
                  <w:tcBorders>
                    <w:top w:val="nil"/>
                    <w:left w:val="nil"/>
                    <w:bottom w:val="nil"/>
                    <w:right w:val="nil"/>
                  </w:tcBorders>
                  <w:noWrap/>
                  <w:vAlign w:val="bottom"/>
                  <w:hideMark/>
                </w:tcPr>
                <w:p w14:paraId="010D8898"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Electrical equipment</w:t>
                  </w:r>
                </w:p>
              </w:tc>
              <w:tc>
                <w:tcPr>
                  <w:tcW w:w="700" w:type="dxa"/>
                  <w:tcBorders>
                    <w:top w:val="nil"/>
                    <w:left w:val="nil"/>
                    <w:bottom w:val="nil"/>
                    <w:right w:val="nil"/>
                  </w:tcBorders>
                  <w:noWrap/>
                  <w:vAlign w:val="bottom"/>
                  <w:hideMark/>
                </w:tcPr>
                <w:p w14:paraId="7F3DDE58"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−11.0</w:t>
                  </w:r>
                </w:p>
              </w:tc>
            </w:tr>
          </w:tbl>
          <w:p w14:paraId="0EA30284" w14:textId="77777777" w:rsidR="008B2CA8" w:rsidRPr="007E103C" w:rsidRDefault="008B2CA8" w:rsidP="008B2CA8">
            <w:pPr>
              <w:spacing w:after="0"/>
              <w:rPr>
                <w:spacing w:val="-4"/>
                <w:lang w:val="en-GB" w:eastAsia="en-US"/>
              </w:rPr>
            </w:pPr>
          </w:p>
        </w:tc>
        <w:tc>
          <w:tcPr>
            <w:tcW w:w="57" w:type="dxa"/>
          </w:tcPr>
          <w:p w14:paraId="1EA43967" w14:textId="77777777" w:rsidR="008B2CA8" w:rsidRPr="007E103C" w:rsidRDefault="008B2CA8" w:rsidP="008B2CA8">
            <w:pPr>
              <w:spacing w:after="0"/>
              <w:rPr>
                <w:spacing w:val="-4"/>
                <w:lang w:val="en-GB" w:eastAsia="en-US"/>
              </w:rPr>
            </w:pPr>
          </w:p>
        </w:tc>
        <w:tc>
          <w:tcPr>
            <w:tcW w:w="4809" w:type="dxa"/>
            <w:hideMark/>
          </w:tcPr>
          <w:tbl>
            <w:tblPr>
              <w:tblW w:w="4771" w:type="dxa"/>
              <w:tblLayout w:type="fixed"/>
              <w:tblCellMar>
                <w:left w:w="70" w:type="dxa"/>
                <w:right w:w="70" w:type="dxa"/>
              </w:tblCellMar>
              <w:tblLook w:val="04A0" w:firstRow="1" w:lastRow="0" w:firstColumn="1" w:lastColumn="0" w:noHBand="0" w:noVBand="1"/>
            </w:tblPr>
            <w:tblGrid>
              <w:gridCol w:w="4071"/>
              <w:gridCol w:w="700"/>
            </w:tblGrid>
            <w:tr w:rsidR="008B2CA8" w:rsidRPr="007E103C" w14:paraId="1996D17F" w14:textId="77777777" w:rsidTr="008B2CA8">
              <w:trPr>
                <w:trHeight w:val="255"/>
              </w:trPr>
              <w:tc>
                <w:tcPr>
                  <w:tcW w:w="4071" w:type="dxa"/>
                  <w:tcBorders>
                    <w:top w:val="nil"/>
                    <w:left w:val="nil"/>
                    <w:bottom w:val="single" w:sz="4" w:space="0" w:color="auto"/>
                    <w:right w:val="nil"/>
                  </w:tcBorders>
                  <w:noWrap/>
                  <w:vAlign w:val="bottom"/>
                  <w:hideMark/>
                </w:tcPr>
                <w:p w14:paraId="1D3AE7C8" w14:textId="77777777" w:rsidR="008B2CA8" w:rsidRPr="007E103C" w:rsidRDefault="008B2CA8" w:rsidP="008B2CA8">
                  <w:pPr>
                    <w:spacing w:after="0" w:line="240" w:lineRule="auto"/>
                    <w:jc w:val="left"/>
                    <w:rPr>
                      <w:rFonts w:cs="Arial"/>
                      <w:color w:val="000000"/>
                      <w:sz w:val="22"/>
                      <w:szCs w:val="22"/>
                      <w:lang w:val="en-GB"/>
                    </w:rPr>
                  </w:pPr>
                </w:p>
              </w:tc>
              <w:tc>
                <w:tcPr>
                  <w:tcW w:w="700" w:type="dxa"/>
                  <w:tcBorders>
                    <w:top w:val="nil"/>
                    <w:left w:val="nil"/>
                    <w:bottom w:val="single" w:sz="4" w:space="0" w:color="auto"/>
                    <w:right w:val="nil"/>
                  </w:tcBorders>
                  <w:noWrap/>
                  <w:vAlign w:val="bottom"/>
                  <w:hideMark/>
                </w:tcPr>
                <w:p w14:paraId="77DAA271"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bn CZK</w:t>
                  </w:r>
                </w:p>
              </w:tc>
            </w:tr>
            <w:tr w:rsidR="008B2CA8" w:rsidRPr="007E103C" w14:paraId="68FDD210" w14:textId="77777777" w:rsidTr="008B2CA8">
              <w:trPr>
                <w:trHeight w:val="255"/>
              </w:trPr>
              <w:tc>
                <w:tcPr>
                  <w:tcW w:w="4071" w:type="dxa"/>
                  <w:tcBorders>
                    <w:top w:val="nil"/>
                    <w:left w:val="nil"/>
                    <w:bottom w:val="nil"/>
                    <w:right w:val="nil"/>
                  </w:tcBorders>
                  <w:noWrap/>
                  <w:vAlign w:val="bottom"/>
                  <w:hideMark/>
                </w:tcPr>
                <w:p w14:paraId="49EFC622"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United States of America</w:t>
                  </w:r>
                </w:p>
              </w:tc>
              <w:tc>
                <w:tcPr>
                  <w:tcW w:w="700" w:type="dxa"/>
                  <w:tcBorders>
                    <w:top w:val="nil"/>
                    <w:left w:val="nil"/>
                    <w:bottom w:val="nil"/>
                    <w:right w:val="nil"/>
                  </w:tcBorders>
                  <w:noWrap/>
                  <w:vAlign w:val="bottom"/>
                  <w:hideMark/>
                </w:tcPr>
                <w:p w14:paraId="0E90EDC2"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+7.6</w:t>
                  </w:r>
                </w:p>
              </w:tc>
            </w:tr>
            <w:tr w:rsidR="008B2CA8" w:rsidRPr="007E103C" w14:paraId="35275391" w14:textId="77777777" w:rsidTr="008B2CA8">
              <w:trPr>
                <w:trHeight w:val="255"/>
              </w:trPr>
              <w:tc>
                <w:tcPr>
                  <w:tcW w:w="4071" w:type="dxa"/>
                  <w:tcBorders>
                    <w:top w:val="nil"/>
                    <w:left w:val="nil"/>
                    <w:bottom w:val="nil"/>
                    <w:right w:val="nil"/>
                  </w:tcBorders>
                  <w:noWrap/>
                  <w:vAlign w:val="bottom"/>
                  <w:hideMark/>
                </w:tcPr>
                <w:p w14:paraId="6C709E8E" w14:textId="00DABEF3" w:rsidR="008B2CA8" w:rsidRPr="007E103C" w:rsidRDefault="008F3D62" w:rsidP="008B2CA8">
                  <w:pPr>
                    <w:spacing w:after="0" w:line="240" w:lineRule="auto"/>
                    <w:jc w:val="left"/>
                    <w:rPr>
                      <w:rFonts w:cs="Arial"/>
                      <w:color w:val="000000"/>
                      <w:sz w:val="16"/>
                      <w:szCs w:val="16"/>
                      <w:lang w:val="en-GB"/>
                    </w:rPr>
                  </w:pPr>
                  <w:r w:rsidRPr="007E103C">
                    <w:rPr>
                      <w:rFonts w:cs="Arial"/>
                      <w:color w:val="000000"/>
                      <w:sz w:val="16"/>
                      <w:szCs w:val="16"/>
                      <w:lang w:val="en-GB"/>
                    </w:rPr>
                    <w:t>Rus</w:t>
                  </w:r>
                  <w:r w:rsidR="008B2CA8" w:rsidRPr="007E103C">
                    <w:rPr>
                      <w:rFonts w:cs="Arial"/>
                      <w:color w:val="000000"/>
                      <w:sz w:val="16"/>
                      <w:szCs w:val="16"/>
                      <w:lang w:val="en-GB"/>
                    </w:rPr>
                    <w:t>sia</w:t>
                  </w:r>
                </w:p>
              </w:tc>
              <w:tc>
                <w:tcPr>
                  <w:tcW w:w="700" w:type="dxa"/>
                  <w:tcBorders>
                    <w:top w:val="nil"/>
                    <w:left w:val="nil"/>
                    <w:bottom w:val="nil"/>
                    <w:right w:val="nil"/>
                  </w:tcBorders>
                  <w:noWrap/>
                  <w:vAlign w:val="bottom"/>
                  <w:hideMark/>
                </w:tcPr>
                <w:p w14:paraId="377F9942"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+7.3</w:t>
                  </w:r>
                </w:p>
              </w:tc>
            </w:tr>
            <w:tr w:rsidR="008B2CA8" w:rsidRPr="007E103C" w14:paraId="47E343B6" w14:textId="77777777" w:rsidTr="008B2CA8">
              <w:trPr>
                <w:trHeight w:val="255"/>
              </w:trPr>
              <w:tc>
                <w:tcPr>
                  <w:tcW w:w="4071" w:type="dxa"/>
                  <w:tcBorders>
                    <w:top w:val="nil"/>
                    <w:left w:val="nil"/>
                    <w:bottom w:val="nil"/>
                    <w:right w:val="nil"/>
                  </w:tcBorders>
                  <w:noWrap/>
                  <w:vAlign w:val="bottom"/>
                  <w:hideMark/>
                </w:tcPr>
                <w:p w14:paraId="40BDAC4E"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Taiwan</w:t>
                  </w:r>
                </w:p>
              </w:tc>
              <w:tc>
                <w:tcPr>
                  <w:tcW w:w="700" w:type="dxa"/>
                  <w:tcBorders>
                    <w:top w:val="nil"/>
                    <w:left w:val="nil"/>
                    <w:bottom w:val="nil"/>
                    <w:right w:val="nil"/>
                  </w:tcBorders>
                  <w:noWrap/>
                  <w:vAlign w:val="bottom"/>
                  <w:hideMark/>
                </w:tcPr>
                <w:p w14:paraId="478802E1"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+5.1</w:t>
                  </w:r>
                </w:p>
              </w:tc>
            </w:tr>
            <w:tr w:rsidR="008B2CA8" w:rsidRPr="007E103C" w14:paraId="31587034" w14:textId="77777777" w:rsidTr="008B2CA8">
              <w:trPr>
                <w:trHeight w:val="255"/>
              </w:trPr>
              <w:tc>
                <w:tcPr>
                  <w:tcW w:w="4071" w:type="dxa"/>
                  <w:tcBorders>
                    <w:top w:val="nil"/>
                    <w:left w:val="nil"/>
                    <w:bottom w:val="nil"/>
                    <w:right w:val="nil"/>
                  </w:tcBorders>
                  <w:noWrap/>
                  <w:vAlign w:val="bottom"/>
                  <w:hideMark/>
                </w:tcPr>
                <w:p w14:paraId="74A96C04"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Ukraine</w:t>
                  </w:r>
                </w:p>
              </w:tc>
              <w:tc>
                <w:tcPr>
                  <w:tcW w:w="700" w:type="dxa"/>
                  <w:tcBorders>
                    <w:top w:val="nil"/>
                    <w:left w:val="nil"/>
                    <w:bottom w:val="nil"/>
                    <w:right w:val="nil"/>
                  </w:tcBorders>
                  <w:noWrap/>
                  <w:vAlign w:val="bottom"/>
                  <w:hideMark/>
                </w:tcPr>
                <w:p w14:paraId="22A1B98F"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+3.5</w:t>
                  </w:r>
                </w:p>
              </w:tc>
            </w:tr>
            <w:tr w:rsidR="008B2CA8" w:rsidRPr="007E103C" w14:paraId="16CED97C" w14:textId="77777777" w:rsidTr="008B2CA8">
              <w:trPr>
                <w:trHeight w:val="255"/>
              </w:trPr>
              <w:tc>
                <w:tcPr>
                  <w:tcW w:w="4071" w:type="dxa"/>
                  <w:tcBorders>
                    <w:top w:val="nil"/>
                    <w:left w:val="nil"/>
                    <w:bottom w:val="nil"/>
                    <w:right w:val="nil"/>
                  </w:tcBorders>
                  <w:noWrap/>
                  <w:vAlign w:val="bottom"/>
                  <w:hideMark/>
                </w:tcPr>
                <w:p w14:paraId="28D538C8"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Belgium</w:t>
                  </w:r>
                </w:p>
              </w:tc>
              <w:tc>
                <w:tcPr>
                  <w:tcW w:w="700" w:type="dxa"/>
                  <w:tcBorders>
                    <w:top w:val="nil"/>
                    <w:left w:val="nil"/>
                    <w:bottom w:val="nil"/>
                    <w:right w:val="nil"/>
                  </w:tcBorders>
                  <w:noWrap/>
                  <w:vAlign w:val="bottom"/>
                  <w:hideMark/>
                </w:tcPr>
                <w:p w14:paraId="16F02BD9"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+3.3</w:t>
                  </w:r>
                </w:p>
              </w:tc>
            </w:tr>
            <w:tr w:rsidR="008B2CA8" w:rsidRPr="007E103C" w14:paraId="6A2F3E05" w14:textId="77777777" w:rsidTr="008B2CA8">
              <w:trPr>
                <w:trHeight w:val="255"/>
              </w:trPr>
              <w:tc>
                <w:tcPr>
                  <w:tcW w:w="4071" w:type="dxa"/>
                  <w:tcBorders>
                    <w:top w:val="nil"/>
                    <w:left w:val="nil"/>
                    <w:bottom w:val="nil"/>
                    <w:right w:val="nil"/>
                  </w:tcBorders>
                  <w:noWrap/>
                  <w:vAlign w:val="bottom"/>
                  <w:hideMark/>
                </w:tcPr>
                <w:p w14:paraId="187A1FA0"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Denmark</w:t>
                  </w:r>
                </w:p>
              </w:tc>
              <w:tc>
                <w:tcPr>
                  <w:tcW w:w="700" w:type="dxa"/>
                  <w:tcBorders>
                    <w:top w:val="nil"/>
                    <w:left w:val="nil"/>
                    <w:bottom w:val="nil"/>
                    <w:right w:val="nil"/>
                  </w:tcBorders>
                  <w:noWrap/>
                  <w:vAlign w:val="bottom"/>
                  <w:hideMark/>
                </w:tcPr>
                <w:p w14:paraId="201BEBBC"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+2.5</w:t>
                  </w:r>
                </w:p>
              </w:tc>
            </w:tr>
            <w:tr w:rsidR="008B2CA8" w:rsidRPr="007E103C" w14:paraId="365B0371" w14:textId="77777777" w:rsidTr="008B2CA8">
              <w:trPr>
                <w:trHeight w:val="255"/>
              </w:trPr>
              <w:tc>
                <w:tcPr>
                  <w:tcW w:w="4071" w:type="dxa"/>
                  <w:tcBorders>
                    <w:top w:val="nil"/>
                    <w:left w:val="nil"/>
                    <w:bottom w:val="nil"/>
                    <w:right w:val="nil"/>
                  </w:tcBorders>
                  <w:noWrap/>
                  <w:vAlign w:val="bottom"/>
                  <w:hideMark/>
                </w:tcPr>
                <w:p w14:paraId="316B44E5"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Republic of Korea</w:t>
                  </w:r>
                </w:p>
              </w:tc>
              <w:tc>
                <w:tcPr>
                  <w:tcW w:w="700" w:type="dxa"/>
                  <w:tcBorders>
                    <w:top w:val="nil"/>
                    <w:left w:val="nil"/>
                    <w:bottom w:val="nil"/>
                    <w:right w:val="nil"/>
                  </w:tcBorders>
                  <w:noWrap/>
                  <w:vAlign w:val="bottom"/>
                  <w:hideMark/>
                </w:tcPr>
                <w:p w14:paraId="7B3EE16D"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+2.2</w:t>
                  </w:r>
                </w:p>
              </w:tc>
            </w:tr>
            <w:tr w:rsidR="008B2CA8" w:rsidRPr="007E103C" w14:paraId="600C5BD1" w14:textId="77777777" w:rsidTr="008B2CA8">
              <w:trPr>
                <w:trHeight w:val="255"/>
              </w:trPr>
              <w:tc>
                <w:tcPr>
                  <w:tcW w:w="4071" w:type="dxa"/>
                  <w:tcBorders>
                    <w:top w:val="nil"/>
                    <w:left w:val="nil"/>
                    <w:bottom w:val="nil"/>
                    <w:right w:val="nil"/>
                  </w:tcBorders>
                  <w:noWrap/>
                  <w:vAlign w:val="bottom"/>
                  <w:hideMark/>
                </w:tcPr>
                <w:p w14:paraId="5C9FCECE"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Italy</w:t>
                  </w:r>
                </w:p>
              </w:tc>
              <w:tc>
                <w:tcPr>
                  <w:tcW w:w="700" w:type="dxa"/>
                  <w:tcBorders>
                    <w:top w:val="nil"/>
                    <w:left w:val="nil"/>
                    <w:bottom w:val="nil"/>
                    <w:right w:val="nil"/>
                  </w:tcBorders>
                  <w:noWrap/>
                  <w:vAlign w:val="bottom"/>
                  <w:hideMark/>
                </w:tcPr>
                <w:p w14:paraId="79CD9CFC"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+2.1</w:t>
                  </w:r>
                </w:p>
              </w:tc>
            </w:tr>
            <w:tr w:rsidR="008B2CA8" w:rsidRPr="007E103C" w14:paraId="09F47E4F" w14:textId="77777777" w:rsidTr="008B2CA8">
              <w:trPr>
                <w:trHeight w:val="255"/>
              </w:trPr>
              <w:tc>
                <w:tcPr>
                  <w:tcW w:w="4071" w:type="dxa"/>
                  <w:tcBorders>
                    <w:top w:val="nil"/>
                    <w:left w:val="nil"/>
                    <w:bottom w:val="nil"/>
                    <w:right w:val="nil"/>
                  </w:tcBorders>
                  <w:noWrap/>
                  <w:vAlign w:val="bottom"/>
                  <w:hideMark/>
                </w:tcPr>
                <w:p w14:paraId="552B4CE5"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Austria</w:t>
                  </w:r>
                </w:p>
              </w:tc>
              <w:tc>
                <w:tcPr>
                  <w:tcW w:w="700" w:type="dxa"/>
                  <w:tcBorders>
                    <w:top w:val="nil"/>
                    <w:left w:val="nil"/>
                    <w:bottom w:val="nil"/>
                    <w:right w:val="nil"/>
                  </w:tcBorders>
                  <w:noWrap/>
                  <w:vAlign w:val="bottom"/>
                  <w:hideMark/>
                </w:tcPr>
                <w:p w14:paraId="7931E393"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+2.0</w:t>
                  </w:r>
                </w:p>
              </w:tc>
            </w:tr>
            <w:tr w:rsidR="008B2CA8" w:rsidRPr="007E103C" w14:paraId="09B2F5B6" w14:textId="77777777" w:rsidTr="008B2CA8">
              <w:trPr>
                <w:trHeight w:val="255"/>
              </w:trPr>
              <w:tc>
                <w:tcPr>
                  <w:tcW w:w="4071" w:type="dxa"/>
                  <w:tcBorders>
                    <w:top w:val="nil"/>
                    <w:left w:val="nil"/>
                    <w:bottom w:val="nil"/>
                    <w:right w:val="nil"/>
                  </w:tcBorders>
                  <w:noWrap/>
                  <w:vAlign w:val="bottom"/>
                  <w:hideMark/>
                </w:tcPr>
                <w:p w14:paraId="039E5294"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Hungary</w:t>
                  </w:r>
                </w:p>
              </w:tc>
              <w:tc>
                <w:tcPr>
                  <w:tcW w:w="700" w:type="dxa"/>
                  <w:tcBorders>
                    <w:top w:val="nil"/>
                    <w:left w:val="nil"/>
                    <w:bottom w:val="nil"/>
                    <w:right w:val="nil"/>
                  </w:tcBorders>
                  <w:noWrap/>
                  <w:vAlign w:val="bottom"/>
                  <w:hideMark/>
                </w:tcPr>
                <w:p w14:paraId="6BD29BE1"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−1.9</w:t>
                  </w:r>
                </w:p>
              </w:tc>
            </w:tr>
            <w:tr w:rsidR="008B2CA8" w:rsidRPr="007E103C" w14:paraId="6072018F" w14:textId="77777777" w:rsidTr="008B2CA8">
              <w:trPr>
                <w:trHeight w:val="255"/>
              </w:trPr>
              <w:tc>
                <w:tcPr>
                  <w:tcW w:w="4071" w:type="dxa"/>
                  <w:tcBorders>
                    <w:top w:val="nil"/>
                    <w:left w:val="nil"/>
                    <w:bottom w:val="nil"/>
                    <w:right w:val="nil"/>
                  </w:tcBorders>
                  <w:noWrap/>
                  <w:vAlign w:val="bottom"/>
                  <w:hideMark/>
                </w:tcPr>
                <w:p w14:paraId="3188FB0B"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Canada</w:t>
                  </w:r>
                </w:p>
              </w:tc>
              <w:tc>
                <w:tcPr>
                  <w:tcW w:w="700" w:type="dxa"/>
                  <w:tcBorders>
                    <w:top w:val="nil"/>
                    <w:left w:val="nil"/>
                    <w:bottom w:val="nil"/>
                    <w:right w:val="nil"/>
                  </w:tcBorders>
                  <w:noWrap/>
                  <w:vAlign w:val="bottom"/>
                  <w:hideMark/>
                </w:tcPr>
                <w:p w14:paraId="6F13AA1D"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−2.0</w:t>
                  </w:r>
                </w:p>
              </w:tc>
            </w:tr>
            <w:tr w:rsidR="008B2CA8" w:rsidRPr="007E103C" w14:paraId="5D2F8F0D" w14:textId="77777777" w:rsidTr="008B2CA8">
              <w:trPr>
                <w:trHeight w:val="255"/>
              </w:trPr>
              <w:tc>
                <w:tcPr>
                  <w:tcW w:w="4071" w:type="dxa"/>
                  <w:tcBorders>
                    <w:top w:val="nil"/>
                    <w:left w:val="nil"/>
                    <w:bottom w:val="nil"/>
                    <w:right w:val="nil"/>
                  </w:tcBorders>
                  <w:noWrap/>
                  <w:vAlign w:val="bottom"/>
                  <w:hideMark/>
                </w:tcPr>
                <w:p w14:paraId="10B2C1DD"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Singapore</w:t>
                  </w:r>
                </w:p>
              </w:tc>
              <w:tc>
                <w:tcPr>
                  <w:tcW w:w="700" w:type="dxa"/>
                  <w:tcBorders>
                    <w:top w:val="nil"/>
                    <w:left w:val="nil"/>
                    <w:bottom w:val="nil"/>
                    <w:right w:val="nil"/>
                  </w:tcBorders>
                  <w:noWrap/>
                  <w:vAlign w:val="bottom"/>
                  <w:hideMark/>
                </w:tcPr>
                <w:p w14:paraId="34C3F8E1"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−3.2</w:t>
                  </w:r>
                </w:p>
              </w:tc>
            </w:tr>
            <w:tr w:rsidR="008B2CA8" w:rsidRPr="007E103C" w14:paraId="0A0C43B7" w14:textId="77777777" w:rsidTr="008B2CA8">
              <w:trPr>
                <w:trHeight w:val="255"/>
              </w:trPr>
              <w:tc>
                <w:tcPr>
                  <w:tcW w:w="4071" w:type="dxa"/>
                  <w:tcBorders>
                    <w:top w:val="nil"/>
                    <w:left w:val="nil"/>
                    <w:bottom w:val="nil"/>
                    <w:right w:val="nil"/>
                  </w:tcBorders>
                  <w:noWrap/>
                  <w:vAlign w:val="bottom"/>
                  <w:hideMark/>
                </w:tcPr>
                <w:p w14:paraId="048FD239"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Netherlands</w:t>
                  </w:r>
                </w:p>
              </w:tc>
              <w:tc>
                <w:tcPr>
                  <w:tcW w:w="700" w:type="dxa"/>
                  <w:tcBorders>
                    <w:top w:val="nil"/>
                    <w:left w:val="nil"/>
                    <w:bottom w:val="nil"/>
                    <w:right w:val="nil"/>
                  </w:tcBorders>
                  <w:noWrap/>
                  <w:vAlign w:val="bottom"/>
                  <w:hideMark/>
                </w:tcPr>
                <w:p w14:paraId="1C8088C9"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−4.4</w:t>
                  </w:r>
                </w:p>
              </w:tc>
            </w:tr>
            <w:tr w:rsidR="008B2CA8" w:rsidRPr="007E103C" w14:paraId="56752105" w14:textId="77777777" w:rsidTr="008B2CA8">
              <w:trPr>
                <w:trHeight w:val="255"/>
              </w:trPr>
              <w:tc>
                <w:tcPr>
                  <w:tcW w:w="4071" w:type="dxa"/>
                  <w:tcBorders>
                    <w:top w:val="nil"/>
                    <w:left w:val="nil"/>
                    <w:bottom w:val="nil"/>
                    <w:right w:val="nil"/>
                  </w:tcBorders>
                  <w:noWrap/>
                  <w:vAlign w:val="bottom"/>
                  <w:hideMark/>
                </w:tcPr>
                <w:p w14:paraId="138E7BE8"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Norway</w:t>
                  </w:r>
                </w:p>
              </w:tc>
              <w:tc>
                <w:tcPr>
                  <w:tcW w:w="700" w:type="dxa"/>
                  <w:tcBorders>
                    <w:top w:val="nil"/>
                    <w:left w:val="nil"/>
                    <w:bottom w:val="nil"/>
                    <w:right w:val="nil"/>
                  </w:tcBorders>
                  <w:noWrap/>
                  <w:vAlign w:val="bottom"/>
                  <w:hideMark/>
                </w:tcPr>
                <w:p w14:paraId="5C341E24"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−8.2</w:t>
                  </w:r>
                </w:p>
              </w:tc>
            </w:tr>
            <w:tr w:rsidR="008B2CA8" w:rsidRPr="007E103C" w14:paraId="517F41A5" w14:textId="77777777" w:rsidTr="008B2CA8">
              <w:trPr>
                <w:trHeight w:val="255"/>
              </w:trPr>
              <w:tc>
                <w:tcPr>
                  <w:tcW w:w="4071" w:type="dxa"/>
                  <w:tcBorders>
                    <w:top w:val="nil"/>
                    <w:left w:val="nil"/>
                    <w:bottom w:val="nil"/>
                    <w:right w:val="nil"/>
                  </w:tcBorders>
                  <w:noWrap/>
                  <w:vAlign w:val="bottom"/>
                  <w:hideMark/>
                </w:tcPr>
                <w:p w14:paraId="6680A3C4"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China</w:t>
                  </w:r>
                </w:p>
              </w:tc>
              <w:tc>
                <w:tcPr>
                  <w:tcW w:w="700" w:type="dxa"/>
                  <w:tcBorders>
                    <w:top w:val="nil"/>
                    <w:left w:val="nil"/>
                    <w:bottom w:val="nil"/>
                    <w:right w:val="nil"/>
                  </w:tcBorders>
                  <w:noWrap/>
                  <w:vAlign w:val="bottom"/>
                  <w:hideMark/>
                </w:tcPr>
                <w:p w14:paraId="70178612"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−10.9</w:t>
                  </w:r>
                </w:p>
              </w:tc>
            </w:tr>
          </w:tbl>
          <w:p w14:paraId="1A06405E" w14:textId="77777777" w:rsidR="008B2CA8" w:rsidRPr="007E103C" w:rsidRDefault="008B2CA8" w:rsidP="008B2CA8">
            <w:pPr>
              <w:spacing w:after="0"/>
              <w:rPr>
                <w:spacing w:val="-4"/>
                <w:lang w:val="en-GB" w:eastAsia="en-US"/>
              </w:rPr>
            </w:pPr>
          </w:p>
        </w:tc>
      </w:tr>
      <w:tr w:rsidR="008B2CA8" w:rsidRPr="007E103C" w14:paraId="3236C498" w14:textId="77777777" w:rsidTr="008B2CA8">
        <w:trPr>
          <w:trHeight w:val="170"/>
        </w:trPr>
        <w:tc>
          <w:tcPr>
            <w:tcW w:w="4811" w:type="dxa"/>
            <w:gridSpan w:val="3"/>
            <w:hideMark/>
          </w:tcPr>
          <w:p w14:paraId="3D228B2A" w14:textId="77777777" w:rsidR="008B2CA8" w:rsidRPr="007E103C" w:rsidRDefault="008B2CA8" w:rsidP="008B2CA8">
            <w:pPr>
              <w:jc w:val="left"/>
              <w:rPr>
                <w:spacing w:val="-4"/>
                <w:sz w:val="16"/>
                <w:szCs w:val="16"/>
                <w:lang w:val="en-GB" w:eastAsia="en-US"/>
              </w:rPr>
            </w:pPr>
            <w:r w:rsidRPr="007E103C">
              <w:rPr>
                <w:spacing w:val="-4"/>
                <w:sz w:val="16"/>
                <w:szCs w:val="16"/>
                <w:lang w:val="en-GB" w:eastAsia="en-US"/>
              </w:rPr>
              <w:t>Source: CZSO</w:t>
            </w:r>
          </w:p>
        </w:tc>
        <w:tc>
          <w:tcPr>
            <w:tcW w:w="57" w:type="dxa"/>
          </w:tcPr>
          <w:p w14:paraId="714199C1" w14:textId="77777777" w:rsidR="008B2CA8" w:rsidRPr="007E103C" w:rsidRDefault="008B2CA8" w:rsidP="008B2CA8">
            <w:pPr>
              <w:spacing w:after="0"/>
              <w:rPr>
                <w:spacing w:val="-4"/>
                <w:lang w:val="en-GB" w:eastAsia="en-US"/>
              </w:rPr>
            </w:pPr>
          </w:p>
        </w:tc>
        <w:tc>
          <w:tcPr>
            <w:tcW w:w="4809" w:type="dxa"/>
            <w:hideMark/>
          </w:tcPr>
          <w:p w14:paraId="7CB47699" w14:textId="77777777" w:rsidR="008B2CA8" w:rsidRPr="007E103C" w:rsidRDefault="008B2CA8" w:rsidP="008B2CA8">
            <w:pPr>
              <w:spacing w:after="0"/>
              <w:ind w:right="21"/>
              <w:jc w:val="left"/>
              <w:rPr>
                <w:spacing w:val="-4"/>
                <w:lang w:val="en-GB" w:eastAsia="en-US"/>
              </w:rPr>
            </w:pPr>
            <w:r w:rsidRPr="007E103C">
              <w:rPr>
                <w:spacing w:val="-4"/>
                <w:sz w:val="16"/>
                <w:szCs w:val="16"/>
                <w:lang w:val="en-GB" w:eastAsia="en-US"/>
              </w:rPr>
              <w:t>Source: CZSO</w:t>
            </w:r>
          </w:p>
        </w:tc>
      </w:tr>
      <w:tr w:rsidR="008B2CA8" w:rsidRPr="007E103C" w14:paraId="67AFD950" w14:textId="77777777" w:rsidTr="008B2CA8">
        <w:trPr>
          <w:trHeight w:val="170"/>
        </w:trPr>
        <w:tc>
          <w:tcPr>
            <w:tcW w:w="1748" w:type="dxa"/>
          </w:tcPr>
          <w:p w14:paraId="7A20BC2E" w14:textId="77777777" w:rsidR="008B2CA8" w:rsidRPr="007E103C" w:rsidRDefault="008B2CA8" w:rsidP="008B2CA8">
            <w:pPr>
              <w:pStyle w:val="Marginlie"/>
              <w:rPr>
                <w:lang w:val="en-GB" w:eastAsia="en-US"/>
              </w:rPr>
            </w:pPr>
            <w:r w:rsidRPr="007E103C">
              <w:rPr>
                <w:lang w:val="en-GB" w:eastAsia="en-US"/>
              </w:rPr>
              <w:t xml:space="preserve">Even a massive improvement of the result of the motor vehicle and motorcycle trade was not sufficient to increase the total surplus. </w:t>
            </w:r>
          </w:p>
        </w:tc>
        <w:tc>
          <w:tcPr>
            <w:tcW w:w="252" w:type="dxa"/>
          </w:tcPr>
          <w:p w14:paraId="54E01D0E" w14:textId="77777777" w:rsidR="008B2CA8" w:rsidRPr="007E103C" w:rsidRDefault="008B2CA8" w:rsidP="008B2CA8">
            <w:pPr>
              <w:pStyle w:val="Textpoznpodarou"/>
              <w:jc w:val="both"/>
              <w:rPr>
                <w:spacing w:val="-4"/>
                <w:lang w:val="en-GB" w:eastAsia="en-US"/>
              </w:rPr>
            </w:pPr>
          </w:p>
        </w:tc>
        <w:tc>
          <w:tcPr>
            <w:tcW w:w="7677" w:type="dxa"/>
            <w:gridSpan w:val="3"/>
          </w:tcPr>
          <w:p w14:paraId="34C7951A" w14:textId="77777777" w:rsidR="008B2CA8" w:rsidRPr="007E103C" w:rsidRDefault="008B2CA8" w:rsidP="008B2CA8">
            <w:pPr>
              <w:rPr>
                <w:rFonts w:cs="Arial"/>
                <w:b/>
                <w:bCs/>
                <w:color w:val="000000"/>
                <w:szCs w:val="20"/>
                <w:lang w:val="en-GB" w:eastAsia="en-US"/>
              </w:rPr>
            </w:pPr>
            <w:r w:rsidRPr="007E103C">
              <w:rPr>
                <w:spacing w:val="-4"/>
                <w:szCs w:val="20"/>
                <w:lang w:val="en-GB" w:eastAsia="en-US"/>
              </w:rPr>
              <w:t xml:space="preserve">Trade with metalworking products (−24.1 b CZK), electrical equipment (−22.9 bn CZK), crude oil and natural gas (−7.2 bn CZK) and agricultural and hunting products (−6.0 bn CZK) contributed the most to the year-on-year balance deterioration in H1. On the contrary, the balance of trade with motor vehicles and motorcycles (+37.1 bn CZK), coke and refined petroleum products (+9.5 bn) and computers, electronic and optical appliances (+7.9 bn) improved. The trade balance deteriorated for most items in Q2 itself, most notably for crude oil and natural gas (see Table 5), and the deficit deepened for the first time since Q4 2022. Furthermore, the result of trade with metalworking products and electrical equipment </w:t>
            </w:r>
            <w:r w:rsidRPr="007E103C">
              <w:rPr>
                <w:spacing w:val="-4"/>
                <w:szCs w:val="20"/>
                <w:lang w:val="en-GB" w:eastAsia="en-US"/>
              </w:rPr>
              <w:lastRenderedPageBreak/>
              <w:t xml:space="preserve">deteriorated significantly, year-on-year. On the contrary, the surplus of trade with motor vehicles increased significantly, and the result of trade in coke and refined petroleum products, other transport equipment and computers, electronic and optical appliances also showed a solid improvement.  </w:t>
            </w:r>
          </w:p>
        </w:tc>
      </w:tr>
      <w:tr w:rsidR="008B2CA8" w:rsidRPr="007E103C" w14:paraId="27598BFB" w14:textId="77777777" w:rsidTr="008B2CA8">
        <w:trPr>
          <w:trHeight w:val="170"/>
        </w:trPr>
        <w:tc>
          <w:tcPr>
            <w:tcW w:w="1748" w:type="dxa"/>
          </w:tcPr>
          <w:p w14:paraId="6030CE38" w14:textId="77777777" w:rsidR="008B2CA8" w:rsidRPr="007E103C" w:rsidRDefault="008B2CA8" w:rsidP="008B2CA8">
            <w:pPr>
              <w:pStyle w:val="Marginlie"/>
              <w:rPr>
                <w:lang w:val="en-GB" w:eastAsia="en-US"/>
              </w:rPr>
            </w:pPr>
          </w:p>
        </w:tc>
        <w:tc>
          <w:tcPr>
            <w:tcW w:w="252" w:type="dxa"/>
          </w:tcPr>
          <w:p w14:paraId="4B64135C" w14:textId="77777777" w:rsidR="008B2CA8" w:rsidRPr="007E103C" w:rsidRDefault="008B2CA8" w:rsidP="008B2CA8">
            <w:pPr>
              <w:pStyle w:val="Textpoznpodarou"/>
              <w:jc w:val="both"/>
              <w:rPr>
                <w:spacing w:val="-4"/>
                <w:lang w:val="en-GB" w:eastAsia="en-US"/>
              </w:rPr>
            </w:pPr>
          </w:p>
        </w:tc>
        <w:tc>
          <w:tcPr>
            <w:tcW w:w="7677" w:type="dxa"/>
            <w:gridSpan w:val="3"/>
          </w:tcPr>
          <w:p w14:paraId="5947822B" w14:textId="0424191C" w:rsidR="008B2CA8" w:rsidRPr="007E103C" w:rsidRDefault="008B2CA8" w:rsidP="008B2CA8">
            <w:pPr>
              <w:spacing w:after="0"/>
              <w:rPr>
                <w:spacing w:val="-4"/>
                <w:lang w:val="en-GB" w:eastAsia="en-US"/>
              </w:rPr>
            </w:pPr>
            <w:r w:rsidRPr="007E103C">
              <w:rPr>
                <w:rFonts w:cs="Arial"/>
                <w:b/>
                <w:bCs/>
                <w:color w:val="000000"/>
                <w:szCs w:val="20"/>
                <w:lang w:val="en-GB" w:eastAsia="en-US"/>
              </w:rPr>
              <w:t xml:space="preserve">Chart 9 </w:t>
            </w:r>
            <w:r w:rsidRPr="007E103C">
              <w:rPr>
                <w:b/>
                <w:bCs/>
                <w:spacing w:val="-4"/>
                <w:lang w:val="en-GB" w:eastAsia="en-US"/>
              </w:rPr>
              <w:t xml:space="preserve">Export and import of goods </w:t>
            </w:r>
            <w:r w:rsidRPr="007E103C">
              <w:rPr>
                <w:spacing w:val="-4"/>
                <w:lang w:val="en-GB" w:eastAsia="en-US"/>
              </w:rPr>
              <w:t>(y-o-y change, in %)</w:t>
            </w:r>
            <w:r w:rsidRPr="007E103C">
              <w:rPr>
                <w:b/>
                <w:bCs/>
                <w:spacing w:val="-4"/>
                <w:lang w:val="en-GB" w:eastAsia="en-US"/>
              </w:rPr>
              <w:t xml:space="preserve"> and balance of international trade with goods </w:t>
            </w:r>
            <w:r w:rsidRPr="007E103C">
              <w:rPr>
                <w:spacing w:val="-4"/>
                <w:lang w:val="en-GB" w:eastAsia="en-US"/>
              </w:rPr>
              <w:t xml:space="preserve">(in bn CZK, right </w:t>
            </w:r>
            <w:r w:rsidR="00A90B3D" w:rsidRPr="007E103C">
              <w:rPr>
                <w:spacing w:val="-4"/>
                <w:lang w:val="en-GB" w:eastAsia="en-US"/>
              </w:rPr>
              <w:t xml:space="preserve">axis) </w:t>
            </w:r>
            <w:r w:rsidR="00A90B3D" w:rsidRPr="007E103C">
              <w:rPr>
                <w:rFonts w:cs="Arial"/>
                <w:b/>
                <w:bCs/>
                <w:color w:val="000000"/>
                <w:szCs w:val="20"/>
                <w:lang w:val="en-GB" w:eastAsia="en-US"/>
              </w:rPr>
              <w:t xml:space="preserve"> </w:t>
            </w:r>
          </w:p>
        </w:tc>
      </w:tr>
      <w:tr w:rsidR="008B2CA8" w:rsidRPr="007E103C" w14:paraId="7F85EF22" w14:textId="77777777" w:rsidTr="00D97FE0">
        <w:tblPrEx>
          <w:tblCellMar>
            <w:left w:w="70" w:type="dxa"/>
            <w:right w:w="70" w:type="dxa"/>
          </w:tblCellMar>
        </w:tblPrEx>
        <w:trPr>
          <w:trHeight w:val="170"/>
        </w:trPr>
        <w:tc>
          <w:tcPr>
            <w:tcW w:w="1748" w:type="dxa"/>
            <w:vMerge w:val="restart"/>
          </w:tcPr>
          <w:p w14:paraId="315BE64A" w14:textId="77777777" w:rsidR="008B2CA8" w:rsidRPr="007E103C" w:rsidRDefault="008B2CA8" w:rsidP="008B2CA8">
            <w:pPr>
              <w:pStyle w:val="Marginlie"/>
              <w:rPr>
                <w:lang w:val="en-GB" w:eastAsia="en-US"/>
              </w:rPr>
            </w:pPr>
          </w:p>
        </w:tc>
        <w:tc>
          <w:tcPr>
            <w:tcW w:w="252" w:type="dxa"/>
            <w:vMerge w:val="restart"/>
          </w:tcPr>
          <w:p w14:paraId="2D9E7103" w14:textId="77777777" w:rsidR="008B2CA8" w:rsidRPr="007E103C" w:rsidRDefault="008B2CA8" w:rsidP="008B2CA8">
            <w:pPr>
              <w:pStyle w:val="Textpoznpodarou"/>
              <w:jc w:val="both"/>
              <w:rPr>
                <w:spacing w:val="-4"/>
                <w:lang w:val="en-GB" w:eastAsia="en-US"/>
              </w:rPr>
            </w:pPr>
          </w:p>
        </w:tc>
        <w:tc>
          <w:tcPr>
            <w:tcW w:w="7677" w:type="dxa"/>
            <w:gridSpan w:val="3"/>
          </w:tcPr>
          <w:p w14:paraId="3262488C" w14:textId="03D3FA3D" w:rsidR="008B2CA8" w:rsidRPr="007E103C" w:rsidRDefault="00D97FE0" w:rsidP="008B2CA8">
            <w:pPr>
              <w:spacing w:after="0"/>
              <w:rPr>
                <w:spacing w:val="-4"/>
                <w:lang w:val="en-GB" w:eastAsia="en-US"/>
              </w:rPr>
            </w:pPr>
            <w:r w:rsidRPr="007E103C">
              <w:rPr>
                <w:noProof/>
                <w:lang w:val="en-GB"/>
              </w:rPr>
              <w:drawing>
                <wp:inline distT="0" distB="0" distL="0" distR="0" wp14:anchorId="76339CAC" wp14:editId="1180FF7F">
                  <wp:extent cx="4752000" cy="3492000"/>
                  <wp:effectExtent l="0" t="0" r="0" b="0"/>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8B2CA8" w:rsidRPr="007E103C" w14:paraId="2E2E1AF4" w14:textId="77777777" w:rsidTr="008B2CA8">
        <w:trPr>
          <w:trHeight w:val="170"/>
        </w:trPr>
        <w:tc>
          <w:tcPr>
            <w:tcW w:w="1748" w:type="dxa"/>
            <w:vMerge/>
          </w:tcPr>
          <w:p w14:paraId="5033E81B" w14:textId="77777777" w:rsidR="008B2CA8" w:rsidRPr="007E103C" w:rsidRDefault="008B2CA8" w:rsidP="008B2CA8">
            <w:pPr>
              <w:pStyle w:val="Marginlie"/>
              <w:rPr>
                <w:lang w:val="en-GB" w:eastAsia="en-US"/>
              </w:rPr>
            </w:pPr>
          </w:p>
        </w:tc>
        <w:tc>
          <w:tcPr>
            <w:tcW w:w="252" w:type="dxa"/>
            <w:vMerge/>
          </w:tcPr>
          <w:p w14:paraId="725C3E47" w14:textId="77777777" w:rsidR="008B2CA8" w:rsidRPr="007E103C" w:rsidRDefault="008B2CA8" w:rsidP="008B2CA8">
            <w:pPr>
              <w:pStyle w:val="Textpoznpodarou"/>
              <w:jc w:val="both"/>
              <w:rPr>
                <w:spacing w:val="-4"/>
                <w:lang w:val="en-GB" w:eastAsia="en-US"/>
              </w:rPr>
            </w:pPr>
          </w:p>
        </w:tc>
        <w:tc>
          <w:tcPr>
            <w:tcW w:w="7677" w:type="dxa"/>
            <w:gridSpan w:val="3"/>
          </w:tcPr>
          <w:p w14:paraId="7726FFBE" w14:textId="79ED4BE9" w:rsidR="008B2CA8" w:rsidRPr="007E103C" w:rsidRDefault="008B2CA8" w:rsidP="00D97FE0">
            <w:pPr>
              <w:rPr>
                <w:spacing w:val="-4"/>
                <w:lang w:val="en-GB" w:eastAsia="en-US"/>
              </w:rPr>
            </w:pPr>
            <w:r w:rsidRPr="007E103C">
              <w:rPr>
                <w:sz w:val="16"/>
                <w:szCs w:val="16"/>
                <w:lang w:val="en-GB" w:eastAsia="en-US"/>
              </w:rPr>
              <w:t>Source: CZSO</w:t>
            </w:r>
          </w:p>
        </w:tc>
      </w:tr>
      <w:bookmarkEnd w:id="4"/>
      <w:bookmarkEnd w:id="5"/>
      <w:bookmarkEnd w:id="6"/>
    </w:tbl>
    <w:p w14:paraId="39CCD117" w14:textId="77777777" w:rsidR="008B2CA8" w:rsidRPr="007E103C" w:rsidRDefault="008B2CA8" w:rsidP="008B2CA8">
      <w:pPr>
        <w:spacing w:after="0" w:line="240" w:lineRule="auto"/>
        <w:jc w:val="left"/>
        <w:rPr>
          <w:rFonts w:eastAsia="MS Gothic"/>
          <w:bCs/>
          <w:color w:val="71818C"/>
          <w:sz w:val="2"/>
          <w:szCs w:val="2"/>
          <w:highlight w:val="yellow"/>
          <w:lang w:val="en-GB"/>
        </w:rPr>
      </w:pPr>
    </w:p>
    <w:p w14:paraId="017E4004" w14:textId="77777777" w:rsidR="008B2CA8" w:rsidRPr="007E103C" w:rsidRDefault="008B2CA8" w:rsidP="008B2CA8">
      <w:pPr>
        <w:spacing w:after="0" w:line="240" w:lineRule="auto"/>
        <w:jc w:val="left"/>
        <w:rPr>
          <w:rFonts w:eastAsia="MS Gothic"/>
          <w:b/>
          <w:bCs/>
          <w:color w:val="86BF5E"/>
          <w:sz w:val="32"/>
          <w:szCs w:val="28"/>
          <w:highlight w:val="yellow"/>
          <w:lang w:val="en-GB"/>
        </w:rPr>
      </w:pPr>
    </w:p>
    <w:p w14:paraId="636A9911" w14:textId="77777777" w:rsidR="008B2CA8" w:rsidRPr="007E103C" w:rsidRDefault="008B2CA8" w:rsidP="008B2CA8">
      <w:pPr>
        <w:spacing w:after="0" w:line="240" w:lineRule="auto"/>
        <w:jc w:val="left"/>
        <w:rPr>
          <w:rFonts w:eastAsia="MS Gothic"/>
          <w:bCs/>
          <w:color w:val="71818C"/>
          <w:sz w:val="2"/>
          <w:szCs w:val="2"/>
          <w:highlight w:val="yellow"/>
          <w:lang w:val="en-GB"/>
        </w:rPr>
      </w:pPr>
    </w:p>
    <w:p w14:paraId="0B7F0330" w14:textId="298BA402" w:rsidR="008B2CA8" w:rsidRPr="007E103C" w:rsidRDefault="008B2CA8" w:rsidP="008B2CA8">
      <w:pPr>
        <w:spacing w:after="0" w:line="240" w:lineRule="auto"/>
        <w:jc w:val="left"/>
        <w:rPr>
          <w:rFonts w:eastAsia="MS Gothic"/>
          <w:b/>
          <w:bCs/>
          <w:color w:val="86BF5E"/>
          <w:sz w:val="32"/>
          <w:szCs w:val="28"/>
          <w:highlight w:val="yellow"/>
          <w:lang w:val="en-GB"/>
        </w:rPr>
      </w:pPr>
    </w:p>
    <w:bookmarkEnd w:id="0"/>
    <w:sectPr w:rsidR="008B2CA8" w:rsidRPr="007E103C" w:rsidSect="00387822">
      <w:headerReference w:type="even" r:id="rId12"/>
      <w:headerReference w:type="default" r:id="rId13"/>
      <w:footerReference w:type="even" r:id="rId14"/>
      <w:footerReference w:type="default" r:id="rId15"/>
      <w:pgSz w:w="11906" w:h="16838" w:code="9"/>
      <w:pgMar w:top="1134" w:right="1134" w:bottom="1418" w:left="1134" w:header="680" w:footer="680" w:gutter="0"/>
      <w:pgNumType w:start="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EB545" w14:textId="77777777" w:rsidR="00B07993" w:rsidRDefault="00B07993" w:rsidP="00E71A58">
      <w:r>
        <w:separator/>
      </w:r>
    </w:p>
  </w:endnote>
  <w:endnote w:type="continuationSeparator" w:id="0">
    <w:p w14:paraId="3C0B90D9" w14:textId="77777777" w:rsidR="00B07993" w:rsidRDefault="00B07993" w:rsidP="00E71A58">
      <w:r>
        <w:continuationSeparator/>
      </w:r>
    </w:p>
  </w:endnote>
  <w:endnote w:type="continuationNotice" w:id="1">
    <w:p w14:paraId="1EBDFB32" w14:textId="77777777" w:rsidR="00B07993" w:rsidRDefault="00B079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8" w14:textId="6426E3F5" w:rsidR="00B07993" w:rsidRPr="00932443" w:rsidRDefault="00B07993" w:rsidP="00A418BC">
    <w:pPr>
      <w:pStyle w:val="Zpat"/>
      <w:rPr>
        <w:szCs w:val="16"/>
      </w:rPr>
    </w:pPr>
    <w:r>
      <w:rPr>
        <w:szCs w:val="16"/>
        <w:lang w:eastAsia="cs-CZ"/>
      </w:rPr>
      <w:drawing>
        <wp:anchor distT="0" distB="0" distL="114300" distR="114300" simplePos="0" relativeHeight="251658241" behindDoc="0" locked="0" layoutInCell="1" allowOverlap="1" wp14:anchorId="2143298A" wp14:editId="2143298B">
          <wp:simplePos x="0" y="0"/>
          <wp:positionH relativeFrom="column">
            <wp:align>right</wp:align>
          </wp:positionH>
          <wp:positionV relativeFrom="paragraph">
            <wp:posOffset>-64770</wp:posOffset>
          </wp:positionV>
          <wp:extent cx="428625" cy="201295"/>
          <wp:effectExtent l="0" t="0" r="3175" b="1905"/>
          <wp:wrapNone/>
          <wp:docPr id="21"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2255ED">
      <w:rPr>
        <w:szCs w:val="16"/>
      </w:rPr>
      <w:t>48</w:t>
    </w:r>
    <w:r w:rsidRPr="00932443">
      <w:rPr>
        <w:szCs w:val="16"/>
      </w:rPr>
      <w:fldChar w:fldCharType="end"/>
    </w:r>
    <w:r w:rsidRPr="00932443">
      <w:rPr>
        <w:szCs w:val="16"/>
      </w:rPr>
      <w:tab/>
    </w:r>
    <w:r>
      <w:rPr>
        <w:szCs w:val="16"/>
      </w:rPr>
      <w:t>First half of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9" w14:textId="2428D87F" w:rsidR="00B07993" w:rsidRPr="00932443" w:rsidRDefault="00B07993" w:rsidP="00A418BC">
    <w:pPr>
      <w:pStyle w:val="Zpat"/>
      <w:rPr>
        <w:szCs w:val="16"/>
      </w:rPr>
    </w:pPr>
    <w:r>
      <w:rPr>
        <w:szCs w:val="16"/>
        <w:lang w:eastAsia="cs-CZ"/>
      </w:rPr>
      <w:drawing>
        <wp:anchor distT="0" distB="0" distL="114300" distR="114300" simplePos="0" relativeHeight="251658240" behindDoc="0" locked="0" layoutInCell="1" allowOverlap="1" wp14:anchorId="2143298C" wp14:editId="3333567D">
          <wp:simplePos x="0" y="0"/>
          <wp:positionH relativeFrom="column">
            <wp:posOffset>3810</wp:posOffset>
          </wp:positionH>
          <wp:positionV relativeFrom="paragraph">
            <wp:posOffset>-60960</wp:posOffset>
          </wp:positionV>
          <wp:extent cx="691467" cy="201600"/>
          <wp:effectExtent l="0" t="0" r="0" b="8255"/>
          <wp:wrapNone/>
          <wp:docPr id="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1467" cy="20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tab/>
    </w:r>
    <w:r>
      <w:rPr>
        <w:szCs w:val="16"/>
      </w:rPr>
      <w:t>First half of 2025</w:t>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2255ED">
      <w:rPr>
        <w:rStyle w:val="ZpatChar"/>
        <w:szCs w:val="16"/>
      </w:rPr>
      <w:t>47</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C6EFC" w14:textId="77777777" w:rsidR="00B07993" w:rsidRDefault="00B07993" w:rsidP="00EA4302">
      <w:pPr>
        <w:spacing w:after="0"/>
      </w:pPr>
      <w:r>
        <w:separator/>
      </w:r>
    </w:p>
  </w:footnote>
  <w:footnote w:type="continuationSeparator" w:id="0">
    <w:p w14:paraId="1A4436FD" w14:textId="77777777" w:rsidR="00B07993" w:rsidRDefault="00B07993" w:rsidP="00E71A58">
      <w:r>
        <w:continuationSeparator/>
      </w:r>
    </w:p>
  </w:footnote>
  <w:footnote w:type="continuationNotice" w:id="1">
    <w:p w14:paraId="4F32D3FB" w14:textId="77777777" w:rsidR="00B07993" w:rsidRDefault="00B07993">
      <w:pPr>
        <w:spacing w:after="0" w:line="240" w:lineRule="auto"/>
      </w:pPr>
    </w:p>
  </w:footnote>
  <w:footnote w:id="2">
    <w:p w14:paraId="191A98E4" w14:textId="77777777" w:rsidR="00B07993" w:rsidRPr="00ED5A87" w:rsidRDefault="00B07993" w:rsidP="008B2CA8">
      <w:pPr>
        <w:pStyle w:val="Textpoznpodarou"/>
        <w:jc w:val="both"/>
        <w:rPr>
          <w:rFonts w:cs="Arial"/>
          <w:iCs/>
          <w:sz w:val="16"/>
          <w:szCs w:val="16"/>
          <w:lang w:val="en-GB"/>
        </w:rPr>
      </w:pPr>
      <w:r w:rsidRPr="00ED5A87">
        <w:rPr>
          <w:rStyle w:val="Znakapoznpodarou"/>
          <w:rFonts w:cs="Arial"/>
          <w:i/>
          <w:sz w:val="16"/>
          <w:szCs w:val="16"/>
          <w:lang w:val="en-GB"/>
        </w:rPr>
        <w:footnoteRef/>
      </w:r>
      <w:r w:rsidRPr="00ED5A87">
        <w:rPr>
          <w:rFonts w:cs="Arial"/>
          <w:i/>
          <w:iCs/>
          <w:sz w:val="16"/>
          <w:szCs w:val="16"/>
          <w:lang w:val="en-GB"/>
        </w:rPr>
        <w:t xml:space="preserve"> </w:t>
      </w:r>
      <w:r w:rsidRPr="00ED5A87">
        <w:rPr>
          <w:rFonts w:cs="Arial"/>
          <w:sz w:val="16"/>
          <w:szCs w:val="16"/>
          <w:lang w:val="en-GB"/>
        </w:rPr>
        <w:t>Data for international trade with goods are recalculated using the updated method based on higher rate of detail since year 2020, see</w:t>
      </w:r>
      <w:r w:rsidRPr="00ED5A87">
        <w:rPr>
          <w:rFonts w:cs="Arial"/>
          <w:i/>
          <w:iCs/>
          <w:sz w:val="16"/>
          <w:szCs w:val="16"/>
          <w:lang w:val="en-GB"/>
        </w:rPr>
        <w:t xml:space="preserve"> </w:t>
      </w:r>
      <w:hyperlink r:id="rId1" w:history="1">
        <w:r w:rsidRPr="00ED5A87">
          <w:rPr>
            <w:rStyle w:val="Hypertextovodkaz"/>
            <w:rFonts w:cs="Arial"/>
            <w:sz w:val="16"/>
            <w:szCs w:val="16"/>
            <w:lang w:val="en-GB"/>
          </w:rPr>
          <w:t>https://csu.gov.cz/update-of-the-compilation-method-international-trade-in-goods-change-of-ownership</w:t>
        </w:r>
      </w:hyperlink>
      <w:r w:rsidRPr="00ED5A87">
        <w:rPr>
          <w:rFonts w:cs="Arial"/>
          <w:i/>
          <w:iCs/>
          <w:sz w:val="16"/>
          <w:szCs w:val="16"/>
          <w:lang w:val="en-GB"/>
        </w:rPr>
        <w:t xml:space="preserve">. </w:t>
      </w:r>
      <w:r w:rsidRPr="00ED5A87">
        <w:rPr>
          <w:rFonts w:cs="Arial"/>
          <w:sz w:val="16"/>
          <w:szCs w:val="16"/>
          <w:lang w:val="en-GB"/>
        </w:rPr>
        <w:t>Unless stated otherwise, all figures are without seasonal adjustment and in current prices.</w:t>
      </w:r>
    </w:p>
  </w:footnote>
  <w:footnote w:id="3">
    <w:p w14:paraId="2C682E6F" w14:textId="77777777" w:rsidR="00B07993" w:rsidRPr="00ED5A87" w:rsidRDefault="00B07993" w:rsidP="008B2CA8">
      <w:pPr>
        <w:pStyle w:val="Textpoznpodarou"/>
        <w:jc w:val="both"/>
        <w:rPr>
          <w:lang w:val="en-GB"/>
        </w:rPr>
      </w:pPr>
      <w:r w:rsidRPr="00ED5A87">
        <w:rPr>
          <w:rStyle w:val="Znakapoznpodarou"/>
          <w:sz w:val="16"/>
          <w:szCs w:val="16"/>
          <w:lang w:val="en-GB"/>
        </w:rPr>
        <w:footnoteRef/>
      </w:r>
      <w:r w:rsidRPr="00ED5A87">
        <w:rPr>
          <w:sz w:val="16"/>
          <w:szCs w:val="16"/>
          <w:lang w:val="en-GB"/>
        </w:rPr>
        <w:t xml:space="preserve"> The effect of this stock up was particularly evident in Q1 this year in the significant acceleration of year-on-year growth of exports of goods to Germany, which is the largest European exporter to the USA and the Czech Republic is its subcontractor. Exports from the Czech Republic to the USA strengthened considerably throughout last year, and this trend only continued in Q1 this year. Nevertheless, the increases of Czech exports to both countries plunged in Q2.  </w:t>
      </w:r>
    </w:p>
  </w:footnote>
  <w:footnote w:id="4">
    <w:p w14:paraId="33CA2D5E" w14:textId="77777777" w:rsidR="00B07993" w:rsidRPr="00ED5A87" w:rsidRDefault="00B07993" w:rsidP="008B2CA8">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Export prices decreased by 0.1%, year-on-year, in Q2 2025 and by 1.7%, quarter-on-quarter. </w:t>
      </w:r>
    </w:p>
  </w:footnote>
  <w:footnote w:id="5">
    <w:p w14:paraId="6E3B4F34" w14:textId="40844453" w:rsidR="00B07993" w:rsidRPr="00ED5A87" w:rsidRDefault="00B07993" w:rsidP="008B2CA8">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Motor vehicles in particular, but the strengthening is also evident in the export of pharmaceutical products and computers, electronic and optical appliances. </w:t>
      </w:r>
    </w:p>
  </w:footnote>
  <w:footnote w:id="6">
    <w:p w14:paraId="745A78D8" w14:textId="77777777" w:rsidR="00B07993" w:rsidRPr="00ED5A87" w:rsidRDefault="00B07993" w:rsidP="008B2CA8">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Import prices decreased by 0.5%, year-on-year, in Q2 and decreased by 2.5%, quarter-on-quarter. </w:t>
      </w:r>
    </w:p>
  </w:footnote>
  <w:footnote w:id="7">
    <w:p w14:paraId="4DDAF985" w14:textId="77777777" w:rsidR="00B07993" w:rsidRPr="00ED5A87" w:rsidRDefault="00B07993" w:rsidP="008B2CA8">
      <w:pPr>
        <w:pStyle w:val="Textpoznpodarou"/>
        <w:rPr>
          <w:sz w:val="16"/>
          <w:szCs w:val="16"/>
          <w:lang w:val="en-GB"/>
        </w:rPr>
      </w:pPr>
      <w:r w:rsidRPr="00ED5A87">
        <w:rPr>
          <w:rStyle w:val="Znakapoznpodarou"/>
          <w:sz w:val="16"/>
          <w:szCs w:val="16"/>
          <w:lang w:val="en-GB"/>
        </w:rPr>
        <w:footnoteRef/>
      </w:r>
      <w:r w:rsidRPr="00ED5A87">
        <w:rPr>
          <w:sz w:val="16"/>
          <w:szCs w:val="16"/>
          <w:lang w:val="en-GB"/>
        </w:rPr>
        <w:t xml:space="preserve"> Batteries were imported to a larger extent, especially for electric cars.</w:t>
      </w:r>
    </w:p>
  </w:footnote>
  <w:footnote w:id="8">
    <w:p w14:paraId="64A33151" w14:textId="77777777" w:rsidR="00B07993" w:rsidRPr="00ED5A87" w:rsidRDefault="00B07993" w:rsidP="008B2CA8">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 impact on the balance for the "unspecified" category also increased in H1. Trade with crude oil and natural gas, which could not be territorially classified, was captured here. The trade balance within this category deteriorated by 9.8 bn CZK, year-on-year, in H1. </w:t>
      </w:r>
    </w:p>
  </w:footnote>
  <w:footnote w:id="9">
    <w:p w14:paraId="63A7CDA2" w14:textId="77777777" w:rsidR="00B07993" w:rsidRPr="00ED5A87" w:rsidRDefault="00B07993" w:rsidP="008B2CA8">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 balance deteriorated by 8.6 bn CZK in case of unspecified origin of goods.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6" w14:textId="33008622" w:rsidR="00B07993" w:rsidRPr="00ED5A87" w:rsidRDefault="00B07993" w:rsidP="00C27E4F">
    <w:pPr>
      <w:pStyle w:val="Zhlav"/>
      <w:rPr>
        <w:lang w:val="en-GB"/>
      </w:rPr>
    </w:pPr>
    <w:r w:rsidRPr="00ED5A87">
      <w:rPr>
        <w:lang w:val="en-GB"/>
      </w:rPr>
      <w:t>The Czech Economy Development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7" w14:textId="66FE4D49" w:rsidR="00B07993" w:rsidRPr="00ED5A87" w:rsidRDefault="00B07993" w:rsidP="00937AE2">
    <w:pPr>
      <w:pStyle w:val="Zhlav"/>
      <w:rPr>
        <w:lang w:val="en-GB"/>
      </w:rPr>
    </w:pPr>
    <w:r w:rsidRPr="00ED5A87">
      <w:rPr>
        <w:lang w:val="en-GB"/>
      </w:rPr>
      <w:t>The Czech Economy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602530768" o:spid="_x0000_i1026" type="#_x0000_t75" style="width:10.9pt;height:10.9pt;visibility:visible;mso-wrap-style:square" o:bullet="t">
        <v:imagedata r:id="rId1" o:title=""/>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764B"/>
    <w:multiLevelType w:val="hybridMultilevel"/>
    <w:tmpl w:val="84788BC8"/>
    <w:lvl w:ilvl="0" w:tplc="1B96A2C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E145AAD"/>
    <w:multiLevelType w:val="hybridMultilevel"/>
    <w:tmpl w:val="963044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6" w15:restartNumberingAfterBreak="0">
    <w:nsid w:val="1E462C8E"/>
    <w:multiLevelType w:val="hybridMultilevel"/>
    <w:tmpl w:val="84B464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C64F20"/>
    <w:multiLevelType w:val="hybridMultilevel"/>
    <w:tmpl w:val="ADE25A6C"/>
    <w:lvl w:ilvl="0" w:tplc="04050001">
      <w:start w:val="1"/>
      <w:numFmt w:val="bullet"/>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8DA62F8"/>
    <w:multiLevelType w:val="hybridMultilevel"/>
    <w:tmpl w:val="419C87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7"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4558D6"/>
    <w:multiLevelType w:val="hybridMultilevel"/>
    <w:tmpl w:val="1B90B8E0"/>
    <w:lvl w:ilvl="0" w:tplc="4B66ED1E">
      <w:start w:val="1"/>
      <w:numFmt w:val="decimal"/>
      <w:lvlText w:val="%1."/>
      <w:lvlJc w:val="left"/>
      <w:pPr>
        <w:ind w:left="4905" w:hanging="360"/>
      </w:pPr>
      <w:rPr>
        <w:rFonts w:hint="default"/>
      </w:rPr>
    </w:lvl>
    <w:lvl w:ilvl="1" w:tplc="04050019" w:tentative="1">
      <w:start w:val="1"/>
      <w:numFmt w:val="lowerLetter"/>
      <w:lvlText w:val="%2."/>
      <w:lvlJc w:val="left"/>
      <w:pPr>
        <w:ind w:left="5625" w:hanging="360"/>
      </w:pPr>
    </w:lvl>
    <w:lvl w:ilvl="2" w:tplc="0405001B" w:tentative="1">
      <w:start w:val="1"/>
      <w:numFmt w:val="lowerRoman"/>
      <w:lvlText w:val="%3."/>
      <w:lvlJc w:val="right"/>
      <w:pPr>
        <w:ind w:left="6345" w:hanging="180"/>
      </w:pPr>
    </w:lvl>
    <w:lvl w:ilvl="3" w:tplc="0405000F" w:tentative="1">
      <w:start w:val="1"/>
      <w:numFmt w:val="decimal"/>
      <w:lvlText w:val="%4."/>
      <w:lvlJc w:val="left"/>
      <w:pPr>
        <w:ind w:left="7065" w:hanging="360"/>
      </w:pPr>
    </w:lvl>
    <w:lvl w:ilvl="4" w:tplc="04050019" w:tentative="1">
      <w:start w:val="1"/>
      <w:numFmt w:val="lowerLetter"/>
      <w:lvlText w:val="%5."/>
      <w:lvlJc w:val="left"/>
      <w:pPr>
        <w:ind w:left="7785" w:hanging="360"/>
      </w:pPr>
    </w:lvl>
    <w:lvl w:ilvl="5" w:tplc="0405001B" w:tentative="1">
      <w:start w:val="1"/>
      <w:numFmt w:val="lowerRoman"/>
      <w:lvlText w:val="%6."/>
      <w:lvlJc w:val="right"/>
      <w:pPr>
        <w:ind w:left="8505" w:hanging="180"/>
      </w:pPr>
    </w:lvl>
    <w:lvl w:ilvl="6" w:tplc="0405000F" w:tentative="1">
      <w:start w:val="1"/>
      <w:numFmt w:val="decimal"/>
      <w:lvlText w:val="%7."/>
      <w:lvlJc w:val="left"/>
      <w:pPr>
        <w:ind w:left="9225" w:hanging="360"/>
      </w:pPr>
    </w:lvl>
    <w:lvl w:ilvl="7" w:tplc="04050019" w:tentative="1">
      <w:start w:val="1"/>
      <w:numFmt w:val="lowerLetter"/>
      <w:lvlText w:val="%8."/>
      <w:lvlJc w:val="left"/>
      <w:pPr>
        <w:ind w:left="9945" w:hanging="360"/>
      </w:pPr>
    </w:lvl>
    <w:lvl w:ilvl="8" w:tplc="0405001B" w:tentative="1">
      <w:start w:val="1"/>
      <w:numFmt w:val="lowerRoman"/>
      <w:lvlText w:val="%9."/>
      <w:lvlJc w:val="right"/>
      <w:pPr>
        <w:ind w:left="10665" w:hanging="180"/>
      </w:pPr>
    </w:lvl>
  </w:abstractNum>
  <w:abstractNum w:abstractNumId="30" w15:restartNumberingAfterBreak="0">
    <w:nsid w:val="479678F7"/>
    <w:multiLevelType w:val="hybridMultilevel"/>
    <w:tmpl w:val="A4DE7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5051A8"/>
    <w:multiLevelType w:val="hybridMultilevel"/>
    <w:tmpl w:val="DEACE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655F88"/>
    <w:multiLevelType w:val="hybridMultilevel"/>
    <w:tmpl w:val="70283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8567A6"/>
    <w:multiLevelType w:val="hybridMultilevel"/>
    <w:tmpl w:val="50E0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D405E1"/>
    <w:multiLevelType w:val="multilevel"/>
    <w:tmpl w:val="5F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EF3AA7"/>
    <w:multiLevelType w:val="multilevel"/>
    <w:tmpl w:val="90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B048D2"/>
    <w:multiLevelType w:val="hybridMultilevel"/>
    <w:tmpl w:val="D2A0F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7747AF"/>
    <w:multiLevelType w:val="hybridMultilevel"/>
    <w:tmpl w:val="76204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651B2D"/>
    <w:multiLevelType w:val="hybridMultilevel"/>
    <w:tmpl w:val="4C1C2D78"/>
    <w:lvl w:ilvl="0" w:tplc="B01A5632">
      <w:start w:val="1"/>
      <w:numFmt w:val="bullet"/>
      <w:pStyle w:val="Normalodrk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DA7946"/>
    <w:multiLevelType w:val="multilevel"/>
    <w:tmpl w:val="6F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646937856">
    <w:abstractNumId w:val="31"/>
  </w:num>
  <w:num w:numId="2" w16cid:durableId="1182553090">
    <w:abstractNumId w:val="8"/>
  </w:num>
  <w:num w:numId="3" w16cid:durableId="1524973633">
    <w:abstractNumId w:val="3"/>
  </w:num>
  <w:num w:numId="4" w16cid:durableId="600265094">
    <w:abstractNumId w:val="2"/>
  </w:num>
  <w:num w:numId="5" w16cid:durableId="2011786555">
    <w:abstractNumId w:val="1"/>
  </w:num>
  <w:num w:numId="6" w16cid:durableId="517743335">
    <w:abstractNumId w:val="0"/>
  </w:num>
  <w:num w:numId="7" w16cid:durableId="36780508">
    <w:abstractNumId w:val="9"/>
  </w:num>
  <w:num w:numId="8" w16cid:durableId="407313998">
    <w:abstractNumId w:val="7"/>
  </w:num>
  <w:num w:numId="9" w16cid:durableId="507599455">
    <w:abstractNumId w:val="6"/>
  </w:num>
  <w:num w:numId="10" w16cid:durableId="785277843">
    <w:abstractNumId w:val="5"/>
  </w:num>
  <w:num w:numId="11" w16cid:durableId="1157839552">
    <w:abstractNumId w:val="4"/>
  </w:num>
  <w:num w:numId="12" w16cid:durableId="1871186636">
    <w:abstractNumId w:val="18"/>
  </w:num>
  <w:num w:numId="13" w16cid:durableId="1231118869">
    <w:abstractNumId w:val="34"/>
  </w:num>
  <w:num w:numId="14" w16cid:durableId="463933632">
    <w:abstractNumId w:val="15"/>
  </w:num>
  <w:num w:numId="15" w16cid:durableId="1315527526">
    <w:abstractNumId w:val="24"/>
  </w:num>
  <w:num w:numId="16" w16cid:durableId="260377884">
    <w:abstractNumId w:val="19"/>
  </w:num>
  <w:num w:numId="17" w16cid:durableId="1946227118">
    <w:abstractNumId w:val="35"/>
  </w:num>
  <w:num w:numId="18" w16cid:durableId="1748260036">
    <w:abstractNumId w:val="25"/>
  </w:num>
  <w:num w:numId="19" w16cid:durableId="1078093014">
    <w:abstractNumId w:val="38"/>
  </w:num>
  <w:num w:numId="20" w16cid:durableId="922565376">
    <w:abstractNumId w:val="43"/>
  </w:num>
  <w:num w:numId="21" w16cid:durableId="1763914405">
    <w:abstractNumId w:val="33"/>
  </w:num>
  <w:num w:numId="22" w16cid:durableId="20208307">
    <w:abstractNumId w:val="23"/>
  </w:num>
  <w:num w:numId="23" w16cid:durableId="765228109">
    <w:abstractNumId w:val="21"/>
  </w:num>
  <w:num w:numId="24" w16cid:durableId="1027489637">
    <w:abstractNumId w:val="22"/>
  </w:num>
  <w:num w:numId="25" w16cid:durableId="101921163">
    <w:abstractNumId w:val="41"/>
  </w:num>
  <w:num w:numId="26" w16cid:durableId="133107791">
    <w:abstractNumId w:val="42"/>
  </w:num>
  <w:num w:numId="27" w16cid:durableId="278030999">
    <w:abstractNumId w:val="13"/>
  </w:num>
  <w:num w:numId="28" w16cid:durableId="2048607045">
    <w:abstractNumId w:val="27"/>
  </w:num>
  <w:num w:numId="29" w16cid:durableId="1377387219">
    <w:abstractNumId w:val="26"/>
  </w:num>
  <w:num w:numId="30" w16cid:durableId="1368414164">
    <w:abstractNumId w:val="10"/>
  </w:num>
  <w:num w:numId="31" w16cid:durableId="1889611099">
    <w:abstractNumId w:val="28"/>
  </w:num>
  <w:num w:numId="32" w16cid:durableId="417218642">
    <w:abstractNumId w:val="12"/>
  </w:num>
  <w:num w:numId="33" w16cid:durableId="426317786">
    <w:abstractNumId w:val="45"/>
  </w:num>
  <w:num w:numId="34" w16cid:durableId="1308976913">
    <w:abstractNumId w:val="11"/>
  </w:num>
  <w:num w:numId="35" w16cid:durableId="537164862">
    <w:abstractNumId w:val="37"/>
  </w:num>
  <w:num w:numId="36" w16cid:durableId="510991698">
    <w:abstractNumId w:val="30"/>
  </w:num>
  <w:num w:numId="37" w16cid:durableId="830023496">
    <w:abstractNumId w:val="29"/>
  </w:num>
  <w:num w:numId="38" w16cid:durableId="470751196">
    <w:abstractNumId w:val="39"/>
  </w:num>
  <w:num w:numId="39" w16cid:durableId="1048645876">
    <w:abstractNumId w:val="44"/>
  </w:num>
  <w:num w:numId="40" w16cid:durableId="181094205">
    <w:abstractNumId w:val="40"/>
  </w:num>
  <w:num w:numId="41" w16cid:durableId="1034695057">
    <w:abstractNumId w:val="32"/>
  </w:num>
  <w:num w:numId="42" w16cid:durableId="1721710053">
    <w:abstractNumId w:val="20"/>
  </w:num>
  <w:num w:numId="43" w16cid:durableId="1021710188">
    <w:abstractNumId w:val="14"/>
  </w:num>
  <w:num w:numId="44" w16cid:durableId="2043285502">
    <w:abstractNumId w:val="36"/>
  </w:num>
  <w:num w:numId="45" w16cid:durableId="979573896">
    <w:abstractNumId w:val="16"/>
  </w:num>
  <w:num w:numId="46" w16cid:durableId="237980822">
    <w:abstractNumId w:val="43"/>
    <w:lvlOverride w:ilvl="0">
      <w:startOverride w:val="1"/>
    </w:lvlOverride>
  </w:num>
  <w:num w:numId="47" w16cid:durableId="16120065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62"/>
    <w:rsid w:val="0000209D"/>
    <w:rsid w:val="000024D3"/>
    <w:rsid w:val="00004D5A"/>
    <w:rsid w:val="000056D5"/>
    <w:rsid w:val="00006ABD"/>
    <w:rsid w:val="0000767A"/>
    <w:rsid w:val="00010256"/>
    <w:rsid w:val="00010702"/>
    <w:rsid w:val="0001145A"/>
    <w:rsid w:val="00011912"/>
    <w:rsid w:val="0002044F"/>
    <w:rsid w:val="0002195D"/>
    <w:rsid w:val="000234D6"/>
    <w:rsid w:val="00023D29"/>
    <w:rsid w:val="00026389"/>
    <w:rsid w:val="00031AE0"/>
    <w:rsid w:val="000322EF"/>
    <w:rsid w:val="00033FCD"/>
    <w:rsid w:val="00040A98"/>
    <w:rsid w:val="00040D10"/>
    <w:rsid w:val="00041B15"/>
    <w:rsid w:val="00041CEC"/>
    <w:rsid w:val="00042F74"/>
    <w:rsid w:val="0004694F"/>
    <w:rsid w:val="000522E4"/>
    <w:rsid w:val="000610E1"/>
    <w:rsid w:val="00062EC5"/>
    <w:rsid w:val="00062F22"/>
    <w:rsid w:val="000712B3"/>
    <w:rsid w:val="00073ED1"/>
    <w:rsid w:val="00074573"/>
    <w:rsid w:val="0008079B"/>
    <w:rsid w:val="0008263E"/>
    <w:rsid w:val="00082C19"/>
    <w:rsid w:val="00085395"/>
    <w:rsid w:val="00087634"/>
    <w:rsid w:val="00087F2B"/>
    <w:rsid w:val="00095135"/>
    <w:rsid w:val="000974D1"/>
    <w:rsid w:val="0009799E"/>
    <w:rsid w:val="000A1183"/>
    <w:rsid w:val="000A256D"/>
    <w:rsid w:val="000A3A2C"/>
    <w:rsid w:val="000A57D4"/>
    <w:rsid w:val="000B7C8D"/>
    <w:rsid w:val="000C3408"/>
    <w:rsid w:val="000C6AFD"/>
    <w:rsid w:val="000D5637"/>
    <w:rsid w:val="000E10DD"/>
    <w:rsid w:val="000E6FBD"/>
    <w:rsid w:val="000F7BED"/>
    <w:rsid w:val="00100F5C"/>
    <w:rsid w:val="00101CDA"/>
    <w:rsid w:val="00104C4C"/>
    <w:rsid w:val="00107BC8"/>
    <w:rsid w:val="00113C61"/>
    <w:rsid w:val="00117623"/>
    <w:rsid w:val="0012192F"/>
    <w:rsid w:val="00125D69"/>
    <w:rsid w:val="001405FA"/>
    <w:rsid w:val="001425C3"/>
    <w:rsid w:val="001476BD"/>
    <w:rsid w:val="001572C9"/>
    <w:rsid w:val="001612F4"/>
    <w:rsid w:val="0016256B"/>
    <w:rsid w:val="00163793"/>
    <w:rsid w:val="001706D6"/>
    <w:rsid w:val="001714F2"/>
    <w:rsid w:val="00171736"/>
    <w:rsid w:val="00175B9F"/>
    <w:rsid w:val="00180AA1"/>
    <w:rsid w:val="00181BBC"/>
    <w:rsid w:val="00184B08"/>
    <w:rsid w:val="00185010"/>
    <w:rsid w:val="00185C90"/>
    <w:rsid w:val="00187B31"/>
    <w:rsid w:val="0019143B"/>
    <w:rsid w:val="001A0487"/>
    <w:rsid w:val="001A542B"/>
    <w:rsid w:val="001A552F"/>
    <w:rsid w:val="001B2CA9"/>
    <w:rsid w:val="001B3110"/>
    <w:rsid w:val="001B4729"/>
    <w:rsid w:val="001B6310"/>
    <w:rsid w:val="001B6C09"/>
    <w:rsid w:val="001C05CD"/>
    <w:rsid w:val="001C74B0"/>
    <w:rsid w:val="001D48D4"/>
    <w:rsid w:val="001D68B2"/>
    <w:rsid w:val="001E504C"/>
    <w:rsid w:val="001E6062"/>
    <w:rsid w:val="001F4597"/>
    <w:rsid w:val="00203DA4"/>
    <w:rsid w:val="002118B9"/>
    <w:rsid w:val="00211CD6"/>
    <w:rsid w:val="00214CF7"/>
    <w:rsid w:val="00217C5B"/>
    <w:rsid w:val="0022139E"/>
    <w:rsid w:val="00222729"/>
    <w:rsid w:val="002252E0"/>
    <w:rsid w:val="002255ED"/>
    <w:rsid w:val="002255F6"/>
    <w:rsid w:val="00227850"/>
    <w:rsid w:val="00227A53"/>
    <w:rsid w:val="00230C6E"/>
    <w:rsid w:val="00236443"/>
    <w:rsid w:val="00241B06"/>
    <w:rsid w:val="002436BA"/>
    <w:rsid w:val="00244A15"/>
    <w:rsid w:val="00246358"/>
    <w:rsid w:val="00247319"/>
    <w:rsid w:val="0024799E"/>
    <w:rsid w:val="00252F89"/>
    <w:rsid w:val="00253C0F"/>
    <w:rsid w:val="0025453D"/>
    <w:rsid w:val="002558C1"/>
    <w:rsid w:val="002615E9"/>
    <w:rsid w:val="00266DFC"/>
    <w:rsid w:val="00267096"/>
    <w:rsid w:val="00271465"/>
    <w:rsid w:val="00273170"/>
    <w:rsid w:val="00285412"/>
    <w:rsid w:val="00291640"/>
    <w:rsid w:val="002A16D4"/>
    <w:rsid w:val="002A230C"/>
    <w:rsid w:val="002A56CE"/>
    <w:rsid w:val="002B2299"/>
    <w:rsid w:val="002B4845"/>
    <w:rsid w:val="002C43BD"/>
    <w:rsid w:val="002D0E59"/>
    <w:rsid w:val="002E02A1"/>
    <w:rsid w:val="002E08A1"/>
    <w:rsid w:val="002E42AC"/>
    <w:rsid w:val="002E4E4C"/>
    <w:rsid w:val="002E691E"/>
    <w:rsid w:val="002F39EC"/>
    <w:rsid w:val="00302ADD"/>
    <w:rsid w:val="00304771"/>
    <w:rsid w:val="0030495D"/>
    <w:rsid w:val="003052D4"/>
    <w:rsid w:val="00306C5B"/>
    <w:rsid w:val="003103E0"/>
    <w:rsid w:val="00313B2D"/>
    <w:rsid w:val="00314F9F"/>
    <w:rsid w:val="00315D45"/>
    <w:rsid w:val="003209D6"/>
    <w:rsid w:val="00321924"/>
    <w:rsid w:val="0032656E"/>
    <w:rsid w:val="00326FE1"/>
    <w:rsid w:val="00332190"/>
    <w:rsid w:val="003367D2"/>
    <w:rsid w:val="0034335E"/>
    <w:rsid w:val="00344668"/>
    <w:rsid w:val="003462D9"/>
    <w:rsid w:val="003511D9"/>
    <w:rsid w:val="00360C86"/>
    <w:rsid w:val="00360FBC"/>
    <w:rsid w:val="00362E90"/>
    <w:rsid w:val="00364199"/>
    <w:rsid w:val="00364FA0"/>
    <w:rsid w:val="003657F3"/>
    <w:rsid w:val="003818DC"/>
    <w:rsid w:val="0038369B"/>
    <w:rsid w:val="00384327"/>
    <w:rsid w:val="00385D98"/>
    <w:rsid w:val="00387822"/>
    <w:rsid w:val="003905A9"/>
    <w:rsid w:val="003A2B4D"/>
    <w:rsid w:val="003A2D12"/>
    <w:rsid w:val="003A478C"/>
    <w:rsid w:val="003A5525"/>
    <w:rsid w:val="003A6B38"/>
    <w:rsid w:val="003A7DE6"/>
    <w:rsid w:val="003B461F"/>
    <w:rsid w:val="003B5A32"/>
    <w:rsid w:val="003C3490"/>
    <w:rsid w:val="003C7E62"/>
    <w:rsid w:val="003D6920"/>
    <w:rsid w:val="003E0A6F"/>
    <w:rsid w:val="003E48F2"/>
    <w:rsid w:val="003E4C91"/>
    <w:rsid w:val="003F0E7B"/>
    <w:rsid w:val="003F313C"/>
    <w:rsid w:val="003F37FC"/>
    <w:rsid w:val="003F3E6A"/>
    <w:rsid w:val="003F4B2C"/>
    <w:rsid w:val="003F551C"/>
    <w:rsid w:val="003F72ED"/>
    <w:rsid w:val="003F7D23"/>
    <w:rsid w:val="00407C13"/>
    <w:rsid w:val="0041041D"/>
    <w:rsid w:val="00410638"/>
    <w:rsid w:val="0041501E"/>
    <w:rsid w:val="004159C3"/>
    <w:rsid w:val="00416C72"/>
    <w:rsid w:val="00432A58"/>
    <w:rsid w:val="00434617"/>
    <w:rsid w:val="004350ED"/>
    <w:rsid w:val="00440900"/>
    <w:rsid w:val="00441BF6"/>
    <w:rsid w:val="00441E85"/>
    <w:rsid w:val="004441A0"/>
    <w:rsid w:val="004455BA"/>
    <w:rsid w:val="0045078A"/>
    <w:rsid w:val="0045086D"/>
    <w:rsid w:val="00451504"/>
    <w:rsid w:val="00456AB1"/>
    <w:rsid w:val="00460FB3"/>
    <w:rsid w:val="0046627E"/>
    <w:rsid w:val="00473DFA"/>
    <w:rsid w:val="00476240"/>
    <w:rsid w:val="00476439"/>
    <w:rsid w:val="0047735C"/>
    <w:rsid w:val="004776BC"/>
    <w:rsid w:val="0048139F"/>
    <w:rsid w:val="00481E40"/>
    <w:rsid w:val="00481F92"/>
    <w:rsid w:val="00484ECE"/>
    <w:rsid w:val="004915CB"/>
    <w:rsid w:val="004924DC"/>
    <w:rsid w:val="004A14E4"/>
    <w:rsid w:val="004A3212"/>
    <w:rsid w:val="004A5494"/>
    <w:rsid w:val="004A61C5"/>
    <w:rsid w:val="004A77DF"/>
    <w:rsid w:val="004B1417"/>
    <w:rsid w:val="004B55B7"/>
    <w:rsid w:val="004B6468"/>
    <w:rsid w:val="004B7125"/>
    <w:rsid w:val="004C384C"/>
    <w:rsid w:val="004C3867"/>
    <w:rsid w:val="004C4CD0"/>
    <w:rsid w:val="004C59A5"/>
    <w:rsid w:val="004C70DC"/>
    <w:rsid w:val="004D0211"/>
    <w:rsid w:val="004D051A"/>
    <w:rsid w:val="004D0794"/>
    <w:rsid w:val="004D6D0D"/>
    <w:rsid w:val="004F06F5"/>
    <w:rsid w:val="004F33A0"/>
    <w:rsid w:val="00500E92"/>
    <w:rsid w:val="0050403A"/>
    <w:rsid w:val="0050689D"/>
    <w:rsid w:val="005108C0"/>
    <w:rsid w:val="00511130"/>
    <w:rsid w:val="00511873"/>
    <w:rsid w:val="00512A2F"/>
    <w:rsid w:val="00513B7E"/>
    <w:rsid w:val="00515C74"/>
    <w:rsid w:val="0052007E"/>
    <w:rsid w:val="0052337A"/>
    <w:rsid w:val="00525137"/>
    <w:rsid w:val="005251DD"/>
    <w:rsid w:val="0053014E"/>
    <w:rsid w:val="00530B52"/>
    <w:rsid w:val="00532CE7"/>
    <w:rsid w:val="0053324C"/>
    <w:rsid w:val="00534A28"/>
    <w:rsid w:val="00541508"/>
    <w:rsid w:val="00543498"/>
    <w:rsid w:val="0055599F"/>
    <w:rsid w:val="00556A6D"/>
    <w:rsid w:val="00556D68"/>
    <w:rsid w:val="00563EB8"/>
    <w:rsid w:val="005647BF"/>
    <w:rsid w:val="00564AF1"/>
    <w:rsid w:val="0057364B"/>
    <w:rsid w:val="00573683"/>
    <w:rsid w:val="00574773"/>
    <w:rsid w:val="00583FFD"/>
    <w:rsid w:val="005911BE"/>
    <w:rsid w:val="00593152"/>
    <w:rsid w:val="005A10F2"/>
    <w:rsid w:val="005A21E0"/>
    <w:rsid w:val="005A28FF"/>
    <w:rsid w:val="005A3DF8"/>
    <w:rsid w:val="005A5549"/>
    <w:rsid w:val="005A7038"/>
    <w:rsid w:val="005B121D"/>
    <w:rsid w:val="005C06ED"/>
    <w:rsid w:val="005C159F"/>
    <w:rsid w:val="005C2609"/>
    <w:rsid w:val="005C553E"/>
    <w:rsid w:val="005D5802"/>
    <w:rsid w:val="005D7119"/>
    <w:rsid w:val="005D7890"/>
    <w:rsid w:val="005E61CF"/>
    <w:rsid w:val="005E7C78"/>
    <w:rsid w:val="005F18C5"/>
    <w:rsid w:val="005F3EB1"/>
    <w:rsid w:val="005F46D8"/>
    <w:rsid w:val="005F5469"/>
    <w:rsid w:val="0060171C"/>
    <w:rsid w:val="00603FF5"/>
    <w:rsid w:val="00604307"/>
    <w:rsid w:val="0060487F"/>
    <w:rsid w:val="00604EAD"/>
    <w:rsid w:val="006104FB"/>
    <w:rsid w:val="00612A2F"/>
    <w:rsid w:val="006145FA"/>
    <w:rsid w:val="00616E05"/>
    <w:rsid w:val="00624093"/>
    <w:rsid w:val="00625F8F"/>
    <w:rsid w:val="006350D5"/>
    <w:rsid w:val="006404A7"/>
    <w:rsid w:val="006451E4"/>
    <w:rsid w:val="00645B33"/>
    <w:rsid w:val="006516CB"/>
    <w:rsid w:val="00651DFC"/>
    <w:rsid w:val="00656FC8"/>
    <w:rsid w:val="00657E87"/>
    <w:rsid w:val="00664803"/>
    <w:rsid w:val="00665BA4"/>
    <w:rsid w:val="00667AF2"/>
    <w:rsid w:val="006710C9"/>
    <w:rsid w:val="006741AC"/>
    <w:rsid w:val="00674D89"/>
    <w:rsid w:val="00675E37"/>
    <w:rsid w:val="0067789E"/>
    <w:rsid w:val="0068174E"/>
    <w:rsid w:val="00681DCE"/>
    <w:rsid w:val="0068260E"/>
    <w:rsid w:val="00685968"/>
    <w:rsid w:val="00695BEF"/>
    <w:rsid w:val="006977F6"/>
    <w:rsid w:val="00697A13"/>
    <w:rsid w:val="006A109C"/>
    <w:rsid w:val="006B0F92"/>
    <w:rsid w:val="006B1782"/>
    <w:rsid w:val="006B344A"/>
    <w:rsid w:val="006B78D8"/>
    <w:rsid w:val="006C113F"/>
    <w:rsid w:val="006C123E"/>
    <w:rsid w:val="006C1752"/>
    <w:rsid w:val="006C56D4"/>
    <w:rsid w:val="006C6924"/>
    <w:rsid w:val="006C7CA6"/>
    <w:rsid w:val="006D3E8A"/>
    <w:rsid w:val="006D61F6"/>
    <w:rsid w:val="006E279A"/>
    <w:rsid w:val="006E313B"/>
    <w:rsid w:val="006E7227"/>
    <w:rsid w:val="006E7E89"/>
    <w:rsid w:val="006F19D3"/>
    <w:rsid w:val="006F438E"/>
    <w:rsid w:val="006F5416"/>
    <w:rsid w:val="006F7076"/>
    <w:rsid w:val="00705242"/>
    <w:rsid w:val="00706AD4"/>
    <w:rsid w:val="00707150"/>
    <w:rsid w:val="007140BE"/>
    <w:rsid w:val="007211F5"/>
    <w:rsid w:val="00723946"/>
    <w:rsid w:val="007240E2"/>
    <w:rsid w:val="00725BB5"/>
    <w:rsid w:val="007301CE"/>
    <w:rsid w:val="00730AE8"/>
    <w:rsid w:val="00730F1B"/>
    <w:rsid w:val="00741493"/>
    <w:rsid w:val="00751DCC"/>
    <w:rsid w:val="00752180"/>
    <w:rsid w:val="00753586"/>
    <w:rsid w:val="00753CAB"/>
    <w:rsid w:val="00755202"/>
    <w:rsid w:val="00755D3A"/>
    <w:rsid w:val="007578D3"/>
    <w:rsid w:val="007609C6"/>
    <w:rsid w:val="00760EA4"/>
    <w:rsid w:val="0076175D"/>
    <w:rsid w:val="00763B85"/>
    <w:rsid w:val="0076521E"/>
    <w:rsid w:val="007661E9"/>
    <w:rsid w:val="007701DE"/>
    <w:rsid w:val="007750EE"/>
    <w:rsid w:val="00776169"/>
    <w:rsid w:val="00776527"/>
    <w:rsid w:val="00780EF1"/>
    <w:rsid w:val="00790764"/>
    <w:rsid w:val="0079453C"/>
    <w:rsid w:val="00794677"/>
    <w:rsid w:val="0079597E"/>
    <w:rsid w:val="00797445"/>
    <w:rsid w:val="007A516D"/>
    <w:rsid w:val="007A5CBD"/>
    <w:rsid w:val="007B6689"/>
    <w:rsid w:val="007C6BBD"/>
    <w:rsid w:val="007D40DF"/>
    <w:rsid w:val="007E103C"/>
    <w:rsid w:val="007E29B4"/>
    <w:rsid w:val="007E435A"/>
    <w:rsid w:val="007E7E61"/>
    <w:rsid w:val="007E7FCE"/>
    <w:rsid w:val="007F0845"/>
    <w:rsid w:val="007F255D"/>
    <w:rsid w:val="007F708D"/>
    <w:rsid w:val="00800216"/>
    <w:rsid w:val="00801E13"/>
    <w:rsid w:val="00802430"/>
    <w:rsid w:val="00803507"/>
    <w:rsid w:val="00807C82"/>
    <w:rsid w:val="00814B15"/>
    <w:rsid w:val="00816905"/>
    <w:rsid w:val="00821777"/>
    <w:rsid w:val="00821FF6"/>
    <w:rsid w:val="00822574"/>
    <w:rsid w:val="00825C4D"/>
    <w:rsid w:val="00826DA0"/>
    <w:rsid w:val="0083143E"/>
    <w:rsid w:val="00831CDE"/>
    <w:rsid w:val="00834304"/>
    <w:rsid w:val="00834FAA"/>
    <w:rsid w:val="00836086"/>
    <w:rsid w:val="00845373"/>
    <w:rsid w:val="00846121"/>
    <w:rsid w:val="0084708F"/>
    <w:rsid w:val="008477C8"/>
    <w:rsid w:val="0085114D"/>
    <w:rsid w:val="00852217"/>
    <w:rsid w:val="00855408"/>
    <w:rsid w:val="00856D65"/>
    <w:rsid w:val="00861B41"/>
    <w:rsid w:val="00861BE3"/>
    <w:rsid w:val="00863434"/>
    <w:rsid w:val="00865E4C"/>
    <w:rsid w:val="008701E4"/>
    <w:rsid w:val="00871069"/>
    <w:rsid w:val="00875A32"/>
    <w:rsid w:val="00876086"/>
    <w:rsid w:val="008825B0"/>
    <w:rsid w:val="00884AD6"/>
    <w:rsid w:val="008873D4"/>
    <w:rsid w:val="0089126C"/>
    <w:rsid w:val="0089296D"/>
    <w:rsid w:val="00893E85"/>
    <w:rsid w:val="00894031"/>
    <w:rsid w:val="00895508"/>
    <w:rsid w:val="008A6CB4"/>
    <w:rsid w:val="008B2CA8"/>
    <w:rsid w:val="008B5CF6"/>
    <w:rsid w:val="008B7C02"/>
    <w:rsid w:val="008B7D2B"/>
    <w:rsid w:val="008C0049"/>
    <w:rsid w:val="008C0E88"/>
    <w:rsid w:val="008C4592"/>
    <w:rsid w:val="008C4976"/>
    <w:rsid w:val="008C53CB"/>
    <w:rsid w:val="008D1E6A"/>
    <w:rsid w:val="008D2A16"/>
    <w:rsid w:val="008E2C57"/>
    <w:rsid w:val="008E31FF"/>
    <w:rsid w:val="008E6F06"/>
    <w:rsid w:val="008E7FC9"/>
    <w:rsid w:val="008F029B"/>
    <w:rsid w:val="008F3D62"/>
    <w:rsid w:val="008F3FC9"/>
    <w:rsid w:val="008F585B"/>
    <w:rsid w:val="00900097"/>
    <w:rsid w:val="009003A8"/>
    <w:rsid w:val="00902500"/>
    <w:rsid w:val="00902EFF"/>
    <w:rsid w:val="0090465F"/>
    <w:rsid w:val="00906401"/>
    <w:rsid w:val="0091155E"/>
    <w:rsid w:val="00912A92"/>
    <w:rsid w:val="0091728D"/>
    <w:rsid w:val="0092180B"/>
    <w:rsid w:val="00921F14"/>
    <w:rsid w:val="009231A3"/>
    <w:rsid w:val="00924AC8"/>
    <w:rsid w:val="0092597A"/>
    <w:rsid w:val="00927267"/>
    <w:rsid w:val="00930FB1"/>
    <w:rsid w:val="0093139F"/>
    <w:rsid w:val="00932443"/>
    <w:rsid w:val="00937AE2"/>
    <w:rsid w:val="0094427A"/>
    <w:rsid w:val="00945245"/>
    <w:rsid w:val="009556EB"/>
    <w:rsid w:val="00956683"/>
    <w:rsid w:val="0095759C"/>
    <w:rsid w:val="00963DA3"/>
    <w:rsid w:val="00967162"/>
    <w:rsid w:val="009707DB"/>
    <w:rsid w:val="009721DB"/>
    <w:rsid w:val="00974923"/>
    <w:rsid w:val="00980D3D"/>
    <w:rsid w:val="00987A30"/>
    <w:rsid w:val="00992CF3"/>
    <w:rsid w:val="00994868"/>
    <w:rsid w:val="009968D6"/>
    <w:rsid w:val="009A1CAB"/>
    <w:rsid w:val="009A4F91"/>
    <w:rsid w:val="009A60D1"/>
    <w:rsid w:val="009B6FD3"/>
    <w:rsid w:val="009C1750"/>
    <w:rsid w:val="009C2E29"/>
    <w:rsid w:val="009C554B"/>
    <w:rsid w:val="009C719E"/>
    <w:rsid w:val="009C7A10"/>
    <w:rsid w:val="009D3ACD"/>
    <w:rsid w:val="009E5273"/>
    <w:rsid w:val="009E5DDB"/>
    <w:rsid w:val="009E6CE4"/>
    <w:rsid w:val="009F4CA7"/>
    <w:rsid w:val="00A10D66"/>
    <w:rsid w:val="00A119FE"/>
    <w:rsid w:val="00A14114"/>
    <w:rsid w:val="00A14699"/>
    <w:rsid w:val="00A16413"/>
    <w:rsid w:val="00A16E1D"/>
    <w:rsid w:val="00A17D5B"/>
    <w:rsid w:val="00A23E43"/>
    <w:rsid w:val="00A25216"/>
    <w:rsid w:val="00A30F65"/>
    <w:rsid w:val="00A33A89"/>
    <w:rsid w:val="00A40EAC"/>
    <w:rsid w:val="00A418BC"/>
    <w:rsid w:val="00A46DE0"/>
    <w:rsid w:val="00A50D73"/>
    <w:rsid w:val="00A52CAD"/>
    <w:rsid w:val="00A53FC7"/>
    <w:rsid w:val="00A62CE1"/>
    <w:rsid w:val="00A668A3"/>
    <w:rsid w:val="00A6741E"/>
    <w:rsid w:val="00A726EC"/>
    <w:rsid w:val="00A735F5"/>
    <w:rsid w:val="00A75E40"/>
    <w:rsid w:val="00A77D1D"/>
    <w:rsid w:val="00A84A6A"/>
    <w:rsid w:val="00A857C0"/>
    <w:rsid w:val="00A90B3D"/>
    <w:rsid w:val="00A90FED"/>
    <w:rsid w:val="00AA2996"/>
    <w:rsid w:val="00AA52BF"/>
    <w:rsid w:val="00AA559A"/>
    <w:rsid w:val="00AB2AF1"/>
    <w:rsid w:val="00AC45BD"/>
    <w:rsid w:val="00AC6100"/>
    <w:rsid w:val="00AD168E"/>
    <w:rsid w:val="00AD2451"/>
    <w:rsid w:val="00AD306C"/>
    <w:rsid w:val="00AD68C4"/>
    <w:rsid w:val="00AE09B3"/>
    <w:rsid w:val="00AE0ED3"/>
    <w:rsid w:val="00AE1A83"/>
    <w:rsid w:val="00AE31A7"/>
    <w:rsid w:val="00AE6221"/>
    <w:rsid w:val="00AF5165"/>
    <w:rsid w:val="00AF606D"/>
    <w:rsid w:val="00AF6128"/>
    <w:rsid w:val="00B00913"/>
    <w:rsid w:val="00B01593"/>
    <w:rsid w:val="00B01DC6"/>
    <w:rsid w:val="00B023F2"/>
    <w:rsid w:val="00B04705"/>
    <w:rsid w:val="00B07993"/>
    <w:rsid w:val="00B10A4D"/>
    <w:rsid w:val="00B14BC1"/>
    <w:rsid w:val="00B17C40"/>
    <w:rsid w:val="00B17E71"/>
    <w:rsid w:val="00B17FDE"/>
    <w:rsid w:val="00B2379C"/>
    <w:rsid w:val="00B25189"/>
    <w:rsid w:val="00B2687D"/>
    <w:rsid w:val="00B32DDB"/>
    <w:rsid w:val="00B34528"/>
    <w:rsid w:val="00B34CC9"/>
    <w:rsid w:val="00B35833"/>
    <w:rsid w:val="00B402FC"/>
    <w:rsid w:val="00B439DA"/>
    <w:rsid w:val="00B46604"/>
    <w:rsid w:val="00B530CD"/>
    <w:rsid w:val="00B55F5E"/>
    <w:rsid w:val="00B5752E"/>
    <w:rsid w:val="00B63A11"/>
    <w:rsid w:val="00B63B6A"/>
    <w:rsid w:val="00B64C24"/>
    <w:rsid w:val="00B6608F"/>
    <w:rsid w:val="00B679FB"/>
    <w:rsid w:val="00B76D1E"/>
    <w:rsid w:val="00B80EC6"/>
    <w:rsid w:val="00B84CF6"/>
    <w:rsid w:val="00B879AA"/>
    <w:rsid w:val="00B92D1D"/>
    <w:rsid w:val="00B938C5"/>
    <w:rsid w:val="00B95940"/>
    <w:rsid w:val="00BA6C2B"/>
    <w:rsid w:val="00BB46F3"/>
    <w:rsid w:val="00BB4CB1"/>
    <w:rsid w:val="00BB4F98"/>
    <w:rsid w:val="00BC5C12"/>
    <w:rsid w:val="00BC7154"/>
    <w:rsid w:val="00BC731E"/>
    <w:rsid w:val="00BD366B"/>
    <w:rsid w:val="00BD6D50"/>
    <w:rsid w:val="00BE18B9"/>
    <w:rsid w:val="00BE1EB2"/>
    <w:rsid w:val="00BE2495"/>
    <w:rsid w:val="00BF0F4D"/>
    <w:rsid w:val="00BF1578"/>
    <w:rsid w:val="00BF2AAA"/>
    <w:rsid w:val="00C01058"/>
    <w:rsid w:val="00C03107"/>
    <w:rsid w:val="00C07A9A"/>
    <w:rsid w:val="00C21F94"/>
    <w:rsid w:val="00C27913"/>
    <w:rsid w:val="00C27E4F"/>
    <w:rsid w:val="00C30314"/>
    <w:rsid w:val="00C32964"/>
    <w:rsid w:val="00C33B68"/>
    <w:rsid w:val="00C36A79"/>
    <w:rsid w:val="00C401D2"/>
    <w:rsid w:val="00C405D4"/>
    <w:rsid w:val="00C4431F"/>
    <w:rsid w:val="00C4513B"/>
    <w:rsid w:val="00C5390B"/>
    <w:rsid w:val="00C54697"/>
    <w:rsid w:val="00C563A8"/>
    <w:rsid w:val="00C62FAD"/>
    <w:rsid w:val="00C65535"/>
    <w:rsid w:val="00C71E85"/>
    <w:rsid w:val="00C72884"/>
    <w:rsid w:val="00C73885"/>
    <w:rsid w:val="00C747B1"/>
    <w:rsid w:val="00C82191"/>
    <w:rsid w:val="00C83134"/>
    <w:rsid w:val="00C85545"/>
    <w:rsid w:val="00C90CF4"/>
    <w:rsid w:val="00C92EB6"/>
    <w:rsid w:val="00C93389"/>
    <w:rsid w:val="00CA0914"/>
    <w:rsid w:val="00CA6AB4"/>
    <w:rsid w:val="00CA6CF4"/>
    <w:rsid w:val="00CB4930"/>
    <w:rsid w:val="00CC2E7D"/>
    <w:rsid w:val="00CD10A5"/>
    <w:rsid w:val="00CD2076"/>
    <w:rsid w:val="00CD29B5"/>
    <w:rsid w:val="00CD6331"/>
    <w:rsid w:val="00CE670B"/>
    <w:rsid w:val="00CF4908"/>
    <w:rsid w:val="00CF51EC"/>
    <w:rsid w:val="00CF73AE"/>
    <w:rsid w:val="00CF7D11"/>
    <w:rsid w:val="00D040DD"/>
    <w:rsid w:val="00D075BE"/>
    <w:rsid w:val="00D13986"/>
    <w:rsid w:val="00D21D83"/>
    <w:rsid w:val="00D235B7"/>
    <w:rsid w:val="00D23C02"/>
    <w:rsid w:val="00D25F28"/>
    <w:rsid w:val="00D26071"/>
    <w:rsid w:val="00D27973"/>
    <w:rsid w:val="00D35E1A"/>
    <w:rsid w:val="00D42211"/>
    <w:rsid w:val="00D50F46"/>
    <w:rsid w:val="00D57677"/>
    <w:rsid w:val="00D66223"/>
    <w:rsid w:val="00D71625"/>
    <w:rsid w:val="00D77C2A"/>
    <w:rsid w:val="00D8084C"/>
    <w:rsid w:val="00D8546D"/>
    <w:rsid w:val="00D915EA"/>
    <w:rsid w:val="00D97FE0"/>
    <w:rsid w:val="00DA7C0C"/>
    <w:rsid w:val="00DB08A9"/>
    <w:rsid w:val="00DB2EC8"/>
    <w:rsid w:val="00DC5B3B"/>
    <w:rsid w:val="00DD129F"/>
    <w:rsid w:val="00DE02BD"/>
    <w:rsid w:val="00DF42FF"/>
    <w:rsid w:val="00E01C0E"/>
    <w:rsid w:val="00E03F9A"/>
    <w:rsid w:val="00E04694"/>
    <w:rsid w:val="00E063CE"/>
    <w:rsid w:val="00E12B1E"/>
    <w:rsid w:val="00E17262"/>
    <w:rsid w:val="00E200EF"/>
    <w:rsid w:val="00E253A2"/>
    <w:rsid w:val="00E3309D"/>
    <w:rsid w:val="00E420C3"/>
    <w:rsid w:val="00E43C1C"/>
    <w:rsid w:val="00E47EBA"/>
    <w:rsid w:val="00E50156"/>
    <w:rsid w:val="00E51643"/>
    <w:rsid w:val="00E53470"/>
    <w:rsid w:val="00E539F6"/>
    <w:rsid w:val="00E551F6"/>
    <w:rsid w:val="00E56BEF"/>
    <w:rsid w:val="00E60BBE"/>
    <w:rsid w:val="00E6519D"/>
    <w:rsid w:val="00E67696"/>
    <w:rsid w:val="00E677D5"/>
    <w:rsid w:val="00E71A58"/>
    <w:rsid w:val="00E72A7A"/>
    <w:rsid w:val="00E75C94"/>
    <w:rsid w:val="00E93820"/>
    <w:rsid w:val="00E94A86"/>
    <w:rsid w:val="00E96143"/>
    <w:rsid w:val="00EA0987"/>
    <w:rsid w:val="00EA0C68"/>
    <w:rsid w:val="00EA32BC"/>
    <w:rsid w:val="00EA4302"/>
    <w:rsid w:val="00EB4511"/>
    <w:rsid w:val="00EC03D7"/>
    <w:rsid w:val="00EC79EB"/>
    <w:rsid w:val="00ED4FDC"/>
    <w:rsid w:val="00ED5A87"/>
    <w:rsid w:val="00ED62C6"/>
    <w:rsid w:val="00ED64C1"/>
    <w:rsid w:val="00EE1867"/>
    <w:rsid w:val="00EE3446"/>
    <w:rsid w:val="00EE3E78"/>
    <w:rsid w:val="00EE4B1B"/>
    <w:rsid w:val="00EE7F19"/>
    <w:rsid w:val="00EF150D"/>
    <w:rsid w:val="00EF1F5A"/>
    <w:rsid w:val="00EF3741"/>
    <w:rsid w:val="00EF421D"/>
    <w:rsid w:val="00EF47BF"/>
    <w:rsid w:val="00F00320"/>
    <w:rsid w:val="00F04811"/>
    <w:rsid w:val="00F0488C"/>
    <w:rsid w:val="00F10F11"/>
    <w:rsid w:val="00F1151B"/>
    <w:rsid w:val="00F1290A"/>
    <w:rsid w:val="00F15AAA"/>
    <w:rsid w:val="00F15BEF"/>
    <w:rsid w:val="00F24407"/>
    <w:rsid w:val="00F24931"/>
    <w:rsid w:val="00F24FAA"/>
    <w:rsid w:val="00F32B91"/>
    <w:rsid w:val="00F3364D"/>
    <w:rsid w:val="00F437CC"/>
    <w:rsid w:val="00F44537"/>
    <w:rsid w:val="00F44B6A"/>
    <w:rsid w:val="00F47067"/>
    <w:rsid w:val="00F50FC3"/>
    <w:rsid w:val="00F525EB"/>
    <w:rsid w:val="00F5617E"/>
    <w:rsid w:val="00F619C3"/>
    <w:rsid w:val="00F63DDE"/>
    <w:rsid w:val="00F63FB7"/>
    <w:rsid w:val="00F6421B"/>
    <w:rsid w:val="00F649D2"/>
    <w:rsid w:val="00F6602B"/>
    <w:rsid w:val="00F73A0C"/>
    <w:rsid w:val="00F756DB"/>
    <w:rsid w:val="00F84E7D"/>
    <w:rsid w:val="00F85066"/>
    <w:rsid w:val="00F8681C"/>
    <w:rsid w:val="00F87A4D"/>
    <w:rsid w:val="00F9785E"/>
    <w:rsid w:val="00FA5D4D"/>
    <w:rsid w:val="00FB0EE2"/>
    <w:rsid w:val="00FB542E"/>
    <w:rsid w:val="00FC0E5F"/>
    <w:rsid w:val="00FC1A95"/>
    <w:rsid w:val="00FC56DE"/>
    <w:rsid w:val="00FC684B"/>
    <w:rsid w:val="00FD3265"/>
    <w:rsid w:val="00FD5F92"/>
    <w:rsid w:val="00FE1DC1"/>
    <w:rsid w:val="00FE2F78"/>
    <w:rsid w:val="00FE65D5"/>
    <w:rsid w:val="00FF28F6"/>
    <w:rsid w:val="00FF7B96"/>
    <w:rsid w:val="11D0C0D9"/>
    <w:rsid w:val="7BDB84E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21432897"/>
  <w15:docId w15:val="{3A7C6927-7F52-4209-ABA9-A0ACA865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4FA0"/>
    <w:pPr>
      <w:spacing w:after="240" w:line="276" w:lineRule="auto"/>
      <w:jc w:val="both"/>
    </w:pPr>
    <w:rPr>
      <w:rFonts w:ascii="Arial" w:eastAsia="Times New Roman" w:hAnsi="Arial"/>
      <w:szCs w:val="24"/>
      <w:lang w:eastAsia="cs-CZ"/>
    </w:rPr>
  </w:style>
  <w:style w:type="paragraph" w:styleId="Nadpis1">
    <w:name w:val="heading 1"/>
    <w:next w:val="Normln"/>
    <w:link w:val="Nadpis1Char"/>
    <w:uiPriority w:val="9"/>
    <w:qFormat/>
    <w:rsid w:val="00EA0987"/>
    <w:pPr>
      <w:keepNext/>
      <w:keepLines/>
      <w:spacing w:after="100" w:line="276" w:lineRule="auto"/>
      <w:contextualSpacing/>
      <w:outlineLvl w:val="0"/>
    </w:pPr>
    <w:rPr>
      <w:rFonts w:ascii="Arial" w:eastAsia="MS Gothic" w:hAnsi="Arial"/>
      <w:b/>
      <w:bCs/>
      <w:color w:val="86BF5E"/>
      <w:sz w:val="32"/>
      <w:szCs w:val="28"/>
      <w:lang w:eastAsia="cs-CZ"/>
    </w:rPr>
  </w:style>
  <w:style w:type="paragraph" w:styleId="Nadpis2">
    <w:name w:val="heading 2"/>
    <w:next w:val="Normln"/>
    <w:link w:val="Nadpis2Char"/>
    <w:uiPriority w:val="9"/>
    <w:qFormat/>
    <w:rsid w:val="00EA0987"/>
    <w:pPr>
      <w:keepNext/>
      <w:keepLines/>
      <w:spacing w:line="276" w:lineRule="auto"/>
      <w:outlineLvl w:val="1"/>
    </w:pPr>
    <w:rPr>
      <w:rFonts w:ascii="Arial" w:eastAsia="MS Gothic" w:hAnsi="Arial"/>
      <w:b/>
      <w:bCs/>
      <w:color w:val="86BF5E"/>
      <w:sz w:val="28"/>
      <w:szCs w:val="26"/>
      <w:lang w:eastAsia="cs-CZ"/>
    </w:rPr>
  </w:style>
  <w:style w:type="paragraph" w:styleId="Nadpis3">
    <w:name w:val="heading 3"/>
    <w:next w:val="Normln"/>
    <w:link w:val="Nadpis3Char"/>
    <w:uiPriority w:val="9"/>
    <w:qFormat/>
    <w:rsid w:val="00EA0987"/>
    <w:pPr>
      <w:keepNext/>
      <w:keepLines/>
      <w:spacing w:line="276" w:lineRule="auto"/>
      <w:outlineLvl w:val="2"/>
    </w:pPr>
    <w:rPr>
      <w:rFonts w:ascii="Arial" w:eastAsia="MS Gothic" w:hAnsi="Arial"/>
      <w:b/>
      <w:bCs/>
      <w:color w:val="86BF5E"/>
      <w:sz w:val="24"/>
      <w:szCs w:val="24"/>
      <w:lang w:eastAsia="cs-CZ"/>
    </w:rPr>
  </w:style>
  <w:style w:type="paragraph" w:styleId="Nadpis4">
    <w:name w:val="heading 4"/>
    <w:next w:val="Normln"/>
    <w:link w:val="Nadpis4Char"/>
    <w:uiPriority w:val="9"/>
    <w:qFormat/>
    <w:rsid w:val="0041041D"/>
    <w:pPr>
      <w:keepNext/>
      <w:keepLines/>
      <w:spacing w:line="276" w:lineRule="auto"/>
      <w:outlineLvl w:val="3"/>
    </w:pPr>
    <w:rPr>
      <w:rFonts w:ascii="Arial" w:eastAsia="MS Gothic" w:hAnsi="Arial"/>
      <w:b/>
      <w:bCs/>
      <w:iCs/>
      <w:color w:val="86BF5E"/>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EA0987"/>
    <w:rPr>
      <w:rFonts w:ascii="Arial" w:eastAsia="MS Gothic" w:hAnsi="Arial"/>
      <w:b/>
      <w:bCs/>
      <w:color w:val="86BF5E"/>
      <w:sz w:val="32"/>
      <w:szCs w:val="28"/>
      <w:lang w:eastAsia="cs-CZ"/>
    </w:rPr>
  </w:style>
  <w:style w:type="character" w:customStyle="1" w:styleId="Nadpis2Char">
    <w:name w:val="Nadpis 2 Char"/>
    <w:link w:val="Nadpis2"/>
    <w:uiPriority w:val="9"/>
    <w:rsid w:val="00EA0987"/>
    <w:rPr>
      <w:rFonts w:ascii="Arial" w:eastAsia="MS Gothic" w:hAnsi="Arial"/>
      <w:b/>
      <w:bCs/>
      <w:color w:val="86BF5E"/>
      <w:sz w:val="28"/>
      <w:szCs w:val="26"/>
      <w:lang w:eastAsia="cs-CZ"/>
    </w:rPr>
  </w:style>
  <w:style w:type="character" w:customStyle="1" w:styleId="Nadpis3Char">
    <w:name w:val="Nadpis 3 Char"/>
    <w:link w:val="Nadpis3"/>
    <w:uiPriority w:val="9"/>
    <w:rsid w:val="00EA0987"/>
    <w:rPr>
      <w:rFonts w:ascii="Arial" w:eastAsia="MS Gothic" w:hAnsi="Arial"/>
      <w:b/>
      <w:bCs/>
      <w:color w:val="86BF5E"/>
      <w:sz w:val="24"/>
      <w:szCs w:val="24"/>
      <w:lang w:eastAsia="cs-CZ"/>
    </w:rPr>
  </w:style>
  <w:style w:type="character" w:customStyle="1" w:styleId="Nadpis4Char">
    <w:name w:val="Nadpis 4 Char"/>
    <w:link w:val="Nadpis4"/>
    <w:uiPriority w:val="9"/>
    <w:rsid w:val="0041041D"/>
    <w:rPr>
      <w:rFonts w:ascii="Arial" w:eastAsia="MS Gothic" w:hAnsi="Arial"/>
      <w:b/>
      <w:bCs/>
      <w:iCs/>
      <w:color w:val="86BF5E"/>
      <w:szCs w:val="24"/>
      <w:lang w:eastAsia="cs-CZ"/>
    </w:r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0A57D4"/>
    <w:pPr>
      <w:spacing w:after="80" w:line="288" w:lineRule="auto"/>
    </w:pPr>
    <w:rPr>
      <w:rFonts w:ascii="Arial" w:eastAsia="Times New Roman" w:hAnsi="Arial"/>
      <w:b/>
      <w:color w:val="86BF5E"/>
      <w:sz w:val="32"/>
      <w:szCs w:val="24"/>
      <w:lang w:eastAsia="cs-CZ"/>
    </w:rPr>
  </w:style>
  <w:style w:type="paragraph" w:customStyle="1" w:styleId="A-Box1">
    <w:name w:val="A-Box 1"/>
    <w:next w:val="Normln"/>
    <w:qFormat/>
    <w:rsid w:val="00EA0987"/>
    <w:pPr>
      <w:shd w:val="clear" w:color="auto" w:fill="F0F6E9"/>
      <w:spacing w:before="240" w:after="240" w:line="276" w:lineRule="auto"/>
      <w:contextualSpacing/>
      <w:jc w:val="both"/>
    </w:pPr>
    <w:rPr>
      <w:rFonts w:ascii="Arial" w:hAnsi="Arial" w:cs="Arial"/>
      <w:lang w:eastAsia="cs-CZ"/>
    </w:rPr>
  </w:style>
  <w:style w:type="paragraph" w:customStyle="1" w:styleId="A-Box2">
    <w:name w:val="A-Box 2"/>
    <w:next w:val="Normln"/>
    <w:qFormat/>
    <w:rsid w:val="00EA0987"/>
    <w:pPr>
      <w:spacing w:before="240" w:after="240" w:line="276" w:lineRule="auto"/>
      <w:contextualSpacing/>
      <w:jc w:val="both"/>
    </w:pPr>
    <w:rPr>
      <w:rFonts w:ascii="Arial" w:hAnsi="Arial" w:cs="Arial"/>
      <w:color w:val="86BF5E"/>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0A57D4"/>
    <w:pPr>
      <w:spacing w:after="40"/>
      <w:contextualSpacing/>
    </w:pPr>
    <w:rPr>
      <w:b/>
      <w:caps/>
      <w:sz w:val="24"/>
    </w:rPr>
  </w:style>
  <w:style w:type="paragraph" w:customStyle="1" w:styleId="TLKontakty">
    <w:name w:val="TL Kontakty"/>
    <w:qFormat/>
    <w:rsid w:val="000A57D4"/>
    <w:pPr>
      <w:spacing w:after="160" w:line="259" w:lineRule="auto"/>
      <w:contextualSpacing/>
    </w:pPr>
    <w:rPr>
      <w:rFonts w:ascii="Arial" w:eastAsia="Times New Roman" w:hAnsi="Arial"/>
      <w:b/>
      <w:color w:val="86BF5E"/>
      <w:lang w:eastAsia="cs-CZ"/>
    </w:rPr>
  </w:style>
  <w:style w:type="paragraph" w:styleId="Nzev">
    <w:name w:val="Title"/>
    <w:link w:val="NzevChar"/>
    <w:uiPriority w:val="10"/>
    <w:qFormat/>
    <w:rsid w:val="001E6062"/>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1E6062"/>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1E6062"/>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1E6062"/>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uiPriority w:val="34"/>
    <w:qFormat/>
    <w:rsid w:val="006B0F92"/>
    <w:pPr>
      <w:ind w:left="720"/>
      <w:contextualSpacing/>
    </w:pPr>
  </w:style>
  <w:style w:type="paragraph" w:customStyle="1" w:styleId="Normalodrka">
    <w:name w:val="Normal odrážka"/>
    <w:qFormat/>
    <w:rsid w:val="006B0F92"/>
    <w:pPr>
      <w:numPr>
        <w:numId w:val="20"/>
      </w:numPr>
      <w:spacing w:after="240" w:line="276" w:lineRule="auto"/>
      <w:ind w:left="357" w:hanging="357"/>
      <w:jc w:val="both"/>
    </w:pPr>
    <w:rPr>
      <w:rFonts w:ascii="Arial" w:eastAsia="Times New Roman" w:hAnsi="Arial"/>
      <w:szCs w:val="24"/>
      <w:lang w:eastAsia="cs-CZ"/>
    </w:rPr>
  </w:style>
  <w:style w:type="paragraph" w:customStyle="1" w:styleId="Box1">
    <w:name w:val="Box 1"/>
    <w:next w:val="Normln"/>
    <w:qFormat/>
    <w:rsid w:val="00EA0987"/>
    <w:pPr>
      <w:shd w:val="clear" w:color="auto" w:fill="F0F6E9"/>
      <w:spacing w:before="240" w:after="240" w:line="276" w:lineRule="auto"/>
      <w:ind w:left="709"/>
      <w:contextualSpacing/>
      <w:jc w:val="both"/>
    </w:pPr>
    <w:rPr>
      <w:rFonts w:ascii="Arial" w:hAnsi="Arial" w:cs="Arial"/>
      <w:lang w:eastAsia="cs-CZ"/>
    </w:rPr>
  </w:style>
  <w:style w:type="paragraph" w:customStyle="1" w:styleId="Box2">
    <w:name w:val="Box 2"/>
    <w:next w:val="Normln"/>
    <w:qFormat/>
    <w:rsid w:val="00EA0987"/>
    <w:pPr>
      <w:spacing w:before="240" w:after="240" w:line="276" w:lineRule="auto"/>
      <w:ind w:left="709"/>
      <w:contextualSpacing/>
      <w:jc w:val="both"/>
    </w:pPr>
    <w:rPr>
      <w:rFonts w:ascii="Arial" w:hAnsi="Arial" w:cs="Arial"/>
      <w:b/>
      <w:color w:val="86BF5E"/>
      <w:lang w:eastAsia="cs-CZ"/>
    </w:rPr>
  </w:style>
  <w:style w:type="character" w:styleId="Zdraznnintenzivn">
    <w:name w:val="Intense Emphasis"/>
    <w:basedOn w:val="Standardnpsmoodstavce"/>
    <w:uiPriority w:val="21"/>
    <w:qFormat/>
    <w:rsid w:val="001E6062"/>
    <w:rPr>
      <w:i/>
      <w:iCs/>
      <w:color w:val="000000" w:themeColor="text1"/>
    </w:rPr>
  </w:style>
  <w:style w:type="character" w:styleId="Odkazintenzivn">
    <w:name w:val="Intense Reference"/>
    <w:basedOn w:val="Standardnpsmoodstavce"/>
    <w:uiPriority w:val="32"/>
    <w:qFormat/>
    <w:rsid w:val="001E6062"/>
    <w:rPr>
      <w:b/>
      <w:bCs/>
      <w:smallCaps/>
      <w:color w:val="000000" w:themeColor="text1"/>
      <w:spacing w:val="5"/>
    </w:rPr>
  </w:style>
  <w:style w:type="character" w:styleId="Znakapoznpodarou">
    <w:name w:val="footnote reference"/>
    <w:basedOn w:val="Standardnpsmoodstavce"/>
    <w:rsid w:val="00E063CE"/>
    <w:rPr>
      <w:rFonts w:cs="Times New Roman"/>
      <w:vertAlign w:val="superscript"/>
    </w:rPr>
  </w:style>
  <w:style w:type="paragraph" w:customStyle="1" w:styleId="Nadpis11">
    <w:name w:val="Nadpis 11"/>
    <w:basedOn w:val="Normln"/>
    <w:uiPriority w:val="9"/>
    <w:qFormat/>
    <w:rsid w:val="008A6CB4"/>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8A6CB4"/>
    <w:pPr>
      <w:spacing w:after="0" w:line="240" w:lineRule="auto"/>
      <w:jc w:val="left"/>
    </w:pPr>
    <w:rPr>
      <w:rFonts w:eastAsia="Calibri"/>
      <w:szCs w:val="20"/>
    </w:rPr>
  </w:style>
  <w:style w:type="character" w:styleId="Zdraznn">
    <w:name w:val="Emphasis"/>
    <w:basedOn w:val="Standardnpsmoodstavce"/>
    <w:uiPriority w:val="20"/>
    <w:qFormat/>
    <w:rsid w:val="00C4431F"/>
    <w:rPr>
      <w:i/>
      <w:iCs/>
    </w:rPr>
  </w:style>
  <w:style w:type="character" w:customStyle="1" w:styleId="normaltextrun">
    <w:name w:val="normaltextrun"/>
    <w:basedOn w:val="Standardnpsmoodstavce"/>
    <w:rsid w:val="00C4431F"/>
  </w:style>
  <w:style w:type="paragraph" w:customStyle="1" w:styleId="paragraph">
    <w:name w:val="paragraph"/>
    <w:basedOn w:val="Normln"/>
    <w:rsid w:val="00C4431F"/>
    <w:pPr>
      <w:spacing w:before="100" w:beforeAutospacing="1" w:after="100" w:afterAutospacing="1" w:line="240" w:lineRule="auto"/>
      <w:jc w:val="left"/>
    </w:pPr>
    <w:rPr>
      <w:rFonts w:ascii="Times New Roman" w:hAnsi="Times New Roman"/>
      <w:sz w:val="24"/>
    </w:rPr>
  </w:style>
  <w:style w:type="character" w:customStyle="1" w:styleId="eop">
    <w:name w:val="eop"/>
    <w:basedOn w:val="Standardnpsmoodstavce"/>
    <w:rsid w:val="00C4431F"/>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dpisobsahu">
    <w:name w:val="TOC Heading"/>
    <w:basedOn w:val="Nadpis1"/>
    <w:next w:val="Normln"/>
    <w:uiPriority w:val="39"/>
    <w:unhideWhenUsed/>
    <w:qFormat/>
    <w:rsid w:val="00603FF5"/>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character" w:customStyle="1" w:styleId="ts-alignment-element">
    <w:name w:val="ts-alignment-element"/>
    <w:basedOn w:val="Standardnpsmoodstavce"/>
    <w:rsid w:val="00E551F6"/>
  </w:style>
  <w:style w:type="character" w:customStyle="1" w:styleId="ts-alignment-element-highlighted">
    <w:name w:val="ts-alignment-element-highlighted"/>
    <w:basedOn w:val="Standardnpsmoodstavce"/>
    <w:rsid w:val="00E551F6"/>
  </w:style>
  <w:style w:type="character" w:styleId="Sledovanodkaz">
    <w:name w:val="FollowedHyperlink"/>
    <w:basedOn w:val="Standardnpsmoodstavce"/>
    <w:uiPriority w:val="99"/>
    <w:semiHidden/>
    <w:unhideWhenUsed/>
    <w:rsid w:val="003F3E6A"/>
    <w:rPr>
      <w:color w:val="800080" w:themeColor="followedHyperlink"/>
      <w:u w:val="single"/>
    </w:rPr>
  </w:style>
  <w:style w:type="paragraph" w:styleId="Textkomente">
    <w:name w:val="annotation text"/>
    <w:basedOn w:val="Normln"/>
    <w:link w:val="TextkomenteChar"/>
    <w:uiPriority w:val="99"/>
    <w:unhideWhenUsed/>
    <w:rsid w:val="00803507"/>
    <w:pPr>
      <w:spacing w:line="240" w:lineRule="auto"/>
    </w:pPr>
    <w:rPr>
      <w:szCs w:val="20"/>
    </w:rPr>
  </w:style>
  <w:style w:type="character" w:customStyle="1" w:styleId="TextkomenteChar">
    <w:name w:val="Text komentáře Char"/>
    <w:basedOn w:val="Standardnpsmoodstavce"/>
    <w:link w:val="Textkomente"/>
    <w:uiPriority w:val="99"/>
    <w:rsid w:val="00803507"/>
    <w:rPr>
      <w:rFonts w:ascii="Arial" w:eastAsia="Times New Roman" w:hAnsi="Arial"/>
      <w:lang w:eastAsia="cs-CZ"/>
    </w:rPr>
  </w:style>
  <w:style w:type="character" w:customStyle="1" w:styleId="PedmtkomenteChar">
    <w:name w:val="Předmět komentáře Char"/>
    <w:basedOn w:val="TextkomenteChar"/>
    <w:link w:val="Pedmtkomente"/>
    <w:uiPriority w:val="99"/>
    <w:semiHidden/>
    <w:rsid w:val="00803507"/>
    <w:rPr>
      <w:rFonts w:ascii="Arial" w:eastAsia="Times New Roman" w:hAnsi="Arial"/>
      <w:b/>
      <w:bCs/>
      <w:lang w:eastAsia="cs-CZ"/>
    </w:rPr>
  </w:style>
  <w:style w:type="paragraph" w:styleId="Pedmtkomente">
    <w:name w:val="annotation subject"/>
    <w:basedOn w:val="Textkomente"/>
    <w:next w:val="Textkomente"/>
    <w:link w:val="PedmtkomenteChar"/>
    <w:uiPriority w:val="99"/>
    <w:semiHidden/>
    <w:unhideWhenUsed/>
    <w:rsid w:val="00803507"/>
    <w:rPr>
      <w:b/>
      <w:bCs/>
    </w:rPr>
  </w:style>
  <w:style w:type="character" w:customStyle="1" w:styleId="RozloendokumentuChar">
    <w:name w:val="Rozložení dokumentu Char"/>
    <w:basedOn w:val="Standardnpsmoodstavce"/>
    <w:link w:val="Rozloendokumentu"/>
    <w:uiPriority w:val="99"/>
    <w:semiHidden/>
    <w:rsid w:val="00803507"/>
    <w:rPr>
      <w:rFonts w:ascii="Tahoma" w:hAnsi="Tahoma" w:cs="Tahoma"/>
      <w:sz w:val="16"/>
      <w:szCs w:val="16"/>
      <w:lang w:eastAsia="cs-CZ"/>
    </w:rPr>
  </w:style>
  <w:style w:type="paragraph" w:styleId="Rozloendokumentu">
    <w:name w:val="Document Map"/>
    <w:basedOn w:val="Normln"/>
    <w:link w:val="RozloendokumentuChar"/>
    <w:uiPriority w:val="99"/>
    <w:semiHidden/>
    <w:rsid w:val="00803507"/>
    <w:pPr>
      <w:spacing w:after="0" w:line="288" w:lineRule="auto"/>
      <w:jc w:val="left"/>
    </w:pPr>
    <w:rPr>
      <w:rFonts w:ascii="Tahoma" w:eastAsia="Calibri" w:hAnsi="Tahoma" w:cs="Tahoma"/>
      <w:sz w:val="16"/>
      <w:szCs w:val="16"/>
    </w:rPr>
  </w:style>
  <w:style w:type="paragraph" w:customStyle="1" w:styleId="Nadpis12">
    <w:name w:val="Nadpis 12"/>
    <w:basedOn w:val="Normln"/>
    <w:uiPriority w:val="9"/>
    <w:qFormat/>
    <w:rsid w:val="00803507"/>
    <w:pPr>
      <w:keepNext/>
      <w:keepLines/>
      <w:spacing w:after="100"/>
      <w:contextualSpacing/>
      <w:jc w:val="left"/>
      <w:outlineLvl w:val="0"/>
    </w:pPr>
    <w:rPr>
      <w:rFonts w:eastAsia="MS Gothic"/>
      <w:b/>
      <w:bCs/>
      <w:color w:val="71818C"/>
      <w:sz w:val="32"/>
      <w:szCs w:val="28"/>
    </w:rPr>
  </w:style>
  <w:style w:type="character" w:customStyle="1" w:styleId="spelle">
    <w:name w:val="spelle"/>
    <w:basedOn w:val="Standardnpsmoodstavce"/>
    <w:rsid w:val="00803507"/>
  </w:style>
  <w:style w:type="character" w:customStyle="1" w:styleId="odkaz-style-wrapper">
    <w:name w:val="odkaz-style-wrapper"/>
    <w:basedOn w:val="Standardnpsmoodstavce"/>
    <w:rsid w:val="00803507"/>
  </w:style>
  <w:style w:type="character" w:customStyle="1" w:styleId="tabulka">
    <w:name w:val="tabulka"/>
    <w:basedOn w:val="Standardnpsmoodstavce"/>
    <w:rsid w:val="00803507"/>
  </w:style>
  <w:style w:type="paragraph" w:customStyle="1" w:styleId="Default">
    <w:name w:val="Default"/>
    <w:rsid w:val="00803507"/>
    <w:pPr>
      <w:autoSpaceDE w:val="0"/>
      <w:autoSpaceDN w:val="0"/>
      <w:adjustRightInd w:val="0"/>
    </w:pPr>
    <w:rPr>
      <w:rFonts w:cs="Calibri"/>
      <w:color w:val="000000"/>
      <w:sz w:val="24"/>
      <w:szCs w:val="24"/>
    </w:rPr>
  </w:style>
  <w:style w:type="character" w:customStyle="1" w:styleId="FormtovanvHTMLChar">
    <w:name w:val="Formátovaný v HTML Char"/>
    <w:basedOn w:val="Standardnpsmoodstavce"/>
    <w:link w:val="FormtovanvHTML"/>
    <w:uiPriority w:val="99"/>
    <w:semiHidden/>
    <w:rsid w:val="00803507"/>
    <w:rPr>
      <w:rFonts w:ascii="Courier New" w:eastAsia="Times New Roman" w:hAnsi="Courier New" w:cs="Courier New"/>
      <w:lang w:eastAsia="cs-CZ"/>
    </w:rPr>
  </w:style>
  <w:style w:type="paragraph" w:styleId="FormtovanvHTML">
    <w:name w:val="HTML Preformatted"/>
    <w:basedOn w:val="Normln"/>
    <w:link w:val="FormtovanvHTMLChar"/>
    <w:uiPriority w:val="99"/>
    <w:semiHidden/>
    <w:unhideWhenUsed/>
    <w:rsid w:val="00803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paragraph" w:customStyle="1" w:styleId="cay">
    <w:name w:val="c_ay"/>
    <w:basedOn w:val="Normln"/>
    <w:rsid w:val="00803507"/>
    <w:pPr>
      <w:spacing w:before="100" w:beforeAutospacing="1" w:after="100" w:afterAutospacing="1" w:line="240" w:lineRule="auto"/>
      <w:jc w:val="left"/>
    </w:pPr>
    <w:rPr>
      <w:rFonts w:ascii="Times New Roman" w:hAnsi="Times New Roman"/>
      <w:sz w:val="24"/>
    </w:rPr>
  </w:style>
  <w:style w:type="character" w:customStyle="1" w:styleId="cew">
    <w:name w:val="c_ew"/>
    <w:basedOn w:val="Standardnpsmoodstavce"/>
    <w:rsid w:val="00803507"/>
  </w:style>
  <w:style w:type="character" w:customStyle="1" w:styleId="cfu">
    <w:name w:val="c_fu"/>
    <w:basedOn w:val="Standardnpsmoodstavce"/>
    <w:rsid w:val="008B2CA8"/>
  </w:style>
  <w:style w:type="character" w:styleId="Odkaznakoment">
    <w:name w:val="annotation reference"/>
    <w:basedOn w:val="Standardnpsmoodstavce"/>
    <w:uiPriority w:val="99"/>
    <w:semiHidden/>
    <w:unhideWhenUsed/>
    <w:rsid w:val="00751DCC"/>
    <w:rPr>
      <w:sz w:val="16"/>
      <w:szCs w:val="16"/>
    </w:rPr>
  </w:style>
  <w:style w:type="paragraph" w:styleId="Revize">
    <w:name w:val="Revision"/>
    <w:hidden/>
    <w:uiPriority w:val="99"/>
    <w:semiHidden/>
    <w:rsid w:val="00751DCC"/>
    <w:rPr>
      <w:rFonts w:ascii="Arial" w:eastAsia="Times New Roman" w:hAnsi="Arial"/>
      <w:szCs w:val="24"/>
      <w:lang w:eastAsia="cs-CZ"/>
    </w:rPr>
  </w:style>
  <w:style w:type="paragraph" w:styleId="Normlnweb">
    <w:name w:val="Normal (Web)"/>
    <w:basedOn w:val="Normln"/>
    <w:uiPriority w:val="99"/>
    <w:semiHidden/>
    <w:unhideWhenUsed/>
    <w:rsid w:val="00751DCC"/>
    <w:pPr>
      <w:spacing w:before="100" w:beforeAutospacing="1" w:after="100" w:afterAutospacing="1" w:line="240" w:lineRule="auto"/>
      <w:jc w:val="left"/>
    </w:pPr>
    <w:rPr>
      <w:rFonts w:ascii="Times New Roman" w:hAnsi="Times New Roman"/>
      <w:sz w:val="24"/>
    </w:rPr>
  </w:style>
  <w:style w:type="character" w:customStyle="1" w:styleId="Nevyeenzmnka1">
    <w:name w:val="Nevyřešená zmínka1"/>
    <w:basedOn w:val="Standardnpsmoodstavce"/>
    <w:uiPriority w:val="99"/>
    <w:semiHidden/>
    <w:unhideWhenUsed/>
    <w:rsid w:val="00751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112676334">
      <w:bodyDiv w:val="1"/>
      <w:marLeft w:val="0"/>
      <w:marRight w:val="0"/>
      <w:marTop w:val="0"/>
      <w:marBottom w:val="0"/>
      <w:divBdr>
        <w:top w:val="none" w:sz="0" w:space="0" w:color="auto"/>
        <w:left w:val="none" w:sz="0" w:space="0" w:color="auto"/>
        <w:bottom w:val="none" w:sz="0" w:space="0" w:color="auto"/>
        <w:right w:val="none" w:sz="0" w:space="0" w:color="auto"/>
      </w:divBdr>
    </w:div>
    <w:div w:id="243729605">
      <w:bodyDiv w:val="1"/>
      <w:marLeft w:val="0"/>
      <w:marRight w:val="0"/>
      <w:marTop w:val="0"/>
      <w:marBottom w:val="0"/>
      <w:divBdr>
        <w:top w:val="none" w:sz="0" w:space="0" w:color="auto"/>
        <w:left w:val="none" w:sz="0" w:space="0" w:color="auto"/>
        <w:bottom w:val="none" w:sz="0" w:space="0" w:color="auto"/>
        <w:right w:val="none" w:sz="0" w:space="0" w:color="auto"/>
      </w:divBdr>
    </w:div>
    <w:div w:id="255015632">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8745877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883518353">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76136441">
      <w:bodyDiv w:val="1"/>
      <w:marLeft w:val="0"/>
      <w:marRight w:val="0"/>
      <w:marTop w:val="0"/>
      <w:marBottom w:val="0"/>
      <w:divBdr>
        <w:top w:val="none" w:sz="0" w:space="0" w:color="auto"/>
        <w:left w:val="none" w:sz="0" w:space="0" w:color="auto"/>
        <w:bottom w:val="none" w:sz="0" w:space="0" w:color="auto"/>
        <w:right w:val="none" w:sz="0" w:space="0" w:color="auto"/>
      </w:divBdr>
    </w:div>
    <w:div w:id="128300063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5696265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 Type="http://schemas.openxmlformats.org/officeDocument/2006/relationships/hyperlink" Target="https://csu.gov.cz/update-of-the-compilation-method-international-trade-in-goods-change-of-ownership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czsocz-my.sharepoint.com/personal/karolina_zabojnikova_czso_cz/Documents/Dokumenty/Anal&#253;za/Q/2025Q2/eng/Makroanal&#253;za%20grafy_eng.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324074074074073E-2"/>
          <c:y val="4.0005727376861394E-2"/>
          <c:w val="0.88059911616161612"/>
          <c:h val="0.76044243986254301"/>
        </c:manualLayout>
      </c:layout>
      <c:barChart>
        <c:barDir val="col"/>
        <c:grouping val="clustered"/>
        <c:varyColors val="0"/>
        <c:ser>
          <c:idx val="2"/>
          <c:order val="2"/>
          <c:tx>
            <c:strRef>
              <c:f>'Vnější vztahy'!$E$6</c:f>
              <c:strCache>
                <c:ptCount val="1"/>
                <c:pt idx="0">
                  <c:v>Balance</c:v>
                </c:pt>
              </c:strCache>
            </c:strRef>
          </c:tx>
          <c:spPr>
            <a:solidFill>
              <a:srgbClr val="A6A6A6"/>
            </a:solidFill>
            <a:ln>
              <a:noFill/>
            </a:ln>
            <a:effectLst/>
          </c:spPr>
          <c:invertIfNegative val="0"/>
          <c:cat>
            <c:multiLvlStrRef>
              <c:f>'Vnější vztahy'!$A$7:$B$32</c:f>
              <c:multiLvlStrCache>
                <c:ptCount val="2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lvl>
                <c:lvl>
                  <c:pt idx="0">
                    <c:v>2019</c:v>
                  </c:pt>
                  <c:pt idx="4">
                    <c:v>2020</c:v>
                  </c:pt>
                  <c:pt idx="8">
                    <c:v>2021</c:v>
                  </c:pt>
                  <c:pt idx="12">
                    <c:v>2022</c:v>
                  </c:pt>
                  <c:pt idx="16">
                    <c:v>2023</c:v>
                  </c:pt>
                  <c:pt idx="20">
                    <c:v>2024</c:v>
                  </c:pt>
                  <c:pt idx="24">
                    <c:v>2025</c:v>
                  </c:pt>
                </c:lvl>
              </c:multiLvlStrCache>
            </c:multiLvlStrRef>
          </c:cat>
          <c:val>
            <c:numRef>
              <c:f>'Vnější vztahy'!$E$7:$E$32</c:f>
              <c:numCache>
                <c:formatCode>0.0</c:formatCode>
                <c:ptCount val="26"/>
                <c:pt idx="0">
                  <c:v>48.244762452000003</c:v>
                </c:pt>
                <c:pt idx="1">
                  <c:v>56.993667721000001</c:v>
                </c:pt>
                <c:pt idx="2">
                  <c:v>27.532477373999999</c:v>
                </c:pt>
                <c:pt idx="3">
                  <c:v>12.923809864000001</c:v>
                </c:pt>
                <c:pt idx="4">
                  <c:v>36.182428658999996</c:v>
                </c:pt>
                <c:pt idx="5">
                  <c:v>9.2911503559999993</c:v>
                </c:pt>
                <c:pt idx="6">
                  <c:v>55.286836668000007</c:v>
                </c:pt>
                <c:pt idx="7">
                  <c:v>78.879761297999991</c:v>
                </c:pt>
                <c:pt idx="8">
                  <c:v>60.916821217999995</c:v>
                </c:pt>
                <c:pt idx="9">
                  <c:v>13.848192235000001</c:v>
                </c:pt>
                <c:pt idx="10">
                  <c:v>-54.700282055000002</c:v>
                </c:pt>
                <c:pt idx="11">
                  <c:v>-29.269374235000001</c:v>
                </c:pt>
                <c:pt idx="12">
                  <c:v>-12.635912592</c:v>
                </c:pt>
                <c:pt idx="13">
                  <c:v>-73.225200095999995</c:v>
                </c:pt>
                <c:pt idx="14">
                  <c:v>-64.314002961</c:v>
                </c:pt>
                <c:pt idx="15">
                  <c:v>-54.639469009000003</c:v>
                </c:pt>
                <c:pt idx="16">
                  <c:v>40.885161205999999</c:v>
                </c:pt>
                <c:pt idx="17">
                  <c:v>36.180839551999995</c:v>
                </c:pt>
                <c:pt idx="18">
                  <c:v>-1.2235418870000001</c:v>
                </c:pt>
                <c:pt idx="19">
                  <c:v>46.660049057999998</c:v>
                </c:pt>
                <c:pt idx="20">
                  <c:v>82.282917839000007</c:v>
                </c:pt>
                <c:pt idx="21">
                  <c:v>70.988541018000006</c:v>
                </c:pt>
                <c:pt idx="22">
                  <c:v>27.293198606000001</c:v>
                </c:pt>
                <c:pt idx="23">
                  <c:v>39.924275514999998</c:v>
                </c:pt>
                <c:pt idx="24">
                  <c:v>78.083456536</c:v>
                </c:pt>
                <c:pt idx="25">
                  <c:v>60.248797363000001</c:v>
                </c:pt>
              </c:numCache>
            </c:numRef>
          </c:val>
          <c:extLst>
            <c:ext xmlns:c16="http://schemas.microsoft.com/office/drawing/2014/chart" uri="{C3380CC4-5D6E-409C-BE32-E72D297353CC}">
              <c16:uniqueId val="{00000000-ED33-4790-8E62-54A5E992DD51}"/>
            </c:ext>
          </c:extLst>
        </c:ser>
        <c:dLbls>
          <c:showLegendKey val="0"/>
          <c:showVal val="0"/>
          <c:showCatName val="0"/>
          <c:showSerName val="0"/>
          <c:showPercent val="0"/>
          <c:showBubbleSize val="0"/>
        </c:dLbls>
        <c:gapWidth val="90"/>
        <c:axId val="1842150016"/>
        <c:axId val="1842137120"/>
      </c:barChart>
      <c:lineChart>
        <c:grouping val="standard"/>
        <c:varyColors val="0"/>
        <c:ser>
          <c:idx val="0"/>
          <c:order val="0"/>
          <c:tx>
            <c:strRef>
              <c:f>'Vnější vztahy'!$C$6</c:f>
              <c:strCache>
                <c:ptCount val="1"/>
                <c:pt idx="0">
                  <c:v>Export</c:v>
                </c:pt>
              </c:strCache>
            </c:strRef>
          </c:tx>
          <c:spPr>
            <a:ln w="28575" cap="rnd">
              <a:noFill/>
              <a:round/>
            </a:ln>
            <a:effectLst/>
          </c:spPr>
          <c:marker>
            <c:symbol val="dash"/>
            <c:size val="9"/>
            <c:spPr>
              <a:solidFill>
                <a:srgbClr val="0071BC"/>
              </a:solidFill>
              <a:ln w="9525">
                <a:noFill/>
              </a:ln>
              <a:effectLst/>
            </c:spPr>
          </c:marker>
          <c:cat>
            <c:multiLvlStrRef>
              <c:f>'Vnější vztahy'!$A$7:$B$32</c:f>
              <c:multiLvlStrCache>
                <c:ptCount val="2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lvl>
                <c:lvl>
                  <c:pt idx="0">
                    <c:v>2019</c:v>
                  </c:pt>
                  <c:pt idx="4">
                    <c:v>2020</c:v>
                  </c:pt>
                  <c:pt idx="8">
                    <c:v>2021</c:v>
                  </c:pt>
                  <c:pt idx="12">
                    <c:v>2022</c:v>
                  </c:pt>
                  <c:pt idx="16">
                    <c:v>2023</c:v>
                  </c:pt>
                  <c:pt idx="20">
                    <c:v>2024</c:v>
                  </c:pt>
                  <c:pt idx="24">
                    <c:v>2025</c:v>
                  </c:pt>
                </c:lvl>
              </c:multiLvlStrCache>
            </c:multiLvlStrRef>
          </c:cat>
          <c:val>
            <c:numRef>
              <c:f>'Vnější vztahy'!$C$7:$C$32</c:f>
              <c:numCache>
                <c:formatCode>#\ ##0.0</c:formatCode>
                <c:ptCount val="26"/>
                <c:pt idx="0">
                  <c:v>3.7143750821000054</c:v>
                </c:pt>
                <c:pt idx="1">
                  <c:v>3.3683840658000008</c:v>
                </c:pt>
                <c:pt idx="2">
                  <c:v>4.8286280231999967</c:v>
                </c:pt>
                <c:pt idx="3">
                  <c:v>-3.1636168855000051</c:v>
                </c:pt>
                <c:pt idx="4">
                  <c:v>-6.4135636115999972</c:v>
                </c:pt>
                <c:pt idx="5">
                  <c:v>-25.037497579399997</c:v>
                </c:pt>
                <c:pt idx="6">
                  <c:v>-3.5785611728999953</c:v>
                </c:pt>
                <c:pt idx="7">
                  <c:v>7.411852265899995</c:v>
                </c:pt>
                <c:pt idx="8">
                  <c:v>10.962313304399999</c:v>
                </c:pt>
                <c:pt idx="9">
                  <c:v>41.981094956100009</c:v>
                </c:pt>
                <c:pt idx="10">
                  <c:v>3.4515742189000065</c:v>
                </c:pt>
                <c:pt idx="11">
                  <c:v>2.749198525500006</c:v>
                </c:pt>
                <c:pt idx="12">
                  <c:v>8.0064988441999958</c:v>
                </c:pt>
                <c:pt idx="13">
                  <c:v>11.287163968300007</c:v>
                </c:pt>
                <c:pt idx="14">
                  <c:v>22.470879917399998</c:v>
                </c:pt>
                <c:pt idx="15">
                  <c:v>13.234980039600003</c:v>
                </c:pt>
                <c:pt idx="16">
                  <c:v>10.691327997000002</c:v>
                </c:pt>
                <c:pt idx="17">
                  <c:v>0.90534101039999371</c:v>
                </c:pt>
                <c:pt idx="18">
                  <c:v>-6.7264620790000009</c:v>
                </c:pt>
                <c:pt idx="19">
                  <c:v>-1.1504207308999952</c:v>
                </c:pt>
                <c:pt idx="20">
                  <c:v>-8.6901433099995984E-2</c:v>
                </c:pt>
                <c:pt idx="21">
                  <c:v>4.7005744015000062</c:v>
                </c:pt>
                <c:pt idx="22">
                  <c:v>10.984825847799996</c:v>
                </c:pt>
                <c:pt idx="23">
                  <c:v>4.9824641242999945</c:v>
                </c:pt>
                <c:pt idx="24">
                  <c:v>6.0304461395000004</c:v>
                </c:pt>
                <c:pt idx="25">
                  <c:v>2.8441182936000047</c:v>
                </c:pt>
              </c:numCache>
            </c:numRef>
          </c:val>
          <c:smooth val="0"/>
          <c:extLst>
            <c:ext xmlns:c16="http://schemas.microsoft.com/office/drawing/2014/chart" uri="{C3380CC4-5D6E-409C-BE32-E72D297353CC}">
              <c16:uniqueId val="{00000001-ED33-4790-8E62-54A5E992DD51}"/>
            </c:ext>
          </c:extLst>
        </c:ser>
        <c:ser>
          <c:idx val="1"/>
          <c:order val="1"/>
          <c:tx>
            <c:strRef>
              <c:f>'Vnější vztahy'!$D$6</c:f>
              <c:strCache>
                <c:ptCount val="1"/>
                <c:pt idx="0">
                  <c:v>Import</c:v>
                </c:pt>
              </c:strCache>
            </c:strRef>
          </c:tx>
          <c:spPr>
            <a:ln w="28575" cap="rnd">
              <a:noFill/>
              <a:round/>
            </a:ln>
            <a:effectLst/>
          </c:spPr>
          <c:marker>
            <c:symbol val="dash"/>
            <c:size val="9"/>
            <c:spPr>
              <a:solidFill>
                <a:srgbClr val="BD1B21"/>
              </a:solidFill>
              <a:ln w="9525">
                <a:noFill/>
              </a:ln>
              <a:effectLst/>
            </c:spPr>
          </c:marker>
          <c:cat>
            <c:multiLvlStrRef>
              <c:f>'Vnější vztahy'!$A$7:$B$32</c:f>
              <c:multiLvlStrCache>
                <c:ptCount val="2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lvl>
                <c:lvl>
                  <c:pt idx="0">
                    <c:v>2019</c:v>
                  </c:pt>
                  <c:pt idx="4">
                    <c:v>2020</c:v>
                  </c:pt>
                  <c:pt idx="8">
                    <c:v>2021</c:v>
                  </c:pt>
                  <c:pt idx="12">
                    <c:v>2022</c:v>
                  </c:pt>
                  <c:pt idx="16">
                    <c:v>2023</c:v>
                  </c:pt>
                  <c:pt idx="20">
                    <c:v>2024</c:v>
                  </c:pt>
                  <c:pt idx="24">
                    <c:v>2025</c:v>
                  </c:pt>
                </c:lvl>
              </c:multiLvlStrCache>
            </c:multiLvlStrRef>
          </c:cat>
          <c:val>
            <c:numRef>
              <c:f>'Vnější vztahy'!$D$7:$D$32</c:f>
              <c:numCache>
                <c:formatCode>#\ ##0.0</c:formatCode>
                <c:ptCount val="26"/>
                <c:pt idx="0">
                  <c:v>4.8123766788999944</c:v>
                </c:pt>
                <c:pt idx="1">
                  <c:v>1.0619237693999963</c:v>
                </c:pt>
                <c:pt idx="2">
                  <c:v>1.0984183013000006</c:v>
                </c:pt>
                <c:pt idx="3">
                  <c:v>-3.3198043863000066</c:v>
                </c:pt>
                <c:pt idx="4">
                  <c:v>-5.3981676209999989</c:v>
                </c:pt>
                <c:pt idx="5">
                  <c:v>-21.285728278400001</c:v>
                </c:pt>
                <c:pt idx="6">
                  <c:v>-6.8912364523999941</c:v>
                </c:pt>
                <c:pt idx="7">
                  <c:v>0.22314936540000474</c:v>
                </c:pt>
                <c:pt idx="8">
                  <c:v>8.4767312925000056</c:v>
                </c:pt>
                <c:pt idx="9">
                  <c:v>41.887499316600014</c:v>
                </c:pt>
                <c:pt idx="10">
                  <c:v>17.303793961099998</c:v>
                </c:pt>
                <c:pt idx="11">
                  <c:v>14.923030300799994</c:v>
                </c:pt>
                <c:pt idx="12">
                  <c:v>16.659765110899997</c:v>
                </c:pt>
                <c:pt idx="13">
                  <c:v>20.193090002000005</c:v>
                </c:pt>
                <c:pt idx="14">
                  <c:v>22.188267180799997</c:v>
                </c:pt>
                <c:pt idx="15">
                  <c:v>15.2991180633</c:v>
                </c:pt>
                <c:pt idx="16">
                  <c:v>5.5018043466999984</c:v>
                </c:pt>
                <c:pt idx="17">
                  <c:v>-8.2960208406999953</c:v>
                </c:pt>
                <c:pt idx="18">
                  <c:v>-11.801975368499996</c:v>
                </c:pt>
                <c:pt idx="19">
                  <c:v>-9.5344571271999996</c:v>
                </c:pt>
                <c:pt idx="20">
                  <c:v>-3.8011078601000037</c:v>
                </c:pt>
                <c:pt idx="21">
                  <c:v>1.682577773999995</c:v>
                </c:pt>
                <c:pt idx="22">
                  <c:v>8.1790772874000055</c:v>
                </c:pt>
                <c:pt idx="23">
                  <c:v>5.8165725733999949</c:v>
                </c:pt>
                <c:pt idx="24">
                  <c:v>6.8841605607999981</c:v>
                </c:pt>
                <c:pt idx="25">
                  <c:v>3.9879451689999996</c:v>
                </c:pt>
              </c:numCache>
            </c:numRef>
          </c:val>
          <c:smooth val="0"/>
          <c:extLst>
            <c:ext xmlns:c16="http://schemas.microsoft.com/office/drawing/2014/chart" uri="{C3380CC4-5D6E-409C-BE32-E72D297353CC}">
              <c16:uniqueId val="{00000002-ED33-4790-8E62-54A5E992DD51}"/>
            </c:ext>
          </c:extLst>
        </c:ser>
        <c:dLbls>
          <c:showLegendKey val="0"/>
          <c:showVal val="0"/>
          <c:showCatName val="0"/>
          <c:showSerName val="0"/>
          <c:showPercent val="0"/>
          <c:showBubbleSize val="0"/>
        </c:dLbls>
        <c:marker val="1"/>
        <c:smooth val="0"/>
        <c:axId val="1621653648"/>
        <c:axId val="1621653232"/>
      </c:lineChart>
      <c:catAx>
        <c:axId val="162165364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crossAx val="1621653232"/>
        <c:crosses val="autoZero"/>
        <c:auto val="1"/>
        <c:lblAlgn val="ctr"/>
        <c:lblOffset val="100"/>
        <c:noMultiLvlLbl val="0"/>
      </c:catAx>
      <c:valAx>
        <c:axId val="1621653232"/>
        <c:scaling>
          <c:orientation val="minMax"/>
          <c:min val="-4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crossAx val="1621653648"/>
        <c:crosses val="autoZero"/>
        <c:crossBetween val="between"/>
      </c:valAx>
      <c:valAx>
        <c:axId val="1842137120"/>
        <c:scaling>
          <c:orientation val="minMax"/>
          <c:min val="-80"/>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crossAx val="1842150016"/>
        <c:crosses val="max"/>
        <c:crossBetween val="between"/>
      </c:valAx>
      <c:catAx>
        <c:axId val="1842150016"/>
        <c:scaling>
          <c:orientation val="minMax"/>
        </c:scaling>
        <c:delete val="1"/>
        <c:axPos val="b"/>
        <c:numFmt formatCode="General" sourceLinked="1"/>
        <c:majorTickMark val="out"/>
        <c:minorTickMark val="none"/>
        <c:tickLblPos val="nextTo"/>
        <c:crossAx val="1842137120"/>
        <c:crosses val="autoZero"/>
        <c:auto val="1"/>
        <c:lblAlgn val="ctr"/>
        <c:lblOffset val="100"/>
        <c:noMultiLvlLbl val="0"/>
      </c:catAx>
      <c:spPr>
        <a:noFill/>
        <a:ln>
          <a:noFill/>
        </a:ln>
        <a:effectLst/>
      </c:spPr>
    </c:plotArea>
    <c:legend>
      <c:legendPos val="b"/>
      <c:layout>
        <c:manualLayout>
          <c:xMode val="edge"/>
          <c:yMode val="edge"/>
          <c:x val="6.7334595959595941E-2"/>
          <c:y val="0.9241869988545246"/>
          <c:w val="0.85464057239057234"/>
          <c:h val="5.3991695303550975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legend>
    <c:plotVisOnly val="1"/>
    <c:dispBlanksAs val="gap"/>
    <c:showDLblsOverMax val="0"/>
  </c:chart>
  <c:spPr>
    <a:solidFill>
      <a:schemeClr val="bg1"/>
    </a:solidFill>
    <a:ln w="9525" cap="flat" cmpd="sng" algn="ctr">
      <a:noFill/>
      <a:round/>
    </a:ln>
    <a:effectLst/>
  </c:spPr>
  <c:txPr>
    <a:bodyPr/>
    <a:lstStyle/>
    <a:p>
      <a:pPr>
        <a:defRPr sz="800" baseline="0">
          <a:latin typeface="Arial" panose="020B0604020202020204" pitchFamily="34" charset="0"/>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0204C7C21F48A488F44995C5F8FB06D" ma:contentTypeVersion="11" ma:contentTypeDescription="Vytvoří nový dokument" ma:contentTypeScope="" ma:versionID="1df8c39b067b5d25b5f5e865a8e6deb3">
  <xsd:schema xmlns:xsd="http://www.w3.org/2001/XMLSchema" xmlns:xs="http://www.w3.org/2001/XMLSchema" xmlns:p="http://schemas.microsoft.com/office/2006/metadata/properties" xmlns:ns3="b8c0c86d-151e-4fca-b0d5-747e6692fa1d" targetNamespace="http://schemas.microsoft.com/office/2006/metadata/properties" ma:root="true" ma:fieldsID="0a1e36cc980726b26aea9439dfb6e5b7" ns3:_="">
    <xsd:import namespace="b8c0c86d-151e-4fca-b0d5-747e6692fa1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0c86d-151e-4fca-b0d5-747e6692f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8A1E1-1E99-4B4F-B9B5-70567730AA3A}">
  <ds:schemaRefs>
    <ds:schemaRef ds:uri="http://schemas.microsoft.com/sharepoint/v3/contenttype/forms"/>
  </ds:schemaRefs>
</ds:datastoreItem>
</file>

<file path=customXml/itemProps2.xml><?xml version="1.0" encoding="utf-8"?>
<ds:datastoreItem xmlns:ds="http://schemas.openxmlformats.org/officeDocument/2006/customXml" ds:itemID="{6E43242F-3FB6-473C-87F1-89DD6C1DF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0c86d-151e-4fca-b0d5-747e6692f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681AD-41B0-431A-9D34-CF6700A12FAC}">
  <ds:schemaRefs>
    <ds:schemaRef ds:uri="http://purl.org/dc/elements/1.1/"/>
    <ds:schemaRef ds:uri="http://purl.org/dc/dcmitype/"/>
    <ds:schemaRef ds:uri="http://www.w3.org/XML/1998/namespace"/>
    <ds:schemaRef ds:uri="http://schemas.microsoft.com/office/infopath/2007/PartnerControls"/>
    <ds:schemaRef ds:uri="http://schemas.microsoft.com/office/2006/documentManagement/types"/>
    <ds:schemaRef ds:uri="b8c0c86d-151e-4fca-b0d5-747e6692fa1d"/>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4D9C79B-ED6E-4078-8017-A0B7FED83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4</Pages>
  <Words>1680</Words>
  <Characters>9915</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dc:creator>
  <cp:keywords/>
  <cp:lastModifiedBy>Zábojníková Karolína</cp:lastModifiedBy>
  <cp:revision>25</cp:revision>
  <cp:lastPrinted>2014-07-17T14:07:00Z</cp:lastPrinted>
  <dcterms:created xsi:type="dcterms:W3CDTF">2025-04-24T09:24:00Z</dcterms:created>
  <dcterms:modified xsi:type="dcterms:W3CDTF">2025-10-17T10:15:00Z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0x01010070204C7C21F48A488F44995C5F8FB06D</vt:lpwstr>
  </property>
  <property fmtid="{D5CDD505-2E9C-101B-9397-08002B2CF9AE}" pid="3" name="Názevformuláře">
    <vt:lpwstr>Publikace CZ barevné - vícetematické analýzy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2018-04-17T07:00:00Z</vt:filetime>
  </property>
  <property fmtid="{D5CDD505-2E9C-101B-9397-08002B2CF9AE}" pid="8" name="Označení">
    <vt:lpwstr>Form_c444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