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178F1" w14:textId="77777777" w:rsidR="002D37A9" w:rsidRDefault="002D37A9">
      <w:pPr>
        <w:jc w:val="center"/>
        <w:rPr>
          <w:b/>
          <w:bCs/>
          <w:sz w:val="24"/>
          <w:lang w:val="en-GB"/>
        </w:rPr>
      </w:pPr>
    </w:p>
    <w:p w14:paraId="158684EE" w14:textId="7E2C50B7" w:rsidR="00F93D46" w:rsidRDefault="00F93D46">
      <w:pPr>
        <w:jc w:val="center"/>
      </w:pPr>
      <w:r>
        <w:rPr>
          <w:b/>
          <w:bCs/>
          <w:sz w:val="24"/>
          <w:lang w:val="en-GB"/>
        </w:rPr>
        <w:t>Methodological notes</w:t>
      </w:r>
    </w:p>
    <w:p w14:paraId="64A65F46" w14:textId="77777777" w:rsidR="00F93D46" w:rsidRDefault="00F93D46">
      <w:pPr>
        <w:jc w:val="center"/>
        <w:rPr>
          <w:b/>
          <w:bCs/>
          <w:sz w:val="24"/>
          <w:lang w:val="en-GB"/>
        </w:rPr>
      </w:pPr>
    </w:p>
    <w:p w14:paraId="5DA1DED6" w14:textId="77777777" w:rsidR="00F93D46" w:rsidRDefault="00F93D46">
      <w:pPr>
        <w:jc w:val="center"/>
        <w:rPr>
          <w:b/>
          <w:bCs/>
          <w:sz w:val="24"/>
          <w:lang w:val="en-GB"/>
        </w:rPr>
      </w:pPr>
    </w:p>
    <w:p w14:paraId="25EEB2DA" w14:textId="77777777" w:rsidR="00F93D46" w:rsidRDefault="00F93D46">
      <w:pPr>
        <w:jc w:val="center"/>
        <w:rPr>
          <w:b/>
          <w:bCs/>
          <w:sz w:val="24"/>
          <w:lang w:val="en-GB"/>
        </w:rPr>
      </w:pPr>
    </w:p>
    <w:p w14:paraId="51501961" w14:textId="77777777" w:rsidR="00F93D46" w:rsidRDefault="00F93D46">
      <w:r>
        <w:rPr>
          <w:lang w:val="en-GB"/>
        </w:rPr>
        <w:t>The statistical questionnaire Zem 7-02 is intended to collect data on stocks, sales</w:t>
      </w:r>
      <w:r w:rsidR="00731CBA">
        <w:rPr>
          <w:lang w:val="en-GB"/>
        </w:rPr>
        <w:t>,</w:t>
      </w:r>
      <w:r>
        <w:rPr>
          <w:lang w:val="en-GB"/>
        </w:rPr>
        <w:t xml:space="preserve"> and consumption of selected crop products in the respective half-year. Enterprises dealing with agriculture, particularly crop production, as a prevailing activity, are obliged to submit the questionnaires.</w:t>
      </w:r>
    </w:p>
    <w:p w14:paraId="08EA8352" w14:textId="77777777" w:rsidR="00F93D46" w:rsidRDefault="00F93D46">
      <w:pPr>
        <w:rPr>
          <w:lang w:val="en-GB"/>
        </w:rPr>
      </w:pPr>
    </w:p>
    <w:p w14:paraId="27BC958A" w14:textId="77777777" w:rsidR="00F93D46" w:rsidRDefault="00F93D46">
      <w:r>
        <w:rPr>
          <w:lang w:val="en-GB"/>
        </w:rPr>
        <w:t xml:space="preserve">Enterprises having more than 250 ha of agricultural area are involved in an exhaustive survey. A sample survey is carried out among further responding units. Sample percentages 20% and 40% are used for units with 40.00–99.99 ha and with 100.00–249.99 ha of agricultural area, respectively; the </w:t>
      </w:r>
      <w:proofErr w:type="gramStart"/>
      <w:r>
        <w:rPr>
          <w:lang w:val="en-GB"/>
        </w:rPr>
        <w:t>final results</w:t>
      </w:r>
      <w:proofErr w:type="gramEnd"/>
      <w:r>
        <w:rPr>
          <w:lang w:val="en-GB"/>
        </w:rPr>
        <w:t xml:space="preserve"> are grossed-up. The data are surveyed </w:t>
      </w:r>
      <w:proofErr w:type="gramStart"/>
      <w:r>
        <w:rPr>
          <w:lang w:val="en-GB"/>
        </w:rPr>
        <w:t>on the basis of</w:t>
      </w:r>
      <w:proofErr w:type="gramEnd"/>
      <w:r>
        <w:rPr>
          <w:lang w:val="en-GB"/>
        </w:rPr>
        <w:t xml:space="preserve"> the location of the business.</w:t>
      </w:r>
    </w:p>
    <w:p w14:paraId="08C1A42E" w14:textId="77777777" w:rsidR="00F93D46" w:rsidRDefault="00F93D46">
      <w:pPr>
        <w:rPr>
          <w:lang w:val="en-GB"/>
        </w:rPr>
      </w:pPr>
    </w:p>
    <w:p w14:paraId="07C43269" w14:textId="77777777" w:rsidR="00F93D46" w:rsidRDefault="00F93D46">
      <w:r>
        <w:rPr>
          <w:lang w:val="en-GB"/>
        </w:rPr>
        <w:t>Stocks at the beginning of the half-year period include</w:t>
      </w:r>
      <w:r>
        <w:rPr>
          <w:color w:val="000000"/>
          <w:szCs w:val="20"/>
          <w:lang w:val="en-GB"/>
        </w:rPr>
        <w:t xml:space="preserve"> actual material stocks as at 31. 12. (or as at 30. 6.) of the surveyed year, regardless the place of storage (excluding stocks stored for the Payment Agency, </w:t>
      </w:r>
      <w:r>
        <w:rPr>
          <w:lang w:val="en-GB"/>
        </w:rPr>
        <w:t xml:space="preserve">SZIF, </w:t>
      </w:r>
      <w:r>
        <w:rPr>
          <w:color w:val="000000"/>
          <w:szCs w:val="20"/>
          <w:lang w:val="en-GB"/>
        </w:rPr>
        <w:t xml:space="preserve">and the Administration of state material reserves, </w:t>
      </w:r>
      <w:r>
        <w:rPr>
          <w:lang w:val="en-GB"/>
        </w:rPr>
        <w:t>SSHR</w:t>
      </w:r>
      <w:r>
        <w:rPr>
          <w:color w:val="000000"/>
          <w:szCs w:val="20"/>
          <w:lang w:val="en-GB"/>
        </w:rPr>
        <w:t>).</w:t>
      </w:r>
      <w:r>
        <w:rPr>
          <w:lang w:val="en-GB"/>
        </w:rPr>
        <w:t xml:space="preserve"> </w:t>
      </w:r>
    </w:p>
    <w:p w14:paraId="0CCE9461" w14:textId="77777777" w:rsidR="00F93D46" w:rsidRDefault="00F93D46">
      <w:pPr>
        <w:rPr>
          <w:lang w:val="en-GB"/>
        </w:rPr>
      </w:pPr>
    </w:p>
    <w:p w14:paraId="6C1F037C" w14:textId="04198C1B" w:rsidR="00F93D46" w:rsidRDefault="00F93D46">
      <w:r>
        <w:rPr>
          <w:lang w:val="en-GB"/>
        </w:rPr>
        <w:t>Resources from the harvest in 20</w:t>
      </w:r>
      <w:r w:rsidR="00E20085">
        <w:rPr>
          <w:lang w:val="en-GB"/>
        </w:rPr>
        <w:t>2</w:t>
      </w:r>
      <w:r w:rsidR="0046593A">
        <w:rPr>
          <w:lang w:val="en-GB"/>
        </w:rPr>
        <w:t>5</w:t>
      </w:r>
      <w:r>
        <w:rPr>
          <w:lang w:val="en-GB"/>
        </w:rPr>
        <w:t xml:space="preserve"> include </w:t>
      </w:r>
      <w:r w:rsidR="005577E4">
        <w:rPr>
          <w:lang w:val="en-GB"/>
        </w:rPr>
        <w:t xml:space="preserve">actual </w:t>
      </w:r>
      <w:r>
        <w:rPr>
          <w:lang w:val="en-GB"/>
        </w:rPr>
        <w:t>own harvest in the respective half-year period. The total value means the sum for both half-year periods.</w:t>
      </w:r>
    </w:p>
    <w:p w14:paraId="7CD5995D" w14:textId="77777777" w:rsidR="00F93D46" w:rsidRDefault="00F93D46">
      <w:pPr>
        <w:rPr>
          <w:lang w:val="en-GB"/>
        </w:rPr>
      </w:pPr>
    </w:p>
    <w:p w14:paraId="29698597" w14:textId="77777777" w:rsidR="00F93D46" w:rsidRDefault="00F93D46">
      <w:r>
        <w:rPr>
          <w:lang w:val="en-GB"/>
        </w:rPr>
        <w:t>Total purchases include all purchases including seed</w:t>
      </w:r>
      <w:r w:rsidR="001205F9">
        <w:rPr>
          <w:lang w:val="en-GB"/>
        </w:rPr>
        <w:t>s</w:t>
      </w:r>
      <w:r>
        <w:rPr>
          <w:lang w:val="en-GB"/>
        </w:rPr>
        <w:t>, imports, purchases from other farmers/growers, the Payment Agency (SZIF)</w:t>
      </w:r>
      <w:r w:rsidR="00A00D07">
        <w:rPr>
          <w:lang w:val="en-GB"/>
        </w:rPr>
        <w:t>,</w:t>
      </w:r>
      <w:r>
        <w:rPr>
          <w:lang w:val="en-GB"/>
        </w:rPr>
        <w:t xml:space="preserve"> or the Administration of state material reserves (SSHR).</w:t>
      </w:r>
    </w:p>
    <w:p w14:paraId="5036AE9F" w14:textId="77777777" w:rsidR="00F93D46" w:rsidRDefault="00F93D46">
      <w:r>
        <w:rPr>
          <w:rFonts w:eastAsia="Arial"/>
          <w:lang w:val="en-GB"/>
        </w:rPr>
        <w:t xml:space="preserve">  </w:t>
      </w:r>
      <w:r>
        <w:rPr>
          <w:lang w:val="en-GB"/>
        </w:rPr>
        <w:t> </w:t>
      </w:r>
    </w:p>
    <w:p w14:paraId="5CD5EF83" w14:textId="77777777" w:rsidR="00F93D46" w:rsidRDefault="00F93D46">
      <w:r>
        <w:rPr>
          <w:lang w:val="en-GB"/>
        </w:rPr>
        <w:t xml:space="preserve">Total sales cover all sales including seeds realized with purchasing (and/or exporting) entities and processing entities </w:t>
      </w:r>
      <w:r w:rsidR="00331714">
        <w:rPr>
          <w:lang w:val="en-GB"/>
        </w:rPr>
        <w:t>as well</w:t>
      </w:r>
      <w:r w:rsidR="007F0D2E">
        <w:rPr>
          <w:lang w:val="en-GB"/>
        </w:rPr>
        <w:t xml:space="preserve"> as </w:t>
      </w:r>
      <w:r>
        <w:rPr>
          <w:lang w:val="en-GB"/>
        </w:rPr>
        <w:t>with other producers</w:t>
      </w:r>
      <w:r w:rsidR="00A00D07">
        <w:rPr>
          <w:lang w:val="en-GB"/>
        </w:rPr>
        <w:t xml:space="preserve"> during the reference period</w:t>
      </w:r>
      <w:r>
        <w:rPr>
          <w:lang w:val="en-GB"/>
        </w:rPr>
        <w:t>. Direct sales to final consumers, own direct exports, sales to the Payment Agency (SZIF)</w:t>
      </w:r>
      <w:r w:rsidR="00106D21">
        <w:rPr>
          <w:lang w:val="en-GB"/>
        </w:rPr>
        <w:t>,</w:t>
      </w:r>
      <w:r>
        <w:rPr>
          <w:lang w:val="en-GB"/>
        </w:rPr>
        <w:t xml:space="preserve"> and sales to the Administration of state material reserves (SSHR) are included</w:t>
      </w:r>
      <w:r w:rsidR="00106D21">
        <w:rPr>
          <w:lang w:val="en-GB"/>
        </w:rPr>
        <w:t xml:space="preserve"> </w:t>
      </w:r>
      <w:r>
        <w:rPr>
          <w:lang w:val="en-GB"/>
        </w:rPr>
        <w:t>as well. Data are reported in net weight.</w:t>
      </w:r>
    </w:p>
    <w:p w14:paraId="1652680F" w14:textId="77777777" w:rsidR="00F93D46" w:rsidRDefault="00F93D46">
      <w:r>
        <w:rPr>
          <w:lang w:val="en-GB"/>
        </w:rPr>
        <w:t>Exports include direct exports abroad.</w:t>
      </w:r>
    </w:p>
    <w:p w14:paraId="726EB767" w14:textId="77777777" w:rsidR="00F93D46" w:rsidRDefault="00F93D46">
      <w:pPr>
        <w:rPr>
          <w:lang w:val="en-GB"/>
        </w:rPr>
      </w:pPr>
    </w:p>
    <w:p w14:paraId="1C7ECDDA" w14:textId="77777777" w:rsidR="00F93D46" w:rsidRDefault="00F93D46">
      <w:r>
        <w:rPr>
          <w:lang w:val="en-GB"/>
        </w:rPr>
        <w:t>Consumption – food use includes manufacturing consumption of crop products used for final food production (mills, malting industry, etc.).</w:t>
      </w:r>
    </w:p>
    <w:p w14:paraId="47ABD92B" w14:textId="77777777" w:rsidR="00F93D46" w:rsidRDefault="00F93D46">
      <w:r>
        <w:rPr>
          <w:lang w:val="en-GB"/>
        </w:rPr>
        <w:t xml:space="preserve">Consumption – feed use includes manufacturing consumption of cereals finally used only for feeding and animal feed production (crushing and compound feed production), </w:t>
      </w:r>
      <w:r w:rsidR="007F0D2E">
        <w:rPr>
          <w:lang w:val="en-GB"/>
        </w:rPr>
        <w:t xml:space="preserve">including </w:t>
      </w:r>
      <w:r>
        <w:rPr>
          <w:lang w:val="en-GB"/>
        </w:rPr>
        <w:t>those which are to be subsequently sold.</w:t>
      </w:r>
    </w:p>
    <w:p w14:paraId="26B73092" w14:textId="77777777" w:rsidR="00F93D46" w:rsidRDefault="00F93D46">
      <w:r>
        <w:rPr>
          <w:lang w:val="en-GB"/>
        </w:rPr>
        <w:t>Consumption of seeds includes purchased ones. Seeds of sugar beet are excluded.</w:t>
      </w:r>
    </w:p>
    <w:p w14:paraId="5CCF24BC" w14:textId="77777777" w:rsidR="00F93D46" w:rsidRDefault="00F93D46">
      <w:r>
        <w:rPr>
          <w:lang w:val="en-GB"/>
        </w:rPr>
        <w:t>Consumption – other use includes manufacturing or direct consumption for technical purposes not mentioned above; it is represented mainly by consumption for alcohol and starch production.</w:t>
      </w:r>
    </w:p>
    <w:p w14:paraId="11C11605" w14:textId="77777777" w:rsidR="00F93D46" w:rsidRDefault="00F93D46">
      <w:pPr>
        <w:rPr>
          <w:lang w:val="en-GB"/>
        </w:rPr>
      </w:pPr>
    </w:p>
    <w:p w14:paraId="37766980" w14:textId="77777777" w:rsidR="00F93D46" w:rsidRDefault="00F93D46">
      <w:r>
        <w:rPr>
          <w:lang w:val="en-GB"/>
        </w:rPr>
        <w:t>Losses during storage include also</w:t>
      </w:r>
      <w:r>
        <w:rPr>
          <w:color w:val="000000"/>
          <w:szCs w:val="20"/>
          <w:lang w:val="en-GB"/>
        </w:rPr>
        <w:t xml:space="preserve"> losses caused by natural disasters.</w:t>
      </w:r>
    </w:p>
    <w:p w14:paraId="54BA295E" w14:textId="77777777" w:rsidR="00F93D46" w:rsidRDefault="00F93D46">
      <w:pPr>
        <w:rPr>
          <w:lang w:val="en-GB"/>
        </w:rPr>
      </w:pPr>
    </w:p>
    <w:p w14:paraId="04D1DB23" w14:textId="77777777" w:rsidR="00F93D46" w:rsidRDefault="00F93D46">
      <w:r>
        <w:rPr>
          <w:lang w:val="en-GB"/>
        </w:rPr>
        <w:t>Stocks at the end of the half-year period mean actual state of stocks of crop products as at the end of the respective half-year period regardless of the place of storage. Stocks stored for the Payment Agency (SZIF) and the Administration of state material reserves (SSHR) are excluded. The data equal to the difference between resources and uses.</w:t>
      </w:r>
    </w:p>
    <w:p w14:paraId="01D074FB" w14:textId="77777777" w:rsidR="00F93D46" w:rsidRDefault="00F93D46">
      <w:pPr>
        <w:rPr>
          <w:lang w:val="en-GB"/>
        </w:rPr>
      </w:pPr>
    </w:p>
    <w:p w14:paraId="35247B8E" w14:textId="77777777" w:rsidR="00F93D46" w:rsidRDefault="00F93D46">
      <w:pPr>
        <w:pStyle w:val="Zkladntext21"/>
        <w:spacing w:after="0" w:line="240" w:lineRule="auto"/>
      </w:pPr>
      <w:r>
        <w:rPr>
          <w:szCs w:val="20"/>
          <w:lang w:val="en-GB"/>
        </w:rPr>
        <w:t>Published results are calculated from non-rounded values. Data are summarized for the national level and at the NUTS 3 level (regions).</w:t>
      </w:r>
    </w:p>
    <w:p w14:paraId="53A4BD2B" w14:textId="77777777" w:rsidR="00F93D46" w:rsidRDefault="00F93D46">
      <w:pPr>
        <w:rPr>
          <w:szCs w:val="20"/>
          <w:lang w:val="en-GB"/>
        </w:rPr>
      </w:pPr>
    </w:p>
    <w:p w14:paraId="71FA0F82" w14:textId="77777777" w:rsidR="00F93D46" w:rsidRDefault="00F93D46">
      <w:pPr>
        <w:rPr>
          <w:lang w:val="en-GB"/>
        </w:rPr>
      </w:pPr>
    </w:p>
    <w:p w14:paraId="2131D5DB" w14:textId="77777777" w:rsidR="00F93D46" w:rsidRDefault="00F93D46">
      <w:pPr>
        <w:rPr>
          <w:lang w:val="en-GB"/>
        </w:rPr>
      </w:pPr>
    </w:p>
    <w:p w14:paraId="0FE5EE21" w14:textId="77777777" w:rsidR="00F93D46" w:rsidRDefault="00F93D46"/>
    <w:sectPr w:rsidR="00F93D46">
      <w:footerReference w:type="default" r:id="rId7"/>
      <w:footerReference w:type="first" r:id="rId8"/>
      <w:pgSz w:w="11906" w:h="16838"/>
      <w:pgMar w:top="1134" w:right="1134" w:bottom="1134" w:left="1134" w:header="70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1933" w14:textId="77777777" w:rsidR="0071348B" w:rsidRDefault="0071348B">
      <w:r>
        <w:separator/>
      </w:r>
    </w:p>
  </w:endnote>
  <w:endnote w:type="continuationSeparator" w:id="0">
    <w:p w14:paraId="01DD7335" w14:textId="77777777" w:rsidR="0071348B" w:rsidRDefault="0071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2B9C" w14:textId="77777777" w:rsidR="00F93D46" w:rsidRDefault="008E602A">
    <w:pPr>
      <w:pStyle w:val="Zpat"/>
    </w:pPr>
    <w:r>
      <w:rPr>
        <w:noProof/>
        <w:lang w:eastAsia="cs-CZ"/>
      </w:rPr>
      <mc:AlternateContent>
        <mc:Choice Requires="wps">
          <w:drawing>
            <wp:anchor distT="0" distB="0" distL="0" distR="0" simplePos="0" relativeHeight="251657728" behindDoc="0" locked="0" layoutInCell="1" allowOverlap="1" wp14:anchorId="6BCBC880" wp14:editId="03D7CD0A">
              <wp:simplePos x="0" y="0"/>
              <wp:positionH relativeFrom="margin">
                <wp:align>center</wp:align>
              </wp:positionH>
              <wp:positionV relativeFrom="paragraph">
                <wp:posOffset>635</wp:posOffset>
              </wp:positionV>
              <wp:extent cx="13970" cy="145415"/>
              <wp:effectExtent l="5080" t="635" r="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1B9E6" w14:textId="77777777" w:rsidR="00F93D46" w:rsidRDefault="00F93D46">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1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e+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" stroked="f">
              <v:fill opacity="0"/>
              <v:textbox inset="0,0,0,0">
                <w:txbxContent>
                  <w:p w:rsidR="00F93D46" w:rsidRDefault="00F93D46">
                    <w:pPr>
                      <w:pStyle w:val="Zpat"/>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4529" w14:textId="77777777" w:rsidR="00F93D46" w:rsidRDefault="00F93D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71F2" w14:textId="77777777" w:rsidR="0071348B" w:rsidRDefault="0071348B">
      <w:r>
        <w:separator/>
      </w:r>
    </w:p>
  </w:footnote>
  <w:footnote w:type="continuationSeparator" w:id="0">
    <w:p w14:paraId="32233BBD" w14:textId="77777777" w:rsidR="0071348B" w:rsidRDefault="0071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normalnsodrkami"/>
      <w:lvlText w:val=""/>
      <w:lvlJc w:val="left"/>
      <w:pPr>
        <w:tabs>
          <w:tab w:val="num" w:pos="720"/>
        </w:tabs>
        <w:ind w:left="720" w:hanging="360"/>
      </w:pPr>
      <w:rPr>
        <w:rFonts w:ascii="Symbol" w:hAnsi="Symbol" w:cs="Symbol" w:hint="default"/>
      </w:rPr>
    </w:lvl>
  </w:abstractNum>
  <w:num w:numId="1" w16cid:durableId="1792048990">
    <w:abstractNumId w:val="0"/>
  </w:num>
  <w:num w:numId="2" w16cid:durableId="195790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69"/>
    <w:rsid w:val="00106D21"/>
    <w:rsid w:val="001205F9"/>
    <w:rsid w:val="001C534B"/>
    <w:rsid w:val="00252585"/>
    <w:rsid w:val="002D37A9"/>
    <w:rsid w:val="00331714"/>
    <w:rsid w:val="00350BC5"/>
    <w:rsid w:val="00377669"/>
    <w:rsid w:val="00395D7F"/>
    <w:rsid w:val="0046593A"/>
    <w:rsid w:val="004E3442"/>
    <w:rsid w:val="005577E4"/>
    <w:rsid w:val="0056013C"/>
    <w:rsid w:val="006C5512"/>
    <w:rsid w:val="0071348B"/>
    <w:rsid w:val="007166C9"/>
    <w:rsid w:val="00731CBA"/>
    <w:rsid w:val="007F0D2E"/>
    <w:rsid w:val="008E602A"/>
    <w:rsid w:val="00941710"/>
    <w:rsid w:val="00A00D07"/>
    <w:rsid w:val="00A924DC"/>
    <w:rsid w:val="00AE36CC"/>
    <w:rsid w:val="00B06CCF"/>
    <w:rsid w:val="00C724F9"/>
    <w:rsid w:val="00CC30DF"/>
    <w:rsid w:val="00CE52A5"/>
    <w:rsid w:val="00D606F5"/>
    <w:rsid w:val="00D63663"/>
    <w:rsid w:val="00E20085"/>
    <w:rsid w:val="00EA4166"/>
    <w:rsid w:val="00EE2BE3"/>
    <w:rsid w:val="00F10FCD"/>
    <w:rsid w:val="00F550B8"/>
    <w:rsid w:val="00F93D46"/>
    <w:rsid w:val="00FA7E90"/>
    <w:rsid w:val="00FD4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EBE174"/>
  <w15:chartTrackingRefBased/>
  <w15:docId w15:val="{06394671-7A66-47EF-A457-3A1DBA0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hAnsi="Arial" w:cs="Arial"/>
      <w:szCs w:val="24"/>
      <w:lang w:eastAsia="zh-CN"/>
    </w:rPr>
  </w:style>
  <w:style w:type="paragraph" w:styleId="Nadpis1">
    <w:name w:val="heading 1"/>
    <w:basedOn w:val="Normln"/>
    <w:next w:val="Normln"/>
    <w:qFormat/>
    <w:pPr>
      <w:keepNext/>
      <w:numPr>
        <w:numId w:val="1"/>
      </w:numPr>
      <w:spacing w:before="240" w:after="240"/>
      <w:outlineLvl w:val="0"/>
    </w:pPr>
    <w:rPr>
      <w:b/>
      <w:bCs/>
      <w:kern w:val="2"/>
      <w:sz w:val="24"/>
      <w:szCs w:val="32"/>
    </w:rPr>
  </w:style>
  <w:style w:type="paragraph" w:styleId="Nadpis2">
    <w:name w:val="heading 2"/>
    <w:basedOn w:val="Normln"/>
    <w:next w:val="Normln"/>
    <w:qFormat/>
    <w:pPr>
      <w:keepNext/>
      <w:numPr>
        <w:ilvl w:val="1"/>
        <w:numId w:val="1"/>
      </w:numPr>
      <w:spacing w:before="240" w:after="240"/>
      <w:outlineLvl w:val="1"/>
    </w:pPr>
    <w:rPr>
      <w:b/>
      <w:bCs/>
      <w:iCs/>
      <w:szCs w:val="28"/>
    </w:rPr>
  </w:style>
  <w:style w:type="paragraph" w:styleId="Nadpis3">
    <w:name w:val="heading 3"/>
    <w:basedOn w:val="Normln"/>
    <w:next w:val="Normln"/>
    <w:qFormat/>
    <w:pPr>
      <w:keepNext/>
      <w:numPr>
        <w:ilvl w:val="2"/>
        <w:numId w:val="1"/>
      </w:numPr>
      <w:spacing w:before="240" w:after="60"/>
      <w:outlineLvl w:val="2"/>
    </w:pPr>
    <w:rPr>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hint="default"/>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2Char">
    <w:name w:val="Základní text 2 Char"/>
    <w:rPr>
      <w:rFonts w:ascii="Arial" w:hAnsi="Arial" w:cs="Arial"/>
      <w:szCs w:val="24"/>
    </w:rPr>
  </w:style>
  <w:style w:type="paragraph" w:customStyle="1" w:styleId="Heading">
    <w:name w:val="Heading"/>
    <w:basedOn w:val="Normln"/>
    <w:next w:val="Zkladntext"/>
    <w:pPr>
      <w:spacing w:before="240" w:after="240"/>
      <w:jc w:val="center"/>
    </w:pPr>
    <w:rPr>
      <w:b/>
      <w:bCs/>
      <w:kern w:val="2"/>
      <w:sz w:val="28"/>
      <w:szCs w:val="32"/>
    </w:rPr>
  </w:style>
  <w:style w:type="paragraph" w:styleId="Zkladntext">
    <w:name w:val="Body Text"/>
    <w:basedOn w:val="Normln"/>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Index">
    <w:name w:val="Index"/>
    <w:basedOn w:val="Normln"/>
    <w:pPr>
      <w:suppressLineNumbers/>
    </w:pPr>
    <w:rPr>
      <w:rFonts w:cs="Lucida Sans"/>
    </w:rPr>
  </w:style>
  <w:style w:type="paragraph" w:customStyle="1" w:styleId="normalnsodrkami">
    <w:name w:val="normalní s odrážkami"/>
    <w:basedOn w:val="Normln"/>
    <w:pPr>
      <w:numPr>
        <w:numId w:val="2"/>
      </w:numPr>
    </w:pPr>
  </w:style>
  <w:style w:type="paragraph" w:customStyle="1" w:styleId="HeaderandFooter">
    <w:name w:val="Header and Footer"/>
    <w:basedOn w:val="Normln"/>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Zkladntext21">
    <w:name w:val="Základní text 21"/>
    <w:basedOn w:val="Normln"/>
    <w:pPr>
      <w:spacing w:after="120" w:line="480" w:lineRule="auto"/>
    </w:pPr>
  </w:style>
  <w:style w:type="paragraph" w:customStyle="1" w:styleId="FrameContents">
    <w:name w:val="Frame Contents"/>
    <w:basedOn w:val="Normln"/>
  </w:style>
  <w:style w:type="paragraph" w:styleId="Textbubliny">
    <w:name w:val="Balloon Text"/>
    <w:basedOn w:val="Normln"/>
    <w:link w:val="TextbublinyChar"/>
    <w:uiPriority w:val="99"/>
    <w:semiHidden/>
    <w:unhideWhenUsed/>
    <w:rsid w:val="001C53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534B"/>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428</Words>
  <Characters>2529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Metodické vysvětlivky ke zpracování výkazu Zem 7-02 Pololetní výkaz o zásobách a prodejích rostlinných výrobků</vt:lpstr>
    </vt:vector>
  </TitlesOfParts>
  <Company>ČSÚ</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 ke zpracování výkazu Zem 7-02 Pololetní výkaz o zásobách a prodejích rostlinných výrobků</dc:title>
  <dc:subject/>
  <dc:creator>system service</dc:creator>
  <cp:keywords/>
  <cp:lastModifiedBy>Dohnal Martin</cp:lastModifiedBy>
  <cp:revision>12</cp:revision>
  <cp:lastPrinted>2026-03-18T17:44:00Z</cp:lastPrinted>
  <dcterms:created xsi:type="dcterms:W3CDTF">2023-03-13T09:45:00Z</dcterms:created>
  <dcterms:modified xsi:type="dcterms:W3CDTF">2026-03-18T17:44:00Z</dcterms:modified>
</cp:coreProperties>
</file>