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D71C" w14:textId="77777777" w:rsidR="00A75E40" w:rsidRPr="009110F7" w:rsidRDefault="00BF4329" w:rsidP="006C3495">
      <w:pPr>
        <w:jc w:val="center"/>
        <w:rPr>
          <w:lang w:eastAsia="ar-SA"/>
        </w:rPr>
        <w:sectPr w:rsidR="00A75E40" w:rsidRPr="009110F7" w:rsidSect="0085114D">
          <w:headerReference w:type="even" r:id="rId12"/>
          <w:headerReference w:type="default" r:id="rId13"/>
          <w:footerReference w:type="even" r:id="rId14"/>
          <w:footerReference w:type="default" r:id="rId15"/>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511DD5DE" wp14:editId="00A28F14">
                <wp:simplePos x="0" y="0"/>
                <wp:positionH relativeFrom="page">
                  <wp:posOffset>571500</wp:posOffset>
                </wp:positionH>
                <wp:positionV relativeFrom="page">
                  <wp:posOffset>466725</wp:posOffset>
                </wp:positionV>
                <wp:extent cx="2249805" cy="554355"/>
                <wp:effectExtent l="0" t="0" r="0" b="0"/>
                <wp:wrapSquare wrapText="bothSides"/>
                <wp:docPr id="3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32"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16="http://schemas.microsoft.com/office/drawing/2014/main" xmlns:c="http://schemas.openxmlformats.org/drawingml/2006/chart">
            <w:pict w14:anchorId="7BA46650">
              <v:group id="Group 24" style="position:absolute;margin-left:45pt;margin-top:36.75pt;width:177.15pt;height:43.65pt;z-index:251657728;mso-position-horizontal-relative:page;mso-position-vertical-relative:page" coordsize="2714,667" coordorigin="567,851" o:spid="_x0000_s1026" w14:anchorId="70D050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">
                <o:lock v:ext="edit" aspectratio="t"/>
                <v:rect id="Rectangle 9" style="position:absolute;left:1215;top:901;width:676;height:154;visibility:visible;mso-wrap-style:square;v-text-anchor:top" o:spid="_x0000_s1027"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">
                  <o:lock v:ext="edit" aspectratio="t"/>
                </v:rect>
                <v:rect id="Rectangle 10" style="position:absolute;left:567;top:1131;width:1324;height:154;visibility:visible;mso-wrap-style:square;v-text-anchor:top" o:spid="_x0000_s1028"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o:lock v:ext="edit" aspectratio="t"/>
                </v:rect>
                <v:rect id="Rectangle 11" style="position:absolute;left:1288;top:1361;width:603;height:153;visibility:visible;mso-wrap-style:square;v-text-anchor:top" o:spid="_x0000_s1029"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fwQAAANsAAAAPAAAAZHJzL2Rvd25yZXYueG1sRE/LasJA&#10;FN0X/IfhFtzVSS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FPEOp/BAAAA2wAAAA8AAAAA&#10;AAAAAAAAAAAABwIAAGRycy9kb3ducmV2LnhtbFBLBQYAAAAAAwADALcAAAD1AgAAAAA=&#10;">
                  <o:lock v:ext="edit" aspectratio="t"/>
                </v:rect>
                <v:shape id="Freeform 12" style="position:absolute;left:1969;top:1311;width:600;height:207;visibility:visible;mso-wrap-style:square;v-text-anchor:top" coordsize="1200,415" o:spid="_x0000_s1030" fillcolor="#bd1b21" stroked="f"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">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verticies="t" aspectratio="t"/>
                </v:shape>
                <v:shape id="Freeform 13" style="position:absolute;left:1962;top:1081;width:1319;height:208;visibility:visible;mso-wrap-style:square;v-text-anchor:top" coordsize="2637,416" o:spid="_x0000_s1031" fillcolor="#bd1b21" stroked="f"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">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verticies="t" aspectratio="t"/>
                </v:shape>
                <v:shape id="Freeform 14" style="position:absolute;left:1962;top:851;width:679;height:208;visibility:visible;mso-wrap-style:square;v-text-anchor:top" coordsize="1358,416" o:spid="_x0000_s1032" fillcolor="#bd1b21" stroked="f"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">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verticies="t" aspectratio="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7757952E" wp14:editId="7602F846">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8CD8" w14:textId="77777777" w:rsidR="00FA1CA9" w:rsidRDefault="00FA1CA9" w:rsidP="004924DC">
                            <w:r>
                              <w:t>Z</w:t>
                            </w:r>
                            <w:r w:rsidRPr="006C5577">
                              <w:t xml:space="preserve">pracoval: </w:t>
                            </w:r>
                            <w:r>
                              <w:t>o</w:t>
                            </w:r>
                            <w:r w:rsidRPr="006C5577">
                              <w:t>dbor</w:t>
                            </w:r>
                            <w:r>
                              <w:t xml:space="preserve"> Kancelář předsedy</w:t>
                            </w:r>
                          </w:p>
                          <w:p w14:paraId="6CC24131" w14:textId="77777777" w:rsidR="00FA1CA9" w:rsidRPr="006C5577" w:rsidRDefault="00FA1CA9" w:rsidP="004924DC">
                            <w:r w:rsidRPr="006C5577">
                              <w:t xml:space="preserve">Ředitel odboru: </w:t>
                            </w:r>
                            <w:r>
                              <w:t>Egor Sidorov, Ph.D.</w:t>
                            </w:r>
                          </w:p>
                          <w:p w14:paraId="734BD5FB" w14:textId="77777777" w:rsidR="00FA1CA9" w:rsidRPr="006C5577" w:rsidRDefault="00FA1CA9" w:rsidP="004924DC">
                            <w:r w:rsidRPr="006C5577">
                              <w:t xml:space="preserve">Kontaktní osoba: </w:t>
                            </w:r>
                            <w:r>
                              <w:t>Karolína Zábojníková</w:t>
                            </w:r>
                            <w:r w:rsidRPr="006C5577">
                              <w:t>,</w:t>
                            </w:r>
                            <w:r>
                              <w:t xml:space="preserve">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7952E"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" filled="f" stroked="f">
                <v:textbox inset="0,0,0,0">
                  <w:txbxContent>
                    <w:p w14:paraId="71628CD8" w14:textId="77777777" w:rsidR="00FA1CA9" w:rsidRDefault="00FA1CA9" w:rsidP="004924DC">
                      <w:r>
                        <w:t>Z</w:t>
                      </w:r>
                      <w:r w:rsidRPr="006C5577">
                        <w:t xml:space="preserve">pracoval: </w:t>
                      </w:r>
                      <w:r>
                        <w:t>o</w:t>
                      </w:r>
                      <w:r w:rsidRPr="006C5577">
                        <w:t>dbor</w:t>
                      </w:r>
                      <w:r>
                        <w:t xml:space="preserve"> Kancelář předsedy</w:t>
                      </w:r>
                    </w:p>
                    <w:p w14:paraId="6CC24131" w14:textId="77777777" w:rsidR="00FA1CA9" w:rsidRPr="006C5577" w:rsidRDefault="00FA1CA9" w:rsidP="004924DC">
                      <w:r w:rsidRPr="006C5577">
                        <w:t xml:space="preserve">Ředitel odboru: </w:t>
                      </w:r>
                      <w:r>
                        <w:t>Egor Sidorov, Ph.D.</w:t>
                      </w:r>
                    </w:p>
                    <w:p w14:paraId="734BD5FB" w14:textId="77777777" w:rsidR="00FA1CA9" w:rsidRPr="006C5577" w:rsidRDefault="00FA1CA9" w:rsidP="004924DC">
                      <w:r w:rsidRPr="006C5577">
                        <w:t xml:space="preserve">Kontaktní osoba: </w:t>
                      </w:r>
                      <w:r>
                        <w:t>Karolína Zábojníková</w:t>
                      </w:r>
                      <w:r w:rsidRPr="006C5577">
                        <w:t>,</w:t>
                      </w:r>
                      <w:r>
                        <w:t xml:space="preserve"> e-mail: karolina.zabojnikova@czso.cz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AFB96D4" wp14:editId="50D63787">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48DE" w14:textId="32168C0B" w:rsidR="00FA1CA9" w:rsidRPr="004924DC" w:rsidRDefault="00FA1CA9" w:rsidP="004924DC">
                            <w:pPr>
                              <w:pStyle w:val="TLIdentifikace-sted"/>
                            </w:pPr>
                            <w:r>
                              <w:t>Souhrnná data o České republice</w:t>
                            </w:r>
                          </w:p>
                          <w:p w14:paraId="02C46271" w14:textId="705AEE88" w:rsidR="00FA1CA9" w:rsidRPr="004924DC" w:rsidRDefault="00FA1CA9" w:rsidP="004924DC">
                            <w:pPr>
                              <w:pStyle w:val="TLIdentifikace-sted"/>
                            </w:pPr>
                            <w:r>
                              <w:t>Praha, 17. 6. 2024</w:t>
                            </w:r>
                          </w:p>
                          <w:p w14:paraId="43012AD8" w14:textId="3524494A" w:rsidR="00FA1CA9" w:rsidRPr="00B23E6E" w:rsidRDefault="00FA1CA9" w:rsidP="004924DC">
                            <w:pPr>
                              <w:pStyle w:val="TLIdentifikace-sted"/>
                            </w:pPr>
                            <w:r w:rsidRPr="00B23E6E">
                              <w:t>Kód publikace: 320193-2</w:t>
                            </w:r>
                            <w:r>
                              <w:t>4</w:t>
                            </w:r>
                          </w:p>
                          <w:p w14:paraId="1ED5773E" w14:textId="2A7C87E3" w:rsidR="00FA1CA9" w:rsidRPr="00474646" w:rsidRDefault="00FA1CA9" w:rsidP="004924DC">
                            <w:pPr>
                              <w:pStyle w:val="TLIdentifikace-sted"/>
                              <w:rPr>
                                <w:rFonts w:cs="Arial"/>
                              </w:rPr>
                            </w:pPr>
                            <w:r w:rsidRPr="00ED0F73">
                              <w:rPr>
                                <w:rFonts w:cs="Arial"/>
                              </w:rPr>
                              <w:t xml:space="preserve">Č. j.: </w:t>
                            </w:r>
                            <w:r w:rsidR="00422EE6" w:rsidRPr="00422EE6">
                              <w:t>CSU-007331/2024</w:t>
                            </w:r>
                          </w:p>
                          <w:p w14:paraId="7E4C36AC" w14:textId="5384755B" w:rsidR="00FA1CA9" w:rsidRPr="004924DC" w:rsidRDefault="00FA1CA9" w:rsidP="004924DC">
                            <w:pPr>
                              <w:pStyle w:val="TLIdentifikace-sted"/>
                            </w:pPr>
                            <w:r w:rsidRPr="004924DC">
                              <w:t>Pořadové číslo v</w:t>
                            </w:r>
                            <w:r>
                              <w:t> </w:t>
                            </w:r>
                            <w:r w:rsidRPr="004924DC">
                              <w:t xml:space="preserve">roce: </w:t>
                            </w:r>
                            <w:r>
                              <w:t>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FB96D4"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fit-shape-to-text:t" inset="0,0,0,0">
                  <w:txbxContent>
                    <w:p w14:paraId="6B3C48DE" w14:textId="32168C0B" w:rsidR="00FA1CA9" w:rsidRPr="004924DC" w:rsidRDefault="00FA1CA9" w:rsidP="004924DC">
                      <w:pPr>
                        <w:pStyle w:val="TLIdentifikace-sted"/>
                      </w:pPr>
                      <w:r>
                        <w:t>Souhrnná data o České republice</w:t>
                      </w:r>
                    </w:p>
                    <w:p w14:paraId="02C46271" w14:textId="705AEE88" w:rsidR="00FA1CA9" w:rsidRPr="004924DC" w:rsidRDefault="00FA1CA9" w:rsidP="004924DC">
                      <w:pPr>
                        <w:pStyle w:val="TLIdentifikace-sted"/>
                      </w:pPr>
                      <w:r>
                        <w:t>Praha, 17. 6. 2024</w:t>
                      </w:r>
                    </w:p>
                    <w:p w14:paraId="43012AD8" w14:textId="3524494A" w:rsidR="00FA1CA9" w:rsidRPr="00B23E6E" w:rsidRDefault="00FA1CA9" w:rsidP="004924DC">
                      <w:pPr>
                        <w:pStyle w:val="TLIdentifikace-sted"/>
                      </w:pPr>
                      <w:r w:rsidRPr="00B23E6E">
                        <w:t>Kód publikace: 320193-2</w:t>
                      </w:r>
                      <w:r>
                        <w:t>4</w:t>
                      </w:r>
                    </w:p>
                    <w:p w14:paraId="1ED5773E" w14:textId="2A7C87E3" w:rsidR="00FA1CA9" w:rsidRPr="00474646" w:rsidRDefault="00FA1CA9" w:rsidP="004924DC">
                      <w:pPr>
                        <w:pStyle w:val="TLIdentifikace-sted"/>
                        <w:rPr>
                          <w:rFonts w:cs="Arial"/>
                        </w:rPr>
                      </w:pPr>
                      <w:r w:rsidRPr="00ED0F73">
                        <w:rPr>
                          <w:rFonts w:cs="Arial"/>
                        </w:rPr>
                        <w:t xml:space="preserve">Č. j.: </w:t>
                      </w:r>
                      <w:r w:rsidR="00422EE6" w:rsidRPr="00422EE6">
                        <w:t>CSU-007331/2024</w:t>
                      </w:r>
                    </w:p>
                    <w:p w14:paraId="7E4C36AC" w14:textId="5384755B" w:rsidR="00FA1CA9" w:rsidRPr="004924DC" w:rsidRDefault="00FA1CA9" w:rsidP="004924DC">
                      <w:pPr>
                        <w:pStyle w:val="TLIdentifikace-sted"/>
                      </w:pPr>
                      <w:r w:rsidRPr="004924DC">
                        <w:t>Pořadové číslo v</w:t>
                      </w:r>
                      <w:r>
                        <w:t> </w:t>
                      </w:r>
                      <w:r w:rsidRPr="004924DC">
                        <w:t xml:space="preserve">roce: </w:t>
                      </w:r>
                      <w:r>
                        <w:t>1</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451D2144" wp14:editId="099204C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7B56" w14:textId="77777777" w:rsidR="00FA1CA9" w:rsidRPr="000E6FBD" w:rsidRDefault="00FA1CA9" w:rsidP="000E6FBD">
                            <w:pPr>
                              <w:pStyle w:val="Nzev"/>
                            </w:pPr>
                            <w:r>
                              <w:t>Vývoj ekonomiky české republiky</w:t>
                            </w:r>
                          </w:p>
                          <w:p w14:paraId="6EF7822F" w14:textId="77777777" w:rsidR="00FA1CA9" w:rsidRPr="0012192F" w:rsidRDefault="00FA1CA9" w:rsidP="0012192F">
                            <w:pPr>
                              <w:pStyle w:val="Podnadpis"/>
                            </w:pPr>
                          </w:p>
                          <w:p w14:paraId="284A2D4D" w14:textId="76D20759" w:rsidR="00FA1CA9" w:rsidRPr="0012192F" w:rsidRDefault="00FA1CA9" w:rsidP="0072294F">
                            <w:pPr>
                              <w:pStyle w:val="Podnadpis"/>
                            </w:pPr>
                            <w:r w:rsidRPr="0072294F">
                              <w:t>1. čtvrtletí</w:t>
                            </w:r>
                            <w:r>
                              <w:t xml:space="preserve"> 2024</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1D2144"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" filled="f" stroked="f">
                <v:textbox style="mso-fit-shape-to-text:t" inset="0,0,0,0">
                  <w:txbxContent>
                    <w:p w14:paraId="723B7B56" w14:textId="77777777" w:rsidR="00FA1CA9" w:rsidRPr="000E6FBD" w:rsidRDefault="00FA1CA9" w:rsidP="000E6FBD">
                      <w:pPr>
                        <w:pStyle w:val="Nzev"/>
                      </w:pPr>
                      <w:r>
                        <w:t>Vývoj ekonomiky české republiky</w:t>
                      </w:r>
                    </w:p>
                    <w:p w14:paraId="6EF7822F" w14:textId="77777777" w:rsidR="00FA1CA9" w:rsidRPr="0012192F" w:rsidRDefault="00FA1CA9" w:rsidP="0012192F">
                      <w:pPr>
                        <w:pStyle w:val="Podnadpis"/>
                      </w:pPr>
                    </w:p>
                    <w:p w14:paraId="284A2D4D" w14:textId="76D20759" w:rsidR="00FA1CA9" w:rsidRPr="0012192F" w:rsidRDefault="00FA1CA9" w:rsidP="0072294F">
                      <w:pPr>
                        <w:pStyle w:val="Podnadpis"/>
                      </w:pPr>
                      <w:r w:rsidRPr="0072294F">
                        <w:t>1. čtvrtletí</w:t>
                      </w:r>
                      <w:r>
                        <w:t xml:space="preserve"> 2024</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41CDD5F4" wp14:editId="1095CA0F">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DF7B" w14:textId="0B30ABCF" w:rsidR="00FA1CA9" w:rsidRPr="004924DC" w:rsidRDefault="00FA1CA9" w:rsidP="004924DC">
                            <w:r w:rsidRPr="004924DC">
                              <w:t xml:space="preserve">© Český statistický úřad, </w:t>
                            </w:r>
                            <w:r>
                              <w:t>Praha</w:t>
                            </w:r>
                            <w:r w:rsidRPr="004924DC">
                              <w:t xml:space="preserve">, </w:t>
                            </w:r>
                            <w:r>
                              <w:t>2024</w:t>
                            </w:r>
                          </w:p>
                          <w:p w14:paraId="622736FE" w14:textId="77777777" w:rsidR="00FA1CA9" w:rsidRPr="005251DD" w:rsidRDefault="00FA1CA9" w:rsidP="00665BA4"/>
                          <w:p w14:paraId="157588CA" w14:textId="77777777" w:rsidR="00FA1CA9" w:rsidRPr="005251DD" w:rsidRDefault="00FA1CA9" w:rsidP="00FC684B"/>
                          <w:p w14:paraId="590D710B" w14:textId="77777777" w:rsidR="00FA1CA9" w:rsidRDefault="00FA1CA9"/>
                          <w:p w14:paraId="73B68DA8" w14:textId="77777777" w:rsidR="00FA1CA9" w:rsidRPr="00097407" w:rsidRDefault="00FA1CA9"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3D655DFE" w14:textId="77777777" w:rsidR="00FA1CA9" w:rsidRPr="005251DD" w:rsidRDefault="00FA1CA9" w:rsidP="00665BA4"/>
                          <w:p w14:paraId="74D3ABC4" w14:textId="77777777" w:rsidR="00FA1CA9" w:rsidRPr="005251DD" w:rsidRDefault="00FA1CA9"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DD5F4"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MkugIAALY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" filled="f" stroked="f">
                <v:textbox inset="0,0,0,0">
                  <w:txbxContent>
                    <w:p w14:paraId="0841DF7B" w14:textId="0B30ABCF" w:rsidR="00FA1CA9" w:rsidRPr="004924DC" w:rsidRDefault="00FA1CA9" w:rsidP="004924DC">
                      <w:r w:rsidRPr="004924DC">
                        <w:t xml:space="preserve">© Český statistický úřad, </w:t>
                      </w:r>
                      <w:r>
                        <w:t>Praha</w:t>
                      </w:r>
                      <w:r w:rsidRPr="004924DC">
                        <w:t xml:space="preserve">, </w:t>
                      </w:r>
                      <w:r>
                        <w:t>2024</w:t>
                      </w:r>
                    </w:p>
                    <w:p w14:paraId="622736FE" w14:textId="77777777" w:rsidR="00FA1CA9" w:rsidRPr="005251DD" w:rsidRDefault="00FA1CA9" w:rsidP="00665BA4"/>
                    <w:p w14:paraId="157588CA" w14:textId="77777777" w:rsidR="00FA1CA9" w:rsidRPr="005251DD" w:rsidRDefault="00FA1CA9" w:rsidP="00FC684B"/>
                    <w:p w14:paraId="590D710B" w14:textId="77777777" w:rsidR="00FA1CA9" w:rsidRDefault="00FA1CA9"/>
                    <w:p w14:paraId="73B68DA8" w14:textId="77777777" w:rsidR="00FA1CA9" w:rsidRPr="00097407" w:rsidRDefault="00FA1CA9" w:rsidP="00665BA4">
                      <w:r w:rsidRPr="00097407">
                        <w:t xml:space="preserve">© </w:t>
                      </w:r>
                      <w:r w:rsidRPr="005251DD">
                        <w:t>Český statistický úřad</w:t>
                      </w:r>
                      <w:r>
                        <w:t xml:space="preserve"> / </w:t>
                      </w:r>
                      <w:r w:rsidRPr="009A1902">
                        <w:rPr>
                          <w:i/>
                        </w:rPr>
                        <w:t xml:space="preserve">Czech </w:t>
                      </w:r>
                      <w:r w:rsidRPr="009A1902">
                        <w:rPr>
                          <w:rFonts w:cs="Arial"/>
                          <w:i/>
                          <w:szCs w:val="20"/>
                        </w:rPr>
                        <w:t>Statistical Office</w:t>
                      </w:r>
                      <w:r w:rsidRPr="00097407">
                        <w:t>, místo, rok vydání</w:t>
                      </w:r>
                    </w:p>
                    <w:p w14:paraId="3D655DFE" w14:textId="77777777" w:rsidR="00FA1CA9" w:rsidRPr="005251DD" w:rsidRDefault="00FA1CA9" w:rsidP="00665BA4"/>
                    <w:p w14:paraId="74D3ABC4" w14:textId="77777777" w:rsidR="00FA1CA9" w:rsidRPr="005251DD" w:rsidRDefault="00FA1CA9" w:rsidP="00FC684B"/>
                  </w:txbxContent>
                </v:textbox>
                <w10:wrap anchorx="page" anchory="page"/>
                <w10:anchorlock/>
              </v:shape>
            </w:pict>
          </mc:Fallback>
        </mc:AlternateContent>
      </w:r>
      <w:r>
        <w:rPr>
          <w:noProof/>
        </w:rPr>
        <mc:AlternateContent>
          <mc:Choice Requires="wps">
            <w:drawing>
              <wp:anchor distT="4294967293" distB="4294967293" distL="114300" distR="114300" simplePos="0" relativeHeight="251653632" behindDoc="0" locked="1" layoutInCell="0" allowOverlap="1" wp14:anchorId="5D7561D0" wp14:editId="7B364386">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16="http://schemas.microsoft.com/office/drawing/2014/main" xmlns:c="http://schemas.openxmlformats.org/drawingml/2006/chart">
            <w:pict w14:anchorId="0DBAEABF">
              <v:line id="Přímá spojnice 33"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o:spid="_x0000_s1026" o:allowincell="f" strokecolor="windowText" strokeweight="1pt" from="134.65pt,737.1pt" to="538.6pt,737.1pt" w14:anchorId="6DFD5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lock v:ext="edit" shapetype="f"/>
                <w10:wrap anchorx="page" anchory="page"/>
                <w10:anchorlock/>
              </v:line>
            </w:pict>
          </mc:Fallback>
        </mc:AlternateContent>
      </w:r>
      <w:r w:rsidR="00F63FB7" w:rsidRPr="009110F7">
        <w:br w:type="page"/>
      </w:r>
      <w:r w:rsidR="00D57677" w:rsidRPr="009110F7">
        <w:lastRenderedPageBreak/>
        <w:br w:type="page"/>
      </w:r>
      <w:r>
        <w:rPr>
          <w:noProof/>
        </w:rPr>
        <mc:AlternateContent>
          <mc:Choice Requires="wps">
            <w:drawing>
              <wp:anchor distT="0" distB="0" distL="114300" distR="114300" simplePos="0" relativeHeight="251659776" behindDoc="0" locked="1" layoutInCell="1" allowOverlap="1" wp14:anchorId="6BC95926" wp14:editId="266DEF2F">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70E5B" w14:textId="77777777" w:rsidR="00FA1CA9" w:rsidRPr="006F5416" w:rsidRDefault="00FA1CA9" w:rsidP="006F5416">
                            <w:pPr>
                              <w:pStyle w:val="TLKontaktyerven"/>
                            </w:pPr>
                            <w:r w:rsidRPr="006F5416">
                              <w:t>KONTAKTY V ÚSTŘEDÍ</w:t>
                            </w:r>
                          </w:p>
                          <w:p w14:paraId="3BEEAF5F" w14:textId="77777777" w:rsidR="00FA1CA9" w:rsidRPr="007D40DF" w:rsidRDefault="00FA1CA9"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4ECAA215" w14:textId="77777777" w:rsidR="00FA1CA9" w:rsidRPr="00D235B7" w:rsidRDefault="00FA1CA9"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77777777" w:rsidR="00FA1CA9" w:rsidRPr="00D235B7" w:rsidRDefault="00FA1CA9"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572D725" w14:textId="77777777" w:rsidR="00FA1CA9" w:rsidRPr="00D235B7" w:rsidRDefault="00FA1CA9"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77777777" w:rsidR="00FA1CA9" w:rsidRPr="00D235B7" w:rsidRDefault="00FA1CA9"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433A2C62" w14:textId="77777777" w:rsidR="00FA1CA9" w:rsidRPr="004A61C5" w:rsidRDefault="00FA1CA9" w:rsidP="00825C4D">
                            <w:pPr>
                              <w:pStyle w:val="TLKontakty"/>
                              <w:spacing w:after="80" w:line="240" w:lineRule="auto"/>
                              <w:contextualSpacing w:val="0"/>
                              <w:rPr>
                                <w:color w:val="auto"/>
                              </w:rPr>
                            </w:pPr>
                          </w:p>
                          <w:p w14:paraId="29C57B67" w14:textId="77777777" w:rsidR="00FA1CA9" w:rsidRPr="00D66223" w:rsidRDefault="00FA1CA9" w:rsidP="00D66223">
                            <w:pPr>
                              <w:pStyle w:val="TLKontaktyerven"/>
                            </w:pPr>
                            <w:r w:rsidRPr="00D66223">
                              <w:t>INFORMAČNÍ SLUŽBY V REGIONECH</w:t>
                            </w:r>
                          </w:p>
                          <w:p w14:paraId="181BE30E" w14:textId="77777777" w:rsidR="00FA1CA9" w:rsidRPr="00992CF3" w:rsidRDefault="00FA1CA9"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FA1CA9" w:rsidRPr="00992CF3" w:rsidRDefault="00FA1CA9"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FA1CA9" w:rsidRPr="004A61C5" w:rsidRDefault="00FA1CA9" w:rsidP="00825C4D">
                            <w:pPr>
                              <w:pStyle w:val="TLKontakty"/>
                              <w:spacing w:after="80" w:line="240" w:lineRule="auto"/>
                              <w:rPr>
                                <w:color w:val="auto"/>
                              </w:rPr>
                            </w:pPr>
                          </w:p>
                          <w:p w14:paraId="39B5FB82" w14:textId="77777777" w:rsidR="00FA1CA9" w:rsidRPr="00992CF3" w:rsidRDefault="00FA1CA9"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FA1CA9" w:rsidRPr="00992CF3" w:rsidRDefault="00FA1CA9"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FA1CA9" w:rsidRPr="004A61C5" w:rsidRDefault="00FA1CA9" w:rsidP="00825C4D">
                            <w:pPr>
                              <w:pStyle w:val="TLKontakty"/>
                              <w:spacing w:after="80" w:line="240" w:lineRule="auto"/>
                              <w:rPr>
                                <w:color w:val="auto"/>
                              </w:rPr>
                            </w:pPr>
                          </w:p>
                          <w:p w14:paraId="5AF27889" w14:textId="77777777" w:rsidR="00FA1CA9" w:rsidRPr="00992CF3" w:rsidRDefault="00FA1CA9"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FA1CA9" w:rsidRPr="00992CF3" w:rsidRDefault="00FA1CA9"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FA1CA9" w:rsidRPr="004A61C5" w:rsidRDefault="00FA1CA9" w:rsidP="00825C4D">
                            <w:pPr>
                              <w:pStyle w:val="TLKontakty"/>
                              <w:spacing w:after="80" w:line="240" w:lineRule="auto"/>
                              <w:rPr>
                                <w:color w:val="auto"/>
                              </w:rPr>
                            </w:pPr>
                          </w:p>
                          <w:p w14:paraId="0065AFA0" w14:textId="77777777" w:rsidR="00FA1CA9" w:rsidRPr="00BC731E" w:rsidRDefault="00FA1CA9"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FA1CA9" w:rsidRPr="004A61C5" w:rsidRDefault="00FA1CA9" w:rsidP="00825C4D">
                            <w:pPr>
                              <w:pStyle w:val="TLKontakty"/>
                              <w:spacing w:after="80" w:line="240" w:lineRule="auto"/>
                              <w:rPr>
                                <w:color w:val="auto"/>
                              </w:rPr>
                            </w:pPr>
                          </w:p>
                          <w:p w14:paraId="345F7961" w14:textId="77777777" w:rsidR="00FA1CA9" w:rsidRPr="004A61C5" w:rsidRDefault="00FA1CA9"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FA1CA9" w:rsidRPr="004A61C5" w:rsidRDefault="00FA1CA9" w:rsidP="00825C4D">
                            <w:pPr>
                              <w:pStyle w:val="TLKontakty"/>
                              <w:spacing w:after="80" w:line="240" w:lineRule="auto"/>
                              <w:rPr>
                                <w:color w:val="auto"/>
                              </w:rPr>
                            </w:pPr>
                          </w:p>
                          <w:p w14:paraId="766F2288" w14:textId="77777777" w:rsidR="00FA1CA9" w:rsidRPr="004A61C5" w:rsidRDefault="00FA1CA9"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FA1CA9" w:rsidRPr="004A61C5" w:rsidRDefault="00FA1CA9" w:rsidP="00825C4D">
                            <w:pPr>
                              <w:pStyle w:val="TLKontakty"/>
                              <w:spacing w:after="80" w:line="240" w:lineRule="auto"/>
                              <w:rPr>
                                <w:color w:val="auto"/>
                              </w:rPr>
                            </w:pPr>
                          </w:p>
                          <w:p w14:paraId="0D4652E6" w14:textId="77777777" w:rsidR="00FA1CA9" w:rsidRPr="004A61C5" w:rsidRDefault="00FA1CA9"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FA1CA9" w:rsidRPr="004A61C5" w:rsidRDefault="00FA1CA9" w:rsidP="00825C4D">
                            <w:pPr>
                              <w:pStyle w:val="TLKontakty"/>
                              <w:spacing w:after="80" w:line="240" w:lineRule="auto"/>
                              <w:rPr>
                                <w:b w:val="0"/>
                                <w:color w:val="auto"/>
                              </w:rPr>
                            </w:pPr>
                          </w:p>
                          <w:p w14:paraId="231AC323" w14:textId="77777777" w:rsidR="00FA1CA9" w:rsidRPr="004A61C5" w:rsidRDefault="00FA1CA9"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FA1CA9" w:rsidRPr="004A61C5" w:rsidRDefault="00FA1CA9" w:rsidP="00825C4D">
                            <w:pPr>
                              <w:pStyle w:val="TLKontakty"/>
                              <w:spacing w:after="80" w:line="240" w:lineRule="auto"/>
                              <w:rPr>
                                <w:color w:val="auto"/>
                              </w:rPr>
                            </w:pPr>
                          </w:p>
                          <w:p w14:paraId="64319B27" w14:textId="77777777" w:rsidR="00FA1CA9" w:rsidRPr="004A61C5" w:rsidRDefault="00FA1CA9"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FA1CA9" w:rsidRPr="004A61C5" w:rsidRDefault="00FA1CA9" w:rsidP="00825C4D">
                            <w:pPr>
                              <w:pStyle w:val="TLKontakty"/>
                              <w:spacing w:after="80" w:line="240" w:lineRule="auto"/>
                              <w:rPr>
                                <w:b w:val="0"/>
                                <w:color w:val="auto"/>
                              </w:rPr>
                            </w:pPr>
                          </w:p>
                          <w:p w14:paraId="4068B566" w14:textId="77777777" w:rsidR="00FA1CA9" w:rsidRPr="004A61C5" w:rsidRDefault="00FA1CA9"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FA1CA9" w:rsidRDefault="00FA1CA9" w:rsidP="00825C4D">
                            <w:pPr>
                              <w:pStyle w:val="TLKontakty"/>
                              <w:spacing w:after="80" w:line="240" w:lineRule="auto"/>
                            </w:pPr>
                          </w:p>
                          <w:p w14:paraId="63ACC352" w14:textId="77777777" w:rsidR="00FA1CA9" w:rsidRPr="00BC731E" w:rsidRDefault="00FA1CA9"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FA1CA9" w:rsidRPr="004A61C5" w:rsidRDefault="00FA1CA9"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FA1CA9" w:rsidRPr="004A61C5" w:rsidRDefault="00FA1CA9" w:rsidP="00825C4D">
                            <w:pPr>
                              <w:pStyle w:val="TLKontakty"/>
                              <w:spacing w:after="80" w:line="240" w:lineRule="auto"/>
                              <w:rPr>
                                <w:b w:val="0"/>
                                <w:color w:val="auto"/>
                              </w:rPr>
                            </w:pPr>
                          </w:p>
                          <w:p w14:paraId="71AC5E72" w14:textId="77777777" w:rsidR="00FA1CA9" w:rsidRPr="005E7C78" w:rsidRDefault="00FA1CA9"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FA1CA9" w:rsidRPr="005E7C78" w:rsidRDefault="00FA1CA9"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FA1CA9" w:rsidRPr="005E7C78" w:rsidRDefault="00FA1CA9" w:rsidP="00825C4D">
                            <w:pPr>
                              <w:pStyle w:val="TLKontakty"/>
                              <w:spacing w:after="80" w:line="240" w:lineRule="auto"/>
                              <w:rPr>
                                <w:b w:val="0"/>
                                <w:color w:val="auto"/>
                              </w:rPr>
                            </w:pPr>
                          </w:p>
                          <w:p w14:paraId="00E77B80" w14:textId="77777777" w:rsidR="00FA1CA9" w:rsidRPr="005E7C78" w:rsidRDefault="00FA1CA9"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FA1CA9" w:rsidRDefault="00FA1CA9"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FA1CA9" w:rsidRPr="005E7C78" w:rsidRDefault="00FA1CA9" w:rsidP="00095135">
                            <w:pPr>
                              <w:pStyle w:val="TLKontakty"/>
                              <w:spacing w:after="80" w:line="240" w:lineRule="auto"/>
                              <w:rPr>
                                <w:b w:val="0"/>
                                <w:color w:val="auto"/>
                              </w:rPr>
                            </w:pPr>
                          </w:p>
                          <w:p w14:paraId="0275618D" w14:textId="77777777" w:rsidR="00FA1CA9" w:rsidRPr="005E7C78" w:rsidRDefault="00FA1CA9"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FA1CA9" w:rsidRPr="00095135" w:rsidRDefault="00FA1CA9"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C9592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" filled="f" stroked="f">
                <v:textbox style="mso-fit-shape-to-text:t" inset="0,0,0,0">
                  <w:txbxContent>
                    <w:p w14:paraId="57F70E5B" w14:textId="77777777" w:rsidR="00FA1CA9" w:rsidRPr="006F5416" w:rsidRDefault="00FA1CA9" w:rsidP="006F5416">
                      <w:pPr>
                        <w:pStyle w:val="TLKontaktyerven"/>
                      </w:pPr>
                      <w:r w:rsidRPr="006F5416">
                        <w:t>KONTAKTY V ÚSTŘEDÍ</w:t>
                      </w:r>
                    </w:p>
                    <w:p w14:paraId="3BEEAF5F" w14:textId="77777777" w:rsidR="00FA1CA9" w:rsidRPr="007D40DF" w:rsidRDefault="00FA1CA9"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4ECAA215" w14:textId="77777777" w:rsidR="00FA1CA9" w:rsidRPr="00D235B7" w:rsidRDefault="00FA1CA9"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77777777" w:rsidR="00FA1CA9" w:rsidRPr="00D235B7" w:rsidRDefault="00FA1CA9"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572D725" w14:textId="77777777" w:rsidR="00FA1CA9" w:rsidRPr="00D235B7" w:rsidRDefault="00FA1CA9"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77777777" w:rsidR="00FA1CA9" w:rsidRPr="00D235B7" w:rsidRDefault="00FA1CA9"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433A2C62" w14:textId="77777777" w:rsidR="00FA1CA9" w:rsidRPr="004A61C5" w:rsidRDefault="00FA1CA9" w:rsidP="00825C4D">
                      <w:pPr>
                        <w:pStyle w:val="TLKontakty"/>
                        <w:spacing w:after="80" w:line="240" w:lineRule="auto"/>
                        <w:contextualSpacing w:val="0"/>
                        <w:rPr>
                          <w:color w:val="auto"/>
                        </w:rPr>
                      </w:pPr>
                    </w:p>
                    <w:p w14:paraId="29C57B67" w14:textId="77777777" w:rsidR="00FA1CA9" w:rsidRPr="00D66223" w:rsidRDefault="00FA1CA9" w:rsidP="00D66223">
                      <w:pPr>
                        <w:pStyle w:val="TLKontaktyerven"/>
                      </w:pPr>
                      <w:r w:rsidRPr="00D66223">
                        <w:t>INFORMAČNÍ SLUŽBY V REGIONECH</w:t>
                      </w:r>
                    </w:p>
                    <w:p w14:paraId="181BE30E" w14:textId="77777777" w:rsidR="00FA1CA9" w:rsidRPr="00992CF3" w:rsidRDefault="00FA1CA9"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FA1CA9" w:rsidRPr="00992CF3" w:rsidRDefault="00FA1CA9"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FA1CA9" w:rsidRPr="004A61C5" w:rsidRDefault="00FA1CA9" w:rsidP="00825C4D">
                      <w:pPr>
                        <w:pStyle w:val="TLKontakty"/>
                        <w:spacing w:after="80" w:line="240" w:lineRule="auto"/>
                        <w:rPr>
                          <w:color w:val="auto"/>
                        </w:rPr>
                      </w:pPr>
                    </w:p>
                    <w:p w14:paraId="39B5FB82" w14:textId="77777777" w:rsidR="00FA1CA9" w:rsidRPr="00992CF3" w:rsidRDefault="00FA1CA9"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FA1CA9" w:rsidRPr="00992CF3" w:rsidRDefault="00FA1CA9"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FA1CA9" w:rsidRPr="004A61C5" w:rsidRDefault="00FA1CA9" w:rsidP="00825C4D">
                      <w:pPr>
                        <w:pStyle w:val="TLKontakty"/>
                        <w:spacing w:after="80" w:line="240" w:lineRule="auto"/>
                        <w:rPr>
                          <w:color w:val="auto"/>
                        </w:rPr>
                      </w:pPr>
                    </w:p>
                    <w:p w14:paraId="5AF27889" w14:textId="77777777" w:rsidR="00FA1CA9" w:rsidRPr="00992CF3" w:rsidRDefault="00FA1CA9"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FA1CA9" w:rsidRPr="00992CF3" w:rsidRDefault="00FA1CA9"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FA1CA9" w:rsidRPr="004A61C5" w:rsidRDefault="00FA1CA9" w:rsidP="00825C4D">
                      <w:pPr>
                        <w:pStyle w:val="TLKontakty"/>
                        <w:spacing w:after="80" w:line="240" w:lineRule="auto"/>
                        <w:rPr>
                          <w:color w:val="auto"/>
                        </w:rPr>
                      </w:pPr>
                    </w:p>
                    <w:p w14:paraId="0065AFA0" w14:textId="77777777" w:rsidR="00FA1CA9" w:rsidRPr="00BC731E" w:rsidRDefault="00FA1CA9"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FA1CA9" w:rsidRPr="004A61C5" w:rsidRDefault="00FA1CA9" w:rsidP="00825C4D">
                      <w:pPr>
                        <w:pStyle w:val="TLKontakty"/>
                        <w:spacing w:after="80" w:line="240" w:lineRule="auto"/>
                        <w:rPr>
                          <w:color w:val="auto"/>
                        </w:rPr>
                      </w:pPr>
                    </w:p>
                    <w:p w14:paraId="345F7961" w14:textId="77777777" w:rsidR="00FA1CA9" w:rsidRPr="004A61C5" w:rsidRDefault="00FA1CA9"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FA1CA9" w:rsidRPr="004A61C5" w:rsidRDefault="00FA1CA9" w:rsidP="00825C4D">
                      <w:pPr>
                        <w:pStyle w:val="TLKontakty"/>
                        <w:spacing w:after="80" w:line="240" w:lineRule="auto"/>
                        <w:rPr>
                          <w:color w:val="auto"/>
                        </w:rPr>
                      </w:pPr>
                    </w:p>
                    <w:p w14:paraId="766F2288" w14:textId="77777777" w:rsidR="00FA1CA9" w:rsidRPr="004A61C5" w:rsidRDefault="00FA1CA9"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FA1CA9" w:rsidRPr="004A61C5" w:rsidRDefault="00FA1CA9" w:rsidP="00825C4D">
                      <w:pPr>
                        <w:pStyle w:val="TLKontakty"/>
                        <w:spacing w:after="80" w:line="240" w:lineRule="auto"/>
                        <w:rPr>
                          <w:color w:val="auto"/>
                        </w:rPr>
                      </w:pPr>
                    </w:p>
                    <w:p w14:paraId="0D4652E6" w14:textId="77777777" w:rsidR="00FA1CA9" w:rsidRPr="004A61C5" w:rsidRDefault="00FA1CA9"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FA1CA9" w:rsidRPr="004A61C5" w:rsidRDefault="00FA1CA9" w:rsidP="00825C4D">
                      <w:pPr>
                        <w:pStyle w:val="TLKontakty"/>
                        <w:spacing w:after="80" w:line="240" w:lineRule="auto"/>
                        <w:rPr>
                          <w:b w:val="0"/>
                          <w:color w:val="auto"/>
                        </w:rPr>
                      </w:pPr>
                    </w:p>
                    <w:p w14:paraId="231AC323" w14:textId="77777777" w:rsidR="00FA1CA9" w:rsidRPr="004A61C5" w:rsidRDefault="00FA1CA9"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FA1CA9" w:rsidRPr="004A61C5" w:rsidRDefault="00FA1CA9" w:rsidP="00825C4D">
                      <w:pPr>
                        <w:pStyle w:val="TLKontakty"/>
                        <w:spacing w:after="80" w:line="240" w:lineRule="auto"/>
                        <w:rPr>
                          <w:color w:val="auto"/>
                        </w:rPr>
                      </w:pPr>
                    </w:p>
                    <w:p w14:paraId="64319B27" w14:textId="77777777" w:rsidR="00FA1CA9" w:rsidRPr="004A61C5" w:rsidRDefault="00FA1CA9"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FA1CA9" w:rsidRPr="004A61C5" w:rsidRDefault="00FA1CA9" w:rsidP="00825C4D">
                      <w:pPr>
                        <w:pStyle w:val="TLKontakty"/>
                        <w:spacing w:after="80" w:line="240" w:lineRule="auto"/>
                        <w:rPr>
                          <w:b w:val="0"/>
                          <w:color w:val="auto"/>
                        </w:rPr>
                      </w:pPr>
                    </w:p>
                    <w:p w14:paraId="4068B566" w14:textId="77777777" w:rsidR="00FA1CA9" w:rsidRPr="004A61C5" w:rsidRDefault="00FA1CA9"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FA1CA9" w:rsidRPr="004A61C5" w:rsidRDefault="00FA1CA9"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FA1CA9" w:rsidRDefault="00FA1CA9" w:rsidP="00825C4D">
                      <w:pPr>
                        <w:pStyle w:val="TLKontakty"/>
                        <w:spacing w:after="80" w:line="240" w:lineRule="auto"/>
                      </w:pPr>
                    </w:p>
                    <w:p w14:paraId="63ACC352" w14:textId="77777777" w:rsidR="00FA1CA9" w:rsidRPr="00BC731E" w:rsidRDefault="00FA1CA9"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FA1CA9" w:rsidRPr="004A61C5" w:rsidRDefault="00FA1CA9"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FA1CA9" w:rsidRPr="004A61C5" w:rsidRDefault="00FA1CA9" w:rsidP="00825C4D">
                      <w:pPr>
                        <w:pStyle w:val="TLKontakty"/>
                        <w:spacing w:after="80" w:line="240" w:lineRule="auto"/>
                        <w:rPr>
                          <w:b w:val="0"/>
                          <w:color w:val="auto"/>
                        </w:rPr>
                      </w:pPr>
                    </w:p>
                    <w:p w14:paraId="71AC5E72" w14:textId="77777777" w:rsidR="00FA1CA9" w:rsidRPr="005E7C78" w:rsidRDefault="00FA1CA9"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FA1CA9" w:rsidRPr="005E7C78" w:rsidRDefault="00FA1CA9"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FA1CA9" w:rsidRPr="005E7C78" w:rsidRDefault="00FA1CA9" w:rsidP="00825C4D">
                      <w:pPr>
                        <w:pStyle w:val="TLKontakty"/>
                        <w:spacing w:after="80" w:line="240" w:lineRule="auto"/>
                        <w:rPr>
                          <w:b w:val="0"/>
                          <w:color w:val="auto"/>
                        </w:rPr>
                      </w:pPr>
                    </w:p>
                    <w:p w14:paraId="00E77B80" w14:textId="77777777" w:rsidR="00FA1CA9" w:rsidRPr="005E7C78" w:rsidRDefault="00FA1CA9"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FA1CA9" w:rsidRDefault="00FA1CA9"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FA1CA9" w:rsidRPr="005E7C78" w:rsidRDefault="00FA1CA9" w:rsidP="00095135">
                      <w:pPr>
                        <w:pStyle w:val="TLKontakty"/>
                        <w:spacing w:after="80" w:line="240" w:lineRule="auto"/>
                        <w:rPr>
                          <w:b w:val="0"/>
                          <w:color w:val="auto"/>
                        </w:rPr>
                      </w:pPr>
                    </w:p>
                    <w:p w14:paraId="0275618D" w14:textId="77777777" w:rsidR="00FA1CA9" w:rsidRPr="005E7C78" w:rsidRDefault="00FA1CA9"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FA1CA9" w:rsidRPr="00095135" w:rsidRDefault="00FA1CA9"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627D9299" wp14:editId="066DDE16">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07B0" w14:textId="52FE952D" w:rsidR="00FA1CA9" w:rsidRPr="00321924" w:rsidRDefault="00FA1CA9" w:rsidP="00A16E1D">
                            <w:pPr>
                              <w:jc w:val="left"/>
                            </w:pPr>
                            <w:r w:rsidRPr="00321924">
                              <w:br/>
                              <w:t xml:space="preserve">© Český statistický úřad, </w:t>
                            </w:r>
                            <w:r>
                              <w:t>Praha, 2024</w:t>
                            </w:r>
                          </w:p>
                          <w:p w14:paraId="314CB98A" w14:textId="77777777" w:rsidR="00FA1CA9" w:rsidRDefault="00FA1CA9"/>
                          <w:p w14:paraId="6776AB5D" w14:textId="77777777" w:rsidR="00FA1CA9" w:rsidRPr="00841D9F" w:rsidRDefault="00FA1CA9"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FA1CA9" w:rsidRPr="00AF2852" w:rsidRDefault="00FA1CA9"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D9299"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NbuQ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" filled="f" stroked="f">
                <v:textbox inset="0,0,0,0">
                  <w:txbxContent>
                    <w:p w14:paraId="45ED07B0" w14:textId="52FE952D" w:rsidR="00FA1CA9" w:rsidRPr="00321924" w:rsidRDefault="00FA1CA9" w:rsidP="00A16E1D">
                      <w:pPr>
                        <w:jc w:val="left"/>
                      </w:pPr>
                      <w:r w:rsidRPr="00321924">
                        <w:br/>
                        <w:t xml:space="preserve">© Český statistický úřad, </w:t>
                      </w:r>
                      <w:r>
                        <w:t>Praha, 2024</w:t>
                      </w:r>
                    </w:p>
                    <w:p w14:paraId="314CB98A" w14:textId="77777777" w:rsidR="00FA1CA9" w:rsidRDefault="00FA1CA9"/>
                    <w:p w14:paraId="6776AB5D" w14:textId="77777777" w:rsidR="00FA1CA9" w:rsidRPr="00841D9F" w:rsidRDefault="00FA1CA9"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FA1CA9" w:rsidRPr="00AF2852" w:rsidRDefault="00FA1CA9" w:rsidP="000A3A2C">
                      <w:r w:rsidRPr="00841D9F">
                        <w:t>© Český sta</w:t>
                      </w:r>
                      <w:r>
                        <w:t xml:space="preserve">tistický úřad / </w:t>
                      </w:r>
                      <w:r w:rsidRPr="009A1902">
                        <w:rPr>
                          <w:i/>
                        </w:rPr>
                        <w:t xml:space="preserve">Czech </w:t>
                      </w:r>
                      <w:r w:rsidRPr="009A1902">
                        <w:rPr>
                          <w:rFonts w:cs="Arial"/>
                          <w:i/>
                          <w:szCs w:val="20"/>
                        </w:rPr>
                        <w:t>Statistical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3FEDB80D" wp14:editId="1DBA9E32">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D4D1" w14:textId="77777777" w:rsidR="00FA1CA9" w:rsidRPr="009A1902" w:rsidRDefault="00FA1CA9"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EDB80D"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" filled="f" stroked="f">
                <v:textbox style="mso-fit-shape-to-text:t" inset="0,0,0,0">
                  <w:txbxContent>
                    <w:p w14:paraId="054ED4D1" w14:textId="77777777" w:rsidR="00FA1CA9" w:rsidRPr="009A1902" w:rsidRDefault="00FA1CA9"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v:textbox>
                <w10:wrap anchorx="page" anchory="page"/>
                <w10:anchorlock/>
              </v:shape>
            </w:pict>
          </mc:Fallback>
        </mc:AlternateContent>
      </w:r>
    </w:p>
    <w:sdt>
      <w:sdtPr>
        <w:rPr>
          <w:b w:val="0"/>
          <w:color w:val="auto"/>
          <w:sz w:val="20"/>
          <w:szCs w:val="20"/>
        </w:rPr>
        <w:id w:val="129444162"/>
        <w:docPartObj>
          <w:docPartGallery w:val="Table of Contents"/>
          <w:docPartUnique/>
        </w:docPartObj>
      </w:sdtPr>
      <w:sdtEndPr/>
      <w:sdtContent>
        <w:p w14:paraId="597230E6" w14:textId="77777777" w:rsidR="00867DAB" w:rsidRPr="009110F7" w:rsidRDefault="00867DAB" w:rsidP="00867DAB">
          <w:pPr>
            <w:pStyle w:val="Obsah"/>
          </w:pPr>
          <w:r>
            <w:t>Obsah</w:t>
          </w:r>
        </w:p>
        <w:p w14:paraId="1FF5D1EE" w14:textId="2CA319D0" w:rsidR="00325BCB" w:rsidRDefault="00EF1967">
          <w:pPr>
            <w:pStyle w:val="Obsah1"/>
            <w:rPr>
              <w:rFonts w:asciiTheme="minorHAnsi" w:eastAsiaTheme="minorEastAsia" w:hAnsiTheme="minorHAnsi" w:cstheme="minorBidi"/>
              <w:noProof/>
              <w:sz w:val="22"/>
              <w:szCs w:val="22"/>
            </w:rPr>
          </w:pPr>
          <w:r>
            <w:fldChar w:fldCharType="begin"/>
          </w:r>
          <w:r w:rsidR="007D42E5">
            <w:instrText>TOC \o "1-3" \h \z \u</w:instrText>
          </w:r>
          <w:r>
            <w:fldChar w:fldCharType="separate"/>
          </w:r>
          <w:hyperlink w:anchor="_Toc169258113" w:history="1">
            <w:r w:rsidR="00325BCB" w:rsidRPr="00B04F9E">
              <w:rPr>
                <w:rStyle w:val="Hypertextovodkaz"/>
                <w:noProof/>
              </w:rPr>
              <w:t>1. Shrnutí</w:t>
            </w:r>
            <w:r w:rsidR="00325BCB">
              <w:rPr>
                <w:noProof/>
                <w:webHidden/>
              </w:rPr>
              <w:tab/>
            </w:r>
            <w:r w:rsidR="00325BCB">
              <w:rPr>
                <w:noProof/>
                <w:webHidden/>
              </w:rPr>
              <w:fldChar w:fldCharType="begin"/>
            </w:r>
            <w:r w:rsidR="00325BCB">
              <w:rPr>
                <w:noProof/>
                <w:webHidden/>
              </w:rPr>
              <w:instrText xml:space="preserve"> PAGEREF _Toc169258113 \h </w:instrText>
            </w:r>
            <w:r w:rsidR="00325BCB">
              <w:rPr>
                <w:noProof/>
                <w:webHidden/>
              </w:rPr>
            </w:r>
            <w:r w:rsidR="00325BCB">
              <w:rPr>
                <w:noProof/>
                <w:webHidden/>
              </w:rPr>
              <w:fldChar w:fldCharType="separate"/>
            </w:r>
            <w:r w:rsidR="00325BCB">
              <w:rPr>
                <w:noProof/>
                <w:webHidden/>
              </w:rPr>
              <w:t>4</w:t>
            </w:r>
            <w:r w:rsidR="00325BCB">
              <w:rPr>
                <w:noProof/>
                <w:webHidden/>
              </w:rPr>
              <w:fldChar w:fldCharType="end"/>
            </w:r>
          </w:hyperlink>
        </w:p>
        <w:p w14:paraId="34836DEE" w14:textId="51812D61" w:rsidR="00325BCB" w:rsidRDefault="00716508">
          <w:pPr>
            <w:pStyle w:val="Obsah1"/>
            <w:rPr>
              <w:rFonts w:asciiTheme="minorHAnsi" w:eastAsiaTheme="minorEastAsia" w:hAnsiTheme="minorHAnsi" w:cstheme="minorBidi"/>
              <w:noProof/>
              <w:sz w:val="22"/>
              <w:szCs w:val="22"/>
            </w:rPr>
          </w:pPr>
          <w:hyperlink w:anchor="_Toc169258114" w:history="1">
            <w:r w:rsidR="00325BCB" w:rsidRPr="00B04F9E">
              <w:rPr>
                <w:rStyle w:val="Hypertextovodkaz"/>
                <w:noProof/>
              </w:rPr>
              <w:t>2. Souhrnná výkonnost</w:t>
            </w:r>
            <w:r w:rsidR="00325BCB">
              <w:rPr>
                <w:noProof/>
                <w:webHidden/>
              </w:rPr>
              <w:tab/>
            </w:r>
            <w:r w:rsidR="00325BCB">
              <w:rPr>
                <w:noProof/>
                <w:webHidden/>
              </w:rPr>
              <w:fldChar w:fldCharType="begin"/>
            </w:r>
            <w:r w:rsidR="00325BCB">
              <w:rPr>
                <w:noProof/>
                <w:webHidden/>
              </w:rPr>
              <w:instrText xml:space="preserve"> PAGEREF _Toc169258114 \h </w:instrText>
            </w:r>
            <w:r w:rsidR="00325BCB">
              <w:rPr>
                <w:noProof/>
                <w:webHidden/>
              </w:rPr>
            </w:r>
            <w:r w:rsidR="00325BCB">
              <w:rPr>
                <w:noProof/>
                <w:webHidden/>
              </w:rPr>
              <w:fldChar w:fldCharType="separate"/>
            </w:r>
            <w:r w:rsidR="00325BCB">
              <w:rPr>
                <w:noProof/>
                <w:webHidden/>
              </w:rPr>
              <w:t>6</w:t>
            </w:r>
            <w:r w:rsidR="00325BCB">
              <w:rPr>
                <w:noProof/>
                <w:webHidden/>
              </w:rPr>
              <w:fldChar w:fldCharType="end"/>
            </w:r>
          </w:hyperlink>
        </w:p>
        <w:p w14:paraId="311D0E77" w14:textId="6977E512" w:rsidR="00325BCB" w:rsidRDefault="00716508">
          <w:pPr>
            <w:pStyle w:val="Obsah1"/>
            <w:rPr>
              <w:rFonts w:asciiTheme="minorHAnsi" w:eastAsiaTheme="minorEastAsia" w:hAnsiTheme="minorHAnsi" w:cstheme="minorBidi"/>
              <w:noProof/>
              <w:sz w:val="22"/>
              <w:szCs w:val="22"/>
            </w:rPr>
          </w:pPr>
          <w:hyperlink w:anchor="_Toc169258115" w:history="1">
            <w:r w:rsidR="00325BCB" w:rsidRPr="00B04F9E">
              <w:rPr>
                <w:rStyle w:val="Hypertextovodkaz"/>
                <w:noProof/>
              </w:rPr>
              <w:t>3. Výkonnost odvětví</w:t>
            </w:r>
            <w:r w:rsidR="00325BCB">
              <w:rPr>
                <w:noProof/>
                <w:webHidden/>
              </w:rPr>
              <w:tab/>
            </w:r>
            <w:r w:rsidR="00325BCB">
              <w:rPr>
                <w:noProof/>
                <w:webHidden/>
              </w:rPr>
              <w:fldChar w:fldCharType="begin"/>
            </w:r>
            <w:r w:rsidR="00325BCB">
              <w:rPr>
                <w:noProof/>
                <w:webHidden/>
              </w:rPr>
              <w:instrText xml:space="preserve"> PAGEREF _Toc169258115 \h </w:instrText>
            </w:r>
            <w:r w:rsidR="00325BCB">
              <w:rPr>
                <w:noProof/>
                <w:webHidden/>
              </w:rPr>
            </w:r>
            <w:r w:rsidR="00325BCB">
              <w:rPr>
                <w:noProof/>
                <w:webHidden/>
              </w:rPr>
              <w:fldChar w:fldCharType="separate"/>
            </w:r>
            <w:r w:rsidR="00325BCB">
              <w:rPr>
                <w:noProof/>
                <w:webHidden/>
              </w:rPr>
              <w:t>10</w:t>
            </w:r>
            <w:r w:rsidR="00325BCB">
              <w:rPr>
                <w:noProof/>
                <w:webHidden/>
              </w:rPr>
              <w:fldChar w:fldCharType="end"/>
            </w:r>
          </w:hyperlink>
        </w:p>
        <w:p w14:paraId="42C0BE40" w14:textId="4C84A960" w:rsidR="00325BCB" w:rsidRDefault="00716508">
          <w:pPr>
            <w:pStyle w:val="Obsah1"/>
            <w:rPr>
              <w:rFonts w:asciiTheme="minorHAnsi" w:eastAsiaTheme="minorEastAsia" w:hAnsiTheme="minorHAnsi" w:cstheme="minorBidi"/>
              <w:noProof/>
              <w:sz w:val="22"/>
              <w:szCs w:val="22"/>
            </w:rPr>
          </w:pPr>
          <w:hyperlink w:anchor="_Toc169258116" w:history="1">
            <w:r w:rsidR="00325BCB" w:rsidRPr="00B04F9E">
              <w:rPr>
                <w:rStyle w:val="Hypertextovodkaz"/>
                <w:noProof/>
              </w:rPr>
              <w:t>4. Vnější vztahy</w:t>
            </w:r>
            <w:r w:rsidR="00325BCB">
              <w:rPr>
                <w:noProof/>
                <w:webHidden/>
              </w:rPr>
              <w:tab/>
            </w:r>
            <w:r w:rsidR="00325BCB">
              <w:rPr>
                <w:noProof/>
                <w:webHidden/>
              </w:rPr>
              <w:fldChar w:fldCharType="begin"/>
            </w:r>
            <w:r w:rsidR="00325BCB">
              <w:rPr>
                <w:noProof/>
                <w:webHidden/>
              </w:rPr>
              <w:instrText xml:space="preserve"> PAGEREF _Toc169258116 \h </w:instrText>
            </w:r>
            <w:r w:rsidR="00325BCB">
              <w:rPr>
                <w:noProof/>
                <w:webHidden/>
              </w:rPr>
            </w:r>
            <w:r w:rsidR="00325BCB">
              <w:rPr>
                <w:noProof/>
                <w:webHidden/>
              </w:rPr>
              <w:fldChar w:fldCharType="separate"/>
            </w:r>
            <w:r w:rsidR="00325BCB">
              <w:rPr>
                <w:noProof/>
                <w:webHidden/>
              </w:rPr>
              <w:t>20</w:t>
            </w:r>
            <w:r w:rsidR="00325BCB">
              <w:rPr>
                <w:noProof/>
                <w:webHidden/>
              </w:rPr>
              <w:fldChar w:fldCharType="end"/>
            </w:r>
          </w:hyperlink>
        </w:p>
        <w:p w14:paraId="774F80FA" w14:textId="048E43A0" w:rsidR="00325BCB" w:rsidRDefault="00716508">
          <w:pPr>
            <w:pStyle w:val="Obsah1"/>
            <w:rPr>
              <w:rFonts w:asciiTheme="minorHAnsi" w:eastAsiaTheme="minorEastAsia" w:hAnsiTheme="minorHAnsi" w:cstheme="minorBidi"/>
              <w:noProof/>
              <w:sz w:val="22"/>
              <w:szCs w:val="22"/>
            </w:rPr>
          </w:pPr>
          <w:hyperlink w:anchor="_Toc169258117" w:history="1">
            <w:r w:rsidR="00325BCB" w:rsidRPr="00B04F9E">
              <w:rPr>
                <w:rStyle w:val="Hypertextovodkaz"/>
                <w:noProof/>
              </w:rPr>
              <w:t>5. Ceny</w:t>
            </w:r>
            <w:r w:rsidR="00325BCB">
              <w:rPr>
                <w:noProof/>
                <w:webHidden/>
              </w:rPr>
              <w:tab/>
            </w:r>
            <w:r w:rsidR="00325BCB">
              <w:rPr>
                <w:noProof/>
                <w:webHidden/>
              </w:rPr>
              <w:fldChar w:fldCharType="begin"/>
            </w:r>
            <w:r w:rsidR="00325BCB">
              <w:rPr>
                <w:noProof/>
                <w:webHidden/>
              </w:rPr>
              <w:instrText xml:space="preserve"> PAGEREF _Toc169258117 \h </w:instrText>
            </w:r>
            <w:r w:rsidR="00325BCB">
              <w:rPr>
                <w:noProof/>
                <w:webHidden/>
              </w:rPr>
            </w:r>
            <w:r w:rsidR="00325BCB">
              <w:rPr>
                <w:noProof/>
                <w:webHidden/>
              </w:rPr>
              <w:fldChar w:fldCharType="separate"/>
            </w:r>
            <w:r w:rsidR="00325BCB">
              <w:rPr>
                <w:noProof/>
                <w:webHidden/>
              </w:rPr>
              <w:t>24</w:t>
            </w:r>
            <w:r w:rsidR="00325BCB">
              <w:rPr>
                <w:noProof/>
                <w:webHidden/>
              </w:rPr>
              <w:fldChar w:fldCharType="end"/>
            </w:r>
          </w:hyperlink>
        </w:p>
        <w:p w14:paraId="4013EDF5" w14:textId="5618D910" w:rsidR="00325BCB" w:rsidRDefault="00716508">
          <w:pPr>
            <w:pStyle w:val="Obsah1"/>
            <w:rPr>
              <w:rFonts w:asciiTheme="minorHAnsi" w:eastAsiaTheme="minorEastAsia" w:hAnsiTheme="minorHAnsi" w:cstheme="minorBidi"/>
              <w:noProof/>
              <w:sz w:val="22"/>
              <w:szCs w:val="22"/>
            </w:rPr>
          </w:pPr>
          <w:hyperlink w:anchor="_Toc169258118" w:history="1">
            <w:r w:rsidR="00325BCB" w:rsidRPr="00B04F9E">
              <w:rPr>
                <w:rStyle w:val="Hypertextovodkaz"/>
                <w:noProof/>
              </w:rPr>
              <w:t>6. Trh práce</w:t>
            </w:r>
            <w:r w:rsidR="00325BCB">
              <w:rPr>
                <w:noProof/>
                <w:webHidden/>
              </w:rPr>
              <w:tab/>
            </w:r>
            <w:r w:rsidR="00325BCB">
              <w:rPr>
                <w:noProof/>
                <w:webHidden/>
              </w:rPr>
              <w:fldChar w:fldCharType="begin"/>
            </w:r>
            <w:r w:rsidR="00325BCB">
              <w:rPr>
                <w:noProof/>
                <w:webHidden/>
              </w:rPr>
              <w:instrText xml:space="preserve"> PAGEREF _Toc169258118 \h </w:instrText>
            </w:r>
            <w:r w:rsidR="00325BCB">
              <w:rPr>
                <w:noProof/>
                <w:webHidden/>
              </w:rPr>
            </w:r>
            <w:r w:rsidR="00325BCB">
              <w:rPr>
                <w:noProof/>
                <w:webHidden/>
              </w:rPr>
              <w:fldChar w:fldCharType="separate"/>
            </w:r>
            <w:r w:rsidR="00325BCB">
              <w:rPr>
                <w:noProof/>
                <w:webHidden/>
              </w:rPr>
              <w:t>30</w:t>
            </w:r>
            <w:r w:rsidR="00325BCB">
              <w:rPr>
                <w:noProof/>
                <w:webHidden/>
              </w:rPr>
              <w:fldChar w:fldCharType="end"/>
            </w:r>
          </w:hyperlink>
        </w:p>
        <w:p w14:paraId="579CA2A6" w14:textId="3A52B644" w:rsidR="00325BCB" w:rsidRDefault="00716508">
          <w:pPr>
            <w:pStyle w:val="Obsah1"/>
            <w:rPr>
              <w:rFonts w:asciiTheme="minorHAnsi" w:eastAsiaTheme="minorEastAsia" w:hAnsiTheme="minorHAnsi" w:cstheme="minorBidi"/>
              <w:noProof/>
              <w:sz w:val="22"/>
              <w:szCs w:val="22"/>
            </w:rPr>
          </w:pPr>
          <w:hyperlink w:anchor="_Toc169258119" w:history="1">
            <w:r w:rsidR="00325BCB" w:rsidRPr="00B04F9E">
              <w:rPr>
                <w:rStyle w:val="Hypertextovodkaz"/>
                <w:noProof/>
              </w:rPr>
              <w:t>7. Měnové podmínky</w:t>
            </w:r>
            <w:r w:rsidR="00325BCB">
              <w:rPr>
                <w:noProof/>
                <w:webHidden/>
              </w:rPr>
              <w:tab/>
            </w:r>
            <w:r w:rsidR="00325BCB">
              <w:rPr>
                <w:noProof/>
                <w:webHidden/>
              </w:rPr>
              <w:fldChar w:fldCharType="begin"/>
            </w:r>
            <w:r w:rsidR="00325BCB">
              <w:rPr>
                <w:noProof/>
                <w:webHidden/>
              </w:rPr>
              <w:instrText xml:space="preserve"> PAGEREF _Toc169258119 \h </w:instrText>
            </w:r>
            <w:r w:rsidR="00325BCB">
              <w:rPr>
                <w:noProof/>
                <w:webHidden/>
              </w:rPr>
            </w:r>
            <w:r w:rsidR="00325BCB">
              <w:rPr>
                <w:noProof/>
                <w:webHidden/>
              </w:rPr>
              <w:fldChar w:fldCharType="separate"/>
            </w:r>
            <w:r w:rsidR="00325BCB">
              <w:rPr>
                <w:noProof/>
                <w:webHidden/>
              </w:rPr>
              <w:t>36</w:t>
            </w:r>
            <w:r w:rsidR="00325BCB">
              <w:rPr>
                <w:noProof/>
                <w:webHidden/>
              </w:rPr>
              <w:fldChar w:fldCharType="end"/>
            </w:r>
          </w:hyperlink>
        </w:p>
        <w:p w14:paraId="2F18A18F" w14:textId="0AF9FE03" w:rsidR="00325BCB" w:rsidRDefault="00716508">
          <w:pPr>
            <w:pStyle w:val="Obsah1"/>
            <w:rPr>
              <w:rFonts w:asciiTheme="minorHAnsi" w:eastAsiaTheme="minorEastAsia" w:hAnsiTheme="minorHAnsi" w:cstheme="minorBidi"/>
              <w:noProof/>
              <w:sz w:val="22"/>
              <w:szCs w:val="22"/>
            </w:rPr>
          </w:pPr>
          <w:hyperlink w:anchor="_Toc169258120" w:history="1">
            <w:r w:rsidR="00325BCB" w:rsidRPr="00B04F9E">
              <w:rPr>
                <w:rStyle w:val="Hypertextovodkaz"/>
                <w:noProof/>
              </w:rPr>
              <w:t>8. Státní rozpočet</w:t>
            </w:r>
            <w:r w:rsidR="00325BCB">
              <w:rPr>
                <w:noProof/>
                <w:webHidden/>
              </w:rPr>
              <w:tab/>
            </w:r>
            <w:r w:rsidR="00325BCB">
              <w:rPr>
                <w:noProof/>
                <w:webHidden/>
              </w:rPr>
              <w:fldChar w:fldCharType="begin"/>
            </w:r>
            <w:r w:rsidR="00325BCB">
              <w:rPr>
                <w:noProof/>
                <w:webHidden/>
              </w:rPr>
              <w:instrText xml:space="preserve"> PAGEREF _Toc169258120 \h </w:instrText>
            </w:r>
            <w:r w:rsidR="00325BCB">
              <w:rPr>
                <w:noProof/>
                <w:webHidden/>
              </w:rPr>
            </w:r>
            <w:r w:rsidR="00325BCB">
              <w:rPr>
                <w:noProof/>
                <w:webHidden/>
              </w:rPr>
              <w:fldChar w:fldCharType="separate"/>
            </w:r>
            <w:r w:rsidR="00325BCB">
              <w:rPr>
                <w:noProof/>
                <w:webHidden/>
              </w:rPr>
              <w:t>38</w:t>
            </w:r>
            <w:r w:rsidR="00325BCB">
              <w:rPr>
                <w:noProof/>
                <w:webHidden/>
              </w:rPr>
              <w:fldChar w:fldCharType="end"/>
            </w:r>
          </w:hyperlink>
        </w:p>
        <w:p w14:paraId="1501AF99" w14:textId="1CD484C2" w:rsidR="00FD6667" w:rsidRDefault="00EF1967" w:rsidP="5E8D8646">
          <w:pPr>
            <w:pStyle w:val="Obsah1"/>
            <w:tabs>
              <w:tab w:val="clear" w:pos="9639"/>
              <w:tab w:val="right" w:leader="dot" w:pos="9630"/>
            </w:tabs>
            <w:rPr>
              <w:rStyle w:val="Hypertextovodkaz"/>
              <w:noProof/>
            </w:rPr>
          </w:pPr>
          <w:r>
            <w:fldChar w:fldCharType="end"/>
          </w:r>
        </w:p>
      </w:sdtContent>
    </w:sdt>
    <w:p w14:paraId="39BB97E5" w14:textId="72E58139" w:rsidR="00867DAB" w:rsidRPr="009110F7" w:rsidRDefault="00867DAB"/>
    <w:p w14:paraId="6CBF0906" w14:textId="77777777" w:rsidR="00003F5C" w:rsidRPr="009110F7" w:rsidRDefault="00003F5C" w:rsidP="00003F5C">
      <w:pPr>
        <w:pStyle w:val="Textpoznpodarou"/>
        <w:jc w:val="both"/>
        <w:rPr>
          <w:rFonts w:cs="Arial"/>
          <w:color w:val="000000"/>
        </w:rPr>
      </w:pPr>
    </w:p>
    <w:p w14:paraId="77CA2D67" w14:textId="77777777" w:rsidR="00003F5C" w:rsidRPr="009110F7" w:rsidRDefault="00003F5C" w:rsidP="00003F5C">
      <w:pPr>
        <w:pStyle w:val="Textpoznpodarou"/>
        <w:jc w:val="both"/>
        <w:rPr>
          <w:rFonts w:cs="Arial"/>
          <w:color w:val="000000"/>
        </w:rPr>
      </w:pPr>
    </w:p>
    <w:p w14:paraId="223CBCEF" w14:textId="77777777" w:rsidR="00003F5C" w:rsidRPr="009110F7" w:rsidRDefault="00003F5C" w:rsidP="00003F5C">
      <w:pPr>
        <w:pStyle w:val="Textpoznpodarou"/>
        <w:jc w:val="both"/>
        <w:rPr>
          <w:rFonts w:cs="Arial"/>
          <w:color w:val="000000"/>
        </w:rPr>
      </w:pPr>
    </w:p>
    <w:p w14:paraId="0F28E1B0" w14:textId="77777777" w:rsidR="00003F5C" w:rsidRPr="009110F7" w:rsidRDefault="00003F5C" w:rsidP="00003F5C">
      <w:pPr>
        <w:pStyle w:val="Textpoznpodarou"/>
        <w:jc w:val="both"/>
        <w:rPr>
          <w:rFonts w:cs="Arial"/>
          <w:color w:val="000000"/>
        </w:rPr>
      </w:pPr>
    </w:p>
    <w:p w14:paraId="2E66CDA4" w14:textId="77777777" w:rsidR="00003F5C" w:rsidRPr="009110F7" w:rsidRDefault="00003F5C" w:rsidP="00003F5C">
      <w:pPr>
        <w:pStyle w:val="Textpoznpodarou"/>
        <w:jc w:val="both"/>
        <w:rPr>
          <w:rFonts w:cs="Arial"/>
          <w:color w:val="000000"/>
        </w:rPr>
      </w:pPr>
    </w:p>
    <w:p w14:paraId="38EBE8F7" w14:textId="77777777" w:rsidR="00003F5C" w:rsidRPr="009110F7" w:rsidRDefault="00003F5C" w:rsidP="00003F5C">
      <w:pPr>
        <w:pStyle w:val="Textpoznpodarou"/>
        <w:jc w:val="both"/>
        <w:rPr>
          <w:rFonts w:cs="Arial"/>
          <w:color w:val="000000"/>
        </w:rPr>
      </w:pPr>
    </w:p>
    <w:p w14:paraId="4D552425" w14:textId="6F4027CD" w:rsidR="00003F5C" w:rsidRPr="009110F7" w:rsidRDefault="00ED0F73" w:rsidP="00003F5C">
      <w:pPr>
        <w:pStyle w:val="Textpoznpodarou"/>
        <w:jc w:val="both"/>
        <w:rPr>
          <w:rFonts w:cs="Arial"/>
          <w:color w:val="000000"/>
        </w:rPr>
      </w:pPr>
      <w:r>
        <w:rPr>
          <w:rFonts w:cs="Arial"/>
          <w:color w:val="000000"/>
        </w:rPr>
        <w:t>Hlavní z</w:t>
      </w:r>
      <w:r w:rsidR="00003F5C" w:rsidRPr="009110F7">
        <w:rPr>
          <w:rFonts w:cs="Arial"/>
          <w:color w:val="000000"/>
        </w:rPr>
        <w:t>droje dat v celé analýze: ČSÚ, MF</w:t>
      </w:r>
      <w:r w:rsidR="00A45489" w:rsidRPr="009110F7">
        <w:rPr>
          <w:rFonts w:cs="Arial"/>
          <w:color w:val="000000"/>
        </w:rPr>
        <w:t> </w:t>
      </w:r>
      <w:r w:rsidR="00003F5C" w:rsidRPr="009110F7">
        <w:rPr>
          <w:rFonts w:cs="Arial"/>
          <w:color w:val="000000"/>
        </w:rPr>
        <w:t>ČR, ČNB, MPSV, ČSSZ, Eurostat, propočty ČSÚ.</w:t>
      </w:r>
    </w:p>
    <w:p w14:paraId="5658862B" w14:textId="01AB6028" w:rsidR="00003F5C" w:rsidRDefault="00003F5C" w:rsidP="00003F5C">
      <w:pPr>
        <w:pStyle w:val="Textpoznpodarou"/>
        <w:jc w:val="both"/>
        <w:rPr>
          <w:rFonts w:cs="Arial"/>
          <w:color w:val="000000"/>
        </w:rPr>
      </w:pPr>
      <w:r w:rsidRPr="009110F7">
        <w:rPr>
          <w:rFonts w:cs="Arial"/>
          <w:color w:val="000000"/>
        </w:rPr>
        <w:t xml:space="preserve">Poslední informace uváděné v této publikaci </w:t>
      </w:r>
      <w:r w:rsidR="00F57A76" w:rsidRPr="009110F7">
        <w:rPr>
          <w:rFonts w:cs="Arial"/>
          <w:color w:val="000000"/>
        </w:rPr>
        <w:t>pocházejí z</w:t>
      </w:r>
      <w:r w:rsidR="00D23A99">
        <w:rPr>
          <w:rFonts w:cs="Arial"/>
          <w:color w:val="000000"/>
        </w:rPr>
        <w:t xml:space="preserve"> </w:t>
      </w:r>
      <w:r w:rsidR="0072294F">
        <w:rPr>
          <w:rFonts w:cs="Arial"/>
          <w:color w:val="000000"/>
        </w:rPr>
        <w:t>6</w:t>
      </w:r>
      <w:r w:rsidR="00D23A99">
        <w:rPr>
          <w:rFonts w:cs="Arial"/>
          <w:color w:val="000000"/>
        </w:rPr>
        <w:t xml:space="preserve">. </w:t>
      </w:r>
      <w:r w:rsidR="0072294F">
        <w:rPr>
          <w:rFonts w:cs="Arial"/>
          <w:color w:val="000000"/>
        </w:rPr>
        <w:t>června</w:t>
      </w:r>
      <w:r w:rsidR="00D23A99">
        <w:rPr>
          <w:rFonts w:cs="Arial"/>
          <w:color w:val="000000"/>
        </w:rPr>
        <w:t xml:space="preserve"> 202</w:t>
      </w:r>
      <w:r w:rsidR="00626B8F">
        <w:rPr>
          <w:rFonts w:cs="Arial"/>
          <w:color w:val="000000"/>
        </w:rPr>
        <w:t>4</w:t>
      </w:r>
      <w:r w:rsidRPr="009110F7">
        <w:rPr>
          <w:rFonts w:cs="Arial"/>
          <w:color w:val="000000"/>
        </w:rPr>
        <w:t>.</w:t>
      </w:r>
    </w:p>
    <w:p w14:paraId="1D1FFA96" w14:textId="77777777" w:rsidR="002F1D56" w:rsidRDefault="002F1D56" w:rsidP="00003F5C">
      <w:pPr>
        <w:pStyle w:val="Textpoznpodarou"/>
        <w:jc w:val="both"/>
        <w:rPr>
          <w:rFonts w:cs="Arial"/>
          <w:color w:val="000000"/>
        </w:rPr>
      </w:pPr>
    </w:p>
    <w:p w14:paraId="6EDD1399" w14:textId="77777777" w:rsidR="002F1D56" w:rsidRPr="002F1D56" w:rsidRDefault="002F1D56" w:rsidP="00003F5C">
      <w:pPr>
        <w:pStyle w:val="Textpoznpodarou"/>
        <w:jc w:val="both"/>
        <w:rPr>
          <w:rFonts w:cs="Arial"/>
        </w:rPr>
      </w:pPr>
    </w:p>
    <w:p w14:paraId="7CD2B948" w14:textId="77777777" w:rsidR="001777BA" w:rsidRPr="00AF7277" w:rsidRDefault="00087F2B" w:rsidP="001777BA">
      <w:pPr>
        <w:pStyle w:val="Nadpis1"/>
      </w:pPr>
      <w:r w:rsidRPr="002F1D56">
        <w:rPr>
          <w:color w:val="auto"/>
        </w:rPr>
        <w:br w:type="page"/>
      </w:r>
      <w:bookmarkStart w:id="0" w:name="_Toc97736114"/>
      <w:bookmarkStart w:id="1" w:name="_Toc444112494"/>
      <w:bookmarkStart w:id="2" w:name="_Toc511215208"/>
      <w:bookmarkStart w:id="3" w:name="_Toc26865017"/>
      <w:bookmarkStart w:id="4" w:name="_Toc74643854"/>
      <w:bookmarkStart w:id="5" w:name="_Toc66719928"/>
      <w:bookmarkStart w:id="6" w:name="_Toc19090676"/>
      <w:bookmarkStart w:id="7" w:name="_Toc58605372"/>
    </w:p>
    <w:p w14:paraId="5C510113" w14:textId="77777777" w:rsidR="004F6E12" w:rsidRDefault="004F6E12" w:rsidP="004F6E12">
      <w:pPr>
        <w:pStyle w:val="Nadpis1"/>
      </w:pPr>
      <w:bookmarkStart w:id="8" w:name="_Toc169258113"/>
      <w:bookmarkStart w:id="9" w:name="_Toc114134045"/>
      <w:bookmarkStart w:id="10" w:name="_Toc58605374"/>
      <w:bookmarkStart w:id="11" w:name="_Toc66719930"/>
      <w:bookmarkStart w:id="12" w:name="_Toc532558287"/>
      <w:bookmarkStart w:id="13" w:name="_Toc58605375"/>
      <w:bookmarkStart w:id="14" w:name="_Toc82508186"/>
      <w:bookmarkStart w:id="15" w:name="_Toc114134047"/>
      <w:bookmarkStart w:id="16" w:name="_Toc114134048"/>
      <w:bookmarkStart w:id="17" w:name="_Toc97736119"/>
      <w:bookmarkStart w:id="18" w:name="_Toc74643859"/>
      <w:bookmarkStart w:id="19" w:name="_Toc90395915"/>
      <w:bookmarkStart w:id="20" w:name="_Toc98245446"/>
      <w:bookmarkStart w:id="21" w:name="_Toc74643860"/>
      <w:bookmarkEnd w:id="0"/>
      <w:bookmarkEnd w:id="1"/>
      <w:bookmarkEnd w:id="2"/>
      <w:bookmarkEnd w:id="3"/>
      <w:bookmarkEnd w:id="4"/>
      <w:bookmarkEnd w:id="5"/>
      <w:bookmarkEnd w:id="6"/>
      <w:bookmarkEnd w:id="7"/>
      <w:r>
        <w:lastRenderedPageBreak/>
        <w:t>1. Shrnutí</w:t>
      </w:r>
      <w:bookmarkEnd w:id="8"/>
    </w:p>
    <w:p w14:paraId="2AA323AD" w14:textId="77777777" w:rsidR="004F6E12" w:rsidRDefault="004F6E12" w:rsidP="004F6E12">
      <w:pPr>
        <w:pStyle w:val="Normalodrka"/>
        <w:numPr>
          <w:ilvl w:val="0"/>
          <w:numId w:val="3"/>
        </w:numPr>
        <w:ind w:left="357" w:hanging="357"/>
        <w:rPr>
          <w:spacing w:val="-4"/>
        </w:rPr>
      </w:pPr>
      <w:r>
        <w:rPr>
          <w:spacing w:val="-4"/>
        </w:rPr>
        <w:t>Hrubý domácí produkt (HDP) v 1. čtvrtletí 2024 rostl mezičtvrtletně o 0,3 %</w:t>
      </w:r>
      <w:r>
        <w:rPr>
          <w:rStyle w:val="Znakapoznpodarou"/>
          <w:spacing w:val="-4"/>
        </w:rPr>
        <w:footnoteReference w:id="1"/>
      </w:r>
      <w:r>
        <w:rPr>
          <w:spacing w:val="-4"/>
        </w:rPr>
        <w:t>. Pokračovalo mezičtvrtletní oživení domácí spotřeby a na růst HDP pozitivně působila i změna zásob. Oproti tomu investiční aktivita mezičtvrtletně klesala a růst HDP brzdila i zahraniční poptávka. Meziročně byl HDP vyšší o 0,2 %. Vyšší byla domácí spotřeba a zahraniční poptávka. Klesaly investice a meziročně negativně působila změna zásob.</w:t>
      </w:r>
      <w:r>
        <w:rPr>
          <w:spacing w:val="-2"/>
        </w:rPr>
        <w:t xml:space="preserve"> </w:t>
      </w:r>
      <w:r>
        <w:rPr>
          <w:spacing w:val="-4"/>
        </w:rPr>
        <w:t>Hrubý domácí produkt v EU v 1. čtvrtletí meziročně rostl o 0,4 % a mezičtvrtletně o 0,3 %. V rámci středoevropského regionu se pozitivně vyvíjely ekonomiky Slovenska a Polska, zatímco Německo a Rakousko patřily mezi nemnohé ekonomiky, kde HDP meziročně zaostával.</w:t>
      </w:r>
    </w:p>
    <w:p w14:paraId="4F9C5B4B" w14:textId="77777777" w:rsidR="004F6E12" w:rsidRDefault="004F6E12" w:rsidP="004F6E12">
      <w:pPr>
        <w:pStyle w:val="Normalodrka"/>
        <w:numPr>
          <w:ilvl w:val="0"/>
          <w:numId w:val="3"/>
        </w:numPr>
        <w:ind w:left="357" w:hanging="357"/>
      </w:pPr>
      <w:r>
        <w:t>Hrubá přidaná hodnota (HPH) v 1. čtvrtletí meziročně klesla o 0,7 %. Klesala odvětví napříč celou ekonomikou s výjimkou peněžnictví a pojišťovnictví a stagnujících činností v oblasti nemovitostí. K výraznému meziročnímu propadu došlo ve stavebnictví a nižší byla také HPH v průmyslu. Oproti předchozímu kvartálu se hrubá přidaná hodnota v 1. čtvrtletí snížila o 0,1 %. Mezičtvrtletně nižší byla HPH v celém průmyslu a klesalo i stavebnictví. V rámci služeb se mezičtvrtletně snížila nejvíce HPH v činnostech v oblasti nemovitostí a naopak výrazné oživení bylo zaznamenáno v uskupení obchod, doprava, ubytování a pohostinství, ve veřejné správě a obraně, vzdělávání, zdravotní a sociální péči a v peněžnictví a pojišťovnictví.</w:t>
      </w:r>
    </w:p>
    <w:p w14:paraId="3C6735F8" w14:textId="77777777" w:rsidR="004F6E12" w:rsidRDefault="004F6E12" w:rsidP="004F6E12">
      <w:pPr>
        <w:pStyle w:val="Normalodrka"/>
        <w:numPr>
          <w:ilvl w:val="0"/>
          <w:numId w:val="3"/>
        </w:numPr>
        <w:ind w:left="357" w:hanging="357"/>
      </w:pPr>
      <w:r>
        <w:t>Vývoz zboží a služeb v 1. čtvrtletí 2024 reálně meziročně vzrostl o 2,5 %</w:t>
      </w:r>
      <w:r>
        <w:rPr>
          <w:rStyle w:val="Znakapoznpodarou"/>
          <w:spacing w:val="-4"/>
        </w:rPr>
        <w:footnoteReference w:id="2"/>
      </w:r>
      <w:r>
        <w:t xml:space="preserve"> a dovoz klesl o 1,1 %. Bilance zahraničního obchodu se zbožím a službami v běžných cenách v 1. čtvrtletí celkově dosáhla přebytku 131,6 mld. korun a ten se tak meziročně zvýšil o 69,0 mld., zejména vlivem zvýšení přebytku obchodu se zbožím. K tomuto zlepšení nejvíce přispěl obchod s elektrickými zařízeními těsně následovaný motorovými vozidly a dále různé dovážené suroviny, u kterých se v posledních letech nejprve prudce zvýšily ceny, a nyní naopak zlevňují. Bilance se naopak zhoršila u obchodu s elektřinou, plynem, párou a klimatizovaným vzduchem a koksem a rafinovanými ropnými produkty.</w:t>
      </w:r>
      <w:r>
        <w:rPr>
          <w:spacing w:val="-4"/>
        </w:rPr>
        <w:t xml:space="preserve"> </w:t>
      </w:r>
    </w:p>
    <w:p w14:paraId="5E8E503F" w14:textId="77777777" w:rsidR="004F6E12" w:rsidRDefault="004F6E12" w:rsidP="004F6E12">
      <w:pPr>
        <w:pStyle w:val="Normalodrka"/>
        <w:numPr>
          <w:ilvl w:val="0"/>
          <w:numId w:val="3"/>
        </w:numPr>
        <w:ind w:left="357" w:hanging="357"/>
        <w:rPr>
          <w:spacing w:val="-4"/>
        </w:rPr>
      </w:pPr>
      <w:r>
        <w:rPr>
          <w:spacing w:val="-4"/>
        </w:rPr>
        <w:t xml:space="preserve">Celková cenová hladina (podle deflátoru HDP) v 1. čtvrtletí meziročně vzrostla o 3,7 % a mezičtvrtletně se zvýšila o 1,6 %. Spotřebitelské ceny v 1. čtvrtletí byly meziročně vyšší o 2,1 % a mezičtvrtletně vzrostly o 1,4 %. </w:t>
      </w:r>
      <w:r>
        <w:t>Zpomalení meziročního přírůstku spotřebitelských cen ovlivnil především vývoj cen bydlení a energií a potravin.</w:t>
      </w:r>
      <w:r>
        <w:rPr>
          <w:lang w:eastAsia="en-US"/>
        </w:rPr>
        <w:t xml:space="preserve"> Zmírnění meziroční dynamiky ve zbytku spotřebního koše nebylo tak výrazné. Ceny průmyslových výrobců v 1. čtvrtletí mezičtvrtletně vzrostly o 2,3 %, ale meziročně klesly o 0,9 %, poprvé od 3. čtvrtletí 2020.</w:t>
      </w:r>
      <w:r>
        <w:t xml:space="preserve"> V hlubokém poklesu setrvávaly ceny zemědělských výrobců. </w:t>
      </w:r>
    </w:p>
    <w:p w14:paraId="14A962F9" w14:textId="77777777" w:rsidR="004F6E12" w:rsidRDefault="004F6E12" w:rsidP="004F6E12">
      <w:pPr>
        <w:pStyle w:val="Normalodrka"/>
        <w:numPr>
          <w:ilvl w:val="0"/>
          <w:numId w:val="3"/>
        </w:numPr>
        <w:ind w:left="357" w:hanging="357"/>
      </w:pPr>
      <w:r>
        <w:t>V 1. čtvrtletí byly dál snižovány základní měnověpolitické úrokové sazby. Spolu s nimi klesaly úrokové sazby u většiny druhů klientských vkladů. Patrné bylo také snížení úrokových sazeb spotřebních a hypotečních úvěrů i úvěrů pro podniky.</w:t>
      </w:r>
    </w:p>
    <w:p w14:paraId="41469504" w14:textId="77777777" w:rsidR="004F6E12" w:rsidRDefault="004F6E12" w:rsidP="004F6E12">
      <w:pPr>
        <w:pStyle w:val="Normalodrka"/>
        <w:numPr>
          <w:ilvl w:val="0"/>
          <w:numId w:val="3"/>
        </w:numPr>
        <w:ind w:left="357" w:hanging="357"/>
      </w:pPr>
      <w:r>
        <w:t>Celková zaměstnanost</w:t>
      </w:r>
      <w:r>
        <w:rPr>
          <w:rStyle w:val="Znakapoznpodarou"/>
        </w:rPr>
        <w:footnoteReference w:id="3"/>
      </w:r>
      <w:r>
        <w:t xml:space="preserve"> v 1. čtvrtletí byla meziročně vyšší o 0,3 %, zatímco mezičtvrtletně se nezměnila.  Celková míra nezaměstnanosti od počátku roku kolísá okolo hranice 3 %. Průměrná hrubá měsíční nominální mzda v 1. čtvrtletí meziročně vzrostla o 7,0 % a dosáhla 43 941 korun. Reálně průměrná mzda vzrostla o 4,8 %. Mezičtvrtletní nominální navýšení průměrné mzdy činilo 1,7 %.</w:t>
      </w:r>
    </w:p>
    <w:p w14:paraId="4BCF9AE3" w14:textId="0F1FB07F" w:rsidR="004F6E12" w:rsidRDefault="004F6E12" w:rsidP="00716508">
      <w:pPr>
        <w:pStyle w:val="Normalodrka"/>
        <w:numPr>
          <w:ilvl w:val="0"/>
          <w:numId w:val="3"/>
        </w:numPr>
        <w:ind w:left="357" w:hanging="357"/>
      </w:pPr>
      <w:r>
        <w:t>Schodek hospodaření státního rozpočtu na konci 1. čtvrtletí 2024 dosáhl 105 mld. korun. Deficit byl meziročně o třetinu nižší. Výdaje se meziročně snížily o 2,6 %, což souvisí s odezníváním potřeby mimořádných výdajů domácnostem i firmám zasažených dopady vysoké inflace. Celkové příjmy se meziročně zvýšily o 11,6 % a projevilo se na tom daňové inkaso ovlivněné vyššími příjmy z povinného pojistného, posílením výběru spotřebních daní souvisejícím se zotavující se spotřebou domácností i</w:t>
      </w:r>
      <w:bookmarkStart w:id="22" w:name="_GoBack"/>
      <w:bookmarkEnd w:id="22"/>
      <w:r>
        <w:t>legislativními změnami (konsolidační balíček, změna rozpočtového určení daní).</w:t>
      </w:r>
    </w:p>
    <w:p w14:paraId="49F701EE" w14:textId="77777777" w:rsidR="00B97F3A" w:rsidRPr="00BB286B" w:rsidRDefault="00B97F3A" w:rsidP="00B97F3A">
      <w:pPr>
        <w:pStyle w:val="Normalodrka"/>
        <w:numPr>
          <w:ilvl w:val="0"/>
          <w:numId w:val="0"/>
        </w:numPr>
        <w:spacing w:after="0"/>
        <w:rPr>
          <w:b/>
          <w:sz w:val="2"/>
          <w:szCs w:val="2"/>
          <w:highlight w:val="yellow"/>
        </w:rPr>
      </w:pPr>
    </w:p>
    <w:p w14:paraId="3150E3D3" w14:textId="3BB298D5" w:rsidR="00BC223A" w:rsidRPr="00783810" w:rsidRDefault="00FA1CA9" w:rsidP="00783810">
      <w:pPr>
        <w:pStyle w:val="Normalodrka"/>
        <w:numPr>
          <w:ilvl w:val="0"/>
          <w:numId w:val="0"/>
        </w:numPr>
        <w:spacing w:after="0"/>
        <w:jc w:val="center"/>
        <w:rPr>
          <w:spacing w:val="-4"/>
        </w:rPr>
      </w:pPr>
      <w:r w:rsidRPr="00FA1CA9">
        <w:rPr>
          <w:noProof/>
        </w:rPr>
        <w:lastRenderedPageBreak/>
        <w:drawing>
          <wp:inline distT="0" distB="0" distL="0" distR="0" wp14:anchorId="6AF106BE" wp14:editId="16C58008">
            <wp:extent cx="5860415" cy="8865870"/>
            <wp:effectExtent l="0" t="0" r="698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0415" cy="8865870"/>
                    </a:xfrm>
                    <a:prstGeom prst="rect">
                      <a:avLst/>
                    </a:prstGeom>
                    <a:noFill/>
                    <a:ln>
                      <a:noFill/>
                    </a:ln>
                  </pic:spPr>
                </pic:pic>
              </a:graphicData>
            </a:graphic>
          </wp:inline>
        </w:drawing>
      </w:r>
    </w:p>
    <w:p w14:paraId="35EA198A" w14:textId="56BFF104" w:rsidR="00993ECA" w:rsidRPr="00BB286B" w:rsidRDefault="00993ECA" w:rsidP="00993ECA">
      <w:pPr>
        <w:pStyle w:val="Normalodrka"/>
        <w:numPr>
          <w:ilvl w:val="0"/>
          <w:numId w:val="0"/>
        </w:numPr>
        <w:spacing w:after="0"/>
        <w:rPr>
          <w:b/>
          <w:sz w:val="2"/>
          <w:szCs w:val="2"/>
          <w:highlight w:val="yellow"/>
        </w:rPr>
      </w:pPr>
    </w:p>
    <w:p w14:paraId="7A17FD41" w14:textId="77777777" w:rsidR="00BF40A9" w:rsidRPr="009110F7" w:rsidRDefault="00BF40A9" w:rsidP="00BF40A9">
      <w:pPr>
        <w:pStyle w:val="Nadpis1"/>
      </w:pPr>
      <w:bookmarkStart w:id="23" w:name="_Toc145318531"/>
      <w:bookmarkStart w:id="24" w:name="_Toc153531174"/>
      <w:bookmarkStart w:id="25" w:name="_Toc169258114"/>
      <w:bookmarkStart w:id="26" w:name="_Toc137233026"/>
      <w:bookmarkStart w:id="27" w:name="_Toc130286019"/>
      <w:bookmarkStart w:id="28" w:name="_Toc114134050"/>
      <w:bookmarkStart w:id="29" w:name="_Toc145318534"/>
      <w:bookmarkStart w:id="30" w:name="_Toc121993822"/>
      <w:bookmarkEnd w:id="9"/>
      <w:bookmarkEnd w:id="10"/>
      <w:bookmarkEnd w:id="11"/>
      <w:bookmarkEnd w:id="12"/>
      <w:bookmarkEnd w:id="13"/>
      <w:bookmarkEnd w:id="14"/>
      <w:bookmarkEnd w:id="15"/>
      <w:bookmarkEnd w:id="16"/>
      <w:bookmarkEnd w:id="17"/>
      <w:bookmarkEnd w:id="18"/>
      <w:bookmarkEnd w:id="19"/>
      <w:bookmarkEnd w:id="20"/>
      <w:bookmarkEnd w:id="21"/>
      <w:r>
        <w:lastRenderedPageBreak/>
        <w:t>2. Souhrnná výkonnost</w:t>
      </w:r>
      <w:bookmarkEnd w:id="23"/>
      <w:bookmarkEnd w:id="24"/>
      <w:bookmarkEnd w:id="25"/>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BF40A9" w:rsidRPr="009110F7" w14:paraId="2D62A0C8" w14:textId="77777777" w:rsidTr="4475CE70">
        <w:trPr>
          <w:trHeight w:val="145"/>
        </w:trPr>
        <w:tc>
          <w:tcPr>
            <w:tcW w:w="1806" w:type="dxa"/>
            <w:shd w:val="clear" w:color="auto" w:fill="auto"/>
            <w:tcMar>
              <w:left w:w="0" w:type="dxa"/>
            </w:tcMar>
          </w:tcPr>
          <w:p w14:paraId="055BAF70" w14:textId="77777777" w:rsidR="00BF40A9" w:rsidRDefault="00BF40A9" w:rsidP="00492026">
            <w:pPr>
              <w:pStyle w:val="Marginlie"/>
            </w:pPr>
            <w:r>
              <w:t xml:space="preserve">Česká ekonomika </w:t>
            </w:r>
            <w:r>
              <w:br/>
              <w:t>v 1. čtvrtletí rostla.</w:t>
            </w:r>
          </w:p>
        </w:tc>
        <w:tc>
          <w:tcPr>
            <w:tcW w:w="223" w:type="dxa"/>
            <w:shd w:val="clear" w:color="auto" w:fill="auto"/>
            <w:tcMar>
              <w:left w:w="0" w:type="dxa"/>
            </w:tcMar>
          </w:tcPr>
          <w:p w14:paraId="296602E0" w14:textId="77777777" w:rsidR="00BF40A9" w:rsidRDefault="00BF40A9" w:rsidP="00492026">
            <w:pPr>
              <w:pStyle w:val="Textpoznpodarou"/>
              <w:jc w:val="both"/>
              <w:rPr>
                <w:spacing w:val="-4"/>
              </w:rPr>
            </w:pPr>
          </w:p>
        </w:tc>
        <w:tc>
          <w:tcPr>
            <w:tcW w:w="7610" w:type="dxa"/>
            <w:shd w:val="clear" w:color="auto" w:fill="auto"/>
            <w:tcMar>
              <w:left w:w="0" w:type="dxa"/>
            </w:tcMar>
          </w:tcPr>
          <w:p w14:paraId="49892524" w14:textId="77777777" w:rsidR="00BF40A9" w:rsidRPr="00014ED0" w:rsidRDefault="00BF40A9" w:rsidP="00492026">
            <w:pPr>
              <w:rPr>
                <w:spacing w:val="-2"/>
              </w:rPr>
            </w:pPr>
            <w:r>
              <w:rPr>
                <w:spacing w:val="-2"/>
              </w:rPr>
              <w:t>Růst české ekonomiky v 1. čtvrtletí roku 2024 zůstával na poměrně nízké úrovni. Meziroční přírůstek hrubého domácího produktu (HDP) dosáhl v 1. čtvrtletí 0,2 % a mezičtvrtletně HDP vzrostl o 0,3 %</w:t>
            </w:r>
            <w:r w:rsidRPr="00014ED0">
              <w:rPr>
                <w:rStyle w:val="Znakapoznpodarou"/>
                <w:rFonts w:cs="Arial"/>
                <w:spacing w:val="-2"/>
              </w:rPr>
              <w:footnoteReference w:id="4"/>
            </w:r>
            <w:r>
              <w:rPr>
                <w:spacing w:val="-2"/>
              </w:rPr>
              <w:t xml:space="preserve">. Reálné zvýšení domácí spotřeby a zahraniční poptávky podpořilo růst v případě meziročního vývoje HDP. Proti tomu ale silně působily kapitálové výdaje – klesaly investice a negativní vliv měla i změna zásob. Mírnému mezičtvrtletnímu přírůstku HDP napomohlo další oživení domácí spotřeby a změna zásob. Naopak poměrně hluboce mezičtvrtletně klesla investiční aktivita a růst HDP brzdila i zahraniční poptávka.    </w:t>
            </w:r>
          </w:p>
        </w:tc>
      </w:tr>
      <w:tr w:rsidR="00BF40A9" w:rsidRPr="009110F7" w14:paraId="22A38A05" w14:textId="77777777" w:rsidTr="4475CE70">
        <w:trPr>
          <w:trHeight w:val="170"/>
        </w:trPr>
        <w:tc>
          <w:tcPr>
            <w:tcW w:w="1806" w:type="dxa"/>
            <w:vMerge w:val="restart"/>
            <w:shd w:val="clear" w:color="auto" w:fill="auto"/>
            <w:tcMar>
              <w:left w:w="0" w:type="dxa"/>
            </w:tcMar>
          </w:tcPr>
          <w:p w14:paraId="3BBEF62B" w14:textId="77777777" w:rsidR="00BF40A9" w:rsidRDefault="00BF40A9" w:rsidP="00492026">
            <w:pPr>
              <w:pStyle w:val="Marginlie"/>
            </w:pPr>
          </w:p>
        </w:tc>
        <w:tc>
          <w:tcPr>
            <w:tcW w:w="223" w:type="dxa"/>
            <w:vMerge w:val="restart"/>
            <w:shd w:val="clear" w:color="auto" w:fill="auto"/>
            <w:tcMar>
              <w:left w:w="0" w:type="dxa"/>
            </w:tcMar>
          </w:tcPr>
          <w:p w14:paraId="27F69D79" w14:textId="77777777" w:rsidR="00BF40A9" w:rsidRDefault="00BF40A9" w:rsidP="00492026">
            <w:pPr>
              <w:pStyle w:val="Textpoznpodarou"/>
              <w:jc w:val="both"/>
              <w:rPr>
                <w:spacing w:val="-4"/>
              </w:rPr>
            </w:pPr>
          </w:p>
        </w:tc>
        <w:tc>
          <w:tcPr>
            <w:tcW w:w="7610" w:type="dxa"/>
            <w:shd w:val="clear" w:color="auto" w:fill="auto"/>
            <w:tcMar>
              <w:left w:w="0" w:type="dxa"/>
            </w:tcMar>
          </w:tcPr>
          <w:p w14:paraId="3B03FA3B" w14:textId="77777777" w:rsidR="00BF40A9" w:rsidRPr="00D721B4" w:rsidRDefault="00BF40A9" w:rsidP="00492026">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 %)</w:t>
            </w:r>
          </w:p>
        </w:tc>
      </w:tr>
      <w:tr w:rsidR="00BF40A9" w:rsidRPr="009110F7" w14:paraId="21F23BEE" w14:textId="77777777" w:rsidTr="4475CE70">
        <w:tblPrEx>
          <w:tblCellMar>
            <w:left w:w="70" w:type="dxa"/>
            <w:right w:w="70" w:type="dxa"/>
          </w:tblCellMar>
        </w:tblPrEx>
        <w:trPr>
          <w:trHeight w:val="170"/>
        </w:trPr>
        <w:tc>
          <w:tcPr>
            <w:tcW w:w="1806" w:type="dxa"/>
            <w:vMerge/>
          </w:tcPr>
          <w:p w14:paraId="76F29A76" w14:textId="77777777" w:rsidR="00BF40A9" w:rsidRPr="009110F7" w:rsidRDefault="00BF40A9" w:rsidP="00492026">
            <w:pPr>
              <w:pStyle w:val="Marginlie"/>
            </w:pPr>
          </w:p>
        </w:tc>
        <w:tc>
          <w:tcPr>
            <w:tcW w:w="223" w:type="dxa"/>
            <w:vMerge/>
          </w:tcPr>
          <w:p w14:paraId="541C86FE" w14:textId="77777777" w:rsidR="00BF40A9" w:rsidRPr="009110F7" w:rsidRDefault="00BF40A9" w:rsidP="00492026">
            <w:pPr>
              <w:pStyle w:val="Textpoznpodarou"/>
              <w:jc w:val="both"/>
              <w:rPr>
                <w:spacing w:val="-4"/>
              </w:rPr>
            </w:pPr>
          </w:p>
        </w:tc>
        <w:tc>
          <w:tcPr>
            <w:tcW w:w="7610" w:type="dxa"/>
            <w:shd w:val="clear" w:color="auto" w:fill="auto"/>
          </w:tcPr>
          <w:p w14:paraId="6573AE4A" w14:textId="77777777" w:rsidR="00BF40A9" w:rsidRPr="009110F7" w:rsidRDefault="00BF40A9" w:rsidP="00492026">
            <w:pPr>
              <w:spacing w:after="0"/>
            </w:pPr>
            <w:r>
              <w:rPr>
                <w:noProof/>
              </w:rPr>
              <w:drawing>
                <wp:inline distT="0" distB="0" distL="0" distR="0" wp14:anchorId="1FDB17E9" wp14:editId="3330F6F3">
                  <wp:extent cx="4737600" cy="3553200"/>
                  <wp:effectExtent l="0" t="0" r="6350" b="0"/>
                  <wp:docPr id="20" name="Graf 20">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BF40A9" w:rsidRPr="009110F7" w14:paraId="24087029" w14:textId="77777777" w:rsidTr="4475CE70">
        <w:trPr>
          <w:trHeight w:val="170"/>
        </w:trPr>
        <w:tc>
          <w:tcPr>
            <w:tcW w:w="1806" w:type="dxa"/>
            <w:vMerge/>
            <w:tcMar>
              <w:left w:w="0" w:type="dxa"/>
            </w:tcMar>
          </w:tcPr>
          <w:p w14:paraId="64F1D447" w14:textId="77777777" w:rsidR="00BF40A9" w:rsidRPr="009110F7" w:rsidRDefault="00BF40A9" w:rsidP="00492026">
            <w:pPr>
              <w:pStyle w:val="Marginlie"/>
            </w:pPr>
          </w:p>
        </w:tc>
        <w:tc>
          <w:tcPr>
            <w:tcW w:w="223" w:type="dxa"/>
            <w:vMerge/>
            <w:tcMar>
              <w:left w:w="0" w:type="dxa"/>
            </w:tcMar>
          </w:tcPr>
          <w:p w14:paraId="2C699830" w14:textId="77777777" w:rsidR="00BF40A9" w:rsidRPr="009110F7" w:rsidRDefault="00BF40A9" w:rsidP="00492026">
            <w:pPr>
              <w:pStyle w:val="Textpoznpodarou"/>
              <w:jc w:val="both"/>
              <w:rPr>
                <w:spacing w:val="-4"/>
              </w:rPr>
            </w:pPr>
          </w:p>
        </w:tc>
        <w:tc>
          <w:tcPr>
            <w:tcW w:w="7610" w:type="dxa"/>
            <w:shd w:val="clear" w:color="auto" w:fill="auto"/>
            <w:tcMar>
              <w:left w:w="0" w:type="dxa"/>
            </w:tcMar>
          </w:tcPr>
          <w:p w14:paraId="6A002E98" w14:textId="77777777" w:rsidR="00BF40A9" w:rsidRPr="009110F7" w:rsidRDefault="00BF40A9" w:rsidP="00492026">
            <w:pPr>
              <w:spacing w:after="220"/>
              <w:rPr>
                <w:sz w:val="14"/>
                <w:szCs w:val="14"/>
              </w:rPr>
            </w:pPr>
            <w:r>
              <w:rPr>
                <w:sz w:val="14"/>
                <w:szCs w:val="14"/>
              </w:rPr>
              <w:t>Zdroj: ČSÚ, Eurostat</w:t>
            </w:r>
          </w:p>
        </w:tc>
      </w:tr>
      <w:tr w:rsidR="00BF40A9" w:rsidRPr="009110F7" w14:paraId="64043F8E" w14:textId="77777777" w:rsidTr="4475CE70">
        <w:trPr>
          <w:trHeight w:val="145"/>
        </w:trPr>
        <w:tc>
          <w:tcPr>
            <w:tcW w:w="1806" w:type="dxa"/>
            <w:shd w:val="clear" w:color="auto" w:fill="auto"/>
            <w:tcMar>
              <w:left w:w="0" w:type="dxa"/>
            </w:tcMar>
          </w:tcPr>
          <w:p w14:paraId="72C3A0CB" w14:textId="77777777" w:rsidR="00BF40A9" w:rsidRDefault="00BF40A9" w:rsidP="00492026">
            <w:pPr>
              <w:pStyle w:val="Marginlie"/>
            </w:pPr>
            <w:r>
              <w:t>Mírný růst HDP si udržovala i ekonomika EU.</w:t>
            </w:r>
          </w:p>
        </w:tc>
        <w:tc>
          <w:tcPr>
            <w:tcW w:w="223" w:type="dxa"/>
            <w:shd w:val="clear" w:color="auto" w:fill="auto"/>
            <w:tcMar>
              <w:left w:w="0" w:type="dxa"/>
            </w:tcMar>
          </w:tcPr>
          <w:p w14:paraId="55FC8C06" w14:textId="77777777" w:rsidR="00BF40A9" w:rsidRDefault="00BF40A9" w:rsidP="00492026">
            <w:pPr>
              <w:pStyle w:val="Textpoznpodarou"/>
              <w:jc w:val="both"/>
              <w:rPr>
                <w:spacing w:val="-4"/>
              </w:rPr>
            </w:pPr>
          </w:p>
        </w:tc>
        <w:tc>
          <w:tcPr>
            <w:tcW w:w="7610" w:type="dxa"/>
            <w:shd w:val="clear" w:color="auto" w:fill="auto"/>
            <w:tcMar>
              <w:left w:w="0" w:type="dxa"/>
            </w:tcMar>
          </w:tcPr>
          <w:p w14:paraId="54949AD2" w14:textId="77777777" w:rsidR="00BF40A9" w:rsidRDefault="00BF40A9" w:rsidP="00492026">
            <w:r>
              <w:t>Hrubý domácí produkt v EU v 1. čtvrtletí 2024 meziročně vzrostl o 0,5 % a mezičtvrtletně se zvýšil o 0,3 %. Oproti předchozímu čtvrtletí dynamika HDP mírně posílila. Většina ekonomik EU meziročně rostla. Výjimkou byly Irsko (−5,9 %), Estonsko (−2,1 %), Rakousko (−1,3 %), Finsko (−1,1 %), Nizozemsko (−0,5 %), Lucembursko (</w:t>
            </w:r>
            <w:r>
              <w:rPr>
                <w:rFonts w:cs="Arial"/>
              </w:rPr>
              <w:t>−</w:t>
            </w:r>
            <w:r>
              <w:t>0,4 %) a Německo (−0,2 %). Stejné období minulého roku překonal nejsilněji HDP na Maltě (4,6 %), v Chorvatsku (3,9 %) a na Kypru (3,4 %). V mezičtvrtletním srovnání klesal HDP jen v Dánsku (−1,8 %), Estonsku (−0,5 %), a v Nizozemsku (−0,1 %). Nejvýraznější mezičtvrtletní přírůstek měly v 1. čtvrtletí ekonomiky Malty (1,3 %), Kypru (1,2 %) a Chorvatska (1,0 %). Dynamika HDP v Česku se v rámci EU držela blízko celkového průměru. Mezi našimi nejbližšími sousedy se výrazně lépe dařilo ekonomikám Slovenska (meziroční růst o 2,7 % a mezičtvrtletní o 0,7 %) a Polska (HDP vzrostl meziročně o 1,3 % a mezičtvrtletně o 0,5 %). Německo i Rakousko vykázaly meziroční propad HDP a mezičtvrtletně rostly shodně o 0,2 %.</w:t>
            </w:r>
          </w:p>
        </w:tc>
      </w:tr>
      <w:tr w:rsidR="00BF40A9" w:rsidRPr="009110F7" w14:paraId="1785E322" w14:textId="77777777" w:rsidTr="4475CE70">
        <w:trPr>
          <w:trHeight w:val="145"/>
        </w:trPr>
        <w:tc>
          <w:tcPr>
            <w:tcW w:w="1806" w:type="dxa"/>
            <w:shd w:val="clear" w:color="auto" w:fill="auto"/>
            <w:tcMar>
              <w:left w:w="0" w:type="dxa"/>
            </w:tcMar>
          </w:tcPr>
          <w:p w14:paraId="12071F8D" w14:textId="77777777" w:rsidR="00BF40A9" w:rsidRDefault="00BF40A9" w:rsidP="00492026">
            <w:pPr>
              <w:pStyle w:val="Marginlie"/>
            </w:pPr>
            <w:r>
              <w:lastRenderedPageBreak/>
              <w:t> Objem vyplácených mezd a platů meziročně vzrostl.</w:t>
            </w:r>
          </w:p>
        </w:tc>
        <w:tc>
          <w:tcPr>
            <w:tcW w:w="223" w:type="dxa"/>
            <w:shd w:val="clear" w:color="auto" w:fill="auto"/>
            <w:tcMar>
              <w:left w:w="0" w:type="dxa"/>
            </w:tcMar>
          </w:tcPr>
          <w:p w14:paraId="36522C74" w14:textId="77777777" w:rsidR="00BF40A9" w:rsidRDefault="00BF40A9" w:rsidP="00492026">
            <w:pPr>
              <w:pStyle w:val="Textpoznpodarou"/>
              <w:jc w:val="both"/>
              <w:rPr>
                <w:spacing w:val="-4"/>
              </w:rPr>
            </w:pPr>
          </w:p>
        </w:tc>
        <w:tc>
          <w:tcPr>
            <w:tcW w:w="7610" w:type="dxa"/>
            <w:shd w:val="clear" w:color="auto" w:fill="auto"/>
            <w:tcMar>
              <w:left w:w="0" w:type="dxa"/>
            </w:tcMar>
          </w:tcPr>
          <w:p w14:paraId="09803BE1" w14:textId="77777777" w:rsidR="00BF40A9" w:rsidRPr="00014ED0" w:rsidRDefault="00BF40A9" w:rsidP="00492026">
            <w:r>
              <w:t>Objem vyplacených mezd a platů v 1. čtvrtletí nominálně meziročně vzrostl o 6,0 % při navýšení celkové zaměstnanosti o 0,3 %</w:t>
            </w:r>
            <w:r w:rsidRPr="00014ED0">
              <w:rPr>
                <w:rStyle w:val="Znakapoznpodarou"/>
                <w:spacing w:val="-2"/>
              </w:rPr>
              <w:footnoteReference w:id="5"/>
            </w:r>
            <w:r>
              <w:t>. Zmírnění cenového růstu znamenalo také opětovné posílení reálného navýšení mezd a platů na 3,4 %</w:t>
            </w:r>
            <w:r>
              <w:rPr>
                <w:rStyle w:val="Znakapoznpodarou"/>
                <w:spacing w:val="-2"/>
              </w:rPr>
              <w:footnoteReference w:id="6"/>
            </w:r>
            <w:r>
              <w:t>. Nejvíce se meziročně zvýšil objem vyplacených mezd a platů v ostatních činnostech</w:t>
            </w:r>
            <w:r>
              <w:rPr>
                <w:rStyle w:val="Znakapoznpodarou"/>
                <w:spacing w:val="-2"/>
              </w:rPr>
              <w:footnoteReference w:id="7"/>
            </w:r>
            <w:r>
              <w:t xml:space="preserve"> (7,5 % pří navýšení zaměstnanosti o 1,2 %), profesních, vědeckých, technických a administrativních činnostech (6,7 %, zaměstnanost o 1,2 %), v uskupení obchod, doprava, ubytování a pohostinství (6,7 %, zaměstnanost o 0,9 %) a v informačních a komunikačních činnostech (6,5 % při růstu zaměstnanosti o 1,4 %). Přesně průměrný byl přírůstek mezd a platů ve veřejné správě a obraně</w:t>
            </w:r>
            <w:r w:rsidRPr="00772DBC">
              <w:t>, vzděl</w:t>
            </w:r>
            <w:r>
              <w:t xml:space="preserve">ávání, zdravotní a sociální péči (6,0 %, zaměstnanost vzrostla o 1,6 %). Výrazně zpomalilo meziroční tempo růstu mezd a platů v činnostech v oblasti nemovitostí (5,4 % při poklesu zaměstnanosti o 0,6 %) a podprůměrná byla dynamika také ve zpracovatelském průmyslu (5,5 %, zaměstnanost −1,5 %), ve stavebnictví (4,9 %, zaměstnanost −1,2 %), v peněžnictví a pojišťovnictví (2,7 %, zaměstnanost −0,9 %) a v zemědělství, lesnictví a rybářství (2,0 % při navýšení zaměstnanosti o 1,9 %).    </w:t>
            </w:r>
          </w:p>
        </w:tc>
      </w:tr>
      <w:tr w:rsidR="00BF40A9" w:rsidRPr="009110F7" w14:paraId="4E8BB383" w14:textId="77777777" w:rsidTr="4475CE70">
        <w:trPr>
          <w:trHeight w:val="145"/>
        </w:trPr>
        <w:tc>
          <w:tcPr>
            <w:tcW w:w="1806" w:type="dxa"/>
            <w:shd w:val="clear" w:color="auto" w:fill="auto"/>
            <w:tcMar>
              <w:left w:w="0" w:type="dxa"/>
            </w:tcMar>
          </w:tcPr>
          <w:p w14:paraId="06675244" w14:textId="77777777" w:rsidR="00BF40A9" w:rsidRDefault="00BF40A9" w:rsidP="00492026">
            <w:pPr>
              <w:pStyle w:val="Marginlie"/>
            </w:pPr>
            <w:r>
              <w:t>Mezičtvrtletní dynamika mezd a platů zrychlila.</w:t>
            </w:r>
          </w:p>
        </w:tc>
        <w:tc>
          <w:tcPr>
            <w:tcW w:w="223" w:type="dxa"/>
            <w:shd w:val="clear" w:color="auto" w:fill="auto"/>
            <w:tcMar>
              <w:left w:w="0" w:type="dxa"/>
            </w:tcMar>
          </w:tcPr>
          <w:p w14:paraId="44CBB60C" w14:textId="77777777" w:rsidR="00BF40A9" w:rsidRDefault="00BF40A9" w:rsidP="00492026">
            <w:pPr>
              <w:pStyle w:val="Textpoznpodarou"/>
              <w:jc w:val="both"/>
              <w:rPr>
                <w:spacing w:val="-4"/>
              </w:rPr>
            </w:pPr>
          </w:p>
        </w:tc>
        <w:tc>
          <w:tcPr>
            <w:tcW w:w="7610" w:type="dxa"/>
            <w:shd w:val="clear" w:color="auto" w:fill="auto"/>
            <w:tcMar>
              <w:left w:w="0" w:type="dxa"/>
            </w:tcMar>
          </w:tcPr>
          <w:p w14:paraId="5613BECD" w14:textId="77777777" w:rsidR="00BF40A9" w:rsidRDefault="00BF40A9" w:rsidP="00492026">
            <w:r>
              <w:t xml:space="preserve">Mezičtvrtletní přírůstek objemu vyplacených mezd a platů v 1. čtvrtletí zrychlil na </w:t>
            </w:r>
            <w:r>
              <w:br/>
              <w:t xml:space="preserve">2,8 % při nezměněné zaměstnanosti. Reálně mzdy a platy mezičtvrtletně vzrostly </w:t>
            </w:r>
            <w:r>
              <w:br/>
              <w:t>o 1,7 %. Oproti meziročnímu srovnání byla mezičtvrtletní dynamika mezd a platů napříč odvětvími různorodější. Nejvíce vzrostly vyplacené mzdové prostředky v ostatních činnostech (8,6 %, zaměstnanost klesla o 0,3 %), ve veřejné správě a obraně</w:t>
            </w:r>
            <w:r w:rsidRPr="00772DBC">
              <w:t>, vzděl</w:t>
            </w:r>
            <w:r>
              <w:t xml:space="preserve">ávání, zdravotní a sociální péči (3,8 %, zaměstnanost vzrostla o 1,0 %), v činnostech v oblasti nemovitostí (3,2 % při poklesu zaměstnanosti o 2,2 %) a v profesních, vědeckých, technických a administrativních činnostech (3,0 %, zaměstnanost −1,0 %). Shodně o 2,5 % mezičtvrtletně vzrostly mzdy a platy </w:t>
            </w:r>
            <w:r>
              <w:br/>
              <w:t>v uskupení obchod, doprava, ubytování a pohostinství (zaměstnanost o 0,1 %) a ve zpracovatelském průmyslu (zaměstnanost zde klesla o 0,8 %). V zemědělství, lesnictví a rybářství mzdy a platy mezičtvrtletně vzrostly o 2,4 %, přičemž se zaměstnanost navýšila o 4,6 %. Mírný přírůstek mezd a platů byl zaznamenán také ve stavebnictví (2,1 %, zaměstnanost se nezměnila) a v informačních a komunikačních činnostech (1,0 % při růstu zaměstnanosti o 0,8 %). Pouze v peněžnictví a pojišťovnictví mzdy a platy mezičtvrtletně klesly (−2,6 % při růstu zaměstnanosti o 1,7 %).</w:t>
            </w:r>
          </w:p>
        </w:tc>
      </w:tr>
      <w:tr w:rsidR="00BF40A9" w:rsidRPr="009110F7" w14:paraId="02A53AF6" w14:textId="77777777" w:rsidTr="4475CE70">
        <w:trPr>
          <w:trHeight w:val="145"/>
        </w:trPr>
        <w:tc>
          <w:tcPr>
            <w:tcW w:w="1806" w:type="dxa"/>
            <w:shd w:val="clear" w:color="auto" w:fill="auto"/>
            <w:tcMar>
              <w:left w:w="0" w:type="dxa"/>
            </w:tcMar>
          </w:tcPr>
          <w:p w14:paraId="607277CA" w14:textId="77777777" w:rsidR="00BF40A9" w:rsidRDefault="00BF40A9" w:rsidP="00492026">
            <w:pPr>
              <w:pStyle w:val="Marginlie"/>
            </w:pPr>
            <w:r>
              <w:t xml:space="preserve">Domácí spotřeba se </w:t>
            </w:r>
            <w:r>
              <w:br/>
              <w:t>v 1. čtvrtletí oživila.</w:t>
            </w:r>
          </w:p>
        </w:tc>
        <w:tc>
          <w:tcPr>
            <w:tcW w:w="223" w:type="dxa"/>
            <w:shd w:val="clear" w:color="auto" w:fill="auto"/>
            <w:tcMar>
              <w:left w:w="0" w:type="dxa"/>
            </w:tcMar>
          </w:tcPr>
          <w:p w14:paraId="226A5A00" w14:textId="77777777" w:rsidR="00BF40A9" w:rsidRDefault="00BF40A9" w:rsidP="00492026">
            <w:pPr>
              <w:pStyle w:val="Textpoznpodarou"/>
              <w:jc w:val="both"/>
              <w:rPr>
                <w:spacing w:val="-4"/>
              </w:rPr>
            </w:pPr>
          </w:p>
        </w:tc>
        <w:tc>
          <w:tcPr>
            <w:tcW w:w="7610" w:type="dxa"/>
            <w:shd w:val="clear" w:color="auto" w:fill="auto"/>
            <w:tcMar>
              <w:left w:w="0" w:type="dxa"/>
            </w:tcMar>
          </w:tcPr>
          <w:p w14:paraId="650B6EC4" w14:textId="6435E3A2" w:rsidR="00BF40A9" w:rsidRDefault="00BF40A9" w:rsidP="00492026">
            <w:r>
              <w:rPr>
                <w:spacing w:val="-2"/>
              </w:rPr>
              <w:t xml:space="preserve">Výdaje na konečnou spotřebu byly v 1. čtvrtletí 2024 meziročně vyšší o 2,5 % a přispívaly tak </w:t>
            </w:r>
            <w:r w:rsidR="49A859FB">
              <w:rPr>
                <w:spacing w:val="-2"/>
              </w:rPr>
              <w:t>2,0</w:t>
            </w:r>
            <w:r>
              <w:rPr>
                <w:spacing w:val="-2"/>
              </w:rPr>
              <w:t xml:space="preserve"> p. b.</w:t>
            </w:r>
            <w:r w:rsidRPr="00014ED0">
              <w:rPr>
                <w:rStyle w:val="Znakapoznpodarou"/>
                <w:spacing w:val="-2"/>
              </w:rPr>
              <w:footnoteReference w:id="8"/>
            </w:r>
            <w:r>
              <w:rPr>
                <w:spacing w:val="-2"/>
              </w:rPr>
              <w:t xml:space="preserve"> k celkovému růstu HDP. Po sedmi čtvrtletích poklesů poměrně solidně meziročně vzrostla spotřeba domácností (2,1 %), zatímco vládní spotřeba dál pokračovala v silném růstu (3,5 %). Mezičtvrtletně vzrostla spotřeba v 1. čtvrtletí o 0,9 %. Z toho spotřeba domácností byla vyšší o 1,0 % a navázala tak posílením přírůstku na oživení, které bylo patrné už ve 4. kvartálu 2023. Shodně o 1,0 % vzrostla mezičtvrtletně spotřeba vládních institucí. Spotřeba domácností členěná z hlediska trvanlivosti</w:t>
            </w:r>
            <w:r>
              <w:rPr>
                <w:rStyle w:val="Znakapoznpodarou"/>
              </w:rPr>
              <w:footnoteReference w:id="9"/>
            </w:r>
            <w:r>
              <w:rPr>
                <w:spacing w:val="-2"/>
              </w:rPr>
              <w:t xml:space="preserve"> ukazuje výrazné oživení v oblasti krátkodobé spotřeby (mezičtvrtletně o 6,7 % a meziročně o 5,7 %). Solidní mezičtvrtletní přírůstek měly také výdaje na spotřebu předmětů střednědobé spotřeby (3,1 %, meziročně zde byla spotřeba vyšší o 0,6 %). Jen mírně mezičtvrtletně vzrostla dlouhodobá spotřeba (0,9 %, meziroční přírůstek 2,3 %). U služeb došlo k mezičtvrtletnímu poklesu výdajů o 2,6 % a meziročně spotřeba služeb zaostávala o 0,8 %.</w:t>
            </w:r>
          </w:p>
        </w:tc>
      </w:tr>
      <w:tr w:rsidR="00BF40A9" w:rsidRPr="009110F7" w14:paraId="4F555FA5" w14:textId="77777777" w:rsidTr="4475CE70">
        <w:trPr>
          <w:trHeight w:val="145"/>
        </w:trPr>
        <w:tc>
          <w:tcPr>
            <w:tcW w:w="1806" w:type="dxa"/>
            <w:shd w:val="clear" w:color="auto" w:fill="auto"/>
            <w:tcMar>
              <w:left w:w="0" w:type="dxa"/>
            </w:tcMar>
          </w:tcPr>
          <w:p w14:paraId="17D3961C" w14:textId="77777777" w:rsidR="00BF40A9" w:rsidRDefault="00BF40A9" w:rsidP="00492026">
            <w:pPr>
              <w:pStyle w:val="Marginlie"/>
            </w:pPr>
            <w:r>
              <w:lastRenderedPageBreak/>
              <w:t>Investiční aktivita klesala.</w:t>
            </w:r>
          </w:p>
        </w:tc>
        <w:tc>
          <w:tcPr>
            <w:tcW w:w="223" w:type="dxa"/>
            <w:shd w:val="clear" w:color="auto" w:fill="auto"/>
            <w:tcMar>
              <w:left w:w="0" w:type="dxa"/>
            </w:tcMar>
          </w:tcPr>
          <w:p w14:paraId="2B326021" w14:textId="77777777" w:rsidR="00BF40A9" w:rsidRDefault="00BF40A9" w:rsidP="00492026">
            <w:pPr>
              <w:pStyle w:val="Textpoznpodarou"/>
              <w:jc w:val="both"/>
              <w:rPr>
                <w:spacing w:val="-4"/>
              </w:rPr>
            </w:pPr>
          </w:p>
        </w:tc>
        <w:tc>
          <w:tcPr>
            <w:tcW w:w="7610" w:type="dxa"/>
            <w:shd w:val="clear" w:color="auto" w:fill="auto"/>
            <w:tcMar>
              <w:left w:w="0" w:type="dxa"/>
            </w:tcMar>
          </w:tcPr>
          <w:p w14:paraId="469EA60F" w14:textId="77777777" w:rsidR="00BF40A9" w:rsidRDefault="00BF40A9" w:rsidP="00492026">
            <w:pPr>
              <w:rPr>
                <w:spacing w:val="-2"/>
              </w:rPr>
            </w:pPr>
            <w:r>
              <w:t>Výdaje na tvorbu hrubého kapitálu v 1. čtvrtletí meziročně zaostávaly o 13,3 %. Na propadu se výrazně podílela změna zásob</w:t>
            </w:r>
            <w:r>
              <w:rPr>
                <w:rStyle w:val="Znakapoznpodarou"/>
              </w:rPr>
              <w:footnoteReference w:id="10"/>
            </w:r>
            <w:r>
              <w:t>. Ale meziročně klesla také tvorba hrubého fixního kapitálu (investice, −2,7 %). Vývoj kapitálových výdajů tak celkově přispíval ve směru meziročního poklesu HDP 3,8 p. b. Mezičtvrtletně výdaje na tvorbu hrubého kapitálu vzrostly o 0,2 %. Přispěla k tomu změna zásob, oproti tomu investiční aktivita mezičtvrtletně klesla o 7,9 %. K meziročnímu poklesu investic přispěly výdaje na obydlí (−4,3 %) i ostatní budovy a stavby (−4,8 %) a za úrovní loňského 1. kvartálu zaostávaly také investice do ICT a ostatních strojů a zařízení (−7,1 %) a produktů duševního vlastnictví (−1,2 %). Silný meziroční růst si naopak držely investice do dopravních prostředků a zařízení. Hluboký mezičtvrtletní propad investiční aktivity souvisel se snížením všech druhů investičních výdajů s výjimkou obydlí, kde pokračovalo oživení (2,9 %). Investice do ICT a ostatních strojů a zařízení mezičtvrtletně klesly o 12,9 %, do ostatních budov a staveb o 9,9 %, do dopravních prostředků a zařízení o 8,7 % a produktů duševního vlastnictví o 5,3 %.</w:t>
            </w:r>
          </w:p>
        </w:tc>
      </w:tr>
      <w:tr w:rsidR="00BF40A9" w:rsidRPr="009110F7" w14:paraId="1BC6987A" w14:textId="77777777" w:rsidTr="4475CE70">
        <w:trPr>
          <w:trHeight w:val="154"/>
        </w:trPr>
        <w:tc>
          <w:tcPr>
            <w:tcW w:w="1806" w:type="dxa"/>
            <w:vMerge w:val="restart"/>
            <w:shd w:val="clear" w:color="auto" w:fill="auto"/>
            <w:tcMar>
              <w:left w:w="0" w:type="dxa"/>
            </w:tcMar>
          </w:tcPr>
          <w:p w14:paraId="194320C0" w14:textId="77777777" w:rsidR="00BF40A9" w:rsidRDefault="00BF40A9" w:rsidP="00492026">
            <w:pPr>
              <w:pStyle w:val="Marginlie"/>
            </w:pPr>
          </w:p>
        </w:tc>
        <w:tc>
          <w:tcPr>
            <w:tcW w:w="223" w:type="dxa"/>
            <w:vMerge w:val="restart"/>
            <w:shd w:val="clear" w:color="auto" w:fill="auto"/>
            <w:tcMar>
              <w:left w:w="0" w:type="dxa"/>
            </w:tcMar>
          </w:tcPr>
          <w:p w14:paraId="3F4C1721" w14:textId="77777777" w:rsidR="00BF40A9" w:rsidRDefault="00BF40A9" w:rsidP="00492026">
            <w:pPr>
              <w:pStyle w:val="Textpoznpodarou"/>
              <w:jc w:val="both"/>
              <w:rPr>
                <w:spacing w:val="-4"/>
              </w:rPr>
            </w:pPr>
          </w:p>
        </w:tc>
        <w:tc>
          <w:tcPr>
            <w:tcW w:w="7610" w:type="dxa"/>
            <w:shd w:val="clear" w:color="auto" w:fill="auto"/>
            <w:tcMar>
              <w:left w:w="0" w:type="dxa"/>
            </w:tcMar>
          </w:tcPr>
          <w:p w14:paraId="65201B5D" w14:textId="77777777" w:rsidR="00BF40A9" w:rsidRDefault="00BF40A9" w:rsidP="00492026">
            <w:pPr>
              <w:spacing w:after="0"/>
            </w:pPr>
            <w:r w:rsidRPr="00D721B4">
              <w:rPr>
                <w:b/>
                <w:szCs w:val="20"/>
              </w:rPr>
              <w:t>Graf č. 2</w:t>
            </w:r>
            <w:r>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 %)</w:t>
            </w:r>
          </w:p>
        </w:tc>
      </w:tr>
      <w:tr w:rsidR="00BF40A9" w:rsidRPr="009110F7" w14:paraId="0B9D9A97" w14:textId="77777777" w:rsidTr="4475CE70">
        <w:tblPrEx>
          <w:tblCellMar>
            <w:left w:w="70" w:type="dxa"/>
            <w:right w:w="70" w:type="dxa"/>
          </w:tblCellMar>
        </w:tblPrEx>
        <w:trPr>
          <w:trHeight w:val="154"/>
        </w:trPr>
        <w:tc>
          <w:tcPr>
            <w:tcW w:w="1806" w:type="dxa"/>
            <w:vMerge/>
          </w:tcPr>
          <w:p w14:paraId="2CD4440F" w14:textId="77777777" w:rsidR="00BF40A9" w:rsidRDefault="00BF40A9" w:rsidP="00492026">
            <w:pPr>
              <w:pStyle w:val="Marginlie"/>
            </w:pPr>
          </w:p>
        </w:tc>
        <w:tc>
          <w:tcPr>
            <w:tcW w:w="223" w:type="dxa"/>
            <w:vMerge/>
          </w:tcPr>
          <w:p w14:paraId="6643AEB7" w14:textId="77777777" w:rsidR="00BF40A9" w:rsidRDefault="00BF40A9" w:rsidP="00492026">
            <w:pPr>
              <w:pStyle w:val="Textpoznpodarou"/>
              <w:jc w:val="both"/>
              <w:rPr>
                <w:spacing w:val="-4"/>
              </w:rPr>
            </w:pPr>
          </w:p>
        </w:tc>
        <w:tc>
          <w:tcPr>
            <w:tcW w:w="7610" w:type="dxa"/>
            <w:shd w:val="clear" w:color="auto" w:fill="auto"/>
          </w:tcPr>
          <w:p w14:paraId="4D929652" w14:textId="77777777" w:rsidR="00BF40A9" w:rsidRDefault="00BF40A9" w:rsidP="00492026">
            <w:pPr>
              <w:spacing w:after="0"/>
            </w:pPr>
            <w:r>
              <w:rPr>
                <w:noProof/>
              </w:rPr>
              <w:drawing>
                <wp:inline distT="0" distB="0" distL="0" distR="0" wp14:anchorId="787E8FAE" wp14:editId="2A5B0A63">
                  <wp:extent cx="4737600" cy="3553200"/>
                  <wp:effectExtent l="0" t="0" r="6350" b="0"/>
                  <wp:docPr id="27" name="Graf 27">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BF40A9" w:rsidRPr="009110F7" w14:paraId="07DE41DB" w14:textId="77777777" w:rsidTr="4475CE70">
        <w:trPr>
          <w:trHeight w:val="154"/>
        </w:trPr>
        <w:tc>
          <w:tcPr>
            <w:tcW w:w="1806" w:type="dxa"/>
            <w:vMerge/>
            <w:tcMar>
              <w:left w:w="0" w:type="dxa"/>
            </w:tcMar>
          </w:tcPr>
          <w:p w14:paraId="38403B51" w14:textId="77777777" w:rsidR="00BF40A9" w:rsidRDefault="00BF40A9" w:rsidP="00492026">
            <w:pPr>
              <w:pStyle w:val="Marginlie"/>
            </w:pPr>
          </w:p>
        </w:tc>
        <w:tc>
          <w:tcPr>
            <w:tcW w:w="223" w:type="dxa"/>
            <w:vMerge/>
            <w:tcMar>
              <w:left w:w="0" w:type="dxa"/>
            </w:tcMar>
          </w:tcPr>
          <w:p w14:paraId="13306F91" w14:textId="77777777" w:rsidR="00BF40A9" w:rsidRDefault="00BF40A9" w:rsidP="00492026">
            <w:pPr>
              <w:pStyle w:val="Textpoznpodarou"/>
              <w:jc w:val="both"/>
              <w:rPr>
                <w:spacing w:val="-4"/>
              </w:rPr>
            </w:pPr>
          </w:p>
        </w:tc>
        <w:tc>
          <w:tcPr>
            <w:tcW w:w="7610" w:type="dxa"/>
            <w:shd w:val="clear" w:color="auto" w:fill="auto"/>
            <w:tcMar>
              <w:left w:w="0" w:type="dxa"/>
            </w:tcMar>
          </w:tcPr>
          <w:p w14:paraId="4434B8AF" w14:textId="77777777" w:rsidR="00BF40A9" w:rsidRDefault="00BF40A9" w:rsidP="00492026">
            <w:pPr>
              <w:spacing w:after="0"/>
              <w:rPr>
                <w:sz w:val="14"/>
                <w:szCs w:val="14"/>
              </w:rPr>
            </w:pPr>
            <w:r>
              <w:rPr>
                <w:sz w:val="14"/>
                <w:szCs w:val="14"/>
              </w:rPr>
              <w:t>Zdroj: ČSÚ</w:t>
            </w:r>
          </w:p>
          <w:p w14:paraId="359DF574" w14:textId="77777777" w:rsidR="00BF40A9" w:rsidRDefault="00BF40A9" w:rsidP="00492026">
            <w:r>
              <w:rPr>
                <w:sz w:val="14"/>
                <w:szCs w:val="14"/>
              </w:rPr>
              <w:t>* po vyloučení dovozu pro konečné užití</w:t>
            </w:r>
          </w:p>
        </w:tc>
      </w:tr>
      <w:tr w:rsidR="00BF40A9" w:rsidRPr="009110F7" w14:paraId="4B09836B" w14:textId="77777777" w:rsidTr="4475CE70">
        <w:trPr>
          <w:trHeight w:val="145"/>
        </w:trPr>
        <w:tc>
          <w:tcPr>
            <w:tcW w:w="1806" w:type="dxa"/>
            <w:shd w:val="clear" w:color="auto" w:fill="auto"/>
            <w:tcMar>
              <w:left w:w="0" w:type="dxa"/>
            </w:tcMar>
          </w:tcPr>
          <w:p w14:paraId="74911272" w14:textId="77777777" w:rsidR="00BF40A9" w:rsidRDefault="00BF40A9" w:rsidP="00492026">
            <w:pPr>
              <w:pStyle w:val="Marginlie"/>
            </w:pPr>
            <w:r>
              <w:t xml:space="preserve">Bilance zahraničního obchodu se zbožím </w:t>
            </w:r>
            <w:r>
              <w:br/>
              <w:t>a službami skončila v přebytku.</w:t>
            </w:r>
          </w:p>
        </w:tc>
        <w:tc>
          <w:tcPr>
            <w:tcW w:w="223" w:type="dxa"/>
            <w:shd w:val="clear" w:color="auto" w:fill="auto"/>
            <w:tcMar>
              <w:left w:w="0" w:type="dxa"/>
            </w:tcMar>
          </w:tcPr>
          <w:p w14:paraId="7C7D9FD6" w14:textId="77777777" w:rsidR="00BF40A9" w:rsidRDefault="00BF40A9" w:rsidP="00492026">
            <w:pPr>
              <w:pStyle w:val="Textpoznpodarou"/>
              <w:jc w:val="both"/>
              <w:rPr>
                <w:spacing w:val="-4"/>
              </w:rPr>
            </w:pPr>
          </w:p>
        </w:tc>
        <w:tc>
          <w:tcPr>
            <w:tcW w:w="7610" w:type="dxa"/>
            <w:shd w:val="clear" w:color="auto" w:fill="auto"/>
            <w:tcMar>
              <w:left w:w="0" w:type="dxa"/>
            </w:tcMar>
          </w:tcPr>
          <w:p w14:paraId="7A69E1D4" w14:textId="77777777" w:rsidR="00BF40A9" w:rsidRDefault="00BF40A9" w:rsidP="00492026">
            <w:r>
              <w:t>Vývoz zboží a služeb</w:t>
            </w:r>
            <w:r w:rsidRPr="009110F7">
              <w:rPr>
                <w:rStyle w:val="Znakapoznpodarou"/>
              </w:rPr>
              <w:footnoteReference w:id="11"/>
            </w:r>
            <w:r>
              <w:t xml:space="preserve"> v 1. čtvrtletí meziročně reálně vzrostl o 2,5 %. Mírněji se navýšil export zboží (1,5 %), zatímco růst vývozu služeb zrychlil na 7,7 %. Oproti tomu dovoz zboží a služeb meziročně zaostával o 1,1 %, zejména pod vlivem importu zboží (−2,3 %). Dovoz služeb byl vyšší o 5,3 %. Mezičtvrtletně se export zboží a služeb v 1. čtvrtletí reálně zvýšil o 2,2 % a rostl export zboží (1,8 %) i služeb (3,7 %). Mezičtvrtletní přírůstek dovozu byl ale silnější (2,7 %), především importu zboží (2,9 %), zatímco dovoz služeb mezičtvrtletně vzrostl o 1,9 %. Výsledná bilance zahraničního obchodu v běžných cenách v 1. čtvrtletí dosáhla 131,6 mld. korun a meziročně bylo saldo vyšší o 69,0 mld. Meziroční zlepšení přebytku lze přičíst </w:t>
            </w:r>
            <w:r>
              <w:lastRenderedPageBreak/>
              <w:t>zejména obchodu se zbožím (+61,4 mld. korun), zvýšil se ale rovněž přebytek zahraničního obchodu se službami (+7,7 mld.). Mezičtvrtletně se přebytek bilance zahraničního obchodu zvýšil o 3,4 mld. korun, výhradně pod vlivem obchodu se zbožím (+5,8 mld.).</w:t>
            </w:r>
          </w:p>
        </w:tc>
      </w:tr>
      <w:tr w:rsidR="00BF40A9" w:rsidRPr="009110F7" w14:paraId="46D5EC86" w14:textId="77777777" w:rsidTr="4475CE70">
        <w:trPr>
          <w:trHeight w:val="170"/>
        </w:trPr>
        <w:tc>
          <w:tcPr>
            <w:tcW w:w="1806" w:type="dxa"/>
            <w:vMerge w:val="restart"/>
            <w:shd w:val="clear" w:color="auto" w:fill="auto"/>
            <w:tcMar>
              <w:left w:w="0" w:type="dxa"/>
            </w:tcMar>
          </w:tcPr>
          <w:p w14:paraId="47036E05" w14:textId="77777777" w:rsidR="00BF40A9" w:rsidRDefault="00BF40A9" w:rsidP="00492026">
            <w:pPr>
              <w:pStyle w:val="Marginlie"/>
            </w:pPr>
          </w:p>
        </w:tc>
        <w:tc>
          <w:tcPr>
            <w:tcW w:w="223" w:type="dxa"/>
            <w:vMerge w:val="restart"/>
            <w:shd w:val="clear" w:color="auto" w:fill="auto"/>
            <w:tcMar>
              <w:left w:w="0" w:type="dxa"/>
            </w:tcMar>
          </w:tcPr>
          <w:p w14:paraId="69A0A0F6" w14:textId="77777777" w:rsidR="00BF40A9" w:rsidRDefault="00BF40A9" w:rsidP="00492026">
            <w:pPr>
              <w:pStyle w:val="Textpoznpodarou"/>
              <w:jc w:val="both"/>
              <w:rPr>
                <w:spacing w:val="-4"/>
              </w:rPr>
            </w:pPr>
          </w:p>
        </w:tc>
        <w:tc>
          <w:tcPr>
            <w:tcW w:w="7610" w:type="dxa"/>
            <w:shd w:val="clear" w:color="auto" w:fill="auto"/>
            <w:tcMar>
              <w:left w:w="0" w:type="dxa"/>
            </w:tcMar>
          </w:tcPr>
          <w:p w14:paraId="524BF3D4" w14:textId="77777777" w:rsidR="00BF40A9" w:rsidRDefault="00BF40A9" w:rsidP="00492026">
            <w:pPr>
              <w:spacing w:after="0"/>
            </w:pPr>
            <w:r w:rsidRPr="00D721B4">
              <w:rPr>
                <w:b/>
                <w:szCs w:val="20"/>
              </w:rPr>
              <w:t>Graf č. 3</w:t>
            </w:r>
            <w:r>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 %)</w:t>
            </w:r>
          </w:p>
        </w:tc>
      </w:tr>
      <w:tr w:rsidR="00BF40A9" w:rsidRPr="009110F7" w14:paraId="033AF369" w14:textId="77777777" w:rsidTr="4475CE70">
        <w:tblPrEx>
          <w:tblCellMar>
            <w:left w:w="70" w:type="dxa"/>
            <w:right w:w="70" w:type="dxa"/>
          </w:tblCellMar>
        </w:tblPrEx>
        <w:trPr>
          <w:trHeight w:val="170"/>
        </w:trPr>
        <w:tc>
          <w:tcPr>
            <w:tcW w:w="1806" w:type="dxa"/>
            <w:vMerge/>
          </w:tcPr>
          <w:p w14:paraId="17DFA8B9" w14:textId="77777777" w:rsidR="00BF40A9" w:rsidRDefault="00BF40A9" w:rsidP="00492026">
            <w:pPr>
              <w:pStyle w:val="Marginlie"/>
            </w:pPr>
          </w:p>
        </w:tc>
        <w:tc>
          <w:tcPr>
            <w:tcW w:w="223" w:type="dxa"/>
            <w:vMerge/>
          </w:tcPr>
          <w:p w14:paraId="7A588517" w14:textId="77777777" w:rsidR="00BF40A9" w:rsidRDefault="00BF40A9" w:rsidP="00492026">
            <w:pPr>
              <w:pStyle w:val="Textpoznpodarou"/>
              <w:jc w:val="both"/>
              <w:rPr>
                <w:spacing w:val="-4"/>
              </w:rPr>
            </w:pPr>
          </w:p>
        </w:tc>
        <w:tc>
          <w:tcPr>
            <w:tcW w:w="7610" w:type="dxa"/>
            <w:shd w:val="clear" w:color="auto" w:fill="auto"/>
          </w:tcPr>
          <w:p w14:paraId="30F6B2ED" w14:textId="77777777" w:rsidR="00BF40A9" w:rsidRDefault="00BF40A9" w:rsidP="00492026">
            <w:pPr>
              <w:spacing w:after="0"/>
            </w:pPr>
            <w:r>
              <w:rPr>
                <w:noProof/>
              </w:rPr>
              <w:drawing>
                <wp:inline distT="0" distB="0" distL="0" distR="0" wp14:anchorId="01AA3B54" wp14:editId="7AB2C44D">
                  <wp:extent cx="4737600" cy="3486525"/>
                  <wp:effectExtent l="0" t="0" r="6350" b="0"/>
                  <wp:docPr id="33" name="Graf 3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BF40A9" w:rsidRPr="009110F7" w14:paraId="6502F2D7" w14:textId="77777777" w:rsidTr="4475CE70">
        <w:trPr>
          <w:trHeight w:val="170"/>
        </w:trPr>
        <w:tc>
          <w:tcPr>
            <w:tcW w:w="1806" w:type="dxa"/>
            <w:vMerge/>
            <w:tcMar>
              <w:left w:w="0" w:type="dxa"/>
            </w:tcMar>
          </w:tcPr>
          <w:p w14:paraId="0798B74C" w14:textId="77777777" w:rsidR="00BF40A9" w:rsidRDefault="00BF40A9" w:rsidP="00492026">
            <w:pPr>
              <w:pStyle w:val="Marginlie"/>
            </w:pPr>
          </w:p>
        </w:tc>
        <w:tc>
          <w:tcPr>
            <w:tcW w:w="223" w:type="dxa"/>
            <w:vMerge/>
            <w:tcMar>
              <w:left w:w="0" w:type="dxa"/>
            </w:tcMar>
          </w:tcPr>
          <w:p w14:paraId="08BCA247" w14:textId="77777777" w:rsidR="00BF40A9" w:rsidRDefault="00BF40A9" w:rsidP="00492026">
            <w:pPr>
              <w:pStyle w:val="Textpoznpodarou"/>
              <w:jc w:val="both"/>
              <w:rPr>
                <w:spacing w:val="-4"/>
              </w:rPr>
            </w:pPr>
          </w:p>
        </w:tc>
        <w:tc>
          <w:tcPr>
            <w:tcW w:w="7610" w:type="dxa"/>
            <w:shd w:val="clear" w:color="auto" w:fill="auto"/>
            <w:tcMar>
              <w:left w:w="0" w:type="dxa"/>
            </w:tcMar>
          </w:tcPr>
          <w:p w14:paraId="47AA22B9" w14:textId="77777777" w:rsidR="00BF40A9" w:rsidRDefault="00BF40A9" w:rsidP="00492026">
            <w:r w:rsidRPr="00A85DE1">
              <w:rPr>
                <w:sz w:val="14"/>
                <w:szCs w:val="14"/>
              </w:rPr>
              <w:t>Zdroj: ČSÚ</w:t>
            </w:r>
          </w:p>
        </w:tc>
      </w:tr>
      <w:tr w:rsidR="00BF40A9" w:rsidRPr="009110F7" w14:paraId="7DDE4BB1" w14:textId="77777777" w:rsidTr="4475CE70">
        <w:trPr>
          <w:trHeight w:val="145"/>
        </w:trPr>
        <w:tc>
          <w:tcPr>
            <w:tcW w:w="1806" w:type="dxa"/>
            <w:shd w:val="clear" w:color="auto" w:fill="auto"/>
            <w:tcMar>
              <w:left w:w="0" w:type="dxa"/>
            </w:tcMar>
          </w:tcPr>
          <w:p w14:paraId="3D2B2109" w14:textId="77777777" w:rsidR="00BF40A9" w:rsidRDefault="00BF40A9" w:rsidP="00492026">
            <w:pPr>
              <w:pStyle w:val="Marginlie"/>
            </w:pPr>
            <w:r>
              <w:t>Hrubá přidaná hodnota byla meziročně nižší.</w:t>
            </w:r>
          </w:p>
        </w:tc>
        <w:tc>
          <w:tcPr>
            <w:tcW w:w="223" w:type="dxa"/>
            <w:shd w:val="clear" w:color="auto" w:fill="auto"/>
            <w:tcMar>
              <w:left w:w="0" w:type="dxa"/>
            </w:tcMar>
          </w:tcPr>
          <w:p w14:paraId="3A9F2492" w14:textId="77777777" w:rsidR="00BF40A9" w:rsidRDefault="00BF40A9" w:rsidP="00492026">
            <w:pPr>
              <w:pStyle w:val="Textpoznpodarou"/>
              <w:jc w:val="both"/>
              <w:rPr>
                <w:spacing w:val="-4"/>
              </w:rPr>
            </w:pPr>
          </w:p>
        </w:tc>
        <w:tc>
          <w:tcPr>
            <w:tcW w:w="7610" w:type="dxa"/>
            <w:shd w:val="clear" w:color="auto" w:fill="auto"/>
            <w:tcMar>
              <w:left w:w="0" w:type="dxa"/>
            </w:tcMar>
          </w:tcPr>
          <w:p w14:paraId="064AC7C4" w14:textId="77777777" w:rsidR="00BF40A9" w:rsidRPr="00F93F2C" w:rsidRDefault="00BF40A9" w:rsidP="00492026">
            <w:r>
              <w:t>Hrubá přidaná hodnota (HPH) v 1. čtvrtletí meziročně klesla o 0,7 %</w:t>
            </w:r>
            <w:r>
              <w:rPr>
                <w:rStyle w:val="Znakapoznpodarou"/>
              </w:rPr>
              <w:footnoteReference w:id="12"/>
            </w:r>
            <w:r>
              <w:t>. Meziročně klesala HPH napříč celou ekonomikou s výjimkou peněžnictví a pojišťovnictví (4,9 %) a stagnujících činností v oblasti nemovitostí. Průmysl klesl o 1,5 %, z toho v dominantním zpracovatelském průmyslu HPH meziročně zaostávala o 0,4 %. Ve stavebnictví došlo k propadu HPH o 4,0 %. V rámci služeb nejvíce meziročně klesla HPH v ostatních činnostech (−2,5 %). Mírně zaostávala HPH ve veřejné správě a obraně</w:t>
            </w:r>
            <w:r w:rsidRPr="00772DBC">
              <w:t>, vzděl</w:t>
            </w:r>
            <w:r>
              <w:t xml:space="preserve">ávání, zdravotní a sociální péči (−0,6 %), v uskupení obchod, doprava, ubytování a pohostinství (−0,4 %), v informačních a komunikačních činnostech (−0,3 %) a v profesních, vědeckých, technických a administrativních činnostech (−0,1 %). V zemědělství, lesnictví a rybářství došlo k poklesu o 0,8 %. </w:t>
            </w:r>
          </w:p>
        </w:tc>
      </w:tr>
      <w:tr w:rsidR="00BF40A9" w:rsidRPr="009110F7" w14:paraId="5D12B6F9" w14:textId="77777777" w:rsidTr="4475CE70">
        <w:trPr>
          <w:trHeight w:val="145"/>
        </w:trPr>
        <w:tc>
          <w:tcPr>
            <w:tcW w:w="1806" w:type="dxa"/>
            <w:shd w:val="clear" w:color="auto" w:fill="auto"/>
            <w:tcMar>
              <w:left w:w="0" w:type="dxa"/>
            </w:tcMar>
          </w:tcPr>
          <w:p w14:paraId="540ACCEC" w14:textId="77777777" w:rsidR="00BF40A9" w:rsidRDefault="00BF40A9" w:rsidP="00492026">
            <w:pPr>
              <w:pStyle w:val="Marginlie"/>
            </w:pPr>
            <w:r>
              <w:t>Průmysl v 1. čtvrtletí zpomaloval.</w:t>
            </w:r>
          </w:p>
        </w:tc>
        <w:tc>
          <w:tcPr>
            <w:tcW w:w="223" w:type="dxa"/>
            <w:shd w:val="clear" w:color="auto" w:fill="auto"/>
            <w:tcMar>
              <w:left w:w="0" w:type="dxa"/>
            </w:tcMar>
          </w:tcPr>
          <w:p w14:paraId="3D644AE2" w14:textId="77777777" w:rsidR="00BF40A9" w:rsidRDefault="00BF40A9" w:rsidP="00492026">
            <w:pPr>
              <w:pStyle w:val="Textpoznpodarou"/>
              <w:jc w:val="both"/>
              <w:rPr>
                <w:spacing w:val="-4"/>
              </w:rPr>
            </w:pPr>
          </w:p>
        </w:tc>
        <w:tc>
          <w:tcPr>
            <w:tcW w:w="7610" w:type="dxa"/>
            <w:shd w:val="clear" w:color="auto" w:fill="auto"/>
            <w:tcMar>
              <w:left w:w="0" w:type="dxa"/>
            </w:tcMar>
          </w:tcPr>
          <w:p w14:paraId="4B998F13" w14:textId="77777777" w:rsidR="00BF40A9" w:rsidRDefault="00BF40A9" w:rsidP="00492026">
            <w:pPr>
              <w:spacing w:after="0"/>
            </w:pPr>
            <w:r>
              <w:t>Oproti předchozímu kvartálu se hrubá přidaná hodnota v 1. čtvrtletí snížila o 0,1 %. Mezičtvrtletně nižší byla HPH v celém průmyslu (−1,8 %), z toho ve zpracovatelském průmyslu klesla o 2,1 %. Ve stavebnictví došlo k poklesu o 0,6 %. V rámci služeb se mezičtvrtletně snížila HPH v činnostech v oblasti nemovitostí (−2,0 %), v ostatních činnostech (−0,5 %) a v informačních a komunikačních činnostech (−0,4 %). Naopak výrazné oživení bylo zaznamenáno v uskupení obchod, doprava, ubytování a pohostinství (1,9 %), rostly také veřejná správa a obrana, vzdělávání, zdravotní a sociální péče a peněžnictví a pojišťovnictví (1,7 %), profesní, vědecké, technické a administrativní činnosti (0,6 %). V zemědělství, lesnictví a rybářství došlo k poklesu o 1,3 %.</w:t>
            </w:r>
          </w:p>
        </w:tc>
      </w:tr>
    </w:tbl>
    <w:p w14:paraId="34C56FB8" w14:textId="77777777" w:rsidR="00EC6B23" w:rsidRPr="00652444" w:rsidRDefault="00EC6B23" w:rsidP="00EC6B23">
      <w:pPr>
        <w:pStyle w:val="Nadpis11"/>
      </w:pPr>
      <w:bookmarkStart w:id="31" w:name="_Toc169258115"/>
      <w:bookmarkStart w:id="32" w:name="_Toc153531176"/>
      <w:bookmarkStart w:id="33" w:name="_Toc153531177"/>
      <w:bookmarkEnd w:id="26"/>
      <w:bookmarkEnd w:id="27"/>
      <w:bookmarkEnd w:id="28"/>
      <w:bookmarkEnd w:id="29"/>
      <w:r w:rsidRPr="00652444">
        <w:rPr>
          <w:szCs w:val="32"/>
        </w:rPr>
        <w:lastRenderedPageBreak/>
        <w:t>3</w:t>
      </w:r>
      <w:r w:rsidRPr="00652444">
        <w:t>. Výkonnost odvětví</w:t>
      </w:r>
      <w:bookmarkEnd w:id="31"/>
    </w:p>
    <w:p w14:paraId="155BB50C" w14:textId="77777777" w:rsidR="00EC6B23" w:rsidRPr="004E1DB2" w:rsidRDefault="00EC6B23" w:rsidP="00EC6B23">
      <w:pPr>
        <w:pStyle w:val="Nadpis11"/>
        <w:rPr>
          <w:b w:val="0"/>
          <w:sz w:val="2"/>
          <w:szCs w:val="2"/>
          <w:highlight w:val="yellow"/>
        </w:rPr>
      </w:pPr>
    </w:p>
    <w:p w14:paraId="7A3D409B" w14:textId="77777777" w:rsidR="00EC6B23" w:rsidRPr="004E1DB2" w:rsidRDefault="00EC6B23" w:rsidP="00EC6B23">
      <w:pPr>
        <w:pStyle w:val="Nadpis11"/>
        <w:rPr>
          <w:b w:val="0"/>
          <w:sz w:val="2"/>
          <w:szCs w:val="2"/>
          <w:highlight w:val="yellow"/>
        </w:rPr>
      </w:pPr>
    </w:p>
    <w:tbl>
      <w:tblPr>
        <w:tblW w:w="9639" w:type="dxa"/>
        <w:tblInd w:w="-20" w:type="dxa"/>
        <w:tblLayout w:type="fixed"/>
        <w:tblCellMar>
          <w:left w:w="0" w:type="dxa"/>
          <w:right w:w="0" w:type="dxa"/>
        </w:tblCellMar>
        <w:tblLook w:val="00A0" w:firstRow="1" w:lastRow="0" w:firstColumn="1" w:lastColumn="0" w:noHBand="0" w:noVBand="0"/>
      </w:tblPr>
      <w:tblGrid>
        <w:gridCol w:w="1814"/>
        <w:gridCol w:w="229"/>
        <w:gridCol w:w="7596"/>
      </w:tblGrid>
      <w:tr w:rsidR="00EC6B23" w:rsidRPr="00316308" w14:paraId="01903B32" w14:textId="77777777" w:rsidTr="002F7D0A">
        <w:trPr>
          <w:trHeight w:val="145"/>
        </w:trPr>
        <w:tc>
          <w:tcPr>
            <w:tcW w:w="1814" w:type="dxa"/>
            <w:shd w:val="clear" w:color="auto" w:fill="auto"/>
            <w:tcMar>
              <w:left w:w="0" w:type="dxa"/>
            </w:tcMar>
          </w:tcPr>
          <w:p w14:paraId="1AE483CE" w14:textId="77777777" w:rsidR="00EC6B23" w:rsidRDefault="00EC6B23" w:rsidP="002F7D0A">
            <w:pPr>
              <w:pStyle w:val="Marginlie"/>
            </w:pPr>
            <w:r>
              <w:t>Celkový výkon odvětví mezikvartálně nadále stagnoval. Meziročně se mírně snížil.</w:t>
            </w:r>
          </w:p>
        </w:tc>
        <w:tc>
          <w:tcPr>
            <w:tcW w:w="229" w:type="dxa"/>
            <w:shd w:val="clear" w:color="auto" w:fill="auto"/>
            <w:tcMar>
              <w:left w:w="0" w:type="dxa"/>
            </w:tcMar>
          </w:tcPr>
          <w:p w14:paraId="4BA1354D" w14:textId="77777777" w:rsidR="00EC6B23" w:rsidRPr="003B1401" w:rsidRDefault="00EC6B23" w:rsidP="002F7D0A">
            <w:pPr>
              <w:pStyle w:val="Textpoznpodarou"/>
              <w:jc w:val="both"/>
              <w:rPr>
                <w:spacing w:val="-4"/>
              </w:rPr>
            </w:pPr>
          </w:p>
        </w:tc>
        <w:tc>
          <w:tcPr>
            <w:tcW w:w="7596" w:type="dxa"/>
            <w:shd w:val="clear" w:color="auto" w:fill="auto"/>
            <w:tcMar>
              <w:left w:w="0" w:type="dxa"/>
            </w:tcMar>
          </w:tcPr>
          <w:p w14:paraId="02869F0C" w14:textId="77777777" w:rsidR="00EC6B23" w:rsidRPr="00EC434A" w:rsidRDefault="00EC6B23" w:rsidP="002F7D0A">
            <w:pPr>
              <w:spacing w:after="200"/>
              <w:rPr>
                <w:color w:val="0D0D0D" w:themeColor="text1" w:themeTint="F2"/>
                <w:spacing w:val="-4"/>
              </w:rPr>
            </w:pPr>
            <w:r w:rsidRPr="00EC434A">
              <w:rPr>
                <w:color w:val="0D0D0D" w:themeColor="text1" w:themeTint="F2"/>
                <w:spacing w:val="-4"/>
              </w:rPr>
              <w:t xml:space="preserve">Hrubá přidaná hodnota (HPH) na počátku letošního roku mezikvartálně fakticky stagnovala (−0,1 %) a pokračovala tak </w:t>
            </w:r>
            <w:r>
              <w:rPr>
                <w:color w:val="0D0D0D" w:themeColor="text1" w:themeTint="F2"/>
                <w:spacing w:val="-4"/>
              </w:rPr>
              <w:t xml:space="preserve">v </w:t>
            </w:r>
            <w:r w:rsidRPr="00EC434A">
              <w:rPr>
                <w:color w:val="0D0D0D" w:themeColor="text1" w:themeTint="F2"/>
                <w:spacing w:val="-4"/>
              </w:rPr>
              <w:t>obdobném vývoji jako na konci loňského roku. Mírný růst výkonu většiny odvětví služeb byl kompenzován nepříznivým vývojem v průmyslu i</w:t>
            </w:r>
            <w:r>
              <w:rPr>
                <w:color w:val="0D0D0D" w:themeColor="text1" w:themeTint="F2"/>
                <w:spacing w:val="-4"/>
              </w:rPr>
              <w:t> </w:t>
            </w:r>
            <w:r w:rsidRPr="00EC434A">
              <w:rPr>
                <w:color w:val="0D0D0D" w:themeColor="text1" w:themeTint="F2"/>
                <w:spacing w:val="-4"/>
              </w:rPr>
              <w:t>stavebnictví. Meziročně se pokles HPH mírně prohloubil (na −0,7 %, nejhorší výsledek od vrcholu pandemie na počátku roku 2021). Z hlavních odvětví rostl výkon pouze v pe</w:t>
            </w:r>
            <w:r>
              <w:rPr>
                <w:color w:val="0D0D0D" w:themeColor="text1" w:themeTint="F2"/>
                <w:spacing w:val="-4"/>
              </w:rPr>
              <w:t>něžnictví a pojišťovnictví (+4,9</w:t>
            </w:r>
            <w:r w:rsidRPr="00EC434A">
              <w:rPr>
                <w:color w:val="0D0D0D" w:themeColor="text1" w:themeTint="F2"/>
                <w:spacing w:val="-4"/>
              </w:rPr>
              <w:t xml:space="preserve"> %), k růstu celé </w:t>
            </w:r>
            <w:r>
              <w:rPr>
                <w:color w:val="0D0D0D" w:themeColor="text1" w:themeTint="F2"/>
                <w:spacing w:val="-4"/>
              </w:rPr>
              <w:t xml:space="preserve">ekonomiky nicméně přispěl pouze </w:t>
            </w:r>
            <w:r w:rsidRPr="00EC434A">
              <w:rPr>
                <w:color w:val="0D0D0D" w:themeColor="text1" w:themeTint="F2"/>
                <w:spacing w:val="-4"/>
              </w:rPr>
              <w:t>0,2 p. b. Rozhodujíc</w:t>
            </w:r>
            <w:r>
              <w:rPr>
                <w:color w:val="0D0D0D" w:themeColor="text1" w:themeTint="F2"/>
                <w:spacing w:val="-4"/>
              </w:rPr>
              <w:t>í</w:t>
            </w:r>
            <w:r w:rsidRPr="00EC434A">
              <w:rPr>
                <w:color w:val="0D0D0D" w:themeColor="text1" w:themeTint="F2"/>
                <w:spacing w:val="-4"/>
              </w:rPr>
              <w:t xml:space="preserve"> roli měl pokles výkonu průmyslu (−1,5 %), jenž byl výsledkem nepříznivého vývoje jak zpracovatelského průmyslu, tak ostatní</w:t>
            </w:r>
            <w:r>
              <w:rPr>
                <w:color w:val="0D0D0D" w:themeColor="text1" w:themeTint="F2"/>
                <w:spacing w:val="-4"/>
              </w:rPr>
              <w:t>ch</w:t>
            </w:r>
            <w:r w:rsidRPr="00EC434A">
              <w:rPr>
                <w:color w:val="0D0D0D" w:themeColor="text1" w:themeTint="F2"/>
                <w:spacing w:val="-4"/>
              </w:rPr>
              <w:t xml:space="preserve"> jeho částí.</w:t>
            </w:r>
          </w:p>
        </w:tc>
      </w:tr>
      <w:tr w:rsidR="00EC6B23" w:rsidRPr="003D1D6D" w14:paraId="329A6CED" w14:textId="77777777" w:rsidTr="002F7D0A">
        <w:trPr>
          <w:trHeight w:val="145"/>
        </w:trPr>
        <w:tc>
          <w:tcPr>
            <w:tcW w:w="1814" w:type="dxa"/>
            <w:shd w:val="clear" w:color="auto" w:fill="auto"/>
            <w:tcMar>
              <w:left w:w="0" w:type="dxa"/>
            </w:tcMar>
          </w:tcPr>
          <w:p w14:paraId="153BAA9C" w14:textId="77777777" w:rsidR="00EC6B23" w:rsidRDefault="00EC6B23" w:rsidP="002F7D0A">
            <w:pPr>
              <w:pStyle w:val="Marginlie"/>
              <w:spacing w:after="240"/>
              <w:rPr>
                <w:color w:val="0D0D0D" w:themeColor="text1" w:themeTint="F2"/>
                <w:spacing w:val="-4"/>
              </w:rPr>
            </w:pPr>
            <w:r>
              <w:rPr>
                <w:color w:val="0D0D0D" w:themeColor="text1" w:themeTint="F2"/>
                <w:spacing w:val="-4"/>
              </w:rPr>
              <w:t>Hrubá tuzemská produkce masa se meziročně zvýšila, takřka výhradně vlivem oživení výroby vepřového.</w:t>
            </w:r>
          </w:p>
          <w:p w14:paraId="2D0CEB0C" w14:textId="77777777" w:rsidR="00EC6B23" w:rsidRDefault="00EC6B23" w:rsidP="002F7D0A">
            <w:pPr>
              <w:pStyle w:val="Marginlie"/>
              <w:spacing w:after="240"/>
              <w:rPr>
                <w:color w:val="0D0D0D" w:themeColor="text1" w:themeTint="F2"/>
                <w:spacing w:val="-4"/>
              </w:rPr>
            </w:pPr>
          </w:p>
          <w:p w14:paraId="63A203E7" w14:textId="77777777" w:rsidR="00EC6B23" w:rsidRDefault="00EC6B23" w:rsidP="002F7D0A">
            <w:pPr>
              <w:pStyle w:val="Marginlie"/>
              <w:spacing w:after="240"/>
              <w:rPr>
                <w:color w:val="0D0D0D" w:themeColor="text1" w:themeTint="F2"/>
                <w:spacing w:val="-4"/>
              </w:rPr>
            </w:pPr>
          </w:p>
          <w:p w14:paraId="597CB173" w14:textId="77777777" w:rsidR="00EC6B23" w:rsidRDefault="00EC6B23" w:rsidP="002F7D0A">
            <w:pPr>
              <w:pStyle w:val="Marginlie"/>
              <w:spacing w:after="240"/>
              <w:rPr>
                <w:color w:val="0D0D0D" w:themeColor="text1" w:themeTint="F2"/>
                <w:spacing w:val="-4"/>
              </w:rPr>
            </w:pPr>
            <w:r>
              <w:rPr>
                <w:color w:val="0D0D0D" w:themeColor="text1" w:themeTint="F2"/>
                <w:spacing w:val="-4"/>
              </w:rPr>
              <w:t xml:space="preserve">Spotřeba všech hlavních druhů masa rostla, a to </w:t>
            </w:r>
            <w:r>
              <w:rPr>
                <w:color w:val="0D0D0D" w:themeColor="text1" w:themeTint="F2"/>
                <w:spacing w:val="-4"/>
              </w:rPr>
              <w:br/>
              <w:t>i vlivem posíleného dovozu.</w:t>
            </w:r>
          </w:p>
          <w:p w14:paraId="1FB05E46" w14:textId="77777777" w:rsidR="00EC6B23" w:rsidRPr="00C95A68" w:rsidRDefault="00EC6B23" w:rsidP="002F7D0A">
            <w:pPr>
              <w:pStyle w:val="Marginlie"/>
              <w:spacing w:after="240"/>
              <w:rPr>
                <w:color w:val="0D0D0D" w:themeColor="text1" w:themeTint="F2"/>
                <w:spacing w:val="-4"/>
              </w:rPr>
            </w:pPr>
          </w:p>
        </w:tc>
        <w:tc>
          <w:tcPr>
            <w:tcW w:w="229" w:type="dxa"/>
            <w:shd w:val="clear" w:color="auto" w:fill="auto"/>
            <w:tcMar>
              <w:left w:w="0" w:type="dxa"/>
            </w:tcMar>
          </w:tcPr>
          <w:p w14:paraId="4C1D6092" w14:textId="77777777" w:rsidR="00EC6B23" w:rsidRPr="00C95A68" w:rsidRDefault="00EC6B23" w:rsidP="002F7D0A">
            <w:pPr>
              <w:pStyle w:val="Textpoznpodarou"/>
              <w:spacing w:after="240"/>
              <w:jc w:val="both"/>
              <w:rPr>
                <w:color w:val="0D0D0D" w:themeColor="text1" w:themeTint="F2"/>
                <w:spacing w:val="-4"/>
              </w:rPr>
            </w:pPr>
          </w:p>
        </w:tc>
        <w:tc>
          <w:tcPr>
            <w:tcW w:w="7596" w:type="dxa"/>
            <w:shd w:val="clear" w:color="auto" w:fill="auto"/>
            <w:tcMar>
              <w:left w:w="0" w:type="dxa"/>
            </w:tcMar>
          </w:tcPr>
          <w:p w14:paraId="1E0EA346" w14:textId="77777777" w:rsidR="00EC6B23" w:rsidRPr="00EC434A" w:rsidRDefault="00EC6B23" w:rsidP="002F7D0A">
            <w:pPr>
              <w:rPr>
                <w:color w:val="0D0D0D" w:themeColor="text1" w:themeTint="F2"/>
                <w:spacing w:val="-4"/>
              </w:rPr>
            </w:pPr>
            <w:r w:rsidRPr="00EC434A">
              <w:rPr>
                <w:color w:val="0D0D0D" w:themeColor="text1" w:themeTint="F2"/>
                <w:spacing w:val="-4"/>
              </w:rPr>
              <w:t xml:space="preserve">Dva roky trvající meziroční pokles fyzického objemu výroby masa na jatkách se loni ve 4. čtvrtletí zastavil a tento obrat potvrdilo i 1. čtvrtletí 2024 (+0,8 %). K letošnímu růstu přispělo takřka výhradně jen mírné oživení výroby vepřového (+2,1 </w:t>
            </w:r>
            <w:r>
              <w:rPr>
                <w:color w:val="0D0D0D" w:themeColor="text1" w:themeTint="F2"/>
                <w:spacing w:val="-4"/>
              </w:rPr>
              <w:t xml:space="preserve">%), u hovězího </w:t>
            </w:r>
            <w:r w:rsidRPr="00EC434A">
              <w:rPr>
                <w:color w:val="0D0D0D" w:themeColor="text1" w:themeTint="F2"/>
                <w:spacing w:val="-4"/>
              </w:rPr>
              <w:t>i drůbežího výroba na jatkách stagnovala. U mléka pokračoval dlouhodobý mírný růst produkce – přímý nákup mléka od producentů se meziročně zvýšil o 3,2 % (z toho samotný nákup mlékárnami o 3,8 %). Hrubá tuzemská produkce odpovídající celkovým dodávkám z českých chovů na jatka (v tuzemsku i zahraničí) se v 1. čtvrtletí mezir</w:t>
            </w:r>
            <w:r>
              <w:rPr>
                <w:color w:val="0D0D0D" w:themeColor="text1" w:themeTint="F2"/>
                <w:spacing w:val="-4"/>
              </w:rPr>
              <w:t xml:space="preserve">očně zvýšila </w:t>
            </w:r>
            <w:r w:rsidRPr="00EC434A">
              <w:rPr>
                <w:color w:val="0D0D0D" w:themeColor="text1" w:themeTint="F2"/>
                <w:spacing w:val="-4"/>
              </w:rPr>
              <w:t xml:space="preserve">u vepřového masa o 3,8 %. Projevilo se posílení vývozu živých prasat k porážce (zejména na Slovensko a Maďarsko). U hovězího masa produkce naopak o 0,8 % klesla, zejména vlivem poklesu vývozu živých zvířat (např. do Německa i Rakouska) a </w:t>
            </w:r>
            <w:r>
              <w:rPr>
                <w:color w:val="0D0D0D" w:themeColor="text1" w:themeTint="F2"/>
                <w:spacing w:val="-4"/>
              </w:rPr>
              <w:t xml:space="preserve">došlo k mírnému </w:t>
            </w:r>
            <w:r w:rsidRPr="00EC434A">
              <w:rPr>
                <w:color w:val="0D0D0D" w:themeColor="text1" w:themeTint="F2"/>
                <w:spacing w:val="-4"/>
              </w:rPr>
              <w:t>nárůstu jejich dovozu. U drůbežího masa produkce stagnovala (+0,1 %), velmi mírný pokles výroby na tuzemských jatkách byl kompenzován vyšším exportem živých zvířat. Po započítání bilance dovozu a vývozu masa se předběžně kalkulovaná spotřeba masa meziročně zvýšila u všech tří druhů: u hovězího o 3,9 %, u vepřového o 3,2 % a u drůbežího o 8,9 %. Ovlivnila ji nejen vyšší produkce na našich jatkách, ale také zvýšený dovoz jak vepřového, tak drůbežího i hovězího.</w:t>
            </w:r>
          </w:p>
        </w:tc>
      </w:tr>
      <w:tr w:rsidR="00EC6B23" w:rsidRPr="003D1D6D" w14:paraId="03F7ACF0" w14:textId="77777777" w:rsidTr="002F7D0A">
        <w:trPr>
          <w:trHeight w:val="145"/>
        </w:trPr>
        <w:tc>
          <w:tcPr>
            <w:tcW w:w="1814" w:type="dxa"/>
            <w:shd w:val="clear" w:color="auto" w:fill="auto"/>
            <w:tcMar>
              <w:left w:w="0" w:type="dxa"/>
            </w:tcMar>
          </w:tcPr>
          <w:p w14:paraId="69519849" w14:textId="77777777" w:rsidR="00EC6B23" w:rsidRDefault="00EC6B23" w:rsidP="002F7D0A">
            <w:pPr>
              <w:pStyle w:val="Marginlie"/>
              <w:spacing w:after="240"/>
              <w:rPr>
                <w:color w:val="0D0D0D" w:themeColor="text1" w:themeTint="F2"/>
                <w:spacing w:val="-4"/>
              </w:rPr>
            </w:pPr>
            <w:r>
              <w:rPr>
                <w:color w:val="0D0D0D" w:themeColor="text1" w:themeTint="F2"/>
                <w:spacing w:val="-4"/>
              </w:rPr>
              <w:t xml:space="preserve">Většinu průmyslových odvětví stále limituje slabá poptávka a doznívající efekt zvýšených výrobních nákladů z období energetické krize. </w:t>
            </w:r>
          </w:p>
          <w:p w14:paraId="7A4C20B4" w14:textId="77777777" w:rsidR="00EC6B23" w:rsidRDefault="00EC6B23" w:rsidP="002F7D0A">
            <w:pPr>
              <w:pStyle w:val="Marginlie"/>
              <w:spacing w:after="240"/>
              <w:rPr>
                <w:color w:val="0D0D0D" w:themeColor="text1" w:themeTint="F2"/>
                <w:spacing w:val="-4"/>
              </w:rPr>
            </w:pPr>
          </w:p>
          <w:p w14:paraId="558F80B7" w14:textId="77777777" w:rsidR="00EC6B23" w:rsidRDefault="00EC6B23" w:rsidP="002F7D0A">
            <w:pPr>
              <w:pStyle w:val="Marginlie"/>
              <w:spacing w:after="240"/>
              <w:rPr>
                <w:color w:val="0D0D0D" w:themeColor="text1" w:themeTint="F2"/>
                <w:spacing w:val="-4"/>
              </w:rPr>
            </w:pPr>
          </w:p>
          <w:p w14:paraId="7D49D8E6" w14:textId="77777777" w:rsidR="00EC6B23" w:rsidRDefault="00EC6B23" w:rsidP="002F7D0A">
            <w:pPr>
              <w:pStyle w:val="Marginlie"/>
              <w:spacing w:after="240"/>
              <w:rPr>
                <w:color w:val="0D0D0D" w:themeColor="text1" w:themeTint="F2"/>
                <w:spacing w:val="-4"/>
              </w:rPr>
            </w:pPr>
          </w:p>
          <w:p w14:paraId="1512E964" w14:textId="77777777" w:rsidR="00EC6B23" w:rsidRDefault="00EC6B23" w:rsidP="002F7D0A">
            <w:pPr>
              <w:pStyle w:val="Marginlie"/>
              <w:spacing w:after="240"/>
              <w:rPr>
                <w:color w:val="0D0D0D" w:themeColor="text1" w:themeTint="F2"/>
                <w:spacing w:val="-4"/>
              </w:rPr>
            </w:pPr>
            <w:r>
              <w:rPr>
                <w:color w:val="0D0D0D" w:themeColor="text1" w:themeTint="F2"/>
                <w:spacing w:val="-4"/>
              </w:rPr>
              <w:t>Průmyslová produkce se tak na počátku roku 2024 mezikvartálně mírně snížila.</w:t>
            </w:r>
          </w:p>
        </w:tc>
        <w:tc>
          <w:tcPr>
            <w:tcW w:w="229" w:type="dxa"/>
            <w:shd w:val="clear" w:color="auto" w:fill="auto"/>
            <w:tcMar>
              <w:left w:w="0" w:type="dxa"/>
            </w:tcMar>
          </w:tcPr>
          <w:p w14:paraId="1190624B" w14:textId="77777777" w:rsidR="00EC6B23" w:rsidRDefault="00EC6B23" w:rsidP="002F7D0A">
            <w:pPr>
              <w:pStyle w:val="Textpoznpodarou"/>
              <w:spacing w:after="240"/>
              <w:jc w:val="both"/>
              <w:rPr>
                <w:spacing w:val="-4"/>
              </w:rPr>
            </w:pPr>
          </w:p>
        </w:tc>
        <w:tc>
          <w:tcPr>
            <w:tcW w:w="7596" w:type="dxa"/>
            <w:shd w:val="clear" w:color="auto" w:fill="auto"/>
            <w:tcMar>
              <w:left w:w="0" w:type="dxa"/>
            </w:tcMar>
          </w:tcPr>
          <w:p w14:paraId="6B179D3A" w14:textId="77777777" w:rsidR="00EC6B23" w:rsidRPr="00EC434A" w:rsidRDefault="00EC6B23" w:rsidP="002F7D0A">
            <w:pPr>
              <w:rPr>
                <w:color w:val="0D0D0D" w:themeColor="text1" w:themeTint="F2"/>
                <w:spacing w:val="-4"/>
              </w:rPr>
            </w:pPr>
            <w:r w:rsidRPr="00EC434A">
              <w:rPr>
                <w:color w:val="0D0D0D" w:themeColor="text1" w:themeTint="F2"/>
                <w:spacing w:val="-4"/>
              </w:rPr>
              <w:t>Průmysl v tuzemsku i v EU se na počátku letošního roku stále potýkal s utlumenou poptávkou. Na konci roku 2023 sice jeho výkon v Česku ožil, neboť produkce</w:t>
            </w:r>
            <w:r w:rsidRPr="00EC434A">
              <w:rPr>
                <w:rStyle w:val="Znakapoznpodarou"/>
                <w:color w:val="0D0D0D" w:themeColor="text1" w:themeTint="F2"/>
                <w:spacing w:val="-4"/>
              </w:rPr>
              <w:footnoteReference w:id="13"/>
            </w:r>
            <w:r w:rsidRPr="00EC434A">
              <w:rPr>
                <w:color w:val="0D0D0D" w:themeColor="text1" w:themeTint="F2"/>
                <w:spacing w:val="-4"/>
              </w:rPr>
              <w:t xml:space="preserve"> mezikvartálně vzrostla o 1,9 % (nejvíce od sklonku roku 2020), avšak na tomto vývoji měla významný podíl pouze výroba dopravních prostředků s nejbližšími návaznými obory. Automobilový průmysl ale v následujícím kvartálu </w:t>
            </w:r>
            <w:r>
              <w:rPr>
                <w:color w:val="0D0D0D" w:themeColor="text1" w:themeTint="F2"/>
                <w:spacing w:val="-4"/>
              </w:rPr>
              <w:t xml:space="preserve">již neudržel </w:t>
            </w:r>
            <w:r w:rsidRPr="00EC434A">
              <w:rPr>
                <w:color w:val="0D0D0D" w:themeColor="text1" w:themeTint="F2"/>
                <w:spacing w:val="-4"/>
              </w:rPr>
              <w:t>velmi vysoké tempo výroby, jež zčásti ještě pramenilo z finalizace většího objemu zakázek nahromaděných z období ovlivněného narušením dodavatelským řetězců. Vzhledem k jeho vysoké váze</w:t>
            </w:r>
            <w:r w:rsidRPr="00EC434A">
              <w:rPr>
                <w:rStyle w:val="Znakapoznpodarou"/>
                <w:color w:val="0D0D0D" w:themeColor="text1" w:themeTint="F2"/>
                <w:spacing w:val="-4"/>
              </w:rPr>
              <w:footnoteReference w:id="14"/>
            </w:r>
            <w:r w:rsidRPr="00EC434A">
              <w:rPr>
                <w:color w:val="0D0D0D" w:themeColor="text1" w:themeTint="F2"/>
                <w:spacing w:val="-4"/>
              </w:rPr>
              <w:t xml:space="preserve"> tak nebylo překvapivé, že výkon celého průmyslu se v 1. čtvrtletí 2024 mezikvartálně </w:t>
            </w:r>
            <w:r>
              <w:rPr>
                <w:color w:val="0D0D0D" w:themeColor="text1" w:themeTint="F2"/>
                <w:spacing w:val="-4"/>
              </w:rPr>
              <w:t xml:space="preserve">snížil </w:t>
            </w:r>
            <w:r w:rsidRPr="00EC434A">
              <w:rPr>
                <w:color w:val="0D0D0D" w:themeColor="text1" w:themeTint="F2"/>
                <w:spacing w:val="-4"/>
              </w:rPr>
              <w:t>o 0,7 %</w:t>
            </w:r>
            <w:r>
              <w:rPr>
                <w:color w:val="0D0D0D" w:themeColor="text1" w:themeTint="F2"/>
                <w:spacing w:val="-4"/>
              </w:rPr>
              <w:t>.</w:t>
            </w:r>
            <w:r w:rsidRPr="00EC434A">
              <w:rPr>
                <w:color w:val="0D0D0D" w:themeColor="text1" w:themeTint="F2"/>
                <w:spacing w:val="-4"/>
              </w:rPr>
              <w:t xml:space="preserve"> Na druhou stranu produkce většiny energeticky náročných zpracovatelských oborů se díky postupnému zklidnění situace na energetických trzích již patrně odráží od svého dna. Např. výkon ve výrobě stavebních materiálů se po sedmi čtvrtletích nepřetržitých poklesů</w:t>
            </w:r>
            <w:r w:rsidRPr="00EC434A">
              <w:rPr>
                <w:rStyle w:val="Znakapoznpodarou"/>
                <w:color w:val="0D0D0D" w:themeColor="text1" w:themeTint="F2"/>
                <w:spacing w:val="-4"/>
              </w:rPr>
              <w:footnoteReference w:id="15"/>
            </w:r>
            <w:r w:rsidRPr="00EC434A">
              <w:rPr>
                <w:color w:val="0D0D0D" w:themeColor="text1" w:themeTint="F2"/>
                <w:spacing w:val="-4"/>
              </w:rPr>
              <w:t xml:space="preserve"> letos na počátku roku mezikvartálně zvýšil skoro o 8 %. Výroba základních kovů, hutnictví a slévárenství je ovšem stále výrazně utlumená, a to nejen v Česku, ale také ve většině zemí EU. Se slabou poptávkou se nadále potýká i těžební průmysl a energetika. Výše uvedené vlivy vedly k tomu, že produkce celého průmyslu v 1. čtvrtletí za svým vrcholem z období předpandemické konjunktury (2. čtvrtletí 2019) mírně zaostala (o 1,7 %)</w:t>
            </w:r>
            <w:r w:rsidRPr="00EC434A">
              <w:rPr>
                <w:rStyle w:val="Znakapoznpodarou"/>
                <w:color w:val="0D0D0D" w:themeColor="text1" w:themeTint="F2"/>
                <w:spacing w:val="-4"/>
              </w:rPr>
              <w:footnoteReference w:id="16"/>
            </w:r>
            <w:r w:rsidRPr="00EC434A">
              <w:rPr>
                <w:color w:val="0D0D0D" w:themeColor="text1" w:themeTint="F2"/>
                <w:spacing w:val="-4"/>
              </w:rPr>
              <w:t>.</w:t>
            </w:r>
          </w:p>
        </w:tc>
      </w:tr>
      <w:tr w:rsidR="00EC6B23" w:rsidRPr="003D1D6D" w14:paraId="7D540D9A" w14:textId="77777777" w:rsidTr="002F7D0A">
        <w:trPr>
          <w:trHeight w:val="145"/>
        </w:trPr>
        <w:tc>
          <w:tcPr>
            <w:tcW w:w="1814" w:type="dxa"/>
            <w:shd w:val="clear" w:color="auto" w:fill="auto"/>
            <w:tcMar>
              <w:left w:w="0" w:type="dxa"/>
            </w:tcMar>
          </w:tcPr>
          <w:p w14:paraId="4FB23832" w14:textId="77777777" w:rsidR="00EC6B23" w:rsidRDefault="00EC6B23" w:rsidP="002F7D0A">
            <w:pPr>
              <w:pStyle w:val="Marginlie"/>
              <w:spacing w:after="240"/>
              <w:rPr>
                <w:color w:val="0D0D0D" w:themeColor="text1" w:themeTint="F2"/>
                <w:spacing w:val="-4"/>
              </w:rPr>
            </w:pPr>
            <w:r>
              <w:rPr>
                <w:color w:val="0D0D0D" w:themeColor="text1" w:themeTint="F2"/>
                <w:spacing w:val="-4"/>
              </w:rPr>
              <w:lastRenderedPageBreak/>
              <w:t xml:space="preserve">Za meziročním poklesem průmyslu stálo především strojírenství. </w:t>
            </w:r>
          </w:p>
          <w:p w14:paraId="0322BB2C" w14:textId="77777777" w:rsidR="00EC6B23" w:rsidRDefault="00EC6B23" w:rsidP="002F7D0A">
            <w:pPr>
              <w:pStyle w:val="Marginlie"/>
              <w:spacing w:after="240"/>
              <w:rPr>
                <w:color w:val="0D0D0D" w:themeColor="text1" w:themeTint="F2"/>
                <w:spacing w:val="-4"/>
              </w:rPr>
            </w:pPr>
          </w:p>
          <w:p w14:paraId="667334C3" w14:textId="77777777" w:rsidR="00EC6B23" w:rsidRDefault="00EC6B23" w:rsidP="002F7D0A">
            <w:pPr>
              <w:pStyle w:val="Marginlie"/>
              <w:spacing w:after="240"/>
              <w:rPr>
                <w:color w:val="0D0D0D" w:themeColor="text1" w:themeTint="F2"/>
                <w:spacing w:val="-4"/>
              </w:rPr>
            </w:pPr>
          </w:p>
          <w:p w14:paraId="6CBC1C5E" w14:textId="77777777" w:rsidR="00EC6B23" w:rsidRDefault="00EC6B23" w:rsidP="002F7D0A">
            <w:pPr>
              <w:pStyle w:val="Marginlie"/>
              <w:spacing w:after="240"/>
              <w:rPr>
                <w:color w:val="0D0D0D" w:themeColor="text1" w:themeTint="F2"/>
                <w:spacing w:val="-4"/>
              </w:rPr>
            </w:pPr>
            <w:r>
              <w:rPr>
                <w:color w:val="0D0D0D" w:themeColor="text1" w:themeTint="F2"/>
                <w:spacing w:val="-4"/>
              </w:rPr>
              <w:t>Pokračující útlum produkce energetiky odrážel dopad nebývalé teplé zimy i přetrvávající slabé ekonomické aktivity většiny výrobních odvětví.</w:t>
            </w:r>
          </w:p>
          <w:p w14:paraId="079938D7" w14:textId="77777777" w:rsidR="00EC6B23" w:rsidRDefault="00EC6B23" w:rsidP="002F7D0A">
            <w:pPr>
              <w:pStyle w:val="Marginlie"/>
              <w:spacing w:after="240"/>
              <w:rPr>
                <w:color w:val="0D0D0D" w:themeColor="text1" w:themeTint="F2"/>
                <w:spacing w:val="-4"/>
              </w:rPr>
            </w:pPr>
            <w:r>
              <w:rPr>
                <w:color w:val="0D0D0D" w:themeColor="text1" w:themeTint="F2"/>
                <w:spacing w:val="-4"/>
              </w:rPr>
              <w:t>Nadále se vytěžilo méně uhlí i stavebních materiálů.</w:t>
            </w:r>
          </w:p>
        </w:tc>
        <w:tc>
          <w:tcPr>
            <w:tcW w:w="229" w:type="dxa"/>
            <w:shd w:val="clear" w:color="auto" w:fill="auto"/>
            <w:tcMar>
              <w:left w:w="0" w:type="dxa"/>
            </w:tcMar>
          </w:tcPr>
          <w:p w14:paraId="1C2638CB" w14:textId="77777777" w:rsidR="00EC6B23" w:rsidRDefault="00EC6B23" w:rsidP="002F7D0A">
            <w:pPr>
              <w:pStyle w:val="Textpoznpodarou"/>
              <w:spacing w:after="240"/>
              <w:jc w:val="both"/>
              <w:rPr>
                <w:spacing w:val="-4"/>
              </w:rPr>
            </w:pPr>
          </w:p>
        </w:tc>
        <w:tc>
          <w:tcPr>
            <w:tcW w:w="7596" w:type="dxa"/>
            <w:shd w:val="clear" w:color="auto" w:fill="auto"/>
            <w:tcMar>
              <w:left w:w="0" w:type="dxa"/>
            </w:tcMar>
          </w:tcPr>
          <w:p w14:paraId="015D8F6E" w14:textId="77777777" w:rsidR="00EC6B23" w:rsidRPr="00EC434A" w:rsidRDefault="00EC6B23" w:rsidP="002F7D0A">
            <w:pPr>
              <w:rPr>
                <w:color w:val="0D0D0D" w:themeColor="text1" w:themeTint="F2"/>
                <w:spacing w:val="-4"/>
              </w:rPr>
            </w:pPr>
            <w:r w:rsidRPr="00EC434A">
              <w:rPr>
                <w:color w:val="0D0D0D" w:themeColor="text1" w:themeTint="F2"/>
                <w:spacing w:val="-4"/>
              </w:rPr>
              <w:t>V 1. čtvrtletí 2024 se průmyslová produkce meziročně snížila o 0,9 %, pokles pokračoval třetí kvartál v řadě. Za tímto vývojem stála, stejně jako na konci loňského roku, především nižší produkce strojírenství (o 13 %, příspěvek k růstu −1,1 p. b.). Přetrvávající slabší důvěra podnikatelů v ekonomiku spolu se zhoršenou dostupností úvěrového financování (vlivem vysokých úrokových sazeb) podvazuje růst tuzemské soukromé investiční aktivity. Strojírenství ovšem aktuálně naráží i na slabší poptávku ze zahraničí. Výkon průmyslu citelně tlumila energetika (−0,5 p. b.), byť pokles produkce v ní oproti loňskému rekordnímu propadu</w:t>
            </w:r>
            <w:r w:rsidRPr="00EC434A">
              <w:rPr>
                <w:rStyle w:val="Znakapoznpodarou"/>
                <w:color w:val="0D0D0D" w:themeColor="text1" w:themeTint="F2"/>
                <w:spacing w:val="-4"/>
              </w:rPr>
              <w:footnoteReference w:id="17"/>
            </w:r>
            <w:r w:rsidRPr="00EC434A">
              <w:rPr>
                <w:color w:val="0D0D0D" w:themeColor="text1" w:themeTint="F2"/>
                <w:spacing w:val="-4"/>
              </w:rPr>
              <w:t xml:space="preserve"> zmírnil na −5 %. Pokračující snižování výkonu ovlivnila v prvé řadě nižší produkce uhelných elektráren. Významně se nadále projevuje přetrvávající pokles tuzemské poptávky související letos především s nebývale vysokými teplotami ve druhé půli zimního období</w:t>
            </w:r>
            <w:r w:rsidRPr="00EC434A">
              <w:rPr>
                <w:rStyle w:val="Znakapoznpodarou"/>
                <w:color w:val="0D0D0D" w:themeColor="text1" w:themeTint="F2"/>
                <w:spacing w:val="-4"/>
              </w:rPr>
              <w:footnoteReference w:id="18"/>
            </w:r>
            <w:r w:rsidRPr="00EC434A">
              <w:rPr>
                <w:color w:val="0D0D0D" w:themeColor="text1" w:themeTint="F2"/>
                <w:spacing w:val="-4"/>
              </w:rPr>
              <w:t>. Roli ovšem stále hrála i celková snížená poptávka ve většině výrobních odvětví, což je důsledek přetrvávající slabé ekonomické aktivity. Naopak vliv úsporných opatření motivovaných vysokými cenami energií, jenž byl klíčový v letech 2022 i 2023, vyprchává</w:t>
            </w:r>
            <w:r w:rsidRPr="00EC434A">
              <w:rPr>
                <w:rStyle w:val="Znakapoznpodarou"/>
                <w:color w:val="0D0D0D" w:themeColor="text1" w:themeTint="F2"/>
                <w:spacing w:val="-4"/>
              </w:rPr>
              <w:footnoteReference w:id="19"/>
            </w:r>
            <w:r w:rsidRPr="00EC434A">
              <w:rPr>
                <w:color w:val="0D0D0D" w:themeColor="text1" w:themeTint="F2"/>
                <w:spacing w:val="-4"/>
              </w:rPr>
              <w:t>. S vývojem v energetice souvisí i pokračující řízený útlum v těžebním průmyslu. Dvojciferný pokles produkce zde pokračoval pátý kvartál v řadě, aktuálně činil meziročních 15 % (a proti růstu výkonu celého průmyslu působil −0,3 p. b.). Negativně se projevuje hlavně pokles ve stále méně rentabilní těžbě uhlí (−21 %), slabá domácí poptávka však stále limituje rovněž výkon v těžbě stavebních materiálů (−7,5 %).</w:t>
            </w:r>
          </w:p>
        </w:tc>
      </w:tr>
      <w:tr w:rsidR="00EC6B23" w:rsidRPr="003D1D6D" w14:paraId="75914EB7" w14:textId="77777777" w:rsidTr="002F7D0A">
        <w:trPr>
          <w:trHeight w:val="145"/>
        </w:trPr>
        <w:tc>
          <w:tcPr>
            <w:tcW w:w="1814" w:type="dxa"/>
            <w:shd w:val="clear" w:color="auto" w:fill="auto"/>
            <w:tcMar>
              <w:left w:w="0" w:type="dxa"/>
            </w:tcMar>
          </w:tcPr>
          <w:p w14:paraId="1C9AD851" w14:textId="77777777" w:rsidR="00EC6B23" w:rsidRDefault="00EC6B23" w:rsidP="002F7D0A">
            <w:pPr>
              <w:pStyle w:val="Marginlie"/>
              <w:spacing w:after="240"/>
              <w:rPr>
                <w:color w:val="0D0D0D" w:themeColor="text1" w:themeTint="F2"/>
                <w:spacing w:val="-4"/>
              </w:rPr>
            </w:pPr>
            <w:r>
              <w:rPr>
                <w:color w:val="0D0D0D" w:themeColor="text1" w:themeTint="F2"/>
                <w:spacing w:val="-4"/>
              </w:rPr>
              <w:t xml:space="preserve">Energeticky náročné obory hutnictví či kovodělného průmyslu čelily slabé poptávce i stále zvýšeným výrobním nákladům. </w:t>
            </w:r>
          </w:p>
        </w:tc>
        <w:tc>
          <w:tcPr>
            <w:tcW w:w="229" w:type="dxa"/>
            <w:shd w:val="clear" w:color="auto" w:fill="auto"/>
            <w:tcMar>
              <w:left w:w="0" w:type="dxa"/>
            </w:tcMar>
          </w:tcPr>
          <w:p w14:paraId="7B6954BE" w14:textId="77777777" w:rsidR="00EC6B23" w:rsidRDefault="00EC6B23" w:rsidP="002F7D0A">
            <w:pPr>
              <w:pStyle w:val="Textpoznpodarou"/>
              <w:spacing w:after="240"/>
              <w:jc w:val="both"/>
              <w:rPr>
                <w:spacing w:val="-4"/>
              </w:rPr>
            </w:pPr>
          </w:p>
        </w:tc>
        <w:tc>
          <w:tcPr>
            <w:tcW w:w="7596" w:type="dxa"/>
            <w:shd w:val="clear" w:color="auto" w:fill="auto"/>
            <w:tcMar>
              <w:left w:w="0" w:type="dxa"/>
            </w:tcMar>
          </w:tcPr>
          <w:p w14:paraId="12E4FB81" w14:textId="77777777" w:rsidR="00EC6B23" w:rsidRPr="00EC434A" w:rsidRDefault="00EC6B23" w:rsidP="002F7D0A">
            <w:pPr>
              <w:rPr>
                <w:color w:val="0D0D0D" w:themeColor="text1" w:themeTint="F2"/>
                <w:spacing w:val="-4"/>
              </w:rPr>
            </w:pPr>
            <w:r w:rsidRPr="00EC434A">
              <w:rPr>
                <w:color w:val="0D0D0D" w:themeColor="text1" w:themeTint="F2"/>
                <w:spacing w:val="-4"/>
              </w:rPr>
              <w:t>Slabé poptávce i stále zvýšeným výrobním nákladům (ve vztahu k roku 2020 i 2021) čelily i na počátku letošního roku některé energeticky náročné obory. V základní kovovýrobě, hutnictví a slévárenství se produkce meziročn</w:t>
            </w:r>
            <w:r>
              <w:rPr>
                <w:color w:val="0D0D0D" w:themeColor="text1" w:themeTint="F2"/>
                <w:spacing w:val="-4"/>
              </w:rPr>
              <w:t>ě</w:t>
            </w:r>
            <w:r w:rsidRPr="00EC434A">
              <w:rPr>
                <w:color w:val="0D0D0D" w:themeColor="text1" w:themeTint="F2"/>
                <w:spacing w:val="-4"/>
              </w:rPr>
              <w:t xml:space="preserve"> snížila desátý kvartál v řadě, aktuálně o 7,2 %. Firmám chyběla nejvíce zahraniční poptávka. Mírněji se snížil výkon také v kovodělném průmyslu (−1,2 %), kde lze však pozorovat náznak příznivějšího vývoje zahraniční poptávky. Na tuzemském trhu se navíc stále pozitivně projevují státní zakázky v dílčím segmentu zbrojní výroby. O 2,4 % se v 1. čtvrtletí snížila produkce ve výrazně proexportním i dovozně náročném a investičně orientovaném elektronickém průmyslu. V pozadí nadále stála oslabená zahraniční poptávka, ale nově i ustupující „boom“ rozvoje fotovoltaiky na domácím trhu. Mírný útlum celého odvětví přitom zřetelně předznamenal pokles meziročních temp dovozu výrobních komponent, patrný po většinu loňského roku. Přetrvávající recese v tuzemském stavebnictví ovlivňovala na počátku roku vývoj ve výrobě ostatních nekovových minerálních výrobků i v textilním průmyslu (skrze slabší poptávku v dominantním segmentu výroby technických textilií). V obou případech ale meziroční pokles výroby zmírňuje a v mezikvartálním srovnání je patrný náznak oživení.</w:t>
            </w:r>
          </w:p>
        </w:tc>
      </w:tr>
      <w:tr w:rsidR="00EC6B23" w:rsidRPr="003D1D6D" w14:paraId="3819CCA2" w14:textId="77777777" w:rsidTr="002F7D0A">
        <w:trPr>
          <w:trHeight w:val="145"/>
        </w:trPr>
        <w:tc>
          <w:tcPr>
            <w:tcW w:w="1814" w:type="dxa"/>
            <w:shd w:val="clear" w:color="auto" w:fill="auto"/>
            <w:tcMar>
              <w:left w:w="0" w:type="dxa"/>
            </w:tcMar>
          </w:tcPr>
          <w:p w14:paraId="6285ADED" w14:textId="77777777" w:rsidR="00EC6B23" w:rsidRDefault="00EC6B23" w:rsidP="002F7D0A">
            <w:pPr>
              <w:pStyle w:val="Marginlie"/>
              <w:spacing w:after="240"/>
              <w:rPr>
                <w:color w:val="0D0D0D" w:themeColor="text1" w:themeTint="F2"/>
                <w:spacing w:val="-4"/>
              </w:rPr>
            </w:pPr>
            <w:r>
              <w:rPr>
                <w:color w:val="0D0D0D" w:themeColor="text1" w:themeTint="F2"/>
                <w:spacing w:val="-4"/>
              </w:rPr>
              <w:t>Dařilo se výrobě motorových vozidel, jejich fyzická produkce byla rekordní. Rostl i výkon ve výrobě ostatních dopravních prostředků.</w:t>
            </w:r>
          </w:p>
        </w:tc>
        <w:tc>
          <w:tcPr>
            <w:tcW w:w="229" w:type="dxa"/>
            <w:shd w:val="clear" w:color="auto" w:fill="auto"/>
            <w:tcMar>
              <w:left w:w="0" w:type="dxa"/>
            </w:tcMar>
          </w:tcPr>
          <w:p w14:paraId="3D6E4938" w14:textId="77777777" w:rsidR="00EC6B23" w:rsidRDefault="00EC6B23" w:rsidP="002F7D0A">
            <w:pPr>
              <w:pStyle w:val="Textpoznpodarou"/>
              <w:spacing w:after="240"/>
              <w:jc w:val="both"/>
              <w:rPr>
                <w:spacing w:val="-4"/>
              </w:rPr>
            </w:pPr>
          </w:p>
        </w:tc>
        <w:tc>
          <w:tcPr>
            <w:tcW w:w="7596" w:type="dxa"/>
            <w:shd w:val="clear" w:color="auto" w:fill="auto"/>
            <w:tcMar>
              <w:left w:w="0" w:type="dxa"/>
            </w:tcMar>
          </w:tcPr>
          <w:p w14:paraId="4AFBC74E" w14:textId="77777777" w:rsidR="00EC6B23" w:rsidRPr="00EC434A" w:rsidRDefault="00EC6B23" w:rsidP="002F7D0A">
            <w:pPr>
              <w:rPr>
                <w:color w:val="0D0D0D" w:themeColor="text1" w:themeTint="F2"/>
                <w:spacing w:val="-4"/>
              </w:rPr>
            </w:pPr>
            <w:r w:rsidRPr="00EC434A">
              <w:rPr>
                <w:color w:val="0D0D0D" w:themeColor="text1" w:themeTint="F2"/>
                <w:spacing w:val="-4"/>
              </w:rPr>
              <w:t>Přestože meziroční růst produkce v automobilovém průmyslu zmírnil v 1. čtvrtletí na rovná 2 % (nejméně za posledních osm kvartálů), přispíval k vývoji celého průmyslu prorůstově ze všech jeho oborů stále nejvíce (+0,4 p. b.). Výrobci aut nadále profitovali ze solidního růstu domácí i zahraniční poptávky</w:t>
            </w:r>
            <w:r w:rsidRPr="00EC434A">
              <w:rPr>
                <w:rStyle w:val="Znakapoznpodarou"/>
                <w:color w:val="0D0D0D" w:themeColor="text1" w:themeTint="F2"/>
                <w:spacing w:val="-4"/>
              </w:rPr>
              <w:footnoteReference w:id="20"/>
            </w:r>
            <w:r w:rsidRPr="00EC434A">
              <w:rPr>
                <w:color w:val="0D0D0D" w:themeColor="text1" w:themeTint="F2"/>
                <w:spacing w:val="-4"/>
              </w:rPr>
              <w:t>. O dobré aktuální kondici celého odvětví svědčí rovněž údaje o fyzické produkci</w:t>
            </w:r>
            <w:r w:rsidRPr="00EC434A">
              <w:rPr>
                <w:rStyle w:val="Znakapoznpodarou"/>
                <w:color w:val="0D0D0D" w:themeColor="text1" w:themeTint="F2"/>
                <w:spacing w:val="-4"/>
              </w:rPr>
              <w:footnoteReference w:id="21"/>
            </w:r>
            <w:r w:rsidRPr="00EC434A">
              <w:rPr>
                <w:color w:val="0D0D0D" w:themeColor="text1" w:themeTint="F2"/>
                <w:spacing w:val="-4"/>
              </w:rPr>
              <w:t xml:space="preserve">, jakož i vysoké využití výrobních kapacit (to na počátku 2. čtvrtletí 2024 vystoupalo na 93,5 % a plně tak dorovnalo úroveň z vrcholu předpandemické konjunktury). Dařilo se rovněž výrobě ostatních (především kolejových) vozidel, v níž produkce i díky státním zakázkám v oblasti obrany vzrostla o 7,3 %. V dalších </w:t>
            </w:r>
            <w:r w:rsidRPr="00EC434A">
              <w:rPr>
                <w:color w:val="0D0D0D" w:themeColor="text1" w:themeTint="F2"/>
                <w:spacing w:val="-4"/>
              </w:rPr>
              <w:lastRenderedPageBreak/>
              <w:t xml:space="preserve">návazných oborech automobilového průmyslu produkce naopak letos spíše jen stagnovala, nicméně aktuální růst zakázek (hlavně v elektrotechnickém průmyslu) naznačuje příznivější vyhlídky. </w:t>
            </w:r>
          </w:p>
        </w:tc>
      </w:tr>
      <w:tr w:rsidR="00EC6B23" w:rsidRPr="003D1D6D" w14:paraId="52B08B5F" w14:textId="77777777" w:rsidTr="002F7D0A">
        <w:trPr>
          <w:trHeight w:val="145"/>
        </w:trPr>
        <w:tc>
          <w:tcPr>
            <w:tcW w:w="1814" w:type="dxa"/>
            <w:shd w:val="clear" w:color="auto" w:fill="auto"/>
            <w:tcMar>
              <w:left w:w="0" w:type="dxa"/>
            </w:tcMar>
          </w:tcPr>
          <w:p w14:paraId="50CC3FC3" w14:textId="77777777" w:rsidR="00EC6B23" w:rsidRDefault="00EC6B23" w:rsidP="002F7D0A">
            <w:pPr>
              <w:pStyle w:val="Marginlie"/>
              <w:spacing w:after="240"/>
              <w:rPr>
                <w:color w:val="0D0D0D" w:themeColor="text1" w:themeTint="F2"/>
                <w:spacing w:val="-4"/>
              </w:rPr>
            </w:pPr>
            <w:r>
              <w:rPr>
                <w:color w:val="0D0D0D" w:themeColor="text1" w:themeTint="F2"/>
                <w:spacing w:val="-4"/>
              </w:rPr>
              <w:lastRenderedPageBreak/>
              <w:t xml:space="preserve">Pozitivní obrat nastal v energeticky náročných provozech chemického </w:t>
            </w:r>
            <w:r>
              <w:rPr>
                <w:color w:val="0D0D0D" w:themeColor="text1" w:themeTint="F2"/>
                <w:spacing w:val="-4"/>
              </w:rPr>
              <w:br/>
              <w:t>a papírenského průmyslu a též v některých oborech těžících ze zvýšené spotřeby domácností.</w:t>
            </w:r>
          </w:p>
        </w:tc>
        <w:tc>
          <w:tcPr>
            <w:tcW w:w="229" w:type="dxa"/>
            <w:shd w:val="clear" w:color="auto" w:fill="auto"/>
            <w:tcMar>
              <w:left w:w="0" w:type="dxa"/>
            </w:tcMar>
          </w:tcPr>
          <w:p w14:paraId="46B6FEAC" w14:textId="77777777" w:rsidR="00EC6B23" w:rsidRDefault="00EC6B23" w:rsidP="002F7D0A">
            <w:pPr>
              <w:pStyle w:val="Textpoznpodarou"/>
              <w:spacing w:after="240"/>
              <w:jc w:val="both"/>
              <w:rPr>
                <w:spacing w:val="-4"/>
              </w:rPr>
            </w:pPr>
          </w:p>
        </w:tc>
        <w:tc>
          <w:tcPr>
            <w:tcW w:w="7596" w:type="dxa"/>
            <w:shd w:val="clear" w:color="auto" w:fill="auto"/>
            <w:tcMar>
              <w:left w:w="0" w:type="dxa"/>
            </w:tcMar>
          </w:tcPr>
          <w:p w14:paraId="7554D65C" w14:textId="77777777" w:rsidR="00EC6B23" w:rsidRPr="00EC434A" w:rsidRDefault="00EC6B23" w:rsidP="002F7D0A">
            <w:pPr>
              <w:rPr>
                <w:color w:val="0D0D0D" w:themeColor="text1" w:themeTint="F2"/>
                <w:spacing w:val="-4"/>
              </w:rPr>
            </w:pPr>
            <w:r w:rsidRPr="00EC434A">
              <w:rPr>
                <w:color w:val="0D0D0D" w:themeColor="text1" w:themeTint="F2"/>
                <w:spacing w:val="-4"/>
              </w:rPr>
              <w:t xml:space="preserve">K významnému obratu došlo letos v chemickém průmyslu, kde produkce v 1. čtvrtletí meziročně vzrostla poprvé za posledních 1,5 roku (+5,4 %). Pozitivní vliv zde mělo posílení domácí poptávky. Oživení nastalo i v dalším energeticky náročném, avšak malém oboru – papírenském průmyslu. Produkce zde dokonce rostla ze všech průmyslových oborů nejvíce (+9,3 %). Pozitivní obrat naznačuje rovněž vyšší produkce v některých malých oborech orientovaných převážně na produkty krátkodobé spotřeby (potravinářský, nápojový a oděvní průmysl). Naopak dlouhodobě (prakticky bez narušení </w:t>
            </w:r>
            <w:r>
              <w:rPr>
                <w:color w:val="0D0D0D" w:themeColor="text1" w:themeTint="F2"/>
                <w:spacing w:val="-4"/>
              </w:rPr>
              <w:br/>
            </w:r>
            <w:r w:rsidRPr="00EC434A">
              <w:rPr>
                <w:color w:val="0D0D0D" w:themeColor="text1" w:themeTint="F2"/>
                <w:spacing w:val="-4"/>
              </w:rPr>
              <w:t xml:space="preserve">i </w:t>
            </w:r>
            <w:r>
              <w:rPr>
                <w:color w:val="0D0D0D" w:themeColor="text1" w:themeTint="F2"/>
                <w:spacing w:val="-4"/>
              </w:rPr>
              <w:t>přes éru</w:t>
            </w:r>
            <w:r w:rsidRPr="00EC434A">
              <w:rPr>
                <w:color w:val="0D0D0D" w:themeColor="text1" w:themeTint="F2"/>
                <w:spacing w:val="-4"/>
              </w:rPr>
              <w:t xml:space="preserve"> pandemie) se rozvíjí farmaceutický průmysl. Za téměř 5% růstem jeho produkce v 1. čtvrtletí stála vyšší poptávka z tuzemska i zahraničí.</w:t>
            </w:r>
          </w:p>
        </w:tc>
      </w:tr>
      <w:tr w:rsidR="00EC6B23" w:rsidRPr="00A92514" w14:paraId="3BBAC90D" w14:textId="77777777" w:rsidTr="002F7D0A">
        <w:trPr>
          <w:trHeight w:val="170"/>
        </w:trPr>
        <w:tc>
          <w:tcPr>
            <w:tcW w:w="1814" w:type="dxa"/>
            <w:vMerge w:val="restart"/>
            <w:shd w:val="clear" w:color="auto" w:fill="auto"/>
            <w:tcMar>
              <w:left w:w="0" w:type="dxa"/>
            </w:tcMar>
          </w:tcPr>
          <w:p w14:paraId="59DF9067" w14:textId="77777777" w:rsidR="00EC6B23" w:rsidRDefault="00EC6B23" w:rsidP="002F7D0A">
            <w:pPr>
              <w:pStyle w:val="Marginlie"/>
            </w:pPr>
          </w:p>
        </w:tc>
        <w:tc>
          <w:tcPr>
            <w:tcW w:w="229" w:type="dxa"/>
            <w:vMerge w:val="restart"/>
            <w:shd w:val="clear" w:color="auto" w:fill="auto"/>
            <w:tcMar>
              <w:left w:w="0" w:type="dxa"/>
            </w:tcMar>
          </w:tcPr>
          <w:p w14:paraId="70B3B7E6" w14:textId="77777777" w:rsidR="00EC6B23" w:rsidRDefault="00EC6B23" w:rsidP="002F7D0A">
            <w:pPr>
              <w:pStyle w:val="Textpoznpodarou"/>
              <w:jc w:val="both"/>
              <w:rPr>
                <w:spacing w:val="-4"/>
              </w:rPr>
            </w:pPr>
          </w:p>
        </w:tc>
        <w:tc>
          <w:tcPr>
            <w:tcW w:w="7596" w:type="dxa"/>
            <w:shd w:val="clear" w:color="auto" w:fill="auto"/>
            <w:tcMar>
              <w:left w:w="0" w:type="dxa"/>
            </w:tcMar>
          </w:tcPr>
          <w:p w14:paraId="39A2F5C1" w14:textId="77777777" w:rsidR="00EC6B23" w:rsidRPr="00884AAD" w:rsidRDefault="00EC6B23" w:rsidP="002F7D0A">
            <w:pPr>
              <w:spacing w:after="0"/>
              <w:rPr>
                <w:spacing w:val="-2"/>
              </w:rPr>
            </w:pPr>
            <w:r w:rsidRPr="00884AAD">
              <w:rPr>
                <w:rFonts w:cs="Arial"/>
                <w:b/>
                <w:bCs/>
                <w:color w:val="000000"/>
                <w:spacing w:val="-2"/>
                <w:szCs w:val="20"/>
              </w:rPr>
              <w:t xml:space="preserve">Graf č. 4 </w:t>
            </w:r>
            <w:r w:rsidRPr="00884AAD">
              <w:rPr>
                <w:b/>
                <w:spacing w:val="-2"/>
              </w:rPr>
              <w:t xml:space="preserve">Příspěvky dílčích odvětví k meziroční změně průmyslové produkce v ČR </w:t>
            </w:r>
            <w:r w:rsidRPr="00884AAD">
              <w:rPr>
                <w:spacing w:val="-2"/>
              </w:rPr>
              <w:t xml:space="preserve">(očištěno o kalendářní vlivy, reálně, v p. b.) </w:t>
            </w:r>
            <w:r w:rsidRPr="00884AAD">
              <w:rPr>
                <w:b/>
                <w:spacing w:val="-2"/>
              </w:rPr>
              <w:t xml:space="preserve">a produkce v celém průmyslu v ČR, Německu a EU27 </w:t>
            </w:r>
            <w:r w:rsidRPr="00884AAD">
              <w:rPr>
                <w:spacing w:val="-2"/>
              </w:rPr>
              <w:t>(se</w:t>
            </w:r>
            <w:r>
              <w:rPr>
                <w:spacing w:val="-2"/>
              </w:rPr>
              <w:t>zónně očištěno, úroveň roku 2021</w:t>
            </w:r>
            <w:r w:rsidRPr="00884AAD">
              <w:rPr>
                <w:spacing w:val="-2"/>
              </w:rPr>
              <w:t>=100, pravá osa)</w:t>
            </w:r>
          </w:p>
        </w:tc>
      </w:tr>
      <w:tr w:rsidR="00EC6B23" w:rsidRPr="0067514E" w14:paraId="7BF4763B" w14:textId="77777777" w:rsidTr="002F7D0A">
        <w:tblPrEx>
          <w:tblCellMar>
            <w:left w:w="70" w:type="dxa"/>
            <w:right w:w="70" w:type="dxa"/>
          </w:tblCellMar>
        </w:tblPrEx>
        <w:trPr>
          <w:trHeight w:val="170"/>
        </w:trPr>
        <w:tc>
          <w:tcPr>
            <w:tcW w:w="1814" w:type="dxa"/>
            <w:vMerge/>
            <w:shd w:val="clear" w:color="auto" w:fill="auto"/>
          </w:tcPr>
          <w:p w14:paraId="07BFCCB2" w14:textId="77777777" w:rsidR="00EC6B23" w:rsidRDefault="00EC6B23" w:rsidP="002F7D0A">
            <w:pPr>
              <w:pStyle w:val="Marginlie"/>
            </w:pPr>
          </w:p>
        </w:tc>
        <w:tc>
          <w:tcPr>
            <w:tcW w:w="229" w:type="dxa"/>
            <w:vMerge/>
            <w:shd w:val="clear" w:color="auto" w:fill="auto"/>
          </w:tcPr>
          <w:p w14:paraId="641C7B63" w14:textId="77777777" w:rsidR="00EC6B23" w:rsidRDefault="00EC6B23" w:rsidP="002F7D0A">
            <w:pPr>
              <w:pStyle w:val="Textpoznpodarou"/>
              <w:jc w:val="both"/>
              <w:rPr>
                <w:spacing w:val="-4"/>
              </w:rPr>
            </w:pPr>
          </w:p>
        </w:tc>
        <w:tc>
          <w:tcPr>
            <w:tcW w:w="7596" w:type="dxa"/>
            <w:shd w:val="clear" w:color="auto" w:fill="auto"/>
          </w:tcPr>
          <w:p w14:paraId="33B6840B" w14:textId="77777777" w:rsidR="00EC6B23" w:rsidRPr="0067514E" w:rsidRDefault="00EC6B23" w:rsidP="002F7D0A">
            <w:pPr>
              <w:spacing w:after="0"/>
              <w:rPr>
                <w:spacing w:val="-6"/>
              </w:rPr>
            </w:pPr>
            <w:r>
              <w:rPr>
                <w:noProof/>
              </w:rPr>
              <w:drawing>
                <wp:inline distT="0" distB="0" distL="0" distR="0" wp14:anchorId="2A730B93" wp14:editId="1A8FD9FD">
                  <wp:extent cx="4723074" cy="3493770"/>
                  <wp:effectExtent l="0" t="0" r="1905"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EC6B23" w:rsidRPr="00E52D45" w14:paraId="0E243C08" w14:textId="77777777" w:rsidTr="002F7D0A">
        <w:trPr>
          <w:trHeight w:val="170"/>
        </w:trPr>
        <w:tc>
          <w:tcPr>
            <w:tcW w:w="1814" w:type="dxa"/>
            <w:vMerge/>
            <w:shd w:val="clear" w:color="auto" w:fill="auto"/>
            <w:tcMar>
              <w:left w:w="0" w:type="dxa"/>
            </w:tcMar>
          </w:tcPr>
          <w:p w14:paraId="6C68A646" w14:textId="77777777" w:rsidR="00EC6B23" w:rsidRDefault="00EC6B23" w:rsidP="002F7D0A">
            <w:pPr>
              <w:pStyle w:val="Marginlie"/>
            </w:pPr>
          </w:p>
        </w:tc>
        <w:tc>
          <w:tcPr>
            <w:tcW w:w="229" w:type="dxa"/>
            <w:vMerge/>
            <w:shd w:val="clear" w:color="auto" w:fill="auto"/>
            <w:tcMar>
              <w:left w:w="0" w:type="dxa"/>
            </w:tcMar>
          </w:tcPr>
          <w:p w14:paraId="05BFBA8D" w14:textId="77777777" w:rsidR="00EC6B23" w:rsidRDefault="00EC6B23" w:rsidP="002F7D0A">
            <w:pPr>
              <w:pStyle w:val="Textpoznpodarou"/>
              <w:jc w:val="both"/>
              <w:rPr>
                <w:spacing w:val="-4"/>
              </w:rPr>
            </w:pPr>
          </w:p>
        </w:tc>
        <w:tc>
          <w:tcPr>
            <w:tcW w:w="7596" w:type="dxa"/>
            <w:shd w:val="clear" w:color="auto" w:fill="auto"/>
            <w:tcMar>
              <w:left w:w="0" w:type="dxa"/>
            </w:tcMar>
          </w:tcPr>
          <w:p w14:paraId="27647516" w14:textId="77777777" w:rsidR="00EC6B23" w:rsidRDefault="00EC6B23" w:rsidP="002F7D0A">
            <w:pPr>
              <w:tabs>
                <w:tab w:val="right" w:pos="7683"/>
              </w:tabs>
              <w:spacing w:after="0" w:line="240" w:lineRule="auto"/>
              <w:jc w:val="left"/>
              <w:rPr>
                <w:rFonts w:cs="Arial"/>
                <w:sz w:val="14"/>
                <w:szCs w:val="14"/>
              </w:rPr>
            </w:pPr>
            <w:r>
              <w:rPr>
                <w:rFonts w:cs="Arial"/>
                <w:sz w:val="14"/>
                <w:szCs w:val="14"/>
              </w:rPr>
              <w:t xml:space="preserve">Poznámka: Tržby jsou uvedeny v běžných cenách. </w:t>
            </w:r>
            <w:r>
              <w:rPr>
                <w:rFonts w:cs="Arial"/>
                <w:sz w:val="14"/>
                <w:szCs w:val="14"/>
              </w:rPr>
              <w:tab/>
              <w:t xml:space="preserve"> </w:t>
            </w:r>
          </w:p>
          <w:p w14:paraId="53EC99DE" w14:textId="77777777" w:rsidR="00EC6B23" w:rsidRPr="0057119D" w:rsidRDefault="00EC6B23" w:rsidP="002F7D0A">
            <w:pPr>
              <w:tabs>
                <w:tab w:val="right" w:pos="7683"/>
              </w:tabs>
              <w:spacing w:after="0" w:line="240" w:lineRule="auto"/>
              <w:jc w:val="left"/>
              <w:rPr>
                <w:rFonts w:cs="Arial"/>
                <w:spacing w:val="-2"/>
                <w:sz w:val="14"/>
                <w:szCs w:val="14"/>
              </w:rPr>
            </w:pPr>
            <w:r w:rsidRPr="0057119D">
              <w:rPr>
                <w:rFonts w:cs="Arial"/>
                <w:spacing w:val="-2"/>
                <w:sz w:val="14"/>
                <w:szCs w:val="14"/>
              </w:rPr>
              <w:t xml:space="preserve">*Příspěvek zbývajícího zpracovatelského průmyslu zahrnuje i vliv celkové metodické diskrepance pramenící </w:t>
            </w:r>
            <w:r>
              <w:rPr>
                <w:rFonts w:cs="Arial"/>
                <w:spacing w:val="-2"/>
                <w:sz w:val="14"/>
                <w:szCs w:val="14"/>
              </w:rPr>
              <w:t>z</w:t>
            </w:r>
            <w:r w:rsidRPr="0057119D">
              <w:rPr>
                <w:rFonts w:cs="Arial"/>
                <w:spacing w:val="-2"/>
                <w:sz w:val="14"/>
                <w:szCs w:val="14"/>
              </w:rPr>
              <w:t>e změn</w:t>
            </w:r>
            <w:r>
              <w:rPr>
                <w:rFonts w:cs="Arial"/>
                <w:spacing w:val="-2"/>
                <w:sz w:val="14"/>
                <w:szCs w:val="14"/>
              </w:rPr>
              <w:t>y</w:t>
            </w:r>
            <w:r w:rsidRPr="0057119D">
              <w:rPr>
                <w:rFonts w:cs="Arial"/>
                <w:spacing w:val="-2"/>
                <w:sz w:val="14"/>
                <w:szCs w:val="14"/>
              </w:rPr>
              <w:t xml:space="preserve"> vah.</w:t>
            </w:r>
          </w:p>
          <w:p w14:paraId="36D7C16D" w14:textId="77777777" w:rsidR="00EC6B23" w:rsidRPr="00E52D45" w:rsidRDefault="00EC6B23" w:rsidP="002F7D0A">
            <w:pPr>
              <w:tabs>
                <w:tab w:val="right" w:pos="7683"/>
              </w:tabs>
              <w:spacing w:after="200" w:line="240" w:lineRule="auto"/>
              <w:jc w:val="left"/>
              <w:rPr>
                <w:spacing w:val="-2"/>
                <w:sz w:val="14"/>
                <w:szCs w:val="14"/>
              </w:rPr>
            </w:pPr>
            <w:r w:rsidRPr="00883202">
              <w:rPr>
                <w:rFonts w:cs="Arial"/>
                <w:sz w:val="14"/>
                <w:szCs w:val="14"/>
              </w:rPr>
              <w:t>Zdroj: ČSÚ</w:t>
            </w:r>
            <w:r>
              <w:rPr>
                <w:rFonts w:cs="Arial"/>
                <w:sz w:val="14"/>
                <w:szCs w:val="14"/>
              </w:rPr>
              <w:t>, Eurostat</w:t>
            </w:r>
          </w:p>
        </w:tc>
      </w:tr>
      <w:tr w:rsidR="00EC6B23" w:rsidRPr="00705C3E" w14:paraId="07A7D06F" w14:textId="77777777" w:rsidTr="002F7D0A">
        <w:trPr>
          <w:trHeight w:val="134"/>
        </w:trPr>
        <w:tc>
          <w:tcPr>
            <w:tcW w:w="1814" w:type="dxa"/>
            <w:shd w:val="clear" w:color="auto" w:fill="auto"/>
            <w:tcMar>
              <w:left w:w="0" w:type="dxa"/>
            </w:tcMar>
          </w:tcPr>
          <w:p w14:paraId="1F1FB2AF" w14:textId="77777777" w:rsidR="00EC6B23" w:rsidRDefault="00EC6B23" w:rsidP="002F7D0A">
            <w:pPr>
              <w:pStyle w:val="Marginlie"/>
            </w:pPr>
            <w:r>
              <w:t xml:space="preserve">Pokles hodnoty průmyslových zakázek se v 1. čtvrtletí zastavil. Dařilo se zejména segmentu automotive a návazným oborům. </w:t>
            </w:r>
          </w:p>
          <w:p w14:paraId="1E16AAC2" w14:textId="77777777" w:rsidR="00EC6B23" w:rsidRDefault="00EC6B23" w:rsidP="002F7D0A">
            <w:pPr>
              <w:pStyle w:val="Marginlie"/>
            </w:pPr>
          </w:p>
          <w:p w14:paraId="66A19D61" w14:textId="77777777" w:rsidR="00EC6B23" w:rsidRDefault="00EC6B23" w:rsidP="002F7D0A">
            <w:pPr>
              <w:pStyle w:val="Marginlie"/>
            </w:pPr>
          </w:p>
          <w:p w14:paraId="611F8853" w14:textId="77777777" w:rsidR="00EC6B23" w:rsidRDefault="00EC6B23" w:rsidP="002F7D0A">
            <w:pPr>
              <w:pStyle w:val="Marginlie"/>
            </w:pPr>
          </w:p>
          <w:p w14:paraId="11BDBC2F" w14:textId="77777777" w:rsidR="00EC6B23" w:rsidRDefault="00EC6B23" w:rsidP="002F7D0A">
            <w:pPr>
              <w:pStyle w:val="Marginlie"/>
            </w:pPr>
          </w:p>
          <w:p w14:paraId="36E91D5C" w14:textId="77777777" w:rsidR="00EC6B23" w:rsidRDefault="00EC6B23" w:rsidP="002F7D0A">
            <w:pPr>
              <w:pStyle w:val="Marginlie"/>
            </w:pPr>
            <w:r>
              <w:t>Ve strojírenství a hutnictví však domácí i zahraniční poptávka nadále citelně klesala.</w:t>
            </w:r>
          </w:p>
        </w:tc>
        <w:tc>
          <w:tcPr>
            <w:tcW w:w="229" w:type="dxa"/>
            <w:shd w:val="clear" w:color="auto" w:fill="auto"/>
            <w:tcMar>
              <w:left w:w="0" w:type="dxa"/>
            </w:tcMar>
          </w:tcPr>
          <w:p w14:paraId="2818146F" w14:textId="77777777" w:rsidR="00EC6B23" w:rsidRDefault="00EC6B23" w:rsidP="002F7D0A">
            <w:pPr>
              <w:pStyle w:val="Textpoznpodarou"/>
              <w:jc w:val="both"/>
              <w:rPr>
                <w:spacing w:val="-4"/>
              </w:rPr>
            </w:pPr>
          </w:p>
        </w:tc>
        <w:tc>
          <w:tcPr>
            <w:tcW w:w="7596" w:type="dxa"/>
            <w:shd w:val="clear" w:color="auto" w:fill="auto"/>
            <w:tcMar>
              <w:left w:w="0" w:type="dxa"/>
            </w:tcMar>
          </w:tcPr>
          <w:p w14:paraId="3ED4C123" w14:textId="4070DC30" w:rsidR="00EC6B23" w:rsidRPr="00EC434A" w:rsidRDefault="00EC6B23" w:rsidP="002F7D0A">
            <w:pPr>
              <w:spacing w:after="0"/>
              <w:rPr>
                <w:color w:val="0D0D0D" w:themeColor="text1" w:themeTint="F2"/>
                <w:spacing w:val="-4"/>
              </w:rPr>
            </w:pPr>
            <w:r w:rsidRPr="00EC434A">
              <w:rPr>
                <w:color w:val="0D0D0D" w:themeColor="text1" w:themeTint="F2"/>
                <w:spacing w:val="-4"/>
              </w:rPr>
              <w:t>Dynamika nových průmyslových zakázek potvrzovala na počátku roku mírné oživení.  Zatímco po většinu loňského roku se nominální hodnota zakázek ve sledovaných průmyslových oborech</w:t>
            </w:r>
            <w:r w:rsidRPr="00EC434A">
              <w:rPr>
                <w:rStyle w:val="Znakapoznpodarou"/>
                <w:color w:val="0D0D0D" w:themeColor="text1" w:themeTint="F2"/>
                <w:spacing w:val="-4"/>
              </w:rPr>
              <w:footnoteReference w:id="22"/>
            </w:r>
            <w:r w:rsidRPr="00EC434A">
              <w:rPr>
                <w:color w:val="0D0D0D" w:themeColor="text1" w:themeTint="F2"/>
                <w:spacing w:val="-4"/>
              </w:rPr>
              <w:t xml:space="preserve"> meziročně snižovala, v 1. čtvrtletí 2024 vzrostla o 4,1 %. To lze s ohledem na stagnaci cen průmyslových výrobců považovat za náznak budoucího hospodářského oživení celého odvětví. Mírný růst signalizovaly jak objednávky z tuzemska (+3,4 %), tak ze zahraničí (+4,5 %). Růst celkových zakázek byl stejně jako za posledních 1,5 roku nejvíce tažen vyšší poptávkou po motorových vozidlech (+12,9 %), dařilo se také návazné výrobě elektrických zařízení (+9,0 %). Pozitivní vyhlídky byly díky tuzemské poptávce patrné i u ostatních dopravních prostředků, ta má ovšem v tomto relativně menším odvětví značně volatilní charakter.</w:t>
            </w:r>
            <w:r>
              <w:rPr>
                <w:color w:val="0D0D0D" w:themeColor="text1" w:themeTint="F2"/>
                <w:spacing w:val="-4"/>
              </w:rPr>
              <w:t xml:space="preserve"> Podobné platí rovněž o oděvním </w:t>
            </w:r>
            <w:r w:rsidRPr="00EC434A">
              <w:rPr>
                <w:color w:val="0D0D0D" w:themeColor="text1" w:themeTint="F2"/>
                <w:spacing w:val="-4"/>
              </w:rPr>
              <w:t>a</w:t>
            </w:r>
            <w:r>
              <w:rPr>
                <w:color w:val="0D0D0D" w:themeColor="text1" w:themeTint="F2"/>
                <w:spacing w:val="-4"/>
              </w:rPr>
              <w:t> </w:t>
            </w:r>
            <w:r w:rsidRPr="00EC434A">
              <w:rPr>
                <w:color w:val="0D0D0D" w:themeColor="text1" w:themeTint="F2"/>
                <w:spacing w:val="-4"/>
              </w:rPr>
              <w:t xml:space="preserve">papírenském průmyslu, kde k mírnému (zhruba 5%) růstu zakázek pomohla hlavně vyšší </w:t>
            </w:r>
            <w:r w:rsidRPr="00EC434A">
              <w:rPr>
                <w:color w:val="0D0D0D" w:themeColor="text1" w:themeTint="F2"/>
                <w:spacing w:val="-4"/>
              </w:rPr>
              <w:lastRenderedPageBreak/>
              <w:t>poptávka ze zahraničí. Řada nosných zpracovatelských oborů byla ovšem stále limitovaná slabou poptávkou. V hutnictví propadla meziročně téměř o pětinu, ve strojírenství takřka o</w:t>
            </w:r>
            <w:r>
              <w:rPr>
                <w:color w:val="0D0D0D" w:themeColor="text1" w:themeTint="F2"/>
                <w:spacing w:val="-4"/>
              </w:rPr>
              <w:t> </w:t>
            </w:r>
            <w:r w:rsidRPr="00EC434A">
              <w:rPr>
                <w:color w:val="0D0D0D" w:themeColor="text1" w:themeTint="F2"/>
                <w:spacing w:val="-4"/>
              </w:rPr>
              <w:t xml:space="preserve">desetinu. </w:t>
            </w:r>
          </w:p>
          <w:p w14:paraId="03023B41" w14:textId="77777777" w:rsidR="00EC6B23" w:rsidRPr="00EC434A" w:rsidRDefault="00EC6B23" w:rsidP="002F7D0A">
            <w:pPr>
              <w:spacing w:after="0"/>
              <w:rPr>
                <w:spacing w:val="-4"/>
              </w:rPr>
            </w:pPr>
          </w:p>
        </w:tc>
      </w:tr>
      <w:tr w:rsidR="00EC6B23" w:rsidRPr="00705C3E" w14:paraId="6942C999" w14:textId="77777777" w:rsidTr="002F7D0A">
        <w:trPr>
          <w:trHeight w:val="134"/>
        </w:trPr>
        <w:tc>
          <w:tcPr>
            <w:tcW w:w="1814" w:type="dxa"/>
            <w:vMerge w:val="restart"/>
            <w:shd w:val="clear" w:color="auto" w:fill="auto"/>
            <w:tcMar>
              <w:left w:w="0" w:type="dxa"/>
            </w:tcMar>
          </w:tcPr>
          <w:p w14:paraId="4BF3DF0F" w14:textId="77777777" w:rsidR="00EC6B23" w:rsidRDefault="00EC6B23" w:rsidP="002F7D0A">
            <w:pPr>
              <w:pStyle w:val="Marginlie"/>
            </w:pPr>
          </w:p>
        </w:tc>
        <w:tc>
          <w:tcPr>
            <w:tcW w:w="229" w:type="dxa"/>
            <w:vMerge w:val="restart"/>
            <w:shd w:val="clear" w:color="auto" w:fill="auto"/>
            <w:tcMar>
              <w:left w:w="0" w:type="dxa"/>
            </w:tcMar>
          </w:tcPr>
          <w:p w14:paraId="65C11DC7" w14:textId="77777777" w:rsidR="00EC6B23" w:rsidRDefault="00EC6B23" w:rsidP="002F7D0A">
            <w:pPr>
              <w:pStyle w:val="Textpoznpodarou"/>
              <w:jc w:val="both"/>
              <w:rPr>
                <w:spacing w:val="-4"/>
              </w:rPr>
            </w:pPr>
          </w:p>
        </w:tc>
        <w:tc>
          <w:tcPr>
            <w:tcW w:w="7596" w:type="dxa"/>
            <w:shd w:val="clear" w:color="auto" w:fill="auto"/>
            <w:tcMar>
              <w:left w:w="0" w:type="dxa"/>
            </w:tcMar>
          </w:tcPr>
          <w:p w14:paraId="3CA035F5" w14:textId="150E7807" w:rsidR="00EC6B23" w:rsidRPr="00705C3E" w:rsidRDefault="00EC6B23" w:rsidP="002F7D0A">
            <w:pPr>
              <w:spacing w:after="0"/>
              <w:rPr>
                <w:color w:val="0D0D0D" w:themeColor="text1" w:themeTint="F2"/>
                <w:spacing w:val="-5"/>
              </w:rPr>
            </w:pPr>
            <w:r w:rsidRPr="00760356">
              <w:rPr>
                <w:b/>
                <w:spacing w:val="-2"/>
              </w:rPr>
              <w:t>Graf č. 5</w:t>
            </w:r>
            <w:r>
              <w:rPr>
                <w:b/>
                <w:spacing w:val="-2"/>
              </w:rPr>
              <w:t xml:space="preserve"> Nové zakázky v </w:t>
            </w:r>
            <w:r w:rsidRPr="00760356">
              <w:rPr>
                <w:b/>
                <w:spacing w:val="-2"/>
              </w:rPr>
              <w:t xml:space="preserve">průmyslu </w:t>
            </w:r>
            <w:r w:rsidRPr="00760356">
              <w:rPr>
                <w:bCs/>
                <w:spacing w:val="-2"/>
              </w:rPr>
              <w:t>(</w:t>
            </w:r>
            <w:r>
              <w:rPr>
                <w:bCs/>
                <w:spacing w:val="-2"/>
              </w:rPr>
              <w:t>nominálně</w:t>
            </w:r>
            <w:r w:rsidRPr="00760356">
              <w:rPr>
                <w:bCs/>
                <w:spacing w:val="-2"/>
              </w:rPr>
              <w:t xml:space="preserve">, </w:t>
            </w:r>
            <w:r w:rsidRPr="00760356">
              <w:rPr>
                <w:spacing w:val="-2"/>
              </w:rPr>
              <w:t>meziročně</w:t>
            </w:r>
            <w:r>
              <w:rPr>
                <w:spacing w:val="-2"/>
              </w:rPr>
              <w:t>,</w:t>
            </w:r>
            <w:r w:rsidRPr="00760356">
              <w:rPr>
                <w:bCs/>
                <w:spacing w:val="-2"/>
              </w:rPr>
              <w:t xml:space="preserve"> v %)</w:t>
            </w:r>
            <w:r>
              <w:rPr>
                <w:b/>
                <w:spacing w:val="-2"/>
              </w:rPr>
              <w:t xml:space="preserve">, </w:t>
            </w:r>
            <w:r w:rsidRPr="00760356">
              <w:rPr>
                <w:b/>
                <w:spacing w:val="-2"/>
              </w:rPr>
              <w:t>využi</w:t>
            </w:r>
            <w:r>
              <w:rPr>
                <w:b/>
                <w:spacing w:val="-2"/>
              </w:rPr>
              <w:t xml:space="preserve">tí výrobních kapacit v průmyslu, </w:t>
            </w:r>
            <w:r w:rsidRPr="00760356">
              <w:rPr>
                <w:b/>
                <w:spacing w:val="-2"/>
              </w:rPr>
              <w:t>vybrané bariéry růst</w:t>
            </w:r>
            <w:r w:rsidRPr="006E759E">
              <w:rPr>
                <w:b/>
                <w:spacing w:val="-2"/>
              </w:rPr>
              <w:t>u</w:t>
            </w:r>
            <w:r w:rsidRPr="006E759E">
              <w:rPr>
                <w:spacing w:val="-2"/>
              </w:rPr>
              <w:t xml:space="preserve">* (v %, pravá osa) </w:t>
            </w:r>
            <w:r w:rsidRPr="006E759E">
              <w:rPr>
                <w:b/>
                <w:spacing w:val="-2"/>
              </w:rPr>
              <w:t>a </w:t>
            </w:r>
            <w:r>
              <w:rPr>
                <w:b/>
              </w:rPr>
              <w:t>saldo</w:t>
            </w:r>
            <w:r w:rsidRPr="006E759E">
              <w:rPr>
                <w:b/>
              </w:rPr>
              <w:t xml:space="preserve"> důvěry</w:t>
            </w:r>
            <w:r w:rsidRPr="00883202">
              <w:rPr>
                <w:b/>
              </w:rPr>
              <w:t xml:space="preserve"> </w:t>
            </w:r>
            <w:r>
              <w:rPr>
                <w:b/>
              </w:rPr>
              <w:t xml:space="preserve">podnikatelů </w:t>
            </w:r>
            <w:r w:rsidRPr="00883202">
              <w:rPr>
                <w:b/>
              </w:rPr>
              <w:t xml:space="preserve">v průmyslu* </w:t>
            </w:r>
            <w:r>
              <w:t xml:space="preserve">(v p. b., pravá </w:t>
            </w:r>
            <w:r w:rsidRPr="00883202">
              <w:t>osa)</w:t>
            </w:r>
          </w:p>
        </w:tc>
      </w:tr>
      <w:tr w:rsidR="00EC6B23" w:rsidRPr="00705C3E" w14:paraId="0032FD75" w14:textId="77777777" w:rsidTr="002F7D0A">
        <w:tblPrEx>
          <w:tblCellMar>
            <w:left w:w="70" w:type="dxa"/>
            <w:right w:w="70" w:type="dxa"/>
          </w:tblCellMar>
        </w:tblPrEx>
        <w:trPr>
          <w:trHeight w:val="133"/>
        </w:trPr>
        <w:tc>
          <w:tcPr>
            <w:tcW w:w="1814" w:type="dxa"/>
            <w:vMerge/>
            <w:shd w:val="clear" w:color="auto" w:fill="auto"/>
          </w:tcPr>
          <w:p w14:paraId="423CEB5E" w14:textId="77777777" w:rsidR="00EC6B23" w:rsidRDefault="00EC6B23" w:rsidP="002F7D0A">
            <w:pPr>
              <w:pStyle w:val="Marginlie"/>
            </w:pPr>
          </w:p>
        </w:tc>
        <w:tc>
          <w:tcPr>
            <w:tcW w:w="229" w:type="dxa"/>
            <w:vMerge/>
            <w:shd w:val="clear" w:color="auto" w:fill="auto"/>
          </w:tcPr>
          <w:p w14:paraId="361E477F" w14:textId="77777777" w:rsidR="00EC6B23" w:rsidRDefault="00EC6B23" w:rsidP="002F7D0A">
            <w:pPr>
              <w:pStyle w:val="Textpoznpodarou"/>
              <w:jc w:val="both"/>
              <w:rPr>
                <w:spacing w:val="-4"/>
              </w:rPr>
            </w:pPr>
          </w:p>
        </w:tc>
        <w:tc>
          <w:tcPr>
            <w:tcW w:w="7596" w:type="dxa"/>
            <w:shd w:val="clear" w:color="auto" w:fill="auto"/>
          </w:tcPr>
          <w:p w14:paraId="42A99E84" w14:textId="77777777" w:rsidR="00EC6B23" w:rsidRPr="00705C3E" w:rsidRDefault="00EC6B23" w:rsidP="002F7D0A">
            <w:pPr>
              <w:spacing w:after="0"/>
              <w:rPr>
                <w:color w:val="0D0D0D" w:themeColor="text1" w:themeTint="F2"/>
                <w:spacing w:val="-5"/>
              </w:rPr>
            </w:pPr>
            <w:r>
              <w:rPr>
                <w:noProof/>
              </w:rPr>
              <w:drawing>
                <wp:inline distT="0" distB="0" distL="0" distR="0" wp14:anchorId="1BAA76FF" wp14:editId="75A3D9AE">
                  <wp:extent cx="4679332" cy="3636780"/>
                  <wp:effectExtent l="0" t="0" r="6985" b="1905"/>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EC6B23" w:rsidRPr="00705C3E" w14:paraId="287426AE" w14:textId="77777777" w:rsidTr="002F7D0A">
        <w:trPr>
          <w:trHeight w:val="133"/>
        </w:trPr>
        <w:tc>
          <w:tcPr>
            <w:tcW w:w="1814" w:type="dxa"/>
            <w:vMerge/>
            <w:shd w:val="clear" w:color="auto" w:fill="auto"/>
            <w:tcMar>
              <w:left w:w="0" w:type="dxa"/>
            </w:tcMar>
          </w:tcPr>
          <w:p w14:paraId="3F321A44" w14:textId="77777777" w:rsidR="00EC6B23" w:rsidRDefault="00EC6B23" w:rsidP="002F7D0A">
            <w:pPr>
              <w:pStyle w:val="Marginlie"/>
            </w:pPr>
          </w:p>
        </w:tc>
        <w:tc>
          <w:tcPr>
            <w:tcW w:w="229" w:type="dxa"/>
            <w:vMerge/>
            <w:shd w:val="clear" w:color="auto" w:fill="auto"/>
            <w:tcMar>
              <w:left w:w="0" w:type="dxa"/>
            </w:tcMar>
          </w:tcPr>
          <w:p w14:paraId="0026755B" w14:textId="77777777" w:rsidR="00EC6B23" w:rsidRDefault="00EC6B23" w:rsidP="002F7D0A">
            <w:pPr>
              <w:pStyle w:val="Textpoznpodarou"/>
              <w:jc w:val="both"/>
              <w:rPr>
                <w:spacing w:val="-4"/>
              </w:rPr>
            </w:pPr>
          </w:p>
        </w:tc>
        <w:tc>
          <w:tcPr>
            <w:tcW w:w="7596" w:type="dxa"/>
            <w:shd w:val="clear" w:color="auto" w:fill="auto"/>
            <w:tcMar>
              <w:left w:w="0" w:type="dxa"/>
            </w:tcMar>
          </w:tcPr>
          <w:p w14:paraId="5E70CCF8" w14:textId="77777777" w:rsidR="00EC6B23" w:rsidRPr="00705C3E" w:rsidRDefault="00EC6B23" w:rsidP="002F7D0A">
            <w:pPr>
              <w:spacing w:after="200" w:line="240" w:lineRule="auto"/>
              <w:rPr>
                <w:color w:val="0D0D0D" w:themeColor="text1" w:themeTint="F2"/>
                <w:spacing w:val="-5"/>
              </w:rPr>
            </w:pPr>
            <w:r w:rsidRPr="008B3FE9">
              <w:rPr>
                <w:color w:val="0D0D0D" w:themeColor="text1" w:themeTint="F2"/>
                <w:spacing w:val="-5"/>
                <w:sz w:val="14"/>
                <w:szCs w:val="14"/>
              </w:rPr>
              <w:t>*</w:t>
            </w:r>
            <w:r w:rsidRPr="008B3FE9">
              <w:rPr>
                <w:rFonts w:cs="Arial"/>
                <w:sz w:val="14"/>
                <w:szCs w:val="14"/>
              </w:rPr>
              <w:t>Vyu</w:t>
            </w:r>
            <w:r w:rsidRPr="00883202">
              <w:rPr>
                <w:rFonts w:cs="Arial"/>
                <w:sz w:val="14"/>
                <w:szCs w:val="14"/>
              </w:rPr>
              <w:t>žití průmys</w:t>
            </w:r>
            <w:r>
              <w:rPr>
                <w:rFonts w:cs="Arial"/>
                <w:sz w:val="14"/>
                <w:szCs w:val="14"/>
              </w:rPr>
              <w:t xml:space="preserve">lových kapacit i bariéry růstu vyjadřují stav v prvním měsíci daného čtvrtletí, </w:t>
            </w:r>
            <w:r w:rsidRPr="006E759E">
              <w:rPr>
                <w:rFonts w:cs="Arial"/>
                <w:sz w:val="14"/>
                <w:szCs w:val="14"/>
              </w:rPr>
              <w:t>saldo důvěry</w:t>
            </w:r>
            <w:r>
              <w:rPr>
                <w:rFonts w:cs="Arial"/>
                <w:sz w:val="14"/>
                <w:szCs w:val="14"/>
              </w:rPr>
              <w:t xml:space="preserve"> podnikatelů je vztaženo k</w:t>
            </w:r>
            <w:r w:rsidRPr="00883202">
              <w:rPr>
                <w:rFonts w:cs="Arial"/>
                <w:sz w:val="14"/>
                <w:szCs w:val="14"/>
              </w:rPr>
              <w:t xml:space="preserve">e </w:t>
            </w:r>
            <w:r>
              <w:rPr>
                <w:rFonts w:cs="Arial"/>
                <w:sz w:val="14"/>
                <w:szCs w:val="14"/>
              </w:rPr>
              <w:t xml:space="preserve">druhému měsíci čtvrtletí. Zakázky jsou očištěny o kalendářní vlivy, ostatní ukazatele jsou </w:t>
            </w:r>
            <w:r w:rsidRPr="00883202">
              <w:rPr>
                <w:rFonts w:cs="Arial"/>
                <w:spacing w:val="-2"/>
                <w:sz w:val="14"/>
                <w:szCs w:val="14"/>
              </w:rPr>
              <w:t>sezónně očištěny</w:t>
            </w:r>
            <w:r>
              <w:rPr>
                <w:rFonts w:cs="Arial"/>
                <w:spacing w:val="-2"/>
                <w:sz w:val="14"/>
                <w:szCs w:val="14"/>
              </w:rPr>
              <w:t>.</w:t>
            </w:r>
            <w:r w:rsidRPr="00883202">
              <w:rPr>
                <w:rFonts w:cs="Arial"/>
                <w:spacing w:val="-2"/>
                <w:sz w:val="14"/>
                <w:szCs w:val="14"/>
              </w:rPr>
              <w:t xml:space="preserve"> </w:t>
            </w:r>
            <w:r>
              <w:rPr>
                <w:rFonts w:cs="Arial"/>
                <w:sz w:val="14"/>
                <w:szCs w:val="14"/>
              </w:rPr>
              <w:t xml:space="preserve">Podniky mohly uvést více hlavních růstových bariér současně.                                                                   </w:t>
            </w:r>
            <w:r w:rsidRPr="00883202">
              <w:rPr>
                <w:rFonts w:cs="Arial"/>
                <w:sz w:val="14"/>
                <w:szCs w:val="14"/>
              </w:rPr>
              <w:t>Zdroj: ČSÚ</w:t>
            </w:r>
            <w:r>
              <w:rPr>
                <w:rFonts w:cs="Arial"/>
                <w:sz w:val="14"/>
                <w:szCs w:val="14"/>
              </w:rPr>
              <w:t>, Eurostat</w:t>
            </w:r>
          </w:p>
        </w:tc>
      </w:tr>
      <w:tr w:rsidR="00EC6B23" w:rsidRPr="00784EC8" w14:paraId="4C3F106B" w14:textId="77777777" w:rsidTr="002F7D0A">
        <w:trPr>
          <w:trHeight w:val="170"/>
        </w:trPr>
        <w:tc>
          <w:tcPr>
            <w:tcW w:w="1814" w:type="dxa"/>
            <w:shd w:val="clear" w:color="auto" w:fill="auto"/>
            <w:tcMar>
              <w:left w:w="0" w:type="dxa"/>
            </w:tcMar>
          </w:tcPr>
          <w:p w14:paraId="0AFCA83F" w14:textId="77777777" w:rsidR="00EC6B23" w:rsidRDefault="00EC6B23" w:rsidP="002F7D0A">
            <w:pPr>
              <w:pStyle w:val="Marginlie"/>
              <w:rPr>
                <w:color w:val="0D0D0D" w:themeColor="text1" w:themeTint="F2"/>
              </w:rPr>
            </w:pPr>
            <w:r w:rsidRPr="00870728">
              <w:rPr>
                <w:color w:val="0D0D0D" w:themeColor="text1" w:themeTint="F2"/>
              </w:rPr>
              <w:t xml:space="preserve">Důvěra podniků v průmyslu byla nadále nízká. </w:t>
            </w:r>
            <w:r>
              <w:rPr>
                <w:color w:val="0D0D0D" w:themeColor="text1" w:themeTint="F2"/>
              </w:rPr>
              <w:t>Již skoro polovinu firem omezovala nedostatečná poptávka. Aktuální i očekávaný vývoj zaměstnanosti zůstává nepříznivý.</w:t>
            </w:r>
          </w:p>
          <w:p w14:paraId="19CF33DC" w14:textId="77777777" w:rsidR="00EC6B23" w:rsidRDefault="00EC6B23" w:rsidP="002F7D0A">
            <w:pPr>
              <w:pStyle w:val="Marginlie"/>
              <w:rPr>
                <w:color w:val="0D0D0D" w:themeColor="text1" w:themeTint="F2"/>
              </w:rPr>
            </w:pPr>
          </w:p>
          <w:p w14:paraId="3D053086" w14:textId="77777777" w:rsidR="00EC6B23" w:rsidRDefault="00EC6B23" w:rsidP="002F7D0A">
            <w:pPr>
              <w:pStyle w:val="Marginlie"/>
              <w:rPr>
                <w:color w:val="0D0D0D" w:themeColor="text1" w:themeTint="F2"/>
              </w:rPr>
            </w:pPr>
          </w:p>
          <w:p w14:paraId="0B2367F7" w14:textId="77777777" w:rsidR="00EC6B23" w:rsidRDefault="00EC6B23" w:rsidP="002F7D0A">
            <w:pPr>
              <w:pStyle w:val="Marginlie"/>
              <w:rPr>
                <w:color w:val="0D0D0D" w:themeColor="text1" w:themeTint="F2"/>
              </w:rPr>
            </w:pPr>
          </w:p>
          <w:p w14:paraId="685815B1" w14:textId="77777777" w:rsidR="00EC6B23" w:rsidRDefault="00EC6B23" w:rsidP="002F7D0A">
            <w:pPr>
              <w:pStyle w:val="Marginlie"/>
              <w:rPr>
                <w:color w:val="0D0D0D" w:themeColor="text1" w:themeTint="F2"/>
              </w:rPr>
            </w:pPr>
          </w:p>
          <w:p w14:paraId="16451287" w14:textId="77777777" w:rsidR="00EC6B23" w:rsidRDefault="00EC6B23" w:rsidP="002F7D0A">
            <w:pPr>
              <w:pStyle w:val="Marginlie"/>
              <w:rPr>
                <w:color w:val="0D0D0D" w:themeColor="text1" w:themeTint="F2"/>
                <w:spacing w:val="-4"/>
              </w:rPr>
            </w:pPr>
            <w:r>
              <w:rPr>
                <w:color w:val="0D0D0D" w:themeColor="text1" w:themeTint="F2"/>
              </w:rPr>
              <w:t>Podniky v dubnu mírně zlepšily svá očekávání v oblasti výroby i vlastní ekonomické situace.</w:t>
            </w:r>
          </w:p>
        </w:tc>
        <w:tc>
          <w:tcPr>
            <w:tcW w:w="229" w:type="dxa"/>
            <w:shd w:val="clear" w:color="auto" w:fill="auto"/>
            <w:tcMar>
              <w:left w:w="0" w:type="dxa"/>
            </w:tcMar>
          </w:tcPr>
          <w:p w14:paraId="72E475BE"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4185FCC6" w14:textId="77777777" w:rsidR="00EC6B23" w:rsidRDefault="00EC6B23" w:rsidP="002F7D0A">
            <w:pPr>
              <w:spacing w:after="200"/>
              <w:rPr>
                <w:color w:val="0D0D0D" w:themeColor="text1" w:themeTint="F2"/>
                <w:spacing w:val="-6"/>
              </w:rPr>
            </w:pPr>
            <w:r w:rsidRPr="00DE5CA8">
              <w:rPr>
                <w:color w:val="0D0D0D" w:themeColor="text1" w:themeTint="F2"/>
                <w:spacing w:val="-3"/>
              </w:rPr>
              <w:t xml:space="preserve">Důvěra podnikatelů v průmyslu </w:t>
            </w:r>
            <w:r w:rsidRPr="00305A06">
              <w:rPr>
                <w:color w:val="0D0D0D" w:themeColor="text1" w:themeTint="F2"/>
                <w:spacing w:val="-3"/>
              </w:rPr>
              <w:t>zůstávala</w:t>
            </w:r>
            <w:r>
              <w:rPr>
                <w:color w:val="0D0D0D" w:themeColor="text1" w:themeTint="F2"/>
                <w:spacing w:val="-3"/>
              </w:rPr>
              <w:t xml:space="preserve"> již bezmála dva roky v negativním pásmu. Letos v únoru sestoupila nejníže od protipandemických uzávěr výroby (na jaře 2020). Následně sice došlo k mírnému zotavení, avšak i v dubnu setrvávala důvěra výrazně pod svým dlouhodobým průměrem (o 7,5 p. b.). Přestože u nákladových tlaků došlo ke stabilizaci (podniky v krátkodobém horizontu již téměř neplánují další zdražování své produkce) a do normálu se vrátil i objem naskladněných zásob, podniky napříč většinou odvětví stále limituje nedostatečná poptávka. Její role jako klíčové růstové bariéry od poloviny loňského roku roste (aktuálně omezuje již 50 % firem</w:t>
            </w:r>
            <w:r>
              <w:rPr>
                <w:rStyle w:val="Znakapoznpodarou"/>
                <w:color w:val="0D0D0D" w:themeColor="text1" w:themeTint="F2"/>
                <w:spacing w:val="-3"/>
              </w:rPr>
              <w:footnoteReference w:id="23"/>
            </w:r>
            <w:r>
              <w:rPr>
                <w:color w:val="0D0D0D" w:themeColor="text1" w:themeTint="F2"/>
                <w:spacing w:val="-3"/>
              </w:rPr>
              <w:t>). Naopak nedostatek zaměstnanců sužoval jen 12 % podniků (nejméně za poslední čtyři roky). Firmy navíc plánují v nejbližším kvartálu lidi spíše propouštět (15 % oproti 7 % očekávajících zvyšování zaměstnanosti), což zapadá i do vývoje posledních měsíců (evidenční počet zaměstnanců v průmyslu se v 1. čtvrtletí 2024 meziročně snížil o rovná 2 %). Nicméně v krátkodobých očekáváních výroby i celkové vlastní ekonomické situace zavládl v dubnu (na rozdíl od počátku roku) mezi podniky velmi mírný optimismus.</w:t>
            </w:r>
          </w:p>
        </w:tc>
      </w:tr>
      <w:tr w:rsidR="00EC6B23" w:rsidRPr="00784EC8" w14:paraId="5BC8EEE3" w14:textId="77777777" w:rsidTr="002F7D0A">
        <w:trPr>
          <w:trHeight w:val="170"/>
        </w:trPr>
        <w:tc>
          <w:tcPr>
            <w:tcW w:w="1814" w:type="dxa"/>
            <w:shd w:val="clear" w:color="auto" w:fill="auto"/>
            <w:tcMar>
              <w:left w:w="0" w:type="dxa"/>
            </w:tcMar>
          </w:tcPr>
          <w:p w14:paraId="2A65C691" w14:textId="77777777" w:rsidR="00EC6B23" w:rsidRDefault="00EC6B23" w:rsidP="002F7D0A">
            <w:pPr>
              <w:pStyle w:val="Marginlie"/>
              <w:rPr>
                <w:color w:val="0D0D0D" w:themeColor="text1" w:themeTint="F2"/>
                <w:spacing w:val="-4"/>
              </w:rPr>
            </w:pPr>
            <w:r>
              <w:rPr>
                <w:color w:val="0D0D0D" w:themeColor="text1" w:themeTint="F2"/>
                <w:spacing w:val="-4"/>
              </w:rPr>
              <w:t>Výkon stavebnictví stále ovlivňovaly významné nákladové tlaky i slábnoucí soukromá investiční aktivita.</w:t>
            </w:r>
          </w:p>
        </w:tc>
        <w:tc>
          <w:tcPr>
            <w:tcW w:w="229" w:type="dxa"/>
            <w:shd w:val="clear" w:color="auto" w:fill="auto"/>
            <w:tcMar>
              <w:left w:w="0" w:type="dxa"/>
            </w:tcMar>
          </w:tcPr>
          <w:p w14:paraId="1D7F7F85"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3F4BD8CC" w14:textId="77777777" w:rsidR="00EC6B23" w:rsidRDefault="00EC6B23" w:rsidP="002F7D0A">
            <w:pPr>
              <w:spacing w:after="200"/>
              <w:rPr>
                <w:color w:val="0D0D0D" w:themeColor="text1" w:themeTint="F2"/>
                <w:spacing w:val="-6"/>
              </w:rPr>
            </w:pPr>
            <w:r>
              <w:rPr>
                <w:color w:val="0D0D0D" w:themeColor="text1" w:themeTint="F2"/>
                <w:spacing w:val="-6"/>
              </w:rPr>
              <w:t>Na s</w:t>
            </w:r>
            <w:r w:rsidRPr="0036189F">
              <w:rPr>
                <w:color w:val="0D0D0D" w:themeColor="text1" w:themeTint="F2"/>
                <w:spacing w:val="-6"/>
              </w:rPr>
              <w:t xml:space="preserve">tavebnictví </w:t>
            </w:r>
            <w:r>
              <w:rPr>
                <w:color w:val="0D0D0D" w:themeColor="text1" w:themeTint="F2"/>
                <w:spacing w:val="-6"/>
              </w:rPr>
              <w:t>i na počátku letošního roku působily</w:t>
            </w:r>
            <w:r w:rsidRPr="0036189F">
              <w:rPr>
                <w:color w:val="0D0D0D" w:themeColor="text1" w:themeTint="F2"/>
                <w:spacing w:val="-6"/>
              </w:rPr>
              <w:t xml:space="preserve"> </w:t>
            </w:r>
            <w:r>
              <w:rPr>
                <w:color w:val="0D0D0D" w:themeColor="text1" w:themeTint="F2"/>
                <w:spacing w:val="-6"/>
              </w:rPr>
              <w:t>přetrvávající nákladové tlaky. Byť ceny stavebních prací začaly po tříletém zvyšování od loňského podzimu meziročně mírně klesat, výraznějšímu poklesu realizovaných i očekávaných cen stavební výroby</w:t>
            </w:r>
            <w:r>
              <w:rPr>
                <w:rStyle w:val="Znakapoznpodarou"/>
                <w:color w:val="0D0D0D" w:themeColor="text1" w:themeTint="F2"/>
                <w:spacing w:val="-6"/>
              </w:rPr>
              <w:footnoteReference w:id="24"/>
            </w:r>
            <w:r>
              <w:rPr>
                <w:color w:val="0D0D0D" w:themeColor="text1" w:themeTint="F2"/>
                <w:spacing w:val="-6"/>
              </w:rPr>
              <w:t xml:space="preserve"> bránil svižný růst nákladů práce ovlivněný </w:t>
            </w:r>
            <w:r w:rsidRPr="000F6F33">
              <w:rPr>
                <w:color w:val="0D0D0D" w:themeColor="text1" w:themeTint="F2"/>
                <w:spacing w:val="-4"/>
              </w:rPr>
              <w:t xml:space="preserve">chronickým nedostatkem </w:t>
            </w:r>
            <w:r>
              <w:rPr>
                <w:color w:val="0D0D0D" w:themeColor="text1" w:themeTint="F2"/>
                <w:spacing w:val="-4"/>
              </w:rPr>
              <w:t xml:space="preserve">zejména </w:t>
            </w:r>
            <w:r w:rsidRPr="000F6F33">
              <w:rPr>
                <w:color w:val="0D0D0D" w:themeColor="text1" w:themeTint="F2"/>
                <w:spacing w:val="-4"/>
              </w:rPr>
              <w:t>kvalifikované</w:t>
            </w:r>
            <w:r>
              <w:rPr>
                <w:color w:val="0D0D0D" w:themeColor="text1" w:themeTint="F2"/>
                <w:spacing w:val="-4"/>
              </w:rPr>
              <w:t xml:space="preserve"> pracovní síly. </w:t>
            </w:r>
            <w:r>
              <w:rPr>
                <w:color w:val="0D0D0D" w:themeColor="text1" w:themeTint="F2"/>
                <w:spacing w:val="-4"/>
              </w:rPr>
              <w:lastRenderedPageBreak/>
              <w:t xml:space="preserve">Stále se projevovala i </w:t>
            </w:r>
            <w:r>
              <w:rPr>
                <w:color w:val="0D0D0D" w:themeColor="text1" w:themeTint="F2"/>
                <w:spacing w:val="-6"/>
              </w:rPr>
              <w:t xml:space="preserve">nízká investiční aktivita v soukromé sféře související se slabší důvěrou podniků i domácností v ekonomiku a zhoršenými možnostmi financování (např. kvůli přetrvávajícím zvýšeným úrokovým sazbám). </w:t>
            </w:r>
            <w:r>
              <w:rPr>
                <w:rStyle w:val="normaltextrun"/>
                <w:rFonts w:eastAsia="MS Gothic" w:cs="Arial"/>
                <w:szCs w:val="20"/>
              </w:rPr>
              <w:t>Proti hlubšímu útlumu výkonu stavebnictví naopak působily veřejné investice</w:t>
            </w:r>
            <w:r>
              <w:rPr>
                <w:rStyle w:val="Znakapoznpodarou"/>
                <w:rFonts w:eastAsia="MS Gothic"/>
                <w:szCs w:val="20"/>
              </w:rPr>
              <w:footnoteReference w:id="25"/>
            </w:r>
            <w:r>
              <w:rPr>
                <w:rStyle w:val="normaltextrun"/>
                <w:rFonts w:eastAsia="MS Gothic" w:cs="Arial"/>
                <w:szCs w:val="20"/>
              </w:rPr>
              <w:t>, včetně prostředků z rozpočtu EU určených na výstavbu i modernizaci dopravní infrastruktury či na snížení energetické náročnosti v oblasti bydlení.</w:t>
            </w:r>
          </w:p>
        </w:tc>
      </w:tr>
      <w:tr w:rsidR="00EC6B23" w:rsidRPr="00784EC8" w14:paraId="6AA8011B" w14:textId="77777777" w:rsidTr="002F7D0A">
        <w:trPr>
          <w:trHeight w:val="170"/>
        </w:trPr>
        <w:tc>
          <w:tcPr>
            <w:tcW w:w="1814" w:type="dxa"/>
            <w:shd w:val="clear" w:color="auto" w:fill="auto"/>
            <w:tcMar>
              <w:left w:w="0" w:type="dxa"/>
            </w:tcMar>
          </w:tcPr>
          <w:p w14:paraId="46816011" w14:textId="77777777" w:rsidR="00EC6B23" w:rsidRDefault="00EC6B23" w:rsidP="002F7D0A">
            <w:pPr>
              <w:pStyle w:val="Marginlie"/>
              <w:rPr>
                <w:color w:val="0D0D0D" w:themeColor="text1" w:themeTint="F2"/>
                <w:spacing w:val="-4"/>
              </w:rPr>
            </w:pPr>
            <w:r>
              <w:rPr>
                <w:color w:val="0D0D0D" w:themeColor="text1" w:themeTint="F2"/>
                <w:spacing w:val="-4"/>
              </w:rPr>
              <w:lastRenderedPageBreak/>
              <w:t xml:space="preserve">Stavební produkce se meziročně snížila sedmý kvartál v řadě. V mezičtvrtletním pohledu ale došlo vlivem příznivého počasí k mírnému oživení. </w:t>
            </w:r>
          </w:p>
        </w:tc>
        <w:tc>
          <w:tcPr>
            <w:tcW w:w="229" w:type="dxa"/>
            <w:shd w:val="clear" w:color="auto" w:fill="auto"/>
            <w:tcMar>
              <w:left w:w="0" w:type="dxa"/>
            </w:tcMar>
          </w:tcPr>
          <w:p w14:paraId="6C4F51B4"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39FE44F3" w14:textId="77777777" w:rsidR="00EC6B23" w:rsidRPr="001036E4" w:rsidRDefault="00EC6B23" w:rsidP="002F7D0A">
            <w:pPr>
              <w:rPr>
                <w:rStyle w:val="normaltextrun"/>
                <w:color w:val="0D0D0D" w:themeColor="text1" w:themeTint="F2"/>
                <w:spacing w:val="-6"/>
              </w:rPr>
            </w:pPr>
            <w:r>
              <w:rPr>
                <w:color w:val="0D0D0D" w:themeColor="text1" w:themeTint="F2"/>
                <w:spacing w:val="-6"/>
              </w:rPr>
              <w:t>S</w:t>
            </w:r>
            <w:r w:rsidRPr="0047559F">
              <w:rPr>
                <w:color w:val="0D0D0D" w:themeColor="text1" w:themeTint="F2"/>
                <w:spacing w:val="-6"/>
              </w:rPr>
              <w:t>tavební produkce</w:t>
            </w:r>
            <w:r w:rsidRPr="0047559F">
              <w:rPr>
                <w:rStyle w:val="Znakapoznpodarou"/>
                <w:color w:val="0D0D0D" w:themeColor="text1" w:themeTint="F2"/>
                <w:spacing w:val="-6"/>
              </w:rPr>
              <w:footnoteReference w:id="26"/>
            </w:r>
            <w:r>
              <w:rPr>
                <w:color w:val="0D0D0D" w:themeColor="text1" w:themeTint="F2"/>
                <w:spacing w:val="-6"/>
              </w:rPr>
              <w:t xml:space="preserve"> na počátku roku 2024 mezikvartálně vzrostla o 0,6 % a zastavila tak svůj pokles, jenž vyplnil většinu loňského roku. K letošnímu oživení zásadně přispělo nebývale teplé zimní období, které vedlo zejména v únoru</w:t>
            </w:r>
            <w:r>
              <w:rPr>
                <w:rStyle w:val="Znakapoznpodarou"/>
                <w:color w:val="0D0D0D" w:themeColor="text1" w:themeTint="F2"/>
                <w:spacing w:val="-6"/>
              </w:rPr>
              <w:footnoteReference w:id="27"/>
            </w:r>
            <w:r>
              <w:rPr>
                <w:color w:val="0D0D0D" w:themeColor="text1" w:themeTint="F2"/>
                <w:spacing w:val="-6"/>
              </w:rPr>
              <w:t xml:space="preserve"> k razantnímu posílení v inženýrském stavitelství (a v menší míře i v ostatních segmentech celého odvětví). V 1.</w:t>
            </w:r>
            <w:r>
              <w:rPr>
                <w:rStyle w:val="normaltextrun"/>
                <w:rFonts w:cs="Arial"/>
                <w:color w:val="000000"/>
                <w:szCs w:val="20"/>
              </w:rPr>
              <w:t> </w:t>
            </w:r>
            <w:r>
              <w:rPr>
                <w:color w:val="0D0D0D" w:themeColor="text1" w:themeTint="F2"/>
                <w:spacing w:val="-6"/>
              </w:rPr>
              <w:t>čtvrtletí 2024 zaostával výkon celého odvětví za vrcholem z období poslední konjunk</w:t>
            </w:r>
            <w:r w:rsidRPr="008D1961">
              <w:rPr>
                <w:color w:val="0D0D0D" w:themeColor="text1" w:themeTint="F2"/>
                <w:spacing w:val="-6"/>
              </w:rPr>
              <w:t>tury</w:t>
            </w:r>
            <w:r>
              <w:rPr>
                <w:color w:val="0D0D0D" w:themeColor="text1" w:themeTint="F2"/>
                <w:spacing w:val="-6"/>
              </w:rPr>
              <w:t xml:space="preserve"> (3.</w:t>
            </w:r>
            <w:r>
              <w:rPr>
                <w:rStyle w:val="normaltextrun"/>
                <w:rFonts w:cs="Arial"/>
                <w:color w:val="000000"/>
                <w:szCs w:val="20"/>
              </w:rPr>
              <w:t> </w:t>
            </w:r>
            <w:r>
              <w:rPr>
                <w:color w:val="0D0D0D" w:themeColor="text1" w:themeTint="F2"/>
                <w:spacing w:val="-6"/>
              </w:rPr>
              <w:t xml:space="preserve">čtvrtletí 2019) o 5,1 % (z toho pozemní stavitelství o rovných 8 %). Ve srovnání se stejným obdobím předcházejícího roku klesla stavební produkce o 4,3 % a snižovala se tak sedmý kvartál v řadě. K meziročnímu poklesu přispěla zejména výstavba budov. Relativně nejvíce ovšem klesl výkon </w:t>
            </w:r>
            <w:r>
              <w:rPr>
                <w:rStyle w:val="normaltextrun"/>
                <w:rFonts w:cs="Arial"/>
                <w:color w:val="000000"/>
                <w:szCs w:val="20"/>
              </w:rPr>
              <w:t>v segmentu specializovaných stavebních činností (−9,5 %), které zahrnují např. kompletační a dokončovací elektroinstalační či instalatérské práce a jsou spíše doménou menších stavebních firem. Naopak v inženýrském stavitelství se po slabším loňském roce produkce v 1. čtvrtletí zvýšila o 4,9 %, zčásti i vlivem nižší loňské základny.</w:t>
            </w:r>
          </w:p>
        </w:tc>
      </w:tr>
      <w:tr w:rsidR="00EC6B23" w:rsidRPr="00D232BB" w14:paraId="466EE578" w14:textId="77777777" w:rsidTr="002F7D0A">
        <w:trPr>
          <w:trHeight w:val="170"/>
        </w:trPr>
        <w:tc>
          <w:tcPr>
            <w:tcW w:w="1814" w:type="dxa"/>
            <w:vMerge w:val="restart"/>
            <w:shd w:val="clear" w:color="auto" w:fill="auto"/>
            <w:tcMar>
              <w:left w:w="0" w:type="dxa"/>
            </w:tcMar>
          </w:tcPr>
          <w:p w14:paraId="4A3F590D" w14:textId="77777777" w:rsidR="00EC6B23" w:rsidRDefault="00EC6B23" w:rsidP="002F7D0A">
            <w:pPr>
              <w:pStyle w:val="Marginlie"/>
            </w:pPr>
          </w:p>
        </w:tc>
        <w:tc>
          <w:tcPr>
            <w:tcW w:w="229" w:type="dxa"/>
            <w:vMerge w:val="restart"/>
            <w:shd w:val="clear" w:color="auto" w:fill="auto"/>
            <w:tcMar>
              <w:left w:w="0" w:type="dxa"/>
            </w:tcMar>
          </w:tcPr>
          <w:p w14:paraId="7B48254E" w14:textId="77777777" w:rsidR="00EC6B23" w:rsidRDefault="00EC6B23" w:rsidP="002F7D0A">
            <w:pPr>
              <w:pStyle w:val="Textpoznpodarou"/>
              <w:jc w:val="both"/>
              <w:rPr>
                <w:spacing w:val="-4"/>
              </w:rPr>
            </w:pPr>
          </w:p>
        </w:tc>
        <w:tc>
          <w:tcPr>
            <w:tcW w:w="7596" w:type="dxa"/>
            <w:shd w:val="clear" w:color="auto" w:fill="auto"/>
            <w:tcMar>
              <w:left w:w="0" w:type="dxa"/>
            </w:tcMar>
          </w:tcPr>
          <w:p w14:paraId="19CC1C85" w14:textId="77777777" w:rsidR="00EC6B23" w:rsidRPr="00D232BB" w:rsidRDefault="00EC6B23" w:rsidP="002F7D0A">
            <w:pPr>
              <w:spacing w:after="20"/>
              <w:rPr>
                <w:rFonts w:cs="Arial"/>
                <w:bCs/>
              </w:rPr>
            </w:pPr>
            <w:r w:rsidRPr="006E759E">
              <w:rPr>
                <w:b/>
                <w:spacing w:val="-5"/>
              </w:rPr>
              <w:t xml:space="preserve">Graf č. 6 Příspěvky odvětví k meziroční změně stavební produkce </w:t>
            </w:r>
            <w:r w:rsidRPr="006E759E">
              <w:rPr>
                <w:spacing w:val="-5"/>
              </w:rPr>
              <w:t>(reálně, v p. b.)</w:t>
            </w:r>
            <w:r w:rsidRPr="006E759E">
              <w:rPr>
                <w:b/>
                <w:bCs/>
                <w:spacing w:val="-5"/>
              </w:rPr>
              <w:t>,</w:t>
            </w:r>
            <w:r w:rsidRPr="006E759E">
              <w:rPr>
                <w:b/>
                <w:bCs/>
                <w:spacing w:val="-5"/>
              </w:rPr>
              <w:br/>
            </w:r>
            <w:r w:rsidRPr="006E759E">
              <w:rPr>
                <w:b/>
                <w:spacing w:val="-5"/>
              </w:rPr>
              <w:t xml:space="preserve">nové stavební zakázky </w:t>
            </w:r>
            <w:r w:rsidRPr="006E759E">
              <w:rPr>
                <w:spacing w:val="-5"/>
              </w:rPr>
              <w:t>(</w:t>
            </w:r>
            <w:r w:rsidRPr="006E759E">
              <w:rPr>
                <w:bCs/>
                <w:spacing w:val="-5"/>
              </w:rPr>
              <w:t xml:space="preserve">nominálně, </w:t>
            </w:r>
            <w:r w:rsidRPr="006E759E">
              <w:rPr>
                <w:spacing w:val="-5"/>
              </w:rPr>
              <w:t>meziročně,</w:t>
            </w:r>
            <w:r w:rsidRPr="006E759E">
              <w:rPr>
                <w:bCs/>
                <w:spacing w:val="-5"/>
              </w:rPr>
              <w:t xml:space="preserve"> v %)</w:t>
            </w:r>
            <w:r w:rsidRPr="006E759E">
              <w:rPr>
                <w:b/>
                <w:spacing w:val="-5"/>
              </w:rPr>
              <w:t>, saldo důvěry podnikatelů ve stavebnictví*</w:t>
            </w:r>
            <w:r w:rsidRPr="006E759E">
              <w:rPr>
                <w:spacing w:val="-5"/>
              </w:rPr>
              <w:t xml:space="preserve"> (v p. b., pravá osa) </w:t>
            </w:r>
            <w:r w:rsidRPr="006E759E">
              <w:rPr>
                <w:b/>
                <w:spacing w:val="-5"/>
              </w:rPr>
              <w:t>a vybrané bariéry růstu</w:t>
            </w:r>
            <w:r w:rsidRPr="006E759E">
              <w:rPr>
                <w:spacing w:val="-5"/>
              </w:rPr>
              <w:t>* (v %, pravá osa)</w:t>
            </w:r>
          </w:p>
        </w:tc>
      </w:tr>
      <w:tr w:rsidR="00EC6B23" w:rsidRPr="0067514E" w14:paraId="0B00D709" w14:textId="77777777" w:rsidTr="002F7D0A">
        <w:tblPrEx>
          <w:tblCellMar>
            <w:left w:w="70" w:type="dxa"/>
            <w:right w:w="70" w:type="dxa"/>
          </w:tblCellMar>
        </w:tblPrEx>
        <w:trPr>
          <w:trHeight w:val="170"/>
        </w:trPr>
        <w:tc>
          <w:tcPr>
            <w:tcW w:w="1814" w:type="dxa"/>
            <w:vMerge/>
            <w:shd w:val="clear" w:color="auto" w:fill="auto"/>
          </w:tcPr>
          <w:p w14:paraId="27660D8E" w14:textId="77777777" w:rsidR="00EC6B23" w:rsidRDefault="00EC6B23" w:rsidP="002F7D0A">
            <w:pPr>
              <w:pStyle w:val="Marginlie"/>
            </w:pPr>
          </w:p>
        </w:tc>
        <w:tc>
          <w:tcPr>
            <w:tcW w:w="229" w:type="dxa"/>
            <w:vMerge/>
            <w:shd w:val="clear" w:color="auto" w:fill="auto"/>
          </w:tcPr>
          <w:p w14:paraId="1122B5B7" w14:textId="77777777" w:rsidR="00EC6B23" w:rsidRDefault="00EC6B23" w:rsidP="002F7D0A">
            <w:pPr>
              <w:pStyle w:val="Textpoznpodarou"/>
              <w:jc w:val="both"/>
              <w:rPr>
                <w:spacing w:val="-4"/>
              </w:rPr>
            </w:pPr>
          </w:p>
        </w:tc>
        <w:tc>
          <w:tcPr>
            <w:tcW w:w="7596" w:type="dxa"/>
            <w:shd w:val="clear" w:color="auto" w:fill="auto"/>
          </w:tcPr>
          <w:p w14:paraId="7BA1D8A3" w14:textId="77777777" w:rsidR="00EC6B23" w:rsidRPr="0067514E" w:rsidRDefault="00EC6B23" w:rsidP="002F7D0A">
            <w:pPr>
              <w:spacing w:after="0"/>
              <w:rPr>
                <w:spacing w:val="-6"/>
              </w:rPr>
            </w:pPr>
            <w:r>
              <w:rPr>
                <w:noProof/>
              </w:rPr>
              <w:drawing>
                <wp:inline distT="0" distB="0" distL="0" distR="0" wp14:anchorId="29E2E3E2" wp14:editId="004D141F">
                  <wp:extent cx="4693578" cy="3060000"/>
                  <wp:effectExtent l="0" t="0" r="0" b="762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EC6B23" w:rsidRPr="008F2BE2" w14:paraId="09539666" w14:textId="77777777" w:rsidTr="002F7D0A">
        <w:trPr>
          <w:trHeight w:val="170"/>
        </w:trPr>
        <w:tc>
          <w:tcPr>
            <w:tcW w:w="1814" w:type="dxa"/>
            <w:vMerge/>
            <w:shd w:val="clear" w:color="auto" w:fill="auto"/>
            <w:tcMar>
              <w:left w:w="0" w:type="dxa"/>
            </w:tcMar>
          </w:tcPr>
          <w:p w14:paraId="3A462473" w14:textId="77777777" w:rsidR="00EC6B23" w:rsidRDefault="00EC6B23" w:rsidP="002F7D0A">
            <w:pPr>
              <w:pStyle w:val="Marginlie"/>
            </w:pPr>
          </w:p>
        </w:tc>
        <w:tc>
          <w:tcPr>
            <w:tcW w:w="229" w:type="dxa"/>
            <w:vMerge/>
            <w:shd w:val="clear" w:color="auto" w:fill="auto"/>
            <w:tcMar>
              <w:left w:w="0" w:type="dxa"/>
            </w:tcMar>
          </w:tcPr>
          <w:p w14:paraId="2FF121C0" w14:textId="77777777" w:rsidR="00EC6B23" w:rsidRDefault="00EC6B23" w:rsidP="002F7D0A">
            <w:pPr>
              <w:pStyle w:val="Textpoznpodarou"/>
              <w:jc w:val="both"/>
              <w:rPr>
                <w:spacing w:val="-4"/>
              </w:rPr>
            </w:pPr>
          </w:p>
        </w:tc>
        <w:tc>
          <w:tcPr>
            <w:tcW w:w="7596" w:type="dxa"/>
            <w:shd w:val="clear" w:color="auto" w:fill="auto"/>
            <w:tcMar>
              <w:left w:w="0" w:type="dxa"/>
            </w:tcMar>
          </w:tcPr>
          <w:p w14:paraId="50A891A6" w14:textId="77777777" w:rsidR="00EC6B23" w:rsidRPr="00883202" w:rsidRDefault="00EC6B23" w:rsidP="002F7D0A">
            <w:pPr>
              <w:spacing w:after="0"/>
              <w:rPr>
                <w:rFonts w:cs="Arial"/>
                <w:sz w:val="14"/>
                <w:szCs w:val="14"/>
              </w:rPr>
            </w:pPr>
            <w:r>
              <w:rPr>
                <w:rFonts w:cs="Arial"/>
                <w:sz w:val="14"/>
                <w:szCs w:val="14"/>
              </w:rPr>
              <w:t xml:space="preserve">Poznámka: </w:t>
            </w:r>
            <w:r w:rsidRPr="00883202">
              <w:rPr>
                <w:rFonts w:cs="Arial"/>
                <w:sz w:val="14"/>
                <w:szCs w:val="14"/>
              </w:rPr>
              <w:t>Údaje o stavební produkci jsou očištěny o kalendářní vlivy.</w:t>
            </w:r>
          </w:p>
          <w:p w14:paraId="6DE87168" w14:textId="77777777" w:rsidR="00EC6B23" w:rsidRPr="00EC434A" w:rsidRDefault="00EC6B23" w:rsidP="002F7D0A">
            <w:pPr>
              <w:pStyle w:val="Textpoznpodarou"/>
              <w:spacing w:after="240"/>
              <w:jc w:val="both"/>
              <w:rPr>
                <w:rFonts w:cs="Arial"/>
                <w:sz w:val="14"/>
                <w:szCs w:val="14"/>
              </w:rPr>
            </w:pPr>
            <w:r w:rsidRPr="00883202">
              <w:rPr>
                <w:rFonts w:cs="Arial"/>
                <w:sz w:val="14"/>
                <w:szCs w:val="14"/>
              </w:rPr>
              <w:t>*</w:t>
            </w:r>
            <w:r w:rsidRPr="006E759E">
              <w:rPr>
                <w:rFonts w:cs="Arial"/>
                <w:spacing w:val="-2"/>
                <w:sz w:val="14"/>
                <w:szCs w:val="14"/>
              </w:rPr>
              <w:t>Saldo důvěry podnikatelů i bariéry</w:t>
            </w:r>
            <w:r w:rsidRPr="00883202">
              <w:rPr>
                <w:rFonts w:cs="Arial"/>
                <w:spacing w:val="-2"/>
                <w:sz w:val="14"/>
                <w:szCs w:val="14"/>
              </w:rPr>
              <w:t xml:space="preserve"> růstu jsou sezónně očištěny a vyjadřují stav ve druhém měsíci daného čtvrtletí</w:t>
            </w:r>
            <w:r w:rsidRPr="00883202">
              <w:rPr>
                <w:rFonts w:cs="Arial"/>
                <w:sz w:val="14"/>
                <w:szCs w:val="14"/>
              </w:rPr>
              <w:t>.</w:t>
            </w:r>
            <w:r>
              <w:rPr>
                <w:rFonts w:cs="Arial"/>
                <w:sz w:val="14"/>
                <w:szCs w:val="14"/>
              </w:rPr>
              <w:t xml:space="preserve"> Podniky mohly uvést více hlavních bariér současně.                                                                                                 </w:t>
            </w:r>
            <w:r w:rsidRPr="00883202">
              <w:rPr>
                <w:rFonts w:cs="Arial"/>
                <w:sz w:val="14"/>
                <w:szCs w:val="14"/>
              </w:rPr>
              <w:t>Zdroj: ČSÚ</w:t>
            </w:r>
            <w:r>
              <w:rPr>
                <w:rFonts w:cs="Arial"/>
                <w:sz w:val="14"/>
                <w:szCs w:val="14"/>
              </w:rPr>
              <w:t>, Eurostat</w:t>
            </w:r>
          </w:p>
        </w:tc>
      </w:tr>
      <w:tr w:rsidR="00EC6B23" w14:paraId="0B6EBCA6" w14:textId="77777777" w:rsidTr="002F7D0A">
        <w:trPr>
          <w:trHeight w:val="170"/>
        </w:trPr>
        <w:tc>
          <w:tcPr>
            <w:tcW w:w="1814" w:type="dxa"/>
            <w:shd w:val="clear" w:color="auto" w:fill="auto"/>
            <w:tcMar>
              <w:left w:w="0" w:type="dxa"/>
            </w:tcMar>
          </w:tcPr>
          <w:p w14:paraId="66BD8505" w14:textId="77777777" w:rsidR="00EC6B23" w:rsidRDefault="00EC6B23" w:rsidP="002F7D0A">
            <w:pPr>
              <w:pStyle w:val="Marginlie"/>
              <w:rPr>
                <w:rFonts w:cs="Arial"/>
                <w:color w:val="0D0D0D" w:themeColor="text1" w:themeTint="F2"/>
                <w:spacing w:val="-4"/>
              </w:rPr>
            </w:pPr>
            <w:r>
              <w:rPr>
                <w:color w:val="0D0D0D" w:themeColor="text1" w:themeTint="F2"/>
                <w:spacing w:val="-4"/>
              </w:rPr>
              <w:t xml:space="preserve">Počet zahájených bytů dále klesal, objem výstavby byl v rámci </w:t>
            </w:r>
            <w:r>
              <w:rPr>
                <w:color w:val="0D0D0D" w:themeColor="text1" w:themeTint="F2"/>
                <w:spacing w:val="-4"/>
              </w:rPr>
              <w:lastRenderedPageBreak/>
              <w:t>1. čtvrtletí nejnižší za posledních šest let.</w:t>
            </w:r>
          </w:p>
        </w:tc>
        <w:tc>
          <w:tcPr>
            <w:tcW w:w="229" w:type="dxa"/>
            <w:shd w:val="clear" w:color="auto" w:fill="auto"/>
            <w:tcMar>
              <w:left w:w="0" w:type="dxa"/>
            </w:tcMar>
          </w:tcPr>
          <w:p w14:paraId="0FA4F2FA" w14:textId="77777777" w:rsidR="00EC6B23" w:rsidRPr="00D87405" w:rsidRDefault="00EC6B23" w:rsidP="002F7D0A">
            <w:pPr>
              <w:pStyle w:val="Textpoznpodarou"/>
              <w:jc w:val="both"/>
              <w:rPr>
                <w:rFonts w:eastAsia="Times New Roman" w:cs="Arial"/>
                <w:color w:val="0D0D0D" w:themeColor="text1" w:themeTint="F2"/>
                <w:spacing w:val="-4"/>
              </w:rPr>
            </w:pPr>
          </w:p>
        </w:tc>
        <w:tc>
          <w:tcPr>
            <w:tcW w:w="7596" w:type="dxa"/>
            <w:shd w:val="clear" w:color="auto" w:fill="auto"/>
            <w:tcMar>
              <w:left w:w="0" w:type="dxa"/>
            </w:tcMar>
          </w:tcPr>
          <w:p w14:paraId="460A1259" w14:textId="77777777" w:rsidR="00EC6B23" w:rsidRDefault="00EC6B23" w:rsidP="002F7D0A">
            <w:pPr>
              <w:spacing w:after="120"/>
              <w:rPr>
                <w:color w:val="0D0D0D" w:themeColor="text1" w:themeTint="F2"/>
                <w:spacing w:val="-6"/>
              </w:rPr>
            </w:pPr>
            <w:r>
              <w:rPr>
                <w:color w:val="0D0D0D" w:themeColor="text1" w:themeTint="F2"/>
                <w:spacing w:val="-6"/>
              </w:rPr>
              <w:t xml:space="preserve">Ve výkonech pozemního stavitelství se v 1. čtvrtletí 2024 stejně jako po celý loňský rok negativně promítala utlumená bytová výstavba. Počet zahájených bytů se meziročně propadl o 15,1 %, když činil jen 8,1 tis. bytů (nejméně za posledních šest let). K letošnímu poklesu </w:t>
            </w:r>
            <w:r>
              <w:rPr>
                <w:color w:val="0D0D0D" w:themeColor="text1" w:themeTint="F2"/>
                <w:spacing w:val="-6"/>
              </w:rPr>
              <w:lastRenderedPageBreak/>
              <w:t xml:space="preserve">přispěly hlavně byty vzniklé úpravou ve stávajících bytových domech a také byty </w:t>
            </w:r>
            <w:r>
              <w:rPr>
                <w:color w:val="0D0D0D" w:themeColor="text1" w:themeTint="F2"/>
                <w:spacing w:val="-6"/>
              </w:rPr>
              <w:br/>
              <w:t xml:space="preserve">v rodinných domech. Objem celkové výstavby klesl ve většině regionů, absolutně nejvíce v Praze a středních Čechách. Snižoval se rovněž počet všech dokončených bytů (na </w:t>
            </w:r>
            <w:r>
              <w:rPr>
                <w:color w:val="0D0D0D" w:themeColor="text1" w:themeTint="F2"/>
                <w:spacing w:val="-6"/>
              </w:rPr>
              <w:br/>
              <w:t>8,0 tis.), vzhledem k vyšší rozestavěnosti z předchozích let byl však pokles ve srovnání se zahajovanou výstavbou zatím relativně nevýznamný (v 1. čtvrtletí činil 2,2 %).</w:t>
            </w:r>
          </w:p>
        </w:tc>
      </w:tr>
      <w:tr w:rsidR="00EC6B23" w14:paraId="0DF2B7DA" w14:textId="77777777" w:rsidTr="002F7D0A">
        <w:trPr>
          <w:trHeight w:val="170"/>
        </w:trPr>
        <w:tc>
          <w:tcPr>
            <w:tcW w:w="1814" w:type="dxa"/>
            <w:shd w:val="clear" w:color="auto" w:fill="auto"/>
            <w:tcMar>
              <w:left w:w="0" w:type="dxa"/>
            </w:tcMar>
          </w:tcPr>
          <w:p w14:paraId="3247D764" w14:textId="77777777" w:rsidR="00EC6B23" w:rsidRDefault="00EC6B23" w:rsidP="002F7D0A">
            <w:pPr>
              <w:pStyle w:val="Marginlie"/>
              <w:rPr>
                <w:rFonts w:cs="Arial"/>
                <w:color w:val="0D0D0D" w:themeColor="text1" w:themeTint="F2"/>
                <w:spacing w:val="-4"/>
              </w:rPr>
            </w:pPr>
            <w:r>
              <w:rPr>
                <w:rFonts w:cs="Arial"/>
                <w:color w:val="0D0D0D" w:themeColor="text1" w:themeTint="F2"/>
                <w:spacing w:val="-4"/>
              </w:rPr>
              <w:lastRenderedPageBreak/>
              <w:t>Pokračoval růst hodnoty stavebních povolení i nových tuzemských zakázek.</w:t>
            </w:r>
          </w:p>
          <w:p w14:paraId="091EDBD1" w14:textId="77777777" w:rsidR="00EC6B23" w:rsidRDefault="00EC6B23" w:rsidP="002F7D0A">
            <w:pPr>
              <w:pStyle w:val="Marginlie"/>
              <w:rPr>
                <w:rFonts w:cs="Arial"/>
                <w:color w:val="0D0D0D" w:themeColor="text1" w:themeTint="F2"/>
                <w:spacing w:val="-4"/>
              </w:rPr>
            </w:pPr>
          </w:p>
          <w:p w14:paraId="7FE39526" w14:textId="77777777" w:rsidR="00EC6B23" w:rsidRDefault="00EC6B23" w:rsidP="002F7D0A">
            <w:pPr>
              <w:pStyle w:val="Marginlie"/>
              <w:rPr>
                <w:rFonts w:cs="Arial"/>
                <w:color w:val="0D0D0D" w:themeColor="text1" w:themeTint="F2"/>
                <w:spacing w:val="-4"/>
              </w:rPr>
            </w:pPr>
          </w:p>
          <w:p w14:paraId="58DDC3CC" w14:textId="77777777" w:rsidR="00EC6B23" w:rsidRDefault="00EC6B23" w:rsidP="002F7D0A">
            <w:pPr>
              <w:pStyle w:val="Marginlie"/>
              <w:rPr>
                <w:rFonts w:cs="Arial"/>
                <w:color w:val="0D0D0D" w:themeColor="text1" w:themeTint="F2"/>
                <w:spacing w:val="-4"/>
              </w:rPr>
            </w:pPr>
          </w:p>
          <w:p w14:paraId="4EAD3FA7" w14:textId="77777777" w:rsidR="00EC6B23" w:rsidRDefault="00EC6B23" w:rsidP="002F7D0A">
            <w:pPr>
              <w:pStyle w:val="Marginlie"/>
              <w:rPr>
                <w:rFonts w:cs="Arial"/>
                <w:color w:val="0D0D0D" w:themeColor="text1" w:themeTint="F2"/>
                <w:spacing w:val="-4"/>
              </w:rPr>
            </w:pPr>
          </w:p>
          <w:p w14:paraId="676FBBA3" w14:textId="77777777" w:rsidR="00EC6B23" w:rsidRDefault="00EC6B23" w:rsidP="002F7D0A">
            <w:pPr>
              <w:pStyle w:val="Marginlie"/>
              <w:rPr>
                <w:rFonts w:cs="Arial"/>
                <w:color w:val="0D0D0D" w:themeColor="text1" w:themeTint="F2"/>
                <w:spacing w:val="-4"/>
              </w:rPr>
            </w:pPr>
            <w:r>
              <w:rPr>
                <w:rFonts w:cs="Arial"/>
                <w:color w:val="0D0D0D" w:themeColor="text1" w:themeTint="F2"/>
                <w:spacing w:val="-4"/>
              </w:rPr>
              <w:t>Celková zásoba stavební práce vzrostla letos i díky oživení soukromých zakázek.</w:t>
            </w:r>
          </w:p>
        </w:tc>
        <w:tc>
          <w:tcPr>
            <w:tcW w:w="229" w:type="dxa"/>
            <w:shd w:val="clear" w:color="auto" w:fill="auto"/>
            <w:tcMar>
              <w:left w:w="0" w:type="dxa"/>
            </w:tcMar>
          </w:tcPr>
          <w:p w14:paraId="447E517A" w14:textId="77777777" w:rsidR="00EC6B23" w:rsidRPr="00D87405" w:rsidRDefault="00EC6B23" w:rsidP="002F7D0A">
            <w:pPr>
              <w:pStyle w:val="Textpoznpodarou"/>
              <w:jc w:val="both"/>
              <w:rPr>
                <w:rFonts w:eastAsia="Times New Roman" w:cs="Arial"/>
                <w:color w:val="0D0D0D" w:themeColor="text1" w:themeTint="F2"/>
                <w:spacing w:val="-4"/>
              </w:rPr>
            </w:pPr>
          </w:p>
        </w:tc>
        <w:tc>
          <w:tcPr>
            <w:tcW w:w="7596" w:type="dxa"/>
            <w:shd w:val="clear" w:color="auto" w:fill="auto"/>
            <w:tcMar>
              <w:left w:w="0" w:type="dxa"/>
            </w:tcMar>
          </w:tcPr>
          <w:p w14:paraId="3D08996D" w14:textId="77777777" w:rsidR="00EC6B23" w:rsidRDefault="00EC6B23" w:rsidP="002F7D0A">
            <w:pPr>
              <w:spacing w:after="120"/>
              <w:rPr>
                <w:color w:val="0D0D0D" w:themeColor="text1" w:themeTint="F2"/>
                <w:spacing w:val="-6"/>
              </w:rPr>
            </w:pPr>
            <w:r>
              <w:rPr>
                <w:color w:val="0D0D0D" w:themeColor="text1" w:themeTint="F2"/>
                <w:spacing w:val="-6"/>
              </w:rPr>
              <w:t>Některé p</w:t>
            </w:r>
            <w:r w:rsidRPr="00C301B8">
              <w:rPr>
                <w:color w:val="0D0D0D" w:themeColor="text1" w:themeTint="F2"/>
                <w:spacing w:val="-6"/>
              </w:rPr>
              <w:t>ředst</w:t>
            </w:r>
            <w:r>
              <w:rPr>
                <w:color w:val="0D0D0D" w:themeColor="text1" w:themeTint="F2"/>
                <w:spacing w:val="-6"/>
              </w:rPr>
              <w:t>ihové ukazatele ve stavebnictví</w:t>
            </w:r>
            <w:r w:rsidRPr="00C301B8">
              <w:rPr>
                <w:color w:val="0D0D0D" w:themeColor="text1" w:themeTint="F2"/>
                <w:spacing w:val="-6"/>
              </w:rPr>
              <w:t xml:space="preserve"> mohou zavdávat mírnému optimismu. Orientační hodnota pov</w:t>
            </w:r>
            <w:r>
              <w:rPr>
                <w:color w:val="0D0D0D" w:themeColor="text1" w:themeTint="F2"/>
                <w:spacing w:val="-6"/>
              </w:rPr>
              <w:t xml:space="preserve">olených staveb </w:t>
            </w:r>
            <w:r>
              <w:rPr>
                <w:rStyle w:val="normaltextrun"/>
                <w:rFonts w:cs="Arial"/>
                <w:color w:val="000000"/>
                <w:szCs w:val="20"/>
                <w:shd w:val="clear" w:color="auto" w:fill="FFFFFF"/>
              </w:rPr>
              <w:t>za 1. čtvrtletí 2024</w:t>
            </w:r>
            <w:r w:rsidRPr="00027A9B">
              <w:rPr>
                <w:rStyle w:val="normaltextrun"/>
                <w:rFonts w:cs="Arial"/>
                <w:color w:val="000000"/>
                <w:szCs w:val="20"/>
                <w:shd w:val="clear" w:color="auto" w:fill="FFFFFF"/>
              </w:rPr>
              <w:t xml:space="preserve"> </w:t>
            </w:r>
            <w:r>
              <w:rPr>
                <w:rStyle w:val="normaltextrun"/>
                <w:rFonts w:cs="Arial"/>
                <w:color w:val="000000"/>
                <w:szCs w:val="20"/>
                <w:shd w:val="clear" w:color="auto" w:fill="FFFFFF"/>
              </w:rPr>
              <w:t>meziročně vzrost</w:t>
            </w:r>
            <w:r w:rsidRPr="00027A9B">
              <w:rPr>
                <w:rStyle w:val="normaltextrun"/>
                <w:rFonts w:cs="Arial"/>
                <w:color w:val="000000"/>
                <w:szCs w:val="20"/>
                <w:shd w:val="clear" w:color="auto" w:fill="FFFFFF"/>
              </w:rPr>
              <w:t>la o 7,2 % (nepatrně více než ceny stavebních prací) a zvyšovala se pátý kvartál v řadě.</w:t>
            </w:r>
            <w:r>
              <w:rPr>
                <w:rStyle w:val="normaltextrun"/>
                <w:rFonts w:cs="Arial"/>
                <w:color w:val="000000"/>
                <w:szCs w:val="20"/>
                <w:shd w:val="clear" w:color="auto" w:fill="FFFFFF"/>
              </w:rPr>
              <w:t xml:space="preserve"> Letošní výsledek příznivě ovlivnil březen, kdy bylo povoleno šest staveb</w:t>
            </w:r>
            <w:r w:rsidRPr="00027A9B">
              <w:rPr>
                <w:rStyle w:val="normaltextrun"/>
                <w:rFonts w:cs="Arial"/>
                <w:color w:val="000000"/>
                <w:szCs w:val="20"/>
                <w:shd w:val="clear" w:color="auto" w:fill="FFFFFF"/>
              </w:rPr>
              <w:t xml:space="preserve"> s </w:t>
            </w:r>
            <w:r>
              <w:rPr>
                <w:rStyle w:val="normaltextrun"/>
                <w:rFonts w:cs="Arial"/>
                <w:color w:val="000000"/>
                <w:szCs w:val="20"/>
                <w:shd w:val="clear" w:color="auto" w:fill="FFFFFF"/>
              </w:rPr>
              <w:t xml:space="preserve">rozpočty nad 1 mld. V úhrnu za celý kvartál ovšem klesla hodnota povolení u </w:t>
            </w:r>
            <w:r w:rsidRPr="00027A9B">
              <w:rPr>
                <w:rStyle w:val="normaltextrun"/>
                <w:rFonts w:cs="Arial"/>
                <w:color w:val="000000"/>
                <w:szCs w:val="20"/>
                <w:shd w:val="clear" w:color="auto" w:fill="FFFFFF"/>
              </w:rPr>
              <w:t>výstavby bytových i</w:t>
            </w:r>
            <w:r>
              <w:rPr>
                <w:rStyle w:val="normaltextrun"/>
                <w:rFonts w:cs="Arial"/>
                <w:color w:val="000000"/>
                <w:szCs w:val="20"/>
                <w:shd w:val="clear" w:color="auto" w:fill="FFFFFF"/>
              </w:rPr>
              <w:t> </w:t>
            </w:r>
            <w:r w:rsidRPr="00027A9B">
              <w:rPr>
                <w:rStyle w:val="normaltextrun"/>
                <w:rFonts w:cs="Arial"/>
                <w:color w:val="000000"/>
                <w:szCs w:val="20"/>
                <w:shd w:val="clear" w:color="auto" w:fill="FFFFFF"/>
              </w:rPr>
              <w:t>nebytových bud</w:t>
            </w:r>
            <w:r>
              <w:rPr>
                <w:rStyle w:val="normaltextrun"/>
                <w:rFonts w:cs="Arial"/>
                <w:color w:val="000000"/>
                <w:szCs w:val="20"/>
                <w:shd w:val="clear" w:color="auto" w:fill="FFFFFF"/>
              </w:rPr>
              <w:t>ov a rovněž u dopravní infrastruktury.</w:t>
            </w:r>
            <w:r w:rsidRPr="00027A9B">
              <w:rPr>
                <w:rStyle w:val="normaltextrun"/>
                <w:rFonts w:cs="Arial"/>
                <w:color w:val="000000"/>
                <w:szCs w:val="20"/>
                <w:shd w:val="clear" w:color="auto" w:fill="FFFFFF"/>
              </w:rPr>
              <w:t xml:space="preserve"> </w:t>
            </w:r>
            <w:r>
              <w:rPr>
                <w:rStyle w:val="normaltextrun"/>
                <w:color w:val="000000"/>
                <w:shd w:val="clear" w:color="auto" w:fill="FFFFFF"/>
              </w:rPr>
              <w:t>Ke zřetelnému oživení došlo v oblasti stavebních zakázek</w:t>
            </w:r>
            <w:r>
              <w:rPr>
                <w:rStyle w:val="Znakapoznpodarou"/>
                <w:color w:val="000000"/>
                <w:shd w:val="clear" w:color="auto" w:fill="FFFFFF"/>
              </w:rPr>
              <w:footnoteReference w:id="28"/>
            </w:r>
            <w:r>
              <w:rPr>
                <w:rStyle w:val="normaltextrun"/>
                <w:color w:val="000000"/>
                <w:shd w:val="clear" w:color="auto" w:fill="FFFFFF"/>
              </w:rPr>
              <w:t xml:space="preserve">. </w:t>
            </w:r>
            <w:r w:rsidRPr="00635A2F">
              <w:rPr>
                <w:color w:val="0D0D0D" w:themeColor="text1" w:themeTint="F2"/>
                <w:spacing w:val="-6"/>
              </w:rPr>
              <w:t>Hodnota nových tuzemských zakázek byla v 1. čtv</w:t>
            </w:r>
            <w:r>
              <w:rPr>
                <w:color w:val="0D0D0D" w:themeColor="text1" w:themeTint="F2"/>
                <w:spacing w:val="-6"/>
              </w:rPr>
              <w:t>rtletí meziročně skoro o více než 30 %</w:t>
            </w:r>
            <w:r w:rsidRPr="00635A2F">
              <w:rPr>
                <w:color w:val="0D0D0D" w:themeColor="text1" w:themeTint="F2"/>
                <w:spacing w:val="-6"/>
              </w:rPr>
              <w:t xml:space="preserve"> vyšší a současně rostla třetí kvartál v řadě. Na aktuálním růstu se </w:t>
            </w:r>
            <w:r>
              <w:rPr>
                <w:color w:val="0D0D0D" w:themeColor="text1" w:themeTint="F2"/>
                <w:spacing w:val="-6"/>
              </w:rPr>
              <w:t xml:space="preserve">významně </w:t>
            </w:r>
            <w:r w:rsidRPr="00635A2F">
              <w:rPr>
                <w:color w:val="0D0D0D" w:themeColor="text1" w:themeTint="F2"/>
                <w:spacing w:val="-6"/>
              </w:rPr>
              <w:t xml:space="preserve">podílelo jak pozemní, tak inženýrské stavitelství. Celková zásoba dosud nerealizovaných zakázek byla </w:t>
            </w:r>
            <w:r>
              <w:rPr>
                <w:color w:val="0D0D0D" w:themeColor="text1" w:themeTint="F2"/>
                <w:spacing w:val="-6"/>
              </w:rPr>
              <w:t>na konci letošního března meziročně vyšší o 13,8</w:t>
            </w:r>
            <w:r w:rsidRPr="00635A2F">
              <w:rPr>
                <w:color w:val="0D0D0D" w:themeColor="text1" w:themeTint="F2"/>
                <w:spacing w:val="-6"/>
              </w:rPr>
              <w:t xml:space="preserve"> %, tradičně hlavně díky veřejným zadavatelům. Poprvé za posledních pět kvartálů se ovšem meziročně zvýšila i hodnota soukromých tuzemských zakázek. Naopak pokles u zahraničn</w:t>
            </w:r>
            <w:r>
              <w:rPr>
                <w:color w:val="0D0D0D" w:themeColor="text1" w:themeTint="F2"/>
                <w:spacing w:val="-6"/>
              </w:rPr>
              <w:t xml:space="preserve">ích zakázek trvá již dva a půl roku.  </w:t>
            </w:r>
          </w:p>
        </w:tc>
      </w:tr>
      <w:tr w:rsidR="00EC6B23" w14:paraId="1D026826" w14:textId="77777777" w:rsidTr="002F7D0A">
        <w:trPr>
          <w:trHeight w:val="170"/>
        </w:trPr>
        <w:tc>
          <w:tcPr>
            <w:tcW w:w="1814" w:type="dxa"/>
            <w:shd w:val="clear" w:color="auto" w:fill="auto"/>
            <w:tcMar>
              <w:left w:w="0" w:type="dxa"/>
            </w:tcMar>
          </w:tcPr>
          <w:p w14:paraId="3383E416" w14:textId="77777777" w:rsidR="00EC6B23" w:rsidRDefault="00EC6B23" w:rsidP="002F7D0A">
            <w:pPr>
              <w:pStyle w:val="Marginlie"/>
              <w:rPr>
                <w:rFonts w:cs="Arial"/>
                <w:color w:val="0D0D0D" w:themeColor="text1" w:themeTint="F2"/>
                <w:spacing w:val="-4"/>
              </w:rPr>
            </w:pPr>
            <w:r>
              <w:rPr>
                <w:spacing w:val="-4"/>
              </w:rPr>
              <w:t>Pesimismus podnikatelů ve stavebnictví přetrvává.</w:t>
            </w:r>
          </w:p>
        </w:tc>
        <w:tc>
          <w:tcPr>
            <w:tcW w:w="229" w:type="dxa"/>
            <w:shd w:val="clear" w:color="auto" w:fill="auto"/>
            <w:tcMar>
              <w:left w:w="0" w:type="dxa"/>
            </w:tcMar>
          </w:tcPr>
          <w:p w14:paraId="65D1FB2E" w14:textId="77777777" w:rsidR="00EC6B23" w:rsidRPr="00D87405" w:rsidRDefault="00EC6B23" w:rsidP="002F7D0A">
            <w:pPr>
              <w:pStyle w:val="Textpoznpodarou"/>
              <w:jc w:val="both"/>
              <w:rPr>
                <w:rFonts w:eastAsia="Times New Roman" w:cs="Arial"/>
                <w:color w:val="0D0D0D" w:themeColor="text1" w:themeTint="F2"/>
                <w:spacing w:val="-4"/>
              </w:rPr>
            </w:pPr>
          </w:p>
        </w:tc>
        <w:tc>
          <w:tcPr>
            <w:tcW w:w="7596" w:type="dxa"/>
            <w:shd w:val="clear" w:color="auto" w:fill="auto"/>
            <w:tcMar>
              <w:left w:w="0" w:type="dxa"/>
            </w:tcMar>
          </w:tcPr>
          <w:p w14:paraId="439DEFB9" w14:textId="77777777" w:rsidR="00EC6B23" w:rsidRPr="00C301B8" w:rsidRDefault="00EC6B23" w:rsidP="002F7D0A">
            <w:pPr>
              <w:spacing w:after="120"/>
              <w:rPr>
                <w:color w:val="0D0D0D" w:themeColor="text1" w:themeTint="F2"/>
                <w:spacing w:val="-6"/>
              </w:rPr>
            </w:pPr>
            <w:r>
              <w:rPr>
                <w:color w:val="0D0D0D" w:themeColor="text1" w:themeTint="F2"/>
                <w:spacing w:val="-6"/>
              </w:rPr>
              <w:t>Přestože se celková důvěra podnikatelů ve stavebnictví letos během jara postupně mírně zhoršovala,</w:t>
            </w:r>
            <w:r>
              <w:rPr>
                <w:rStyle w:val="Zdraznn"/>
                <w:rFonts w:eastAsiaTheme="majorEastAsia" w:cs="Arial"/>
                <w:szCs w:val="20"/>
              </w:rPr>
              <w:t xml:space="preserve"> </w:t>
            </w:r>
            <w:r>
              <w:rPr>
                <w:rStyle w:val="normaltextrun"/>
                <w:rFonts w:eastAsiaTheme="majorEastAsia" w:cs="Arial"/>
                <w:szCs w:val="20"/>
              </w:rPr>
              <w:t>negativní sentiment zde přesto není tak výrazný jako ve většině loňského roku</w:t>
            </w:r>
            <w:r>
              <w:rPr>
                <w:color w:val="0D0D0D" w:themeColor="text1" w:themeTint="F2"/>
                <w:spacing w:val="-6"/>
              </w:rPr>
              <w:t xml:space="preserve">. Stabilně zhruba čtvrtina firem hodnotí současnou poptávku jako nedostatečnou, krátkodobé výhledy v oblasti stavební činnosti, zaměstnanosti i vlastní ekonomické situace podniků zůstaly i letos v květnu mírně negativní. Klíčovou růstovou bariérou zůstává nedostatek zaměstnanců, což trvá s drobnými přerušeními již zhruba šest let.  </w:t>
            </w:r>
          </w:p>
        </w:tc>
      </w:tr>
      <w:tr w:rsidR="00EC6B23" w14:paraId="67700F36" w14:textId="77777777" w:rsidTr="002F7D0A">
        <w:trPr>
          <w:trHeight w:val="170"/>
        </w:trPr>
        <w:tc>
          <w:tcPr>
            <w:tcW w:w="1814" w:type="dxa"/>
            <w:shd w:val="clear" w:color="auto" w:fill="auto"/>
            <w:tcMar>
              <w:left w:w="0" w:type="dxa"/>
            </w:tcMar>
          </w:tcPr>
          <w:p w14:paraId="0062286A" w14:textId="77777777" w:rsidR="00EC6B23" w:rsidRPr="00E16B2A" w:rsidRDefault="00EC6B23" w:rsidP="002F7D0A">
            <w:pPr>
              <w:pStyle w:val="Marginlie"/>
              <w:rPr>
                <w:rFonts w:cs="Arial"/>
                <w:color w:val="0D0D0D" w:themeColor="text1" w:themeTint="F2"/>
                <w:spacing w:val="-4"/>
              </w:rPr>
            </w:pPr>
            <w:r>
              <w:rPr>
                <w:rFonts w:cs="Arial"/>
                <w:color w:val="0D0D0D" w:themeColor="text1" w:themeTint="F2"/>
                <w:spacing w:val="-4"/>
              </w:rPr>
              <w:t>Mezikvartální pokles tržeb ve službách se na přelomu let 2023 a 2024 zastavil. Oživení poptávky nastalo téměř ve všech hlavních odvětvích služeb.</w:t>
            </w:r>
          </w:p>
        </w:tc>
        <w:tc>
          <w:tcPr>
            <w:tcW w:w="229" w:type="dxa"/>
            <w:shd w:val="clear" w:color="auto" w:fill="auto"/>
            <w:tcMar>
              <w:left w:w="0" w:type="dxa"/>
            </w:tcMar>
          </w:tcPr>
          <w:p w14:paraId="50B51D3C" w14:textId="77777777" w:rsidR="00EC6B23" w:rsidRPr="00D87405" w:rsidRDefault="00EC6B23" w:rsidP="002F7D0A">
            <w:pPr>
              <w:pStyle w:val="Textpoznpodarou"/>
              <w:jc w:val="both"/>
              <w:rPr>
                <w:rFonts w:eastAsia="Times New Roman" w:cs="Arial"/>
                <w:color w:val="0D0D0D" w:themeColor="text1" w:themeTint="F2"/>
                <w:spacing w:val="-4"/>
              </w:rPr>
            </w:pPr>
          </w:p>
        </w:tc>
        <w:tc>
          <w:tcPr>
            <w:tcW w:w="7596" w:type="dxa"/>
            <w:shd w:val="clear" w:color="auto" w:fill="auto"/>
            <w:tcMar>
              <w:left w:w="0" w:type="dxa"/>
            </w:tcMar>
          </w:tcPr>
          <w:p w14:paraId="4F2F5F83" w14:textId="77777777" w:rsidR="00EC6B23" w:rsidRPr="000608D2" w:rsidRDefault="00EC6B23" w:rsidP="002F7D0A">
            <w:pPr>
              <w:spacing w:after="120"/>
              <w:rPr>
                <w:rFonts w:cs="Arial"/>
                <w:color w:val="0D0D0D" w:themeColor="text1" w:themeTint="F2"/>
                <w:spacing w:val="-4"/>
              </w:rPr>
            </w:pPr>
            <w:r w:rsidRPr="00C8516F">
              <w:rPr>
                <w:color w:val="0D0D0D" w:themeColor="text1" w:themeTint="F2"/>
                <w:spacing w:val="-4"/>
              </w:rPr>
              <w:t>Poptávka po službách</w:t>
            </w:r>
            <w:r>
              <w:rPr>
                <w:color w:val="0D0D0D" w:themeColor="text1" w:themeTint="F2"/>
                <w:spacing w:val="-4"/>
              </w:rPr>
              <w:t xml:space="preserve"> pozvolna ožívala, což souvisí se zlepšenou kondicí celé tuzemské ekonomiky. Stabilizace hladiny spotřebitelských cen pomohla po delším období nastartovat růst reálných mezd zaměstnanců, což se odrazilo v příznivější finanční situaci domácností. Na služby působila letos pozitivně i mírně rostoucí podniková poptávka, jež byla po většinu loňského roku ještě dosti utlumená. </w:t>
            </w:r>
            <w:r w:rsidRPr="00C8516F">
              <w:rPr>
                <w:rFonts w:cs="Arial"/>
                <w:color w:val="0D0D0D" w:themeColor="text1" w:themeTint="F2"/>
                <w:spacing w:val="-4"/>
              </w:rPr>
              <w:t>Tržby ve službách</w:t>
            </w:r>
            <w:r w:rsidRPr="00C8516F">
              <w:rPr>
                <w:color w:val="0D0D0D" w:themeColor="text1" w:themeTint="F2"/>
                <w:spacing w:val="-4"/>
                <w:vertAlign w:val="superscript"/>
              </w:rPr>
              <w:footnoteReference w:id="29"/>
            </w:r>
            <w:r>
              <w:rPr>
                <w:rFonts w:cs="Arial"/>
                <w:color w:val="0D0D0D" w:themeColor="text1" w:themeTint="F2"/>
                <w:spacing w:val="-4"/>
              </w:rPr>
              <w:t xml:space="preserve"> v poslední čtvrtině loňského roku mezikvartálně vzrostly o 0,6 % a zaznamenaly tak první posílení od 3. čtvrtletí 2022. V 1. čtvrtletí 2024 růst tržeb zrychlil na 2,2 % − tedy nejvíce za posledních sedm čtvrtletí. Na tomto oživení se podílela téměř všechna hlavní odvětví služeb, klíčovou roli měla ovšem doprava a skladování (+5,8 %). </w:t>
            </w:r>
            <w:r w:rsidRPr="00C8516F">
              <w:rPr>
                <w:rFonts w:cs="Arial"/>
                <w:color w:val="0D0D0D" w:themeColor="text1" w:themeTint="F2"/>
                <w:spacing w:val="-4"/>
              </w:rPr>
              <w:t>Celkové tržby v</w:t>
            </w:r>
            <w:r>
              <w:rPr>
                <w:rFonts w:cs="Arial"/>
                <w:color w:val="0D0D0D" w:themeColor="text1" w:themeTint="F2"/>
                <w:spacing w:val="-4"/>
              </w:rPr>
              <w:t>e službách se letos nacházel</w:t>
            </w:r>
            <w:r w:rsidRPr="00C8516F">
              <w:rPr>
                <w:rFonts w:cs="Arial"/>
                <w:color w:val="0D0D0D" w:themeColor="text1" w:themeTint="F2"/>
                <w:spacing w:val="-4"/>
              </w:rPr>
              <w:t xml:space="preserve">y </w:t>
            </w:r>
            <w:r>
              <w:rPr>
                <w:rFonts w:cs="Arial"/>
                <w:color w:val="0D0D0D" w:themeColor="text1" w:themeTint="F2"/>
                <w:spacing w:val="-4"/>
              </w:rPr>
              <w:t>lehce nad úrovní z vrcholu poslední konjunktury v předpandemickém období (oproti 2.</w:t>
            </w:r>
            <w:r w:rsidRPr="00C8516F">
              <w:rPr>
                <w:rFonts w:cs="Arial"/>
                <w:color w:val="0D0D0D" w:themeColor="text1" w:themeTint="F2"/>
                <w:spacing w:val="-4"/>
              </w:rPr>
              <w:t xml:space="preserve"> č</w:t>
            </w:r>
            <w:r>
              <w:rPr>
                <w:rFonts w:cs="Arial"/>
                <w:color w:val="0D0D0D" w:themeColor="text1" w:themeTint="F2"/>
                <w:spacing w:val="-4"/>
              </w:rPr>
              <w:t>tvrtletí 2019 byly vyšší o 1,6 %</w:t>
            </w:r>
            <w:r w:rsidRPr="00C8516F">
              <w:rPr>
                <w:rStyle w:val="Znakapoznpodarou"/>
                <w:color w:val="0D0D0D" w:themeColor="text1" w:themeTint="F2"/>
                <w:spacing w:val="-4"/>
              </w:rPr>
              <w:footnoteReference w:id="30"/>
            </w:r>
            <w:r w:rsidRPr="00C8516F">
              <w:rPr>
                <w:rFonts w:cs="Arial"/>
                <w:color w:val="0D0D0D" w:themeColor="text1" w:themeTint="F2"/>
                <w:spacing w:val="-4"/>
              </w:rPr>
              <w:t>).</w:t>
            </w:r>
          </w:p>
        </w:tc>
      </w:tr>
      <w:tr w:rsidR="00EC6B23" w14:paraId="439DBB28" w14:textId="77777777" w:rsidTr="002F7D0A">
        <w:trPr>
          <w:trHeight w:val="170"/>
        </w:trPr>
        <w:tc>
          <w:tcPr>
            <w:tcW w:w="1814" w:type="dxa"/>
            <w:shd w:val="clear" w:color="auto" w:fill="auto"/>
            <w:tcMar>
              <w:left w:w="0" w:type="dxa"/>
            </w:tcMar>
          </w:tcPr>
          <w:p w14:paraId="510476AA" w14:textId="77777777" w:rsidR="00EC6B23" w:rsidRDefault="00EC6B23" w:rsidP="002F7D0A">
            <w:pPr>
              <w:pStyle w:val="Marginlie"/>
              <w:rPr>
                <w:color w:val="0D0D0D" w:themeColor="text1" w:themeTint="F2"/>
                <w:spacing w:val="-4"/>
              </w:rPr>
            </w:pPr>
            <w:r>
              <w:rPr>
                <w:color w:val="0D0D0D" w:themeColor="text1" w:themeTint="F2"/>
                <w:spacing w:val="-4"/>
              </w:rPr>
              <w:t xml:space="preserve">Na meziročním růstu tržeb v odvětví dopravy </w:t>
            </w:r>
            <w:r>
              <w:rPr>
                <w:color w:val="0D0D0D" w:themeColor="text1" w:themeTint="F2"/>
                <w:spacing w:val="-4"/>
              </w:rPr>
              <w:br/>
              <w:t>a skladování se nejvíce podílela letecká doprava.</w:t>
            </w:r>
          </w:p>
        </w:tc>
        <w:tc>
          <w:tcPr>
            <w:tcW w:w="229" w:type="dxa"/>
            <w:shd w:val="clear" w:color="auto" w:fill="auto"/>
            <w:tcMar>
              <w:left w:w="0" w:type="dxa"/>
            </w:tcMar>
          </w:tcPr>
          <w:p w14:paraId="33492EC0"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1993512C" w14:textId="77777777" w:rsidR="00EC6B23" w:rsidRPr="00C8516F" w:rsidRDefault="00EC6B23" w:rsidP="002F7D0A">
            <w:pPr>
              <w:spacing w:after="200"/>
              <w:rPr>
                <w:color w:val="0D0D0D" w:themeColor="text1" w:themeTint="F2"/>
                <w:spacing w:val="-4"/>
              </w:rPr>
            </w:pPr>
            <w:r>
              <w:rPr>
                <w:color w:val="0D0D0D" w:themeColor="text1" w:themeTint="F2"/>
                <w:spacing w:val="-4"/>
              </w:rPr>
              <w:t xml:space="preserve">Pozitivní obrat v poptávce po službách je patrný i v meziročním pohledu. Tržby zde po loňské recesi opět mírně vzrostly (+1,0 %). Výkon váhově nejvýznamnějšího odvětví dopravy a skladování ale vzrostl jen 0,5 % a přispěl k růstu služeb +0,1 p. b. Díky rozvoji cestovního ruchu rostly svižně zejména tržby leteckým dopravcům (+22,4 %), za maximální úrovní z období konjunktury 2015 až 2019 však stále o desetinu zaostávaly. Alespoň mírný růst poptávky ovšem pocítily takřka všechny druhy dopravy (vyjma potrubní dopravy). V pozemní dopravě mírně rostly výkony silniční dopravy, které částečně kompenzovaly pokles v železniční dopravě. V poštovních a kurýrních činnostech se tržby zvýšily poprvé za posledních šest kvartálů (+3,0 %), z velké části díky rychlejšímu oživení u internetových prodejů. Naopak ve skladování a vedlejších činnostech v dopravě pokles tržeb pokračoval (−1,8 %). </w:t>
            </w:r>
          </w:p>
        </w:tc>
      </w:tr>
      <w:tr w:rsidR="00EC6B23" w14:paraId="11ADAA52" w14:textId="77777777" w:rsidTr="002F7D0A">
        <w:trPr>
          <w:trHeight w:val="170"/>
        </w:trPr>
        <w:tc>
          <w:tcPr>
            <w:tcW w:w="1814" w:type="dxa"/>
            <w:shd w:val="clear" w:color="auto" w:fill="auto"/>
            <w:tcMar>
              <w:left w:w="0" w:type="dxa"/>
            </w:tcMar>
          </w:tcPr>
          <w:p w14:paraId="1521D3E3" w14:textId="77777777" w:rsidR="00EC6B23" w:rsidRDefault="00EC6B23" w:rsidP="002F7D0A">
            <w:pPr>
              <w:pStyle w:val="Marginlie"/>
              <w:rPr>
                <w:color w:val="0D0D0D" w:themeColor="text1" w:themeTint="F2"/>
                <w:spacing w:val="-4"/>
              </w:rPr>
            </w:pPr>
            <w:r>
              <w:rPr>
                <w:color w:val="0D0D0D" w:themeColor="text1" w:themeTint="F2"/>
                <w:spacing w:val="-4"/>
              </w:rPr>
              <w:lastRenderedPageBreak/>
              <w:t xml:space="preserve">Růst počtu ubytovaných hostů v HUZ zrychlil. Rozvoj turismu nadále táhli zejména nerezidenti. Nezvykle teplé počasí </w:t>
            </w:r>
            <w:r>
              <w:rPr>
                <w:color w:val="0D0D0D" w:themeColor="text1" w:themeTint="F2"/>
                <w:spacing w:val="-4"/>
              </w:rPr>
              <w:br/>
              <w:t xml:space="preserve">i „předsunutí“ Velikonoc podpořil hlavně městský cestovní ruch. </w:t>
            </w:r>
          </w:p>
        </w:tc>
        <w:tc>
          <w:tcPr>
            <w:tcW w:w="229" w:type="dxa"/>
            <w:shd w:val="clear" w:color="auto" w:fill="auto"/>
            <w:tcMar>
              <w:left w:w="0" w:type="dxa"/>
            </w:tcMar>
          </w:tcPr>
          <w:p w14:paraId="4DCA6396"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685B4D34" w14:textId="77777777" w:rsidR="00EC6B23" w:rsidRDefault="00EC6B23" w:rsidP="002F7D0A">
            <w:pPr>
              <w:spacing w:after="200"/>
              <w:rPr>
                <w:color w:val="0D0D0D" w:themeColor="text1" w:themeTint="F2"/>
                <w:spacing w:val="-4"/>
              </w:rPr>
            </w:pPr>
            <w:r>
              <w:rPr>
                <w:color w:val="0D0D0D" w:themeColor="text1" w:themeTint="F2"/>
                <w:spacing w:val="-4"/>
              </w:rPr>
              <w:t xml:space="preserve">Mezi hlavními odvětvími služeb se tržby v 1. čtvrtletí meziročně nejvíce zvýšily </w:t>
            </w:r>
            <w:r>
              <w:rPr>
                <w:color w:val="0D0D0D" w:themeColor="text1" w:themeTint="F2"/>
                <w:spacing w:val="-4"/>
              </w:rPr>
              <w:br/>
              <w:t>v u</w:t>
            </w:r>
            <w:r w:rsidRPr="002B5296">
              <w:rPr>
                <w:color w:val="0D0D0D" w:themeColor="text1" w:themeTint="F2"/>
                <w:spacing w:val="-4"/>
              </w:rPr>
              <w:t>bytování, stravování a pohostinství</w:t>
            </w:r>
            <w:r>
              <w:rPr>
                <w:color w:val="0D0D0D" w:themeColor="text1" w:themeTint="F2"/>
                <w:spacing w:val="-4"/>
              </w:rPr>
              <w:t xml:space="preserve"> (+2,9 %). Růst poptávky zde byl tažen zejména stravováním a pohostinstvím. To vedle postupně se zotavující spotřeby tuzemských domácností profitovalo také ze svižně se rozvíjejícího příjezdového cestovního ruchu. Do hromadných ubytovacích zařízení (HUZ) přijelo meziročně o 9,9 % hostů více (růstové tempo ve srovnání s 2. pololetím loňského roku lehce zrychlilo). </w:t>
            </w:r>
            <w:r>
              <w:rPr>
                <w:rStyle w:val="normaltextrun"/>
                <w:rFonts w:cs="Arial"/>
                <w:szCs w:val="20"/>
              </w:rPr>
              <w:t>Celková poptávka po cestovním ruchu (zachycená počtem přenocování) rostla o 7,7 %</w:t>
            </w:r>
            <w:r>
              <w:rPr>
                <w:rStyle w:val="Znakapoznpodarou"/>
                <w:szCs w:val="20"/>
              </w:rPr>
              <w:footnoteReference w:id="31"/>
            </w:r>
            <w:r>
              <w:rPr>
                <w:rStyle w:val="normaltextrun"/>
                <w:rFonts w:cs="Arial"/>
                <w:szCs w:val="20"/>
              </w:rPr>
              <w:t xml:space="preserve">, v tom ze strany nerezidentů o 17,2 %, od domácí klientely jen o 0,6 % (u ní dokonce poptávka ve </w:t>
            </w:r>
            <w:r>
              <w:rPr>
                <w:rStyle w:val="normaltextrun"/>
                <w:rFonts w:cs="Arial"/>
                <w:szCs w:val="20"/>
              </w:rPr>
              <w:br/>
              <w:t>2. pololetí 2023 lehce klesla). K růstu poptávky tak již osmý kvartál v řadě přispívali zejména zahraniční hosté</w:t>
            </w:r>
            <w:r>
              <w:rPr>
                <w:rStyle w:val="Znakapoznpodarou"/>
                <w:szCs w:val="20"/>
              </w:rPr>
              <w:footnoteReference w:id="32"/>
            </w:r>
            <w:r>
              <w:rPr>
                <w:rStyle w:val="normaltextrun"/>
                <w:rFonts w:cs="Arial"/>
                <w:szCs w:val="20"/>
              </w:rPr>
              <w:t>.</w:t>
            </w:r>
            <w:r>
              <w:rPr>
                <w:rStyle w:val="eop"/>
                <w:rFonts w:cs="Arial"/>
                <w:szCs w:val="20"/>
              </w:rPr>
              <w:t xml:space="preserve"> </w:t>
            </w:r>
            <w:r>
              <w:rPr>
                <w:rStyle w:val="normaltextrun"/>
                <w:rFonts w:cs="Arial"/>
                <w:szCs w:val="20"/>
              </w:rPr>
              <w:t>Návštěvnost v 1. čtvrtletí výrazně ovlivnilo počasí (velmi teplý únor a březen – tedy období jarních školních prázdnin) a „předsunutí“ Velikonoc (ty kromě letoška spadly do 1. čtvrtletí naposledy v roce 2016).</w:t>
            </w:r>
          </w:p>
        </w:tc>
      </w:tr>
      <w:tr w:rsidR="00EC6B23" w14:paraId="5FF5A75B" w14:textId="77777777" w:rsidTr="002F7D0A">
        <w:trPr>
          <w:trHeight w:val="170"/>
        </w:trPr>
        <w:tc>
          <w:tcPr>
            <w:tcW w:w="1814" w:type="dxa"/>
            <w:shd w:val="clear" w:color="auto" w:fill="auto"/>
            <w:tcMar>
              <w:left w:w="0" w:type="dxa"/>
            </w:tcMar>
          </w:tcPr>
          <w:p w14:paraId="4E6BCAE1" w14:textId="77777777" w:rsidR="00EC6B23" w:rsidRDefault="00EC6B23" w:rsidP="002F7D0A">
            <w:pPr>
              <w:pStyle w:val="Marginlie"/>
              <w:rPr>
                <w:color w:val="0D0D0D" w:themeColor="text1" w:themeTint="F2"/>
                <w:spacing w:val="-4"/>
              </w:rPr>
            </w:pPr>
            <w:r>
              <w:rPr>
                <w:color w:val="0D0D0D" w:themeColor="text1" w:themeTint="F2"/>
                <w:spacing w:val="-4"/>
              </w:rPr>
              <w:t xml:space="preserve">Poptávka po pronájmu </w:t>
            </w:r>
            <w:r>
              <w:rPr>
                <w:color w:val="0D0D0D" w:themeColor="text1" w:themeTint="F2"/>
                <w:spacing w:val="-4"/>
              </w:rPr>
              <w:br/>
              <w:t>a operativním leasingu vzrostla, pokračoval dlouhodobější pokles tržeb pracovních agentur.</w:t>
            </w:r>
          </w:p>
        </w:tc>
        <w:tc>
          <w:tcPr>
            <w:tcW w:w="229" w:type="dxa"/>
            <w:shd w:val="clear" w:color="auto" w:fill="auto"/>
            <w:tcMar>
              <w:left w:w="0" w:type="dxa"/>
            </w:tcMar>
          </w:tcPr>
          <w:p w14:paraId="1852F155"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41010A51" w14:textId="77777777" w:rsidR="00EC6B23" w:rsidRDefault="00EC6B23" w:rsidP="002F7D0A">
            <w:pPr>
              <w:spacing w:after="200"/>
              <w:rPr>
                <w:color w:val="0D0D0D" w:themeColor="text1" w:themeTint="F2"/>
                <w:spacing w:val="-4"/>
              </w:rPr>
            </w:pPr>
            <w:r>
              <w:rPr>
                <w:color w:val="0D0D0D" w:themeColor="text1" w:themeTint="F2"/>
                <w:spacing w:val="-4"/>
              </w:rPr>
              <w:t>Rozvoj turismu se v 1. čtvrtletí odrazil také ve svižně rostoucích tržbách cestovních agentur a</w:t>
            </w:r>
            <w:r w:rsidRPr="00D4708D">
              <w:rPr>
                <w:color w:val="0D0D0D" w:themeColor="text1" w:themeTint="F2"/>
                <w:spacing w:val="-4"/>
              </w:rPr>
              <w:t xml:space="preserve"> kanceláří</w:t>
            </w:r>
            <w:r>
              <w:rPr>
                <w:color w:val="0D0D0D" w:themeColor="text1" w:themeTint="F2"/>
                <w:spacing w:val="-4"/>
              </w:rPr>
              <w:t xml:space="preserve"> (+14,5 % meziročně), jejichž reálná výše již překonala úroveň z 1. čtvrtletí 2019. Tato oblast i letos zásadně ovlivnila růst tržeb v celém odvětví a</w:t>
            </w:r>
            <w:r w:rsidRPr="00D4708D">
              <w:rPr>
                <w:color w:val="0D0D0D" w:themeColor="text1" w:themeTint="F2"/>
                <w:spacing w:val="-4"/>
              </w:rPr>
              <w:t xml:space="preserve">dministrativní </w:t>
            </w:r>
            <w:r>
              <w:rPr>
                <w:color w:val="0D0D0D" w:themeColor="text1" w:themeTint="F2"/>
                <w:spacing w:val="-4"/>
              </w:rPr>
              <w:br/>
            </w:r>
            <w:r w:rsidRPr="00D4708D">
              <w:rPr>
                <w:color w:val="0D0D0D" w:themeColor="text1" w:themeTint="F2"/>
                <w:spacing w:val="-4"/>
              </w:rPr>
              <w:t>a podpůrné činnosti</w:t>
            </w:r>
            <w:r>
              <w:rPr>
                <w:color w:val="0D0D0D" w:themeColor="text1" w:themeTint="F2"/>
                <w:spacing w:val="-4"/>
              </w:rPr>
              <w:t xml:space="preserve"> (+2,5 %). Svižně se zde ovšem zvyšovaly také tržby v oblasti pronájmu a operativního leasingu (za stroje, zařízení či za výrobky</w:t>
            </w:r>
            <w:r w:rsidRPr="00362082">
              <w:rPr>
                <w:color w:val="0D0D0D" w:themeColor="text1" w:themeTint="F2"/>
                <w:spacing w:val="-4"/>
              </w:rPr>
              <w:t xml:space="preserve"> pro osobní potřebu a převážně pro domácnost</w:t>
            </w:r>
            <w:r>
              <w:rPr>
                <w:color w:val="0D0D0D" w:themeColor="text1" w:themeTint="F2"/>
                <w:spacing w:val="-4"/>
              </w:rPr>
              <w:t xml:space="preserve">, např. </w:t>
            </w:r>
            <w:r w:rsidRPr="00362A30">
              <w:rPr>
                <w:color w:val="0D0D0D" w:themeColor="text1" w:themeTint="F2"/>
                <w:spacing w:val="-4"/>
              </w:rPr>
              <w:t>rekreačních a sportovních potřeb</w:t>
            </w:r>
            <w:r>
              <w:rPr>
                <w:color w:val="0D0D0D" w:themeColor="text1" w:themeTint="F2"/>
                <w:spacing w:val="-4"/>
              </w:rPr>
              <w:t xml:space="preserve">). Naopak u řady méně sofistikovaných podnikových služeb přetrvávala slabší poptávka. Šlo především </w:t>
            </w:r>
            <w:r>
              <w:rPr>
                <w:color w:val="0D0D0D" w:themeColor="text1" w:themeTint="F2"/>
                <w:spacing w:val="-4"/>
              </w:rPr>
              <w:br/>
              <w:t>o pracovní agentury, kde tržby klesaly již bezmála tři roky, v 1. čtvrtletí 2024 o více než desetinu</w:t>
            </w:r>
            <w:r w:rsidRPr="002A2FF6">
              <w:rPr>
                <w:rStyle w:val="Znakapoznpodarou"/>
                <w:color w:val="0D0D0D" w:themeColor="text1" w:themeTint="F2"/>
                <w:spacing w:val="-2"/>
              </w:rPr>
              <w:footnoteReference w:id="33"/>
            </w:r>
            <w:r>
              <w:rPr>
                <w:color w:val="0D0D0D" w:themeColor="text1" w:themeTint="F2"/>
                <w:spacing w:val="-4"/>
              </w:rPr>
              <w:t>. Tlak na snižování nákladů i rozvoj digitalizace vyústily ve slabší poptávku po úklidových činnostech či po b</w:t>
            </w:r>
            <w:r w:rsidRPr="00DE1692">
              <w:rPr>
                <w:color w:val="0D0D0D" w:themeColor="text1" w:themeTint="F2"/>
                <w:spacing w:val="-4"/>
              </w:rPr>
              <w:t>ezpečnostní</w:t>
            </w:r>
            <w:r>
              <w:rPr>
                <w:color w:val="0D0D0D" w:themeColor="text1" w:themeTint="F2"/>
                <w:spacing w:val="-4"/>
              </w:rPr>
              <w:t>ch</w:t>
            </w:r>
            <w:r w:rsidRPr="00DE1692">
              <w:rPr>
                <w:color w:val="0D0D0D" w:themeColor="text1" w:themeTint="F2"/>
                <w:spacing w:val="-4"/>
              </w:rPr>
              <w:t xml:space="preserve"> a pátrací</w:t>
            </w:r>
            <w:r>
              <w:rPr>
                <w:color w:val="0D0D0D" w:themeColor="text1" w:themeTint="F2"/>
                <w:spacing w:val="-4"/>
              </w:rPr>
              <w:t>ch činnostech.</w:t>
            </w:r>
          </w:p>
        </w:tc>
      </w:tr>
      <w:tr w:rsidR="00EC6B23" w14:paraId="014D6CF1" w14:textId="77777777" w:rsidTr="002F7D0A">
        <w:trPr>
          <w:trHeight w:val="170"/>
        </w:trPr>
        <w:tc>
          <w:tcPr>
            <w:tcW w:w="1814" w:type="dxa"/>
            <w:shd w:val="clear" w:color="auto" w:fill="auto"/>
            <w:tcMar>
              <w:left w:w="0" w:type="dxa"/>
            </w:tcMar>
          </w:tcPr>
          <w:p w14:paraId="6E223768" w14:textId="77777777" w:rsidR="00EC6B23" w:rsidRDefault="00EC6B23" w:rsidP="002F7D0A">
            <w:pPr>
              <w:pStyle w:val="Marginlie"/>
              <w:rPr>
                <w:color w:val="0D0D0D" w:themeColor="text1" w:themeTint="F2"/>
                <w:spacing w:val="-4"/>
              </w:rPr>
            </w:pPr>
            <w:r>
              <w:rPr>
                <w:color w:val="0D0D0D" w:themeColor="text1" w:themeTint="F2"/>
                <w:spacing w:val="-4"/>
              </w:rPr>
              <w:t>Mírně rostla poptávka po většině sofistikovanějších podnikových služeb.</w:t>
            </w:r>
          </w:p>
        </w:tc>
        <w:tc>
          <w:tcPr>
            <w:tcW w:w="229" w:type="dxa"/>
            <w:shd w:val="clear" w:color="auto" w:fill="auto"/>
            <w:tcMar>
              <w:left w:w="0" w:type="dxa"/>
            </w:tcMar>
          </w:tcPr>
          <w:p w14:paraId="31B47975"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73A44DE6" w14:textId="514EB695" w:rsidR="00EC6B23" w:rsidRDefault="00EC6B23" w:rsidP="00EC6B23">
            <w:pPr>
              <w:spacing w:after="200"/>
              <w:rPr>
                <w:color w:val="0D0D0D" w:themeColor="text1" w:themeTint="F2"/>
                <w:spacing w:val="-4"/>
              </w:rPr>
            </w:pPr>
            <w:r>
              <w:rPr>
                <w:rFonts w:cs="Arial"/>
                <w:color w:val="0D0D0D" w:themeColor="text1" w:themeTint="F2"/>
                <w:spacing w:val="-4"/>
              </w:rPr>
              <w:t>V</w:t>
            </w:r>
            <w:r w:rsidRPr="00EB7A5A">
              <w:rPr>
                <w:color w:val="0D0D0D" w:themeColor="text1" w:themeTint="F2"/>
                <w:spacing w:val="-4"/>
              </w:rPr>
              <w:t> profesních, vědeckých a technických činnost</w:t>
            </w:r>
            <w:r>
              <w:rPr>
                <w:color w:val="0D0D0D" w:themeColor="text1" w:themeTint="F2"/>
                <w:spacing w:val="-4"/>
              </w:rPr>
              <w:t xml:space="preserve">ech, soustřeďujících typicky sofistikovanější služby pro podniky, meziroční růst tržeb letos zvolnil (na 1,7 %). </w:t>
            </w:r>
            <w:r w:rsidRPr="00EB7A5A">
              <w:rPr>
                <w:color w:val="0D0D0D" w:themeColor="text1" w:themeTint="F2"/>
                <w:spacing w:val="-4"/>
              </w:rPr>
              <w:t>Navzd</w:t>
            </w:r>
            <w:r>
              <w:rPr>
                <w:color w:val="0D0D0D" w:themeColor="text1" w:themeTint="F2"/>
                <w:spacing w:val="-4"/>
              </w:rPr>
              <w:t>ory potížím ve stavebnictví přispěly k růstu celého odvětví architektonické a inženýrské činnosti</w:t>
            </w:r>
            <w:r w:rsidRPr="00EB7A5A">
              <w:rPr>
                <w:color w:val="0D0D0D" w:themeColor="text1" w:themeTint="F2"/>
                <w:spacing w:val="-4"/>
              </w:rPr>
              <w:t xml:space="preserve"> (</w:t>
            </w:r>
            <w:r>
              <w:rPr>
                <w:color w:val="0D0D0D" w:themeColor="text1" w:themeTint="F2"/>
                <w:spacing w:val="-4"/>
              </w:rPr>
              <w:t xml:space="preserve">kde se tržby zvýšily o 3,2 %). Dlouhodobý růst poptávky zaznamenaly </w:t>
            </w:r>
            <w:r w:rsidRPr="00EB7A5A">
              <w:rPr>
                <w:color w:val="0D0D0D" w:themeColor="text1" w:themeTint="F2"/>
                <w:spacing w:val="-4"/>
              </w:rPr>
              <w:t>činnosti</w:t>
            </w:r>
            <w:r>
              <w:rPr>
                <w:color w:val="0D0D0D" w:themeColor="text1" w:themeTint="F2"/>
                <w:spacing w:val="-4"/>
              </w:rPr>
              <w:t xml:space="preserve"> vedení podniků a </w:t>
            </w:r>
            <w:r w:rsidRPr="004824CE">
              <w:rPr>
                <w:color w:val="0D0D0D" w:themeColor="text1" w:themeTint="F2"/>
                <w:spacing w:val="-4"/>
              </w:rPr>
              <w:t>poradenství v oblasti řízení</w:t>
            </w:r>
            <w:r>
              <w:rPr>
                <w:color w:val="0D0D0D" w:themeColor="text1" w:themeTint="F2"/>
                <w:spacing w:val="-4"/>
              </w:rPr>
              <w:t>. Ve srovnání s celým loňským rokem zrychlil růst tržeb v </w:t>
            </w:r>
            <w:r w:rsidRPr="00EB7A5A">
              <w:rPr>
                <w:spacing w:val="-4"/>
              </w:rPr>
              <w:t>ostatní</w:t>
            </w:r>
            <w:r>
              <w:rPr>
                <w:spacing w:val="-4"/>
              </w:rPr>
              <w:t>ch</w:t>
            </w:r>
            <w:r w:rsidRPr="00EB7A5A">
              <w:rPr>
                <w:spacing w:val="-4"/>
              </w:rPr>
              <w:t xml:space="preserve"> profesní</w:t>
            </w:r>
            <w:r>
              <w:rPr>
                <w:spacing w:val="-4"/>
              </w:rPr>
              <w:t>ch, vědeckých a technických činnostech</w:t>
            </w:r>
            <w:r w:rsidRPr="00EB7A5A">
              <w:rPr>
                <w:rStyle w:val="Znakapoznpodarou"/>
                <w:spacing w:val="-4"/>
              </w:rPr>
              <w:footnoteReference w:id="34"/>
            </w:r>
            <w:r w:rsidRPr="00EB7A5A">
              <w:rPr>
                <w:spacing w:val="-4"/>
              </w:rPr>
              <w:t xml:space="preserve"> (</w:t>
            </w:r>
            <w:r>
              <w:rPr>
                <w:spacing w:val="-4"/>
              </w:rPr>
              <w:t xml:space="preserve">na </w:t>
            </w:r>
            <w:r>
              <w:rPr>
                <w:color w:val="0D0D0D" w:themeColor="text1" w:themeTint="F2"/>
                <w:spacing w:val="-4"/>
              </w:rPr>
              <w:t>+7</w:t>
            </w:r>
            <w:r>
              <w:rPr>
                <w:spacing w:val="-4"/>
              </w:rPr>
              <w:t xml:space="preserve">,2 %, </w:t>
            </w:r>
            <w:r w:rsidRPr="00EB7A5A">
              <w:rPr>
                <w:spacing w:val="-4"/>
              </w:rPr>
              <w:t xml:space="preserve">oproti roku 2019 </w:t>
            </w:r>
            <w:r>
              <w:rPr>
                <w:spacing w:val="-4"/>
              </w:rPr>
              <w:t>však byla poptávka stále o více než 15</w:t>
            </w:r>
            <w:r w:rsidRPr="00EB7A5A">
              <w:rPr>
                <w:spacing w:val="-4"/>
              </w:rPr>
              <w:t xml:space="preserve"> %</w:t>
            </w:r>
            <w:r>
              <w:rPr>
                <w:spacing w:val="-4"/>
              </w:rPr>
              <w:t xml:space="preserve"> nižší)</w:t>
            </w:r>
            <w:r w:rsidRPr="00EB7A5A">
              <w:rPr>
                <w:spacing w:val="-4"/>
              </w:rPr>
              <w:t>.</w:t>
            </w:r>
            <w:r>
              <w:rPr>
                <w:spacing w:val="-4"/>
              </w:rPr>
              <w:t xml:space="preserve"> Tržby v oblasti reklamy se mírně snížily, naopak poprvé od konce roku 2021 vzrostla poptávka v oblasti p</w:t>
            </w:r>
            <w:r w:rsidRPr="00735AC3">
              <w:rPr>
                <w:spacing w:val="-4"/>
              </w:rPr>
              <w:t>růzkum</w:t>
            </w:r>
            <w:r>
              <w:rPr>
                <w:spacing w:val="-4"/>
              </w:rPr>
              <w:t>u</w:t>
            </w:r>
            <w:r w:rsidRPr="00735AC3">
              <w:rPr>
                <w:spacing w:val="-4"/>
              </w:rPr>
              <w:t xml:space="preserve"> trhu a</w:t>
            </w:r>
            <w:r>
              <w:rPr>
                <w:spacing w:val="-4"/>
              </w:rPr>
              <w:t> </w:t>
            </w:r>
            <w:r w:rsidRPr="00735AC3">
              <w:rPr>
                <w:spacing w:val="-4"/>
              </w:rPr>
              <w:t>veřejného mínění</w:t>
            </w:r>
            <w:r>
              <w:rPr>
                <w:spacing w:val="-4"/>
              </w:rPr>
              <w:t xml:space="preserve">.  </w:t>
            </w:r>
          </w:p>
        </w:tc>
      </w:tr>
      <w:tr w:rsidR="00EC6B23" w14:paraId="09954A67" w14:textId="77777777" w:rsidTr="002F7D0A">
        <w:trPr>
          <w:trHeight w:val="170"/>
        </w:trPr>
        <w:tc>
          <w:tcPr>
            <w:tcW w:w="1814" w:type="dxa"/>
            <w:shd w:val="clear" w:color="auto" w:fill="auto"/>
            <w:tcMar>
              <w:left w:w="0" w:type="dxa"/>
            </w:tcMar>
          </w:tcPr>
          <w:p w14:paraId="1258FABF" w14:textId="77777777" w:rsidR="00EC6B23" w:rsidRDefault="00EC6B23" w:rsidP="002F7D0A">
            <w:pPr>
              <w:pStyle w:val="Marginlie"/>
              <w:rPr>
                <w:color w:val="0D0D0D" w:themeColor="text1" w:themeTint="F2"/>
              </w:rPr>
            </w:pPr>
            <w:r>
              <w:rPr>
                <w:color w:val="0D0D0D" w:themeColor="text1" w:themeTint="F2"/>
                <w:spacing w:val="-6"/>
              </w:rPr>
              <w:t>V</w:t>
            </w:r>
            <w:r w:rsidRPr="00112739">
              <w:rPr>
                <w:color w:val="0D0D0D" w:themeColor="text1" w:themeTint="F2"/>
                <w:spacing w:val="-6"/>
              </w:rPr>
              <w:t> dlouhodobě prosperujících informačních a komunika</w:t>
            </w:r>
            <w:r>
              <w:rPr>
                <w:color w:val="0D0D0D" w:themeColor="text1" w:themeTint="F2"/>
                <w:spacing w:val="-6"/>
              </w:rPr>
              <w:t xml:space="preserve">čních </w:t>
            </w:r>
            <w:r>
              <w:rPr>
                <w:color w:val="0D0D0D" w:themeColor="text1" w:themeTint="F2"/>
                <w:spacing w:val="-6"/>
              </w:rPr>
              <w:lastRenderedPageBreak/>
              <w:t>činnostech tržby pouze stagnovaly.</w:t>
            </w:r>
          </w:p>
          <w:p w14:paraId="7A9836C5" w14:textId="77777777" w:rsidR="00EC6B23" w:rsidRPr="00951B5E" w:rsidRDefault="00EC6B23" w:rsidP="002F7D0A">
            <w:pPr>
              <w:pStyle w:val="Marginlie"/>
              <w:rPr>
                <w:color w:val="0D0D0D" w:themeColor="text1" w:themeTint="F2"/>
              </w:rPr>
            </w:pPr>
          </w:p>
        </w:tc>
        <w:tc>
          <w:tcPr>
            <w:tcW w:w="229" w:type="dxa"/>
            <w:shd w:val="clear" w:color="auto" w:fill="auto"/>
            <w:tcMar>
              <w:left w:w="0" w:type="dxa"/>
            </w:tcMar>
          </w:tcPr>
          <w:p w14:paraId="3C7A108D"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31D9BF86" w14:textId="65AEABDC" w:rsidR="00EC6B23" w:rsidRPr="00AE0F64" w:rsidRDefault="00EC6B23" w:rsidP="002F7D0A">
            <w:pPr>
              <w:spacing w:after="200"/>
              <w:rPr>
                <w:rFonts w:cs="Arial"/>
                <w:color w:val="0D0D0D" w:themeColor="text1" w:themeTint="F2"/>
                <w:spacing w:val="-2"/>
              </w:rPr>
            </w:pPr>
            <w:r>
              <w:rPr>
                <w:rFonts w:cs="Arial"/>
                <w:color w:val="0D0D0D" w:themeColor="text1" w:themeTint="F2"/>
                <w:spacing w:val="-6"/>
              </w:rPr>
              <w:t>V tradičně dynamickém odvětví i</w:t>
            </w:r>
            <w:r w:rsidRPr="00B86BDD">
              <w:rPr>
                <w:rFonts w:cs="Arial"/>
                <w:color w:val="0D0D0D" w:themeColor="text1" w:themeTint="F2"/>
                <w:spacing w:val="-6"/>
              </w:rPr>
              <w:t>nformační a komunikační</w:t>
            </w:r>
            <w:r>
              <w:rPr>
                <w:rFonts w:cs="Arial"/>
                <w:color w:val="0D0D0D" w:themeColor="text1" w:themeTint="F2"/>
                <w:spacing w:val="-6"/>
              </w:rPr>
              <w:t xml:space="preserve"> činnosti tržby v 1. čtvrtletí tržby meziročně spíše stagnovaly (+0,4 %) a navázaly tak na nevýrazné loňské výsledky</w:t>
            </w:r>
            <w:r w:rsidRPr="00F236AB">
              <w:rPr>
                <w:rFonts w:cs="Arial"/>
                <w:color w:val="0D0D0D" w:themeColor="text1" w:themeTint="F2"/>
                <w:spacing w:val="-2"/>
              </w:rPr>
              <w:t xml:space="preserve">. </w:t>
            </w:r>
            <w:r>
              <w:rPr>
                <w:rFonts w:cs="Arial"/>
                <w:color w:val="0D0D0D" w:themeColor="text1" w:themeTint="F2"/>
                <w:spacing w:val="-2"/>
              </w:rPr>
              <w:t>Nejvíce se zvýšila poptávka v tvorbě rozhlasových a televizních</w:t>
            </w:r>
            <w:r w:rsidRPr="009E2693">
              <w:rPr>
                <w:rFonts w:cs="Arial"/>
                <w:color w:val="0D0D0D" w:themeColor="text1" w:themeTint="F2"/>
                <w:spacing w:val="-2"/>
              </w:rPr>
              <w:t xml:space="preserve"> programů a vysílání</w:t>
            </w:r>
            <w:r>
              <w:rPr>
                <w:rFonts w:cs="Arial"/>
                <w:color w:val="0D0D0D" w:themeColor="text1" w:themeTint="F2"/>
                <w:spacing w:val="-2"/>
              </w:rPr>
              <w:t xml:space="preserve"> (+10,6 %), </w:t>
            </w:r>
            <w:r>
              <w:rPr>
                <w:rFonts w:cs="Arial"/>
                <w:color w:val="0D0D0D" w:themeColor="text1" w:themeTint="F2"/>
                <w:spacing w:val="-2"/>
              </w:rPr>
              <w:lastRenderedPageBreak/>
              <w:t>k růstu celého odvětví ovšem přispěla zejména vyšší poptávka v dlouhodobě se rozvíjejících činnostech</w:t>
            </w:r>
            <w:r w:rsidRPr="009E2693">
              <w:rPr>
                <w:rFonts w:cs="Arial"/>
                <w:color w:val="0D0D0D" w:themeColor="text1" w:themeTint="F2"/>
                <w:spacing w:val="-2"/>
              </w:rPr>
              <w:t xml:space="preserve"> v oblasti </w:t>
            </w:r>
            <w:r>
              <w:rPr>
                <w:rFonts w:cs="Arial"/>
                <w:color w:val="0D0D0D" w:themeColor="text1" w:themeTint="F2"/>
                <w:spacing w:val="-2"/>
              </w:rPr>
              <w:t>informačních technologií (</w:t>
            </w:r>
            <w:r w:rsidRPr="004416F5">
              <w:rPr>
                <w:color w:val="0D0D0D" w:themeColor="text1" w:themeTint="F2"/>
                <w:spacing w:val="-6"/>
              </w:rPr>
              <w:t>zahrnujících např. programování či správu počítačového vybavení)</w:t>
            </w:r>
            <w:r>
              <w:rPr>
                <w:color w:val="0D0D0D" w:themeColor="text1" w:themeTint="F2"/>
                <w:spacing w:val="-6"/>
              </w:rPr>
              <w:t xml:space="preserve">. Opačně působil především propad tržeb </w:t>
            </w:r>
            <w:r>
              <w:rPr>
                <w:rFonts w:cs="Arial"/>
                <w:color w:val="0D0D0D" w:themeColor="text1" w:themeTint="F2"/>
                <w:spacing w:val="-6"/>
              </w:rPr>
              <w:t>tzv. filmového a hudebního průmyslu (</w:t>
            </w:r>
            <w:r>
              <w:rPr>
                <w:color w:val="0D0D0D" w:themeColor="text1" w:themeTint="F2"/>
                <w:spacing w:val="-2"/>
              </w:rPr>
              <w:t>−</w:t>
            </w:r>
            <w:r>
              <w:rPr>
                <w:rFonts w:cs="Arial"/>
                <w:color w:val="0D0D0D" w:themeColor="text1" w:themeTint="F2"/>
                <w:spacing w:val="-6"/>
              </w:rPr>
              <w:t>39 %)</w:t>
            </w:r>
            <w:r w:rsidRPr="00951B5E">
              <w:rPr>
                <w:rStyle w:val="Znakapoznpodarou"/>
                <w:color w:val="0D0D0D" w:themeColor="text1" w:themeTint="F2"/>
                <w:spacing w:val="-8"/>
              </w:rPr>
              <w:footnoteReference w:id="35"/>
            </w:r>
            <w:r>
              <w:rPr>
                <w:rFonts w:cs="Arial"/>
                <w:color w:val="0D0D0D" w:themeColor="text1" w:themeTint="F2"/>
                <w:spacing w:val="-6"/>
              </w:rPr>
              <w:t xml:space="preserve">, který souvisel primárně s nepravidelnou fakturací (mohl být ovlivněn také nepřímými dopady delší stávky v Hollywoodu z konce loňského roku). S nižší poptávkou se vyrovnávaly také </w:t>
            </w:r>
            <w:r>
              <w:rPr>
                <w:color w:val="0D0D0D" w:themeColor="text1" w:themeTint="F2"/>
                <w:spacing w:val="-4"/>
              </w:rPr>
              <w:t>informační činnosti</w:t>
            </w:r>
            <w:r>
              <w:rPr>
                <w:rStyle w:val="Znakapoznpodarou"/>
                <w:color w:val="0D0D0D" w:themeColor="text1" w:themeTint="F2"/>
                <w:spacing w:val="-4"/>
              </w:rPr>
              <w:footnoteReference w:id="36"/>
            </w:r>
            <w:r>
              <w:rPr>
                <w:color w:val="0D0D0D" w:themeColor="text1" w:themeTint="F2"/>
                <w:spacing w:val="-4"/>
              </w:rPr>
              <w:t>, tržby zde klesly šestý kvartál v řadě (aktuálně o 1,1 %). Zhruba o</w:t>
            </w:r>
            <w:r>
              <w:rPr>
                <w:rFonts w:cs="Arial"/>
                <w:color w:val="0D0D0D" w:themeColor="text1" w:themeTint="F2"/>
                <w:spacing w:val="-6"/>
              </w:rPr>
              <w:t> </w:t>
            </w:r>
            <w:r>
              <w:rPr>
                <w:color w:val="0D0D0D" w:themeColor="text1" w:themeTint="F2"/>
                <w:spacing w:val="-4"/>
              </w:rPr>
              <w:t xml:space="preserve">5 % se letos, obdobně jako za celý loňský rok, snížily tržby </w:t>
            </w:r>
            <w:r w:rsidRPr="00F236AB">
              <w:rPr>
                <w:rFonts w:cs="Arial"/>
                <w:color w:val="0D0D0D" w:themeColor="text1" w:themeTint="F2"/>
                <w:spacing w:val="-2"/>
              </w:rPr>
              <w:t>za vyda</w:t>
            </w:r>
            <w:r>
              <w:rPr>
                <w:rFonts w:cs="Arial"/>
                <w:color w:val="0D0D0D" w:themeColor="text1" w:themeTint="F2"/>
                <w:spacing w:val="-2"/>
              </w:rPr>
              <w:t>vatelské činnosti a nacházely se tak mírně pod úrovní z počátku roku 2019.</w:t>
            </w:r>
          </w:p>
        </w:tc>
      </w:tr>
      <w:tr w:rsidR="00EC6B23" w14:paraId="7C787339" w14:textId="77777777" w:rsidTr="002F7D0A">
        <w:trPr>
          <w:trHeight w:val="170"/>
        </w:trPr>
        <w:tc>
          <w:tcPr>
            <w:tcW w:w="1814" w:type="dxa"/>
            <w:shd w:val="clear" w:color="auto" w:fill="auto"/>
            <w:tcMar>
              <w:left w:w="0" w:type="dxa"/>
            </w:tcMar>
          </w:tcPr>
          <w:p w14:paraId="3F541946" w14:textId="77777777" w:rsidR="00EC6B23" w:rsidRDefault="00EC6B23" w:rsidP="002F7D0A">
            <w:pPr>
              <w:pStyle w:val="Marginlie"/>
            </w:pPr>
          </w:p>
        </w:tc>
        <w:tc>
          <w:tcPr>
            <w:tcW w:w="229" w:type="dxa"/>
            <w:shd w:val="clear" w:color="auto" w:fill="auto"/>
            <w:tcMar>
              <w:left w:w="0" w:type="dxa"/>
            </w:tcMar>
          </w:tcPr>
          <w:p w14:paraId="185A73B0" w14:textId="77777777" w:rsidR="00EC6B23" w:rsidRDefault="00EC6B23" w:rsidP="002F7D0A">
            <w:pPr>
              <w:pStyle w:val="Textpoznpodarou"/>
              <w:jc w:val="both"/>
              <w:rPr>
                <w:spacing w:val="-4"/>
              </w:rPr>
            </w:pPr>
          </w:p>
        </w:tc>
        <w:tc>
          <w:tcPr>
            <w:tcW w:w="7596" w:type="dxa"/>
            <w:shd w:val="clear" w:color="auto" w:fill="auto"/>
            <w:tcMar>
              <w:left w:w="0" w:type="dxa"/>
            </w:tcMar>
          </w:tcPr>
          <w:p w14:paraId="6114F7EF" w14:textId="77777777" w:rsidR="00EC6B23" w:rsidRPr="00C32591" w:rsidRDefault="00EC6B23" w:rsidP="002F7D0A">
            <w:pPr>
              <w:spacing w:after="40"/>
              <w:rPr>
                <w:b/>
                <w:spacing w:val="-4"/>
              </w:rPr>
            </w:pPr>
            <w:r w:rsidRPr="00C32591">
              <w:rPr>
                <w:b/>
                <w:spacing w:val="-4"/>
              </w:rPr>
              <w:t xml:space="preserve">Graf č. 7 </w:t>
            </w:r>
            <w:r w:rsidRPr="00C32591">
              <w:rPr>
                <w:b/>
                <w:bCs/>
                <w:spacing w:val="-4"/>
              </w:rPr>
              <w:t>Příspěvky dílčích odvětví k meziroční změně tržeb ve službách*</w:t>
            </w:r>
            <w:r w:rsidRPr="00C32591">
              <w:rPr>
                <w:b/>
                <w:spacing w:val="-4"/>
              </w:rPr>
              <w:br/>
            </w:r>
            <w:r w:rsidRPr="00C32591">
              <w:rPr>
                <w:spacing w:val="-4"/>
              </w:rPr>
              <w:t>(reálně, v p. b),</w:t>
            </w:r>
            <w:r w:rsidRPr="00C32591">
              <w:rPr>
                <w:b/>
                <w:spacing w:val="-4"/>
              </w:rPr>
              <w:t xml:space="preserve"> </w:t>
            </w:r>
            <w:r w:rsidRPr="00C32591">
              <w:rPr>
                <w:b/>
                <w:bCs/>
                <w:spacing w:val="-4"/>
              </w:rPr>
              <w:t xml:space="preserve">celkové tržby ve službách* </w:t>
            </w:r>
            <w:r>
              <w:rPr>
                <w:spacing w:val="-4"/>
              </w:rPr>
              <w:t>(báze 2021</w:t>
            </w:r>
            <w:r w:rsidRPr="00C32591">
              <w:rPr>
                <w:spacing w:val="-4"/>
              </w:rPr>
              <w:t>=100, pravá osa),</w:t>
            </w:r>
            <w:r w:rsidRPr="00C32591">
              <w:rPr>
                <w:b/>
                <w:spacing w:val="-4"/>
              </w:rPr>
              <w:t xml:space="preserve"> </w:t>
            </w:r>
            <w:r w:rsidRPr="00C32591">
              <w:rPr>
                <w:b/>
                <w:bCs/>
                <w:spacing w:val="-4"/>
              </w:rPr>
              <w:t>saldo důvěry podnikatelů ve službách**</w:t>
            </w:r>
            <w:r w:rsidRPr="00C32591">
              <w:rPr>
                <w:b/>
                <w:spacing w:val="-4"/>
              </w:rPr>
              <w:t xml:space="preserve"> </w:t>
            </w:r>
            <w:r w:rsidRPr="00C32591">
              <w:rPr>
                <w:spacing w:val="-4"/>
              </w:rPr>
              <w:t>(v p. b., pravá osa)</w:t>
            </w:r>
            <w:r>
              <w:rPr>
                <w:b/>
                <w:bCs/>
                <w:spacing w:val="-4"/>
              </w:rPr>
              <w:t xml:space="preserve"> a </w:t>
            </w:r>
            <w:r w:rsidRPr="00C32591">
              <w:rPr>
                <w:b/>
                <w:bCs/>
                <w:spacing w:val="-4"/>
              </w:rPr>
              <w:t>bariéry růstu**</w:t>
            </w:r>
            <w:r w:rsidRPr="00C32591">
              <w:rPr>
                <w:b/>
                <w:spacing w:val="-4"/>
              </w:rPr>
              <w:t xml:space="preserve"> </w:t>
            </w:r>
            <w:r w:rsidRPr="00C32591">
              <w:rPr>
                <w:spacing w:val="-4"/>
              </w:rPr>
              <w:t xml:space="preserve">(v %, pravá osa) </w:t>
            </w:r>
          </w:p>
        </w:tc>
      </w:tr>
      <w:tr w:rsidR="00EC6B23" w14:paraId="47C5642A" w14:textId="77777777" w:rsidTr="002F7D0A">
        <w:tblPrEx>
          <w:tblCellMar>
            <w:left w:w="70" w:type="dxa"/>
            <w:right w:w="70" w:type="dxa"/>
          </w:tblCellMar>
        </w:tblPrEx>
        <w:trPr>
          <w:trHeight w:val="170"/>
        </w:trPr>
        <w:tc>
          <w:tcPr>
            <w:tcW w:w="1814" w:type="dxa"/>
            <w:shd w:val="clear" w:color="auto" w:fill="auto"/>
          </w:tcPr>
          <w:p w14:paraId="33E94506" w14:textId="77777777" w:rsidR="00EC6B23" w:rsidRDefault="00EC6B23" w:rsidP="002F7D0A">
            <w:pPr>
              <w:pStyle w:val="Marginlie"/>
            </w:pPr>
          </w:p>
        </w:tc>
        <w:tc>
          <w:tcPr>
            <w:tcW w:w="229" w:type="dxa"/>
            <w:shd w:val="clear" w:color="auto" w:fill="auto"/>
          </w:tcPr>
          <w:p w14:paraId="1709BFA3" w14:textId="77777777" w:rsidR="00EC6B23" w:rsidRDefault="00EC6B23" w:rsidP="002F7D0A">
            <w:pPr>
              <w:pStyle w:val="Textpoznpodarou"/>
              <w:jc w:val="both"/>
              <w:rPr>
                <w:spacing w:val="-4"/>
              </w:rPr>
            </w:pPr>
          </w:p>
        </w:tc>
        <w:tc>
          <w:tcPr>
            <w:tcW w:w="7596" w:type="dxa"/>
            <w:shd w:val="clear" w:color="auto" w:fill="auto"/>
          </w:tcPr>
          <w:p w14:paraId="6C099C7D" w14:textId="77777777" w:rsidR="00EC6B23" w:rsidRPr="004C1143" w:rsidRDefault="00EC6B23" w:rsidP="002F7D0A">
            <w:pPr>
              <w:spacing w:after="0"/>
              <w:rPr>
                <w:rFonts w:cs="Arial"/>
                <w:sz w:val="14"/>
                <w:szCs w:val="14"/>
              </w:rPr>
            </w:pPr>
            <w:r>
              <w:rPr>
                <w:noProof/>
              </w:rPr>
              <w:drawing>
                <wp:inline distT="0" distB="0" distL="0" distR="0" wp14:anchorId="28099386" wp14:editId="126D403E">
                  <wp:extent cx="4725619" cy="3636645"/>
                  <wp:effectExtent l="0" t="0" r="0" b="190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EC6B23" w14:paraId="1BCCDC6C" w14:textId="77777777" w:rsidTr="002F7D0A">
        <w:trPr>
          <w:trHeight w:val="170"/>
        </w:trPr>
        <w:tc>
          <w:tcPr>
            <w:tcW w:w="1814" w:type="dxa"/>
            <w:shd w:val="clear" w:color="auto" w:fill="auto"/>
            <w:tcMar>
              <w:left w:w="0" w:type="dxa"/>
            </w:tcMar>
          </w:tcPr>
          <w:p w14:paraId="7AA089BA" w14:textId="77777777" w:rsidR="00EC6B23" w:rsidRDefault="00EC6B23" w:rsidP="002F7D0A">
            <w:pPr>
              <w:pStyle w:val="Marginlie"/>
            </w:pPr>
          </w:p>
        </w:tc>
        <w:tc>
          <w:tcPr>
            <w:tcW w:w="229" w:type="dxa"/>
            <w:shd w:val="clear" w:color="auto" w:fill="auto"/>
            <w:tcMar>
              <w:left w:w="0" w:type="dxa"/>
            </w:tcMar>
          </w:tcPr>
          <w:p w14:paraId="7BD0A90A" w14:textId="77777777" w:rsidR="00EC6B23" w:rsidRDefault="00EC6B23" w:rsidP="002F7D0A">
            <w:pPr>
              <w:pStyle w:val="Textpoznpodarou"/>
              <w:jc w:val="both"/>
              <w:rPr>
                <w:spacing w:val="-4"/>
              </w:rPr>
            </w:pPr>
          </w:p>
        </w:tc>
        <w:tc>
          <w:tcPr>
            <w:tcW w:w="7596" w:type="dxa"/>
            <w:shd w:val="clear" w:color="auto" w:fill="auto"/>
            <w:tcMar>
              <w:left w:w="0" w:type="dxa"/>
            </w:tcMar>
          </w:tcPr>
          <w:p w14:paraId="0EF1EA3C" w14:textId="77777777" w:rsidR="00EC6B23" w:rsidRPr="00C32591" w:rsidRDefault="00EC6B23" w:rsidP="002F7D0A">
            <w:pPr>
              <w:spacing w:after="0" w:line="240" w:lineRule="auto"/>
              <w:rPr>
                <w:rFonts w:cs="Arial"/>
                <w:spacing w:val="-4"/>
                <w:sz w:val="14"/>
                <w:szCs w:val="14"/>
              </w:rPr>
            </w:pPr>
            <w:r w:rsidRPr="00C32591">
              <w:rPr>
                <w:rFonts w:cs="Arial"/>
                <w:spacing w:val="-4"/>
                <w:sz w:val="14"/>
                <w:szCs w:val="14"/>
              </w:rPr>
              <w:t>Poznámka: všechny údaje jsou sezónně očištěny, pouze příspěvky dílčích odvětví k růstu tržeb jsou očištěny jen o kalendářní vlivy.</w:t>
            </w:r>
          </w:p>
          <w:p w14:paraId="71B3AE2D" w14:textId="77777777" w:rsidR="00EC6B23" w:rsidRPr="00C32591" w:rsidRDefault="00EC6B23" w:rsidP="002F7D0A">
            <w:pPr>
              <w:spacing w:after="0" w:line="240" w:lineRule="auto"/>
              <w:rPr>
                <w:rFonts w:cs="Arial"/>
                <w:sz w:val="14"/>
                <w:szCs w:val="14"/>
              </w:rPr>
            </w:pPr>
            <w:r w:rsidRPr="00C32591">
              <w:rPr>
                <w:rFonts w:cs="Arial"/>
                <w:sz w:val="14"/>
                <w:szCs w:val="14"/>
              </w:rPr>
              <w:t>*Bez odvětví obchodu, peněžnictví, pojišťovnictví, vědy, výzkumu a veřejných služeb.</w:t>
            </w:r>
          </w:p>
          <w:p w14:paraId="152DDEE6" w14:textId="77777777" w:rsidR="00EC6B23" w:rsidRPr="004C1143" w:rsidRDefault="00EC6B23" w:rsidP="002F7D0A">
            <w:pPr>
              <w:spacing w:after="200" w:line="240" w:lineRule="auto"/>
              <w:rPr>
                <w:rFonts w:cs="Arial"/>
                <w:sz w:val="14"/>
                <w:szCs w:val="14"/>
              </w:rPr>
            </w:pPr>
            <w:r w:rsidRPr="00052ADA">
              <w:rPr>
                <w:rFonts w:cs="Arial"/>
                <w:sz w:val="14"/>
                <w:szCs w:val="14"/>
              </w:rPr>
              <w:t>.**</w:t>
            </w:r>
            <w:r w:rsidRPr="00052ADA">
              <w:rPr>
                <w:rFonts w:cs="Arial"/>
                <w:spacing w:val="-2"/>
                <w:sz w:val="14"/>
                <w:szCs w:val="14"/>
              </w:rPr>
              <w:t>Zahrnuje i finanční sektor. Saldo důvěry podnikatelů i barié</w:t>
            </w:r>
            <w:r>
              <w:rPr>
                <w:rFonts w:cs="Arial"/>
                <w:spacing w:val="-2"/>
                <w:sz w:val="14"/>
                <w:szCs w:val="14"/>
              </w:rPr>
              <w:t xml:space="preserve">ry růstu </w:t>
            </w:r>
            <w:r w:rsidRPr="00052ADA">
              <w:rPr>
                <w:rFonts w:cs="Arial"/>
                <w:spacing w:val="-2"/>
                <w:sz w:val="14"/>
                <w:szCs w:val="14"/>
              </w:rPr>
              <w:t xml:space="preserve">vyjadřují stav v prvním (bariéry růstu), resp. ve druhém měsíci daného čtvrtletí (saldo důvěry). </w:t>
            </w:r>
            <w:r w:rsidRPr="00052ADA">
              <w:rPr>
                <w:rFonts w:cs="Arial"/>
                <w:sz w:val="14"/>
                <w:szCs w:val="14"/>
              </w:rPr>
              <w:t>Podniky mohly uvést více hlavních bariér současně.</w:t>
            </w:r>
            <w:r>
              <w:rPr>
                <w:rFonts w:cs="Arial"/>
                <w:sz w:val="14"/>
                <w:szCs w:val="14"/>
              </w:rPr>
              <w:t xml:space="preserve">                    </w:t>
            </w:r>
            <w:r w:rsidRPr="00052ADA">
              <w:rPr>
                <w:rFonts w:cs="Arial"/>
                <w:sz w:val="14"/>
                <w:szCs w:val="14"/>
              </w:rPr>
              <w:t xml:space="preserve">    Zdroj: ČSÚ, Eurostat</w:t>
            </w:r>
          </w:p>
        </w:tc>
      </w:tr>
      <w:tr w:rsidR="00EC6B23" w14:paraId="15A669BC" w14:textId="77777777" w:rsidTr="002F7D0A">
        <w:trPr>
          <w:trHeight w:val="170"/>
        </w:trPr>
        <w:tc>
          <w:tcPr>
            <w:tcW w:w="1814" w:type="dxa"/>
            <w:shd w:val="clear" w:color="auto" w:fill="auto"/>
            <w:tcMar>
              <w:left w:w="0" w:type="dxa"/>
            </w:tcMar>
          </w:tcPr>
          <w:p w14:paraId="1D30DDEC" w14:textId="77777777" w:rsidR="00EC6B23" w:rsidRDefault="00EC6B23" w:rsidP="002F7D0A">
            <w:pPr>
              <w:pStyle w:val="Marginlie"/>
              <w:rPr>
                <w:color w:val="0D0D0D" w:themeColor="text1" w:themeTint="F2"/>
                <w:spacing w:val="-6"/>
              </w:rPr>
            </w:pPr>
            <w:r>
              <w:rPr>
                <w:color w:val="0D0D0D" w:themeColor="text1" w:themeTint="F2"/>
                <w:spacing w:val="-6"/>
              </w:rPr>
              <w:t>Cenová stabilizace v ekonomice vedla rychle ke zlepšení spotřebitelské důvěry. Posílil i optimismus obchodníků.</w:t>
            </w:r>
          </w:p>
          <w:p w14:paraId="76BE7388" w14:textId="77777777" w:rsidR="00EC6B23" w:rsidRDefault="00EC6B23" w:rsidP="002F7D0A">
            <w:pPr>
              <w:pStyle w:val="Marginlie"/>
              <w:rPr>
                <w:color w:val="0D0D0D" w:themeColor="text1" w:themeTint="F2"/>
                <w:spacing w:val="-6"/>
              </w:rPr>
            </w:pPr>
          </w:p>
          <w:p w14:paraId="03632F95" w14:textId="77777777" w:rsidR="00EC6B23" w:rsidRDefault="00EC6B23" w:rsidP="002F7D0A">
            <w:pPr>
              <w:pStyle w:val="Marginlie"/>
              <w:rPr>
                <w:color w:val="0D0D0D" w:themeColor="text1" w:themeTint="F2"/>
                <w:spacing w:val="-6"/>
              </w:rPr>
            </w:pPr>
          </w:p>
          <w:p w14:paraId="0F250E52" w14:textId="77777777" w:rsidR="00EC6B23" w:rsidRDefault="00EC6B23" w:rsidP="002F7D0A">
            <w:pPr>
              <w:pStyle w:val="Marginlie"/>
              <w:rPr>
                <w:color w:val="0D0D0D" w:themeColor="text1" w:themeTint="F2"/>
                <w:spacing w:val="-6"/>
              </w:rPr>
            </w:pPr>
          </w:p>
          <w:p w14:paraId="1BA31331" w14:textId="77777777" w:rsidR="00EC6B23" w:rsidRDefault="00EC6B23" w:rsidP="002F7D0A">
            <w:pPr>
              <w:pStyle w:val="Marginlie"/>
              <w:rPr>
                <w:color w:val="0D0D0D" w:themeColor="text1" w:themeTint="F2"/>
                <w:spacing w:val="-6"/>
              </w:rPr>
            </w:pPr>
          </w:p>
          <w:p w14:paraId="5A240981" w14:textId="77777777" w:rsidR="00EC6B23" w:rsidRDefault="00EC6B23" w:rsidP="002F7D0A">
            <w:pPr>
              <w:pStyle w:val="Marginlie"/>
              <w:rPr>
                <w:color w:val="0D0D0D" w:themeColor="text1" w:themeTint="F2"/>
                <w:spacing w:val="-6"/>
              </w:rPr>
            </w:pPr>
          </w:p>
          <w:p w14:paraId="338D7760" w14:textId="77777777" w:rsidR="00EC6B23" w:rsidRDefault="00EC6B23" w:rsidP="002F7D0A">
            <w:pPr>
              <w:pStyle w:val="Marginlie"/>
              <w:rPr>
                <w:color w:val="0D0D0D" w:themeColor="text1" w:themeTint="F2"/>
                <w:spacing w:val="-6"/>
              </w:rPr>
            </w:pPr>
          </w:p>
          <w:p w14:paraId="55296BB9" w14:textId="77777777" w:rsidR="00EC6B23" w:rsidRPr="00112739" w:rsidRDefault="00EC6B23" w:rsidP="002F7D0A">
            <w:pPr>
              <w:pStyle w:val="Marginlie"/>
              <w:rPr>
                <w:color w:val="0D0D0D" w:themeColor="text1" w:themeTint="F2"/>
                <w:spacing w:val="-6"/>
              </w:rPr>
            </w:pPr>
            <w:r>
              <w:rPr>
                <w:color w:val="0D0D0D" w:themeColor="text1" w:themeTint="F2"/>
                <w:spacing w:val="-6"/>
              </w:rPr>
              <w:lastRenderedPageBreak/>
              <w:t>Maloobchodní tržby mezikvartálně vzrostly již potřetí v řadě, úrovně z roku 2019 ale nedosáhly.</w:t>
            </w:r>
          </w:p>
        </w:tc>
        <w:tc>
          <w:tcPr>
            <w:tcW w:w="229" w:type="dxa"/>
            <w:shd w:val="clear" w:color="auto" w:fill="auto"/>
            <w:tcMar>
              <w:left w:w="0" w:type="dxa"/>
            </w:tcMar>
          </w:tcPr>
          <w:p w14:paraId="31168DD8" w14:textId="77777777" w:rsidR="00EC6B23" w:rsidRPr="00784EC8" w:rsidRDefault="00EC6B23" w:rsidP="002F7D0A">
            <w:pPr>
              <w:pStyle w:val="Textpoznpodarou"/>
              <w:jc w:val="both"/>
              <w:rPr>
                <w:color w:val="0D0D0D" w:themeColor="text1" w:themeTint="F2"/>
                <w:spacing w:val="-4"/>
              </w:rPr>
            </w:pPr>
          </w:p>
        </w:tc>
        <w:tc>
          <w:tcPr>
            <w:tcW w:w="7596" w:type="dxa"/>
            <w:shd w:val="clear" w:color="auto" w:fill="auto"/>
            <w:tcMar>
              <w:left w:w="0" w:type="dxa"/>
            </w:tcMar>
          </w:tcPr>
          <w:p w14:paraId="494C780D" w14:textId="77777777" w:rsidR="00EC6B23" w:rsidRPr="00832E72" w:rsidRDefault="00EC6B23" w:rsidP="002F7D0A">
            <w:pPr>
              <w:spacing w:after="200"/>
              <w:rPr>
                <w:rFonts w:cs="Arial"/>
                <w:color w:val="0D0D0D" w:themeColor="text1" w:themeTint="F2"/>
                <w:spacing w:val="-4"/>
              </w:rPr>
            </w:pPr>
            <w:r w:rsidRPr="00832E72">
              <w:rPr>
                <w:rFonts w:cs="Arial"/>
                <w:color w:val="0D0D0D" w:themeColor="text1" w:themeTint="F2"/>
                <w:spacing w:val="-4"/>
              </w:rPr>
              <w:t xml:space="preserve">Rovněž vývoj maloobchodu zaznamenal v posledních měsících pozitivní obrat. Jeho klíčovým předpokladem byl návrat spotřebitelské inflace do běžných růstových pásem spojený navíc s patrně dočasným, avšak relativně významným poklesem cen potravin. To spolu s dobrou kondicí trhu práce vedlo </w:t>
            </w:r>
            <w:r>
              <w:rPr>
                <w:rFonts w:cs="Arial"/>
                <w:color w:val="0D0D0D" w:themeColor="text1" w:themeTint="F2"/>
                <w:spacing w:val="-4"/>
              </w:rPr>
              <w:t xml:space="preserve">rychle </w:t>
            </w:r>
            <w:r w:rsidRPr="00832E72">
              <w:rPr>
                <w:rFonts w:cs="Arial"/>
                <w:color w:val="0D0D0D" w:themeColor="text1" w:themeTint="F2"/>
                <w:spacing w:val="-4"/>
              </w:rPr>
              <w:t>k opětovnému růstu kupní síly domácností a zlepšení jejich celkové důvěry v ekonomiku. Ta vystoupala letos v dubnu nejvýše za poslední dva a půl roku a zároveň mírně překonala i d</w:t>
            </w:r>
            <w:r>
              <w:rPr>
                <w:rFonts w:cs="Arial"/>
                <w:color w:val="0D0D0D" w:themeColor="text1" w:themeTint="F2"/>
                <w:spacing w:val="-4"/>
              </w:rPr>
              <w:t xml:space="preserve">louhodobý průměr (z období let 2003 až </w:t>
            </w:r>
            <w:r w:rsidRPr="00832E72">
              <w:rPr>
                <w:rFonts w:cs="Arial"/>
                <w:color w:val="0D0D0D" w:themeColor="text1" w:themeTint="F2"/>
                <w:spacing w:val="-4"/>
              </w:rPr>
              <w:t xml:space="preserve">2023). Souběžně s tím posiloval i optimismus obchodníků, </w:t>
            </w:r>
            <w:r>
              <w:rPr>
                <w:rFonts w:cs="Arial"/>
                <w:color w:val="0D0D0D" w:themeColor="text1" w:themeTint="F2"/>
                <w:spacing w:val="-4"/>
              </w:rPr>
              <w:t>úroveň jejich důvěry v ekonomiku</w:t>
            </w:r>
            <w:r w:rsidRPr="00832E72">
              <w:rPr>
                <w:rFonts w:cs="Arial"/>
                <w:color w:val="0D0D0D" w:themeColor="text1" w:themeTint="F2"/>
                <w:spacing w:val="-4"/>
              </w:rPr>
              <w:t xml:space="preserve"> </w:t>
            </w:r>
            <w:r>
              <w:rPr>
                <w:rFonts w:cs="Arial"/>
                <w:color w:val="0D0D0D" w:themeColor="text1" w:themeTint="F2"/>
                <w:spacing w:val="-4"/>
              </w:rPr>
              <w:t xml:space="preserve">tak </w:t>
            </w:r>
            <w:r w:rsidRPr="00832E72">
              <w:rPr>
                <w:rFonts w:cs="Arial"/>
                <w:color w:val="0D0D0D" w:themeColor="text1" w:themeTint="F2"/>
                <w:spacing w:val="-4"/>
              </w:rPr>
              <w:t xml:space="preserve">byla v květnu nejvyšší za posledních dvanáct měsíců. </w:t>
            </w:r>
            <w:r>
              <w:rPr>
                <w:rFonts w:cs="Arial"/>
                <w:color w:val="0D0D0D" w:themeColor="text1" w:themeTint="F2"/>
                <w:spacing w:val="-4"/>
              </w:rPr>
              <w:t>K oživení maloobchodu přispělo rovněž</w:t>
            </w:r>
            <w:r w:rsidRPr="00832E72">
              <w:rPr>
                <w:rFonts w:cs="Arial"/>
                <w:color w:val="0D0D0D" w:themeColor="text1" w:themeTint="F2"/>
                <w:spacing w:val="-4"/>
              </w:rPr>
              <w:t xml:space="preserve"> znatelné oživení příjezdového cestovního ruchu. </w:t>
            </w:r>
            <w:r w:rsidRPr="00832E72">
              <w:rPr>
                <w:rFonts w:cs="Arial"/>
                <w:color w:val="0D0D0D" w:themeColor="text1" w:themeTint="F2"/>
                <w:spacing w:val="-4"/>
                <w:szCs w:val="20"/>
              </w:rPr>
              <w:t>Tržby v maloobchodu</w:t>
            </w:r>
            <w:r w:rsidRPr="00832E72">
              <w:rPr>
                <w:rStyle w:val="Znakapoznpodarou"/>
                <w:color w:val="0D0D0D" w:themeColor="text1" w:themeTint="F2"/>
                <w:spacing w:val="-4"/>
              </w:rPr>
              <w:footnoteReference w:id="37"/>
            </w:r>
            <w:r w:rsidRPr="00832E72">
              <w:rPr>
                <w:rFonts w:cs="Arial"/>
                <w:color w:val="0D0D0D" w:themeColor="text1" w:themeTint="F2"/>
                <w:spacing w:val="-4"/>
                <w:szCs w:val="20"/>
              </w:rPr>
              <w:t xml:space="preserve"> po sedmi čtvrtletích nepříznivého vývoje vykázaly již ve 3. čtvrtletí 202</w:t>
            </w:r>
            <w:r>
              <w:rPr>
                <w:rFonts w:cs="Arial"/>
                <w:color w:val="0D0D0D" w:themeColor="text1" w:themeTint="F2"/>
                <w:spacing w:val="-4"/>
                <w:szCs w:val="20"/>
              </w:rPr>
              <w:t xml:space="preserve">3 </w:t>
            </w:r>
            <w:r>
              <w:rPr>
                <w:rFonts w:cs="Arial"/>
                <w:color w:val="0D0D0D" w:themeColor="text1" w:themeTint="F2"/>
                <w:spacing w:val="-4"/>
                <w:szCs w:val="20"/>
              </w:rPr>
              <w:lastRenderedPageBreak/>
              <w:t>mírný mezikvartální růst (+0,7</w:t>
            </w:r>
            <w:r w:rsidRPr="00832E72">
              <w:rPr>
                <w:rFonts w:cs="Arial"/>
                <w:color w:val="0D0D0D" w:themeColor="text1" w:themeTint="F2"/>
                <w:spacing w:val="-4"/>
                <w:szCs w:val="20"/>
              </w:rPr>
              <w:t xml:space="preserve"> %), jenž následně posiloval a na p</w:t>
            </w:r>
            <w:r>
              <w:rPr>
                <w:rFonts w:cs="Arial"/>
                <w:color w:val="0D0D0D" w:themeColor="text1" w:themeTint="F2"/>
                <w:spacing w:val="-4"/>
                <w:szCs w:val="20"/>
              </w:rPr>
              <w:t>očátku letošního roku dosáhl 2,0</w:t>
            </w:r>
            <w:r w:rsidRPr="00832E72">
              <w:rPr>
                <w:rFonts w:cs="Arial"/>
                <w:color w:val="0D0D0D" w:themeColor="text1" w:themeTint="F2"/>
                <w:spacing w:val="-4"/>
                <w:szCs w:val="20"/>
              </w:rPr>
              <w:t xml:space="preserve"> %. I přesto aktuální úroveň tržeb za svým předkrizovým maximem </w:t>
            </w:r>
            <w:r>
              <w:rPr>
                <w:rFonts w:cs="Arial"/>
                <w:color w:val="0D0D0D" w:themeColor="text1" w:themeTint="F2"/>
                <w:spacing w:val="-4"/>
                <w:szCs w:val="20"/>
              </w:rPr>
              <w:t>(ze 4. čtvrtletí 2019) skoro o</w:t>
            </w:r>
            <w:r w:rsidRPr="00832E72">
              <w:rPr>
                <w:rFonts w:cs="Arial"/>
                <w:color w:val="0D0D0D" w:themeColor="text1" w:themeTint="F2"/>
                <w:spacing w:val="-4"/>
                <w:szCs w:val="20"/>
              </w:rPr>
              <w:t xml:space="preserve"> 4 % zaostávala.</w:t>
            </w:r>
          </w:p>
        </w:tc>
      </w:tr>
      <w:tr w:rsidR="00EC6B23" w14:paraId="62FC64B8" w14:textId="77777777" w:rsidTr="002F7D0A">
        <w:trPr>
          <w:trHeight w:val="155"/>
        </w:trPr>
        <w:tc>
          <w:tcPr>
            <w:tcW w:w="1814" w:type="dxa"/>
            <w:vMerge w:val="restart"/>
            <w:shd w:val="clear" w:color="auto" w:fill="auto"/>
            <w:tcMar>
              <w:left w:w="0" w:type="dxa"/>
            </w:tcMar>
          </w:tcPr>
          <w:p w14:paraId="2C331110" w14:textId="77777777" w:rsidR="00EC6B23" w:rsidRDefault="00EC6B23" w:rsidP="002F7D0A">
            <w:pPr>
              <w:pStyle w:val="Marginlie"/>
            </w:pPr>
          </w:p>
        </w:tc>
        <w:tc>
          <w:tcPr>
            <w:tcW w:w="229" w:type="dxa"/>
            <w:vMerge w:val="restart"/>
            <w:shd w:val="clear" w:color="auto" w:fill="auto"/>
            <w:tcMar>
              <w:left w:w="0" w:type="dxa"/>
            </w:tcMar>
          </w:tcPr>
          <w:p w14:paraId="3E225C64" w14:textId="77777777" w:rsidR="00EC6B23" w:rsidRDefault="00EC6B23" w:rsidP="002F7D0A">
            <w:pPr>
              <w:pStyle w:val="Textpoznpodarou"/>
              <w:jc w:val="both"/>
              <w:rPr>
                <w:spacing w:val="-4"/>
              </w:rPr>
            </w:pPr>
          </w:p>
        </w:tc>
        <w:tc>
          <w:tcPr>
            <w:tcW w:w="7596" w:type="dxa"/>
            <w:shd w:val="clear" w:color="auto" w:fill="auto"/>
            <w:tcMar>
              <w:left w:w="0" w:type="dxa"/>
            </w:tcMar>
          </w:tcPr>
          <w:p w14:paraId="473F5067" w14:textId="77777777" w:rsidR="00EC6B23" w:rsidRPr="00832E72" w:rsidRDefault="00EC6B23" w:rsidP="002F7D0A">
            <w:pPr>
              <w:spacing w:after="0"/>
              <w:rPr>
                <w:rFonts w:cs="Arial"/>
                <w:color w:val="0D0D0D" w:themeColor="text1" w:themeTint="F2"/>
                <w:spacing w:val="-4"/>
                <w:szCs w:val="20"/>
              </w:rPr>
            </w:pPr>
            <w:r>
              <w:rPr>
                <w:b/>
              </w:rPr>
              <w:t>Graf č. 8</w:t>
            </w:r>
            <w:r w:rsidRPr="00F0005D">
              <w:rPr>
                <w:b/>
              </w:rPr>
              <w:t xml:space="preserve"> </w:t>
            </w:r>
            <w:r w:rsidRPr="004405E2">
              <w:rPr>
                <w:rFonts w:cs="Arial"/>
                <w:b/>
                <w:bCs/>
                <w:color w:val="0D0D0D" w:themeColor="text1" w:themeTint="F2"/>
                <w:spacing w:val="-6"/>
              </w:rPr>
              <w:t xml:space="preserve">Příspěvky dílčích odvětví k meziroční změně tržeb v maloobchodu* </w:t>
            </w:r>
            <w:r w:rsidRPr="004405E2">
              <w:rPr>
                <w:rFonts w:cs="Arial"/>
                <w:color w:val="0D0D0D" w:themeColor="text1" w:themeTint="F2"/>
                <w:spacing w:val="-6"/>
              </w:rPr>
              <w:t xml:space="preserve">(reálně, v p. b.), </w:t>
            </w:r>
            <w:r w:rsidRPr="004405E2">
              <w:rPr>
                <w:rFonts w:cs="Arial"/>
                <w:b/>
                <w:bCs/>
                <w:color w:val="0D0D0D" w:themeColor="text1" w:themeTint="F2"/>
                <w:spacing w:val="-6"/>
              </w:rPr>
              <w:t xml:space="preserve">tržby v maloobchodu a v motoristickém segmentu obchodu** </w:t>
            </w:r>
            <w:r w:rsidRPr="004405E2">
              <w:rPr>
                <w:rFonts w:cs="Arial"/>
                <w:color w:val="0D0D0D" w:themeColor="text1" w:themeTint="F2"/>
                <w:spacing w:val="-6"/>
              </w:rPr>
              <w:t>(reálně, ú</w:t>
            </w:r>
            <w:r>
              <w:rPr>
                <w:rFonts w:cs="Arial"/>
                <w:color w:val="0D0D0D" w:themeColor="text1" w:themeTint="F2"/>
                <w:spacing w:val="-6"/>
              </w:rPr>
              <w:t xml:space="preserve">roveň roku 2021=100, pravá osa), </w:t>
            </w:r>
            <w:r w:rsidRPr="004405E2">
              <w:rPr>
                <w:rFonts w:cs="Arial"/>
                <w:b/>
                <w:bCs/>
                <w:color w:val="0D0D0D" w:themeColor="text1" w:themeTint="F2"/>
                <w:spacing w:val="-6"/>
              </w:rPr>
              <w:t>s</w:t>
            </w:r>
            <w:r>
              <w:rPr>
                <w:rFonts w:cs="Arial"/>
                <w:b/>
                <w:bCs/>
                <w:color w:val="0D0D0D" w:themeColor="text1" w:themeTint="F2"/>
                <w:spacing w:val="-6"/>
              </w:rPr>
              <w:t xml:space="preserve">aldo důvěry </w:t>
            </w:r>
            <w:r w:rsidRPr="00BC34D2">
              <w:rPr>
                <w:rFonts w:cs="Arial"/>
                <w:b/>
                <w:bCs/>
                <w:color w:val="0D0D0D" w:themeColor="text1" w:themeTint="F2"/>
                <w:spacing w:val="-6"/>
              </w:rPr>
              <w:t>spotřebitelů i obchodníků</w:t>
            </w:r>
            <w:r w:rsidRPr="004405E2">
              <w:rPr>
                <w:rFonts w:cs="Arial"/>
                <w:b/>
                <w:bCs/>
                <w:color w:val="0D0D0D" w:themeColor="text1" w:themeTint="F2"/>
                <w:spacing w:val="-6"/>
              </w:rPr>
              <w:t xml:space="preserve">*** </w:t>
            </w:r>
            <w:r w:rsidRPr="004405E2">
              <w:rPr>
                <w:rFonts w:cs="Arial"/>
                <w:color w:val="0D0D0D" w:themeColor="text1" w:themeTint="F2"/>
                <w:spacing w:val="-6"/>
              </w:rPr>
              <w:t>(v p. b., pravá osa)</w:t>
            </w:r>
          </w:p>
        </w:tc>
      </w:tr>
      <w:tr w:rsidR="00EC6B23" w14:paraId="67A37309" w14:textId="77777777" w:rsidTr="002F7D0A">
        <w:tblPrEx>
          <w:tblCellMar>
            <w:left w:w="70" w:type="dxa"/>
            <w:right w:w="70" w:type="dxa"/>
          </w:tblCellMar>
        </w:tblPrEx>
        <w:trPr>
          <w:trHeight w:val="155"/>
        </w:trPr>
        <w:tc>
          <w:tcPr>
            <w:tcW w:w="1814" w:type="dxa"/>
            <w:vMerge/>
            <w:shd w:val="clear" w:color="auto" w:fill="auto"/>
          </w:tcPr>
          <w:p w14:paraId="07B0D6DE" w14:textId="77777777" w:rsidR="00EC6B23" w:rsidRDefault="00EC6B23" w:rsidP="002F7D0A">
            <w:pPr>
              <w:pStyle w:val="Marginlie"/>
            </w:pPr>
          </w:p>
        </w:tc>
        <w:tc>
          <w:tcPr>
            <w:tcW w:w="229" w:type="dxa"/>
            <w:vMerge/>
            <w:shd w:val="clear" w:color="auto" w:fill="auto"/>
          </w:tcPr>
          <w:p w14:paraId="262FA4F8" w14:textId="77777777" w:rsidR="00EC6B23" w:rsidRDefault="00EC6B23" w:rsidP="002F7D0A">
            <w:pPr>
              <w:pStyle w:val="Textpoznpodarou"/>
              <w:jc w:val="both"/>
              <w:rPr>
                <w:spacing w:val="-4"/>
              </w:rPr>
            </w:pPr>
          </w:p>
        </w:tc>
        <w:tc>
          <w:tcPr>
            <w:tcW w:w="7596" w:type="dxa"/>
            <w:shd w:val="clear" w:color="auto" w:fill="auto"/>
          </w:tcPr>
          <w:p w14:paraId="0CD878EA" w14:textId="77777777" w:rsidR="00EC6B23" w:rsidRPr="00832E72" w:rsidRDefault="00EC6B23" w:rsidP="002F7D0A">
            <w:pPr>
              <w:spacing w:after="0"/>
              <w:rPr>
                <w:rFonts w:cs="Arial"/>
                <w:color w:val="0D0D0D" w:themeColor="text1" w:themeTint="F2"/>
                <w:spacing w:val="-4"/>
                <w:szCs w:val="20"/>
              </w:rPr>
            </w:pPr>
            <w:r>
              <w:rPr>
                <w:noProof/>
              </w:rPr>
              <w:drawing>
                <wp:inline distT="0" distB="0" distL="0" distR="0" wp14:anchorId="0446541B" wp14:editId="19155186">
                  <wp:extent cx="4783289" cy="3716118"/>
                  <wp:effectExtent l="0" t="0" r="0" b="0"/>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EC6B23" w14:paraId="40084EA4" w14:textId="77777777" w:rsidTr="002F7D0A">
        <w:trPr>
          <w:trHeight w:val="155"/>
        </w:trPr>
        <w:tc>
          <w:tcPr>
            <w:tcW w:w="1814" w:type="dxa"/>
            <w:vMerge/>
            <w:shd w:val="clear" w:color="auto" w:fill="auto"/>
            <w:tcMar>
              <w:left w:w="0" w:type="dxa"/>
            </w:tcMar>
          </w:tcPr>
          <w:p w14:paraId="04810BCC" w14:textId="77777777" w:rsidR="00EC6B23" w:rsidRDefault="00EC6B23" w:rsidP="002F7D0A">
            <w:pPr>
              <w:pStyle w:val="Marginlie"/>
            </w:pPr>
          </w:p>
        </w:tc>
        <w:tc>
          <w:tcPr>
            <w:tcW w:w="229" w:type="dxa"/>
            <w:vMerge/>
            <w:shd w:val="clear" w:color="auto" w:fill="auto"/>
            <w:tcMar>
              <w:left w:w="0" w:type="dxa"/>
            </w:tcMar>
          </w:tcPr>
          <w:p w14:paraId="65AE3752" w14:textId="77777777" w:rsidR="00EC6B23" w:rsidRDefault="00EC6B23" w:rsidP="002F7D0A">
            <w:pPr>
              <w:pStyle w:val="Textpoznpodarou"/>
              <w:jc w:val="both"/>
              <w:rPr>
                <w:spacing w:val="-4"/>
              </w:rPr>
            </w:pPr>
          </w:p>
        </w:tc>
        <w:tc>
          <w:tcPr>
            <w:tcW w:w="7596" w:type="dxa"/>
            <w:shd w:val="clear" w:color="auto" w:fill="auto"/>
            <w:tcMar>
              <w:left w:w="0" w:type="dxa"/>
            </w:tcMar>
          </w:tcPr>
          <w:p w14:paraId="678D370D" w14:textId="77777777" w:rsidR="00EC6B23" w:rsidRPr="00052ADA" w:rsidRDefault="00EC6B23" w:rsidP="002F7D0A">
            <w:pPr>
              <w:spacing w:after="0" w:line="240" w:lineRule="auto"/>
              <w:rPr>
                <w:rFonts w:cs="Arial"/>
                <w:sz w:val="14"/>
                <w:szCs w:val="14"/>
              </w:rPr>
            </w:pPr>
            <w:r>
              <w:rPr>
                <w:rFonts w:cs="Arial"/>
                <w:color w:val="0D0D0D" w:themeColor="text1" w:themeTint="F2"/>
                <w:spacing w:val="-6"/>
              </w:rPr>
              <w:t>*</w:t>
            </w:r>
            <w:r w:rsidRPr="00052ADA">
              <w:rPr>
                <w:rFonts w:cs="Arial"/>
                <w:sz w:val="14"/>
                <w:szCs w:val="14"/>
              </w:rPr>
              <w:t xml:space="preserve"> Tržby jsou očištěny o kalendářní vlivy.       ** Tržby jsou sezónně i kalendářně očištěny.</w:t>
            </w:r>
          </w:p>
          <w:p w14:paraId="2F85EE00" w14:textId="77777777" w:rsidR="00EC6B23" w:rsidRPr="00832E72" w:rsidRDefault="00EC6B23" w:rsidP="002F7D0A">
            <w:pPr>
              <w:spacing w:after="200"/>
              <w:rPr>
                <w:rFonts w:cs="Arial"/>
                <w:color w:val="0D0D0D" w:themeColor="text1" w:themeTint="F2"/>
                <w:spacing w:val="-4"/>
                <w:szCs w:val="20"/>
              </w:rPr>
            </w:pPr>
            <w:r>
              <w:rPr>
                <w:rFonts w:cs="Arial"/>
                <w:color w:val="0D0D0D" w:themeColor="text1" w:themeTint="F2"/>
                <w:spacing w:val="-4"/>
                <w:sz w:val="14"/>
                <w:szCs w:val="14"/>
              </w:rPr>
              <w:t>*** Salda důvěry jsou sezónně očištěna a vyjadřují</w:t>
            </w:r>
            <w:r w:rsidRPr="00052ADA">
              <w:rPr>
                <w:rFonts w:cs="Arial"/>
                <w:color w:val="0D0D0D" w:themeColor="text1" w:themeTint="F2"/>
                <w:spacing w:val="-4"/>
                <w:sz w:val="14"/>
                <w:szCs w:val="14"/>
              </w:rPr>
              <w:t xml:space="preserve"> stav ve druhém měs</w:t>
            </w:r>
            <w:r>
              <w:rPr>
                <w:rFonts w:cs="Arial"/>
                <w:color w:val="0D0D0D" w:themeColor="text1" w:themeTint="F2"/>
                <w:spacing w:val="-4"/>
                <w:sz w:val="14"/>
                <w:szCs w:val="14"/>
              </w:rPr>
              <w:t>íci daného čtvrtletí.</w:t>
            </w:r>
            <w:r>
              <w:rPr>
                <w:rFonts w:cs="Arial"/>
                <w:color w:val="0D0D0D" w:themeColor="text1" w:themeTint="F2"/>
                <w:spacing w:val="-4"/>
                <w:sz w:val="14"/>
                <w:szCs w:val="14"/>
              </w:rPr>
              <w:tab/>
              <w:t xml:space="preserve">      </w:t>
            </w:r>
            <w:r w:rsidRPr="00052ADA">
              <w:rPr>
                <w:rFonts w:cs="Arial"/>
                <w:color w:val="0D0D0D" w:themeColor="text1" w:themeTint="F2"/>
                <w:spacing w:val="-4"/>
                <w:sz w:val="14"/>
                <w:szCs w:val="14"/>
              </w:rPr>
              <w:t xml:space="preserve">       </w:t>
            </w:r>
            <w:r>
              <w:rPr>
                <w:rFonts w:cs="Arial"/>
                <w:color w:val="0D0D0D" w:themeColor="text1" w:themeTint="F2"/>
                <w:spacing w:val="-4"/>
                <w:sz w:val="14"/>
                <w:szCs w:val="14"/>
              </w:rPr>
              <w:t xml:space="preserve">                     </w:t>
            </w:r>
            <w:r w:rsidRPr="00052ADA">
              <w:rPr>
                <w:rFonts w:cs="Arial"/>
                <w:color w:val="0D0D0D" w:themeColor="text1" w:themeTint="F2"/>
                <w:spacing w:val="-4"/>
                <w:sz w:val="14"/>
                <w:szCs w:val="14"/>
              </w:rPr>
              <w:t xml:space="preserve">  Zdroj: ČSÚ</w:t>
            </w:r>
          </w:p>
        </w:tc>
      </w:tr>
      <w:tr w:rsidR="00EC6B23" w14:paraId="39488D17" w14:textId="77777777" w:rsidTr="002F7D0A">
        <w:trPr>
          <w:trHeight w:val="170"/>
        </w:trPr>
        <w:tc>
          <w:tcPr>
            <w:tcW w:w="1814" w:type="dxa"/>
            <w:shd w:val="clear" w:color="auto" w:fill="auto"/>
            <w:tcMar>
              <w:left w:w="0" w:type="dxa"/>
            </w:tcMar>
          </w:tcPr>
          <w:p w14:paraId="19BDBED9" w14:textId="77777777" w:rsidR="00EC6B23" w:rsidRDefault="00EC6B23" w:rsidP="002F7D0A">
            <w:pPr>
              <w:pStyle w:val="Marginlie"/>
            </w:pPr>
            <w:r>
              <w:t>K meziročnímu růstu tržeb přispělo skoro z</w:t>
            </w:r>
            <w:r>
              <w:rPr>
                <w:color w:val="0D0D0D" w:themeColor="text1" w:themeTint="F2"/>
                <w:spacing w:val="-6"/>
              </w:rPr>
              <w:t> </w:t>
            </w:r>
            <w:r>
              <w:t>poloviny razantní oživení internetového prodeje.</w:t>
            </w:r>
          </w:p>
          <w:p w14:paraId="1F4F596F" w14:textId="77777777" w:rsidR="00EC6B23" w:rsidRDefault="00EC6B23" w:rsidP="002F7D0A">
            <w:pPr>
              <w:pStyle w:val="Marginlie"/>
            </w:pPr>
          </w:p>
          <w:p w14:paraId="4226BF8E" w14:textId="77777777" w:rsidR="00EC6B23" w:rsidRDefault="00EC6B23" w:rsidP="002F7D0A">
            <w:pPr>
              <w:pStyle w:val="Marginlie"/>
            </w:pPr>
            <w:r>
              <w:t xml:space="preserve">V rámci specializovaných prodejen se nejvíce zvyšoval zájem </w:t>
            </w:r>
            <w:r>
              <w:br/>
              <w:t>o kosmetické a toaletní výrobky.</w:t>
            </w:r>
          </w:p>
          <w:p w14:paraId="638F8852" w14:textId="77777777" w:rsidR="00EC6B23" w:rsidRDefault="00EC6B23" w:rsidP="002F7D0A">
            <w:pPr>
              <w:pStyle w:val="Marginlie"/>
            </w:pPr>
          </w:p>
          <w:p w14:paraId="146D948C" w14:textId="77777777" w:rsidR="00EC6B23" w:rsidRDefault="00EC6B23" w:rsidP="002F7D0A">
            <w:pPr>
              <w:pStyle w:val="Marginlie"/>
            </w:pPr>
          </w:p>
          <w:p w14:paraId="4AE881C5" w14:textId="77777777" w:rsidR="00EC6B23" w:rsidRDefault="00EC6B23" w:rsidP="002F7D0A">
            <w:pPr>
              <w:pStyle w:val="Marginlie"/>
            </w:pPr>
          </w:p>
          <w:p w14:paraId="54C74446" w14:textId="77777777" w:rsidR="00EC6B23" w:rsidRDefault="00EC6B23" w:rsidP="002F7D0A">
            <w:pPr>
              <w:pStyle w:val="Marginlie"/>
            </w:pPr>
          </w:p>
          <w:p w14:paraId="7B9305DF" w14:textId="77777777" w:rsidR="00EC6B23" w:rsidRDefault="00EC6B23" w:rsidP="002F7D0A">
            <w:pPr>
              <w:pStyle w:val="Marginlie"/>
            </w:pPr>
            <w:r>
              <w:t xml:space="preserve">Tržby za potraviny rostly relativně nejvíce od konce roku 2019. </w:t>
            </w:r>
          </w:p>
        </w:tc>
        <w:tc>
          <w:tcPr>
            <w:tcW w:w="229" w:type="dxa"/>
            <w:shd w:val="clear" w:color="auto" w:fill="auto"/>
            <w:tcMar>
              <w:left w:w="0" w:type="dxa"/>
            </w:tcMar>
          </w:tcPr>
          <w:p w14:paraId="5255310D" w14:textId="77777777" w:rsidR="00EC6B23" w:rsidRDefault="00EC6B23" w:rsidP="002F7D0A">
            <w:pPr>
              <w:pStyle w:val="Textpoznpodarou"/>
              <w:jc w:val="both"/>
              <w:rPr>
                <w:spacing w:val="-4"/>
              </w:rPr>
            </w:pPr>
          </w:p>
        </w:tc>
        <w:tc>
          <w:tcPr>
            <w:tcW w:w="7596" w:type="dxa"/>
            <w:shd w:val="clear" w:color="auto" w:fill="auto"/>
            <w:tcMar>
              <w:left w:w="0" w:type="dxa"/>
            </w:tcMar>
          </w:tcPr>
          <w:p w14:paraId="29478F13" w14:textId="77777777" w:rsidR="00EC6B23" w:rsidRPr="00832E72" w:rsidRDefault="00EC6B23" w:rsidP="002F7D0A">
            <w:pPr>
              <w:spacing w:after="200"/>
              <w:rPr>
                <w:rFonts w:cs="Arial"/>
                <w:color w:val="0D0D0D" w:themeColor="text1" w:themeTint="F2"/>
                <w:spacing w:val="-4"/>
                <w:szCs w:val="20"/>
              </w:rPr>
            </w:pPr>
            <w:r w:rsidRPr="00832E72">
              <w:rPr>
                <w:rFonts w:cs="Arial"/>
                <w:color w:val="0D0D0D" w:themeColor="text1" w:themeTint="F2"/>
                <w:spacing w:val="-4"/>
                <w:szCs w:val="20"/>
              </w:rPr>
              <w:t>V 1. čtvrtletí 2024 se maloobchodní t</w:t>
            </w:r>
            <w:r>
              <w:rPr>
                <w:rFonts w:cs="Arial"/>
                <w:color w:val="0D0D0D" w:themeColor="text1" w:themeTint="F2"/>
                <w:spacing w:val="-4"/>
                <w:szCs w:val="20"/>
              </w:rPr>
              <w:t>ržby meziročně zvýšily o 3,9</w:t>
            </w:r>
            <w:r w:rsidRPr="00832E72">
              <w:rPr>
                <w:rFonts w:cs="Arial"/>
                <w:color w:val="0D0D0D" w:themeColor="text1" w:themeTint="F2"/>
                <w:spacing w:val="-4"/>
                <w:szCs w:val="20"/>
              </w:rPr>
              <w:t xml:space="preserve"> % a zastavily tak pokles trvající téměř dva roky. K růstu přispěly veškeré významné segmenty maloobchodu. Klíčovou roli sehrál vyšší prod</w:t>
            </w:r>
            <w:r>
              <w:rPr>
                <w:rFonts w:cs="Arial"/>
                <w:color w:val="0D0D0D" w:themeColor="text1" w:themeTint="F2"/>
                <w:spacing w:val="-4"/>
                <w:szCs w:val="20"/>
              </w:rPr>
              <w:t>ej nepotravinářského zboží (+5,2 %, příspěvek +2,5</w:t>
            </w:r>
            <w:r w:rsidRPr="00832E72">
              <w:rPr>
                <w:rFonts w:cs="Arial"/>
                <w:color w:val="0D0D0D" w:themeColor="text1" w:themeTint="F2"/>
                <w:spacing w:val="-4"/>
                <w:szCs w:val="20"/>
              </w:rPr>
              <w:t xml:space="preserve"> p. b.) tažený </w:t>
            </w:r>
            <w:r>
              <w:rPr>
                <w:rFonts w:cs="Arial"/>
                <w:color w:val="0D0D0D" w:themeColor="text1" w:themeTint="F2"/>
                <w:spacing w:val="-4"/>
                <w:szCs w:val="20"/>
              </w:rPr>
              <w:t xml:space="preserve">v </w:t>
            </w:r>
            <w:r w:rsidRPr="00832E72">
              <w:rPr>
                <w:rFonts w:cs="Arial"/>
                <w:color w:val="0D0D0D" w:themeColor="text1" w:themeTint="F2"/>
                <w:spacing w:val="-4"/>
                <w:szCs w:val="20"/>
              </w:rPr>
              <w:t xml:space="preserve">první řadě razantním oživením internetového </w:t>
            </w:r>
            <w:r>
              <w:rPr>
                <w:rFonts w:cs="Arial"/>
                <w:color w:val="0D0D0D" w:themeColor="text1" w:themeTint="F2"/>
                <w:spacing w:val="-4"/>
                <w:szCs w:val="20"/>
              </w:rPr>
              <w:t xml:space="preserve">a zásilkového </w:t>
            </w:r>
            <w:r w:rsidRPr="00832E72">
              <w:rPr>
                <w:rFonts w:cs="Arial"/>
                <w:color w:val="0D0D0D" w:themeColor="text1" w:themeTint="F2"/>
                <w:spacing w:val="-4"/>
                <w:szCs w:val="20"/>
              </w:rPr>
              <w:t>prodeje (+</w:t>
            </w:r>
            <w:r>
              <w:rPr>
                <w:rFonts w:cs="Arial"/>
                <w:color w:val="0D0D0D" w:themeColor="text1" w:themeTint="F2"/>
                <w:spacing w:val="-4"/>
                <w:szCs w:val="20"/>
              </w:rPr>
              <w:t>15,2</w:t>
            </w:r>
            <w:r w:rsidRPr="00832E72">
              <w:rPr>
                <w:rFonts w:cs="Arial"/>
                <w:color w:val="0D0D0D" w:themeColor="text1" w:themeTint="F2"/>
                <w:spacing w:val="-4"/>
                <w:szCs w:val="20"/>
              </w:rPr>
              <w:t xml:space="preserve"> %). Ten patrn</w:t>
            </w:r>
            <w:r>
              <w:rPr>
                <w:rFonts w:cs="Arial"/>
                <w:color w:val="0D0D0D" w:themeColor="text1" w:themeTint="F2"/>
                <w:spacing w:val="-4"/>
                <w:szCs w:val="20"/>
              </w:rPr>
              <w:t xml:space="preserve">ě absorbuje i část poptávky </w:t>
            </w:r>
            <w:r w:rsidRPr="00832E72">
              <w:rPr>
                <w:rFonts w:cs="Arial"/>
                <w:color w:val="0D0D0D" w:themeColor="text1" w:themeTint="F2"/>
                <w:spacing w:val="-4"/>
                <w:szCs w:val="20"/>
              </w:rPr>
              <w:t xml:space="preserve">specializovaných </w:t>
            </w:r>
            <w:r>
              <w:rPr>
                <w:rFonts w:cs="Arial"/>
                <w:color w:val="0D0D0D" w:themeColor="text1" w:themeTint="F2"/>
                <w:spacing w:val="-4"/>
                <w:szCs w:val="20"/>
              </w:rPr>
              <w:t>kamenných prodejen</w:t>
            </w:r>
            <w:r w:rsidRPr="00832E72">
              <w:rPr>
                <w:rFonts w:cs="Arial"/>
                <w:color w:val="0D0D0D" w:themeColor="text1" w:themeTint="F2"/>
                <w:spacing w:val="-4"/>
                <w:szCs w:val="20"/>
              </w:rPr>
              <w:t xml:space="preserve"> </w:t>
            </w:r>
            <w:r>
              <w:rPr>
                <w:rFonts w:cs="Arial"/>
                <w:color w:val="0D0D0D" w:themeColor="text1" w:themeTint="F2"/>
                <w:spacing w:val="-4"/>
                <w:szCs w:val="20"/>
              </w:rPr>
              <w:t>(</w:t>
            </w:r>
            <w:r w:rsidRPr="00832E72">
              <w:rPr>
                <w:rFonts w:cs="Arial"/>
                <w:color w:val="0D0D0D" w:themeColor="text1" w:themeTint="F2"/>
                <w:spacing w:val="-4"/>
                <w:szCs w:val="20"/>
              </w:rPr>
              <w:t xml:space="preserve">např. tržby za obchod s počítačovým a komunikačním zařízením v těchto prodejnách se v 1. čtvrtletí snížily </w:t>
            </w:r>
            <w:r>
              <w:rPr>
                <w:rFonts w:cs="Arial"/>
                <w:color w:val="0D0D0D" w:themeColor="text1" w:themeTint="F2"/>
                <w:spacing w:val="-4"/>
                <w:szCs w:val="20"/>
              </w:rPr>
              <w:t>o</w:t>
            </w:r>
            <w:r w:rsidRPr="00832E72">
              <w:rPr>
                <w:rFonts w:cs="Arial"/>
                <w:color w:val="0D0D0D" w:themeColor="text1" w:themeTint="F2"/>
                <w:spacing w:val="-4"/>
                <w:szCs w:val="20"/>
              </w:rPr>
              <w:t> </w:t>
            </w:r>
            <w:r>
              <w:rPr>
                <w:rFonts w:cs="Arial"/>
                <w:color w:val="0D0D0D" w:themeColor="text1" w:themeTint="F2"/>
                <w:spacing w:val="-4"/>
                <w:szCs w:val="20"/>
              </w:rPr>
              <w:t>4,7</w:t>
            </w:r>
            <w:r w:rsidRPr="00832E72">
              <w:rPr>
                <w:rFonts w:cs="Arial"/>
                <w:color w:val="0D0D0D" w:themeColor="text1" w:themeTint="F2"/>
                <w:spacing w:val="-4"/>
                <w:szCs w:val="20"/>
              </w:rPr>
              <w:t> </w:t>
            </w:r>
            <w:r>
              <w:rPr>
                <w:rFonts w:cs="Arial"/>
                <w:color w:val="0D0D0D" w:themeColor="text1" w:themeTint="F2"/>
                <w:spacing w:val="-4"/>
                <w:szCs w:val="20"/>
              </w:rPr>
              <w:t>%). Pouze lehce nižším tempem klesly také</w:t>
            </w:r>
            <w:r w:rsidRPr="00832E72">
              <w:rPr>
                <w:rFonts w:cs="Arial"/>
                <w:color w:val="0D0D0D" w:themeColor="text1" w:themeTint="F2"/>
                <w:spacing w:val="-4"/>
                <w:szCs w:val="20"/>
              </w:rPr>
              <w:t xml:space="preserve"> tržby za výrobky převážně pro domácnosti</w:t>
            </w:r>
            <w:r w:rsidRPr="00832E72">
              <w:rPr>
                <w:rStyle w:val="Znakapoznpodarou"/>
                <w:color w:val="0D0D0D" w:themeColor="text1" w:themeTint="F2"/>
                <w:spacing w:val="-4"/>
                <w:szCs w:val="20"/>
              </w:rPr>
              <w:footnoteReference w:id="38"/>
            </w:r>
            <w:r w:rsidRPr="00832E72">
              <w:rPr>
                <w:rFonts w:cs="Arial"/>
                <w:color w:val="0D0D0D" w:themeColor="text1" w:themeTint="F2"/>
                <w:spacing w:val="-4"/>
                <w:szCs w:val="20"/>
              </w:rPr>
              <w:t xml:space="preserve">. </w:t>
            </w:r>
            <w:r>
              <w:rPr>
                <w:rFonts w:cs="Arial"/>
                <w:color w:val="0D0D0D" w:themeColor="text1" w:themeTint="F2"/>
                <w:spacing w:val="-4"/>
                <w:szCs w:val="20"/>
              </w:rPr>
              <w:t>Jen minimální růst poptávky (po slabším loňském roce) registrovaly prodejny s výrobky a pro kulturu a rekreaci a také prodejny s oděvy, obuví a koženým zbožím</w:t>
            </w:r>
            <w:r>
              <w:rPr>
                <w:rStyle w:val="Znakapoznpodarou"/>
                <w:color w:val="0D0D0D" w:themeColor="text1" w:themeTint="F2"/>
                <w:spacing w:val="-4"/>
                <w:szCs w:val="20"/>
              </w:rPr>
              <w:footnoteReference w:id="39"/>
            </w:r>
            <w:r>
              <w:rPr>
                <w:rFonts w:cs="Arial"/>
                <w:color w:val="0D0D0D" w:themeColor="text1" w:themeTint="F2"/>
                <w:spacing w:val="-4"/>
                <w:szCs w:val="20"/>
              </w:rPr>
              <w:t>. N</w:t>
            </w:r>
            <w:r w:rsidRPr="00832E72">
              <w:rPr>
                <w:rFonts w:cs="Arial"/>
                <w:color w:val="0D0D0D" w:themeColor="text1" w:themeTint="F2"/>
                <w:spacing w:val="-4"/>
                <w:szCs w:val="20"/>
              </w:rPr>
              <w:t xml:space="preserve">ejvíce </w:t>
            </w:r>
            <w:r w:rsidRPr="00031306">
              <w:rPr>
                <w:rFonts w:cs="Arial"/>
                <w:color w:val="0D0D0D" w:themeColor="text1" w:themeTint="F2"/>
                <w:szCs w:val="20"/>
              </w:rPr>
              <w:t>v rámci specializovaných prodejen</w:t>
            </w:r>
            <w:r w:rsidRPr="00031306">
              <w:rPr>
                <w:rStyle w:val="Znakapoznpodarou"/>
                <w:color w:val="0D0D0D" w:themeColor="text1" w:themeTint="F2"/>
                <w:szCs w:val="20"/>
              </w:rPr>
              <w:footnoteReference w:id="40"/>
            </w:r>
            <w:r w:rsidRPr="00031306">
              <w:rPr>
                <w:rFonts w:cs="Arial"/>
                <w:color w:val="0D0D0D" w:themeColor="text1" w:themeTint="F2"/>
                <w:szCs w:val="20"/>
              </w:rPr>
              <w:t xml:space="preserve"> rostly tržby za kosm</w:t>
            </w:r>
            <w:r>
              <w:rPr>
                <w:rFonts w:cs="Arial"/>
                <w:color w:val="0D0D0D" w:themeColor="text1" w:themeTint="F2"/>
                <w:szCs w:val="20"/>
              </w:rPr>
              <w:t>etické a toaletní výrobky (+19,2</w:t>
            </w:r>
            <w:r w:rsidRPr="00031306">
              <w:rPr>
                <w:rFonts w:cs="Arial"/>
                <w:color w:val="0D0D0D" w:themeColor="text1" w:themeTint="F2"/>
                <w:szCs w:val="20"/>
              </w:rPr>
              <w:t xml:space="preserve"> %)</w:t>
            </w:r>
            <w:r w:rsidRPr="00832E72">
              <w:rPr>
                <w:rFonts w:cs="Arial"/>
                <w:color w:val="0D0D0D" w:themeColor="text1" w:themeTint="F2"/>
                <w:spacing w:val="-4"/>
                <w:szCs w:val="20"/>
              </w:rPr>
              <w:t xml:space="preserve"> a dále za farmaceu</w:t>
            </w:r>
            <w:r>
              <w:rPr>
                <w:rFonts w:cs="Arial"/>
                <w:color w:val="0D0D0D" w:themeColor="text1" w:themeTint="F2"/>
                <w:spacing w:val="-4"/>
                <w:szCs w:val="20"/>
              </w:rPr>
              <w:t>tické a zdravotnické zboží (+6,6</w:t>
            </w:r>
            <w:r w:rsidRPr="00832E72">
              <w:rPr>
                <w:rFonts w:cs="Arial"/>
                <w:color w:val="0D0D0D" w:themeColor="text1" w:themeTint="F2"/>
                <w:spacing w:val="-4"/>
                <w:szCs w:val="20"/>
              </w:rPr>
              <w:t xml:space="preserve"> %), což jsou v obou případech produkty, u nichž se poptávka významně nesnížila ani během pandemického období. Tržby za potraviny se zvýšily relativně skromněji (+2,3 %, příspěvek k</w:t>
            </w:r>
            <w:r>
              <w:rPr>
                <w:rFonts w:cs="Arial"/>
                <w:color w:val="0D0D0D" w:themeColor="text1" w:themeTint="F2"/>
                <w:spacing w:val="-4"/>
                <w:szCs w:val="20"/>
              </w:rPr>
              <w:t> </w:t>
            </w:r>
            <w:r w:rsidRPr="00832E72">
              <w:rPr>
                <w:rFonts w:cs="Arial"/>
                <w:color w:val="0D0D0D" w:themeColor="text1" w:themeTint="F2"/>
                <w:spacing w:val="-4"/>
                <w:szCs w:val="20"/>
              </w:rPr>
              <w:t>růstu</w:t>
            </w:r>
            <w:r>
              <w:rPr>
                <w:rFonts w:cs="Arial"/>
                <w:color w:val="0D0D0D" w:themeColor="text1" w:themeTint="F2"/>
                <w:spacing w:val="-4"/>
                <w:szCs w:val="20"/>
              </w:rPr>
              <w:t xml:space="preserve"> celého maloobchodu</w:t>
            </w:r>
            <w:r w:rsidRPr="00832E72">
              <w:rPr>
                <w:rFonts w:cs="Arial"/>
                <w:color w:val="0D0D0D" w:themeColor="text1" w:themeTint="F2"/>
                <w:spacing w:val="-4"/>
                <w:szCs w:val="20"/>
              </w:rPr>
              <w:t xml:space="preserve"> </w:t>
            </w:r>
            <w:r>
              <w:rPr>
                <w:rFonts w:cs="Arial"/>
                <w:color w:val="0D0D0D" w:themeColor="text1" w:themeTint="F2"/>
                <w:spacing w:val="-4"/>
                <w:szCs w:val="20"/>
              </w:rPr>
              <w:t xml:space="preserve">činil </w:t>
            </w:r>
            <w:r w:rsidRPr="00832E72">
              <w:rPr>
                <w:rFonts w:cs="Arial"/>
                <w:color w:val="0D0D0D" w:themeColor="text1" w:themeTint="F2"/>
                <w:spacing w:val="-4"/>
                <w:szCs w:val="20"/>
              </w:rPr>
              <w:t>+0,9 p. b.)</w:t>
            </w:r>
            <w:r>
              <w:rPr>
                <w:rFonts w:cs="Arial"/>
                <w:color w:val="0D0D0D" w:themeColor="text1" w:themeTint="F2"/>
                <w:spacing w:val="-4"/>
                <w:szCs w:val="20"/>
              </w:rPr>
              <w:t>, i</w:t>
            </w:r>
            <w:r w:rsidRPr="00832E72">
              <w:rPr>
                <w:rFonts w:cs="Arial"/>
                <w:color w:val="0D0D0D" w:themeColor="text1" w:themeTint="F2"/>
                <w:spacing w:val="-4"/>
                <w:szCs w:val="20"/>
              </w:rPr>
              <w:t> tak se jednalo o nejvyšší tempo od konce roku 2019.</w:t>
            </w:r>
            <w:r>
              <w:rPr>
                <w:rFonts w:cs="Arial"/>
                <w:color w:val="0D0D0D" w:themeColor="text1" w:themeTint="F2"/>
                <w:spacing w:val="-4"/>
                <w:szCs w:val="20"/>
              </w:rPr>
              <w:t xml:space="preserve"> Růst poptávky </w:t>
            </w:r>
            <w:r w:rsidRPr="00832E72">
              <w:rPr>
                <w:rFonts w:cs="Arial"/>
                <w:color w:val="0D0D0D" w:themeColor="text1" w:themeTint="F2"/>
                <w:spacing w:val="-4"/>
                <w:szCs w:val="20"/>
              </w:rPr>
              <w:t xml:space="preserve">byl </w:t>
            </w:r>
            <w:r>
              <w:rPr>
                <w:rFonts w:cs="Arial"/>
                <w:color w:val="0D0D0D" w:themeColor="text1" w:themeTint="F2"/>
                <w:spacing w:val="-4"/>
                <w:szCs w:val="20"/>
              </w:rPr>
              <w:t xml:space="preserve">zde </w:t>
            </w:r>
            <w:r w:rsidRPr="00832E72">
              <w:rPr>
                <w:rFonts w:cs="Arial"/>
                <w:color w:val="0D0D0D" w:themeColor="text1" w:themeTint="F2"/>
                <w:spacing w:val="-4"/>
                <w:szCs w:val="20"/>
              </w:rPr>
              <w:t xml:space="preserve">koncentrován do velkých řetězců, neboť tržby menších specializovaných prodejen s potravinami </w:t>
            </w:r>
            <w:r w:rsidRPr="00D1534A">
              <w:rPr>
                <w:rFonts w:cs="Arial"/>
                <w:color w:val="0D0D0D" w:themeColor="text1" w:themeTint="F2"/>
                <w:spacing w:val="-3"/>
                <w:szCs w:val="20"/>
              </w:rPr>
              <w:t>(</w:t>
            </w:r>
            <w:r>
              <w:rPr>
                <w:rFonts w:cs="Arial"/>
                <w:color w:val="0D0D0D" w:themeColor="text1" w:themeTint="F2"/>
                <w:spacing w:val="-3"/>
                <w:szCs w:val="20"/>
              </w:rPr>
              <w:t>z</w:t>
            </w:r>
            <w:r>
              <w:rPr>
                <w:rFonts w:cs="Arial"/>
                <w:color w:val="0D0D0D" w:themeColor="text1" w:themeTint="F2"/>
                <w:szCs w:val="20"/>
              </w:rPr>
              <w:t> </w:t>
            </w:r>
            <w:r w:rsidRPr="00D1534A">
              <w:rPr>
                <w:rFonts w:cs="Arial"/>
                <w:color w:val="0D0D0D" w:themeColor="text1" w:themeTint="F2"/>
                <w:spacing w:val="-3"/>
                <w:szCs w:val="20"/>
              </w:rPr>
              <w:t>nichž váhově nejvýznamnější sortimentní skupin</w:t>
            </w:r>
            <w:r>
              <w:rPr>
                <w:rFonts w:cs="Arial"/>
                <w:color w:val="0D0D0D" w:themeColor="text1" w:themeTint="F2"/>
                <w:spacing w:val="-3"/>
                <w:szCs w:val="20"/>
              </w:rPr>
              <w:t xml:space="preserve">u představují </w:t>
            </w:r>
            <w:r>
              <w:rPr>
                <w:rFonts w:cs="Arial"/>
                <w:color w:val="0D0D0D" w:themeColor="text1" w:themeTint="F2"/>
                <w:spacing w:val="-3"/>
                <w:szCs w:val="20"/>
              </w:rPr>
              <w:lastRenderedPageBreak/>
              <w:t>tabákové výrobky)</w:t>
            </w:r>
            <w:r>
              <w:rPr>
                <w:rFonts w:cs="Arial"/>
                <w:color w:val="0D0D0D" w:themeColor="text1" w:themeTint="F2"/>
                <w:spacing w:val="-4"/>
                <w:szCs w:val="20"/>
              </w:rPr>
              <w:t xml:space="preserve"> se snížily o 2,1</w:t>
            </w:r>
            <w:r w:rsidRPr="00832E72">
              <w:rPr>
                <w:rFonts w:cs="Arial"/>
                <w:color w:val="0D0D0D" w:themeColor="text1" w:themeTint="F2"/>
                <w:spacing w:val="-4"/>
                <w:szCs w:val="20"/>
              </w:rPr>
              <w:t xml:space="preserve"> % </w:t>
            </w:r>
            <w:r>
              <w:rPr>
                <w:rFonts w:cs="Arial"/>
                <w:color w:val="0D0D0D" w:themeColor="text1" w:themeTint="F2"/>
                <w:spacing w:val="-4"/>
                <w:szCs w:val="20"/>
              </w:rPr>
              <w:t xml:space="preserve">a </w:t>
            </w:r>
            <w:r w:rsidRPr="00832E72">
              <w:rPr>
                <w:rFonts w:cs="Arial"/>
                <w:color w:val="0D0D0D" w:themeColor="text1" w:themeTint="F2"/>
                <w:spacing w:val="-4"/>
                <w:szCs w:val="20"/>
              </w:rPr>
              <w:t>klesaly osm kvartálů v </w:t>
            </w:r>
            <w:r>
              <w:rPr>
                <w:rFonts w:cs="Arial"/>
                <w:color w:val="0D0D0D" w:themeColor="text1" w:themeTint="F2"/>
                <w:spacing w:val="-4"/>
                <w:szCs w:val="20"/>
              </w:rPr>
              <w:t>řadě</w:t>
            </w:r>
            <w:r w:rsidRPr="00832E72">
              <w:rPr>
                <w:rFonts w:cs="Arial"/>
                <w:color w:val="0D0D0D" w:themeColor="text1" w:themeTint="F2"/>
                <w:spacing w:val="-4"/>
                <w:szCs w:val="20"/>
              </w:rPr>
              <w:t>. N</w:t>
            </w:r>
            <w:r>
              <w:rPr>
                <w:rFonts w:cs="Arial"/>
                <w:color w:val="0D0D0D" w:themeColor="text1" w:themeTint="F2"/>
                <w:spacing w:val="-4"/>
                <w:szCs w:val="20"/>
              </w:rPr>
              <w:t>aproti tomu</w:t>
            </w:r>
            <w:r w:rsidRPr="00832E72">
              <w:rPr>
                <w:rFonts w:cs="Arial"/>
                <w:color w:val="0D0D0D" w:themeColor="text1" w:themeTint="F2"/>
                <w:spacing w:val="-4"/>
                <w:szCs w:val="20"/>
              </w:rPr>
              <w:t xml:space="preserve"> po loňském oživení</w:t>
            </w:r>
            <w:r>
              <w:rPr>
                <w:rFonts w:cs="Arial"/>
                <w:color w:val="0D0D0D" w:themeColor="text1" w:themeTint="F2"/>
                <w:spacing w:val="-4"/>
                <w:szCs w:val="20"/>
              </w:rPr>
              <w:t>,</w:t>
            </w:r>
            <w:r w:rsidRPr="00832E72">
              <w:rPr>
                <w:rFonts w:cs="Arial"/>
                <w:color w:val="0D0D0D" w:themeColor="text1" w:themeTint="F2"/>
                <w:spacing w:val="-4"/>
                <w:szCs w:val="20"/>
              </w:rPr>
              <w:t xml:space="preserve"> </w:t>
            </w:r>
            <w:r>
              <w:rPr>
                <w:rFonts w:cs="Arial"/>
                <w:color w:val="0D0D0D" w:themeColor="text1" w:themeTint="F2"/>
                <w:spacing w:val="-3"/>
                <w:szCs w:val="20"/>
              </w:rPr>
              <w:t>zčásti stimulovaném</w:t>
            </w:r>
            <w:r w:rsidRPr="00D1534A">
              <w:rPr>
                <w:rFonts w:cs="Arial"/>
                <w:color w:val="0D0D0D" w:themeColor="text1" w:themeTint="F2"/>
                <w:spacing w:val="-3"/>
                <w:szCs w:val="20"/>
              </w:rPr>
              <w:t xml:space="preserve"> příznivější </w:t>
            </w:r>
            <w:r>
              <w:rPr>
                <w:rFonts w:cs="Arial"/>
                <w:color w:val="0D0D0D" w:themeColor="text1" w:themeTint="F2"/>
                <w:spacing w:val="-3"/>
                <w:szCs w:val="20"/>
              </w:rPr>
              <w:t>spotřebitelskou cenou,</w:t>
            </w:r>
            <w:r w:rsidRPr="00832E72">
              <w:rPr>
                <w:rFonts w:cs="Arial"/>
                <w:color w:val="0D0D0D" w:themeColor="text1" w:themeTint="F2"/>
                <w:spacing w:val="-4"/>
                <w:szCs w:val="20"/>
              </w:rPr>
              <w:t xml:space="preserve"> pokračoval růst poptávky po pohonných hmotách (v 1. čtvrtletí </w:t>
            </w:r>
            <w:r>
              <w:rPr>
                <w:rFonts w:cs="Arial"/>
                <w:color w:val="0D0D0D" w:themeColor="text1" w:themeTint="F2"/>
                <w:spacing w:val="-4"/>
                <w:szCs w:val="20"/>
              </w:rPr>
              <w:t xml:space="preserve">2024 zde </w:t>
            </w:r>
            <w:r w:rsidRPr="00832E72">
              <w:rPr>
                <w:rFonts w:cs="Arial"/>
                <w:color w:val="0D0D0D" w:themeColor="text1" w:themeTint="F2"/>
                <w:spacing w:val="-4"/>
                <w:szCs w:val="20"/>
              </w:rPr>
              <w:t>tržby p</w:t>
            </w:r>
            <w:r>
              <w:rPr>
                <w:rFonts w:cs="Arial"/>
                <w:color w:val="0D0D0D" w:themeColor="text1" w:themeTint="F2"/>
                <w:spacing w:val="-4"/>
                <w:szCs w:val="20"/>
              </w:rPr>
              <w:t>osílily o rovná 4 % a k růstu</w:t>
            </w:r>
            <w:r w:rsidRPr="00832E72">
              <w:rPr>
                <w:rFonts w:cs="Arial"/>
                <w:color w:val="0D0D0D" w:themeColor="text1" w:themeTint="F2"/>
                <w:spacing w:val="-4"/>
                <w:szCs w:val="20"/>
              </w:rPr>
              <w:t xml:space="preserve"> maloobchodu přispěly +0,5 p. b.).</w:t>
            </w:r>
            <w:r>
              <w:rPr>
                <w:rFonts w:cs="Arial"/>
                <w:color w:val="0D0D0D" w:themeColor="text1" w:themeTint="F2"/>
                <w:spacing w:val="-4"/>
                <w:szCs w:val="20"/>
              </w:rPr>
              <w:t xml:space="preserve"> </w:t>
            </w:r>
          </w:p>
        </w:tc>
      </w:tr>
      <w:tr w:rsidR="00EC6B23" w14:paraId="015E486B" w14:textId="77777777" w:rsidTr="002F7D0A">
        <w:trPr>
          <w:trHeight w:val="170"/>
        </w:trPr>
        <w:tc>
          <w:tcPr>
            <w:tcW w:w="1814" w:type="dxa"/>
            <w:shd w:val="clear" w:color="auto" w:fill="auto"/>
            <w:tcMar>
              <w:left w:w="0" w:type="dxa"/>
            </w:tcMar>
          </w:tcPr>
          <w:p w14:paraId="2F59863F" w14:textId="77777777" w:rsidR="00EC6B23" w:rsidRPr="000839A0" w:rsidRDefault="00EC6B23" w:rsidP="002F7D0A">
            <w:pPr>
              <w:pStyle w:val="Marginlie"/>
              <w:rPr>
                <w:spacing w:val="-4"/>
              </w:rPr>
            </w:pPr>
            <w:r>
              <w:rPr>
                <w:spacing w:val="-4"/>
              </w:rPr>
              <w:lastRenderedPageBreak/>
              <w:t>Mírný růst tržeb nastal ve všech částech motoristického segmentu obchodu.</w:t>
            </w:r>
          </w:p>
        </w:tc>
        <w:tc>
          <w:tcPr>
            <w:tcW w:w="229" w:type="dxa"/>
            <w:shd w:val="clear" w:color="auto" w:fill="auto"/>
            <w:tcMar>
              <w:left w:w="0" w:type="dxa"/>
            </w:tcMar>
          </w:tcPr>
          <w:p w14:paraId="187FDF07" w14:textId="77777777" w:rsidR="00EC6B23" w:rsidRDefault="00EC6B23" w:rsidP="002F7D0A">
            <w:pPr>
              <w:pStyle w:val="Textpoznpodarou"/>
              <w:jc w:val="both"/>
              <w:rPr>
                <w:spacing w:val="-4"/>
              </w:rPr>
            </w:pPr>
          </w:p>
        </w:tc>
        <w:tc>
          <w:tcPr>
            <w:tcW w:w="7596" w:type="dxa"/>
            <w:shd w:val="clear" w:color="auto" w:fill="auto"/>
            <w:tcMar>
              <w:left w:w="0" w:type="dxa"/>
            </w:tcMar>
          </w:tcPr>
          <w:p w14:paraId="7C9BD599" w14:textId="77777777" w:rsidR="00EC6B23" w:rsidRPr="00D1534A" w:rsidRDefault="00EC6B23" w:rsidP="002F7D0A">
            <w:pPr>
              <w:spacing w:after="200"/>
              <w:rPr>
                <w:rFonts w:cs="Arial"/>
                <w:color w:val="0D0D0D" w:themeColor="text1" w:themeTint="F2"/>
                <w:spacing w:val="-3"/>
                <w:szCs w:val="20"/>
              </w:rPr>
            </w:pPr>
            <w:r>
              <w:rPr>
                <w:rFonts w:cs="Arial"/>
                <w:color w:val="0D0D0D" w:themeColor="text1" w:themeTint="F2"/>
                <w:szCs w:val="20"/>
              </w:rPr>
              <w:t xml:space="preserve">Tržby v motoristickém segmentu obchodu se v 1. čtvrtletí meziročně zvýšily o 2,5 % a obdobně jako PHM navázaly na své loňské oživení. Mírný růst poptávky se letos projevoval ve všech částech tohoto segmentu. </w:t>
            </w:r>
            <w:r>
              <w:rPr>
                <w:rFonts w:cs="Arial"/>
                <w:color w:val="0D0D0D" w:themeColor="text1" w:themeTint="F2"/>
                <w:spacing w:val="-6"/>
                <w:szCs w:val="20"/>
              </w:rPr>
              <w:t xml:space="preserve">Oproti 4. čtvrtletí 2017, kdy byl tento segment obchodu na svém vrcholu, byly letos jeho tržby nižší o 7,7 %, z toho v oblasti motocyklů (obchod, opravy a údržba) však tuto úroveň převýšily o více než desetinu.   </w:t>
            </w:r>
          </w:p>
        </w:tc>
      </w:tr>
    </w:tbl>
    <w:p w14:paraId="190CF1D6" w14:textId="77777777" w:rsidR="00EC6B23" w:rsidRPr="00004D2D" w:rsidRDefault="00EC6B23" w:rsidP="00EC6B23">
      <w:pPr>
        <w:spacing w:after="0" w:line="240" w:lineRule="auto"/>
        <w:jc w:val="left"/>
        <w:rPr>
          <w:rFonts w:eastAsia="MS Gothic"/>
          <w:b/>
          <w:bCs/>
          <w:color w:val="71818C"/>
          <w:sz w:val="2"/>
          <w:szCs w:val="2"/>
        </w:rPr>
      </w:pPr>
    </w:p>
    <w:p w14:paraId="20A664BB" w14:textId="77777777" w:rsidR="00EC6B23" w:rsidRDefault="00EC6B23" w:rsidP="00EC6B23">
      <w:pPr>
        <w:spacing w:after="0" w:line="240" w:lineRule="auto"/>
        <w:jc w:val="left"/>
        <w:rPr>
          <w:rFonts w:eastAsia="MS Gothic"/>
          <w:b/>
          <w:bCs/>
          <w:color w:val="71818C"/>
          <w:sz w:val="32"/>
          <w:szCs w:val="28"/>
        </w:rPr>
      </w:pPr>
    </w:p>
    <w:p w14:paraId="535F7B92" w14:textId="77777777" w:rsidR="00EC6B23" w:rsidRDefault="00EC6B23">
      <w:pPr>
        <w:spacing w:after="0" w:line="240" w:lineRule="auto"/>
        <w:jc w:val="left"/>
        <w:rPr>
          <w:rFonts w:eastAsia="MS Gothic"/>
          <w:b/>
          <w:bCs/>
          <w:color w:val="71818C"/>
          <w:sz w:val="32"/>
          <w:szCs w:val="28"/>
        </w:rPr>
      </w:pPr>
      <w:r>
        <w:br w:type="page"/>
      </w:r>
    </w:p>
    <w:p w14:paraId="1D8AE0CE" w14:textId="39A6E9AE" w:rsidR="00B8507A" w:rsidRPr="00F204DA" w:rsidRDefault="00B8507A" w:rsidP="00B8507A">
      <w:pPr>
        <w:pStyle w:val="Nadpis11"/>
      </w:pPr>
      <w:bookmarkStart w:id="34" w:name="_Toc169258116"/>
      <w:r>
        <w:lastRenderedPageBreak/>
        <w:t>4</w:t>
      </w:r>
      <w:bookmarkStart w:id="35" w:name="_Toc511215218"/>
      <w:bookmarkStart w:id="36" w:name="_Toc19090679"/>
      <w:bookmarkStart w:id="37" w:name="_Toc74643856"/>
      <w:bookmarkStart w:id="38" w:name="_Toc42852411"/>
      <w:bookmarkStart w:id="39" w:name="_Toc74643857"/>
      <w:bookmarkEnd w:id="35"/>
      <w:bookmarkEnd w:id="36"/>
      <w:r>
        <w:t>. Vnější vztahy</w:t>
      </w:r>
      <w:bookmarkEnd w:id="32"/>
      <w:bookmarkEnd w:id="34"/>
    </w:p>
    <w:tbl>
      <w:tblPr>
        <w:tblW w:w="0" w:type="dxa"/>
        <w:tblInd w:w="-15" w:type="dxa"/>
        <w:tblLayout w:type="fixed"/>
        <w:tblCellMar>
          <w:left w:w="0" w:type="dxa"/>
          <w:right w:w="0" w:type="dxa"/>
        </w:tblCellMar>
        <w:tblLook w:val="00A0" w:firstRow="1" w:lastRow="0" w:firstColumn="1" w:lastColumn="0" w:noHBand="0" w:noVBand="0"/>
      </w:tblPr>
      <w:tblGrid>
        <w:gridCol w:w="1748"/>
        <w:gridCol w:w="221"/>
        <w:gridCol w:w="2842"/>
        <w:gridCol w:w="57"/>
        <w:gridCol w:w="4809"/>
      </w:tblGrid>
      <w:tr w:rsidR="00B8507A" w14:paraId="46022F59" w14:textId="77777777" w:rsidTr="00B8507A">
        <w:trPr>
          <w:trHeight w:val="145"/>
        </w:trPr>
        <w:tc>
          <w:tcPr>
            <w:tcW w:w="1748" w:type="dxa"/>
            <w:hideMark/>
          </w:tcPr>
          <w:p w14:paraId="73DEF562" w14:textId="77777777" w:rsidR="00B8507A" w:rsidRDefault="00B8507A">
            <w:pPr>
              <w:pStyle w:val="Marginlie"/>
              <w:rPr>
                <w:lang w:eastAsia="en-US"/>
              </w:rPr>
            </w:pPr>
            <w:r>
              <w:rPr>
                <w:lang w:eastAsia="en-US"/>
              </w:rPr>
              <w:t>Vývoz zboží v 1. čtvrtletí 2024 meziročně vzrostl jen mírně.</w:t>
            </w:r>
          </w:p>
        </w:tc>
        <w:tc>
          <w:tcPr>
            <w:tcW w:w="221" w:type="dxa"/>
          </w:tcPr>
          <w:p w14:paraId="4B78936E" w14:textId="77777777" w:rsidR="00B8507A" w:rsidRDefault="00B8507A">
            <w:pPr>
              <w:pStyle w:val="Textpoznpodarou"/>
              <w:jc w:val="both"/>
              <w:rPr>
                <w:spacing w:val="-4"/>
                <w:lang w:eastAsia="en-US"/>
              </w:rPr>
            </w:pPr>
          </w:p>
        </w:tc>
        <w:tc>
          <w:tcPr>
            <w:tcW w:w="7708" w:type="dxa"/>
            <w:gridSpan w:val="3"/>
            <w:hideMark/>
          </w:tcPr>
          <w:p w14:paraId="6BBCD347" w14:textId="77777777" w:rsidR="00B8507A" w:rsidRDefault="00B8507A">
            <w:pPr>
              <w:spacing w:after="180"/>
              <w:rPr>
                <w:spacing w:val="-4"/>
                <w:lang w:eastAsia="en-US"/>
              </w:rPr>
            </w:pPr>
            <w:r>
              <w:rPr>
                <w:spacing w:val="-4"/>
                <w:lang w:eastAsia="en-US"/>
              </w:rPr>
              <w:t>Hodnota vývozu zboží v 1. čtvrtletí 2024 dosáhla 1 164,0 mld. korun</w:t>
            </w:r>
            <w:r>
              <w:rPr>
                <w:rStyle w:val="Znakapoznpodarou"/>
                <w:spacing w:val="-4"/>
                <w:lang w:eastAsia="en-US"/>
              </w:rPr>
              <w:footnoteReference w:id="41"/>
            </w:r>
            <w:r>
              <w:rPr>
                <w:spacing w:val="-4"/>
                <w:lang w:eastAsia="en-US"/>
              </w:rPr>
              <w:t xml:space="preserve"> a meziročně se tak zvýšila o 5,2 mld. (0,5 %). Poměrně slabý meziroční přírůstek souvisí s vysokou srovnávací základnou začátku loňského roku. Z podrobnějších údajů ale vyplývá, že vývoj exportu zrcadlí situaci v celém průmyslu – stále pozitivní vývoj v oblasti motorových vozidel, proti kterému stojí zaostávání zbytku průmyslu včetně důležitých oborů navázaných na export. Svůj vliv měl také meziroční pokles cen surovin</w:t>
            </w:r>
            <w:r>
              <w:rPr>
                <w:rStyle w:val="Znakapoznpodarou"/>
                <w:spacing w:val="-4"/>
                <w:lang w:eastAsia="en-US"/>
              </w:rPr>
              <w:footnoteReference w:id="42"/>
            </w:r>
            <w:r>
              <w:rPr>
                <w:spacing w:val="-4"/>
                <w:lang w:eastAsia="en-US"/>
              </w:rPr>
              <w:t xml:space="preserve">. Podle sezónně očištěných údajů se hodnota exportu mezičtvrtletně zvýšila o 3,0 %. </w:t>
            </w:r>
          </w:p>
        </w:tc>
      </w:tr>
      <w:tr w:rsidR="00B8507A" w14:paraId="46BEC536" w14:textId="77777777" w:rsidTr="00B8507A">
        <w:trPr>
          <w:trHeight w:val="170"/>
        </w:trPr>
        <w:tc>
          <w:tcPr>
            <w:tcW w:w="4811" w:type="dxa"/>
            <w:gridSpan w:val="3"/>
            <w:hideMark/>
          </w:tcPr>
          <w:p w14:paraId="5CDF3A2E" w14:textId="77777777" w:rsidR="00B8507A" w:rsidRDefault="00B8507A">
            <w:pPr>
              <w:spacing w:after="0"/>
              <w:rPr>
                <w:rFonts w:cs="Arial"/>
                <w:b/>
                <w:bCs/>
                <w:color w:val="000000"/>
                <w:sz w:val="18"/>
                <w:szCs w:val="18"/>
                <w:lang w:eastAsia="en-US"/>
              </w:rPr>
            </w:pPr>
            <w:r>
              <w:rPr>
                <w:rFonts w:cs="Arial"/>
                <w:b/>
                <w:bCs/>
                <w:color w:val="000000"/>
                <w:sz w:val="18"/>
                <w:szCs w:val="18"/>
                <w:lang w:eastAsia="en-US"/>
              </w:rPr>
              <w:t xml:space="preserve">Tabulka č. 1 Oddíly klasifikace CPA s největším </w:t>
            </w:r>
          </w:p>
          <w:p w14:paraId="7AC7D02C" w14:textId="77777777" w:rsidR="00B8507A" w:rsidRDefault="00B8507A">
            <w:pPr>
              <w:spacing w:after="0"/>
              <w:jc w:val="left"/>
              <w:rPr>
                <w:spacing w:val="-4"/>
                <w:lang w:eastAsia="en-US"/>
              </w:rPr>
            </w:pPr>
            <w:r>
              <w:rPr>
                <w:rFonts w:cs="Arial"/>
                <w:b/>
                <w:bCs/>
                <w:color w:val="000000"/>
                <w:sz w:val="18"/>
                <w:szCs w:val="18"/>
                <w:lang w:eastAsia="en-US"/>
              </w:rPr>
              <w:t xml:space="preserve">vlivem na vývoj vývozu zboží v 1. čtvrtletí 2024 </w:t>
            </w:r>
            <w:r>
              <w:rPr>
                <w:rFonts w:cs="Arial"/>
                <w:bCs/>
                <w:color w:val="000000"/>
                <w:sz w:val="18"/>
                <w:szCs w:val="18"/>
                <w:lang w:eastAsia="en-US"/>
              </w:rPr>
              <w:t>(meziročně)</w:t>
            </w:r>
          </w:p>
        </w:tc>
        <w:tc>
          <w:tcPr>
            <w:tcW w:w="57" w:type="dxa"/>
          </w:tcPr>
          <w:p w14:paraId="5E8A238A" w14:textId="77777777" w:rsidR="00B8507A" w:rsidRDefault="00B8507A">
            <w:pPr>
              <w:spacing w:after="0"/>
              <w:rPr>
                <w:spacing w:val="-4"/>
                <w:lang w:eastAsia="en-US"/>
              </w:rPr>
            </w:pPr>
          </w:p>
        </w:tc>
        <w:tc>
          <w:tcPr>
            <w:tcW w:w="4809" w:type="dxa"/>
            <w:hideMark/>
          </w:tcPr>
          <w:p w14:paraId="74825333" w14:textId="77777777" w:rsidR="00B8507A" w:rsidRDefault="00B8507A">
            <w:pPr>
              <w:spacing w:after="0"/>
              <w:jc w:val="left"/>
              <w:rPr>
                <w:spacing w:val="-4"/>
                <w:sz w:val="18"/>
                <w:szCs w:val="18"/>
                <w:lang w:eastAsia="en-US"/>
              </w:rPr>
            </w:pPr>
            <w:r>
              <w:rPr>
                <w:rFonts w:cs="Arial"/>
                <w:b/>
                <w:bCs/>
                <w:color w:val="000000"/>
                <w:sz w:val="18"/>
                <w:szCs w:val="18"/>
                <w:lang w:eastAsia="en-US"/>
              </w:rPr>
              <w:t xml:space="preserve">Tabulka č. 2 Země s největším vlivem na vývoj vývozu zboží v 1. čtvrtletí 2024 </w:t>
            </w:r>
            <w:r>
              <w:rPr>
                <w:rFonts w:cs="Arial"/>
                <w:bCs/>
                <w:color w:val="000000"/>
                <w:sz w:val="18"/>
                <w:szCs w:val="18"/>
                <w:lang w:eastAsia="en-US"/>
              </w:rPr>
              <w:t>(meziročně)</w:t>
            </w:r>
          </w:p>
        </w:tc>
      </w:tr>
      <w:tr w:rsidR="00B8507A" w14:paraId="3776F888" w14:textId="77777777" w:rsidTr="00B8507A">
        <w:trPr>
          <w:trHeight w:val="170"/>
        </w:trPr>
        <w:tc>
          <w:tcPr>
            <w:tcW w:w="4811" w:type="dxa"/>
            <w:gridSpan w:val="3"/>
            <w:hideMark/>
          </w:tcPr>
          <w:tbl>
            <w:tblPr>
              <w:tblW w:w="0" w:type="dxa"/>
              <w:tblLayout w:type="fixed"/>
              <w:tblCellMar>
                <w:left w:w="0" w:type="dxa"/>
                <w:right w:w="70" w:type="dxa"/>
              </w:tblCellMar>
              <w:tblLook w:val="04A0" w:firstRow="1" w:lastRow="0" w:firstColumn="1" w:lastColumn="0" w:noHBand="0" w:noVBand="1"/>
            </w:tblPr>
            <w:tblGrid>
              <w:gridCol w:w="3414"/>
              <w:gridCol w:w="700"/>
              <w:gridCol w:w="700"/>
            </w:tblGrid>
            <w:tr w:rsidR="00B8507A" w14:paraId="4247AE57" w14:textId="77777777">
              <w:trPr>
                <w:trHeight w:val="255"/>
              </w:trPr>
              <w:tc>
                <w:tcPr>
                  <w:tcW w:w="3414" w:type="dxa"/>
                  <w:noWrap/>
                  <w:vAlign w:val="bottom"/>
                  <w:hideMark/>
                </w:tcPr>
                <w:p w14:paraId="1FA081DC" w14:textId="77777777" w:rsidR="00B8507A" w:rsidRDefault="00B8507A">
                  <w:pPr>
                    <w:rPr>
                      <w:spacing w:val="-4"/>
                      <w:sz w:val="18"/>
                      <w:szCs w:val="18"/>
                      <w:lang w:eastAsia="en-US"/>
                    </w:rPr>
                  </w:pPr>
                </w:p>
              </w:tc>
              <w:tc>
                <w:tcPr>
                  <w:tcW w:w="700" w:type="dxa"/>
                  <w:noWrap/>
                  <w:vAlign w:val="bottom"/>
                  <w:hideMark/>
                </w:tcPr>
                <w:p w14:paraId="6BA29535"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mld. Kč</w:t>
                  </w:r>
                </w:p>
              </w:tc>
              <w:tc>
                <w:tcPr>
                  <w:tcW w:w="700" w:type="dxa"/>
                  <w:noWrap/>
                  <w:vAlign w:val="bottom"/>
                  <w:hideMark/>
                </w:tcPr>
                <w:p w14:paraId="57430C9C"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w:t>
                  </w:r>
                </w:p>
              </w:tc>
            </w:tr>
            <w:tr w:rsidR="00B8507A" w14:paraId="20006BFD" w14:textId="77777777">
              <w:trPr>
                <w:trHeight w:val="255"/>
              </w:trPr>
              <w:tc>
                <w:tcPr>
                  <w:tcW w:w="3414" w:type="dxa"/>
                  <w:tcBorders>
                    <w:top w:val="single" w:sz="4" w:space="0" w:color="auto"/>
                    <w:left w:val="nil"/>
                    <w:bottom w:val="nil"/>
                    <w:right w:val="nil"/>
                  </w:tcBorders>
                  <w:vAlign w:val="bottom"/>
                  <w:hideMark/>
                </w:tcPr>
                <w:p w14:paraId="52F80823"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Motorová vozidla (kromě motocyklů) a díly</w:t>
                  </w:r>
                </w:p>
              </w:tc>
              <w:tc>
                <w:tcPr>
                  <w:tcW w:w="700" w:type="dxa"/>
                  <w:tcBorders>
                    <w:top w:val="single" w:sz="4" w:space="0" w:color="auto"/>
                    <w:left w:val="nil"/>
                    <w:bottom w:val="nil"/>
                    <w:right w:val="nil"/>
                  </w:tcBorders>
                  <w:noWrap/>
                  <w:vAlign w:val="bottom"/>
                  <w:hideMark/>
                </w:tcPr>
                <w:p w14:paraId="105CF9F7"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+23,5</w:t>
                  </w:r>
                </w:p>
              </w:tc>
              <w:tc>
                <w:tcPr>
                  <w:tcW w:w="700" w:type="dxa"/>
                  <w:tcBorders>
                    <w:top w:val="single" w:sz="4" w:space="0" w:color="auto"/>
                    <w:left w:val="nil"/>
                    <w:bottom w:val="nil"/>
                    <w:right w:val="nil"/>
                  </w:tcBorders>
                  <w:noWrap/>
                  <w:vAlign w:val="bottom"/>
                  <w:hideMark/>
                </w:tcPr>
                <w:p w14:paraId="59EE24A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+7,5</w:t>
                  </w:r>
                </w:p>
              </w:tc>
            </w:tr>
            <w:tr w:rsidR="00B8507A" w14:paraId="77FF6884" w14:textId="77777777">
              <w:trPr>
                <w:trHeight w:val="255"/>
              </w:trPr>
              <w:tc>
                <w:tcPr>
                  <w:tcW w:w="3414" w:type="dxa"/>
                  <w:vAlign w:val="bottom"/>
                  <w:hideMark/>
                </w:tcPr>
                <w:p w14:paraId="4B3B9C88"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 xml:space="preserve">Počítače, elektronické a optické přístroje </w:t>
                  </w:r>
                  <w:r>
                    <w:rPr>
                      <w:rFonts w:cs="Arial"/>
                      <w:color w:val="000000"/>
                      <w:sz w:val="16"/>
                      <w:szCs w:val="16"/>
                      <w:lang w:eastAsia="en-US"/>
                    </w:rPr>
                    <w:br/>
                    <w:t>a zařízení</w:t>
                  </w:r>
                </w:p>
              </w:tc>
              <w:tc>
                <w:tcPr>
                  <w:tcW w:w="700" w:type="dxa"/>
                  <w:noWrap/>
                  <w:vAlign w:val="bottom"/>
                  <w:hideMark/>
                </w:tcPr>
                <w:p w14:paraId="48F0DC28"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+7,0</w:t>
                  </w:r>
                </w:p>
              </w:tc>
              <w:tc>
                <w:tcPr>
                  <w:tcW w:w="700" w:type="dxa"/>
                  <w:noWrap/>
                  <w:vAlign w:val="bottom"/>
                  <w:hideMark/>
                </w:tcPr>
                <w:p w14:paraId="5B3AC0B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+7,1</w:t>
                  </w:r>
                </w:p>
              </w:tc>
            </w:tr>
            <w:tr w:rsidR="00B8507A" w14:paraId="36F8B68A" w14:textId="77777777">
              <w:trPr>
                <w:trHeight w:val="255"/>
              </w:trPr>
              <w:tc>
                <w:tcPr>
                  <w:tcW w:w="3414" w:type="dxa"/>
                  <w:vAlign w:val="bottom"/>
                  <w:hideMark/>
                </w:tcPr>
                <w:p w14:paraId="1C5999D3"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Potravinářské výrobky</w:t>
                  </w:r>
                </w:p>
              </w:tc>
              <w:tc>
                <w:tcPr>
                  <w:tcW w:w="700" w:type="dxa"/>
                  <w:noWrap/>
                  <w:vAlign w:val="bottom"/>
                  <w:hideMark/>
                </w:tcPr>
                <w:p w14:paraId="346EEF85"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+3,2</w:t>
                  </w:r>
                </w:p>
              </w:tc>
              <w:tc>
                <w:tcPr>
                  <w:tcW w:w="700" w:type="dxa"/>
                  <w:noWrap/>
                  <w:vAlign w:val="bottom"/>
                  <w:hideMark/>
                </w:tcPr>
                <w:p w14:paraId="1EE7A02E"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+7,6</w:t>
                  </w:r>
                </w:p>
              </w:tc>
            </w:tr>
            <w:tr w:rsidR="00B8507A" w14:paraId="1FAE5BA4" w14:textId="77777777">
              <w:trPr>
                <w:trHeight w:val="255"/>
              </w:trPr>
              <w:tc>
                <w:tcPr>
                  <w:tcW w:w="3414" w:type="dxa"/>
                  <w:vAlign w:val="bottom"/>
                  <w:hideMark/>
                </w:tcPr>
                <w:p w14:paraId="7E7F9DF3"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Ostatní výrobky zpracovatelského průmyslu</w:t>
                  </w:r>
                </w:p>
              </w:tc>
              <w:tc>
                <w:tcPr>
                  <w:tcW w:w="700" w:type="dxa"/>
                  <w:noWrap/>
                  <w:vAlign w:val="bottom"/>
                  <w:hideMark/>
                </w:tcPr>
                <w:p w14:paraId="00DB80F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+1,7</w:t>
                  </w:r>
                </w:p>
              </w:tc>
              <w:tc>
                <w:tcPr>
                  <w:tcW w:w="700" w:type="dxa"/>
                  <w:noWrap/>
                  <w:vAlign w:val="bottom"/>
                  <w:hideMark/>
                </w:tcPr>
                <w:p w14:paraId="7FEF7026"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+7,2</w:t>
                  </w:r>
                </w:p>
              </w:tc>
            </w:tr>
            <w:tr w:rsidR="00B8507A" w14:paraId="60E79CEF" w14:textId="77777777">
              <w:trPr>
                <w:trHeight w:val="255"/>
              </w:trPr>
              <w:tc>
                <w:tcPr>
                  <w:tcW w:w="3414" w:type="dxa"/>
                  <w:vAlign w:val="bottom"/>
                  <w:hideMark/>
                </w:tcPr>
                <w:p w14:paraId="7EFE6EED"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Sběr, příprava, likvidace a zpracování odpadu</w:t>
                  </w:r>
                </w:p>
              </w:tc>
              <w:tc>
                <w:tcPr>
                  <w:tcW w:w="700" w:type="dxa"/>
                  <w:noWrap/>
                  <w:vAlign w:val="bottom"/>
                  <w:hideMark/>
                </w:tcPr>
                <w:p w14:paraId="01F27DD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+1,3</w:t>
                  </w:r>
                </w:p>
              </w:tc>
              <w:tc>
                <w:tcPr>
                  <w:tcW w:w="700" w:type="dxa"/>
                  <w:noWrap/>
                  <w:vAlign w:val="bottom"/>
                  <w:hideMark/>
                </w:tcPr>
                <w:p w14:paraId="4ED1C7B7"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+13,4</w:t>
                  </w:r>
                </w:p>
              </w:tc>
            </w:tr>
            <w:tr w:rsidR="00B8507A" w14:paraId="64008516" w14:textId="77777777">
              <w:trPr>
                <w:trHeight w:val="255"/>
              </w:trPr>
              <w:tc>
                <w:tcPr>
                  <w:tcW w:w="3414" w:type="dxa"/>
                  <w:vAlign w:val="bottom"/>
                  <w:hideMark/>
                </w:tcPr>
                <w:p w14:paraId="307C6B6B"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Produkty zemědělství a myslivosti</w:t>
                  </w:r>
                </w:p>
              </w:tc>
              <w:tc>
                <w:tcPr>
                  <w:tcW w:w="700" w:type="dxa"/>
                  <w:noWrap/>
                  <w:vAlign w:val="bottom"/>
                  <w:hideMark/>
                </w:tcPr>
                <w:p w14:paraId="3031C59C"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+0,9</w:t>
                  </w:r>
                </w:p>
              </w:tc>
              <w:tc>
                <w:tcPr>
                  <w:tcW w:w="700" w:type="dxa"/>
                  <w:noWrap/>
                  <w:vAlign w:val="bottom"/>
                  <w:hideMark/>
                </w:tcPr>
                <w:p w14:paraId="0076AE1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+6,4</w:t>
                  </w:r>
                </w:p>
              </w:tc>
            </w:tr>
            <w:tr w:rsidR="00B8507A" w14:paraId="61ED3B53" w14:textId="77777777">
              <w:trPr>
                <w:trHeight w:val="255"/>
              </w:trPr>
              <w:tc>
                <w:tcPr>
                  <w:tcW w:w="3414" w:type="dxa"/>
                  <w:vAlign w:val="bottom"/>
                  <w:hideMark/>
                </w:tcPr>
                <w:p w14:paraId="02FE7EB4"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Textilie</w:t>
                  </w:r>
                </w:p>
              </w:tc>
              <w:tc>
                <w:tcPr>
                  <w:tcW w:w="700" w:type="dxa"/>
                  <w:noWrap/>
                  <w:vAlign w:val="bottom"/>
                  <w:hideMark/>
                </w:tcPr>
                <w:p w14:paraId="784F78EF"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-1,1</w:t>
                  </w:r>
                </w:p>
              </w:tc>
              <w:tc>
                <w:tcPr>
                  <w:tcW w:w="700" w:type="dxa"/>
                  <w:noWrap/>
                  <w:vAlign w:val="bottom"/>
                  <w:hideMark/>
                </w:tcPr>
                <w:p w14:paraId="1BDF55D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-6,6</w:t>
                  </w:r>
                </w:p>
              </w:tc>
            </w:tr>
            <w:tr w:rsidR="00B8507A" w14:paraId="72B2B2B7" w14:textId="77777777">
              <w:trPr>
                <w:trHeight w:val="255"/>
              </w:trPr>
              <w:tc>
                <w:tcPr>
                  <w:tcW w:w="3414" w:type="dxa"/>
                  <w:vAlign w:val="bottom"/>
                  <w:hideMark/>
                </w:tcPr>
                <w:p w14:paraId="6509C2A8"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Ostatní nekovové minerální výrobky</w:t>
                  </w:r>
                </w:p>
              </w:tc>
              <w:tc>
                <w:tcPr>
                  <w:tcW w:w="700" w:type="dxa"/>
                  <w:noWrap/>
                  <w:vAlign w:val="bottom"/>
                  <w:hideMark/>
                </w:tcPr>
                <w:p w14:paraId="427D894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-1,1</w:t>
                  </w:r>
                </w:p>
              </w:tc>
              <w:tc>
                <w:tcPr>
                  <w:tcW w:w="700" w:type="dxa"/>
                  <w:noWrap/>
                  <w:vAlign w:val="bottom"/>
                  <w:hideMark/>
                </w:tcPr>
                <w:p w14:paraId="6507AE3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-5,1</w:t>
                  </w:r>
                </w:p>
              </w:tc>
            </w:tr>
            <w:tr w:rsidR="00B8507A" w14:paraId="23B8DF53" w14:textId="77777777">
              <w:trPr>
                <w:trHeight w:val="255"/>
              </w:trPr>
              <w:tc>
                <w:tcPr>
                  <w:tcW w:w="3414" w:type="dxa"/>
                  <w:vAlign w:val="bottom"/>
                  <w:hideMark/>
                </w:tcPr>
                <w:p w14:paraId="4C7F0EAA"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Nábytek</w:t>
                  </w:r>
                </w:p>
              </w:tc>
              <w:tc>
                <w:tcPr>
                  <w:tcW w:w="700" w:type="dxa"/>
                  <w:noWrap/>
                  <w:vAlign w:val="bottom"/>
                  <w:hideMark/>
                </w:tcPr>
                <w:p w14:paraId="41627716"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-1,3</w:t>
                  </w:r>
                </w:p>
              </w:tc>
              <w:tc>
                <w:tcPr>
                  <w:tcW w:w="700" w:type="dxa"/>
                  <w:noWrap/>
                  <w:vAlign w:val="bottom"/>
                  <w:hideMark/>
                </w:tcPr>
                <w:p w14:paraId="797F4CF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-13,6</w:t>
                  </w:r>
                </w:p>
              </w:tc>
            </w:tr>
            <w:tr w:rsidR="00B8507A" w14:paraId="5A9C1431" w14:textId="77777777">
              <w:trPr>
                <w:trHeight w:val="255"/>
              </w:trPr>
              <w:tc>
                <w:tcPr>
                  <w:tcW w:w="3414" w:type="dxa"/>
                  <w:vAlign w:val="bottom"/>
                  <w:hideMark/>
                </w:tcPr>
                <w:p w14:paraId="065C382A"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Produkty lesnictví, těžby dřeva</w:t>
                  </w:r>
                </w:p>
              </w:tc>
              <w:tc>
                <w:tcPr>
                  <w:tcW w:w="700" w:type="dxa"/>
                  <w:noWrap/>
                  <w:vAlign w:val="bottom"/>
                  <w:hideMark/>
                </w:tcPr>
                <w:p w14:paraId="1AE361E7"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-1,5</w:t>
                  </w:r>
                </w:p>
              </w:tc>
              <w:tc>
                <w:tcPr>
                  <w:tcW w:w="700" w:type="dxa"/>
                  <w:noWrap/>
                  <w:vAlign w:val="bottom"/>
                  <w:hideMark/>
                </w:tcPr>
                <w:p w14:paraId="202F88B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-31,4</w:t>
                  </w:r>
                </w:p>
              </w:tc>
            </w:tr>
            <w:tr w:rsidR="00B8507A" w14:paraId="053F179F" w14:textId="77777777">
              <w:trPr>
                <w:trHeight w:val="255"/>
              </w:trPr>
              <w:tc>
                <w:tcPr>
                  <w:tcW w:w="3414" w:type="dxa"/>
                  <w:vAlign w:val="bottom"/>
                  <w:hideMark/>
                </w:tcPr>
                <w:p w14:paraId="30BF7B7C"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Dřevo a dřevěné a korkové výrobky</w:t>
                  </w:r>
                </w:p>
              </w:tc>
              <w:tc>
                <w:tcPr>
                  <w:tcW w:w="700" w:type="dxa"/>
                  <w:noWrap/>
                  <w:vAlign w:val="bottom"/>
                  <w:hideMark/>
                </w:tcPr>
                <w:p w14:paraId="3CF11C2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-1,5</w:t>
                  </w:r>
                </w:p>
              </w:tc>
              <w:tc>
                <w:tcPr>
                  <w:tcW w:w="700" w:type="dxa"/>
                  <w:noWrap/>
                  <w:vAlign w:val="bottom"/>
                  <w:hideMark/>
                </w:tcPr>
                <w:p w14:paraId="08D2421D"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-11,9</w:t>
                  </w:r>
                </w:p>
              </w:tc>
            </w:tr>
            <w:tr w:rsidR="00B8507A" w14:paraId="63B91FDC" w14:textId="77777777">
              <w:trPr>
                <w:trHeight w:val="255"/>
              </w:trPr>
              <w:tc>
                <w:tcPr>
                  <w:tcW w:w="3414" w:type="dxa"/>
                  <w:vAlign w:val="bottom"/>
                  <w:hideMark/>
                </w:tcPr>
                <w:p w14:paraId="6079F45E"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Elektrická zařízení</w:t>
                  </w:r>
                </w:p>
              </w:tc>
              <w:tc>
                <w:tcPr>
                  <w:tcW w:w="700" w:type="dxa"/>
                  <w:noWrap/>
                  <w:vAlign w:val="bottom"/>
                  <w:hideMark/>
                </w:tcPr>
                <w:p w14:paraId="41A0B08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-4,8</w:t>
                  </w:r>
                </w:p>
              </w:tc>
              <w:tc>
                <w:tcPr>
                  <w:tcW w:w="700" w:type="dxa"/>
                  <w:noWrap/>
                  <w:vAlign w:val="bottom"/>
                  <w:hideMark/>
                </w:tcPr>
                <w:p w14:paraId="4CA1514F"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-3,9</w:t>
                  </w:r>
                </w:p>
              </w:tc>
            </w:tr>
            <w:tr w:rsidR="00B8507A" w14:paraId="391206CD" w14:textId="77777777">
              <w:trPr>
                <w:trHeight w:val="255"/>
              </w:trPr>
              <w:tc>
                <w:tcPr>
                  <w:tcW w:w="3414" w:type="dxa"/>
                  <w:vAlign w:val="bottom"/>
                  <w:hideMark/>
                </w:tcPr>
                <w:p w14:paraId="500824CB"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Základní kovy</w:t>
                  </w:r>
                </w:p>
              </w:tc>
              <w:tc>
                <w:tcPr>
                  <w:tcW w:w="700" w:type="dxa"/>
                  <w:noWrap/>
                  <w:vAlign w:val="bottom"/>
                  <w:hideMark/>
                </w:tcPr>
                <w:p w14:paraId="637872D6"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-6,3</w:t>
                  </w:r>
                </w:p>
              </w:tc>
              <w:tc>
                <w:tcPr>
                  <w:tcW w:w="700" w:type="dxa"/>
                  <w:noWrap/>
                  <w:vAlign w:val="bottom"/>
                  <w:hideMark/>
                </w:tcPr>
                <w:p w14:paraId="1EDA5595"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-13,7</w:t>
                  </w:r>
                </w:p>
              </w:tc>
            </w:tr>
            <w:tr w:rsidR="00B8507A" w14:paraId="449C9BF2" w14:textId="77777777">
              <w:trPr>
                <w:trHeight w:val="255"/>
              </w:trPr>
              <w:tc>
                <w:tcPr>
                  <w:tcW w:w="3414" w:type="dxa"/>
                  <w:vAlign w:val="bottom"/>
                  <w:hideMark/>
                </w:tcPr>
                <w:p w14:paraId="039BBFDE"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Stroje a zařízení</w:t>
                  </w:r>
                </w:p>
              </w:tc>
              <w:tc>
                <w:tcPr>
                  <w:tcW w:w="700" w:type="dxa"/>
                  <w:noWrap/>
                  <w:vAlign w:val="bottom"/>
                  <w:hideMark/>
                </w:tcPr>
                <w:p w14:paraId="091C4F8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-8,0</w:t>
                  </w:r>
                </w:p>
              </w:tc>
              <w:tc>
                <w:tcPr>
                  <w:tcW w:w="700" w:type="dxa"/>
                  <w:noWrap/>
                  <w:vAlign w:val="bottom"/>
                  <w:hideMark/>
                </w:tcPr>
                <w:p w14:paraId="1E232058"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-5,9</w:t>
                  </w:r>
                </w:p>
              </w:tc>
            </w:tr>
            <w:tr w:rsidR="00B8507A" w14:paraId="6BB1966D" w14:textId="77777777">
              <w:trPr>
                <w:trHeight w:val="255"/>
              </w:trPr>
              <w:tc>
                <w:tcPr>
                  <w:tcW w:w="3414" w:type="dxa"/>
                  <w:vAlign w:val="bottom"/>
                  <w:hideMark/>
                </w:tcPr>
                <w:p w14:paraId="471773CC"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Elektřina, plyn, pára a klimatizovaný vzduch</w:t>
                  </w:r>
                </w:p>
              </w:tc>
              <w:tc>
                <w:tcPr>
                  <w:tcW w:w="700" w:type="dxa"/>
                  <w:noWrap/>
                  <w:vAlign w:val="bottom"/>
                  <w:hideMark/>
                </w:tcPr>
                <w:p w14:paraId="69C22DA0"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-9,0</w:t>
                  </w:r>
                </w:p>
              </w:tc>
              <w:tc>
                <w:tcPr>
                  <w:tcW w:w="700" w:type="dxa"/>
                  <w:noWrap/>
                  <w:vAlign w:val="bottom"/>
                  <w:hideMark/>
                </w:tcPr>
                <w:p w14:paraId="595D4F2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-47,9</w:t>
                  </w:r>
                </w:p>
              </w:tc>
            </w:tr>
          </w:tbl>
          <w:p w14:paraId="16E4D3F4" w14:textId="77777777" w:rsidR="00B8507A" w:rsidRDefault="00B8507A">
            <w:pPr>
              <w:spacing w:after="0"/>
              <w:rPr>
                <w:spacing w:val="-4"/>
                <w:lang w:eastAsia="en-US"/>
              </w:rPr>
            </w:pPr>
          </w:p>
        </w:tc>
        <w:tc>
          <w:tcPr>
            <w:tcW w:w="57" w:type="dxa"/>
          </w:tcPr>
          <w:p w14:paraId="63A3F0F5" w14:textId="77777777" w:rsidR="00B8507A" w:rsidRDefault="00B8507A">
            <w:pPr>
              <w:spacing w:after="0"/>
              <w:rPr>
                <w:spacing w:val="-4"/>
                <w:lang w:eastAsia="en-US"/>
              </w:rPr>
            </w:pPr>
          </w:p>
        </w:tc>
        <w:tc>
          <w:tcPr>
            <w:tcW w:w="4809" w:type="dxa"/>
            <w:hideMark/>
          </w:tcPr>
          <w:tbl>
            <w:tblPr>
              <w:tblW w:w="0" w:type="dxa"/>
              <w:jc w:val="center"/>
              <w:tblLayout w:type="fixed"/>
              <w:tblCellMar>
                <w:left w:w="70" w:type="dxa"/>
                <w:right w:w="70" w:type="dxa"/>
              </w:tblCellMar>
              <w:tblLook w:val="04A0" w:firstRow="1" w:lastRow="0" w:firstColumn="1" w:lastColumn="0" w:noHBand="0" w:noVBand="1"/>
            </w:tblPr>
            <w:tblGrid>
              <w:gridCol w:w="3363"/>
              <w:gridCol w:w="700"/>
              <w:gridCol w:w="700"/>
            </w:tblGrid>
            <w:tr w:rsidR="00B8507A" w14:paraId="3481F2F9" w14:textId="77777777">
              <w:trPr>
                <w:trHeight w:val="255"/>
                <w:jc w:val="center"/>
              </w:trPr>
              <w:tc>
                <w:tcPr>
                  <w:tcW w:w="3363" w:type="dxa"/>
                  <w:noWrap/>
                  <w:vAlign w:val="bottom"/>
                  <w:hideMark/>
                </w:tcPr>
                <w:p w14:paraId="235FE57C" w14:textId="77777777" w:rsidR="00B8507A" w:rsidRDefault="00B8507A">
                  <w:pPr>
                    <w:rPr>
                      <w:spacing w:val="-4"/>
                      <w:lang w:eastAsia="en-US"/>
                    </w:rPr>
                  </w:pPr>
                </w:p>
              </w:tc>
              <w:tc>
                <w:tcPr>
                  <w:tcW w:w="700" w:type="dxa"/>
                  <w:noWrap/>
                  <w:vAlign w:val="bottom"/>
                  <w:hideMark/>
                </w:tcPr>
                <w:p w14:paraId="30F390E7"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mld. Kč</w:t>
                  </w:r>
                </w:p>
              </w:tc>
              <w:tc>
                <w:tcPr>
                  <w:tcW w:w="700" w:type="dxa"/>
                  <w:noWrap/>
                  <w:vAlign w:val="bottom"/>
                  <w:hideMark/>
                </w:tcPr>
                <w:p w14:paraId="0B0AB30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w:t>
                  </w:r>
                </w:p>
              </w:tc>
            </w:tr>
            <w:tr w:rsidR="00B8507A" w14:paraId="3241D665" w14:textId="77777777">
              <w:trPr>
                <w:trHeight w:val="255"/>
                <w:jc w:val="center"/>
              </w:trPr>
              <w:tc>
                <w:tcPr>
                  <w:tcW w:w="3363" w:type="dxa"/>
                  <w:tcBorders>
                    <w:top w:val="single" w:sz="4" w:space="0" w:color="auto"/>
                    <w:left w:val="nil"/>
                    <w:bottom w:val="nil"/>
                    <w:right w:val="nil"/>
                  </w:tcBorders>
                  <w:noWrap/>
                  <w:vAlign w:val="bottom"/>
                  <w:hideMark/>
                </w:tcPr>
                <w:p w14:paraId="78530A7A"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Velká Británie</w:t>
                  </w:r>
                </w:p>
              </w:tc>
              <w:tc>
                <w:tcPr>
                  <w:tcW w:w="700" w:type="dxa"/>
                  <w:tcBorders>
                    <w:top w:val="single" w:sz="4" w:space="0" w:color="auto"/>
                    <w:left w:val="nil"/>
                    <w:bottom w:val="nil"/>
                    <w:right w:val="nil"/>
                  </w:tcBorders>
                  <w:noWrap/>
                  <w:vAlign w:val="bottom"/>
                  <w:hideMark/>
                </w:tcPr>
                <w:p w14:paraId="24C5EA3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+8,6</w:t>
                  </w:r>
                </w:p>
              </w:tc>
              <w:tc>
                <w:tcPr>
                  <w:tcW w:w="700" w:type="dxa"/>
                  <w:tcBorders>
                    <w:top w:val="single" w:sz="4" w:space="0" w:color="auto"/>
                    <w:left w:val="nil"/>
                    <w:bottom w:val="nil"/>
                    <w:right w:val="nil"/>
                  </w:tcBorders>
                  <w:noWrap/>
                  <w:vAlign w:val="bottom"/>
                  <w:hideMark/>
                </w:tcPr>
                <w:p w14:paraId="57B768F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+19,1</w:t>
                  </w:r>
                </w:p>
              </w:tc>
            </w:tr>
            <w:tr w:rsidR="00B8507A" w14:paraId="0D6511A0" w14:textId="77777777">
              <w:trPr>
                <w:trHeight w:val="255"/>
                <w:jc w:val="center"/>
              </w:trPr>
              <w:tc>
                <w:tcPr>
                  <w:tcW w:w="3363" w:type="dxa"/>
                  <w:noWrap/>
                  <w:vAlign w:val="bottom"/>
                  <w:hideMark/>
                </w:tcPr>
                <w:p w14:paraId="22CAA94D"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Polsko</w:t>
                  </w:r>
                </w:p>
              </w:tc>
              <w:tc>
                <w:tcPr>
                  <w:tcW w:w="700" w:type="dxa"/>
                  <w:noWrap/>
                  <w:vAlign w:val="bottom"/>
                  <w:hideMark/>
                </w:tcPr>
                <w:p w14:paraId="53CDA2D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+7,8</w:t>
                  </w:r>
                </w:p>
              </w:tc>
              <w:tc>
                <w:tcPr>
                  <w:tcW w:w="700" w:type="dxa"/>
                  <w:noWrap/>
                  <w:vAlign w:val="bottom"/>
                  <w:hideMark/>
                </w:tcPr>
                <w:p w14:paraId="12EC46CE"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+9,8</w:t>
                  </w:r>
                </w:p>
              </w:tc>
            </w:tr>
            <w:tr w:rsidR="00B8507A" w14:paraId="600C163F" w14:textId="77777777">
              <w:trPr>
                <w:trHeight w:val="255"/>
                <w:jc w:val="center"/>
              </w:trPr>
              <w:tc>
                <w:tcPr>
                  <w:tcW w:w="3363" w:type="dxa"/>
                  <w:noWrap/>
                  <w:vAlign w:val="bottom"/>
                  <w:hideMark/>
                </w:tcPr>
                <w:p w14:paraId="7961D0DB"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Japonsko</w:t>
                  </w:r>
                </w:p>
              </w:tc>
              <w:tc>
                <w:tcPr>
                  <w:tcW w:w="700" w:type="dxa"/>
                  <w:noWrap/>
                  <w:vAlign w:val="bottom"/>
                  <w:hideMark/>
                </w:tcPr>
                <w:p w14:paraId="3896686E"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+7,4</w:t>
                  </w:r>
                </w:p>
              </w:tc>
              <w:tc>
                <w:tcPr>
                  <w:tcW w:w="700" w:type="dxa"/>
                  <w:noWrap/>
                  <w:vAlign w:val="bottom"/>
                  <w:hideMark/>
                </w:tcPr>
                <w:p w14:paraId="7D311C00"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+239,5</w:t>
                  </w:r>
                </w:p>
              </w:tc>
            </w:tr>
            <w:tr w:rsidR="00B8507A" w14:paraId="610F7270" w14:textId="77777777">
              <w:trPr>
                <w:trHeight w:val="255"/>
                <w:jc w:val="center"/>
              </w:trPr>
              <w:tc>
                <w:tcPr>
                  <w:tcW w:w="3363" w:type="dxa"/>
                  <w:noWrap/>
                  <w:vAlign w:val="bottom"/>
                  <w:hideMark/>
                </w:tcPr>
                <w:p w14:paraId="4ABE5E9B"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Itálie</w:t>
                  </w:r>
                </w:p>
              </w:tc>
              <w:tc>
                <w:tcPr>
                  <w:tcW w:w="700" w:type="dxa"/>
                  <w:noWrap/>
                  <w:vAlign w:val="bottom"/>
                  <w:hideMark/>
                </w:tcPr>
                <w:p w14:paraId="0440337C"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+4,0</w:t>
                  </w:r>
                </w:p>
              </w:tc>
              <w:tc>
                <w:tcPr>
                  <w:tcW w:w="700" w:type="dxa"/>
                  <w:noWrap/>
                  <w:vAlign w:val="bottom"/>
                  <w:hideMark/>
                </w:tcPr>
                <w:p w14:paraId="2E03C0FD"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+8,0</w:t>
                  </w:r>
                </w:p>
              </w:tc>
            </w:tr>
            <w:tr w:rsidR="00B8507A" w14:paraId="78DEC835" w14:textId="77777777">
              <w:trPr>
                <w:trHeight w:val="255"/>
                <w:jc w:val="center"/>
              </w:trPr>
              <w:tc>
                <w:tcPr>
                  <w:tcW w:w="3363" w:type="dxa"/>
                  <w:noWrap/>
                  <w:vAlign w:val="bottom"/>
                  <w:hideMark/>
                </w:tcPr>
                <w:p w14:paraId="28A62C4C"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Turecko</w:t>
                  </w:r>
                </w:p>
              </w:tc>
              <w:tc>
                <w:tcPr>
                  <w:tcW w:w="700" w:type="dxa"/>
                  <w:noWrap/>
                  <w:vAlign w:val="bottom"/>
                  <w:hideMark/>
                </w:tcPr>
                <w:p w14:paraId="09FE31E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+3,9</w:t>
                  </w:r>
                </w:p>
              </w:tc>
              <w:tc>
                <w:tcPr>
                  <w:tcW w:w="700" w:type="dxa"/>
                  <w:noWrap/>
                  <w:vAlign w:val="bottom"/>
                  <w:hideMark/>
                </w:tcPr>
                <w:p w14:paraId="77CC6F8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+25,2</w:t>
                  </w:r>
                </w:p>
              </w:tc>
            </w:tr>
            <w:tr w:rsidR="00B8507A" w14:paraId="1029AEC5" w14:textId="77777777">
              <w:trPr>
                <w:trHeight w:val="255"/>
                <w:jc w:val="center"/>
              </w:trPr>
              <w:tc>
                <w:tcPr>
                  <w:tcW w:w="3363" w:type="dxa"/>
                  <w:noWrap/>
                  <w:vAlign w:val="bottom"/>
                  <w:hideMark/>
                </w:tcPr>
                <w:p w14:paraId="15B38E5F"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Spojené státy americké</w:t>
                  </w:r>
                </w:p>
              </w:tc>
              <w:tc>
                <w:tcPr>
                  <w:tcW w:w="700" w:type="dxa"/>
                  <w:noWrap/>
                  <w:vAlign w:val="bottom"/>
                  <w:hideMark/>
                </w:tcPr>
                <w:p w14:paraId="24698265"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+2,3</w:t>
                  </w:r>
                </w:p>
              </w:tc>
              <w:tc>
                <w:tcPr>
                  <w:tcW w:w="700" w:type="dxa"/>
                  <w:noWrap/>
                  <w:vAlign w:val="bottom"/>
                  <w:hideMark/>
                </w:tcPr>
                <w:p w14:paraId="7EBC12C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+8,5</w:t>
                  </w:r>
                </w:p>
              </w:tc>
            </w:tr>
            <w:tr w:rsidR="00B8507A" w14:paraId="1ED7F6BE" w14:textId="77777777">
              <w:trPr>
                <w:trHeight w:val="255"/>
                <w:jc w:val="center"/>
              </w:trPr>
              <w:tc>
                <w:tcPr>
                  <w:tcW w:w="3363" w:type="dxa"/>
                  <w:noWrap/>
                  <w:vAlign w:val="bottom"/>
                  <w:hideMark/>
                </w:tcPr>
                <w:p w14:paraId="2A2277E3"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Maďarsko</w:t>
                  </w:r>
                </w:p>
              </w:tc>
              <w:tc>
                <w:tcPr>
                  <w:tcW w:w="700" w:type="dxa"/>
                  <w:noWrap/>
                  <w:vAlign w:val="bottom"/>
                  <w:hideMark/>
                </w:tcPr>
                <w:p w14:paraId="075DFB6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+2,1</w:t>
                  </w:r>
                </w:p>
              </w:tc>
              <w:tc>
                <w:tcPr>
                  <w:tcW w:w="700" w:type="dxa"/>
                  <w:noWrap/>
                  <w:vAlign w:val="bottom"/>
                  <w:hideMark/>
                </w:tcPr>
                <w:p w14:paraId="3B82AA9C"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+6,1</w:t>
                  </w:r>
                </w:p>
              </w:tc>
            </w:tr>
            <w:tr w:rsidR="00B8507A" w14:paraId="50C1633C" w14:textId="77777777">
              <w:trPr>
                <w:trHeight w:val="255"/>
                <w:jc w:val="center"/>
              </w:trPr>
              <w:tc>
                <w:tcPr>
                  <w:tcW w:w="3363" w:type="dxa"/>
                  <w:noWrap/>
                  <w:vAlign w:val="bottom"/>
                  <w:hideMark/>
                </w:tcPr>
                <w:p w14:paraId="5E21A938"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Čína</w:t>
                  </w:r>
                </w:p>
              </w:tc>
              <w:tc>
                <w:tcPr>
                  <w:tcW w:w="700" w:type="dxa"/>
                  <w:noWrap/>
                  <w:vAlign w:val="bottom"/>
                  <w:hideMark/>
                </w:tcPr>
                <w:p w14:paraId="4C65AD26"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+1,9</w:t>
                  </w:r>
                </w:p>
              </w:tc>
              <w:tc>
                <w:tcPr>
                  <w:tcW w:w="700" w:type="dxa"/>
                  <w:noWrap/>
                  <w:vAlign w:val="bottom"/>
                  <w:hideMark/>
                </w:tcPr>
                <w:p w14:paraId="73B0628B"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+18,9</w:t>
                  </w:r>
                </w:p>
              </w:tc>
            </w:tr>
            <w:tr w:rsidR="00B8507A" w14:paraId="6A219CC8" w14:textId="77777777">
              <w:trPr>
                <w:trHeight w:val="255"/>
                <w:jc w:val="center"/>
              </w:trPr>
              <w:tc>
                <w:tcPr>
                  <w:tcW w:w="3363" w:type="dxa"/>
                  <w:noWrap/>
                  <w:vAlign w:val="bottom"/>
                  <w:hideMark/>
                </w:tcPr>
                <w:p w14:paraId="2608CEA3"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Izrael</w:t>
                  </w:r>
                </w:p>
              </w:tc>
              <w:tc>
                <w:tcPr>
                  <w:tcW w:w="700" w:type="dxa"/>
                  <w:noWrap/>
                  <w:vAlign w:val="bottom"/>
                  <w:hideMark/>
                </w:tcPr>
                <w:p w14:paraId="3AEC14E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-2,1</w:t>
                  </w:r>
                </w:p>
              </w:tc>
              <w:tc>
                <w:tcPr>
                  <w:tcW w:w="700" w:type="dxa"/>
                  <w:noWrap/>
                  <w:vAlign w:val="bottom"/>
                  <w:hideMark/>
                </w:tcPr>
                <w:p w14:paraId="0DEA21DC"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-27,7</w:t>
                  </w:r>
                </w:p>
              </w:tc>
            </w:tr>
            <w:tr w:rsidR="00B8507A" w14:paraId="1CED6DC8" w14:textId="77777777">
              <w:trPr>
                <w:trHeight w:val="255"/>
                <w:jc w:val="center"/>
              </w:trPr>
              <w:tc>
                <w:tcPr>
                  <w:tcW w:w="3363" w:type="dxa"/>
                  <w:noWrap/>
                  <w:vAlign w:val="bottom"/>
                  <w:hideMark/>
                </w:tcPr>
                <w:p w14:paraId="268896C6"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Švédsko</w:t>
                  </w:r>
                </w:p>
              </w:tc>
              <w:tc>
                <w:tcPr>
                  <w:tcW w:w="700" w:type="dxa"/>
                  <w:noWrap/>
                  <w:vAlign w:val="bottom"/>
                  <w:hideMark/>
                </w:tcPr>
                <w:p w14:paraId="610CF5E8"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-2,8</w:t>
                  </w:r>
                </w:p>
              </w:tc>
              <w:tc>
                <w:tcPr>
                  <w:tcW w:w="700" w:type="dxa"/>
                  <w:noWrap/>
                  <w:vAlign w:val="bottom"/>
                  <w:hideMark/>
                </w:tcPr>
                <w:p w14:paraId="4942A62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-13,8</w:t>
                  </w:r>
                </w:p>
              </w:tc>
            </w:tr>
            <w:tr w:rsidR="00B8507A" w14:paraId="388299E9" w14:textId="77777777">
              <w:trPr>
                <w:trHeight w:val="255"/>
                <w:jc w:val="center"/>
              </w:trPr>
              <w:tc>
                <w:tcPr>
                  <w:tcW w:w="3363" w:type="dxa"/>
                  <w:noWrap/>
                  <w:vAlign w:val="bottom"/>
                  <w:hideMark/>
                </w:tcPr>
                <w:p w14:paraId="5B9940EF"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Slovensko</w:t>
                  </w:r>
                </w:p>
              </w:tc>
              <w:tc>
                <w:tcPr>
                  <w:tcW w:w="700" w:type="dxa"/>
                  <w:noWrap/>
                  <w:vAlign w:val="bottom"/>
                  <w:hideMark/>
                </w:tcPr>
                <w:p w14:paraId="215D0245"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-3,3</w:t>
                  </w:r>
                </w:p>
              </w:tc>
              <w:tc>
                <w:tcPr>
                  <w:tcW w:w="700" w:type="dxa"/>
                  <w:noWrap/>
                  <w:vAlign w:val="bottom"/>
                  <w:hideMark/>
                </w:tcPr>
                <w:p w14:paraId="082CC4B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-3,1</w:t>
                  </w:r>
                </w:p>
              </w:tc>
            </w:tr>
            <w:tr w:rsidR="00B8507A" w14:paraId="416A8381" w14:textId="77777777">
              <w:trPr>
                <w:trHeight w:val="255"/>
                <w:jc w:val="center"/>
              </w:trPr>
              <w:tc>
                <w:tcPr>
                  <w:tcW w:w="3363" w:type="dxa"/>
                  <w:noWrap/>
                  <w:vAlign w:val="bottom"/>
                  <w:hideMark/>
                </w:tcPr>
                <w:p w14:paraId="055750CC"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Francie</w:t>
                  </w:r>
                </w:p>
              </w:tc>
              <w:tc>
                <w:tcPr>
                  <w:tcW w:w="700" w:type="dxa"/>
                  <w:noWrap/>
                  <w:vAlign w:val="bottom"/>
                  <w:hideMark/>
                </w:tcPr>
                <w:p w14:paraId="01C34AB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-3,6</w:t>
                  </w:r>
                </w:p>
              </w:tc>
              <w:tc>
                <w:tcPr>
                  <w:tcW w:w="700" w:type="dxa"/>
                  <w:noWrap/>
                  <w:vAlign w:val="bottom"/>
                  <w:hideMark/>
                </w:tcPr>
                <w:p w14:paraId="3C165FEB"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-5,9</w:t>
                  </w:r>
                </w:p>
              </w:tc>
            </w:tr>
            <w:tr w:rsidR="00B8507A" w14:paraId="4A219BBF" w14:textId="77777777">
              <w:trPr>
                <w:trHeight w:val="255"/>
                <w:jc w:val="center"/>
              </w:trPr>
              <w:tc>
                <w:tcPr>
                  <w:tcW w:w="3363" w:type="dxa"/>
                  <w:noWrap/>
                  <w:vAlign w:val="bottom"/>
                  <w:hideMark/>
                </w:tcPr>
                <w:p w14:paraId="2E43C122"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Rakousko</w:t>
                  </w:r>
                </w:p>
              </w:tc>
              <w:tc>
                <w:tcPr>
                  <w:tcW w:w="700" w:type="dxa"/>
                  <w:noWrap/>
                  <w:vAlign w:val="bottom"/>
                  <w:hideMark/>
                </w:tcPr>
                <w:p w14:paraId="785503F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-4,7</w:t>
                  </w:r>
                </w:p>
              </w:tc>
              <w:tc>
                <w:tcPr>
                  <w:tcW w:w="700" w:type="dxa"/>
                  <w:noWrap/>
                  <w:vAlign w:val="bottom"/>
                  <w:hideMark/>
                </w:tcPr>
                <w:p w14:paraId="70856FDE"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-9,5</w:t>
                  </w:r>
                </w:p>
              </w:tc>
            </w:tr>
            <w:tr w:rsidR="00B8507A" w14:paraId="5E120D10" w14:textId="77777777">
              <w:trPr>
                <w:trHeight w:val="255"/>
                <w:jc w:val="center"/>
              </w:trPr>
              <w:tc>
                <w:tcPr>
                  <w:tcW w:w="3363" w:type="dxa"/>
                  <w:noWrap/>
                  <w:vAlign w:val="bottom"/>
                  <w:hideMark/>
                </w:tcPr>
                <w:p w14:paraId="0660D139"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Nizozemsko</w:t>
                  </w:r>
                </w:p>
              </w:tc>
              <w:tc>
                <w:tcPr>
                  <w:tcW w:w="700" w:type="dxa"/>
                  <w:noWrap/>
                  <w:vAlign w:val="bottom"/>
                  <w:hideMark/>
                </w:tcPr>
                <w:p w14:paraId="4B471B3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-5,1</w:t>
                  </w:r>
                </w:p>
              </w:tc>
              <w:tc>
                <w:tcPr>
                  <w:tcW w:w="700" w:type="dxa"/>
                  <w:noWrap/>
                  <w:vAlign w:val="bottom"/>
                  <w:hideMark/>
                </w:tcPr>
                <w:p w14:paraId="01EC374C"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-12,7</w:t>
                  </w:r>
                </w:p>
              </w:tc>
            </w:tr>
            <w:tr w:rsidR="00B8507A" w14:paraId="12776B3E" w14:textId="77777777">
              <w:trPr>
                <w:trHeight w:val="255"/>
                <w:jc w:val="center"/>
              </w:trPr>
              <w:tc>
                <w:tcPr>
                  <w:tcW w:w="3363" w:type="dxa"/>
                  <w:noWrap/>
                  <w:vAlign w:val="bottom"/>
                  <w:hideMark/>
                </w:tcPr>
                <w:p w14:paraId="758C1054"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Německo</w:t>
                  </w:r>
                </w:p>
              </w:tc>
              <w:tc>
                <w:tcPr>
                  <w:tcW w:w="700" w:type="dxa"/>
                  <w:noWrap/>
                  <w:vAlign w:val="bottom"/>
                  <w:hideMark/>
                </w:tcPr>
                <w:p w14:paraId="195B5E7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-25,6</w:t>
                  </w:r>
                </w:p>
              </w:tc>
              <w:tc>
                <w:tcPr>
                  <w:tcW w:w="700" w:type="dxa"/>
                  <w:noWrap/>
                  <w:vAlign w:val="bottom"/>
                  <w:hideMark/>
                </w:tcPr>
                <w:p w14:paraId="614440D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-7,0</w:t>
                  </w:r>
                </w:p>
              </w:tc>
            </w:tr>
          </w:tbl>
          <w:p w14:paraId="0A59F0C9" w14:textId="77777777" w:rsidR="00B8507A" w:rsidRDefault="00B8507A">
            <w:pPr>
              <w:spacing w:after="0"/>
              <w:rPr>
                <w:spacing w:val="-4"/>
                <w:lang w:eastAsia="en-US"/>
              </w:rPr>
            </w:pPr>
          </w:p>
        </w:tc>
      </w:tr>
      <w:tr w:rsidR="00B8507A" w14:paraId="504E8D4E" w14:textId="77777777" w:rsidTr="00B8507A">
        <w:trPr>
          <w:trHeight w:val="170"/>
        </w:trPr>
        <w:tc>
          <w:tcPr>
            <w:tcW w:w="4811" w:type="dxa"/>
            <w:gridSpan w:val="3"/>
            <w:hideMark/>
          </w:tcPr>
          <w:p w14:paraId="6A294502" w14:textId="77777777" w:rsidR="00B8507A" w:rsidRDefault="00B8507A">
            <w:pPr>
              <w:jc w:val="right"/>
              <w:rPr>
                <w:spacing w:val="-4"/>
                <w:sz w:val="16"/>
                <w:szCs w:val="16"/>
                <w:lang w:eastAsia="en-US"/>
              </w:rPr>
            </w:pPr>
            <w:r>
              <w:rPr>
                <w:spacing w:val="-4"/>
                <w:sz w:val="16"/>
                <w:szCs w:val="16"/>
                <w:lang w:eastAsia="en-US"/>
              </w:rPr>
              <w:t>Zdroj: ČSÚ</w:t>
            </w:r>
          </w:p>
        </w:tc>
        <w:tc>
          <w:tcPr>
            <w:tcW w:w="57" w:type="dxa"/>
          </w:tcPr>
          <w:p w14:paraId="4C494221" w14:textId="77777777" w:rsidR="00B8507A" w:rsidRDefault="00B8507A">
            <w:pPr>
              <w:spacing w:after="0"/>
              <w:rPr>
                <w:spacing w:val="-4"/>
                <w:lang w:eastAsia="en-US"/>
              </w:rPr>
            </w:pPr>
          </w:p>
        </w:tc>
        <w:tc>
          <w:tcPr>
            <w:tcW w:w="4809" w:type="dxa"/>
            <w:hideMark/>
          </w:tcPr>
          <w:p w14:paraId="317AD51D" w14:textId="77777777" w:rsidR="00B8507A" w:rsidRDefault="00B8507A">
            <w:pPr>
              <w:spacing w:after="0"/>
              <w:jc w:val="right"/>
              <w:rPr>
                <w:spacing w:val="-4"/>
                <w:lang w:eastAsia="en-US"/>
              </w:rPr>
            </w:pPr>
            <w:r>
              <w:rPr>
                <w:spacing w:val="-4"/>
                <w:sz w:val="16"/>
                <w:szCs w:val="16"/>
                <w:lang w:eastAsia="en-US"/>
              </w:rPr>
              <w:t>Zdroj: ČSÚ</w:t>
            </w:r>
          </w:p>
        </w:tc>
      </w:tr>
      <w:tr w:rsidR="00B8507A" w14:paraId="50E21B2F" w14:textId="77777777" w:rsidTr="00B8507A">
        <w:trPr>
          <w:trHeight w:val="145"/>
        </w:trPr>
        <w:tc>
          <w:tcPr>
            <w:tcW w:w="1748" w:type="dxa"/>
            <w:hideMark/>
          </w:tcPr>
          <w:p w14:paraId="708FC605" w14:textId="77777777" w:rsidR="00B8507A" w:rsidRDefault="00B8507A">
            <w:pPr>
              <w:pStyle w:val="Marginlie"/>
              <w:rPr>
                <w:lang w:eastAsia="en-US"/>
              </w:rPr>
            </w:pPr>
            <w:r>
              <w:rPr>
                <w:lang w:eastAsia="en-US"/>
              </w:rPr>
              <w:t>Klesal vývoz do zemí EU.</w:t>
            </w:r>
          </w:p>
        </w:tc>
        <w:tc>
          <w:tcPr>
            <w:tcW w:w="221" w:type="dxa"/>
          </w:tcPr>
          <w:p w14:paraId="56ACA21B" w14:textId="77777777" w:rsidR="00B8507A" w:rsidRDefault="00B8507A">
            <w:pPr>
              <w:pStyle w:val="Textpoznpodarou"/>
              <w:jc w:val="both"/>
              <w:rPr>
                <w:spacing w:val="-4"/>
                <w:lang w:eastAsia="en-US"/>
              </w:rPr>
            </w:pPr>
          </w:p>
        </w:tc>
        <w:tc>
          <w:tcPr>
            <w:tcW w:w="7708" w:type="dxa"/>
            <w:gridSpan w:val="3"/>
            <w:hideMark/>
          </w:tcPr>
          <w:p w14:paraId="37D3BC0D" w14:textId="77777777" w:rsidR="00B8507A" w:rsidRDefault="00B8507A">
            <w:pPr>
              <w:spacing w:after="180"/>
              <w:rPr>
                <w:spacing w:val="-4"/>
                <w:lang w:eastAsia="en-US"/>
              </w:rPr>
            </w:pPr>
            <w:r>
              <w:rPr>
                <w:spacing w:val="-4"/>
                <w:lang w:eastAsia="en-US"/>
              </w:rPr>
              <w:t xml:space="preserve">Zhoršení situace domácích průmyslových exportérů v 1. čtvrtletí dokládá i meziroční pokles vývozu do zemí EU (−26,1 mld. korun, −2,8 %). Naproti tomu export do mimounijních zemí byl meziročně vyšší o 31,1 mld. korun (14,4 %). Jak je patrné z tabulky č. 2, k nárůstu celkové hodnoty vývozu nejvíce přispíval export do Velké Británie, Polska a Japonska. Významné byly také přírůstky v případě Itálie, Turecka, Spojených států amerických </w:t>
            </w:r>
            <w:r>
              <w:rPr>
                <w:lang w:eastAsia="en-US"/>
              </w:rPr>
              <w:t>a Maďarska</w:t>
            </w:r>
            <w:r>
              <w:rPr>
                <w:spacing w:val="-4"/>
                <w:lang w:eastAsia="en-US"/>
              </w:rPr>
              <w:t xml:space="preserve">. Relativně velké zvýšení vývozu ve srovnání s vývojem v uplynulých třech letech bylo v 1. kvartálu zaznamenáno také v případě Číny. Nejvíce se v 1. čtvrtletí meziročně propadla hodnota exportu do Německa, což také značně ovlivnilo celkový výsledek vývozu do EU. Kromě vlivu klesajících cen elektřiny se na vývozu k našemu největšímu sousedu projevilo také zpomalení v mnoha exportně důležitých odvětvích s výjimkou motorových vozidel. Významně ve směru celkového poklesu vývozu působil také export do Nizozemska, Rakouska, Francie, na Slovensko, do Švédska nebo Izraele. </w:t>
            </w:r>
          </w:p>
        </w:tc>
      </w:tr>
      <w:tr w:rsidR="00B8507A" w14:paraId="62C9BE40" w14:textId="77777777" w:rsidTr="00B8507A">
        <w:trPr>
          <w:trHeight w:val="145"/>
        </w:trPr>
        <w:tc>
          <w:tcPr>
            <w:tcW w:w="1748" w:type="dxa"/>
            <w:hideMark/>
          </w:tcPr>
          <w:p w14:paraId="0D39B976" w14:textId="77777777" w:rsidR="00B8507A" w:rsidRDefault="00B8507A">
            <w:pPr>
              <w:pStyle w:val="Marginlie"/>
              <w:rPr>
                <w:lang w:eastAsia="en-US"/>
              </w:rPr>
            </w:pPr>
            <w:r>
              <w:rPr>
                <w:lang w:eastAsia="en-US"/>
              </w:rPr>
              <w:t>Pokračoval růst vývozu motorových vozidel.</w:t>
            </w:r>
          </w:p>
        </w:tc>
        <w:tc>
          <w:tcPr>
            <w:tcW w:w="221" w:type="dxa"/>
          </w:tcPr>
          <w:p w14:paraId="7A8CA01B" w14:textId="77777777" w:rsidR="00B8507A" w:rsidRDefault="00B8507A">
            <w:pPr>
              <w:pStyle w:val="Textpoznpodarou"/>
              <w:jc w:val="both"/>
              <w:rPr>
                <w:spacing w:val="-4"/>
                <w:lang w:eastAsia="en-US"/>
              </w:rPr>
            </w:pPr>
          </w:p>
        </w:tc>
        <w:tc>
          <w:tcPr>
            <w:tcW w:w="7708" w:type="dxa"/>
            <w:gridSpan w:val="3"/>
            <w:hideMark/>
          </w:tcPr>
          <w:p w14:paraId="7FE72D82" w14:textId="77777777" w:rsidR="00B8507A" w:rsidRDefault="00B8507A">
            <w:pPr>
              <w:spacing w:after="180"/>
              <w:rPr>
                <w:spacing w:val="-4"/>
                <w:lang w:eastAsia="en-US"/>
              </w:rPr>
            </w:pPr>
            <w:r>
              <w:rPr>
                <w:spacing w:val="-4"/>
                <w:lang w:eastAsia="en-US"/>
              </w:rPr>
              <w:t xml:space="preserve">Z hlediska zbožové struktury působila ve směru růstu hodnoty vývozu v 1. čtvrtletí nejvíce motorová vozidla (viz Tabulka č. 1). Ta tak navázala na vývoj v loňském roce, kdy růst jejich vývozu z velké části vyvažoval pokles u mnoha ostatních druhů zboží. Významný meziroční přírůstek měl v 1. čtvrtletí také export počítačů, elektronických a optických přístrojů, potravinářských výrobků, ostatních výrobků zpracovatelského průmyslu nebo sběr, příprava, likvidace a zpracování odpadu. Nadále výrazně meziročně klesal vývoz elektřiny, plynu, páry </w:t>
            </w:r>
            <w:r>
              <w:rPr>
                <w:spacing w:val="-4"/>
                <w:lang w:eastAsia="en-US"/>
              </w:rPr>
              <w:lastRenderedPageBreak/>
              <w:t xml:space="preserve">a klimatizovaného vzduchu, prohloubil se pokles u strojů a zařízení, přetrvávalo meziroční snížení vývozu základních kovů a klesl export elektrických zařízení. Snížení bylo zaznamenáno také u vývozu nábytku, produktů lesnictví a těžby dřeva, dřeva a výrobků z něj, textilií nebo ostatních nekovových minerálních výrobků.    </w:t>
            </w:r>
          </w:p>
        </w:tc>
      </w:tr>
      <w:tr w:rsidR="00B8507A" w14:paraId="69AC0939" w14:textId="77777777" w:rsidTr="00B8507A">
        <w:trPr>
          <w:trHeight w:val="145"/>
        </w:trPr>
        <w:tc>
          <w:tcPr>
            <w:tcW w:w="1748" w:type="dxa"/>
            <w:hideMark/>
          </w:tcPr>
          <w:p w14:paraId="709477FC" w14:textId="77777777" w:rsidR="00B8507A" w:rsidRDefault="00B8507A">
            <w:pPr>
              <w:pStyle w:val="Marginlie"/>
              <w:rPr>
                <w:lang w:eastAsia="en-US"/>
              </w:rPr>
            </w:pPr>
            <w:r>
              <w:rPr>
                <w:lang w:eastAsia="en-US"/>
              </w:rPr>
              <w:lastRenderedPageBreak/>
              <w:t>Dovoz zboží se meziročně propadl.</w:t>
            </w:r>
          </w:p>
        </w:tc>
        <w:tc>
          <w:tcPr>
            <w:tcW w:w="221" w:type="dxa"/>
          </w:tcPr>
          <w:p w14:paraId="0ACBFD7B" w14:textId="77777777" w:rsidR="00B8507A" w:rsidRDefault="00B8507A">
            <w:pPr>
              <w:pStyle w:val="Textpoznpodarou"/>
              <w:jc w:val="both"/>
              <w:rPr>
                <w:spacing w:val="-4"/>
                <w:lang w:eastAsia="en-US"/>
              </w:rPr>
            </w:pPr>
          </w:p>
        </w:tc>
        <w:tc>
          <w:tcPr>
            <w:tcW w:w="7708" w:type="dxa"/>
            <w:gridSpan w:val="3"/>
            <w:hideMark/>
          </w:tcPr>
          <w:p w14:paraId="4EC7FFC5" w14:textId="77777777" w:rsidR="00B8507A" w:rsidRDefault="00B8507A">
            <w:pPr>
              <w:spacing w:after="180"/>
              <w:rPr>
                <w:spacing w:val="-4"/>
                <w:lang w:eastAsia="en-US"/>
              </w:rPr>
            </w:pPr>
            <w:r>
              <w:rPr>
                <w:spacing w:val="-4"/>
                <w:lang w:eastAsia="en-US"/>
              </w:rPr>
              <w:t>Hodnota dovozu zboží v 1. čtvrtletí 2024 meziročně klesla o 39,1 mld. korun (−3,5 %) na 1 079,5 mld. Import v běžných cenách se meziročně snížil počtvrté v řadě. Kromě poklesu cen dovážených surovin</w:t>
            </w:r>
            <w:r>
              <w:rPr>
                <w:rStyle w:val="Znakapoznpodarou"/>
                <w:spacing w:val="-4"/>
                <w:lang w:eastAsia="en-US"/>
              </w:rPr>
              <w:footnoteReference w:id="43"/>
            </w:r>
            <w:r>
              <w:rPr>
                <w:spacing w:val="-4"/>
                <w:lang w:eastAsia="en-US"/>
              </w:rPr>
              <w:t xml:space="preserve"> se ale projevilo také snížení hodnoty dovozu zboží, které odebírá domácí průmysl. Sezónně očištěné údaje ukázaly v 1. čtvrtletí poměrně výrazný mezičtvrtletní nárůst importu o 4,6 %. Meziročně se snížil dovoz ze zemí EU (−16,0 mld. korun, −2,3 %) i ze států mimo Unii (−25,2 mld., −6,1 %). Největší pokles (viz Tabulka č. 4) byl zaznamenán u dovozu z Číny (třetí propad v řadě), kde došlo k výraznému snížení dovozu elektrických zařízení, a dále u Norska, kde se projevil pokles cen zemního plynu. Snížení bylo významné také v případě dovozu z Jižní Koreje, Německa, Rakouska, Polska, Velké Británie, Itálie, Japonska nebo Slovenska. Meziročně klesal dovoz z většiny sledovaných zemí a mezi několik výjimek patřilo Rusko, Tchaj-wan, Spojené státy americké, Malajsie nebo Kazachstán</w:t>
            </w:r>
            <w:r>
              <w:rPr>
                <w:rStyle w:val="Znakapoznpodarou"/>
                <w:spacing w:val="-4"/>
                <w:lang w:eastAsia="en-US"/>
              </w:rPr>
              <w:footnoteReference w:id="44"/>
            </w:r>
            <w:r>
              <w:rPr>
                <w:spacing w:val="-4"/>
                <w:lang w:eastAsia="en-US"/>
              </w:rPr>
              <w:t xml:space="preserve">. </w:t>
            </w:r>
          </w:p>
        </w:tc>
      </w:tr>
      <w:tr w:rsidR="00B8507A" w14:paraId="4A6857C6" w14:textId="77777777" w:rsidTr="00B8507A">
        <w:trPr>
          <w:trHeight w:val="170"/>
        </w:trPr>
        <w:tc>
          <w:tcPr>
            <w:tcW w:w="4811" w:type="dxa"/>
            <w:gridSpan w:val="3"/>
            <w:hideMark/>
          </w:tcPr>
          <w:p w14:paraId="07EAB5B0" w14:textId="77777777" w:rsidR="00B8507A" w:rsidRDefault="00B8507A">
            <w:pPr>
              <w:spacing w:after="0"/>
              <w:jc w:val="left"/>
              <w:rPr>
                <w:rFonts w:cs="Arial"/>
                <w:b/>
                <w:bCs/>
                <w:color w:val="000000"/>
                <w:sz w:val="18"/>
                <w:szCs w:val="18"/>
                <w:lang w:eastAsia="en-US"/>
              </w:rPr>
            </w:pPr>
            <w:r>
              <w:rPr>
                <w:rFonts w:cs="Arial"/>
                <w:b/>
                <w:bCs/>
                <w:color w:val="000000"/>
                <w:sz w:val="18"/>
                <w:szCs w:val="18"/>
                <w:lang w:eastAsia="en-US"/>
              </w:rPr>
              <w:t xml:space="preserve">Tabulka č. 3 Oddíly klasifikace CPA s největším </w:t>
            </w:r>
          </w:p>
          <w:p w14:paraId="5248DC94" w14:textId="77777777" w:rsidR="00B8507A" w:rsidRDefault="00B8507A">
            <w:pPr>
              <w:spacing w:after="0"/>
              <w:rPr>
                <w:spacing w:val="-4"/>
                <w:lang w:eastAsia="en-US"/>
              </w:rPr>
            </w:pPr>
            <w:r>
              <w:rPr>
                <w:rFonts w:cs="Arial"/>
                <w:b/>
                <w:bCs/>
                <w:color w:val="000000"/>
                <w:sz w:val="18"/>
                <w:szCs w:val="18"/>
                <w:lang w:eastAsia="en-US"/>
              </w:rPr>
              <w:t xml:space="preserve">vlivem na vývoj dovozu zboží v 1. čtvrtletí 2024 </w:t>
            </w:r>
            <w:r>
              <w:rPr>
                <w:rFonts w:cs="Arial"/>
                <w:bCs/>
                <w:color w:val="000000"/>
                <w:sz w:val="18"/>
                <w:szCs w:val="18"/>
                <w:lang w:eastAsia="en-US"/>
              </w:rPr>
              <w:t>(meziročně)</w:t>
            </w:r>
          </w:p>
        </w:tc>
        <w:tc>
          <w:tcPr>
            <w:tcW w:w="57" w:type="dxa"/>
          </w:tcPr>
          <w:p w14:paraId="50430A15" w14:textId="77777777" w:rsidR="00B8507A" w:rsidRDefault="00B8507A">
            <w:pPr>
              <w:spacing w:after="0"/>
              <w:rPr>
                <w:spacing w:val="-4"/>
                <w:lang w:eastAsia="en-US"/>
              </w:rPr>
            </w:pPr>
          </w:p>
        </w:tc>
        <w:tc>
          <w:tcPr>
            <w:tcW w:w="4809" w:type="dxa"/>
            <w:hideMark/>
          </w:tcPr>
          <w:p w14:paraId="36E6AC2F" w14:textId="77777777" w:rsidR="00B8507A" w:rsidRDefault="00B8507A">
            <w:pPr>
              <w:spacing w:after="0"/>
              <w:jc w:val="left"/>
              <w:rPr>
                <w:spacing w:val="-4"/>
                <w:sz w:val="18"/>
                <w:szCs w:val="18"/>
                <w:lang w:eastAsia="en-US"/>
              </w:rPr>
            </w:pPr>
            <w:r>
              <w:rPr>
                <w:rFonts w:cs="Arial"/>
                <w:b/>
                <w:bCs/>
                <w:color w:val="000000"/>
                <w:sz w:val="18"/>
                <w:szCs w:val="18"/>
                <w:lang w:eastAsia="en-US"/>
              </w:rPr>
              <w:t xml:space="preserve">Tabulka č. 4 Země s největším vlivem na vývoj dovozu zboží v 1. čtvrtletí 2024 </w:t>
            </w:r>
            <w:r>
              <w:rPr>
                <w:rFonts w:cs="Arial"/>
                <w:bCs/>
                <w:color w:val="000000"/>
                <w:sz w:val="18"/>
                <w:szCs w:val="18"/>
                <w:lang w:eastAsia="en-US"/>
              </w:rPr>
              <w:t>(meziročně)</w:t>
            </w:r>
          </w:p>
        </w:tc>
      </w:tr>
      <w:tr w:rsidR="00B8507A" w14:paraId="150A2DD9" w14:textId="77777777" w:rsidTr="00B8507A">
        <w:trPr>
          <w:trHeight w:val="170"/>
        </w:trPr>
        <w:tc>
          <w:tcPr>
            <w:tcW w:w="4811" w:type="dxa"/>
            <w:gridSpan w:val="3"/>
            <w:hideMark/>
          </w:tcPr>
          <w:tbl>
            <w:tblPr>
              <w:tblW w:w="0" w:type="dxa"/>
              <w:tblLayout w:type="fixed"/>
              <w:tblCellMar>
                <w:left w:w="0" w:type="dxa"/>
                <w:right w:w="70" w:type="dxa"/>
              </w:tblCellMar>
              <w:tblLook w:val="04A0" w:firstRow="1" w:lastRow="0" w:firstColumn="1" w:lastColumn="0" w:noHBand="0" w:noVBand="1"/>
            </w:tblPr>
            <w:tblGrid>
              <w:gridCol w:w="3414"/>
              <w:gridCol w:w="700"/>
              <w:gridCol w:w="700"/>
            </w:tblGrid>
            <w:tr w:rsidR="00B8507A" w14:paraId="3822F0B8" w14:textId="77777777">
              <w:trPr>
                <w:trHeight w:val="255"/>
              </w:trPr>
              <w:tc>
                <w:tcPr>
                  <w:tcW w:w="3414" w:type="dxa"/>
                  <w:tcBorders>
                    <w:top w:val="nil"/>
                    <w:left w:val="nil"/>
                    <w:bottom w:val="single" w:sz="4" w:space="0" w:color="auto"/>
                    <w:right w:val="nil"/>
                  </w:tcBorders>
                  <w:noWrap/>
                  <w:vAlign w:val="bottom"/>
                  <w:hideMark/>
                </w:tcPr>
                <w:p w14:paraId="1FFC1276"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 </w:t>
                  </w:r>
                </w:p>
              </w:tc>
              <w:tc>
                <w:tcPr>
                  <w:tcW w:w="700" w:type="dxa"/>
                  <w:tcBorders>
                    <w:top w:val="nil"/>
                    <w:left w:val="nil"/>
                    <w:bottom w:val="single" w:sz="4" w:space="0" w:color="auto"/>
                    <w:right w:val="nil"/>
                  </w:tcBorders>
                  <w:noWrap/>
                  <w:vAlign w:val="bottom"/>
                  <w:hideMark/>
                </w:tcPr>
                <w:p w14:paraId="245CEFF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mld. Kč</w:t>
                  </w:r>
                </w:p>
              </w:tc>
              <w:tc>
                <w:tcPr>
                  <w:tcW w:w="700" w:type="dxa"/>
                  <w:tcBorders>
                    <w:top w:val="nil"/>
                    <w:left w:val="nil"/>
                    <w:bottom w:val="single" w:sz="4" w:space="0" w:color="auto"/>
                    <w:right w:val="nil"/>
                  </w:tcBorders>
                  <w:noWrap/>
                  <w:vAlign w:val="bottom"/>
                  <w:hideMark/>
                </w:tcPr>
                <w:p w14:paraId="1C6DB76F"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w:t>
                  </w:r>
                </w:p>
              </w:tc>
            </w:tr>
            <w:tr w:rsidR="00B8507A" w14:paraId="3689A441" w14:textId="77777777">
              <w:trPr>
                <w:trHeight w:val="255"/>
              </w:trPr>
              <w:tc>
                <w:tcPr>
                  <w:tcW w:w="3414" w:type="dxa"/>
                  <w:noWrap/>
                  <w:vAlign w:val="bottom"/>
                  <w:hideMark/>
                </w:tcPr>
                <w:p w14:paraId="2F79A30E"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Motorová vozidla (kromě motocyklů) a díly</w:t>
                  </w:r>
                </w:p>
              </w:tc>
              <w:tc>
                <w:tcPr>
                  <w:tcW w:w="700" w:type="dxa"/>
                  <w:noWrap/>
                  <w:vAlign w:val="bottom"/>
                  <w:hideMark/>
                </w:tcPr>
                <w:p w14:paraId="68710C40"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+7,9</w:t>
                  </w:r>
                </w:p>
              </w:tc>
              <w:tc>
                <w:tcPr>
                  <w:tcW w:w="700" w:type="dxa"/>
                  <w:noWrap/>
                  <w:vAlign w:val="bottom"/>
                  <w:hideMark/>
                </w:tcPr>
                <w:p w14:paraId="53EFEDFB"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+4,8</w:t>
                  </w:r>
                </w:p>
              </w:tc>
            </w:tr>
            <w:tr w:rsidR="00B8507A" w14:paraId="10F8733A" w14:textId="77777777">
              <w:trPr>
                <w:trHeight w:val="255"/>
              </w:trPr>
              <w:tc>
                <w:tcPr>
                  <w:tcW w:w="3414" w:type="dxa"/>
                  <w:noWrap/>
                  <w:vAlign w:val="bottom"/>
                  <w:hideMark/>
                </w:tcPr>
                <w:p w14:paraId="596F24EF"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 xml:space="preserve">Počítače, elektronické a optické přístroje </w:t>
                  </w:r>
                  <w:r>
                    <w:rPr>
                      <w:rFonts w:cs="Arial"/>
                      <w:color w:val="000000"/>
                      <w:sz w:val="16"/>
                      <w:szCs w:val="16"/>
                      <w:lang w:eastAsia="en-US"/>
                    </w:rPr>
                    <w:br/>
                    <w:t>a zařízení</w:t>
                  </w:r>
                </w:p>
              </w:tc>
              <w:tc>
                <w:tcPr>
                  <w:tcW w:w="700" w:type="dxa"/>
                  <w:noWrap/>
                  <w:vAlign w:val="bottom"/>
                  <w:hideMark/>
                </w:tcPr>
                <w:p w14:paraId="17E8BE1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+7,5</w:t>
                  </w:r>
                </w:p>
              </w:tc>
              <w:tc>
                <w:tcPr>
                  <w:tcW w:w="700" w:type="dxa"/>
                  <w:noWrap/>
                  <w:vAlign w:val="bottom"/>
                  <w:hideMark/>
                </w:tcPr>
                <w:p w14:paraId="56D05277"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+6,4</w:t>
                  </w:r>
                </w:p>
              </w:tc>
            </w:tr>
            <w:tr w:rsidR="00B8507A" w14:paraId="4A23C59C" w14:textId="77777777">
              <w:trPr>
                <w:trHeight w:val="255"/>
              </w:trPr>
              <w:tc>
                <w:tcPr>
                  <w:tcW w:w="3414" w:type="dxa"/>
                  <w:noWrap/>
                  <w:vAlign w:val="bottom"/>
                  <w:hideMark/>
                </w:tcPr>
                <w:p w14:paraId="2669434D"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Potravinářské výrobky</w:t>
                  </w:r>
                </w:p>
              </w:tc>
              <w:tc>
                <w:tcPr>
                  <w:tcW w:w="700" w:type="dxa"/>
                  <w:noWrap/>
                  <w:vAlign w:val="bottom"/>
                  <w:hideMark/>
                </w:tcPr>
                <w:p w14:paraId="2F47A28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+4,2</w:t>
                  </w:r>
                </w:p>
              </w:tc>
              <w:tc>
                <w:tcPr>
                  <w:tcW w:w="700" w:type="dxa"/>
                  <w:noWrap/>
                  <w:vAlign w:val="bottom"/>
                  <w:hideMark/>
                </w:tcPr>
                <w:p w14:paraId="6A33392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+7,8</w:t>
                  </w:r>
                </w:p>
              </w:tc>
            </w:tr>
            <w:tr w:rsidR="00B8507A" w14:paraId="196A14AB" w14:textId="77777777">
              <w:trPr>
                <w:trHeight w:val="255"/>
              </w:trPr>
              <w:tc>
                <w:tcPr>
                  <w:tcW w:w="3414" w:type="dxa"/>
                  <w:noWrap/>
                  <w:vAlign w:val="bottom"/>
                  <w:hideMark/>
                </w:tcPr>
                <w:p w14:paraId="5960DFF7"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Koks a rafinované ropné produkty</w:t>
                  </w:r>
                </w:p>
              </w:tc>
              <w:tc>
                <w:tcPr>
                  <w:tcW w:w="700" w:type="dxa"/>
                  <w:noWrap/>
                  <w:vAlign w:val="bottom"/>
                  <w:hideMark/>
                </w:tcPr>
                <w:p w14:paraId="747CEEF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+2,2</w:t>
                  </w:r>
                </w:p>
              </w:tc>
              <w:tc>
                <w:tcPr>
                  <w:tcW w:w="700" w:type="dxa"/>
                  <w:noWrap/>
                  <w:vAlign w:val="bottom"/>
                  <w:hideMark/>
                </w:tcPr>
                <w:p w14:paraId="77E7F9E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+10,2</w:t>
                  </w:r>
                </w:p>
              </w:tc>
            </w:tr>
            <w:tr w:rsidR="00B8507A" w14:paraId="6673B319" w14:textId="77777777">
              <w:trPr>
                <w:trHeight w:val="255"/>
              </w:trPr>
              <w:tc>
                <w:tcPr>
                  <w:tcW w:w="3414" w:type="dxa"/>
                  <w:noWrap/>
                  <w:vAlign w:val="bottom"/>
                  <w:hideMark/>
                </w:tcPr>
                <w:p w14:paraId="15A79534"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Produkty zemědělství a myslivosti</w:t>
                  </w:r>
                </w:p>
              </w:tc>
              <w:tc>
                <w:tcPr>
                  <w:tcW w:w="700" w:type="dxa"/>
                  <w:noWrap/>
                  <w:vAlign w:val="bottom"/>
                  <w:hideMark/>
                </w:tcPr>
                <w:p w14:paraId="59139E6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+0,8</w:t>
                  </w:r>
                </w:p>
              </w:tc>
              <w:tc>
                <w:tcPr>
                  <w:tcW w:w="700" w:type="dxa"/>
                  <w:noWrap/>
                  <w:vAlign w:val="bottom"/>
                  <w:hideMark/>
                </w:tcPr>
                <w:p w14:paraId="60B04C80"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+4,3</w:t>
                  </w:r>
                </w:p>
              </w:tc>
            </w:tr>
            <w:tr w:rsidR="00B8507A" w14:paraId="4407F629" w14:textId="77777777">
              <w:trPr>
                <w:trHeight w:val="255"/>
              </w:trPr>
              <w:tc>
                <w:tcPr>
                  <w:tcW w:w="3414" w:type="dxa"/>
                  <w:noWrap/>
                  <w:vAlign w:val="bottom"/>
                  <w:hideMark/>
                </w:tcPr>
                <w:p w14:paraId="7FAAB5CC"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Kovodělné výrobky</w:t>
                  </w:r>
                </w:p>
              </w:tc>
              <w:tc>
                <w:tcPr>
                  <w:tcW w:w="700" w:type="dxa"/>
                  <w:noWrap/>
                  <w:vAlign w:val="bottom"/>
                  <w:hideMark/>
                </w:tcPr>
                <w:p w14:paraId="530D4CA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-0,9</w:t>
                  </w:r>
                </w:p>
              </w:tc>
              <w:tc>
                <w:tcPr>
                  <w:tcW w:w="700" w:type="dxa"/>
                  <w:noWrap/>
                  <w:vAlign w:val="bottom"/>
                  <w:hideMark/>
                </w:tcPr>
                <w:p w14:paraId="40422165"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-1,8</w:t>
                  </w:r>
                </w:p>
              </w:tc>
            </w:tr>
            <w:tr w:rsidR="00B8507A" w14:paraId="6AF6EEA0" w14:textId="77777777">
              <w:trPr>
                <w:trHeight w:val="255"/>
              </w:trPr>
              <w:tc>
                <w:tcPr>
                  <w:tcW w:w="3414" w:type="dxa"/>
                  <w:noWrap/>
                  <w:vAlign w:val="bottom"/>
                  <w:hideMark/>
                </w:tcPr>
                <w:p w14:paraId="007B4DE7"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Oděvy</w:t>
                  </w:r>
                </w:p>
              </w:tc>
              <w:tc>
                <w:tcPr>
                  <w:tcW w:w="700" w:type="dxa"/>
                  <w:noWrap/>
                  <w:vAlign w:val="bottom"/>
                  <w:hideMark/>
                </w:tcPr>
                <w:p w14:paraId="1568439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-1,4</w:t>
                  </w:r>
                </w:p>
              </w:tc>
              <w:tc>
                <w:tcPr>
                  <w:tcW w:w="700" w:type="dxa"/>
                  <w:noWrap/>
                  <w:vAlign w:val="bottom"/>
                  <w:hideMark/>
                </w:tcPr>
                <w:p w14:paraId="5BF5422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-8,8</w:t>
                  </w:r>
                </w:p>
              </w:tc>
            </w:tr>
            <w:tr w:rsidR="00B8507A" w14:paraId="19580918" w14:textId="77777777">
              <w:trPr>
                <w:trHeight w:val="255"/>
              </w:trPr>
              <w:tc>
                <w:tcPr>
                  <w:tcW w:w="3414" w:type="dxa"/>
                  <w:noWrap/>
                  <w:vAlign w:val="bottom"/>
                  <w:hideMark/>
                </w:tcPr>
                <w:p w14:paraId="1E2D513C"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Ostatní dopravní prostředky a zařízení</w:t>
                  </w:r>
                </w:p>
              </w:tc>
              <w:tc>
                <w:tcPr>
                  <w:tcW w:w="700" w:type="dxa"/>
                  <w:noWrap/>
                  <w:vAlign w:val="bottom"/>
                  <w:hideMark/>
                </w:tcPr>
                <w:p w14:paraId="4B922DDB"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-1,4</w:t>
                  </w:r>
                </w:p>
              </w:tc>
              <w:tc>
                <w:tcPr>
                  <w:tcW w:w="700" w:type="dxa"/>
                  <w:noWrap/>
                  <w:vAlign w:val="bottom"/>
                  <w:hideMark/>
                </w:tcPr>
                <w:p w14:paraId="41F61A3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-9,0</w:t>
                  </w:r>
                </w:p>
              </w:tc>
            </w:tr>
            <w:tr w:rsidR="00B8507A" w14:paraId="48EAFD5C" w14:textId="77777777">
              <w:trPr>
                <w:trHeight w:val="255"/>
              </w:trPr>
              <w:tc>
                <w:tcPr>
                  <w:tcW w:w="3414" w:type="dxa"/>
                  <w:noWrap/>
                  <w:vAlign w:val="bottom"/>
                  <w:hideMark/>
                </w:tcPr>
                <w:p w14:paraId="6161AD24"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Rudy</w:t>
                  </w:r>
                </w:p>
              </w:tc>
              <w:tc>
                <w:tcPr>
                  <w:tcW w:w="700" w:type="dxa"/>
                  <w:noWrap/>
                  <w:vAlign w:val="bottom"/>
                  <w:hideMark/>
                </w:tcPr>
                <w:p w14:paraId="7B3C2C98"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-1,8</w:t>
                  </w:r>
                </w:p>
              </w:tc>
              <w:tc>
                <w:tcPr>
                  <w:tcW w:w="700" w:type="dxa"/>
                  <w:noWrap/>
                  <w:vAlign w:val="bottom"/>
                  <w:hideMark/>
                </w:tcPr>
                <w:p w14:paraId="4E87C05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-40,8</w:t>
                  </w:r>
                </w:p>
              </w:tc>
            </w:tr>
            <w:tr w:rsidR="00B8507A" w14:paraId="78DB076E" w14:textId="77777777">
              <w:trPr>
                <w:trHeight w:val="255"/>
              </w:trPr>
              <w:tc>
                <w:tcPr>
                  <w:tcW w:w="3414" w:type="dxa"/>
                  <w:noWrap/>
                  <w:vAlign w:val="bottom"/>
                  <w:hideMark/>
                </w:tcPr>
                <w:p w14:paraId="7A0682E4"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Elektřina, plyn, pára a klimatizovaný vzduch</w:t>
                  </w:r>
                </w:p>
              </w:tc>
              <w:tc>
                <w:tcPr>
                  <w:tcW w:w="700" w:type="dxa"/>
                  <w:noWrap/>
                  <w:vAlign w:val="bottom"/>
                  <w:hideMark/>
                </w:tcPr>
                <w:p w14:paraId="66D8682D"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-2,1</w:t>
                  </w:r>
                </w:p>
              </w:tc>
              <w:tc>
                <w:tcPr>
                  <w:tcW w:w="700" w:type="dxa"/>
                  <w:noWrap/>
                  <w:vAlign w:val="bottom"/>
                  <w:hideMark/>
                </w:tcPr>
                <w:p w14:paraId="1721703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-34,3</w:t>
                  </w:r>
                </w:p>
              </w:tc>
            </w:tr>
            <w:tr w:rsidR="00B8507A" w14:paraId="4E479950" w14:textId="77777777">
              <w:trPr>
                <w:trHeight w:val="255"/>
              </w:trPr>
              <w:tc>
                <w:tcPr>
                  <w:tcW w:w="3414" w:type="dxa"/>
                  <w:noWrap/>
                  <w:vAlign w:val="bottom"/>
                  <w:hideMark/>
                </w:tcPr>
                <w:p w14:paraId="05B9072B"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Černé a hnědé uhlí a lignit</w:t>
                  </w:r>
                </w:p>
              </w:tc>
              <w:tc>
                <w:tcPr>
                  <w:tcW w:w="700" w:type="dxa"/>
                  <w:noWrap/>
                  <w:vAlign w:val="bottom"/>
                  <w:hideMark/>
                </w:tcPr>
                <w:p w14:paraId="2654A80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-4,1</w:t>
                  </w:r>
                </w:p>
              </w:tc>
              <w:tc>
                <w:tcPr>
                  <w:tcW w:w="700" w:type="dxa"/>
                  <w:noWrap/>
                  <w:vAlign w:val="bottom"/>
                  <w:hideMark/>
                </w:tcPr>
                <w:p w14:paraId="18BE0EB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-53,2</w:t>
                  </w:r>
                </w:p>
              </w:tc>
            </w:tr>
            <w:tr w:rsidR="00B8507A" w14:paraId="35687A02" w14:textId="77777777">
              <w:trPr>
                <w:trHeight w:val="255"/>
              </w:trPr>
              <w:tc>
                <w:tcPr>
                  <w:tcW w:w="3414" w:type="dxa"/>
                  <w:noWrap/>
                  <w:vAlign w:val="bottom"/>
                  <w:hideMark/>
                </w:tcPr>
                <w:p w14:paraId="2BD15E31"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Chemické látky a chemické přípravky</w:t>
                  </w:r>
                </w:p>
              </w:tc>
              <w:tc>
                <w:tcPr>
                  <w:tcW w:w="700" w:type="dxa"/>
                  <w:noWrap/>
                  <w:vAlign w:val="bottom"/>
                  <w:hideMark/>
                </w:tcPr>
                <w:p w14:paraId="1A17464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-4,1</w:t>
                  </w:r>
                </w:p>
              </w:tc>
              <w:tc>
                <w:tcPr>
                  <w:tcW w:w="700" w:type="dxa"/>
                  <w:noWrap/>
                  <w:vAlign w:val="bottom"/>
                  <w:hideMark/>
                </w:tcPr>
                <w:p w14:paraId="09EF1E4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-4,6</w:t>
                  </w:r>
                </w:p>
              </w:tc>
            </w:tr>
            <w:tr w:rsidR="00B8507A" w14:paraId="5CB5B393" w14:textId="77777777">
              <w:trPr>
                <w:trHeight w:val="255"/>
              </w:trPr>
              <w:tc>
                <w:tcPr>
                  <w:tcW w:w="3414" w:type="dxa"/>
                  <w:noWrap/>
                  <w:vAlign w:val="bottom"/>
                  <w:hideMark/>
                </w:tcPr>
                <w:p w14:paraId="041D62C4"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Základní kovy</w:t>
                  </w:r>
                </w:p>
              </w:tc>
              <w:tc>
                <w:tcPr>
                  <w:tcW w:w="700" w:type="dxa"/>
                  <w:noWrap/>
                  <w:vAlign w:val="bottom"/>
                  <w:hideMark/>
                </w:tcPr>
                <w:p w14:paraId="7662A9F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-9,4</w:t>
                  </w:r>
                </w:p>
              </w:tc>
              <w:tc>
                <w:tcPr>
                  <w:tcW w:w="700" w:type="dxa"/>
                  <w:noWrap/>
                  <w:vAlign w:val="bottom"/>
                  <w:hideMark/>
                </w:tcPr>
                <w:p w14:paraId="421FE58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-10,4</w:t>
                  </w:r>
                </w:p>
              </w:tc>
            </w:tr>
            <w:tr w:rsidR="00B8507A" w14:paraId="047FEE6B" w14:textId="77777777">
              <w:trPr>
                <w:trHeight w:val="255"/>
              </w:trPr>
              <w:tc>
                <w:tcPr>
                  <w:tcW w:w="3414" w:type="dxa"/>
                  <w:noWrap/>
                  <w:vAlign w:val="bottom"/>
                  <w:hideMark/>
                </w:tcPr>
                <w:p w14:paraId="41B70371"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Stroje a zařízení</w:t>
                  </w:r>
                </w:p>
              </w:tc>
              <w:tc>
                <w:tcPr>
                  <w:tcW w:w="700" w:type="dxa"/>
                  <w:noWrap/>
                  <w:vAlign w:val="bottom"/>
                  <w:hideMark/>
                </w:tcPr>
                <w:p w14:paraId="250BD54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-11,7</w:t>
                  </w:r>
                </w:p>
              </w:tc>
              <w:tc>
                <w:tcPr>
                  <w:tcW w:w="700" w:type="dxa"/>
                  <w:noWrap/>
                  <w:vAlign w:val="bottom"/>
                  <w:hideMark/>
                </w:tcPr>
                <w:p w14:paraId="5200D1DD"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-11,0</w:t>
                  </w:r>
                </w:p>
              </w:tc>
            </w:tr>
            <w:tr w:rsidR="00B8507A" w14:paraId="2BD68F94" w14:textId="77777777">
              <w:trPr>
                <w:trHeight w:val="255"/>
              </w:trPr>
              <w:tc>
                <w:tcPr>
                  <w:tcW w:w="3414" w:type="dxa"/>
                  <w:noWrap/>
                  <w:vAlign w:val="bottom"/>
                  <w:hideMark/>
                </w:tcPr>
                <w:p w14:paraId="3AEA3E43"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Elektrická zařízení</w:t>
                  </w:r>
                </w:p>
              </w:tc>
              <w:tc>
                <w:tcPr>
                  <w:tcW w:w="700" w:type="dxa"/>
                  <w:noWrap/>
                  <w:vAlign w:val="bottom"/>
                  <w:hideMark/>
                </w:tcPr>
                <w:p w14:paraId="47635D7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-22,2</w:t>
                  </w:r>
                </w:p>
              </w:tc>
              <w:tc>
                <w:tcPr>
                  <w:tcW w:w="700" w:type="dxa"/>
                  <w:noWrap/>
                  <w:vAlign w:val="bottom"/>
                  <w:hideMark/>
                </w:tcPr>
                <w:p w14:paraId="4A048E5E"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-18,1</w:t>
                  </w:r>
                </w:p>
              </w:tc>
            </w:tr>
          </w:tbl>
          <w:p w14:paraId="614EFC07" w14:textId="77777777" w:rsidR="00B8507A" w:rsidRDefault="00B8507A">
            <w:pPr>
              <w:spacing w:after="0"/>
              <w:rPr>
                <w:spacing w:val="-4"/>
                <w:lang w:eastAsia="en-US"/>
              </w:rPr>
            </w:pPr>
          </w:p>
        </w:tc>
        <w:tc>
          <w:tcPr>
            <w:tcW w:w="57" w:type="dxa"/>
          </w:tcPr>
          <w:p w14:paraId="2E277B86" w14:textId="77777777" w:rsidR="00B8507A" w:rsidRDefault="00B8507A">
            <w:pPr>
              <w:spacing w:after="0"/>
              <w:rPr>
                <w:spacing w:val="-4"/>
                <w:lang w:eastAsia="en-US"/>
              </w:rPr>
            </w:pPr>
          </w:p>
        </w:tc>
        <w:tc>
          <w:tcPr>
            <w:tcW w:w="4809" w:type="dxa"/>
            <w:hideMark/>
          </w:tcPr>
          <w:tbl>
            <w:tblPr>
              <w:tblW w:w="0" w:type="dxa"/>
              <w:tblLayout w:type="fixed"/>
              <w:tblCellMar>
                <w:left w:w="70" w:type="dxa"/>
                <w:right w:w="70" w:type="dxa"/>
              </w:tblCellMar>
              <w:tblLook w:val="04A0" w:firstRow="1" w:lastRow="0" w:firstColumn="1" w:lastColumn="0" w:noHBand="0" w:noVBand="1"/>
            </w:tblPr>
            <w:tblGrid>
              <w:gridCol w:w="3363"/>
              <w:gridCol w:w="700"/>
              <w:gridCol w:w="700"/>
            </w:tblGrid>
            <w:tr w:rsidR="00B8507A" w14:paraId="0374C1BA" w14:textId="77777777">
              <w:trPr>
                <w:trHeight w:val="255"/>
              </w:trPr>
              <w:tc>
                <w:tcPr>
                  <w:tcW w:w="3363" w:type="dxa"/>
                  <w:tcBorders>
                    <w:top w:val="nil"/>
                    <w:left w:val="nil"/>
                    <w:bottom w:val="single" w:sz="4" w:space="0" w:color="auto"/>
                    <w:right w:val="nil"/>
                  </w:tcBorders>
                  <w:noWrap/>
                  <w:vAlign w:val="bottom"/>
                  <w:hideMark/>
                </w:tcPr>
                <w:p w14:paraId="3BBA9B7F" w14:textId="77777777" w:rsidR="00B8507A" w:rsidRDefault="00B8507A">
                  <w:pPr>
                    <w:spacing w:after="0" w:line="240" w:lineRule="auto"/>
                    <w:jc w:val="left"/>
                    <w:rPr>
                      <w:rFonts w:ascii="Calibri" w:hAnsi="Calibri" w:cs="Calibri"/>
                      <w:color w:val="000000"/>
                      <w:sz w:val="22"/>
                      <w:szCs w:val="22"/>
                      <w:lang w:eastAsia="en-US"/>
                    </w:rPr>
                  </w:pPr>
                  <w:r>
                    <w:rPr>
                      <w:rFonts w:ascii="Calibri" w:hAnsi="Calibri" w:cs="Calibri"/>
                      <w:color w:val="000000"/>
                      <w:sz w:val="22"/>
                      <w:szCs w:val="22"/>
                      <w:lang w:eastAsia="en-US"/>
                    </w:rPr>
                    <w:t> </w:t>
                  </w:r>
                </w:p>
              </w:tc>
              <w:tc>
                <w:tcPr>
                  <w:tcW w:w="700" w:type="dxa"/>
                  <w:tcBorders>
                    <w:top w:val="nil"/>
                    <w:left w:val="nil"/>
                    <w:bottom w:val="single" w:sz="4" w:space="0" w:color="auto"/>
                    <w:right w:val="nil"/>
                  </w:tcBorders>
                  <w:noWrap/>
                  <w:vAlign w:val="bottom"/>
                  <w:hideMark/>
                </w:tcPr>
                <w:p w14:paraId="00EC2C7C"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mld. Kč</w:t>
                  </w:r>
                </w:p>
              </w:tc>
              <w:tc>
                <w:tcPr>
                  <w:tcW w:w="700" w:type="dxa"/>
                  <w:tcBorders>
                    <w:top w:val="nil"/>
                    <w:left w:val="nil"/>
                    <w:bottom w:val="single" w:sz="4" w:space="0" w:color="auto"/>
                    <w:right w:val="nil"/>
                  </w:tcBorders>
                  <w:noWrap/>
                  <w:vAlign w:val="bottom"/>
                  <w:hideMark/>
                </w:tcPr>
                <w:p w14:paraId="7F734040"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w:t>
                  </w:r>
                </w:p>
              </w:tc>
            </w:tr>
            <w:tr w:rsidR="00B8507A" w14:paraId="7AE876D1" w14:textId="77777777">
              <w:trPr>
                <w:trHeight w:val="255"/>
              </w:trPr>
              <w:tc>
                <w:tcPr>
                  <w:tcW w:w="3363" w:type="dxa"/>
                  <w:noWrap/>
                  <w:vAlign w:val="bottom"/>
                  <w:hideMark/>
                </w:tcPr>
                <w:p w14:paraId="3138BFEF"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Rusko</w:t>
                  </w:r>
                </w:p>
              </w:tc>
              <w:tc>
                <w:tcPr>
                  <w:tcW w:w="700" w:type="dxa"/>
                  <w:noWrap/>
                  <w:vAlign w:val="bottom"/>
                  <w:hideMark/>
                </w:tcPr>
                <w:p w14:paraId="6927F29D"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+5,4</w:t>
                  </w:r>
                </w:p>
              </w:tc>
              <w:tc>
                <w:tcPr>
                  <w:tcW w:w="700" w:type="dxa"/>
                  <w:noWrap/>
                  <w:vAlign w:val="bottom"/>
                  <w:hideMark/>
                </w:tcPr>
                <w:p w14:paraId="3C93531E"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+37,0</w:t>
                  </w:r>
                </w:p>
              </w:tc>
            </w:tr>
            <w:tr w:rsidR="00B8507A" w14:paraId="6B2BEFFA" w14:textId="77777777">
              <w:trPr>
                <w:trHeight w:val="255"/>
              </w:trPr>
              <w:tc>
                <w:tcPr>
                  <w:tcW w:w="3363" w:type="dxa"/>
                  <w:noWrap/>
                  <w:vAlign w:val="bottom"/>
                  <w:hideMark/>
                </w:tcPr>
                <w:p w14:paraId="432336B9"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Tchaj-wan</w:t>
                  </w:r>
                </w:p>
              </w:tc>
              <w:tc>
                <w:tcPr>
                  <w:tcW w:w="700" w:type="dxa"/>
                  <w:noWrap/>
                  <w:vAlign w:val="bottom"/>
                  <w:hideMark/>
                </w:tcPr>
                <w:p w14:paraId="38F7285B"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+4,8</w:t>
                  </w:r>
                </w:p>
              </w:tc>
              <w:tc>
                <w:tcPr>
                  <w:tcW w:w="700" w:type="dxa"/>
                  <w:noWrap/>
                  <w:vAlign w:val="bottom"/>
                  <w:hideMark/>
                </w:tcPr>
                <w:p w14:paraId="7CD3FA08"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+65,6</w:t>
                  </w:r>
                </w:p>
              </w:tc>
            </w:tr>
            <w:tr w:rsidR="00B8507A" w14:paraId="4B383A98" w14:textId="77777777">
              <w:trPr>
                <w:trHeight w:val="255"/>
              </w:trPr>
              <w:tc>
                <w:tcPr>
                  <w:tcW w:w="3363" w:type="dxa"/>
                  <w:noWrap/>
                  <w:vAlign w:val="bottom"/>
                  <w:hideMark/>
                </w:tcPr>
                <w:p w14:paraId="0FA23964"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Spojené státy americké</w:t>
                  </w:r>
                </w:p>
              </w:tc>
              <w:tc>
                <w:tcPr>
                  <w:tcW w:w="700" w:type="dxa"/>
                  <w:noWrap/>
                  <w:vAlign w:val="bottom"/>
                  <w:hideMark/>
                </w:tcPr>
                <w:p w14:paraId="5D8076A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+3,0</w:t>
                  </w:r>
                </w:p>
              </w:tc>
              <w:tc>
                <w:tcPr>
                  <w:tcW w:w="700" w:type="dxa"/>
                  <w:noWrap/>
                  <w:vAlign w:val="bottom"/>
                  <w:hideMark/>
                </w:tcPr>
                <w:p w14:paraId="245425BB"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+10,2</w:t>
                  </w:r>
                </w:p>
              </w:tc>
            </w:tr>
            <w:tr w:rsidR="00B8507A" w14:paraId="1394E520" w14:textId="77777777">
              <w:trPr>
                <w:trHeight w:val="255"/>
              </w:trPr>
              <w:tc>
                <w:tcPr>
                  <w:tcW w:w="3363" w:type="dxa"/>
                  <w:noWrap/>
                  <w:vAlign w:val="bottom"/>
                  <w:hideMark/>
                </w:tcPr>
                <w:p w14:paraId="472CB3E2"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Malajsie</w:t>
                  </w:r>
                </w:p>
              </w:tc>
              <w:tc>
                <w:tcPr>
                  <w:tcW w:w="700" w:type="dxa"/>
                  <w:noWrap/>
                  <w:vAlign w:val="bottom"/>
                  <w:hideMark/>
                </w:tcPr>
                <w:p w14:paraId="18FDB6B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+2,3</w:t>
                  </w:r>
                </w:p>
              </w:tc>
              <w:tc>
                <w:tcPr>
                  <w:tcW w:w="700" w:type="dxa"/>
                  <w:noWrap/>
                  <w:vAlign w:val="bottom"/>
                  <w:hideMark/>
                </w:tcPr>
                <w:p w14:paraId="5856C37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+41,1</w:t>
                  </w:r>
                </w:p>
              </w:tc>
            </w:tr>
            <w:tr w:rsidR="00B8507A" w14:paraId="2408ECCB" w14:textId="77777777">
              <w:trPr>
                <w:trHeight w:val="255"/>
              </w:trPr>
              <w:tc>
                <w:tcPr>
                  <w:tcW w:w="3363" w:type="dxa"/>
                  <w:noWrap/>
                  <w:vAlign w:val="bottom"/>
                  <w:hideMark/>
                </w:tcPr>
                <w:p w14:paraId="5226C801"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Kazachstán</w:t>
                  </w:r>
                </w:p>
              </w:tc>
              <w:tc>
                <w:tcPr>
                  <w:tcW w:w="700" w:type="dxa"/>
                  <w:noWrap/>
                  <w:vAlign w:val="bottom"/>
                  <w:hideMark/>
                </w:tcPr>
                <w:p w14:paraId="34D39DDD"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+2,3</w:t>
                  </w:r>
                </w:p>
              </w:tc>
              <w:tc>
                <w:tcPr>
                  <w:tcW w:w="700" w:type="dxa"/>
                  <w:noWrap/>
                  <w:vAlign w:val="bottom"/>
                  <w:hideMark/>
                </w:tcPr>
                <w:p w14:paraId="355BF66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+69,0</w:t>
                  </w:r>
                </w:p>
              </w:tc>
            </w:tr>
            <w:tr w:rsidR="00B8507A" w14:paraId="46FD2002" w14:textId="77777777">
              <w:trPr>
                <w:trHeight w:val="255"/>
              </w:trPr>
              <w:tc>
                <w:tcPr>
                  <w:tcW w:w="3363" w:type="dxa"/>
                  <w:noWrap/>
                  <w:vAlign w:val="bottom"/>
                  <w:hideMark/>
                </w:tcPr>
                <w:p w14:paraId="0570E8A3"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Slovensko</w:t>
                  </w:r>
                </w:p>
              </w:tc>
              <w:tc>
                <w:tcPr>
                  <w:tcW w:w="700" w:type="dxa"/>
                  <w:noWrap/>
                  <w:vAlign w:val="bottom"/>
                  <w:hideMark/>
                </w:tcPr>
                <w:p w14:paraId="5799743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-1,6</w:t>
                  </w:r>
                </w:p>
              </w:tc>
              <w:tc>
                <w:tcPr>
                  <w:tcW w:w="700" w:type="dxa"/>
                  <w:noWrap/>
                  <w:vAlign w:val="bottom"/>
                  <w:hideMark/>
                </w:tcPr>
                <w:p w14:paraId="350CCC0F"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-2,9</w:t>
                  </w:r>
                </w:p>
              </w:tc>
            </w:tr>
            <w:tr w:rsidR="00B8507A" w14:paraId="59518930" w14:textId="77777777">
              <w:trPr>
                <w:trHeight w:val="255"/>
              </w:trPr>
              <w:tc>
                <w:tcPr>
                  <w:tcW w:w="3363" w:type="dxa"/>
                  <w:noWrap/>
                  <w:vAlign w:val="bottom"/>
                  <w:hideMark/>
                </w:tcPr>
                <w:p w14:paraId="77C1CE48"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Japonsko</w:t>
                  </w:r>
                </w:p>
              </w:tc>
              <w:tc>
                <w:tcPr>
                  <w:tcW w:w="700" w:type="dxa"/>
                  <w:noWrap/>
                  <w:vAlign w:val="bottom"/>
                  <w:hideMark/>
                </w:tcPr>
                <w:p w14:paraId="61138D06"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-2,1</w:t>
                  </w:r>
                </w:p>
              </w:tc>
              <w:tc>
                <w:tcPr>
                  <w:tcW w:w="700" w:type="dxa"/>
                  <w:noWrap/>
                  <w:vAlign w:val="bottom"/>
                  <w:hideMark/>
                </w:tcPr>
                <w:p w14:paraId="46161C8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-9,0</w:t>
                  </w:r>
                </w:p>
              </w:tc>
            </w:tr>
            <w:tr w:rsidR="00B8507A" w14:paraId="76510C5C" w14:textId="77777777">
              <w:trPr>
                <w:trHeight w:val="255"/>
              </w:trPr>
              <w:tc>
                <w:tcPr>
                  <w:tcW w:w="3363" w:type="dxa"/>
                  <w:noWrap/>
                  <w:vAlign w:val="bottom"/>
                  <w:hideMark/>
                </w:tcPr>
                <w:p w14:paraId="2808D2FA"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Itálie</w:t>
                  </w:r>
                </w:p>
              </w:tc>
              <w:tc>
                <w:tcPr>
                  <w:tcW w:w="700" w:type="dxa"/>
                  <w:noWrap/>
                  <w:vAlign w:val="bottom"/>
                  <w:hideMark/>
                </w:tcPr>
                <w:p w14:paraId="759280CE"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-2,2</w:t>
                  </w:r>
                </w:p>
              </w:tc>
              <w:tc>
                <w:tcPr>
                  <w:tcW w:w="700" w:type="dxa"/>
                  <w:noWrap/>
                  <w:vAlign w:val="bottom"/>
                  <w:hideMark/>
                </w:tcPr>
                <w:p w14:paraId="106463B0"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-4,5</w:t>
                  </w:r>
                </w:p>
              </w:tc>
            </w:tr>
            <w:tr w:rsidR="00B8507A" w14:paraId="724454D4" w14:textId="77777777">
              <w:trPr>
                <w:trHeight w:val="255"/>
              </w:trPr>
              <w:tc>
                <w:tcPr>
                  <w:tcW w:w="3363" w:type="dxa"/>
                  <w:noWrap/>
                  <w:vAlign w:val="bottom"/>
                  <w:hideMark/>
                </w:tcPr>
                <w:p w14:paraId="1E5412D2"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Velká Británie</w:t>
                  </w:r>
                </w:p>
              </w:tc>
              <w:tc>
                <w:tcPr>
                  <w:tcW w:w="700" w:type="dxa"/>
                  <w:noWrap/>
                  <w:vAlign w:val="bottom"/>
                  <w:hideMark/>
                </w:tcPr>
                <w:p w14:paraId="1A62BD4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-2,3</w:t>
                  </w:r>
                </w:p>
              </w:tc>
              <w:tc>
                <w:tcPr>
                  <w:tcW w:w="700" w:type="dxa"/>
                  <w:noWrap/>
                  <w:vAlign w:val="bottom"/>
                  <w:hideMark/>
                </w:tcPr>
                <w:p w14:paraId="590364F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-11,6</w:t>
                  </w:r>
                </w:p>
              </w:tc>
            </w:tr>
            <w:tr w:rsidR="00B8507A" w14:paraId="261517FC" w14:textId="77777777">
              <w:trPr>
                <w:trHeight w:val="255"/>
              </w:trPr>
              <w:tc>
                <w:tcPr>
                  <w:tcW w:w="3363" w:type="dxa"/>
                  <w:noWrap/>
                  <w:vAlign w:val="bottom"/>
                  <w:hideMark/>
                </w:tcPr>
                <w:p w14:paraId="42773CB5"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Polsko</w:t>
                  </w:r>
                </w:p>
              </w:tc>
              <w:tc>
                <w:tcPr>
                  <w:tcW w:w="700" w:type="dxa"/>
                  <w:noWrap/>
                  <w:vAlign w:val="bottom"/>
                  <w:hideMark/>
                </w:tcPr>
                <w:p w14:paraId="7360B09C"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-3,2</w:t>
                  </w:r>
                </w:p>
              </w:tc>
              <w:tc>
                <w:tcPr>
                  <w:tcW w:w="700" w:type="dxa"/>
                  <w:noWrap/>
                  <w:vAlign w:val="bottom"/>
                  <w:hideMark/>
                </w:tcPr>
                <w:p w14:paraId="5F644E1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-3,2</w:t>
                  </w:r>
                </w:p>
              </w:tc>
            </w:tr>
            <w:tr w:rsidR="00B8507A" w14:paraId="47595794" w14:textId="77777777">
              <w:trPr>
                <w:trHeight w:val="255"/>
              </w:trPr>
              <w:tc>
                <w:tcPr>
                  <w:tcW w:w="3363" w:type="dxa"/>
                  <w:noWrap/>
                  <w:vAlign w:val="bottom"/>
                  <w:hideMark/>
                </w:tcPr>
                <w:p w14:paraId="1245DE8A"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Rakousko</w:t>
                  </w:r>
                </w:p>
              </w:tc>
              <w:tc>
                <w:tcPr>
                  <w:tcW w:w="700" w:type="dxa"/>
                  <w:noWrap/>
                  <w:vAlign w:val="bottom"/>
                  <w:hideMark/>
                </w:tcPr>
                <w:p w14:paraId="1D770C4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-3,7</w:t>
                  </w:r>
                </w:p>
              </w:tc>
              <w:tc>
                <w:tcPr>
                  <w:tcW w:w="700" w:type="dxa"/>
                  <w:noWrap/>
                  <w:vAlign w:val="bottom"/>
                  <w:hideMark/>
                </w:tcPr>
                <w:p w14:paraId="7B1DF55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-11,5</w:t>
                  </w:r>
                </w:p>
              </w:tc>
            </w:tr>
            <w:tr w:rsidR="00B8507A" w14:paraId="59006042" w14:textId="77777777">
              <w:trPr>
                <w:trHeight w:val="255"/>
              </w:trPr>
              <w:tc>
                <w:tcPr>
                  <w:tcW w:w="3363" w:type="dxa"/>
                  <w:noWrap/>
                  <w:vAlign w:val="bottom"/>
                  <w:hideMark/>
                </w:tcPr>
                <w:p w14:paraId="4981AE4B"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Německo</w:t>
                  </w:r>
                </w:p>
              </w:tc>
              <w:tc>
                <w:tcPr>
                  <w:tcW w:w="700" w:type="dxa"/>
                  <w:noWrap/>
                  <w:vAlign w:val="bottom"/>
                  <w:hideMark/>
                </w:tcPr>
                <w:p w14:paraId="0F0851CF"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-3,9</w:t>
                  </w:r>
                </w:p>
              </w:tc>
              <w:tc>
                <w:tcPr>
                  <w:tcW w:w="700" w:type="dxa"/>
                  <w:noWrap/>
                  <w:vAlign w:val="bottom"/>
                  <w:hideMark/>
                </w:tcPr>
                <w:p w14:paraId="4D372E8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-1,5</w:t>
                  </w:r>
                </w:p>
              </w:tc>
            </w:tr>
            <w:tr w:rsidR="00B8507A" w14:paraId="40D378DE" w14:textId="77777777">
              <w:trPr>
                <w:trHeight w:val="255"/>
              </w:trPr>
              <w:tc>
                <w:tcPr>
                  <w:tcW w:w="3363" w:type="dxa"/>
                  <w:noWrap/>
                  <w:vAlign w:val="bottom"/>
                  <w:hideMark/>
                </w:tcPr>
                <w:p w14:paraId="7E79A9CD"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Korejská republika</w:t>
                  </w:r>
                </w:p>
              </w:tc>
              <w:tc>
                <w:tcPr>
                  <w:tcW w:w="700" w:type="dxa"/>
                  <w:noWrap/>
                  <w:vAlign w:val="bottom"/>
                  <w:hideMark/>
                </w:tcPr>
                <w:p w14:paraId="1C7417E8"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-4,5</w:t>
                  </w:r>
                </w:p>
              </w:tc>
              <w:tc>
                <w:tcPr>
                  <w:tcW w:w="700" w:type="dxa"/>
                  <w:noWrap/>
                  <w:vAlign w:val="bottom"/>
                  <w:hideMark/>
                </w:tcPr>
                <w:p w14:paraId="2CC5F1A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-17,2</w:t>
                  </w:r>
                </w:p>
              </w:tc>
            </w:tr>
            <w:tr w:rsidR="00B8507A" w14:paraId="1DB63810" w14:textId="77777777">
              <w:trPr>
                <w:trHeight w:val="255"/>
              </w:trPr>
              <w:tc>
                <w:tcPr>
                  <w:tcW w:w="3363" w:type="dxa"/>
                  <w:noWrap/>
                  <w:vAlign w:val="bottom"/>
                  <w:hideMark/>
                </w:tcPr>
                <w:p w14:paraId="0BD0AC27"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Norsko</w:t>
                  </w:r>
                </w:p>
              </w:tc>
              <w:tc>
                <w:tcPr>
                  <w:tcW w:w="700" w:type="dxa"/>
                  <w:noWrap/>
                  <w:vAlign w:val="bottom"/>
                  <w:hideMark/>
                </w:tcPr>
                <w:p w14:paraId="5F68FCED"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-10,1</w:t>
                  </w:r>
                </w:p>
              </w:tc>
              <w:tc>
                <w:tcPr>
                  <w:tcW w:w="700" w:type="dxa"/>
                  <w:noWrap/>
                  <w:vAlign w:val="bottom"/>
                  <w:hideMark/>
                </w:tcPr>
                <w:p w14:paraId="59BC091B"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-42,9</w:t>
                  </w:r>
                </w:p>
              </w:tc>
            </w:tr>
            <w:tr w:rsidR="00B8507A" w14:paraId="076C8146" w14:textId="77777777">
              <w:trPr>
                <w:trHeight w:val="255"/>
              </w:trPr>
              <w:tc>
                <w:tcPr>
                  <w:tcW w:w="3363" w:type="dxa"/>
                  <w:noWrap/>
                  <w:vAlign w:val="bottom"/>
                  <w:hideMark/>
                </w:tcPr>
                <w:p w14:paraId="72917CD3"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Čína</w:t>
                  </w:r>
                </w:p>
              </w:tc>
              <w:tc>
                <w:tcPr>
                  <w:tcW w:w="700" w:type="dxa"/>
                  <w:noWrap/>
                  <w:vAlign w:val="bottom"/>
                  <w:hideMark/>
                </w:tcPr>
                <w:p w14:paraId="526EA1A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-21,7</w:t>
                  </w:r>
                </w:p>
              </w:tc>
              <w:tc>
                <w:tcPr>
                  <w:tcW w:w="700" w:type="dxa"/>
                  <w:noWrap/>
                  <w:vAlign w:val="bottom"/>
                  <w:hideMark/>
                </w:tcPr>
                <w:p w14:paraId="793BD52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-15,0</w:t>
                  </w:r>
                </w:p>
              </w:tc>
            </w:tr>
          </w:tbl>
          <w:p w14:paraId="68A82116" w14:textId="77777777" w:rsidR="00B8507A" w:rsidRDefault="00B8507A">
            <w:pPr>
              <w:spacing w:after="0"/>
              <w:rPr>
                <w:spacing w:val="-4"/>
                <w:lang w:eastAsia="en-US"/>
              </w:rPr>
            </w:pPr>
          </w:p>
        </w:tc>
      </w:tr>
      <w:tr w:rsidR="00B8507A" w14:paraId="6D1A1CD5" w14:textId="77777777" w:rsidTr="00B8507A">
        <w:trPr>
          <w:trHeight w:val="170"/>
        </w:trPr>
        <w:tc>
          <w:tcPr>
            <w:tcW w:w="4811" w:type="dxa"/>
            <w:gridSpan w:val="3"/>
            <w:hideMark/>
          </w:tcPr>
          <w:p w14:paraId="428DA40A" w14:textId="77777777" w:rsidR="00B8507A" w:rsidRDefault="00B8507A">
            <w:pPr>
              <w:jc w:val="right"/>
              <w:rPr>
                <w:spacing w:val="-4"/>
                <w:sz w:val="16"/>
                <w:szCs w:val="16"/>
                <w:lang w:eastAsia="en-US"/>
              </w:rPr>
            </w:pPr>
            <w:r>
              <w:rPr>
                <w:spacing w:val="-4"/>
                <w:sz w:val="16"/>
                <w:szCs w:val="16"/>
                <w:lang w:eastAsia="en-US"/>
              </w:rPr>
              <w:t>Zdroj: ČSÚ</w:t>
            </w:r>
          </w:p>
        </w:tc>
        <w:tc>
          <w:tcPr>
            <w:tcW w:w="57" w:type="dxa"/>
          </w:tcPr>
          <w:p w14:paraId="4EDAF50A" w14:textId="77777777" w:rsidR="00B8507A" w:rsidRDefault="00B8507A">
            <w:pPr>
              <w:spacing w:after="0"/>
              <w:rPr>
                <w:spacing w:val="-4"/>
                <w:lang w:eastAsia="en-US"/>
              </w:rPr>
            </w:pPr>
          </w:p>
        </w:tc>
        <w:tc>
          <w:tcPr>
            <w:tcW w:w="4809" w:type="dxa"/>
            <w:hideMark/>
          </w:tcPr>
          <w:p w14:paraId="40F75F91" w14:textId="77777777" w:rsidR="00B8507A" w:rsidRDefault="00B8507A">
            <w:pPr>
              <w:spacing w:after="0"/>
              <w:jc w:val="right"/>
              <w:rPr>
                <w:spacing w:val="-4"/>
                <w:lang w:eastAsia="en-US"/>
              </w:rPr>
            </w:pPr>
            <w:r>
              <w:rPr>
                <w:spacing w:val="-4"/>
                <w:sz w:val="16"/>
                <w:szCs w:val="16"/>
                <w:lang w:eastAsia="en-US"/>
              </w:rPr>
              <w:t>Zdroj: ČSÚ</w:t>
            </w:r>
          </w:p>
        </w:tc>
      </w:tr>
      <w:tr w:rsidR="00B8507A" w14:paraId="0979C28E" w14:textId="77777777" w:rsidTr="00B8507A">
        <w:trPr>
          <w:trHeight w:val="145"/>
        </w:trPr>
        <w:tc>
          <w:tcPr>
            <w:tcW w:w="1748" w:type="dxa"/>
            <w:hideMark/>
          </w:tcPr>
          <w:p w14:paraId="1DD10B72" w14:textId="77777777" w:rsidR="00B8507A" w:rsidRDefault="00B8507A">
            <w:pPr>
              <w:pStyle w:val="Marginlie"/>
              <w:rPr>
                <w:lang w:eastAsia="en-US"/>
              </w:rPr>
            </w:pPr>
            <w:r>
              <w:rPr>
                <w:lang w:eastAsia="en-US"/>
              </w:rPr>
              <w:t xml:space="preserve">Na poklesu dovozu byly patrné cenové vlivy </w:t>
            </w:r>
            <w:r>
              <w:rPr>
                <w:lang w:eastAsia="en-US"/>
              </w:rPr>
              <w:br/>
              <w:t>i nižší průmyslová poptávka.</w:t>
            </w:r>
          </w:p>
        </w:tc>
        <w:tc>
          <w:tcPr>
            <w:tcW w:w="221" w:type="dxa"/>
          </w:tcPr>
          <w:p w14:paraId="77B0D5D3" w14:textId="77777777" w:rsidR="00B8507A" w:rsidRDefault="00B8507A">
            <w:pPr>
              <w:pStyle w:val="Textpoznpodarou"/>
              <w:jc w:val="both"/>
              <w:rPr>
                <w:spacing w:val="-4"/>
                <w:lang w:eastAsia="en-US"/>
              </w:rPr>
            </w:pPr>
          </w:p>
        </w:tc>
        <w:tc>
          <w:tcPr>
            <w:tcW w:w="7708" w:type="dxa"/>
            <w:gridSpan w:val="3"/>
            <w:hideMark/>
          </w:tcPr>
          <w:p w14:paraId="5607EF72" w14:textId="77777777" w:rsidR="00B8507A" w:rsidRDefault="00B8507A">
            <w:pPr>
              <w:spacing w:after="180"/>
              <w:rPr>
                <w:spacing w:val="-4"/>
                <w:lang w:eastAsia="en-US"/>
              </w:rPr>
            </w:pPr>
            <w:r>
              <w:rPr>
                <w:spacing w:val="-4"/>
                <w:lang w:eastAsia="en-US"/>
              </w:rPr>
              <w:t xml:space="preserve">K celkovému meziročnímu propadu dovozu zboží v 1. čtvrtletí nejvíce přispěla elektrická zařízení, stroje a zařízení a základní kovy (viz Tabulka č. 3). Velkou roli v celkovém snížení importu tak hrála slabší poptávka domácího průmyslu. Cenové vlivy lze vidět za poklesy dovozu chemických látek a přípravků, černého a hnědého uhlí a lignitu, u elektřiny, plynu, páry a klimatizovaného vzduchu a rud. Nižší byl také dovoz ostatních dopravních prostředků a zařízení nebo oděvů. Nejvíce se meziročně zvýšila hodnota dovozu motorových vozidel a počítačů, elektronických a optických zařízení. Významnější přírůstek byl zaznamenán dále u dovozu potravinářských výrobků a koksu a rafinovaných ropných produktů. </w:t>
            </w:r>
          </w:p>
        </w:tc>
      </w:tr>
      <w:tr w:rsidR="00B8507A" w14:paraId="75076A3D" w14:textId="77777777" w:rsidTr="00B8507A">
        <w:trPr>
          <w:trHeight w:val="145"/>
        </w:trPr>
        <w:tc>
          <w:tcPr>
            <w:tcW w:w="1748" w:type="dxa"/>
            <w:hideMark/>
          </w:tcPr>
          <w:p w14:paraId="1F2988C5" w14:textId="77777777" w:rsidR="00B8507A" w:rsidRDefault="00B8507A">
            <w:pPr>
              <w:pStyle w:val="Marginlie"/>
              <w:rPr>
                <w:lang w:eastAsia="en-US"/>
              </w:rPr>
            </w:pPr>
            <w:r>
              <w:rPr>
                <w:lang w:eastAsia="en-US"/>
              </w:rPr>
              <w:t>Bilance zahraničního obchodu dosáhla rekordního přebytku.</w:t>
            </w:r>
          </w:p>
        </w:tc>
        <w:tc>
          <w:tcPr>
            <w:tcW w:w="221" w:type="dxa"/>
          </w:tcPr>
          <w:p w14:paraId="1770B679" w14:textId="77777777" w:rsidR="00B8507A" w:rsidRDefault="00B8507A">
            <w:pPr>
              <w:pStyle w:val="Textpoznpodarou"/>
              <w:jc w:val="both"/>
              <w:rPr>
                <w:spacing w:val="-4"/>
                <w:lang w:eastAsia="en-US"/>
              </w:rPr>
            </w:pPr>
          </w:p>
        </w:tc>
        <w:tc>
          <w:tcPr>
            <w:tcW w:w="7708" w:type="dxa"/>
            <w:gridSpan w:val="3"/>
            <w:hideMark/>
          </w:tcPr>
          <w:p w14:paraId="5A150FAE" w14:textId="77777777" w:rsidR="00B8507A" w:rsidRDefault="00B8507A">
            <w:pPr>
              <w:spacing w:after="180"/>
              <w:rPr>
                <w:spacing w:val="-4"/>
                <w:lang w:eastAsia="en-US"/>
              </w:rPr>
            </w:pPr>
            <w:r>
              <w:rPr>
                <w:spacing w:val="-4"/>
                <w:lang w:eastAsia="en-US"/>
              </w:rPr>
              <w:t>Bilance zahraničního obchodu se zbožím v 1. čtvrtletí dosáhla přebytku 84,5 mld. korun</w:t>
            </w:r>
            <w:r>
              <w:rPr>
                <w:rStyle w:val="Znakapoznpodarou"/>
                <w:spacing w:val="-4"/>
                <w:lang w:eastAsia="en-US"/>
              </w:rPr>
              <w:footnoteReference w:id="45"/>
            </w:r>
            <w:r>
              <w:rPr>
                <w:spacing w:val="-4"/>
                <w:lang w:eastAsia="en-US"/>
              </w:rPr>
              <w:t xml:space="preserve"> a meziročně se zlepšila o 44,3 mld. Příznivý vývoj salda zahraničního obchodu souvisí zejména s výraznějším poklesem dovozu u významných artiklů zpracovatelského průmyslu. </w:t>
            </w:r>
            <w:r>
              <w:rPr>
                <w:spacing w:val="-4"/>
                <w:lang w:eastAsia="en-US"/>
              </w:rPr>
              <w:lastRenderedPageBreak/>
              <w:t>Podle sezónně očištěných dat se ale přebytek bilance zahraničního obchodu mezičtvrtletně snížil. Bilance zahraničního obchodu se zbožím se zeměmi EU se v 1. čtvrtletí meziročně zhoršila o 10,1 mld. korun. Naopak v případě zemí mimo Unii došlo k meziročnímu zmírnění deficitu o 56,3 mld. korun. Ke zlepšení bilance nejvíce přispělo zmírnění deficitu obchodu s Čínou (viz Tabulka č. 6) související s výše zmíněným propadem dovozu. O více než 10 mld. korun se meziročně zlepšila také bilance obchodu s Polskem, Velkou Británií a Norskem. Výrazně ve směru zlepšení salda přispěl také zahraniční obchod s Japonskem, Itálií, Tureckem, Jižní Koreou, Švýcarskem nebo Spojenými arabskými emiráty. Oproti tomu se v 1. čtvrtletí meziročně prudce zhoršila bilance zahraničního obchodu se zbožím s Německem. Výrazné meziroční zhoršení bilance bylo zaznamenáno také v případě Ruska, Nizozemska, Tchaj-wanu, Švédska, Francie, Malajsie nebo Kazachstánu.</w:t>
            </w:r>
          </w:p>
        </w:tc>
      </w:tr>
      <w:tr w:rsidR="00B8507A" w14:paraId="327B98B9" w14:textId="77777777" w:rsidTr="00B8507A">
        <w:trPr>
          <w:trHeight w:val="170"/>
        </w:trPr>
        <w:tc>
          <w:tcPr>
            <w:tcW w:w="4811" w:type="dxa"/>
            <w:gridSpan w:val="3"/>
            <w:hideMark/>
          </w:tcPr>
          <w:p w14:paraId="388392CF" w14:textId="77777777" w:rsidR="00B8507A" w:rsidRDefault="00B8507A">
            <w:pPr>
              <w:spacing w:after="0"/>
              <w:rPr>
                <w:rFonts w:cs="Arial"/>
                <w:b/>
                <w:bCs/>
                <w:color w:val="000000"/>
                <w:sz w:val="18"/>
                <w:szCs w:val="18"/>
                <w:lang w:eastAsia="en-US"/>
              </w:rPr>
            </w:pPr>
            <w:r>
              <w:rPr>
                <w:rFonts w:cs="Arial"/>
                <w:b/>
                <w:bCs/>
                <w:color w:val="000000"/>
                <w:sz w:val="18"/>
                <w:szCs w:val="18"/>
                <w:lang w:eastAsia="en-US"/>
              </w:rPr>
              <w:lastRenderedPageBreak/>
              <w:t xml:space="preserve">Tabulka č. 5 Oddíly klasifikace CPA s největším </w:t>
            </w:r>
          </w:p>
          <w:p w14:paraId="2AA3D15D" w14:textId="77777777" w:rsidR="00B8507A" w:rsidRDefault="00B8507A">
            <w:pPr>
              <w:spacing w:after="0"/>
              <w:jc w:val="left"/>
              <w:rPr>
                <w:rFonts w:cs="Arial"/>
                <w:b/>
                <w:bCs/>
                <w:color w:val="000000"/>
                <w:sz w:val="18"/>
                <w:szCs w:val="18"/>
                <w:lang w:eastAsia="en-US"/>
              </w:rPr>
            </w:pPr>
            <w:r>
              <w:rPr>
                <w:rFonts w:cs="Arial"/>
                <w:b/>
                <w:bCs/>
                <w:color w:val="000000"/>
                <w:sz w:val="18"/>
                <w:szCs w:val="18"/>
                <w:lang w:eastAsia="en-US"/>
              </w:rPr>
              <w:t xml:space="preserve">vlivem na vývoj bilance zahraničního obchodu se zbožím v 1. čtvrtletí 2024 </w:t>
            </w:r>
            <w:r>
              <w:rPr>
                <w:rFonts w:cs="Arial"/>
                <w:bCs/>
                <w:color w:val="000000"/>
                <w:sz w:val="18"/>
                <w:szCs w:val="18"/>
                <w:lang w:eastAsia="en-US"/>
              </w:rPr>
              <w:t>(meziročně)</w:t>
            </w:r>
          </w:p>
        </w:tc>
        <w:tc>
          <w:tcPr>
            <w:tcW w:w="57" w:type="dxa"/>
          </w:tcPr>
          <w:p w14:paraId="69A39F2B" w14:textId="77777777" w:rsidR="00B8507A" w:rsidRDefault="00B8507A">
            <w:pPr>
              <w:spacing w:after="0"/>
              <w:rPr>
                <w:spacing w:val="-4"/>
                <w:lang w:eastAsia="en-US"/>
              </w:rPr>
            </w:pPr>
          </w:p>
        </w:tc>
        <w:tc>
          <w:tcPr>
            <w:tcW w:w="4809" w:type="dxa"/>
            <w:hideMark/>
          </w:tcPr>
          <w:p w14:paraId="451E3247" w14:textId="77777777" w:rsidR="00B8507A" w:rsidRDefault="00B8507A">
            <w:pPr>
              <w:spacing w:after="0"/>
              <w:jc w:val="left"/>
              <w:rPr>
                <w:spacing w:val="-4"/>
                <w:sz w:val="18"/>
                <w:szCs w:val="18"/>
                <w:lang w:eastAsia="en-US"/>
              </w:rPr>
            </w:pPr>
            <w:r>
              <w:rPr>
                <w:rFonts w:cs="Arial"/>
                <w:b/>
                <w:bCs/>
                <w:color w:val="000000"/>
                <w:sz w:val="18"/>
                <w:szCs w:val="18"/>
                <w:lang w:eastAsia="en-US"/>
              </w:rPr>
              <w:t xml:space="preserve">Tabulka č. 6 Země s největším vlivem na vývoj bilance zahraničního obchodu se zbožím v 1. čtvrtletí 2024 </w:t>
            </w:r>
            <w:r>
              <w:rPr>
                <w:rFonts w:cs="Arial"/>
                <w:bCs/>
                <w:color w:val="000000"/>
                <w:sz w:val="18"/>
                <w:szCs w:val="18"/>
                <w:lang w:eastAsia="en-US"/>
              </w:rPr>
              <w:t>(meziročně)</w:t>
            </w:r>
          </w:p>
        </w:tc>
      </w:tr>
      <w:tr w:rsidR="00B8507A" w14:paraId="7C0CBEA6" w14:textId="77777777" w:rsidTr="00B8507A">
        <w:trPr>
          <w:trHeight w:val="170"/>
        </w:trPr>
        <w:tc>
          <w:tcPr>
            <w:tcW w:w="4811" w:type="dxa"/>
            <w:gridSpan w:val="3"/>
            <w:hideMark/>
          </w:tcPr>
          <w:tbl>
            <w:tblPr>
              <w:tblW w:w="0" w:type="dxa"/>
              <w:tblLayout w:type="fixed"/>
              <w:tblCellMar>
                <w:left w:w="0" w:type="dxa"/>
                <w:right w:w="70" w:type="dxa"/>
              </w:tblCellMar>
              <w:tblLook w:val="04A0" w:firstRow="1" w:lastRow="0" w:firstColumn="1" w:lastColumn="0" w:noHBand="0" w:noVBand="1"/>
            </w:tblPr>
            <w:tblGrid>
              <w:gridCol w:w="4123"/>
              <w:gridCol w:w="700"/>
            </w:tblGrid>
            <w:tr w:rsidR="00B8507A" w14:paraId="1FC1B96A" w14:textId="77777777">
              <w:trPr>
                <w:trHeight w:val="255"/>
              </w:trPr>
              <w:tc>
                <w:tcPr>
                  <w:tcW w:w="4123" w:type="dxa"/>
                  <w:tcBorders>
                    <w:top w:val="nil"/>
                    <w:left w:val="nil"/>
                    <w:bottom w:val="single" w:sz="4" w:space="0" w:color="auto"/>
                    <w:right w:val="nil"/>
                  </w:tcBorders>
                  <w:noWrap/>
                  <w:vAlign w:val="bottom"/>
                  <w:hideMark/>
                </w:tcPr>
                <w:p w14:paraId="4A9EBD42"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 </w:t>
                  </w:r>
                </w:p>
              </w:tc>
              <w:tc>
                <w:tcPr>
                  <w:tcW w:w="700" w:type="dxa"/>
                  <w:tcBorders>
                    <w:top w:val="nil"/>
                    <w:left w:val="nil"/>
                    <w:bottom w:val="single" w:sz="4" w:space="0" w:color="auto"/>
                    <w:right w:val="nil"/>
                  </w:tcBorders>
                  <w:noWrap/>
                  <w:vAlign w:val="bottom"/>
                  <w:hideMark/>
                </w:tcPr>
                <w:p w14:paraId="46CF74D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mld. Kč</w:t>
                  </w:r>
                </w:p>
              </w:tc>
            </w:tr>
            <w:tr w:rsidR="00B8507A" w14:paraId="1422A855" w14:textId="77777777">
              <w:trPr>
                <w:trHeight w:val="255"/>
              </w:trPr>
              <w:tc>
                <w:tcPr>
                  <w:tcW w:w="4123" w:type="dxa"/>
                  <w:noWrap/>
                  <w:vAlign w:val="bottom"/>
                  <w:hideMark/>
                </w:tcPr>
                <w:p w14:paraId="65F2ED86"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Elektrická zařízení</w:t>
                  </w:r>
                </w:p>
              </w:tc>
              <w:tc>
                <w:tcPr>
                  <w:tcW w:w="700" w:type="dxa"/>
                  <w:noWrap/>
                  <w:vAlign w:val="bottom"/>
                  <w:hideMark/>
                </w:tcPr>
                <w:p w14:paraId="338F1B9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+17,5</w:t>
                  </w:r>
                </w:p>
              </w:tc>
            </w:tr>
            <w:tr w:rsidR="00B8507A" w14:paraId="5FA16C2B" w14:textId="77777777">
              <w:trPr>
                <w:trHeight w:val="255"/>
              </w:trPr>
              <w:tc>
                <w:tcPr>
                  <w:tcW w:w="4123" w:type="dxa"/>
                  <w:noWrap/>
                  <w:vAlign w:val="bottom"/>
                  <w:hideMark/>
                </w:tcPr>
                <w:p w14:paraId="10A08000"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Motorová vozidla (kromě motocyklů) a díly</w:t>
                  </w:r>
                </w:p>
              </w:tc>
              <w:tc>
                <w:tcPr>
                  <w:tcW w:w="700" w:type="dxa"/>
                  <w:noWrap/>
                  <w:vAlign w:val="bottom"/>
                  <w:hideMark/>
                </w:tcPr>
                <w:p w14:paraId="785B3F8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+15,5</w:t>
                  </w:r>
                </w:p>
              </w:tc>
            </w:tr>
            <w:tr w:rsidR="00B8507A" w14:paraId="4A2D4799" w14:textId="77777777">
              <w:trPr>
                <w:trHeight w:val="255"/>
              </w:trPr>
              <w:tc>
                <w:tcPr>
                  <w:tcW w:w="4123" w:type="dxa"/>
                  <w:noWrap/>
                  <w:vAlign w:val="bottom"/>
                  <w:hideMark/>
                </w:tcPr>
                <w:p w14:paraId="4EBFA222"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Chemické látky a přípravky</w:t>
                  </w:r>
                </w:p>
              </w:tc>
              <w:tc>
                <w:tcPr>
                  <w:tcW w:w="700" w:type="dxa"/>
                  <w:noWrap/>
                  <w:vAlign w:val="bottom"/>
                  <w:hideMark/>
                </w:tcPr>
                <w:p w14:paraId="28BBDD80"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+4,5</w:t>
                  </w:r>
                </w:p>
              </w:tc>
            </w:tr>
            <w:tr w:rsidR="00B8507A" w14:paraId="22900FF1" w14:textId="77777777">
              <w:trPr>
                <w:trHeight w:val="255"/>
              </w:trPr>
              <w:tc>
                <w:tcPr>
                  <w:tcW w:w="4123" w:type="dxa"/>
                  <w:noWrap/>
                  <w:vAlign w:val="bottom"/>
                  <w:hideMark/>
                </w:tcPr>
                <w:p w14:paraId="46209917"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Černé a hnědé uhlí a lignit</w:t>
                  </w:r>
                </w:p>
              </w:tc>
              <w:tc>
                <w:tcPr>
                  <w:tcW w:w="700" w:type="dxa"/>
                  <w:noWrap/>
                  <w:vAlign w:val="bottom"/>
                  <w:hideMark/>
                </w:tcPr>
                <w:p w14:paraId="6B9DDF65"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+4,4</w:t>
                  </w:r>
                </w:p>
              </w:tc>
            </w:tr>
            <w:tr w:rsidR="00B8507A" w14:paraId="2E8CE972" w14:textId="77777777">
              <w:trPr>
                <w:trHeight w:val="255"/>
              </w:trPr>
              <w:tc>
                <w:tcPr>
                  <w:tcW w:w="4123" w:type="dxa"/>
                  <w:noWrap/>
                  <w:vAlign w:val="bottom"/>
                  <w:hideMark/>
                </w:tcPr>
                <w:p w14:paraId="0BC059E9"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Stroje a zařízení</w:t>
                  </w:r>
                </w:p>
              </w:tc>
              <w:tc>
                <w:tcPr>
                  <w:tcW w:w="700" w:type="dxa"/>
                  <w:noWrap/>
                  <w:vAlign w:val="bottom"/>
                  <w:hideMark/>
                </w:tcPr>
                <w:p w14:paraId="6D45EC7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+3,7</w:t>
                  </w:r>
                </w:p>
              </w:tc>
            </w:tr>
            <w:tr w:rsidR="00B8507A" w14:paraId="76FCCE0E" w14:textId="77777777">
              <w:trPr>
                <w:trHeight w:val="255"/>
              </w:trPr>
              <w:tc>
                <w:tcPr>
                  <w:tcW w:w="4123" w:type="dxa"/>
                  <w:noWrap/>
                  <w:vAlign w:val="bottom"/>
                  <w:hideMark/>
                </w:tcPr>
                <w:p w14:paraId="6EE48304"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Základní kovy</w:t>
                  </w:r>
                </w:p>
              </w:tc>
              <w:tc>
                <w:tcPr>
                  <w:tcW w:w="700" w:type="dxa"/>
                  <w:noWrap/>
                  <w:vAlign w:val="bottom"/>
                  <w:hideMark/>
                </w:tcPr>
                <w:p w14:paraId="4F833108"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+3,1</w:t>
                  </w:r>
                </w:p>
              </w:tc>
            </w:tr>
            <w:tr w:rsidR="00B8507A" w14:paraId="1D2C9471" w14:textId="77777777">
              <w:trPr>
                <w:trHeight w:val="255"/>
              </w:trPr>
              <w:tc>
                <w:tcPr>
                  <w:tcW w:w="4123" w:type="dxa"/>
                  <w:noWrap/>
                  <w:vAlign w:val="bottom"/>
                  <w:hideMark/>
                </w:tcPr>
                <w:p w14:paraId="5B79DA3B"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Ostatní výrobky zpracovatelského průmyslu</w:t>
                  </w:r>
                </w:p>
              </w:tc>
              <w:tc>
                <w:tcPr>
                  <w:tcW w:w="700" w:type="dxa"/>
                  <w:noWrap/>
                  <w:vAlign w:val="bottom"/>
                  <w:hideMark/>
                </w:tcPr>
                <w:p w14:paraId="6CB6000B"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+1,9</w:t>
                  </w:r>
                </w:p>
              </w:tc>
            </w:tr>
            <w:tr w:rsidR="00B8507A" w14:paraId="78D3E652" w14:textId="77777777">
              <w:trPr>
                <w:trHeight w:val="255"/>
              </w:trPr>
              <w:tc>
                <w:tcPr>
                  <w:tcW w:w="4123" w:type="dxa"/>
                  <w:noWrap/>
                  <w:vAlign w:val="bottom"/>
                  <w:hideMark/>
                </w:tcPr>
                <w:p w14:paraId="52478300"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Rudy</w:t>
                  </w:r>
                </w:p>
              </w:tc>
              <w:tc>
                <w:tcPr>
                  <w:tcW w:w="700" w:type="dxa"/>
                  <w:noWrap/>
                  <w:vAlign w:val="bottom"/>
                  <w:hideMark/>
                </w:tcPr>
                <w:p w14:paraId="1C79699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+1,8</w:t>
                  </w:r>
                </w:p>
              </w:tc>
            </w:tr>
            <w:tr w:rsidR="00B8507A" w14:paraId="674E5481" w14:textId="77777777">
              <w:trPr>
                <w:trHeight w:val="255"/>
              </w:trPr>
              <w:tc>
                <w:tcPr>
                  <w:tcW w:w="4123" w:type="dxa"/>
                  <w:noWrap/>
                  <w:vAlign w:val="bottom"/>
                  <w:hideMark/>
                </w:tcPr>
                <w:p w14:paraId="7437C149"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Oděvy</w:t>
                  </w:r>
                </w:p>
              </w:tc>
              <w:tc>
                <w:tcPr>
                  <w:tcW w:w="700" w:type="dxa"/>
                  <w:noWrap/>
                  <w:vAlign w:val="bottom"/>
                  <w:hideMark/>
                </w:tcPr>
                <w:p w14:paraId="19FF0422"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+1,7</w:t>
                  </w:r>
                </w:p>
              </w:tc>
            </w:tr>
            <w:tr w:rsidR="00B8507A" w14:paraId="169492B5" w14:textId="77777777">
              <w:trPr>
                <w:trHeight w:val="255"/>
              </w:trPr>
              <w:tc>
                <w:tcPr>
                  <w:tcW w:w="4123" w:type="dxa"/>
                  <w:noWrap/>
                  <w:vAlign w:val="bottom"/>
                  <w:hideMark/>
                </w:tcPr>
                <w:p w14:paraId="430CD5FE"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Ostatní dopravní prostředky a zařízení</w:t>
                  </w:r>
                </w:p>
              </w:tc>
              <w:tc>
                <w:tcPr>
                  <w:tcW w:w="700" w:type="dxa"/>
                  <w:noWrap/>
                  <w:vAlign w:val="bottom"/>
                  <w:hideMark/>
                </w:tcPr>
                <w:p w14:paraId="5E7A5826"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+1,7</w:t>
                  </w:r>
                </w:p>
              </w:tc>
            </w:tr>
            <w:tr w:rsidR="00B8507A" w14:paraId="21D6AE95" w14:textId="77777777">
              <w:trPr>
                <w:trHeight w:val="255"/>
              </w:trPr>
              <w:tc>
                <w:tcPr>
                  <w:tcW w:w="4123" w:type="dxa"/>
                  <w:noWrap/>
                  <w:vAlign w:val="bottom"/>
                  <w:hideMark/>
                </w:tcPr>
                <w:p w14:paraId="5CCCE89E"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Papír a výrobky z papíru</w:t>
                  </w:r>
                </w:p>
              </w:tc>
              <w:tc>
                <w:tcPr>
                  <w:tcW w:w="700" w:type="dxa"/>
                  <w:noWrap/>
                  <w:vAlign w:val="bottom"/>
                  <w:hideMark/>
                </w:tcPr>
                <w:p w14:paraId="3C04DE7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+1,4</w:t>
                  </w:r>
                </w:p>
              </w:tc>
            </w:tr>
            <w:tr w:rsidR="00B8507A" w14:paraId="0F4DD268" w14:textId="77777777">
              <w:trPr>
                <w:trHeight w:val="255"/>
              </w:trPr>
              <w:tc>
                <w:tcPr>
                  <w:tcW w:w="4123" w:type="dxa"/>
                  <w:noWrap/>
                  <w:vAlign w:val="bottom"/>
                  <w:hideMark/>
                </w:tcPr>
                <w:p w14:paraId="43F44493"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Produkty lesnictví, těžby dřeva</w:t>
                  </w:r>
                </w:p>
              </w:tc>
              <w:tc>
                <w:tcPr>
                  <w:tcW w:w="700" w:type="dxa"/>
                  <w:noWrap/>
                  <w:vAlign w:val="bottom"/>
                  <w:hideMark/>
                </w:tcPr>
                <w:p w14:paraId="0CF788F5"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-1,5</w:t>
                  </w:r>
                </w:p>
              </w:tc>
            </w:tr>
            <w:tr w:rsidR="00B8507A" w14:paraId="2B371FCD" w14:textId="77777777">
              <w:trPr>
                <w:trHeight w:val="255"/>
              </w:trPr>
              <w:tc>
                <w:tcPr>
                  <w:tcW w:w="4123" w:type="dxa"/>
                  <w:noWrap/>
                  <w:vAlign w:val="bottom"/>
                  <w:hideMark/>
                </w:tcPr>
                <w:p w14:paraId="378DAA7C"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Nábytek</w:t>
                  </w:r>
                </w:p>
              </w:tc>
              <w:tc>
                <w:tcPr>
                  <w:tcW w:w="700" w:type="dxa"/>
                  <w:noWrap/>
                  <w:vAlign w:val="bottom"/>
                  <w:hideMark/>
                </w:tcPr>
                <w:p w14:paraId="50D2348F"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-1,5</w:t>
                  </w:r>
                </w:p>
              </w:tc>
            </w:tr>
            <w:tr w:rsidR="00B8507A" w14:paraId="4842C62D" w14:textId="77777777">
              <w:trPr>
                <w:trHeight w:val="255"/>
              </w:trPr>
              <w:tc>
                <w:tcPr>
                  <w:tcW w:w="4123" w:type="dxa"/>
                  <w:noWrap/>
                  <w:vAlign w:val="bottom"/>
                  <w:hideMark/>
                </w:tcPr>
                <w:p w14:paraId="7CCBCABE"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Koks a rafinované ropné produkty</w:t>
                  </w:r>
                </w:p>
              </w:tc>
              <w:tc>
                <w:tcPr>
                  <w:tcW w:w="700" w:type="dxa"/>
                  <w:noWrap/>
                  <w:vAlign w:val="bottom"/>
                  <w:hideMark/>
                </w:tcPr>
                <w:p w14:paraId="312DE1F8"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-2,9</w:t>
                  </w:r>
                </w:p>
              </w:tc>
            </w:tr>
            <w:tr w:rsidR="00B8507A" w14:paraId="0610A677" w14:textId="77777777">
              <w:trPr>
                <w:trHeight w:val="255"/>
              </w:trPr>
              <w:tc>
                <w:tcPr>
                  <w:tcW w:w="4123" w:type="dxa"/>
                  <w:noWrap/>
                  <w:vAlign w:val="bottom"/>
                  <w:hideMark/>
                </w:tcPr>
                <w:p w14:paraId="44B99971"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Elektřina, plyn, pára a klimatizovaný vzduch</w:t>
                  </w:r>
                </w:p>
              </w:tc>
              <w:tc>
                <w:tcPr>
                  <w:tcW w:w="700" w:type="dxa"/>
                  <w:noWrap/>
                  <w:vAlign w:val="bottom"/>
                  <w:hideMark/>
                </w:tcPr>
                <w:p w14:paraId="1F406FE0"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-6,9</w:t>
                  </w:r>
                </w:p>
              </w:tc>
            </w:tr>
          </w:tbl>
          <w:p w14:paraId="47CEDEA6" w14:textId="77777777" w:rsidR="00B8507A" w:rsidRDefault="00B8507A">
            <w:pPr>
              <w:spacing w:after="0"/>
              <w:rPr>
                <w:spacing w:val="-4"/>
                <w:lang w:eastAsia="en-US"/>
              </w:rPr>
            </w:pPr>
          </w:p>
        </w:tc>
        <w:tc>
          <w:tcPr>
            <w:tcW w:w="57" w:type="dxa"/>
          </w:tcPr>
          <w:p w14:paraId="664061B7" w14:textId="77777777" w:rsidR="00B8507A" w:rsidRDefault="00B8507A">
            <w:pPr>
              <w:spacing w:after="0"/>
              <w:rPr>
                <w:spacing w:val="-4"/>
                <w:lang w:eastAsia="en-US"/>
              </w:rPr>
            </w:pPr>
          </w:p>
        </w:tc>
        <w:tc>
          <w:tcPr>
            <w:tcW w:w="4809" w:type="dxa"/>
            <w:hideMark/>
          </w:tcPr>
          <w:tbl>
            <w:tblPr>
              <w:tblW w:w="0" w:type="dxa"/>
              <w:tblLayout w:type="fixed"/>
              <w:tblCellMar>
                <w:left w:w="70" w:type="dxa"/>
                <w:right w:w="70" w:type="dxa"/>
              </w:tblCellMar>
              <w:tblLook w:val="04A0" w:firstRow="1" w:lastRow="0" w:firstColumn="1" w:lastColumn="0" w:noHBand="0" w:noVBand="1"/>
            </w:tblPr>
            <w:tblGrid>
              <w:gridCol w:w="4072"/>
              <w:gridCol w:w="700"/>
            </w:tblGrid>
            <w:tr w:rsidR="00B8507A" w14:paraId="604D9894" w14:textId="77777777">
              <w:trPr>
                <w:trHeight w:val="255"/>
              </w:trPr>
              <w:tc>
                <w:tcPr>
                  <w:tcW w:w="4072" w:type="dxa"/>
                  <w:tcBorders>
                    <w:top w:val="nil"/>
                    <w:left w:val="nil"/>
                    <w:bottom w:val="single" w:sz="4" w:space="0" w:color="auto"/>
                    <w:right w:val="nil"/>
                  </w:tcBorders>
                  <w:noWrap/>
                  <w:vAlign w:val="bottom"/>
                  <w:hideMark/>
                </w:tcPr>
                <w:p w14:paraId="4EF19A66" w14:textId="77777777" w:rsidR="00B8507A" w:rsidRDefault="00B8507A">
                  <w:pPr>
                    <w:spacing w:after="0" w:line="240" w:lineRule="auto"/>
                    <w:jc w:val="left"/>
                    <w:rPr>
                      <w:rFonts w:ascii="Calibri" w:hAnsi="Calibri" w:cs="Calibri"/>
                      <w:color w:val="000000"/>
                      <w:sz w:val="22"/>
                      <w:szCs w:val="22"/>
                      <w:lang w:eastAsia="en-US"/>
                    </w:rPr>
                  </w:pPr>
                  <w:r>
                    <w:rPr>
                      <w:rFonts w:ascii="Calibri" w:hAnsi="Calibri" w:cs="Calibri"/>
                      <w:color w:val="000000"/>
                      <w:sz w:val="22"/>
                      <w:szCs w:val="22"/>
                      <w:lang w:eastAsia="en-US"/>
                    </w:rPr>
                    <w:t> </w:t>
                  </w:r>
                </w:p>
              </w:tc>
              <w:tc>
                <w:tcPr>
                  <w:tcW w:w="700" w:type="dxa"/>
                  <w:tcBorders>
                    <w:top w:val="nil"/>
                    <w:left w:val="nil"/>
                    <w:bottom w:val="single" w:sz="4" w:space="0" w:color="auto"/>
                    <w:right w:val="nil"/>
                  </w:tcBorders>
                  <w:noWrap/>
                  <w:vAlign w:val="bottom"/>
                  <w:hideMark/>
                </w:tcPr>
                <w:p w14:paraId="25BD0AA1"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mld. Kč</w:t>
                  </w:r>
                </w:p>
              </w:tc>
            </w:tr>
            <w:tr w:rsidR="00B8507A" w14:paraId="7E273F19" w14:textId="77777777">
              <w:trPr>
                <w:trHeight w:val="255"/>
              </w:trPr>
              <w:tc>
                <w:tcPr>
                  <w:tcW w:w="4072" w:type="dxa"/>
                  <w:noWrap/>
                  <w:vAlign w:val="bottom"/>
                  <w:hideMark/>
                </w:tcPr>
                <w:p w14:paraId="1BE35AA8"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Čína</w:t>
                  </w:r>
                </w:p>
              </w:tc>
              <w:tc>
                <w:tcPr>
                  <w:tcW w:w="700" w:type="dxa"/>
                  <w:noWrap/>
                  <w:vAlign w:val="bottom"/>
                  <w:hideMark/>
                </w:tcPr>
                <w:p w14:paraId="7C19A04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+23,6</w:t>
                  </w:r>
                </w:p>
              </w:tc>
            </w:tr>
            <w:tr w:rsidR="00B8507A" w14:paraId="1C91B861" w14:textId="77777777">
              <w:trPr>
                <w:trHeight w:val="255"/>
              </w:trPr>
              <w:tc>
                <w:tcPr>
                  <w:tcW w:w="4072" w:type="dxa"/>
                  <w:noWrap/>
                  <w:vAlign w:val="bottom"/>
                  <w:hideMark/>
                </w:tcPr>
                <w:p w14:paraId="42ACAAFA"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Polsko</w:t>
                  </w:r>
                </w:p>
              </w:tc>
              <w:tc>
                <w:tcPr>
                  <w:tcW w:w="700" w:type="dxa"/>
                  <w:noWrap/>
                  <w:vAlign w:val="bottom"/>
                  <w:hideMark/>
                </w:tcPr>
                <w:p w14:paraId="75280D4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+11,1</w:t>
                  </w:r>
                </w:p>
              </w:tc>
            </w:tr>
            <w:tr w:rsidR="00B8507A" w14:paraId="667DCAE2" w14:textId="77777777">
              <w:trPr>
                <w:trHeight w:val="255"/>
              </w:trPr>
              <w:tc>
                <w:tcPr>
                  <w:tcW w:w="4072" w:type="dxa"/>
                  <w:noWrap/>
                  <w:vAlign w:val="bottom"/>
                  <w:hideMark/>
                </w:tcPr>
                <w:p w14:paraId="1D5B3097"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Velká Británie</w:t>
                  </w:r>
                </w:p>
              </w:tc>
              <w:tc>
                <w:tcPr>
                  <w:tcW w:w="700" w:type="dxa"/>
                  <w:noWrap/>
                  <w:vAlign w:val="bottom"/>
                  <w:hideMark/>
                </w:tcPr>
                <w:p w14:paraId="4E63D20B"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+10,9</w:t>
                  </w:r>
                </w:p>
              </w:tc>
            </w:tr>
            <w:tr w:rsidR="00B8507A" w14:paraId="2DDFBF9F" w14:textId="77777777">
              <w:trPr>
                <w:trHeight w:val="255"/>
              </w:trPr>
              <w:tc>
                <w:tcPr>
                  <w:tcW w:w="4072" w:type="dxa"/>
                  <w:noWrap/>
                  <w:vAlign w:val="bottom"/>
                  <w:hideMark/>
                </w:tcPr>
                <w:p w14:paraId="02DD269C"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Norsko</w:t>
                  </w:r>
                </w:p>
              </w:tc>
              <w:tc>
                <w:tcPr>
                  <w:tcW w:w="700" w:type="dxa"/>
                  <w:noWrap/>
                  <w:vAlign w:val="bottom"/>
                  <w:hideMark/>
                </w:tcPr>
                <w:p w14:paraId="791ECE5D"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+10,3</w:t>
                  </w:r>
                </w:p>
              </w:tc>
            </w:tr>
            <w:tr w:rsidR="00B8507A" w14:paraId="2E2186A2" w14:textId="77777777">
              <w:trPr>
                <w:trHeight w:val="255"/>
              </w:trPr>
              <w:tc>
                <w:tcPr>
                  <w:tcW w:w="4072" w:type="dxa"/>
                  <w:noWrap/>
                  <w:vAlign w:val="bottom"/>
                  <w:hideMark/>
                </w:tcPr>
                <w:p w14:paraId="7BC70EA6"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Japonsko</w:t>
                  </w:r>
                </w:p>
              </w:tc>
              <w:tc>
                <w:tcPr>
                  <w:tcW w:w="700" w:type="dxa"/>
                  <w:noWrap/>
                  <w:vAlign w:val="bottom"/>
                  <w:hideMark/>
                </w:tcPr>
                <w:p w14:paraId="1E89F8FB"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+9,5</w:t>
                  </w:r>
                </w:p>
              </w:tc>
            </w:tr>
            <w:tr w:rsidR="00B8507A" w14:paraId="2D20A002" w14:textId="77777777">
              <w:trPr>
                <w:trHeight w:val="255"/>
              </w:trPr>
              <w:tc>
                <w:tcPr>
                  <w:tcW w:w="4072" w:type="dxa"/>
                  <w:noWrap/>
                  <w:vAlign w:val="bottom"/>
                  <w:hideMark/>
                </w:tcPr>
                <w:p w14:paraId="5736B956"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Itálie</w:t>
                  </w:r>
                </w:p>
              </w:tc>
              <w:tc>
                <w:tcPr>
                  <w:tcW w:w="700" w:type="dxa"/>
                  <w:noWrap/>
                  <w:vAlign w:val="bottom"/>
                  <w:hideMark/>
                </w:tcPr>
                <w:p w14:paraId="6970F2D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+6,2</w:t>
                  </w:r>
                </w:p>
              </w:tc>
            </w:tr>
            <w:tr w:rsidR="00B8507A" w14:paraId="2E58CE89" w14:textId="77777777">
              <w:trPr>
                <w:trHeight w:val="255"/>
              </w:trPr>
              <w:tc>
                <w:tcPr>
                  <w:tcW w:w="4072" w:type="dxa"/>
                  <w:noWrap/>
                  <w:vAlign w:val="bottom"/>
                  <w:hideMark/>
                </w:tcPr>
                <w:p w14:paraId="57A74345"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Turecko</w:t>
                  </w:r>
                </w:p>
              </w:tc>
              <w:tc>
                <w:tcPr>
                  <w:tcW w:w="700" w:type="dxa"/>
                  <w:noWrap/>
                  <w:vAlign w:val="bottom"/>
                  <w:hideMark/>
                </w:tcPr>
                <w:p w14:paraId="46CC800A"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+4,6</w:t>
                  </w:r>
                </w:p>
              </w:tc>
            </w:tr>
            <w:tr w:rsidR="00B8507A" w14:paraId="3105455C" w14:textId="77777777">
              <w:trPr>
                <w:trHeight w:val="255"/>
              </w:trPr>
              <w:tc>
                <w:tcPr>
                  <w:tcW w:w="4072" w:type="dxa"/>
                  <w:noWrap/>
                  <w:vAlign w:val="bottom"/>
                  <w:hideMark/>
                </w:tcPr>
                <w:p w14:paraId="1FF81B83"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Korejská republika</w:t>
                  </w:r>
                </w:p>
              </w:tc>
              <w:tc>
                <w:tcPr>
                  <w:tcW w:w="700" w:type="dxa"/>
                  <w:noWrap/>
                  <w:vAlign w:val="bottom"/>
                  <w:hideMark/>
                </w:tcPr>
                <w:p w14:paraId="0C443DD8"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+4,0</w:t>
                  </w:r>
                </w:p>
              </w:tc>
            </w:tr>
            <w:tr w:rsidR="00B8507A" w14:paraId="1939FE84" w14:textId="77777777">
              <w:trPr>
                <w:trHeight w:val="255"/>
              </w:trPr>
              <w:tc>
                <w:tcPr>
                  <w:tcW w:w="4072" w:type="dxa"/>
                  <w:noWrap/>
                  <w:vAlign w:val="bottom"/>
                  <w:hideMark/>
                </w:tcPr>
                <w:p w14:paraId="3242B59C"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Švýcarsko</w:t>
                  </w:r>
                </w:p>
              </w:tc>
              <w:tc>
                <w:tcPr>
                  <w:tcW w:w="700" w:type="dxa"/>
                  <w:noWrap/>
                  <w:vAlign w:val="bottom"/>
                  <w:hideMark/>
                </w:tcPr>
                <w:p w14:paraId="443DFDAF"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+2,4</w:t>
                  </w:r>
                </w:p>
              </w:tc>
            </w:tr>
            <w:tr w:rsidR="00B8507A" w14:paraId="0138BF5A" w14:textId="77777777">
              <w:trPr>
                <w:trHeight w:val="255"/>
              </w:trPr>
              <w:tc>
                <w:tcPr>
                  <w:tcW w:w="4072" w:type="dxa"/>
                  <w:noWrap/>
                  <w:vAlign w:val="bottom"/>
                  <w:hideMark/>
                </w:tcPr>
                <w:p w14:paraId="60E5BC8F"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Spojené arabské emiráty</w:t>
                  </w:r>
                </w:p>
              </w:tc>
              <w:tc>
                <w:tcPr>
                  <w:tcW w:w="700" w:type="dxa"/>
                  <w:noWrap/>
                  <w:vAlign w:val="bottom"/>
                  <w:hideMark/>
                </w:tcPr>
                <w:p w14:paraId="687F9309"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+2,4</w:t>
                  </w:r>
                </w:p>
              </w:tc>
            </w:tr>
            <w:tr w:rsidR="00B8507A" w14:paraId="50E9DE76" w14:textId="77777777">
              <w:trPr>
                <w:trHeight w:val="255"/>
              </w:trPr>
              <w:tc>
                <w:tcPr>
                  <w:tcW w:w="4072" w:type="dxa"/>
                  <w:noWrap/>
                  <w:vAlign w:val="bottom"/>
                  <w:hideMark/>
                </w:tcPr>
                <w:p w14:paraId="79119591"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Francie</w:t>
                  </w:r>
                </w:p>
              </w:tc>
              <w:tc>
                <w:tcPr>
                  <w:tcW w:w="700" w:type="dxa"/>
                  <w:noWrap/>
                  <w:vAlign w:val="bottom"/>
                  <w:hideMark/>
                </w:tcPr>
                <w:p w14:paraId="32A3CC85"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-3,1</w:t>
                  </w:r>
                </w:p>
              </w:tc>
            </w:tr>
            <w:tr w:rsidR="00B8507A" w14:paraId="174E20F9" w14:textId="77777777">
              <w:trPr>
                <w:trHeight w:val="255"/>
              </w:trPr>
              <w:tc>
                <w:tcPr>
                  <w:tcW w:w="4072" w:type="dxa"/>
                  <w:noWrap/>
                  <w:vAlign w:val="bottom"/>
                  <w:hideMark/>
                </w:tcPr>
                <w:p w14:paraId="37082E08"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Tchaj-wan</w:t>
                  </w:r>
                </w:p>
              </w:tc>
              <w:tc>
                <w:tcPr>
                  <w:tcW w:w="700" w:type="dxa"/>
                  <w:noWrap/>
                  <w:vAlign w:val="bottom"/>
                  <w:hideMark/>
                </w:tcPr>
                <w:p w14:paraId="4FDAC897"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-4,0</w:t>
                  </w:r>
                </w:p>
              </w:tc>
            </w:tr>
            <w:tr w:rsidR="00B8507A" w14:paraId="7AA9C469" w14:textId="77777777">
              <w:trPr>
                <w:trHeight w:val="255"/>
              </w:trPr>
              <w:tc>
                <w:tcPr>
                  <w:tcW w:w="4072" w:type="dxa"/>
                  <w:noWrap/>
                  <w:vAlign w:val="bottom"/>
                  <w:hideMark/>
                </w:tcPr>
                <w:p w14:paraId="2B53BB50"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Nizozemsko</w:t>
                  </w:r>
                </w:p>
              </w:tc>
              <w:tc>
                <w:tcPr>
                  <w:tcW w:w="700" w:type="dxa"/>
                  <w:noWrap/>
                  <w:vAlign w:val="bottom"/>
                  <w:hideMark/>
                </w:tcPr>
                <w:p w14:paraId="4645B125"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-5,4</w:t>
                  </w:r>
                </w:p>
              </w:tc>
            </w:tr>
            <w:tr w:rsidR="00B8507A" w14:paraId="3E41C814" w14:textId="77777777">
              <w:trPr>
                <w:trHeight w:val="255"/>
              </w:trPr>
              <w:tc>
                <w:tcPr>
                  <w:tcW w:w="4072" w:type="dxa"/>
                  <w:noWrap/>
                  <w:vAlign w:val="bottom"/>
                  <w:hideMark/>
                </w:tcPr>
                <w:p w14:paraId="5DE0E688"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Rusko</w:t>
                  </w:r>
                </w:p>
              </w:tc>
              <w:tc>
                <w:tcPr>
                  <w:tcW w:w="700" w:type="dxa"/>
                  <w:noWrap/>
                  <w:vAlign w:val="bottom"/>
                  <w:hideMark/>
                </w:tcPr>
                <w:p w14:paraId="17F8C8F3"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-7,0</w:t>
                  </w:r>
                </w:p>
              </w:tc>
            </w:tr>
            <w:tr w:rsidR="00B8507A" w14:paraId="604596A7" w14:textId="77777777">
              <w:trPr>
                <w:trHeight w:val="255"/>
              </w:trPr>
              <w:tc>
                <w:tcPr>
                  <w:tcW w:w="4072" w:type="dxa"/>
                  <w:noWrap/>
                  <w:vAlign w:val="bottom"/>
                  <w:hideMark/>
                </w:tcPr>
                <w:p w14:paraId="7CA56AC6" w14:textId="77777777" w:rsidR="00B8507A" w:rsidRDefault="00B8507A">
                  <w:pPr>
                    <w:spacing w:after="0" w:line="240" w:lineRule="auto"/>
                    <w:jc w:val="left"/>
                    <w:rPr>
                      <w:rFonts w:cs="Arial"/>
                      <w:color w:val="000000"/>
                      <w:sz w:val="16"/>
                      <w:szCs w:val="16"/>
                      <w:lang w:eastAsia="en-US"/>
                    </w:rPr>
                  </w:pPr>
                  <w:r>
                    <w:rPr>
                      <w:rFonts w:cs="Arial"/>
                      <w:color w:val="000000"/>
                      <w:sz w:val="16"/>
                      <w:szCs w:val="16"/>
                      <w:lang w:eastAsia="en-US"/>
                    </w:rPr>
                    <w:t>Německo</w:t>
                  </w:r>
                </w:p>
              </w:tc>
              <w:tc>
                <w:tcPr>
                  <w:tcW w:w="700" w:type="dxa"/>
                  <w:noWrap/>
                  <w:vAlign w:val="bottom"/>
                  <w:hideMark/>
                </w:tcPr>
                <w:p w14:paraId="70FE2104" w14:textId="77777777" w:rsidR="00B8507A" w:rsidRDefault="00B8507A">
                  <w:pPr>
                    <w:spacing w:after="0" w:line="240" w:lineRule="auto"/>
                    <w:jc w:val="right"/>
                    <w:rPr>
                      <w:rFonts w:cs="Arial"/>
                      <w:color w:val="000000"/>
                      <w:sz w:val="16"/>
                      <w:szCs w:val="16"/>
                      <w:lang w:eastAsia="en-US"/>
                    </w:rPr>
                  </w:pPr>
                  <w:r>
                    <w:rPr>
                      <w:rFonts w:cs="Arial"/>
                      <w:color w:val="000000"/>
                      <w:sz w:val="16"/>
                      <w:szCs w:val="16"/>
                      <w:lang w:eastAsia="en-US"/>
                    </w:rPr>
                    <w:t>-21,6</w:t>
                  </w:r>
                </w:p>
              </w:tc>
            </w:tr>
          </w:tbl>
          <w:p w14:paraId="68B17CC7" w14:textId="77777777" w:rsidR="00B8507A" w:rsidRDefault="00B8507A">
            <w:pPr>
              <w:spacing w:after="0"/>
              <w:rPr>
                <w:spacing w:val="-4"/>
                <w:lang w:eastAsia="en-US"/>
              </w:rPr>
            </w:pPr>
          </w:p>
        </w:tc>
      </w:tr>
      <w:tr w:rsidR="00B8507A" w14:paraId="78FBEB72" w14:textId="77777777" w:rsidTr="00B8507A">
        <w:trPr>
          <w:trHeight w:val="170"/>
        </w:trPr>
        <w:tc>
          <w:tcPr>
            <w:tcW w:w="4811" w:type="dxa"/>
            <w:gridSpan w:val="3"/>
            <w:hideMark/>
          </w:tcPr>
          <w:p w14:paraId="0FFAD6C6" w14:textId="77777777" w:rsidR="00B8507A" w:rsidRDefault="00B8507A">
            <w:pPr>
              <w:jc w:val="right"/>
              <w:rPr>
                <w:spacing w:val="-4"/>
                <w:sz w:val="16"/>
                <w:szCs w:val="16"/>
                <w:lang w:eastAsia="en-US"/>
              </w:rPr>
            </w:pPr>
            <w:r>
              <w:rPr>
                <w:spacing w:val="-4"/>
                <w:sz w:val="16"/>
                <w:szCs w:val="16"/>
                <w:lang w:eastAsia="en-US"/>
              </w:rPr>
              <w:t>Zdroj: ČSÚ</w:t>
            </w:r>
          </w:p>
        </w:tc>
        <w:tc>
          <w:tcPr>
            <w:tcW w:w="57" w:type="dxa"/>
          </w:tcPr>
          <w:p w14:paraId="250E3622" w14:textId="77777777" w:rsidR="00B8507A" w:rsidRDefault="00B8507A">
            <w:pPr>
              <w:spacing w:after="0"/>
              <w:rPr>
                <w:spacing w:val="-4"/>
                <w:lang w:eastAsia="en-US"/>
              </w:rPr>
            </w:pPr>
          </w:p>
        </w:tc>
        <w:tc>
          <w:tcPr>
            <w:tcW w:w="4809" w:type="dxa"/>
            <w:hideMark/>
          </w:tcPr>
          <w:p w14:paraId="2D3F85C7" w14:textId="77777777" w:rsidR="00B8507A" w:rsidRDefault="00B8507A">
            <w:pPr>
              <w:spacing w:after="0"/>
              <w:jc w:val="right"/>
              <w:rPr>
                <w:spacing w:val="-4"/>
                <w:lang w:eastAsia="en-US"/>
              </w:rPr>
            </w:pPr>
            <w:r>
              <w:rPr>
                <w:spacing w:val="-4"/>
                <w:sz w:val="16"/>
                <w:szCs w:val="16"/>
                <w:lang w:eastAsia="en-US"/>
              </w:rPr>
              <w:t>Zdroj: ČSÚ</w:t>
            </w:r>
          </w:p>
        </w:tc>
      </w:tr>
      <w:tr w:rsidR="00B8507A" w14:paraId="6E6FCE06" w14:textId="77777777" w:rsidTr="00B8507A">
        <w:trPr>
          <w:trHeight w:val="150"/>
        </w:trPr>
        <w:tc>
          <w:tcPr>
            <w:tcW w:w="1748" w:type="dxa"/>
          </w:tcPr>
          <w:p w14:paraId="7384718B" w14:textId="77777777" w:rsidR="00B8507A" w:rsidRDefault="00B8507A">
            <w:pPr>
              <w:pStyle w:val="Marginlie"/>
              <w:rPr>
                <w:lang w:eastAsia="en-US"/>
              </w:rPr>
            </w:pPr>
          </w:p>
        </w:tc>
        <w:tc>
          <w:tcPr>
            <w:tcW w:w="221" w:type="dxa"/>
          </w:tcPr>
          <w:p w14:paraId="3B04C886" w14:textId="77777777" w:rsidR="00B8507A" w:rsidRDefault="00B8507A">
            <w:pPr>
              <w:pStyle w:val="Textpoznpodarou"/>
              <w:jc w:val="both"/>
              <w:rPr>
                <w:spacing w:val="-4"/>
                <w:lang w:eastAsia="en-US"/>
              </w:rPr>
            </w:pPr>
          </w:p>
        </w:tc>
        <w:tc>
          <w:tcPr>
            <w:tcW w:w="7708" w:type="dxa"/>
            <w:gridSpan w:val="3"/>
            <w:hideMark/>
          </w:tcPr>
          <w:p w14:paraId="418D8D3A" w14:textId="36B77DDA" w:rsidR="00B8507A" w:rsidRDefault="00EC6B23">
            <w:pPr>
              <w:spacing w:after="0"/>
              <w:rPr>
                <w:spacing w:val="-4"/>
                <w:lang w:eastAsia="en-US"/>
              </w:rPr>
            </w:pPr>
            <w:r>
              <w:rPr>
                <w:rFonts w:cs="Arial"/>
                <w:b/>
                <w:bCs/>
                <w:color w:val="000000"/>
                <w:szCs w:val="20"/>
                <w:lang w:eastAsia="en-US"/>
              </w:rPr>
              <w:t>Graf č. 9</w:t>
            </w:r>
            <w:r w:rsidR="00B8507A">
              <w:rPr>
                <w:rFonts w:cs="Arial"/>
                <w:b/>
                <w:bCs/>
                <w:color w:val="000000"/>
                <w:szCs w:val="20"/>
                <w:lang w:eastAsia="en-US"/>
              </w:rPr>
              <w:t xml:space="preserve"> Vývoz a dovoz zboží </w:t>
            </w:r>
            <w:r w:rsidR="00B8507A">
              <w:rPr>
                <w:rFonts w:cs="Arial"/>
                <w:bCs/>
                <w:color w:val="000000"/>
                <w:szCs w:val="20"/>
                <w:lang w:eastAsia="en-US"/>
              </w:rPr>
              <w:t>(meziročně v %)</w:t>
            </w:r>
            <w:r w:rsidR="00B8507A">
              <w:rPr>
                <w:rFonts w:cs="Arial"/>
                <w:b/>
                <w:bCs/>
                <w:color w:val="000000"/>
                <w:szCs w:val="20"/>
                <w:lang w:eastAsia="en-US"/>
              </w:rPr>
              <w:t xml:space="preserve"> a bilance zahraničního obchodu se zbožím </w:t>
            </w:r>
            <w:r w:rsidR="00B8507A">
              <w:rPr>
                <w:rFonts w:cs="Arial"/>
                <w:bCs/>
                <w:color w:val="000000"/>
                <w:szCs w:val="20"/>
                <w:lang w:eastAsia="en-US"/>
              </w:rPr>
              <w:t>(v mld. korun, pravá osa)</w:t>
            </w:r>
            <w:r w:rsidR="00B8507A">
              <w:rPr>
                <w:rFonts w:cs="Arial"/>
                <w:b/>
                <w:bCs/>
                <w:color w:val="000000"/>
                <w:szCs w:val="20"/>
                <w:lang w:eastAsia="en-US"/>
              </w:rPr>
              <w:t xml:space="preserve"> </w:t>
            </w:r>
          </w:p>
        </w:tc>
      </w:tr>
      <w:tr w:rsidR="00B8507A" w14:paraId="781DFB9F" w14:textId="77777777" w:rsidTr="00B8507A">
        <w:trPr>
          <w:trHeight w:val="150"/>
        </w:trPr>
        <w:tc>
          <w:tcPr>
            <w:tcW w:w="1748" w:type="dxa"/>
            <w:vMerge w:val="restart"/>
            <w:tcMar>
              <w:top w:w="0" w:type="dxa"/>
              <w:left w:w="70" w:type="dxa"/>
              <w:bottom w:w="0" w:type="dxa"/>
              <w:right w:w="70" w:type="dxa"/>
            </w:tcMar>
            <w:vAlign w:val="center"/>
            <w:hideMark/>
          </w:tcPr>
          <w:p w14:paraId="523FA1DB" w14:textId="77777777" w:rsidR="00B8507A" w:rsidRDefault="00B8507A">
            <w:pPr>
              <w:rPr>
                <w:spacing w:val="-4"/>
                <w:lang w:eastAsia="en-US"/>
              </w:rPr>
            </w:pPr>
          </w:p>
        </w:tc>
        <w:tc>
          <w:tcPr>
            <w:tcW w:w="221" w:type="dxa"/>
            <w:vMerge w:val="restart"/>
            <w:tcMar>
              <w:top w:w="0" w:type="dxa"/>
              <w:left w:w="70" w:type="dxa"/>
              <w:bottom w:w="0" w:type="dxa"/>
              <w:right w:w="70" w:type="dxa"/>
            </w:tcMar>
            <w:vAlign w:val="center"/>
            <w:hideMark/>
          </w:tcPr>
          <w:p w14:paraId="6E313B21" w14:textId="77777777" w:rsidR="00B8507A" w:rsidRDefault="00B8507A">
            <w:pPr>
              <w:spacing w:after="0" w:line="240" w:lineRule="auto"/>
              <w:jc w:val="left"/>
              <w:rPr>
                <w:rFonts w:ascii="Calibri" w:eastAsia="Calibri" w:hAnsi="Calibri" w:cs="Calibri"/>
                <w:szCs w:val="20"/>
              </w:rPr>
            </w:pPr>
          </w:p>
        </w:tc>
        <w:tc>
          <w:tcPr>
            <w:tcW w:w="7708" w:type="dxa"/>
            <w:gridSpan w:val="3"/>
            <w:tcMar>
              <w:top w:w="0" w:type="dxa"/>
              <w:left w:w="70" w:type="dxa"/>
              <w:bottom w:w="0" w:type="dxa"/>
              <w:right w:w="70" w:type="dxa"/>
            </w:tcMar>
            <w:hideMark/>
          </w:tcPr>
          <w:p w14:paraId="71B64264" w14:textId="04BA0EAE" w:rsidR="00B8507A" w:rsidRDefault="00B8507A">
            <w:pPr>
              <w:spacing w:after="0"/>
              <w:rPr>
                <w:spacing w:val="-4"/>
                <w:lang w:eastAsia="en-US"/>
              </w:rPr>
            </w:pPr>
            <w:r>
              <w:rPr>
                <w:noProof/>
              </w:rPr>
              <w:drawing>
                <wp:inline distT="0" distB="0" distL="0" distR="0" wp14:anchorId="29683375" wp14:editId="5AD3A6FD">
                  <wp:extent cx="4754880" cy="3235960"/>
                  <wp:effectExtent l="0" t="0" r="7620" b="254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B8507A" w14:paraId="48473AEA" w14:textId="77777777" w:rsidTr="00B8507A">
        <w:trPr>
          <w:trHeight w:val="150"/>
        </w:trPr>
        <w:tc>
          <w:tcPr>
            <w:tcW w:w="4811" w:type="dxa"/>
            <w:vMerge/>
            <w:vAlign w:val="center"/>
            <w:hideMark/>
          </w:tcPr>
          <w:p w14:paraId="314B085C" w14:textId="77777777" w:rsidR="00B8507A" w:rsidRDefault="00B8507A">
            <w:pPr>
              <w:spacing w:after="0" w:line="240" w:lineRule="auto"/>
              <w:jc w:val="left"/>
              <w:rPr>
                <w:spacing w:val="-4"/>
                <w:lang w:eastAsia="en-US"/>
              </w:rPr>
            </w:pPr>
          </w:p>
        </w:tc>
        <w:tc>
          <w:tcPr>
            <w:tcW w:w="221" w:type="dxa"/>
            <w:vMerge/>
            <w:vAlign w:val="center"/>
            <w:hideMark/>
          </w:tcPr>
          <w:p w14:paraId="268C862B" w14:textId="77777777" w:rsidR="00B8507A" w:rsidRDefault="00B8507A">
            <w:pPr>
              <w:spacing w:after="0" w:line="240" w:lineRule="auto"/>
              <w:jc w:val="left"/>
              <w:rPr>
                <w:rFonts w:ascii="Calibri" w:eastAsia="Calibri" w:hAnsi="Calibri" w:cs="Calibri"/>
                <w:szCs w:val="20"/>
              </w:rPr>
            </w:pPr>
          </w:p>
        </w:tc>
        <w:tc>
          <w:tcPr>
            <w:tcW w:w="7708" w:type="dxa"/>
            <w:gridSpan w:val="3"/>
            <w:hideMark/>
          </w:tcPr>
          <w:p w14:paraId="7803E3CE" w14:textId="77777777" w:rsidR="00B8507A" w:rsidRDefault="00B8507A">
            <w:pPr>
              <w:spacing w:after="0"/>
              <w:jc w:val="right"/>
              <w:rPr>
                <w:spacing w:val="-4"/>
                <w:sz w:val="16"/>
                <w:szCs w:val="16"/>
                <w:lang w:eastAsia="en-US"/>
              </w:rPr>
            </w:pPr>
            <w:r>
              <w:rPr>
                <w:sz w:val="16"/>
                <w:szCs w:val="16"/>
                <w:lang w:eastAsia="en-US"/>
              </w:rPr>
              <w:t>Zdroj: ČSÚ</w:t>
            </w:r>
          </w:p>
        </w:tc>
      </w:tr>
      <w:tr w:rsidR="00B8507A" w14:paraId="304B577D" w14:textId="77777777" w:rsidTr="00B8507A">
        <w:trPr>
          <w:trHeight w:val="150"/>
        </w:trPr>
        <w:tc>
          <w:tcPr>
            <w:tcW w:w="1748" w:type="dxa"/>
            <w:hideMark/>
          </w:tcPr>
          <w:p w14:paraId="6FABFE31" w14:textId="77777777" w:rsidR="00B8507A" w:rsidRDefault="00B8507A">
            <w:pPr>
              <w:spacing w:after="0"/>
              <w:jc w:val="left"/>
              <w:rPr>
                <w:spacing w:val="-2"/>
                <w:sz w:val="16"/>
                <w:szCs w:val="16"/>
                <w:lang w:eastAsia="en-US"/>
              </w:rPr>
            </w:pPr>
            <w:r>
              <w:rPr>
                <w:spacing w:val="-2"/>
                <w:sz w:val="16"/>
                <w:szCs w:val="16"/>
                <w:lang w:eastAsia="en-US"/>
              </w:rPr>
              <w:lastRenderedPageBreak/>
              <w:t>Ve směru zlepšení bilance působil nejvíce obchod s elektrickými zařízeními a motorovými vozidly.</w:t>
            </w:r>
          </w:p>
        </w:tc>
        <w:tc>
          <w:tcPr>
            <w:tcW w:w="221" w:type="dxa"/>
            <w:vAlign w:val="center"/>
          </w:tcPr>
          <w:p w14:paraId="3443A02D" w14:textId="77777777" w:rsidR="00B8507A" w:rsidRDefault="00B8507A">
            <w:pPr>
              <w:spacing w:after="0" w:line="240" w:lineRule="auto"/>
              <w:jc w:val="left"/>
              <w:rPr>
                <w:rFonts w:eastAsia="Calibri"/>
                <w:spacing w:val="-4"/>
                <w:szCs w:val="20"/>
                <w:lang w:eastAsia="en-US"/>
              </w:rPr>
            </w:pPr>
          </w:p>
        </w:tc>
        <w:tc>
          <w:tcPr>
            <w:tcW w:w="7708" w:type="dxa"/>
            <w:gridSpan w:val="3"/>
            <w:hideMark/>
          </w:tcPr>
          <w:p w14:paraId="2164BA49" w14:textId="77777777" w:rsidR="00B8507A" w:rsidRDefault="00B8507A">
            <w:pPr>
              <w:rPr>
                <w:sz w:val="16"/>
                <w:szCs w:val="16"/>
                <w:lang w:eastAsia="en-US"/>
              </w:rPr>
            </w:pPr>
            <w:r>
              <w:rPr>
                <w:spacing w:val="-4"/>
                <w:lang w:eastAsia="en-US"/>
              </w:rPr>
              <w:t>Z hlediska zbožové struktury ve směru meziročního zlepšení bilance zahraničního obchodu se zbožím nejvíce působil obchod s elektrickými zařízeními těsně následovaný motorovými vozidly (viz Tabulka č. 5). Zlepšilo se také saldo obchodu s chemickými látkami a přípravky, černým a hnědým uhlím a lignitem, stroji a zařízeními a základními kovy. Úroveň 1 mld. korun přesáhlo meziroční zlepšení bilance zahraničního obchodu s ostatními výrobky zpracovatelského průmyslu, rudami, oděvy, ostatními dopravními prostředky a zařízeními, papírem a výrobky z něj a sběrem, přípravou, likvidací a zpracováním odpadu. Mezi oddíly, kde se bilance zlepšila, tak mimo jiné figurují suroviny, u kterých se v posledních letech nejprve prudce zvýšily ceny, a nyní naopak zlevňují. S nižšími cenami souvisí rovněž meziroční zhoršení bilance obchodu s elektřinou, plynem, párou a klimatizovaným vzduchem a koksem a rafinovanými ropnými produkty. Ve směru zhoršení bilance působil také obchod s nábytkem, produkty lesnictví a těžby dřeva, ostatními nekovovými minerálními výrobky nebo potravinářskými výrobky.</w:t>
            </w:r>
          </w:p>
        </w:tc>
      </w:tr>
      <w:bookmarkEnd w:id="37"/>
      <w:bookmarkEnd w:id="38"/>
      <w:bookmarkEnd w:id="39"/>
    </w:tbl>
    <w:p w14:paraId="55682F80" w14:textId="77777777" w:rsidR="00B8507A" w:rsidRDefault="00B8507A" w:rsidP="00B8507A">
      <w:pPr>
        <w:spacing w:after="0" w:line="240" w:lineRule="auto"/>
        <w:jc w:val="left"/>
        <w:rPr>
          <w:rFonts w:eastAsia="MS Gothic"/>
          <w:bCs/>
          <w:color w:val="71818C"/>
          <w:sz w:val="2"/>
          <w:szCs w:val="2"/>
        </w:rPr>
      </w:pPr>
    </w:p>
    <w:p w14:paraId="6D184774" w14:textId="77777777" w:rsidR="00B8507A" w:rsidRDefault="00B8507A">
      <w:pPr>
        <w:spacing w:after="0" w:line="240" w:lineRule="auto"/>
        <w:jc w:val="left"/>
        <w:rPr>
          <w:rFonts w:eastAsia="MS Gothic"/>
          <w:b/>
          <w:bCs/>
          <w:color w:val="71818C"/>
          <w:sz w:val="32"/>
          <w:szCs w:val="28"/>
        </w:rPr>
      </w:pPr>
      <w:r>
        <w:br w:type="page"/>
      </w:r>
    </w:p>
    <w:p w14:paraId="54EDA1DF" w14:textId="3950D56B" w:rsidR="007C3842" w:rsidRDefault="007C3842" w:rsidP="007C3842">
      <w:pPr>
        <w:pStyle w:val="Nadpis11"/>
      </w:pPr>
      <w:bookmarkStart w:id="40" w:name="_Toc169258117"/>
      <w:r>
        <w:lastRenderedPageBreak/>
        <w:t>5. Ceny</w:t>
      </w:r>
      <w:bookmarkEnd w:id="33"/>
      <w:bookmarkEnd w:id="40"/>
    </w:p>
    <w:tbl>
      <w:tblPr>
        <w:tblW w:w="9639" w:type="dxa"/>
        <w:tblInd w:w="-15" w:type="dxa"/>
        <w:tblCellMar>
          <w:left w:w="0" w:type="dxa"/>
          <w:right w:w="0" w:type="dxa"/>
        </w:tblCellMar>
        <w:tblLook w:val="00A0" w:firstRow="1" w:lastRow="0" w:firstColumn="1" w:lastColumn="0" w:noHBand="0" w:noVBand="0"/>
      </w:tblPr>
      <w:tblGrid>
        <w:gridCol w:w="1804"/>
        <w:gridCol w:w="224"/>
        <w:gridCol w:w="7611"/>
      </w:tblGrid>
      <w:tr w:rsidR="007C3842" w14:paraId="0098134C" w14:textId="77777777" w:rsidTr="00FA1CA9">
        <w:trPr>
          <w:trHeight w:val="145"/>
        </w:trPr>
        <w:tc>
          <w:tcPr>
            <w:tcW w:w="1804" w:type="dxa"/>
            <w:hideMark/>
          </w:tcPr>
          <w:p w14:paraId="3B67D303" w14:textId="77777777" w:rsidR="007C3842" w:rsidRDefault="007C3842" w:rsidP="00FA1CA9">
            <w:pPr>
              <w:pStyle w:val="Marginlie"/>
              <w:rPr>
                <w:spacing w:val="0"/>
                <w:lang w:eastAsia="en-US"/>
              </w:rPr>
            </w:pPr>
            <w:r>
              <w:rPr>
                <w:spacing w:val="0"/>
                <w:lang w:eastAsia="en-US"/>
              </w:rPr>
              <w:t xml:space="preserve">Celková cenová hladina v 1. čtvrtletí meziročně </w:t>
            </w:r>
            <w:r>
              <w:rPr>
                <w:spacing w:val="0"/>
                <w:lang w:eastAsia="en-US"/>
              </w:rPr>
              <w:br/>
              <w:t>i mezičtvrtletně rostla.</w:t>
            </w:r>
          </w:p>
        </w:tc>
        <w:tc>
          <w:tcPr>
            <w:tcW w:w="224" w:type="dxa"/>
          </w:tcPr>
          <w:p w14:paraId="1916DC41" w14:textId="77777777" w:rsidR="007C3842" w:rsidRDefault="007C3842" w:rsidP="00FA1CA9">
            <w:pPr>
              <w:pStyle w:val="Textpoznpodarou1"/>
              <w:jc w:val="both"/>
              <w:rPr>
                <w:lang w:eastAsia="en-US"/>
              </w:rPr>
            </w:pPr>
          </w:p>
        </w:tc>
        <w:tc>
          <w:tcPr>
            <w:tcW w:w="7611" w:type="dxa"/>
            <w:hideMark/>
          </w:tcPr>
          <w:p w14:paraId="1D0C6C01" w14:textId="77777777" w:rsidR="007C3842" w:rsidRDefault="007C3842" w:rsidP="00FA1CA9">
            <w:pPr>
              <w:rPr>
                <w:szCs w:val="20"/>
                <w:lang w:eastAsia="en-US"/>
              </w:rPr>
            </w:pPr>
            <w:r>
              <w:rPr>
                <w:szCs w:val="20"/>
                <w:lang w:eastAsia="en-US"/>
              </w:rPr>
              <w:t>Celková cenová hladina měřená deflátorem HDP se v 1. čtvrtletí 2024 meziročně zvýšila o 3,7 %. Dynamika tak výrazně zpomalila ve srovnání s rokem 2023. Ceny spotřeby byly meziročně vyšší o 2,8 %, z toho u domácností růst zpomalil na 2,4 % a vládní spotřeba byla dražší o 3,4 %. Ceny kapitálových statků meziročně vzrostly o 2,4 %. Stále kladné zůstávaly meziroční směnné relace, které v 1. čtvrtletí dosáhly 101,6 %. Mezičtvrtletně se celková cenová hladina zvýšila o 1,6 %. Z toho ceny spotřeby vzrostly o 2,1 %, cenová hladina tvorby hrubého kapitálu klesla o 1,1 % (z toho ale ceny investičních statků vzrostly o 1,4 %) a mezičtvrtletní směnné relace dosáhly v 1. kvartálu 100,4 %.</w:t>
            </w:r>
          </w:p>
        </w:tc>
      </w:tr>
      <w:tr w:rsidR="007C3842" w14:paraId="3C02D5F8" w14:textId="77777777" w:rsidTr="00FA1CA9">
        <w:trPr>
          <w:trHeight w:val="145"/>
        </w:trPr>
        <w:tc>
          <w:tcPr>
            <w:tcW w:w="1804" w:type="dxa"/>
            <w:hideMark/>
          </w:tcPr>
          <w:p w14:paraId="6528EF2C" w14:textId="77777777" w:rsidR="007C3842" w:rsidRDefault="007C3842" w:rsidP="00FA1CA9">
            <w:pPr>
              <w:pStyle w:val="Marginlie"/>
              <w:rPr>
                <w:spacing w:val="0"/>
                <w:lang w:eastAsia="en-US"/>
              </w:rPr>
            </w:pPr>
            <w:r>
              <w:rPr>
                <w:spacing w:val="0"/>
                <w:lang w:eastAsia="en-US"/>
              </w:rPr>
              <w:t>Meziroční růst spotřebitelských cen výrazně zpomalil.</w:t>
            </w:r>
          </w:p>
        </w:tc>
        <w:tc>
          <w:tcPr>
            <w:tcW w:w="224" w:type="dxa"/>
          </w:tcPr>
          <w:p w14:paraId="6E6C5D66" w14:textId="77777777" w:rsidR="007C3842" w:rsidRDefault="007C3842" w:rsidP="00FA1CA9">
            <w:pPr>
              <w:pStyle w:val="Textpoznpodarou1"/>
              <w:jc w:val="both"/>
              <w:rPr>
                <w:lang w:eastAsia="en-US"/>
              </w:rPr>
            </w:pPr>
          </w:p>
        </w:tc>
        <w:tc>
          <w:tcPr>
            <w:tcW w:w="7611" w:type="dxa"/>
            <w:hideMark/>
          </w:tcPr>
          <w:p w14:paraId="4E48055E" w14:textId="77777777" w:rsidR="007C3842" w:rsidRDefault="007C3842" w:rsidP="00FA1CA9">
            <w:pPr>
              <w:rPr>
                <w:lang w:eastAsia="en-US"/>
              </w:rPr>
            </w:pPr>
            <w:r>
              <w:rPr>
                <w:lang w:eastAsia="en-US"/>
              </w:rPr>
              <w:t>Meziroční růst indexu spotřebitelských cen se v 1. čtvrtletí roku 2024 vrátil blízko inflačnímu cíli a dosáhl 2,1 %. Oproti předchozímu půlroku tak výrazně zpomalil (ve 3. a 4. čtvrtletí 2023 meziroční přírůstek dosáhl 8,0 % a 7,6 %). Ve všech oddílech spotřebitelského koše s výjimkou potravin a nealkoholických nápojů se meziroční přírůstek udržel. Za zpomalením stojí zejména vývoj cen bydlení a energií a potravin. Zmírnění meziroční dynamiky ve zbytku spotřebního koše nebylo tak výrazné. V případě dopravy se ceny dostaly z poklesu ve 4. čtvrtletí 2023 do mírného meziročního růstu v 1. kvartálu 2024. Mezičtvrtletně spotřebitelské ceny v 1. čtvrtletí 2024 vzrostly o 1,4 %. Přírůstek se tak vrátil do mezí, které jsou poměrně typické pro první čtvrtletí roku</w:t>
            </w:r>
            <w:r>
              <w:rPr>
                <w:rStyle w:val="Znakapoznpodarou"/>
                <w:lang w:eastAsia="en-US"/>
              </w:rPr>
              <w:footnoteReference w:id="46"/>
            </w:r>
            <w:r>
              <w:rPr>
                <w:lang w:eastAsia="en-US"/>
              </w:rPr>
              <w:t>. Naprostá většina z mezičtvrtletního navýšení byla soustředěna do ledna, kdy tradičně dochází k aktualizaci ceníků i administrativně stanovených cen. Mezičtvrtletně klesly jen ceny potravin a nealkoholických nápojů a odívání a obuvi. Výrazně naopak na začátku roku mezičtvrtletně rostly ceny rekreací a kultury, bydlení a energií, stravování a ubytování nebo alkoholických nápojů a tabáku.</w:t>
            </w:r>
          </w:p>
        </w:tc>
      </w:tr>
      <w:tr w:rsidR="007C3842" w14:paraId="50453791" w14:textId="77777777" w:rsidTr="00FA1CA9">
        <w:trPr>
          <w:trHeight w:val="145"/>
        </w:trPr>
        <w:tc>
          <w:tcPr>
            <w:tcW w:w="1804" w:type="dxa"/>
          </w:tcPr>
          <w:p w14:paraId="53D7575F" w14:textId="77777777" w:rsidR="007C3842" w:rsidRDefault="007C3842" w:rsidP="00FA1CA9">
            <w:pPr>
              <w:pStyle w:val="Marginlie"/>
              <w:rPr>
                <w:spacing w:val="0"/>
                <w:lang w:eastAsia="en-US"/>
              </w:rPr>
            </w:pPr>
          </w:p>
        </w:tc>
        <w:tc>
          <w:tcPr>
            <w:tcW w:w="224" w:type="dxa"/>
          </w:tcPr>
          <w:p w14:paraId="073FADE8" w14:textId="77777777" w:rsidR="007C3842" w:rsidRDefault="007C3842" w:rsidP="00FA1CA9">
            <w:pPr>
              <w:pStyle w:val="Textpoznpodarou1"/>
              <w:jc w:val="both"/>
              <w:rPr>
                <w:lang w:eastAsia="en-US"/>
              </w:rPr>
            </w:pPr>
          </w:p>
        </w:tc>
        <w:tc>
          <w:tcPr>
            <w:tcW w:w="7611" w:type="dxa"/>
          </w:tcPr>
          <w:p w14:paraId="30FF6151" w14:textId="40252BB4" w:rsidR="007C3842" w:rsidRDefault="007C3842" w:rsidP="00EC6B23">
            <w:pPr>
              <w:spacing w:after="0"/>
              <w:rPr>
                <w:lang w:eastAsia="en-US"/>
              </w:rPr>
            </w:pPr>
            <w:r>
              <w:rPr>
                <w:rFonts w:cs="Arial"/>
                <w:b/>
                <w:bCs/>
                <w:color w:val="000000"/>
                <w:sz w:val="18"/>
                <w:szCs w:val="18"/>
                <w:lang w:eastAsia="en-US"/>
              </w:rPr>
              <w:t>Graf č. 1</w:t>
            </w:r>
            <w:r w:rsidR="00EC6B23">
              <w:rPr>
                <w:rFonts w:cs="Arial"/>
                <w:b/>
                <w:bCs/>
                <w:color w:val="000000"/>
                <w:sz w:val="18"/>
                <w:szCs w:val="18"/>
                <w:lang w:eastAsia="en-US"/>
              </w:rPr>
              <w:t>0</w:t>
            </w:r>
            <w:r>
              <w:rPr>
                <w:rFonts w:cs="Arial"/>
                <w:b/>
                <w:bCs/>
                <w:color w:val="000000"/>
                <w:sz w:val="18"/>
                <w:szCs w:val="18"/>
                <w:lang w:eastAsia="en-US"/>
              </w:rPr>
              <w:t xml:space="preserve"> Ceny ve vybraných oddílech indexu spotřebitelských cen</w:t>
            </w:r>
            <w:r>
              <w:rPr>
                <w:rFonts w:cs="Arial"/>
                <w:b/>
                <w:color w:val="000000"/>
                <w:sz w:val="18"/>
                <w:szCs w:val="18"/>
                <w:lang w:eastAsia="en-US"/>
              </w:rPr>
              <w:t xml:space="preserve"> </w:t>
            </w:r>
            <w:r>
              <w:rPr>
                <w:rFonts w:cs="Arial"/>
                <w:color w:val="000000"/>
                <w:sz w:val="18"/>
                <w:szCs w:val="18"/>
                <w:lang w:eastAsia="en-US"/>
              </w:rPr>
              <w:t>(meziročně v %)</w:t>
            </w:r>
          </w:p>
        </w:tc>
      </w:tr>
      <w:tr w:rsidR="007C3842" w14:paraId="5F2BF2EE" w14:textId="77777777" w:rsidTr="00FA1CA9">
        <w:trPr>
          <w:trHeight w:val="145"/>
        </w:trPr>
        <w:tc>
          <w:tcPr>
            <w:tcW w:w="1804" w:type="dxa"/>
          </w:tcPr>
          <w:p w14:paraId="0A719909" w14:textId="77777777" w:rsidR="007C3842" w:rsidRDefault="007C3842" w:rsidP="00FA1CA9">
            <w:pPr>
              <w:pStyle w:val="Marginlie"/>
              <w:rPr>
                <w:spacing w:val="0"/>
                <w:lang w:eastAsia="en-US"/>
              </w:rPr>
            </w:pPr>
          </w:p>
        </w:tc>
        <w:tc>
          <w:tcPr>
            <w:tcW w:w="224" w:type="dxa"/>
          </w:tcPr>
          <w:p w14:paraId="43089C33" w14:textId="77777777" w:rsidR="007C3842" w:rsidRDefault="007C3842" w:rsidP="00FA1CA9">
            <w:pPr>
              <w:pStyle w:val="Textpoznpodarou1"/>
              <w:jc w:val="both"/>
              <w:rPr>
                <w:lang w:eastAsia="en-US"/>
              </w:rPr>
            </w:pPr>
          </w:p>
        </w:tc>
        <w:tc>
          <w:tcPr>
            <w:tcW w:w="7611" w:type="dxa"/>
          </w:tcPr>
          <w:p w14:paraId="3C5D37A1" w14:textId="77777777" w:rsidR="007C3842" w:rsidRDefault="007C3842" w:rsidP="00FA1CA9">
            <w:pPr>
              <w:spacing w:after="0"/>
              <w:jc w:val="center"/>
              <w:rPr>
                <w:lang w:eastAsia="en-US"/>
              </w:rPr>
            </w:pPr>
            <w:r>
              <w:rPr>
                <w:noProof/>
              </w:rPr>
              <w:drawing>
                <wp:inline distT="0" distB="0" distL="0" distR="0" wp14:anchorId="16723108" wp14:editId="35CFCE22">
                  <wp:extent cx="4752000" cy="3553200"/>
                  <wp:effectExtent l="0" t="0" r="0" b="0"/>
                  <wp:docPr id="6" name="Graf 6">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7C3842" w14:paraId="63517877" w14:textId="77777777" w:rsidTr="00FA1CA9">
        <w:trPr>
          <w:trHeight w:val="145"/>
        </w:trPr>
        <w:tc>
          <w:tcPr>
            <w:tcW w:w="1804" w:type="dxa"/>
          </w:tcPr>
          <w:p w14:paraId="34136D54" w14:textId="77777777" w:rsidR="007C3842" w:rsidRDefault="007C3842" w:rsidP="00FA1CA9">
            <w:pPr>
              <w:pStyle w:val="Marginlie"/>
              <w:rPr>
                <w:spacing w:val="0"/>
                <w:lang w:eastAsia="en-US"/>
              </w:rPr>
            </w:pPr>
          </w:p>
        </w:tc>
        <w:tc>
          <w:tcPr>
            <w:tcW w:w="224" w:type="dxa"/>
          </w:tcPr>
          <w:p w14:paraId="6855F353" w14:textId="77777777" w:rsidR="007C3842" w:rsidRDefault="007C3842" w:rsidP="00FA1CA9">
            <w:pPr>
              <w:pStyle w:val="Textpoznpodarou1"/>
              <w:jc w:val="both"/>
              <w:rPr>
                <w:lang w:eastAsia="en-US"/>
              </w:rPr>
            </w:pPr>
          </w:p>
        </w:tc>
        <w:tc>
          <w:tcPr>
            <w:tcW w:w="7611" w:type="dxa"/>
          </w:tcPr>
          <w:p w14:paraId="44649FC1" w14:textId="77777777" w:rsidR="007C3842" w:rsidRPr="002E0000" w:rsidRDefault="007C3842" w:rsidP="00FA1CA9">
            <w:pPr>
              <w:jc w:val="right"/>
              <w:rPr>
                <w:sz w:val="16"/>
                <w:szCs w:val="16"/>
                <w:lang w:eastAsia="en-US"/>
              </w:rPr>
            </w:pPr>
            <w:r w:rsidRPr="002E0000">
              <w:rPr>
                <w:sz w:val="16"/>
                <w:szCs w:val="16"/>
                <w:lang w:eastAsia="en-US"/>
              </w:rPr>
              <w:t>Zdroj:ČSÚ</w:t>
            </w:r>
          </w:p>
        </w:tc>
      </w:tr>
      <w:tr w:rsidR="007C3842" w14:paraId="4A4634B9" w14:textId="77777777" w:rsidTr="00FA1CA9">
        <w:trPr>
          <w:trHeight w:val="145"/>
        </w:trPr>
        <w:tc>
          <w:tcPr>
            <w:tcW w:w="1804" w:type="dxa"/>
            <w:hideMark/>
          </w:tcPr>
          <w:p w14:paraId="478766C4" w14:textId="77777777" w:rsidR="007C3842" w:rsidRDefault="007C3842" w:rsidP="00FA1CA9">
            <w:pPr>
              <w:pStyle w:val="Marginlie"/>
              <w:rPr>
                <w:spacing w:val="0"/>
                <w:lang w:eastAsia="en-US"/>
              </w:rPr>
            </w:pPr>
            <w:r>
              <w:rPr>
                <w:spacing w:val="0"/>
                <w:lang w:eastAsia="en-US"/>
              </w:rPr>
              <w:lastRenderedPageBreak/>
              <w:t>Ceny bydlení a energií nadále nejvíce přispívaly k růstu spotřebitelských cen. Jejich růst ale zpomalil.</w:t>
            </w:r>
          </w:p>
        </w:tc>
        <w:tc>
          <w:tcPr>
            <w:tcW w:w="224" w:type="dxa"/>
          </w:tcPr>
          <w:p w14:paraId="307E3882" w14:textId="77777777" w:rsidR="007C3842" w:rsidRDefault="007C3842" w:rsidP="00FA1CA9">
            <w:pPr>
              <w:pStyle w:val="Textpoznpodarou1"/>
              <w:jc w:val="both"/>
              <w:rPr>
                <w:lang w:eastAsia="en-US"/>
              </w:rPr>
            </w:pPr>
          </w:p>
        </w:tc>
        <w:tc>
          <w:tcPr>
            <w:tcW w:w="7611" w:type="dxa"/>
            <w:hideMark/>
          </w:tcPr>
          <w:p w14:paraId="754A9BC1" w14:textId="77777777" w:rsidR="007C3842" w:rsidRDefault="007C3842" w:rsidP="00FA1CA9">
            <w:pPr>
              <w:rPr>
                <w:lang w:eastAsia="en-US"/>
              </w:rPr>
            </w:pPr>
            <w:r>
              <w:rPr>
                <w:lang w:eastAsia="en-US"/>
              </w:rPr>
              <w:t>Bydlení, voda, energie a paliva zůstaly oddílem spotřebního koše, který nejvíce přispíval k celkovému meziročnímu růstu spotřebitelských cen. V 1. čtvrtletí se zde ceny meziročně zvýšily o 3,4 %. Poměrně silně stále meziročně rostlo nájemné z bytu (7,0 %) i ostatní služby související s bydlením. Ceny elektrické a tepelné energie, plynu a ostatních paliv stouply o 4,8 % a běžné údržby a opravy bytu o 4,9 %. Jen mírný meziroční přírůstek mělo imputované nájemné</w:t>
            </w:r>
            <w:r>
              <w:rPr>
                <w:rStyle w:val="Znakapoznpodarou"/>
                <w:lang w:eastAsia="en-US"/>
              </w:rPr>
              <w:footnoteReference w:id="47"/>
            </w:r>
            <w:r>
              <w:rPr>
                <w:lang w:eastAsia="en-US"/>
              </w:rPr>
              <w:t xml:space="preserve"> (0,8 %). Mezičtvrtletní přírůstek cen bydlení a energií v 1. čtvrtletí zrychlil na 3,2 %, především pod vlivem vyšších cen elektřiny, plynu, vodného, stočného, tepla a teplé vody a nájemného.  </w:t>
            </w:r>
          </w:p>
        </w:tc>
      </w:tr>
      <w:tr w:rsidR="007C3842" w14:paraId="6C2AB18F" w14:textId="77777777" w:rsidTr="00FA1CA9">
        <w:trPr>
          <w:trHeight w:val="145"/>
        </w:trPr>
        <w:tc>
          <w:tcPr>
            <w:tcW w:w="1804" w:type="dxa"/>
            <w:hideMark/>
          </w:tcPr>
          <w:p w14:paraId="02616F8F" w14:textId="77777777" w:rsidR="007C3842" w:rsidRDefault="007C3842" w:rsidP="00FA1CA9">
            <w:pPr>
              <w:pStyle w:val="Marginlie"/>
              <w:rPr>
                <w:spacing w:val="0"/>
                <w:lang w:eastAsia="en-US"/>
              </w:rPr>
            </w:pPr>
            <w:r>
              <w:rPr>
                <w:spacing w:val="0"/>
                <w:lang w:eastAsia="en-US"/>
              </w:rPr>
              <w:t xml:space="preserve">Ceny stravování </w:t>
            </w:r>
            <w:r>
              <w:rPr>
                <w:spacing w:val="0"/>
                <w:lang w:eastAsia="en-US"/>
              </w:rPr>
              <w:br/>
              <w:t>a ubytování rostly téměř nezměněným tempem.</w:t>
            </w:r>
          </w:p>
        </w:tc>
        <w:tc>
          <w:tcPr>
            <w:tcW w:w="224" w:type="dxa"/>
          </w:tcPr>
          <w:p w14:paraId="6F0165F6" w14:textId="77777777" w:rsidR="007C3842" w:rsidRDefault="007C3842" w:rsidP="00FA1CA9">
            <w:pPr>
              <w:pStyle w:val="Textpoznpodarou1"/>
              <w:jc w:val="both"/>
              <w:rPr>
                <w:lang w:eastAsia="en-US"/>
              </w:rPr>
            </w:pPr>
          </w:p>
        </w:tc>
        <w:tc>
          <w:tcPr>
            <w:tcW w:w="7611" w:type="dxa"/>
            <w:hideMark/>
          </w:tcPr>
          <w:p w14:paraId="23B1843C" w14:textId="77777777" w:rsidR="007C3842" w:rsidRDefault="007C3842" w:rsidP="00FA1CA9">
            <w:pPr>
              <w:rPr>
                <w:lang w:eastAsia="en-US"/>
              </w:rPr>
            </w:pPr>
            <w:r>
              <w:rPr>
                <w:lang w:eastAsia="en-US"/>
              </w:rPr>
              <w:t xml:space="preserve">K celkovému meziročnímu růstu spotřebitelských cen výrazně nadále přispíval oddíl stravování a ubytování. Navzdory velmi vysoké srovnávací základně zde meziroční růst výrazněji nezpomalil oproti konci roku 2023 a v 1. čtvrtletí dosáhl 8,6 %. Mezičtvrtletně se zde ceny zvýšily o 2,8 %. Oproti jiným oblastem spotřeby zde inflační tlaky zatím zřejmě nenarazily na limity poptávky domácností. Na meziroční růst spotřebitelských cen měly dále vliv alkoholické nápoje a tabák, u kterých ceny meziročně vzrostly o 4,7 % a mezičtvrtletně o 2,6 %. Ceny rekreací a kultury v 1. čtvrtletí meziročně vzrostly o 4,4 %. Nejvíce rostly ceny rekreačních a kulturních služeb a dovolených s komplexními službami. Ceny rekreací a kultury se mezičtvrtletně zvýšily o 3,3 %, což byl nejvyšší mezičtvrtletní přírůstek ze všech oddílů spotřebního koše. </w:t>
            </w:r>
          </w:p>
        </w:tc>
      </w:tr>
      <w:tr w:rsidR="007C3842" w14:paraId="0EFB3325" w14:textId="77777777" w:rsidTr="00FA1CA9">
        <w:trPr>
          <w:trHeight w:val="145"/>
        </w:trPr>
        <w:tc>
          <w:tcPr>
            <w:tcW w:w="1804" w:type="dxa"/>
            <w:hideMark/>
          </w:tcPr>
          <w:p w14:paraId="3CEAAAE5" w14:textId="77777777" w:rsidR="007C3842" w:rsidRDefault="007C3842" w:rsidP="00FA1CA9">
            <w:pPr>
              <w:pStyle w:val="Marginlie"/>
              <w:rPr>
                <w:spacing w:val="0"/>
                <w:lang w:eastAsia="en-US"/>
              </w:rPr>
            </w:pPr>
            <w:r>
              <w:rPr>
                <w:spacing w:val="0"/>
                <w:lang w:eastAsia="en-US"/>
              </w:rPr>
              <w:t>Nadprůměrně rostly ceny v řadě oddílů spotřebního koše.</w:t>
            </w:r>
          </w:p>
        </w:tc>
        <w:tc>
          <w:tcPr>
            <w:tcW w:w="224" w:type="dxa"/>
          </w:tcPr>
          <w:p w14:paraId="11AAD50E" w14:textId="77777777" w:rsidR="007C3842" w:rsidRDefault="007C3842" w:rsidP="00FA1CA9">
            <w:pPr>
              <w:pStyle w:val="Textpoznpodarou1"/>
              <w:jc w:val="both"/>
              <w:rPr>
                <w:lang w:eastAsia="en-US"/>
              </w:rPr>
            </w:pPr>
          </w:p>
        </w:tc>
        <w:tc>
          <w:tcPr>
            <w:tcW w:w="7611" w:type="dxa"/>
            <w:hideMark/>
          </w:tcPr>
          <w:p w14:paraId="61BC46F6" w14:textId="77777777" w:rsidR="007C3842" w:rsidRDefault="007C3842" w:rsidP="00FA1CA9">
            <w:pPr>
              <w:rPr>
                <w:lang w:eastAsia="en-US"/>
              </w:rPr>
            </w:pPr>
            <w:r>
              <w:rPr>
                <w:lang w:eastAsia="en-US"/>
              </w:rPr>
              <w:t>Výrazně nadprůměrně se v 1. čtvrtletí meziročně zvyšovaly ceny odívání a obuvi (5,6 %), u kterých ale na začátku roku 2024 došlo k mezičtvrtletnímu poklesu cen (−0,9 %). Ceny v oddíle ostatní zboží a služby</w:t>
            </w:r>
            <w:r>
              <w:rPr>
                <w:rStyle w:val="Znakapoznpodarou"/>
                <w:lang w:eastAsia="en-US"/>
              </w:rPr>
              <w:footnoteReference w:id="48"/>
            </w:r>
            <w:r>
              <w:rPr>
                <w:lang w:eastAsia="en-US"/>
              </w:rPr>
              <w:t xml:space="preserve"> byly meziročně vyšší o 3,3 % a mezičtvrtletně stouply o 1,8 %. Poměrně silně meziročně rostly ceny ve dvou oddílech s nižší váhou ve spotřebním koši – vzdělávání (6,6 %) a zdraví (4,9 %). Nadprůměrně stále meziročně rostly ceny pošt a telekomunikací (3,1 %) – přetrvávala zde loni nastavená meziroční dynamika cen poštovních i telefonních služeb i telefonních zařízení. Jejich mezičtvrtletní přírůstek ale patřil k mírnějším (0,3 %). Výrazně zpomalil meziroční růst cen bytového vybavení a zařízení domácnosti (0,6 %), jejichž ceny také mezičtvrtletně stagnovaly.   </w:t>
            </w:r>
          </w:p>
        </w:tc>
      </w:tr>
      <w:tr w:rsidR="007C3842" w14:paraId="71527CBF" w14:textId="77777777" w:rsidTr="00FA1CA9">
        <w:trPr>
          <w:trHeight w:val="145"/>
        </w:trPr>
        <w:tc>
          <w:tcPr>
            <w:tcW w:w="1804" w:type="dxa"/>
            <w:hideMark/>
          </w:tcPr>
          <w:p w14:paraId="55E5DBDF" w14:textId="77777777" w:rsidR="007C3842" w:rsidRDefault="007C3842" w:rsidP="00FA1CA9">
            <w:pPr>
              <w:pStyle w:val="Marginlie"/>
              <w:rPr>
                <w:spacing w:val="0"/>
                <w:lang w:eastAsia="en-US"/>
              </w:rPr>
            </w:pPr>
            <w:r>
              <w:rPr>
                <w:spacing w:val="0"/>
                <w:lang w:eastAsia="en-US"/>
              </w:rPr>
              <w:t>Ceny dopravy opět meziročně vzrostly.</w:t>
            </w:r>
          </w:p>
        </w:tc>
        <w:tc>
          <w:tcPr>
            <w:tcW w:w="224" w:type="dxa"/>
          </w:tcPr>
          <w:p w14:paraId="6E30D426" w14:textId="77777777" w:rsidR="007C3842" w:rsidRDefault="007C3842" w:rsidP="00FA1CA9">
            <w:pPr>
              <w:pStyle w:val="Textpoznpodarou1"/>
              <w:jc w:val="both"/>
              <w:rPr>
                <w:lang w:eastAsia="en-US"/>
              </w:rPr>
            </w:pPr>
          </w:p>
        </w:tc>
        <w:tc>
          <w:tcPr>
            <w:tcW w:w="7611" w:type="dxa"/>
            <w:hideMark/>
          </w:tcPr>
          <w:p w14:paraId="6247A359" w14:textId="77777777" w:rsidR="007C3842" w:rsidRDefault="007C3842" w:rsidP="00FA1CA9">
            <w:pPr>
              <w:rPr>
                <w:lang w:eastAsia="en-US"/>
              </w:rPr>
            </w:pPr>
            <w:r>
              <w:rPr>
                <w:lang w:eastAsia="en-US"/>
              </w:rPr>
              <w:t>Ceny dopravy v 1. čtvrtletí roku 2024 meziročně vzrostly o 1,7 % a po třech meziročních poklesech tak opět překonaly úroveň předchozího roku. Hlavní podíl na tom měly ceny provozu osobních dopravních prostředků, především zvýšení cen dálničních známek. Meziročně vyšší ale byly také ceny pohonných hmot (1,4 %). Silně meziročně rostly ceny dopravních služeb (7,0 %). Nákupy automobilů, motocyklů a jízdních kol jako jediné meziročně zlevňovaly (−2,6 %). Ceny dopravy se v 1. čtvrtletí 2024 mezičtvrtletně zvýšily o 0,8 %.</w:t>
            </w:r>
          </w:p>
        </w:tc>
      </w:tr>
      <w:tr w:rsidR="007C3842" w14:paraId="391C5BAC" w14:textId="77777777" w:rsidTr="00FA1CA9">
        <w:trPr>
          <w:trHeight w:val="145"/>
        </w:trPr>
        <w:tc>
          <w:tcPr>
            <w:tcW w:w="1804" w:type="dxa"/>
            <w:hideMark/>
          </w:tcPr>
          <w:p w14:paraId="0488AF6A" w14:textId="77777777" w:rsidR="007C3842" w:rsidRDefault="007C3842" w:rsidP="00FA1CA9">
            <w:pPr>
              <w:pStyle w:val="Marginlie"/>
              <w:rPr>
                <w:spacing w:val="0"/>
                <w:lang w:eastAsia="en-US"/>
              </w:rPr>
            </w:pPr>
            <w:r>
              <w:rPr>
                <w:spacing w:val="0"/>
                <w:lang w:eastAsia="en-US"/>
              </w:rPr>
              <w:t xml:space="preserve">Meziročně klesaly jen ceny potravin </w:t>
            </w:r>
            <w:r>
              <w:rPr>
                <w:spacing w:val="0"/>
                <w:lang w:eastAsia="en-US"/>
              </w:rPr>
              <w:br/>
              <w:t>a nealkoholických nápojů.</w:t>
            </w:r>
          </w:p>
        </w:tc>
        <w:tc>
          <w:tcPr>
            <w:tcW w:w="224" w:type="dxa"/>
          </w:tcPr>
          <w:p w14:paraId="0ABE2B16" w14:textId="77777777" w:rsidR="007C3842" w:rsidRDefault="007C3842" w:rsidP="00FA1CA9">
            <w:pPr>
              <w:pStyle w:val="Textpoznpodarou1"/>
              <w:jc w:val="both"/>
              <w:rPr>
                <w:lang w:eastAsia="en-US"/>
              </w:rPr>
            </w:pPr>
          </w:p>
        </w:tc>
        <w:tc>
          <w:tcPr>
            <w:tcW w:w="7611" w:type="dxa"/>
            <w:hideMark/>
          </w:tcPr>
          <w:p w14:paraId="3C879999" w14:textId="77777777" w:rsidR="007C3842" w:rsidRDefault="007C3842" w:rsidP="00FA1CA9">
            <w:pPr>
              <w:rPr>
                <w:lang w:eastAsia="en-US"/>
              </w:rPr>
            </w:pPr>
            <w:r>
              <w:rPr>
                <w:lang w:eastAsia="en-US"/>
              </w:rPr>
              <w:t xml:space="preserve">Jediný oddíl spotřebního koše, kde ceny v 1. čtvrtletí meziročně klesly, byly potraviny a nealkoholické nápoje. Nejvíce k tomu přispěl propad cen mléka, sýrů a vajec (−13,8 %) a masa (−5,9 %). Nižší byly také ceny pekárenských výrobků a obilovin (−4,5 %) nebo olejů a tuků (−6,8 %). Meziročně rostly jen ceny zeleniny (2,2 %). Ceny potravin a nealkoholických nápojů klesly i mezičtvrtletně, a to o 1,4 %. </w:t>
            </w:r>
          </w:p>
        </w:tc>
      </w:tr>
      <w:tr w:rsidR="007C3842" w14:paraId="4AE2CD2E" w14:textId="77777777" w:rsidTr="00FA1CA9">
        <w:trPr>
          <w:trHeight w:val="145"/>
        </w:trPr>
        <w:tc>
          <w:tcPr>
            <w:tcW w:w="1804" w:type="dxa"/>
            <w:hideMark/>
          </w:tcPr>
          <w:p w14:paraId="0FF5AE34" w14:textId="77777777" w:rsidR="007C3842" w:rsidRDefault="007C3842" w:rsidP="00FA1CA9">
            <w:pPr>
              <w:pStyle w:val="Marginlie"/>
              <w:rPr>
                <w:spacing w:val="0"/>
                <w:lang w:eastAsia="en-US"/>
              </w:rPr>
            </w:pPr>
            <w:r>
              <w:rPr>
                <w:spacing w:val="0"/>
                <w:lang w:eastAsia="en-US"/>
              </w:rPr>
              <w:t>Meziroční růst spotřebitelských cen v EU v 1. čtvrtletí výrazně zpomalil.</w:t>
            </w:r>
          </w:p>
        </w:tc>
        <w:tc>
          <w:tcPr>
            <w:tcW w:w="224" w:type="dxa"/>
          </w:tcPr>
          <w:p w14:paraId="5F28B6C3" w14:textId="77777777" w:rsidR="007C3842" w:rsidRDefault="007C3842" w:rsidP="00FA1CA9">
            <w:pPr>
              <w:pStyle w:val="Textpoznpodarou1"/>
              <w:jc w:val="both"/>
              <w:rPr>
                <w:lang w:eastAsia="en-US"/>
              </w:rPr>
            </w:pPr>
          </w:p>
        </w:tc>
        <w:tc>
          <w:tcPr>
            <w:tcW w:w="7611" w:type="dxa"/>
            <w:hideMark/>
          </w:tcPr>
          <w:p w14:paraId="37F847AF" w14:textId="77777777" w:rsidR="007C3842" w:rsidRDefault="007C3842" w:rsidP="00FA1CA9">
            <w:pPr>
              <w:rPr>
                <w:lang w:eastAsia="en-US"/>
              </w:rPr>
            </w:pPr>
            <w:r>
              <w:rPr>
                <w:lang w:eastAsia="en-US"/>
              </w:rPr>
              <w:t>Harmonizovaný index spotřebitelských cen (HICP) v EU</w:t>
            </w:r>
            <w:r>
              <w:rPr>
                <w:rStyle w:val="Znakapoznpodarou"/>
                <w:lang w:eastAsia="en-US"/>
              </w:rPr>
              <w:footnoteReference w:id="49"/>
            </w:r>
            <w:r>
              <w:rPr>
                <w:lang w:eastAsia="en-US"/>
              </w:rPr>
              <w:t xml:space="preserve"> v 1. čtvrtletí 2024 meziročně vzrostl o 2,8 %. Meziroční dynamika cen tak dál zpomalovala, především pod vlivem zmírnění růstu cen potravin a nealkoholických nápojů. Zvolnění bylo ale patrné napříč spotřebním košem. Výjimkou byly ceny bydlení a energií, které se z poklesu ve </w:t>
            </w:r>
            <w:r>
              <w:rPr>
                <w:lang w:eastAsia="en-US"/>
              </w:rPr>
              <w:lastRenderedPageBreak/>
              <w:t xml:space="preserve">4. čtvrtletí dostaly do mírného růstu. Nejvíce se v 1. čtvrtletí zvyšoval HICP v Rumunsku (7,1 %), Chorvatsku (4,8 %) a Estonsku (4,5 %). O méně než 1 % meziročně rostly ceny v Dánsku (0,8 %), Litvě, Lotyšsku a Finsku (všechny tři shodně o 0,9 %). V rámci středoevropského prostoru meziročně nejvíce rostly spotřebitelské ceny v Rakousku (4,1 %), v Polsku, na Slovensku a v Maďarsku (shodně o 3,6 %), v Německu (2,7 %) a nejmírněji v Česku (2,4 %). Mezičtvrtletně se spotřebitelské ceny v EU zvýšily o 0,4 %. Rostly nejvíce ceny alkoholických nápojů a tabáku, ostatního zboží a služeb, bydlení a energií a zdraví. Výrazně se mezičtvrtletně propadaly ceny oděvů a obuvi. Mezičtvrtletní vývoj cen v jednotlivých zemích EU byl různorodý, protože začátek roku obvykle ovlivňují administrativní změny cen nebo aktualizace ceníků a další faktory, které se mohou v rámci unie lišit. Nejvíce se mezičtvrtletně zvýšil HICP v Rumunsku (1,9 %) a následovalo Česko (1,8 %) a Belgie (1,7 %). V osmi zemích EU došlo k mezičtvrtletnímu poklesu spotřebitelských cen, nejvíce na Kypru (−1,8 %), Maltě (−1,0 %) a v Itálii (−0,8 %). </w:t>
            </w:r>
          </w:p>
        </w:tc>
      </w:tr>
      <w:tr w:rsidR="007C3842" w14:paraId="08C9EA3E" w14:textId="77777777" w:rsidTr="00FA1CA9">
        <w:trPr>
          <w:trHeight w:val="145"/>
        </w:trPr>
        <w:tc>
          <w:tcPr>
            <w:tcW w:w="1804" w:type="dxa"/>
          </w:tcPr>
          <w:p w14:paraId="79E637EC" w14:textId="77777777" w:rsidR="007C3842" w:rsidRDefault="007C3842" w:rsidP="00FA1CA9">
            <w:pPr>
              <w:pStyle w:val="Marginlie"/>
              <w:rPr>
                <w:spacing w:val="0"/>
                <w:lang w:eastAsia="en-US"/>
              </w:rPr>
            </w:pPr>
          </w:p>
        </w:tc>
        <w:tc>
          <w:tcPr>
            <w:tcW w:w="224" w:type="dxa"/>
          </w:tcPr>
          <w:p w14:paraId="0FFC4D40" w14:textId="77777777" w:rsidR="007C3842" w:rsidRDefault="007C3842" w:rsidP="00FA1CA9">
            <w:pPr>
              <w:pStyle w:val="Textpoznpodarou1"/>
              <w:jc w:val="both"/>
              <w:rPr>
                <w:lang w:eastAsia="en-US"/>
              </w:rPr>
            </w:pPr>
          </w:p>
        </w:tc>
        <w:tc>
          <w:tcPr>
            <w:tcW w:w="7611" w:type="dxa"/>
          </w:tcPr>
          <w:p w14:paraId="5D2C551C" w14:textId="26A20275" w:rsidR="007C3842" w:rsidRDefault="00EC6B23" w:rsidP="00FA1CA9">
            <w:pPr>
              <w:spacing w:after="0"/>
              <w:rPr>
                <w:rStyle w:val="Znakapoznpodarou"/>
                <w:lang w:eastAsia="en-US"/>
              </w:rPr>
            </w:pPr>
            <w:r>
              <w:rPr>
                <w:b/>
                <w:sz w:val="18"/>
                <w:szCs w:val="18"/>
                <w:lang w:eastAsia="en-US"/>
              </w:rPr>
              <w:t>Graf č. 11</w:t>
            </w:r>
            <w:r w:rsidR="007C3842">
              <w:rPr>
                <w:b/>
                <w:sz w:val="18"/>
                <w:szCs w:val="18"/>
                <w:lang w:eastAsia="en-US"/>
              </w:rPr>
              <w:t xml:space="preserve"> Ceny nemovitostí </w:t>
            </w:r>
            <w:r w:rsidR="007C3842">
              <w:rPr>
                <w:sz w:val="18"/>
                <w:szCs w:val="18"/>
                <w:lang w:eastAsia="en-US"/>
              </w:rPr>
              <w:t>(meziroční změna, v %)</w:t>
            </w:r>
          </w:p>
        </w:tc>
      </w:tr>
      <w:tr w:rsidR="007C3842" w14:paraId="002BE280" w14:textId="77777777" w:rsidTr="00FA1CA9">
        <w:tblPrEx>
          <w:tblCellMar>
            <w:left w:w="70" w:type="dxa"/>
            <w:right w:w="70" w:type="dxa"/>
          </w:tblCellMar>
        </w:tblPrEx>
        <w:trPr>
          <w:trHeight w:val="145"/>
        </w:trPr>
        <w:tc>
          <w:tcPr>
            <w:tcW w:w="1804" w:type="dxa"/>
          </w:tcPr>
          <w:p w14:paraId="452C028C" w14:textId="77777777" w:rsidR="007C3842" w:rsidRDefault="007C3842" w:rsidP="00FA1CA9">
            <w:pPr>
              <w:pStyle w:val="Marginlie"/>
              <w:rPr>
                <w:spacing w:val="0"/>
                <w:lang w:eastAsia="en-US"/>
              </w:rPr>
            </w:pPr>
          </w:p>
        </w:tc>
        <w:tc>
          <w:tcPr>
            <w:tcW w:w="224" w:type="dxa"/>
          </w:tcPr>
          <w:p w14:paraId="446A8D46" w14:textId="77777777" w:rsidR="007C3842" w:rsidRDefault="007C3842" w:rsidP="00FA1CA9">
            <w:pPr>
              <w:pStyle w:val="Textpoznpodarou1"/>
              <w:jc w:val="both"/>
              <w:rPr>
                <w:lang w:eastAsia="en-US"/>
              </w:rPr>
            </w:pPr>
          </w:p>
        </w:tc>
        <w:tc>
          <w:tcPr>
            <w:tcW w:w="7611" w:type="dxa"/>
          </w:tcPr>
          <w:p w14:paraId="46BA9D28" w14:textId="77777777" w:rsidR="007C3842" w:rsidRDefault="007C3842" w:rsidP="00FA1CA9">
            <w:pPr>
              <w:spacing w:after="0"/>
              <w:rPr>
                <w:rStyle w:val="Znakapoznpodarou"/>
                <w:lang w:eastAsia="en-US"/>
              </w:rPr>
            </w:pPr>
            <w:r>
              <w:rPr>
                <w:noProof/>
              </w:rPr>
              <w:drawing>
                <wp:inline distT="0" distB="0" distL="0" distR="0" wp14:anchorId="0023BA1C" wp14:editId="75A769C8">
                  <wp:extent cx="4737600" cy="3553200"/>
                  <wp:effectExtent l="0" t="0" r="6350" b="0"/>
                  <wp:docPr id="7" name="Graf 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7C3842" w14:paraId="14C90BF7" w14:textId="77777777" w:rsidTr="00FA1CA9">
        <w:trPr>
          <w:trHeight w:val="145"/>
        </w:trPr>
        <w:tc>
          <w:tcPr>
            <w:tcW w:w="1804" w:type="dxa"/>
          </w:tcPr>
          <w:p w14:paraId="2E9CE93F" w14:textId="77777777" w:rsidR="007C3842" w:rsidRDefault="007C3842" w:rsidP="00FA1CA9">
            <w:pPr>
              <w:pStyle w:val="Marginlie"/>
              <w:rPr>
                <w:spacing w:val="0"/>
                <w:lang w:eastAsia="en-US"/>
              </w:rPr>
            </w:pPr>
          </w:p>
        </w:tc>
        <w:tc>
          <w:tcPr>
            <w:tcW w:w="224" w:type="dxa"/>
          </w:tcPr>
          <w:p w14:paraId="54ACD7D3" w14:textId="77777777" w:rsidR="007C3842" w:rsidRDefault="007C3842" w:rsidP="00FA1CA9">
            <w:pPr>
              <w:pStyle w:val="Textpoznpodarou1"/>
              <w:jc w:val="both"/>
              <w:rPr>
                <w:lang w:eastAsia="en-US"/>
              </w:rPr>
            </w:pPr>
          </w:p>
        </w:tc>
        <w:tc>
          <w:tcPr>
            <w:tcW w:w="7611" w:type="dxa"/>
          </w:tcPr>
          <w:p w14:paraId="05E09BE3" w14:textId="77777777" w:rsidR="007C3842" w:rsidRPr="002E0000" w:rsidRDefault="007C3842" w:rsidP="00FA1CA9">
            <w:pPr>
              <w:jc w:val="right"/>
              <w:rPr>
                <w:rStyle w:val="Znakapoznpodarou"/>
                <w:sz w:val="16"/>
                <w:szCs w:val="16"/>
                <w:lang w:eastAsia="en-US"/>
              </w:rPr>
            </w:pPr>
            <w:r w:rsidRPr="002E0000">
              <w:rPr>
                <w:sz w:val="16"/>
                <w:szCs w:val="16"/>
                <w:lang w:eastAsia="en-US"/>
              </w:rPr>
              <w:t>Zdroj:ČSÚ</w:t>
            </w:r>
          </w:p>
        </w:tc>
      </w:tr>
      <w:tr w:rsidR="007C3842" w14:paraId="24F64E2D" w14:textId="77777777" w:rsidTr="00FA1CA9">
        <w:trPr>
          <w:trHeight w:val="145"/>
        </w:trPr>
        <w:tc>
          <w:tcPr>
            <w:tcW w:w="1804" w:type="dxa"/>
            <w:hideMark/>
          </w:tcPr>
          <w:p w14:paraId="7FDCB48E" w14:textId="77777777" w:rsidR="007C3842" w:rsidRDefault="007C3842" w:rsidP="00FA1CA9">
            <w:pPr>
              <w:pStyle w:val="Marginlie"/>
              <w:rPr>
                <w:spacing w:val="0"/>
                <w:lang w:eastAsia="en-US"/>
              </w:rPr>
            </w:pPr>
            <w:r>
              <w:rPr>
                <w:spacing w:val="0"/>
                <w:lang w:eastAsia="en-US"/>
              </w:rPr>
              <w:t>Vývoj cen bytů reflektoval oživení na trhu nemovitostí.</w:t>
            </w:r>
          </w:p>
        </w:tc>
        <w:tc>
          <w:tcPr>
            <w:tcW w:w="224" w:type="dxa"/>
          </w:tcPr>
          <w:p w14:paraId="5107A3C5" w14:textId="77777777" w:rsidR="007C3842" w:rsidRDefault="007C3842" w:rsidP="00FA1CA9">
            <w:pPr>
              <w:pStyle w:val="Textpoznpodarou1"/>
              <w:jc w:val="both"/>
              <w:rPr>
                <w:lang w:eastAsia="en-US"/>
              </w:rPr>
            </w:pPr>
          </w:p>
        </w:tc>
        <w:tc>
          <w:tcPr>
            <w:tcW w:w="7611" w:type="dxa"/>
            <w:hideMark/>
          </w:tcPr>
          <w:p w14:paraId="2D22A3E5" w14:textId="6A59A776" w:rsidR="007C3842" w:rsidRDefault="007C3842" w:rsidP="00FA1CA9">
            <w:pPr>
              <w:rPr>
                <w:lang w:eastAsia="en-US"/>
              </w:rPr>
            </w:pPr>
            <w:r>
              <w:rPr>
                <w:lang w:eastAsia="en-US"/>
              </w:rPr>
              <w:t>Nabídkové ceny bytů v Česku v 1. čtvrtletí počtvrté v řadě meziročně klesly, a to o 0,7 %. Na propadu se podílely ceny bytů mimo Prahu, které byly meziročně nižší o 1,8 %. V samotné Praze vydržel meziroční pokles jen dva kvartály a v 1. čtvrtletí nabídkové ceny bytů opět vzrostly o 0,3 %. Po předchozím roce poklesů v 1. čtvrtletí 2024 nabídkové ceny bytů v Česku mezičtvrtletně vzrostly o 1,7 %. Mimo Prahu přírůstek dosáhl 1,2 % a v Praze to bylo 2,2 %. To odpovídá oživení trhu s nemovitostmi v souvislosti se snížením úrokových sazeb. Realizované ceny starších bytů v Česku v 1. čtvrtletí na předchozí tři meziroční propady navázaly v podstatě stagnací (0,1 %). Ceny bytů mimo Prahu mírně klesly (−0,2 %), ale v Praze už realizované ceny starších bytů meziročně vzrostly o 1,0 %. U realizovaných cen starších bytů v Česku došlo mezičtvrtletně k výraznému oživení o 2,6 %, mimo Prahu to bylo dokonce 3,2 %, v Praze byl mezičtvrtletní přírůstek mírnější (0,2 %).</w:t>
            </w:r>
            <w:r w:rsidR="006A2153">
              <w:rPr>
                <w:lang w:eastAsia="en-US"/>
              </w:rPr>
              <w:t xml:space="preserve"> Realizované ceny starších bytu, které jsou zjišťovány pouze za Prahu, se v 1. čtvrtletí meziročně snížily o 3,0 % a klesly tak popáté v řadě. Snižovaly se i mezičtvrtletně (−1,0 %)</w:t>
            </w:r>
          </w:p>
        </w:tc>
      </w:tr>
      <w:tr w:rsidR="007C3842" w14:paraId="176C9E73" w14:textId="77777777" w:rsidTr="00FA1CA9">
        <w:trPr>
          <w:trHeight w:val="145"/>
        </w:trPr>
        <w:tc>
          <w:tcPr>
            <w:tcW w:w="1804" w:type="dxa"/>
          </w:tcPr>
          <w:p w14:paraId="1821E0DA" w14:textId="77777777" w:rsidR="007C3842" w:rsidRDefault="007C3842" w:rsidP="00FA1CA9">
            <w:pPr>
              <w:pStyle w:val="Marginlie"/>
              <w:rPr>
                <w:spacing w:val="0"/>
                <w:lang w:eastAsia="en-US"/>
              </w:rPr>
            </w:pPr>
            <w:r>
              <w:rPr>
                <w:spacing w:val="0"/>
                <w:lang w:eastAsia="en-US"/>
              </w:rPr>
              <w:lastRenderedPageBreak/>
              <w:t>Ceny průmyslových výrobců v 1. čtvrtletí začaly opět mezičtvrtletně růst.</w:t>
            </w:r>
          </w:p>
        </w:tc>
        <w:tc>
          <w:tcPr>
            <w:tcW w:w="224" w:type="dxa"/>
          </w:tcPr>
          <w:p w14:paraId="66BBD021" w14:textId="77777777" w:rsidR="007C3842" w:rsidRDefault="007C3842" w:rsidP="00FA1CA9">
            <w:pPr>
              <w:pStyle w:val="Textpoznpodarou1"/>
              <w:jc w:val="both"/>
              <w:rPr>
                <w:lang w:eastAsia="en-US"/>
              </w:rPr>
            </w:pPr>
          </w:p>
        </w:tc>
        <w:tc>
          <w:tcPr>
            <w:tcW w:w="7611" w:type="dxa"/>
          </w:tcPr>
          <w:p w14:paraId="4E2C6006" w14:textId="77777777" w:rsidR="007C3842" w:rsidRDefault="007C3842" w:rsidP="00FA1CA9">
            <w:pPr>
              <w:rPr>
                <w:lang w:eastAsia="en-US"/>
              </w:rPr>
            </w:pPr>
            <w:r>
              <w:rPr>
                <w:lang w:eastAsia="en-US"/>
              </w:rPr>
              <w:t>Po třech předchozích mezičtvrtletních poklesech se ceny průmyslových výrobců oproti 4. kvartálu 2023 zvýšily o 2,3 %. Jedinou klesající sekcí byly ceny těžby a dobývání (−2,1 %). Po pěti sníženích opět mírně mezičtvrtletně vzrostly ceny ve zpracovatelském průmyslu (0,5 %). Ceny elektřiny, plynu, páry a klimatizovaného vzduchu byly v 1. čtvrtletí vyšší o 8,8 % a zásobování vodou a služeb souvisejících s odpadními vodami o 9,2 %.</w:t>
            </w:r>
          </w:p>
        </w:tc>
      </w:tr>
      <w:tr w:rsidR="007C3842" w14:paraId="64534B07" w14:textId="77777777" w:rsidTr="00FA1CA9">
        <w:trPr>
          <w:trHeight w:val="145"/>
        </w:trPr>
        <w:tc>
          <w:tcPr>
            <w:tcW w:w="1804" w:type="dxa"/>
            <w:hideMark/>
          </w:tcPr>
          <w:p w14:paraId="3D075434" w14:textId="77777777" w:rsidR="007C3842" w:rsidRDefault="007C3842" w:rsidP="00FA1CA9">
            <w:pPr>
              <w:pStyle w:val="Marginlie"/>
              <w:rPr>
                <w:spacing w:val="0"/>
                <w:lang w:eastAsia="en-US"/>
              </w:rPr>
            </w:pPr>
            <w:r>
              <w:rPr>
                <w:spacing w:val="0"/>
                <w:lang w:eastAsia="en-US"/>
              </w:rPr>
              <w:t>Ceny průmyslových výrobců poprvé po více než třech letech meziročně klesly.</w:t>
            </w:r>
          </w:p>
        </w:tc>
        <w:tc>
          <w:tcPr>
            <w:tcW w:w="224" w:type="dxa"/>
          </w:tcPr>
          <w:p w14:paraId="5D363218" w14:textId="77777777" w:rsidR="007C3842" w:rsidRDefault="007C3842" w:rsidP="00FA1CA9">
            <w:pPr>
              <w:pStyle w:val="Textpoznpodarou1"/>
              <w:jc w:val="both"/>
              <w:rPr>
                <w:lang w:eastAsia="en-US"/>
              </w:rPr>
            </w:pPr>
          </w:p>
        </w:tc>
        <w:tc>
          <w:tcPr>
            <w:tcW w:w="7611" w:type="dxa"/>
            <w:hideMark/>
          </w:tcPr>
          <w:p w14:paraId="032CAF72" w14:textId="77777777" w:rsidR="007C3842" w:rsidRDefault="007C3842" w:rsidP="00FA1CA9">
            <w:pPr>
              <w:rPr>
                <w:lang w:eastAsia="en-US"/>
              </w:rPr>
            </w:pPr>
            <w:r>
              <w:rPr>
                <w:lang w:eastAsia="en-US"/>
              </w:rPr>
              <w:t>Ceny průmyslových výrobců v 1. čtvrtletí 2024 meziročně klesly o 0,9 %. Šlo o první meziroční pokles od 3. čtvrtletí 2020. Až na 0,8 % zpomalil meziroční přírůstek cen elektřiny, plynu, páry a klimatizovaného vzduchu a o 9,2 % vyšší byly ceny zásobování vodou a služeb souvisejících s odpadními vodami. Ceny těžby a dobývání byly v 1. čtvrtletí meziročně nižší o 1,2 %. Vyprchal totiž vliv skokového navýšení z 1. kvartálu 2023, který loni ovlivňoval meziroční dynamiku cen v této sekci. Meziročně nižší tak byly ceny černého a hnědého uhlí a lignitu (−6,8 %) i ropy a zemního plynu (−20,0 %, především kvůli cenám plynu). Nadále ale rostly ceny ostatní těžby a dobývání nerostných surovin (11,9 %).</w:t>
            </w:r>
          </w:p>
        </w:tc>
      </w:tr>
      <w:tr w:rsidR="007C3842" w14:paraId="4BEEC23F" w14:textId="77777777" w:rsidTr="00FA1CA9">
        <w:trPr>
          <w:trHeight w:val="145"/>
        </w:trPr>
        <w:tc>
          <w:tcPr>
            <w:tcW w:w="1804" w:type="dxa"/>
          </w:tcPr>
          <w:p w14:paraId="6A724899" w14:textId="77777777" w:rsidR="007C3842" w:rsidRDefault="007C3842" w:rsidP="00FA1CA9">
            <w:pPr>
              <w:pStyle w:val="Marginlie"/>
              <w:rPr>
                <w:spacing w:val="0"/>
                <w:lang w:eastAsia="en-US"/>
              </w:rPr>
            </w:pPr>
          </w:p>
        </w:tc>
        <w:tc>
          <w:tcPr>
            <w:tcW w:w="224" w:type="dxa"/>
          </w:tcPr>
          <w:p w14:paraId="3D580C7E" w14:textId="77777777" w:rsidR="007C3842" w:rsidRDefault="007C3842" w:rsidP="00FA1CA9">
            <w:pPr>
              <w:pStyle w:val="Textpoznpodarou1"/>
              <w:jc w:val="both"/>
              <w:rPr>
                <w:lang w:eastAsia="en-US"/>
              </w:rPr>
            </w:pPr>
          </w:p>
        </w:tc>
        <w:tc>
          <w:tcPr>
            <w:tcW w:w="7611" w:type="dxa"/>
          </w:tcPr>
          <w:p w14:paraId="75E421BA" w14:textId="625519CD" w:rsidR="007C3842" w:rsidRDefault="00EC6B23" w:rsidP="00FA1CA9">
            <w:pPr>
              <w:spacing w:after="0"/>
              <w:rPr>
                <w:lang w:eastAsia="en-US"/>
              </w:rPr>
            </w:pPr>
            <w:r>
              <w:rPr>
                <w:b/>
                <w:sz w:val="18"/>
                <w:szCs w:val="18"/>
                <w:lang w:eastAsia="en-US"/>
              </w:rPr>
              <w:t>Graf č. 12</w:t>
            </w:r>
            <w:r w:rsidR="007C3842">
              <w:rPr>
                <w:b/>
                <w:sz w:val="18"/>
                <w:szCs w:val="18"/>
                <w:lang w:eastAsia="en-US"/>
              </w:rPr>
              <w:t xml:space="preserve"> Ceny hlavních skupin průmyslových výrobců </w:t>
            </w:r>
            <w:r w:rsidR="007C3842">
              <w:rPr>
                <w:sz w:val="18"/>
                <w:szCs w:val="18"/>
                <w:lang w:eastAsia="en-US"/>
              </w:rPr>
              <w:t>(meziroční změna, v %, podle klasifikace CPA)</w:t>
            </w:r>
          </w:p>
        </w:tc>
      </w:tr>
      <w:tr w:rsidR="007C3842" w14:paraId="1DCCB5ED" w14:textId="77777777" w:rsidTr="00FA1CA9">
        <w:trPr>
          <w:trHeight w:val="145"/>
        </w:trPr>
        <w:tc>
          <w:tcPr>
            <w:tcW w:w="1804" w:type="dxa"/>
          </w:tcPr>
          <w:p w14:paraId="219ED776" w14:textId="77777777" w:rsidR="007C3842" w:rsidRDefault="007C3842" w:rsidP="00FA1CA9">
            <w:pPr>
              <w:pStyle w:val="Marginlie"/>
              <w:rPr>
                <w:spacing w:val="0"/>
                <w:lang w:eastAsia="en-US"/>
              </w:rPr>
            </w:pPr>
          </w:p>
        </w:tc>
        <w:tc>
          <w:tcPr>
            <w:tcW w:w="224" w:type="dxa"/>
          </w:tcPr>
          <w:p w14:paraId="65BC84E9" w14:textId="77777777" w:rsidR="007C3842" w:rsidRDefault="007C3842" w:rsidP="00FA1CA9">
            <w:pPr>
              <w:pStyle w:val="Textpoznpodarou1"/>
              <w:jc w:val="both"/>
              <w:rPr>
                <w:lang w:eastAsia="en-US"/>
              </w:rPr>
            </w:pPr>
          </w:p>
        </w:tc>
        <w:tc>
          <w:tcPr>
            <w:tcW w:w="7611" w:type="dxa"/>
          </w:tcPr>
          <w:p w14:paraId="0C43BD95" w14:textId="77777777" w:rsidR="007C3842" w:rsidRDefault="007C3842" w:rsidP="00FA1CA9">
            <w:pPr>
              <w:spacing w:after="0"/>
              <w:jc w:val="center"/>
              <w:rPr>
                <w:lang w:eastAsia="en-US"/>
              </w:rPr>
            </w:pPr>
            <w:r>
              <w:rPr>
                <w:noProof/>
              </w:rPr>
              <w:drawing>
                <wp:inline distT="0" distB="0" distL="0" distR="0" wp14:anchorId="329224E8" wp14:editId="2B9E94E6">
                  <wp:extent cx="4752000" cy="3553200"/>
                  <wp:effectExtent l="0" t="0" r="0" b="0"/>
                  <wp:docPr id="9" name="Graf 9">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7C3842" w14:paraId="0EFA9571" w14:textId="77777777" w:rsidTr="00FA1CA9">
        <w:trPr>
          <w:trHeight w:val="145"/>
        </w:trPr>
        <w:tc>
          <w:tcPr>
            <w:tcW w:w="1804" w:type="dxa"/>
          </w:tcPr>
          <w:p w14:paraId="516C12CC" w14:textId="77777777" w:rsidR="007C3842" w:rsidRDefault="007C3842" w:rsidP="00FA1CA9">
            <w:pPr>
              <w:pStyle w:val="Marginlie"/>
              <w:rPr>
                <w:spacing w:val="0"/>
                <w:lang w:eastAsia="en-US"/>
              </w:rPr>
            </w:pPr>
          </w:p>
        </w:tc>
        <w:tc>
          <w:tcPr>
            <w:tcW w:w="224" w:type="dxa"/>
          </w:tcPr>
          <w:p w14:paraId="3A1A03D0" w14:textId="77777777" w:rsidR="007C3842" w:rsidRDefault="007C3842" w:rsidP="00FA1CA9">
            <w:pPr>
              <w:pStyle w:val="Textpoznpodarou1"/>
              <w:jc w:val="both"/>
              <w:rPr>
                <w:lang w:eastAsia="en-US"/>
              </w:rPr>
            </w:pPr>
          </w:p>
        </w:tc>
        <w:tc>
          <w:tcPr>
            <w:tcW w:w="7611" w:type="dxa"/>
          </w:tcPr>
          <w:p w14:paraId="13110507" w14:textId="77777777" w:rsidR="007C3842" w:rsidRPr="002E0000" w:rsidRDefault="007C3842" w:rsidP="00FA1CA9">
            <w:pPr>
              <w:jc w:val="right"/>
              <w:rPr>
                <w:sz w:val="16"/>
                <w:szCs w:val="16"/>
                <w:lang w:eastAsia="en-US"/>
              </w:rPr>
            </w:pPr>
            <w:r w:rsidRPr="002E0000">
              <w:rPr>
                <w:sz w:val="16"/>
                <w:szCs w:val="16"/>
                <w:lang w:eastAsia="en-US"/>
              </w:rPr>
              <w:t>Zdroj:ČSÚ</w:t>
            </w:r>
          </w:p>
        </w:tc>
      </w:tr>
      <w:tr w:rsidR="007C3842" w14:paraId="4D6F598D" w14:textId="77777777" w:rsidTr="00FA1CA9">
        <w:trPr>
          <w:trHeight w:val="145"/>
        </w:trPr>
        <w:tc>
          <w:tcPr>
            <w:tcW w:w="1804" w:type="dxa"/>
            <w:hideMark/>
          </w:tcPr>
          <w:p w14:paraId="3E43D6DC" w14:textId="77777777" w:rsidR="007C3842" w:rsidRDefault="007C3842" w:rsidP="00FA1CA9">
            <w:pPr>
              <w:pStyle w:val="Marginlie"/>
              <w:rPr>
                <w:spacing w:val="0"/>
                <w:lang w:eastAsia="en-US"/>
              </w:rPr>
            </w:pPr>
            <w:r>
              <w:rPr>
                <w:spacing w:val="0"/>
                <w:lang w:eastAsia="en-US"/>
              </w:rPr>
              <w:t xml:space="preserve">Meziroční pokles cen </w:t>
            </w:r>
            <w:r>
              <w:rPr>
                <w:spacing w:val="0"/>
                <w:lang w:eastAsia="en-US"/>
              </w:rPr>
              <w:br/>
              <w:t>u řady druhů zboží ovlivnila vysoká srovnávací základna.</w:t>
            </w:r>
          </w:p>
        </w:tc>
        <w:tc>
          <w:tcPr>
            <w:tcW w:w="224" w:type="dxa"/>
          </w:tcPr>
          <w:p w14:paraId="4B968259" w14:textId="77777777" w:rsidR="007C3842" w:rsidRDefault="007C3842" w:rsidP="00FA1CA9">
            <w:pPr>
              <w:pStyle w:val="Textpoznpodarou1"/>
              <w:jc w:val="both"/>
              <w:rPr>
                <w:lang w:eastAsia="en-US"/>
              </w:rPr>
            </w:pPr>
          </w:p>
        </w:tc>
        <w:tc>
          <w:tcPr>
            <w:tcW w:w="7611" w:type="dxa"/>
            <w:hideMark/>
          </w:tcPr>
          <w:p w14:paraId="681374A9" w14:textId="3C41DDAA" w:rsidR="007C3842" w:rsidRDefault="007C3842" w:rsidP="00FA1CA9">
            <w:pPr>
              <w:rPr>
                <w:lang w:eastAsia="en-US"/>
              </w:rPr>
            </w:pPr>
            <w:r>
              <w:rPr>
                <w:lang w:eastAsia="en-US"/>
              </w:rPr>
              <w:t>Ceny výrobků a služeb ve zpracovatelském průmyslu v 1. čtvrtletí meziročně klesly o 1,7 %. Pokles se oproti předchozímu čtvrtletí zmírnil. U řady výrobků se na meziroční dynamice cen projevila srovnávací základna 1. čtvrtletí loňského roku. Výrazně tak meziročně zaostávaly ceny dřeva a výrobků z něj (−16,8 %), papíru a výrobků z něj (−12,3 %), základních kovů (−10,4 %), chemických látek a přípravků (−9,4 %) nebo potravinářských výrobků (−5,4 %), kde přitom ceny v 1. kvartálu mezičtvrtletně klesaly jen mírně, nebo dokonce rostly. Mírný pokles byl zaznamenán rovněž u cen ostatních nekovových minerálních výrobků (−1,1 %), kovodělných výrobků (</w:t>
            </w:r>
            <w:r w:rsidR="00711A82">
              <w:rPr>
                <w:lang w:eastAsia="en-US"/>
              </w:rPr>
              <w:t>−</w:t>
            </w:r>
            <w:r>
              <w:rPr>
                <w:lang w:eastAsia="en-US"/>
              </w:rPr>
              <w:t>1,0 %) a pryžových a plastových výrobků (</w:t>
            </w:r>
            <w:r w:rsidR="00711A82">
              <w:rPr>
                <w:lang w:eastAsia="en-US"/>
              </w:rPr>
              <w:t>−</w:t>
            </w:r>
            <w:r>
              <w:rPr>
                <w:lang w:eastAsia="en-US"/>
              </w:rPr>
              <w:t xml:space="preserve">1,0 %). V kontrastu s klesajícími cenami potravinářských výrobků dál silně meziročně rostly ceny nápojů (6,2 %) a výrazný byl přírůstek cen oprav, údržby a instalace strojů a zařízení (5,3 %) i ostatních výrobků zpracovatelského průmyslu (3,1 %). Meziročně vyšší byly také ceny výrobků ve významných oblastech napojených na zahraniční obchod – počítačů, elektronických a optických přístrojů (4,9 %), strojů a zařízení (3,4 %) a motorových vozidel (3,4 %). V zásadě meziročně stagnovaly ceny elektrických zařízení (0,1 %). </w:t>
            </w:r>
          </w:p>
        </w:tc>
      </w:tr>
      <w:tr w:rsidR="007C3842" w14:paraId="672226A3" w14:textId="77777777" w:rsidTr="00FA1CA9">
        <w:trPr>
          <w:trHeight w:val="145"/>
        </w:trPr>
        <w:tc>
          <w:tcPr>
            <w:tcW w:w="1804" w:type="dxa"/>
            <w:hideMark/>
          </w:tcPr>
          <w:p w14:paraId="43CB4E1D" w14:textId="77777777" w:rsidR="007C3842" w:rsidRDefault="007C3842" w:rsidP="00FA1CA9">
            <w:pPr>
              <w:pStyle w:val="Marginlie"/>
              <w:rPr>
                <w:spacing w:val="0"/>
                <w:lang w:eastAsia="en-US"/>
              </w:rPr>
            </w:pPr>
            <w:r>
              <w:rPr>
                <w:spacing w:val="0"/>
                <w:lang w:eastAsia="en-US"/>
              </w:rPr>
              <w:t>Ceny průmyslových výrobců v EU meziročně klesly.</w:t>
            </w:r>
          </w:p>
        </w:tc>
        <w:tc>
          <w:tcPr>
            <w:tcW w:w="224" w:type="dxa"/>
          </w:tcPr>
          <w:p w14:paraId="69808AD8" w14:textId="77777777" w:rsidR="007C3842" w:rsidRDefault="007C3842" w:rsidP="00FA1CA9">
            <w:pPr>
              <w:pStyle w:val="Textpoznpodarou1"/>
              <w:jc w:val="both"/>
              <w:rPr>
                <w:lang w:eastAsia="en-US"/>
              </w:rPr>
            </w:pPr>
          </w:p>
        </w:tc>
        <w:tc>
          <w:tcPr>
            <w:tcW w:w="7611" w:type="dxa"/>
            <w:hideMark/>
          </w:tcPr>
          <w:p w14:paraId="035B7848" w14:textId="5754E081" w:rsidR="007C3842" w:rsidRDefault="007C3842" w:rsidP="00711A82">
            <w:pPr>
              <w:rPr>
                <w:lang w:eastAsia="en-US"/>
              </w:rPr>
            </w:pPr>
            <w:r>
              <w:rPr>
                <w:lang w:eastAsia="en-US"/>
              </w:rPr>
              <w:t>Ceny průmyslových výrobců v EU</w:t>
            </w:r>
            <w:r>
              <w:rPr>
                <w:rStyle w:val="Znakapoznpodarou"/>
                <w:lang w:eastAsia="en-US"/>
              </w:rPr>
              <w:footnoteReference w:id="50"/>
            </w:r>
            <w:r>
              <w:rPr>
                <w:lang w:eastAsia="en-US"/>
              </w:rPr>
              <w:t xml:space="preserve"> v 1. čtvrtletí meziročně klesly o 7,9 % a propad tak zůstal téměř stejný jako v předchozích dvou čtvrtletích. Výrazně meziročně nižší byly ceny elektřiny, plynu, páry a klimatizovaného vzduchu (−23,4 %) a těžby a dobývání (−9,5 %). Mírný pokles si udržely také ceny výrobků a služeb zpracovatelského průmyslu (−1,8 %). Ceny průmyslových výrobců v 1. čtvrtletí klesly v drtivé většině zemí s výjimkou Lucemburska (přírůstek 16,7 %) a Malty (0,7 %). Nejhlubší propad byl zaznamenán v Irsku (−21,8 %) a na Slovensku (−21,0 %) a s odstupem se </w:t>
            </w:r>
            <w:r w:rsidR="00711A82" w:rsidRPr="00711A82">
              <w:rPr>
                <w:lang w:eastAsia="en-US"/>
              </w:rPr>
              <w:t>umístil</w:t>
            </w:r>
            <w:r w:rsidR="00711A82">
              <w:rPr>
                <w:lang w:eastAsia="en-US"/>
              </w:rPr>
              <w:t xml:space="preserve">o </w:t>
            </w:r>
            <w:r w:rsidR="00711A82" w:rsidRPr="00711A82">
              <w:rPr>
                <w:lang w:eastAsia="en-US"/>
              </w:rPr>
              <w:t>Bulharsko (</w:t>
            </w:r>
            <w:r w:rsidR="00711A82">
              <w:rPr>
                <w:lang w:eastAsia="en-US"/>
              </w:rPr>
              <w:t>−</w:t>
            </w:r>
            <w:r w:rsidR="00711A82" w:rsidRPr="00711A82">
              <w:rPr>
                <w:lang w:eastAsia="en-US"/>
              </w:rPr>
              <w:t>14,3 %)</w:t>
            </w:r>
            <w:r w:rsidR="00711A82">
              <w:rPr>
                <w:lang w:eastAsia="en-US"/>
              </w:rPr>
              <w:t>.</w:t>
            </w:r>
            <w:r>
              <w:rPr>
                <w:lang w:eastAsia="en-US"/>
              </w:rPr>
              <w:t xml:space="preserve"> Mezičtvrtletně se ceny pr</w:t>
            </w:r>
            <w:r w:rsidR="00711A82">
              <w:rPr>
                <w:lang w:eastAsia="en-US"/>
              </w:rPr>
              <w:t xml:space="preserve">ůmyslových výrobců v EU snížily </w:t>
            </w:r>
            <w:r>
              <w:rPr>
                <w:lang w:eastAsia="en-US"/>
              </w:rPr>
              <w:t>o</w:t>
            </w:r>
            <w:r w:rsidR="00711A82">
              <w:rPr>
                <w:lang w:eastAsia="en-US"/>
              </w:rPr>
              <w:t> </w:t>
            </w:r>
            <w:r>
              <w:rPr>
                <w:lang w:eastAsia="en-US"/>
              </w:rPr>
              <w:t>2,3</w:t>
            </w:r>
            <w:r w:rsidR="00711A82">
              <w:rPr>
                <w:lang w:eastAsia="en-US"/>
              </w:rPr>
              <w:t> </w:t>
            </w:r>
            <w:r>
              <w:rPr>
                <w:lang w:eastAsia="en-US"/>
              </w:rPr>
              <w:t>%. Na obnoveném poklesu se projevil vývoj cen elektřiny, plynu, páry a</w:t>
            </w:r>
            <w:r w:rsidR="00711A82">
              <w:rPr>
                <w:lang w:eastAsia="en-US"/>
              </w:rPr>
              <w:t> </w:t>
            </w:r>
            <w:r>
              <w:rPr>
                <w:lang w:eastAsia="en-US"/>
              </w:rPr>
              <w:t>klimatizovaného vzduchu (−8,2 %) i těžby a dobývání (−3,5 %). Ceny ve zpracovatelském průmyslu stagnovaly. Mezičtvrtletní pokles cen průmyslových výrobců byl zaznamenán ve většině zemí EU. Česko bylo nejvýraznější výjimkou (růst o 2,3 %) spolu s Litvou (2,0 %), Švédskem (1,5 %), Maltou (0,3 %) a Portugalskem (0,3</w:t>
            </w:r>
            <w:r w:rsidR="00711A82">
              <w:rPr>
                <w:lang w:eastAsia="en-US"/>
              </w:rPr>
              <w:t> </w:t>
            </w:r>
            <w:r>
              <w:rPr>
                <w:lang w:eastAsia="en-US"/>
              </w:rPr>
              <w:t xml:space="preserve">%). Nejhlubší mezičtvrtletní propad byl zaznamenán na Slovensku (−18,6 %), v Irsku (−7,4 %) a v Itálii (−4,8 %).     </w:t>
            </w:r>
          </w:p>
        </w:tc>
      </w:tr>
      <w:tr w:rsidR="007C3842" w14:paraId="1FBB1EB8" w14:textId="77777777" w:rsidTr="00FA1CA9">
        <w:trPr>
          <w:trHeight w:val="145"/>
        </w:trPr>
        <w:tc>
          <w:tcPr>
            <w:tcW w:w="1804" w:type="dxa"/>
            <w:hideMark/>
          </w:tcPr>
          <w:p w14:paraId="24313C2B" w14:textId="77777777" w:rsidR="007C3842" w:rsidRDefault="007C3842" w:rsidP="00FA1CA9">
            <w:pPr>
              <w:pStyle w:val="Marginlie"/>
              <w:rPr>
                <w:spacing w:val="0"/>
                <w:lang w:eastAsia="en-US"/>
              </w:rPr>
            </w:pPr>
            <w:r>
              <w:rPr>
                <w:spacing w:val="0"/>
                <w:lang w:eastAsia="en-US"/>
              </w:rPr>
              <w:t>Ceny stavebních prací rostly.</w:t>
            </w:r>
          </w:p>
        </w:tc>
        <w:tc>
          <w:tcPr>
            <w:tcW w:w="224" w:type="dxa"/>
          </w:tcPr>
          <w:p w14:paraId="0FDE0841" w14:textId="77777777" w:rsidR="007C3842" w:rsidRDefault="007C3842" w:rsidP="00FA1CA9">
            <w:pPr>
              <w:pStyle w:val="Textpoznpodarou1"/>
              <w:jc w:val="both"/>
              <w:rPr>
                <w:lang w:eastAsia="en-US"/>
              </w:rPr>
            </w:pPr>
          </w:p>
        </w:tc>
        <w:tc>
          <w:tcPr>
            <w:tcW w:w="7611" w:type="dxa"/>
            <w:hideMark/>
          </w:tcPr>
          <w:p w14:paraId="53EF55CB" w14:textId="77777777" w:rsidR="007C3842" w:rsidRDefault="007C3842" w:rsidP="00FA1CA9">
            <w:pPr>
              <w:rPr>
                <w:lang w:eastAsia="en-US"/>
              </w:rPr>
            </w:pPr>
            <w:r>
              <w:rPr>
                <w:lang w:eastAsia="en-US"/>
              </w:rPr>
              <w:t>V 1. čtvrtletí 2024 c</w:t>
            </w:r>
            <w:r w:rsidRPr="003C687E">
              <w:rPr>
                <w:lang w:eastAsia="en-US"/>
              </w:rPr>
              <w:t>eny stavebních prací dle odhadů</w:t>
            </w:r>
            <w:r>
              <w:rPr>
                <w:lang w:eastAsia="en-US"/>
              </w:rPr>
              <w:t xml:space="preserve"> mezičtvrtletně vzrostly o 0,2 %.  Stejné období loňského roku překonaly o 1,7 %. Mezičtvrtletní přírůstek c</w:t>
            </w:r>
            <w:r w:rsidRPr="003C687E">
              <w:rPr>
                <w:lang w:eastAsia="en-US"/>
              </w:rPr>
              <w:t xml:space="preserve">en materiálů a výrobků spotřebovávaných ve stavebnictví </w:t>
            </w:r>
            <w:r>
              <w:rPr>
                <w:lang w:eastAsia="en-US"/>
              </w:rPr>
              <w:t xml:space="preserve">dosáhl </w:t>
            </w:r>
            <w:r w:rsidRPr="003C687E">
              <w:rPr>
                <w:lang w:eastAsia="en-US"/>
              </w:rPr>
              <w:t>0,6 %.</w:t>
            </w:r>
            <w:r>
              <w:rPr>
                <w:lang w:eastAsia="en-US"/>
              </w:rPr>
              <w:t xml:space="preserve"> Ceny</w:t>
            </w:r>
            <w:r w:rsidRPr="003C687E">
              <w:rPr>
                <w:lang w:eastAsia="en-US"/>
              </w:rPr>
              <w:t xml:space="preserve"> materiálů a výrobků spotřebovávaných ve stavebnictví </w:t>
            </w:r>
            <w:r>
              <w:rPr>
                <w:lang w:eastAsia="en-US"/>
              </w:rPr>
              <w:t xml:space="preserve">meziročně </w:t>
            </w:r>
            <w:r w:rsidRPr="003C687E">
              <w:rPr>
                <w:lang w:eastAsia="en-US"/>
              </w:rPr>
              <w:t>klesly o 1,6 %.</w:t>
            </w:r>
          </w:p>
        </w:tc>
      </w:tr>
      <w:tr w:rsidR="007C3842" w14:paraId="4A6CD36A" w14:textId="77777777" w:rsidTr="00FA1CA9">
        <w:trPr>
          <w:trHeight w:val="145"/>
        </w:trPr>
        <w:tc>
          <w:tcPr>
            <w:tcW w:w="1804" w:type="dxa"/>
            <w:hideMark/>
          </w:tcPr>
          <w:p w14:paraId="689647BE" w14:textId="77777777" w:rsidR="007C3842" w:rsidRDefault="007C3842" w:rsidP="00FA1CA9">
            <w:pPr>
              <w:pStyle w:val="Marginlie"/>
              <w:rPr>
                <w:spacing w:val="0"/>
                <w:lang w:eastAsia="en-US"/>
              </w:rPr>
            </w:pPr>
            <w:r>
              <w:rPr>
                <w:spacing w:val="0"/>
                <w:lang w:eastAsia="en-US"/>
              </w:rPr>
              <w:t>Ceny tržních služeb meziročně vzrostly.</w:t>
            </w:r>
          </w:p>
        </w:tc>
        <w:tc>
          <w:tcPr>
            <w:tcW w:w="224" w:type="dxa"/>
          </w:tcPr>
          <w:p w14:paraId="684B2820" w14:textId="77777777" w:rsidR="007C3842" w:rsidRDefault="007C3842" w:rsidP="00FA1CA9">
            <w:pPr>
              <w:pStyle w:val="Textpoznpodarou1"/>
              <w:jc w:val="both"/>
              <w:rPr>
                <w:lang w:eastAsia="en-US"/>
              </w:rPr>
            </w:pPr>
          </w:p>
        </w:tc>
        <w:tc>
          <w:tcPr>
            <w:tcW w:w="7611" w:type="dxa"/>
            <w:hideMark/>
          </w:tcPr>
          <w:p w14:paraId="264F473E" w14:textId="77777777" w:rsidR="007C3842" w:rsidRDefault="007C3842" w:rsidP="00FA1CA9">
            <w:pPr>
              <w:rPr>
                <w:lang w:eastAsia="en-US"/>
              </w:rPr>
            </w:pPr>
            <w:r>
              <w:rPr>
                <w:lang w:eastAsia="en-US"/>
              </w:rPr>
              <w:t xml:space="preserve">Ceny tržních služeb v 1. čtvrtletí meziročně vzrostly o 4,5 %. Nárůst tak mírně zpomalil oproti předchozímu kvartálu. Mezičtvrtletně se ceny tržních služeb zvýšily </w:t>
            </w:r>
            <w:r>
              <w:rPr>
                <w:lang w:eastAsia="en-US"/>
              </w:rPr>
              <w:br/>
              <w:t xml:space="preserve">o 1,1 %. K celkovému meziročnímu nárůstu nejvíc přispěl vývoj cen služeb v oblasti nemovitostí, u kterých meziroční přírůstek zrychlil na 7,8 %, zejména pod vlivem cen pronájmu a správy nemovitostí. Výrazný vliv na celkový růst cen tržních služeb měly také služby v oblasti programování a souvisejícího poradenství (navýšení o 5,8 %) a ceny reklamních služeb a průzkumu trhu, jejichž meziroční růst zrychlil na 12,4 %. Ve směru růstu cen tržních služeb významně působily také služby v oblasti zaměstnání (11,6 %), právní a účetnické služby (6,2 %), pozemní a potrubní doprava (2,5 %), poštovní a kurýrní služby (8,4 %) nebo architektonické a inženýrské služby (2,7 %).    </w:t>
            </w:r>
          </w:p>
        </w:tc>
      </w:tr>
      <w:tr w:rsidR="007C3842" w14:paraId="61585810" w14:textId="77777777" w:rsidTr="00FA1CA9">
        <w:trPr>
          <w:trHeight w:val="145"/>
        </w:trPr>
        <w:tc>
          <w:tcPr>
            <w:tcW w:w="1804" w:type="dxa"/>
            <w:hideMark/>
          </w:tcPr>
          <w:p w14:paraId="4BF764B2" w14:textId="77777777" w:rsidR="007C3842" w:rsidRDefault="007C3842" w:rsidP="00FA1CA9">
            <w:pPr>
              <w:pStyle w:val="Marginlie"/>
              <w:rPr>
                <w:spacing w:val="0"/>
                <w:lang w:eastAsia="en-US"/>
              </w:rPr>
            </w:pPr>
            <w:r>
              <w:rPr>
                <w:spacing w:val="0"/>
                <w:lang w:eastAsia="en-US"/>
              </w:rPr>
              <w:t>Ceny zemědělské výroby setrvaly v hlubokém meziročním propadu.</w:t>
            </w:r>
          </w:p>
        </w:tc>
        <w:tc>
          <w:tcPr>
            <w:tcW w:w="224" w:type="dxa"/>
          </w:tcPr>
          <w:p w14:paraId="6CDEDCAC" w14:textId="77777777" w:rsidR="007C3842" w:rsidRDefault="007C3842" w:rsidP="00FA1CA9">
            <w:pPr>
              <w:pStyle w:val="Textpoznpodarou1"/>
              <w:jc w:val="both"/>
              <w:rPr>
                <w:lang w:eastAsia="en-US"/>
              </w:rPr>
            </w:pPr>
          </w:p>
        </w:tc>
        <w:tc>
          <w:tcPr>
            <w:tcW w:w="7611" w:type="dxa"/>
            <w:hideMark/>
          </w:tcPr>
          <w:p w14:paraId="3CC4B4C9" w14:textId="237D2717" w:rsidR="007C3842" w:rsidRDefault="007C3842" w:rsidP="00711A82">
            <w:pPr>
              <w:rPr>
                <w:lang w:eastAsia="en-US"/>
              </w:rPr>
            </w:pPr>
            <w:r>
              <w:rPr>
                <w:lang w:eastAsia="en-US"/>
              </w:rPr>
              <w:t>Ceny zemědělské výroby (včetně ryb) v 1. čtvrtletí 2024 pokračovaly v meziročním poklesu a byly nižší o 17,2 %. Mezičtvrtletně se ceny zemědělských výrobců snížily o 0,7 %. Ceny rostlinné výroby byly meziročně nižší o 21,4 %. Hluboce klesly ceny obilovin (−34,1 %), z toho pšenice o 3</w:t>
            </w:r>
            <w:r w:rsidR="00711A82">
              <w:rPr>
                <w:lang w:eastAsia="en-US"/>
              </w:rPr>
              <w:t>5</w:t>
            </w:r>
            <w:r>
              <w:rPr>
                <w:lang w:eastAsia="en-US"/>
              </w:rPr>
              <w:t xml:space="preserve">,7 %, žita o 35,0 %, ječmene o 26,7 %, ovsa o 16,5 % a kukuřice o 40,0 %. Ceny průmyslových plodin se meziročně propadly o 20,8 %, z toho olejnin o 24,0 %, zatímco ceny cukrové řepy byly meziročně vyšší o 14,3 %. Krmné plodiny meziročně zdražily o 24,9 %, zelenina a zahradnické produkty o 14,1 %, brambory o 26,2 % a ovoce o 50,7 %. Ceny živočišné výroby </w:t>
            </w:r>
            <w:r>
              <w:rPr>
                <w:lang w:eastAsia="en-US"/>
              </w:rPr>
              <w:br/>
              <w:t xml:space="preserve">v 1. čtvrtletí meziročně klesly o 12,1 %. Pod vlivem cen drůbeže (−8,7 %) a skotu (−0,7 %) klesaly ceny hospodářských zvířat (−1,9 %). Ceny prasat naopak rostly </w:t>
            </w:r>
            <w:r>
              <w:rPr>
                <w:lang w:eastAsia="en-US"/>
              </w:rPr>
              <w:br/>
              <w:t xml:space="preserve">o 2,9 %. Ceny mléka se meziročně propadly o 17,2 % a vajec o 25,1 %.     </w:t>
            </w:r>
          </w:p>
        </w:tc>
      </w:tr>
      <w:tr w:rsidR="007C3842" w14:paraId="281ECAB2" w14:textId="77777777" w:rsidTr="00FA1CA9">
        <w:trPr>
          <w:trHeight w:val="145"/>
        </w:trPr>
        <w:tc>
          <w:tcPr>
            <w:tcW w:w="1804" w:type="dxa"/>
            <w:hideMark/>
          </w:tcPr>
          <w:p w14:paraId="15373DE0" w14:textId="77777777" w:rsidR="007C3842" w:rsidRDefault="007C3842" w:rsidP="00FA1CA9">
            <w:pPr>
              <w:pStyle w:val="Marginlie"/>
              <w:rPr>
                <w:spacing w:val="0"/>
                <w:lang w:eastAsia="en-US"/>
              </w:rPr>
            </w:pPr>
            <w:r>
              <w:rPr>
                <w:spacing w:val="0"/>
                <w:lang w:eastAsia="en-US"/>
              </w:rPr>
              <w:t xml:space="preserve">Vývoj cen zahraničního obchodu byl ovlivněn posílením kurzu koruny. </w:t>
            </w:r>
          </w:p>
        </w:tc>
        <w:tc>
          <w:tcPr>
            <w:tcW w:w="224" w:type="dxa"/>
          </w:tcPr>
          <w:p w14:paraId="034D689C" w14:textId="77777777" w:rsidR="007C3842" w:rsidRDefault="007C3842" w:rsidP="00FA1CA9">
            <w:pPr>
              <w:pStyle w:val="Textpoznpodarou1"/>
              <w:jc w:val="both"/>
              <w:rPr>
                <w:lang w:eastAsia="en-US"/>
              </w:rPr>
            </w:pPr>
          </w:p>
        </w:tc>
        <w:tc>
          <w:tcPr>
            <w:tcW w:w="7611" w:type="dxa"/>
            <w:hideMark/>
          </w:tcPr>
          <w:p w14:paraId="4BB2DEEB" w14:textId="77777777" w:rsidR="007C3842" w:rsidRDefault="007C3842" w:rsidP="00FA1CA9">
            <w:pPr>
              <w:rPr>
                <w:lang w:eastAsia="en-US"/>
              </w:rPr>
            </w:pPr>
            <w:r>
              <w:rPr>
                <w:lang w:eastAsia="en-US"/>
              </w:rPr>
              <w:t xml:space="preserve">Ceny vývozu se v 1. čtvrtletí 2024 meziročně zvýšily o 0,7 %. Po třech předchozích poklesech tak ceny opět vzrostly navzdory relativně silné srovnávací základně loňského 1. kvartálu. Mezičtvrtletně se ceny exportu v 1. kvartálu zvýšily o 1,7 %. Posílení kurzu koruny se především na meziročním vývoji cen zahraničního obchodu </w:t>
            </w:r>
            <w:r>
              <w:rPr>
                <w:lang w:eastAsia="en-US"/>
              </w:rPr>
              <w:lastRenderedPageBreak/>
              <w:t>v 1. čtvrtletí projevovalo výrazně proinflačně.</w:t>
            </w:r>
            <w:r>
              <w:rPr>
                <w:rStyle w:val="Znakapoznpodarou"/>
                <w:lang w:eastAsia="en-US"/>
              </w:rPr>
              <w:footnoteReference w:id="51"/>
            </w:r>
            <w:r>
              <w:rPr>
                <w:lang w:eastAsia="en-US"/>
              </w:rPr>
              <w:t xml:space="preserve"> V 1. čtvrtletí 2024 se meziročně výrazně propadaly ceny exportu elektřiny, plynu, páry a klimatizovaného vzduchu (−29,1 %), produktů zemědělství, lesnictví a rybářství (−14,3 %) a těžby a dobývání (−10,4 %). Naopak se obnovil meziroční růst exportu výrobků zpracovatelského průmyslu (2,8 %). Z toho nejvíce meziročně rostly ceny ostatních dopravních prostředků a zařízení (17,1 %), nábytku (14,1 %) a motorových vozidel, přívěsů a návěsů (8,3 %). Vyšší byly i ceny vývozu strojů a zařízení (5,2 %), pryžových a plastových výrobků (4,1 %) nebo elektrických zařízení (3,1 %). V hlubokém meziročním propadu naopak setrvávaly ceny vývozu dřeva a výrobků z něj (−8,3 %), základních kovů (−7,6 %) a papíru a výrobků z něj (−6,2 %).</w:t>
            </w:r>
          </w:p>
        </w:tc>
      </w:tr>
      <w:tr w:rsidR="007C3842" w14:paraId="7EBD85F8" w14:textId="77777777" w:rsidTr="00FA1CA9">
        <w:trPr>
          <w:trHeight w:val="145"/>
        </w:trPr>
        <w:tc>
          <w:tcPr>
            <w:tcW w:w="1804" w:type="dxa"/>
            <w:hideMark/>
          </w:tcPr>
          <w:p w14:paraId="4052D9AB" w14:textId="77777777" w:rsidR="007C3842" w:rsidRDefault="007C3842" w:rsidP="00FA1CA9">
            <w:pPr>
              <w:pStyle w:val="Marginlie"/>
              <w:rPr>
                <w:spacing w:val="0"/>
                <w:lang w:eastAsia="en-US"/>
              </w:rPr>
            </w:pPr>
            <w:r>
              <w:rPr>
                <w:spacing w:val="0"/>
                <w:lang w:eastAsia="en-US"/>
              </w:rPr>
              <w:lastRenderedPageBreak/>
              <w:t>Směnné relace zůstaly kladné.</w:t>
            </w:r>
          </w:p>
        </w:tc>
        <w:tc>
          <w:tcPr>
            <w:tcW w:w="224" w:type="dxa"/>
          </w:tcPr>
          <w:p w14:paraId="45754824" w14:textId="77777777" w:rsidR="007C3842" w:rsidRDefault="007C3842" w:rsidP="00FA1CA9">
            <w:pPr>
              <w:pStyle w:val="Textpoznpodarou1"/>
              <w:jc w:val="both"/>
              <w:rPr>
                <w:lang w:eastAsia="en-US"/>
              </w:rPr>
            </w:pPr>
          </w:p>
        </w:tc>
        <w:tc>
          <w:tcPr>
            <w:tcW w:w="7611" w:type="dxa"/>
            <w:hideMark/>
          </w:tcPr>
          <w:p w14:paraId="3F5D70CF" w14:textId="77777777" w:rsidR="007C3842" w:rsidRDefault="007C3842" w:rsidP="00FA1CA9">
            <w:pPr>
              <w:rPr>
                <w:lang w:eastAsia="en-US"/>
              </w:rPr>
            </w:pPr>
            <w:r>
              <w:rPr>
                <w:lang w:eastAsia="en-US"/>
              </w:rPr>
              <w:t xml:space="preserve">Ceny dovozu v 1. čtvrtletí meziročně klesly o 1,7 %. Šlo o čtvrtý pokles v řadě, propad se ale zmírnil. Mezičtvrtletně ceny importu v zásadě stagnovaly (růst o 0,1 %). Meziročně nižší byly ceny importu elektřiny, plynu, páry a klimatizovaného vzduchu (−38,4 %), těžby a dobývání (−19,0 %) a produktů zemědělství, lesnictví a rybářství (−8,0 %). Ceny dovozu výrobků zpracovatelského průmyslu mírně meziročně rostly (1,0 %), nejvíce ceny ostatních dopravních prostředků (12,1 %) a motorových vozidel, přívěsů a návěsů (6,5 %), nápojů (5,7 %) a ostatních výrobků zpracovatelského průmyslu (5,5 %). Propadaly se ceny dovozu papíru (−8,6 %), chemických látek a přípravků (−7,6 %) nebo základních kovů (−5,2 %). Meziroční směnné relace v 1. čtvrtletí 2024 zůstaly kladné, ale zmírnily se na 102,5 %. Kladné byly směnné relace u obchodu s elektřinou, plynem, párou a klimatizovaným vzduchem (115,1 %), u těžby a dobývání (110,5 %) i výrobků zpracovatelského průmyslu (101,8 %). Naopak hluboce záporné byly směnné relace obchodu s produkty zemědělství, lesnictví a rybářství (93,2 %). Mezičtvrtletní směnné relace dosáhly 101,6 %. </w:t>
            </w:r>
          </w:p>
        </w:tc>
      </w:tr>
    </w:tbl>
    <w:p w14:paraId="47C973F4" w14:textId="77777777" w:rsidR="007C3842" w:rsidRDefault="007C3842" w:rsidP="007C3842">
      <w:pPr>
        <w:pStyle w:val="Nadpis11"/>
        <w:spacing w:after="120"/>
      </w:pPr>
    </w:p>
    <w:p w14:paraId="1ED17258" w14:textId="77777777" w:rsidR="00EA1EBB" w:rsidRPr="001B43CD" w:rsidRDefault="00EA1EBB" w:rsidP="00EA1EBB">
      <w:pPr>
        <w:pStyle w:val="Nadpis11"/>
        <w:spacing w:after="120"/>
        <w:rPr>
          <w:highlight w:val="yellow"/>
        </w:rPr>
      </w:pPr>
    </w:p>
    <w:p w14:paraId="641C5B14" w14:textId="77777777" w:rsidR="00EA1EBB" w:rsidRPr="001B43CD" w:rsidRDefault="00EA1EBB" w:rsidP="00EA1EBB">
      <w:pPr>
        <w:spacing w:after="0" w:line="240" w:lineRule="auto"/>
        <w:jc w:val="left"/>
        <w:rPr>
          <w:rFonts w:eastAsia="MS Gothic"/>
          <w:b/>
          <w:bCs/>
          <w:color w:val="71818C"/>
          <w:sz w:val="32"/>
          <w:szCs w:val="28"/>
          <w:highlight w:val="yellow"/>
        </w:rPr>
      </w:pPr>
    </w:p>
    <w:p w14:paraId="2EDF088D" w14:textId="77777777" w:rsidR="00EA1EBB" w:rsidRPr="001B43CD" w:rsidRDefault="00EA1EBB" w:rsidP="00EA1EBB">
      <w:pPr>
        <w:pStyle w:val="Nadpis11"/>
        <w:rPr>
          <w:sz w:val="2"/>
          <w:szCs w:val="2"/>
          <w:highlight w:val="yellow"/>
        </w:rPr>
      </w:pPr>
    </w:p>
    <w:p w14:paraId="3D57CD7C" w14:textId="77777777" w:rsidR="00EA1EBB" w:rsidRPr="001B43CD" w:rsidRDefault="00EA1EBB" w:rsidP="00EA1EBB">
      <w:pPr>
        <w:pStyle w:val="Nadpis11"/>
        <w:rPr>
          <w:sz w:val="2"/>
          <w:szCs w:val="2"/>
          <w:highlight w:val="yellow"/>
        </w:rPr>
      </w:pPr>
    </w:p>
    <w:p w14:paraId="0B044C66" w14:textId="77777777" w:rsidR="00C6020C" w:rsidRPr="001B43CD" w:rsidRDefault="00C6020C">
      <w:pPr>
        <w:spacing w:after="0" w:line="240" w:lineRule="auto"/>
        <w:jc w:val="left"/>
        <w:rPr>
          <w:rFonts w:eastAsia="MS Gothic"/>
          <w:b/>
          <w:bCs/>
          <w:color w:val="71818C"/>
          <w:sz w:val="32"/>
          <w:szCs w:val="28"/>
          <w:highlight w:val="yellow"/>
        </w:rPr>
      </w:pPr>
      <w:r w:rsidRPr="001B43CD">
        <w:rPr>
          <w:highlight w:val="yellow"/>
        </w:rPr>
        <w:br w:type="page"/>
      </w:r>
    </w:p>
    <w:p w14:paraId="6DD77E33" w14:textId="77777777" w:rsidR="00945636" w:rsidRDefault="00945636" w:rsidP="00945636">
      <w:pPr>
        <w:pStyle w:val="Nadpis11"/>
        <w:spacing w:after="120"/>
      </w:pPr>
      <w:bookmarkStart w:id="41" w:name="_Toc169258118"/>
      <w:bookmarkStart w:id="42" w:name="_Toc137233031"/>
      <w:bookmarkEnd w:id="30"/>
      <w:r w:rsidRPr="00B43216">
        <w:lastRenderedPageBreak/>
        <w:t>6. Trh práce</w:t>
      </w:r>
      <w:bookmarkEnd w:id="41"/>
    </w:p>
    <w:tbl>
      <w:tblPr>
        <w:tblW w:w="9674" w:type="dxa"/>
        <w:tblInd w:w="-35" w:type="dxa"/>
        <w:tblCellMar>
          <w:left w:w="0" w:type="dxa"/>
          <w:right w:w="0" w:type="dxa"/>
        </w:tblCellMar>
        <w:tblLook w:val="00A0" w:firstRow="1" w:lastRow="0" w:firstColumn="1" w:lastColumn="0" w:noHBand="0" w:noVBand="0"/>
      </w:tblPr>
      <w:tblGrid>
        <w:gridCol w:w="1769"/>
        <w:gridCol w:w="220"/>
        <w:gridCol w:w="7685"/>
      </w:tblGrid>
      <w:tr w:rsidR="00945636" w:rsidRPr="009F0D7F" w14:paraId="16104333" w14:textId="77777777" w:rsidTr="00A77752">
        <w:trPr>
          <w:trHeight w:val="155"/>
        </w:trPr>
        <w:tc>
          <w:tcPr>
            <w:tcW w:w="1769" w:type="dxa"/>
            <w:shd w:val="clear" w:color="auto" w:fill="auto"/>
            <w:tcMar>
              <w:left w:w="0" w:type="dxa"/>
            </w:tcMar>
          </w:tcPr>
          <w:p w14:paraId="7F1164E2" w14:textId="77777777" w:rsidR="00945636" w:rsidRPr="003E5BDA" w:rsidRDefault="00945636" w:rsidP="00A77752">
            <w:pPr>
              <w:pStyle w:val="Marginlie"/>
              <w:spacing w:after="120"/>
              <w:rPr>
                <w:color w:val="0D0D0D" w:themeColor="text1" w:themeTint="F2"/>
                <w:spacing w:val="-4"/>
              </w:rPr>
            </w:pPr>
            <w:r w:rsidRPr="003E5BDA">
              <w:rPr>
                <w:color w:val="0D0D0D" w:themeColor="text1" w:themeTint="F2"/>
                <w:spacing w:val="-4"/>
              </w:rPr>
              <w:t>Na t</w:t>
            </w:r>
            <w:r>
              <w:rPr>
                <w:color w:val="0D0D0D" w:themeColor="text1" w:themeTint="F2"/>
                <w:spacing w:val="-4"/>
              </w:rPr>
              <w:t>rhu práce</w:t>
            </w:r>
            <w:r w:rsidRPr="003E5BDA">
              <w:rPr>
                <w:color w:val="0D0D0D" w:themeColor="text1" w:themeTint="F2"/>
                <w:spacing w:val="-4"/>
              </w:rPr>
              <w:t xml:space="preserve"> docházelo k částečnému ochlazení, patrném zejména </w:t>
            </w:r>
            <w:r>
              <w:rPr>
                <w:color w:val="0D0D0D" w:themeColor="text1" w:themeTint="F2"/>
                <w:spacing w:val="-4"/>
              </w:rPr>
              <w:br/>
            </w:r>
            <w:r w:rsidRPr="003E5BDA">
              <w:rPr>
                <w:color w:val="0D0D0D" w:themeColor="text1" w:themeTint="F2"/>
                <w:spacing w:val="-4"/>
              </w:rPr>
              <w:t>v zaměstnanosti.</w:t>
            </w:r>
            <w:r>
              <w:rPr>
                <w:color w:val="0D0D0D" w:themeColor="text1" w:themeTint="F2"/>
                <w:spacing w:val="-4"/>
              </w:rPr>
              <w:t xml:space="preserve"> </w:t>
            </w:r>
            <w:r w:rsidRPr="003E5BDA">
              <w:rPr>
                <w:color w:val="0D0D0D" w:themeColor="text1" w:themeTint="F2"/>
                <w:spacing w:val="-4"/>
              </w:rPr>
              <w:t>Situace na úrovni jednotlivých odvětví či podniků se</w:t>
            </w:r>
            <w:r>
              <w:rPr>
                <w:color w:val="0D0D0D" w:themeColor="text1" w:themeTint="F2"/>
                <w:spacing w:val="-4"/>
              </w:rPr>
              <w:t xml:space="preserve"> ale</w:t>
            </w:r>
            <w:r w:rsidRPr="003E5BDA">
              <w:rPr>
                <w:color w:val="0D0D0D" w:themeColor="text1" w:themeTint="F2"/>
                <w:spacing w:val="-4"/>
              </w:rPr>
              <w:t xml:space="preserve"> lišila.</w:t>
            </w:r>
          </w:p>
        </w:tc>
        <w:tc>
          <w:tcPr>
            <w:tcW w:w="220" w:type="dxa"/>
            <w:shd w:val="clear" w:color="auto" w:fill="auto"/>
            <w:tcMar>
              <w:left w:w="0" w:type="dxa"/>
            </w:tcMar>
          </w:tcPr>
          <w:p w14:paraId="595823C4" w14:textId="77777777" w:rsidR="00945636" w:rsidRPr="003E5BDA" w:rsidRDefault="00945636" w:rsidP="00A77752">
            <w:pPr>
              <w:pStyle w:val="Textpoznpodarou"/>
              <w:spacing w:after="120"/>
              <w:jc w:val="both"/>
              <w:rPr>
                <w:color w:val="0D0D0D" w:themeColor="text1" w:themeTint="F2"/>
                <w:spacing w:val="-4"/>
              </w:rPr>
            </w:pPr>
          </w:p>
        </w:tc>
        <w:tc>
          <w:tcPr>
            <w:tcW w:w="7685" w:type="dxa"/>
            <w:shd w:val="clear" w:color="auto" w:fill="auto"/>
            <w:tcMar>
              <w:left w:w="0" w:type="dxa"/>
            </w:tcMar>
          </w:tcPr>
          <w:p w14:paraId="2561052D" w14:textId="1A2793FA" w:rsidR="00945636" w:rsidRPr="003E5BDA" w:rsidRDefault="00945636" w:rsidP="00A77752">
            <w:pPr>
              <w:spacing w:after="200"/>
              <w:rPr>
                <w:color w:val="0D0D0D" w:themeColor="text1" w:themeTint="F2"/>
                <w:spacing w:val="-4"/>
                <w:szCs w:val="20"/>
              </w:rPr>
            </w:pPr>
            <w:r w:rsidRPr="003E5BDA">
              <w:rPr>
                <w:color w:val="0D0D0D" w:themeColor="text1" w:themeTint="F2"/>
                <w:spacing w:val="-4"/>
                <w:szCs w:val="20"/>
              </w:rPr>
              <w:t>Mělká recese, jež zasáhla vloni tuzemskou ekonomiku, se s mírným zpožděním částečně aktuálně promítá na trhu práce. Mezikvartální růst celkového počtu pracovníků se zastavil a</w:t>
            </w:r>
            <w:r>
              <w:rPr>
                <w:color w:val="0D0D0D" w:themeColor="text1" w:themeTint="F2"/>
                <w:spacing w:val="-4"/>
                <w:szCs w:val="20"/>
              </w:rPr>
              <w:t> </w:t>
            </w:r>
            <w:r w:rsidRPr="003E5BDA">
              <w:rPr>
                <w:color w:val="0D0D0D" w:themeColor="text1" w:themeTint="F2"/>
                <w:spacing w:val="-4"/>
                <w:szCs w:val="20"/>
              </w:rPr>
              <w:t>v průmyslu i stavebnictví dochází k </w:t>
            </w:r>
            <w:r>
              <w:rPr>
                <w:color w:val="0D0D0D" w:themeColor="text1" w:themeTint="F2"/>
                <w:spacing w:val="-4"/>
                <w:szCs w:val="20"/>
              </w:rPr>
              <w:t>poklesu</w:t>
            </w:r>
            <w:r w:rsidRPr="003E5BDA">
              <w:rPr>
                <w:color w:val="0D0D0D" w:themeColor="text1" w:themeTint="F2"/>
                <w:spacing w:val="-4"/>
                <w:szCs w:val="20"/>
              </w:rPr>
              <w:t xml:space="preserve"> zaměstnanosti pod vlivem nákladových tlaků i slabé poptávky po produkci</w:t>
            </w:r>
            <w:r>
              <w:rPr>
                <w:color w:val="0D0D0D" w:themeColor="text1" w:themeTint="F2"/>
                <w:spacing w:val="-4"/>
                <w:szCs w:val="20"/>
              </w:rPr>
              <w:t>.</w:t>
            </w:r>
            <w:r w:rsidRPr="003E5BDA">
              <w:rPr>
                <w:color w:val="0D0D0D" w:themeColor="text1" w:themeTint="F2"/>
                <w:spacing w:val="-4"/>
                <w:szCs w:val="20"/>
              </w:rPr>
              <w:t xml:space="preserve"> O</w:t>
            </w:r>
            <w:r>
              <w:rPr>
                <w:color w:val="0D0D0D" w:themeColor="text1" w:themeTint="F2"/>
                <w:spacing w:val="-4"/>
                <w:szCs w:val="20"/>
              </w:rPr>
              <w:t>čekávání podniků</w:t>
            </w:r>
            <w:r w:rsidRPr="003E5BDA">
              <w:rPr>
                <w:color w:val="0D0D0D" w:themeColor="text1" w:themeTint="F2"/>
                <w:spacing w:val="-4"/>
                <w:szCs w:val="20"/>
              </w:rPr>
              <w:t xml:space="preserve"> v oblasti zaměstnanosti jsou převážně </w:t>
            </w:r>
            <w:r w:rsidRPr="005F6D39">
              <w:rPr>
                <w:color w:val="0D0D0D" w:themeColor="text1" w:themeTint="F2"/>
                <w:spacing w:val="-6"/>
                <w:szCs w:val="20"/>
              </w:rPr>
              <w:t>negativní, ovšem během letošní</w:t>
            </w:r>
            <w:r>
              <w:rPr>
                <w:color w:val="0D0D0D" w:themeColor="text1" w:themeTint="F2"/>
                <w:spacing w:val="-6"/>
                <w:szCs w:val="20"/>
              </w:rPr>
              <w:t>ho</w:t>
            </w:r>
            <w:r w:rsidRPr="005F6D39">
              <w:rPr>
                <w:color w:val="0D0D0D" w:themeColor="text1" w:themeTint="F2"/>
                <w:spacing w:val="-6"/>
                <w:szCs w:val="20"/>
              </w:rPr>
              <w:t xml:space="preserve"> jara došlo k dílčímu zlepšení. F</w:t>
            </w:r>
            <w:r>
              <w:rPr>
                <w:color w:val="0D0D0D" w:themeColor="text1" w:themeTint="F2"/>
                <w:spacing w:val="-6"/>
                <w:szCs w:val="20"/>
              </w:rPr>
              <w:t>irmy</w:t>
            </w:r>
            <w:r w:rsidRPr="005F6D39">
              <w:rPr>
                <w:color w:val="0D0D0D" w:themeColor="text1" w:themeTint="F2"/>
                <w:spacing w:val="-6"/>
                <w:szCs w:val="20"/>
              </w:rPr>
              <w:t xml:space="preserve"> i přes nejisté ekonomické</w:t>
            </w:r>
            <w:r w:rsidRPr="003E5BDA">
              <w:rPr>
                <w:color w:val="0D0D0D" w:themeColor="text1" w:themeTint="F2"/>
                <w:spacing w:val="-4"/>
                <w:szCs w:val="20"/>
              </w:rPr>
              <w:t xml:space="preserve"> výhledy poptávaly stále ve zvýšené míře levnou pracovní sílu ze zahraničí </w:t>
            </w:r>
            <w:r>
              <w:rPr>
                <w:color w:val="0D0D0D" w:themeColor="text1" w:themeTint="F2"/>
                <w:spacing w:val="-4"/>
                <w:szCs w:val="20"/>
              </w:rPr>
              <w:br/>
            </w:r>
            <w:r w:rsidRPr="003E5BDA">
              <w:rPr>
                <w:color w:val="0D0D0D" w:themeColor="text1" w:themeTint="F2"/>
                <w:spacing w:val="-4"/>
                <w:szCs w:val="20"/>
              </w:rPr>
              <w:t>a vedle toho postupně pokračovala integrace ukrajinských uprchlíků na pracovní trh, což částečně řešilo dlouhodobější nedostatek vol</w:t>
            </w:r>
            <w:r w:rsidR="00D96B03">
              <w:rPr>
                <w:color w:val="0D0D0D" w:themeColor="text1" w:themeTint="F2"/>
                <w:spacing w:val="-4"/>
                <w:szCs w:val="20"/>
              </w:rPr>
              <w:t>ných pracovních sil v tuzemsku související s nepravidelnostmi ve věkové skladbě populace</w:t>
            </w:r>
            <w:r w:rsidR="00D96B03" w:rsidRPr="003E5BDA">
              <w:rPr>
                <w:color w:val="0D0D0D" w:themeColor="text1" w:themeTint="F2"/>
                <w:spacing w:val="-4"/>
                <w:szCs w:val="20"/>
              </w:rPr>
              <w:t xml:space="preserve">. </w:t>
            </w:r>
            <w:r w:rsidRPr="003E5BDA">
              <w:rPr>
                <w:color w:val="0D0D0D" w:themeColor="text1" w:themeTint="F2"/>
                <w:spacing w:val="-4"/>
                <w:szCs w:val="20"/>
              </w:rPr>
              <w:t xml:space="preserve">Nezaměstnanost včetně její dlouhodobé složky zůstávala bez výraznějších změn </w:t>
            </w:r>
            <w:r>
              <w:rPr>
                <w:color w:val="0D0D0D" w:themeColor="text1" w:themeTint="F2"/>
                <w:spacing w:val="-4"/>
                <w:szCs w:val="20"/>
              </w:rPr>
              <w:t>na nízké úrovni</w:t>
            </w:r>
            <w:r w:rsidRPr="003E5BDA">
              <w:rPr>
                <w:color w:val="0D0D0D" w:themeColor="text1" w:themeTint="F2"/>
                <w:spacing w:val="-4"/>
                <w:szCs w:val="20"/>
              </w:rPr>
              <w:t xml:space="preserve">. </w:t>
            </w:r>
            <w:r>
              <w:rPr>
                <w:color w:val="0D0D0D" w:themeColor="text1" w:themeTint="F2"/>
                <w:spacing w:val="-4"/>
                <w:szCs w:val="20"/>
              </w:rPr>
              <w:t>Specifick</w:t>
            </w:r>
            <w:r w:rsidRPr="003E5BDA">
              <w:rPr>
                <w:color w:val="0D0D0D" w:themeColor="text1" w:themeTint="F2"/>
                <w:spacing w:val="-4"/>
                <w:szCs w:val="20"/>
              </w:rPr>
              <w:t xml:space="preserve">á situace v jednotlivých odvětvích se projevuje v různorodém růstu mezd. Jeho nominální </w:t>
            </w:r>
            <w:r>
              <w:rPr>
                <w:color w:val="0D0D0D" w:themeColor="text1" w:themeTint="F2"/>
                <w:spacing w:val="-4"/>
                <w:szCs w:val="20"/>
              </w:rPr>
              <w:t xml:space="preserve">meziroční </w:t>
            </w:r>
            <w:r w:rsidRPr="003E5BDA">
              <w:rPr>
                <w:color w:val="0D0D0D" w:themeColor="text1" w:themeTint="F2"/>
                <w:spacing w:val="-4"/>
                <w:szCs w:val="20"/>
              </w:rPr>
              <w:t xml:space="preserve">tempo však celkově mírně sláblo. Díky výrazné dezinflační tendenci </w:t>
            </w:r>
            <w:r>
              <w:rPr>
                <w:color w:val="0D0D0D" w:themeColor="text1" w:themeTint="F2"/>
                <w:spacing w:val="-4"/>
                <w:szCs w:val="20"/>
              </w:rPr>
              <w:t xml:space="preserve">v ekonomice se ale </w:t>
            </w:r>
            <w:r w:rsidRPr="003E5BDA">
              <w:rPr>
                <w:color w:val="0D0D0D" w:themeColor="text1" w:themeTint="F2"/>
                <w:spacing w:val="-4"/>
                <w:szCs w:val="20"/>
              </w:rPr>
              <w:t>meziroční pokles kupní síly mezd ve všech regionech i v drtivé většině hlavních odvětví zastavil.</w:t>
            </w:r>
          </w:p>
        </w:tc>
      </w:tr>
      <w:tr w:rsidR="00945636" w:rsidRPr="009F0D7F" w14:paraId="5B81F6CE" w14:textId="77777777" w:rsidTr="00A77752">
        <w:trPr>
          <w:trHeight w:val="155"/>
        </w:trPr>
        <w:tc>
          <w:tcPr>
            <w:tcW w:w="1769" w:type="dxa"/>
            <w:shd w:val="clear" w:color="auto" w:fill="auto"/>
            <w:tcMar>
              <w:left w:w="0" w:type="dxa"/>
            </w:tcMar>
          </w:tcPr>
          <w:p w14:paraId="08EEC9AE" w14:textId="77777777" w:rsidR="00945636" w:rsidRDefault="00945636" w:rsidP="00A77752">
            <w:pPr>
              <w:pStyle w:val="Marginlie"/>
              <w:spacing w:after="120"/>
              <w:rPr>
                <w:color w:val="0D0D0D" w:themeColor="text1" w:themeTint="F2"/>
                <w:spacing w:val="-4"/>
              </w:rPr>
            </w:pPr>
            <w:r>
              <w:rPr>
                <w:color w:val="0D0D0D" w:themeColor="text1" w:themeTint="F2"/>
                <w:spacing w:val="-4"/>
              </w:rPr>
              <w:t>Celková zaměstnanost mezikvartálně stagnovala. K mírnému meziročnímu růstu přispěli opět hlavně drobní podnikatelé.</w:t>
            </w:r>
          </w:p>
        </w:tc>
        <w:tc>
          <w:tcPr>
            <w:tcW w:w="220" w:type="dxa"/>
            <w:shd w:val="clear" w:color="auto" w:fill="auto"/>
            <w:tcMar>
              <w:left w:w="0" w:type="dxa"/>
            </w:tcMar>
          </w:tcPr>
          <w:p w14:paraId="4BBBDCFF" w14:textId="77777777" w:rsidR="00945636" w:rsidRPr="009F0D7F" w:rsidRDefault="00945636" w:rsidP="00A77752">
            <w:pPr>
              <w:pStyle w:val="Textpoznpodarou"/>
              <w:spacing w:after="120"/>
              <w:jc w:val="both"/>
              <w:rPr>
                <w:color w:val="0D0D0D" w:themeColor="text1" w:themeTint="F2"/>
                <w:spacing w:val="-4"/>
              </w:rPr>
            </w:pPr>
          </w:p>
        </w:tc>
        <w:tc>
          <w:tcPr>
            <w:tcW w:w="7685" w:type="dxa"/>
            <w:shd w:val="clear" w:color="auto" w:fill="auto"/>
            <w:tcMar>
              <w:left w:w="0" w:type="dxa"/>
            </w:tcMar>
          </w:tcPr>
          <w:p w14:paraId="0119F2BD" w14:textId="77777777" w:rsidR="00945636" w:rsidRDefault="00945636" w:rsidP="00A77752">
            <w:r>
              <w:t>Celková zaměstnanost</w:t>
            </w:r>
            <w:r w:rsidRPr="00FE39EE">
              <w:rPr>
                <w:color w:val="0D0D0D" w:themeColor="text1" w:themeTint="F2"/>
                <w:spacing w:val="-4"/>
                <w:vertAlign w:val="superscript"/>
              </w:rPr>
              <w:footnoteReference w:id="52"/>
            </w:r>
            <w:r>
              <w:t xml:space="preserve"> v tuzemské ekonomice v 1. čtvrtletí 2024, obdobně jako na konci minulého roku, mezikvartálně jen stagnovala. Meziročně se sice mírně zvýšila (+0,3 %</w:t>
            </w:r>
            <w:r w:rsidRPr="0010316B">
              <w:rPr>
                <w:rStyle w:val="Znakapoznpodarou"/>
                <w:color w:val="0D0D0D" w:themeColor="text1" w:themeTint="F2"/>
              </w:rPr>
              <w:footnoteReference w:id="53"/>
            </w:r>
            <w:r>
              <w:t xml:space="preserve">), toto tempo však bylo nejslabší od uvolnění protipandemických restrikcí (jaro 2021). I tak fyzický počet pracovníků (5,47 mil.) lehce překonal vrchol zaměstnanosti z konjunkturního roku 2019 (+0,5 %), z velké části díky rozvoji veřejných služeb. </w:t>
            </w:r>
            <w:r>
              <w:br/>
              <w:t>K meziročnímu růstu zaměstnanosti přispěli aktuálně již třetí kvartál v řadě zejména sebezaměstnaní</w:t>
            </w:r>
            <w:r>
              <w:rPr>
                <w:rStyle w:val="Znakapoznpodarou"/>
                <w:spacing w:val="-5"/>
              </w:rPr>
              <w:footnoteReference w:id="54"/>
            </w:r>
            <w:r>
              <w:t>, jejichž počty se vyjma stavebnictví a oblasti nemovitostí zvyšovaly ve všech hlavních odvětvích – zejména v oblasti IT, finančnictví či obchodu, kde mohlo docházet i k</w:t>
            </w:r>
            <w:r>
              <w:rPr>
                <w:color w:val="0D0D0D" w:themeColor="text1" w:themeTint="F2"/>
                <w:spacing w:val="-4"/>
              </w:rPr>
              <w:t xml:space="preserve"> „přelivům“ ze zaměstnaneckého postavení.</w:t>
            </w:r>
            <w:r>
              <w:t xml:space="preserve"> I tak zůstával celkový počet drobných podnikatelů v ekonomice stále významně pod úrovní z počátku roku 2019. Stavy zaměstnanců se letos oproti počátku loňského roku téměř nezměnily (+0,1 %), což souvisí s přetrvávající obtížnou situací v těžebním i zpracovatelském průmyslu </w:t>
            </w:r>
            <w:r>
              <w:br/>
              <w:t xml:space="preserve">a navazujícím odvětví dopravy. </w:t>
            </w:r>
          </w:p>
        </w:tc>
      </w:tr>
      <w:tr w:rsidR="00945636" w:rsidRPr="009F0D7F" w14:paraId="0DAECD64" w14:textId="77777777" w:rsidTr="00A77752">
        <w:trPr>
          <w:trHeight w:val="155"/>
        </w:trPr>
        <w:tc>
          <w:tcPr>
            <w:tcW w:w="1769" w:type="dxa"/>
            <w:shd w:val="clear" w:color="auto" w:fill="auto"/>
            <w:tcMar>
              <w:left w:w="0" w:type="dxa"/>
            </w:tcMar>
          </w:tcPr>
          <w:p w14:paraId="23E614E1" w14:textId="77777777" w:rsidR="00945636" w:rsidRDefault="00945636" w:rsidP="00A77752">
            <w:pPr>
              <w:pStyle w:val="Marginlie"/>
              <w:spacing w:after="120"/>
              <w:rPr>
                <w:color w:val="0D0D0D" w:themeColor="text1" w:themeTint="F2"/>
                <w:spacing w:val="-4"/>
              </w:rPr>
            </w:pPr>
            <w:r>
              <w:rPr>
                <w:color w:val="0D0D0D" w:themeColor="text1" w:themeTint="F2"/>
                <w:spacing w:val="-4"/>
              </w:rPr>
              <w:t>Dlouhodobý růst zaměstnanosti ve veřejných službách pokračoval.</w:t>
            </w:r>
          </w:p>
          <w:p w14:paraId="4CBBCB16" w14:textId="77777777" w:rsidR="00945636" w:rsidRDefault="00945636" w:rsidP="00A77752">
            <w:pPr>
              <w:pStyle w:val="Marginlie"/>
              <w:spacing w:after="120"/>
              <w:rPr>
                <w:color w:val="0D0D0D" w:themeColor="text1" w:themeTint="F2"/>
                <w:spacing w:val="-4"/>
              </w:rPr>
            </w:pPr>
          </w:p>
          <w:p w14:paraId="5B6AF28B" w14:textId="77777777" w:rsidR="00945636" w:rsidRDefault="00945636" w:rsidP="00A77752">
            <w:pPr>
              <w:pStyle w:val="Marginlie"/>
              <w:spacing w:after="120"/>
              <w:rPr>
                <w:color w:val="0D0D0D" w:themeColor="text1" w:themeTint="F2"/>
                <w:spacing w:val="-4"/>
              </w:rPr>
            </w:pPr>
          </w:p>
          <w:p w14:paraId="30E79963" w14:textId="77777777" w:rsidR="00945636" w:rsidRDefault="00945636" w:rsidP="00A77752">
            <w:pPr>
              <w:pStyle w:val="Marginlie"/>
              <w:spacing w:after="120"/>
              <w:rPr>
                <w:color w:val="0D0D0D" w:themeColor="text1" w:themeTint="F2"/>
                <w:spacing w:val="-4"/>
              </w:rPr>
            </w:pPr>
          </w:p>
          <w:p w14:paraId="3FF42B1B" w14:textId="77777777" w:rsidR="00945636" w:rsidRDefault="00945636" w:rsidP="00A77752">
            <w:pPr>
              <w:pStyle w:val="Marginlie"/>
              <w:spacing w:after="120"/>
              <w:rPr>
                <w:color w:val="0D0D0D" w:themeColor="text1" w:themeTint="F2"/>
                <w:spacing w:val="-4"/>
              </w:rPr>
            </w:pPr>
          </w:p>
          <w:p w14:paraId="152670DF" w14:textId="77777777" w:rsidR="00945636" w:rsidRDefault="00945636" w:rsidP="00A77752">
            <w:pPr>
              <w:pStyle w:val="Marginlie"/>
              <w:spacing w:after="120"/>
              <w:rPr>
                <w:color w:val="0D0D0D" w:themeColor="text1" w:themeTint="F2"/>
                <w:spacing w:val="-4"/>
              </w:rPr>
            </w:pPr>
            <w:r>
              <w:rPr>
                <w:color w:val="0D0D0D" w:themeColor="text1" w:themeTint="F2"/>
                <w:spacing w:val="-4"/>
              </w:rPr>
              <w:t>Recese v průmyslu i stavebnictví postupně dopadá i na zaměstnanost.</w:t>
            </w:r>
          </w:p>
        </w:tc>
        <w:tc>
          <w:tcPr>
            <w:tcW w:w="220" w:type="dxa"/>
            <w:shd w:val="clear" w:color="auto" w:fill="auto"/>
            <w:tcMar>
              <w:left w:w="0" w:type="dxa"/>
            </w:tcMar>
          </w:tcPr>
          <w:p w14:paraId="7EC4C81D" w14:textId="77777777" w:rsidR="00945636" w:rsidRPr="009F0D7F" w:rsidRDefault="00945636" w:rsidP="00A77752">
            <w:pPr>
              <w:pStyle w:val="Textpoznpodarou"/>
              <w:spacing w:after="120"/>
              <w:jc w:val="both"/>
              <w:rPr>
                <w:color w:val="0D0D0D" w:themeColor="text1" w:themeTint="F2"/>
                <w:spacing w:val="-4"/>
              </w:rPr>
            </w:pPr>
          </w:p>
        </w:tc>
        <w:tc>
          <w:tcPr>
            <w:tcW w:w="7685" w:type="dxa"/>
            <w:shd w:val="clear" w:color="auto" w:fill="auto"/>
            <w:tcMar>
              <w:left w:w="0" w:type="dxa"/>
            </w:tcMar>
          </w:tcPr>
          <w:p w14:paraId="5E3E0E13" w14:textId="1D4097CF" w:rsidR="00945636" w:rsidRPr="00BF7F4C" w:rsidRDefault="00945636" w:rsidP="00945636">
            <w:pPr>
              <w:rPr>
                <w:spacing w:val="-4"/>
              </w:rPr>
            </w:pPr>
            <w:r>
              <w:rPr>
                <w:spacing w:val="-4"/>
              </w:rPr>
              <w:t>Meziroční růst celkové zaměstnanosti byl v 1. čtvrtletí tažen především veřejnými službami</w:t>
            </w:r>
            <w:r>
              <w:rPr>
                <w:rStyle w:val="Znakapoznpodarou"/>
              </w:rPr>
              <w:footnoteReference w:id="55"/>
            </w:r>
            <w:r>
              <w:rPr>
                <w:spacing w:val="-4"/>
              </w:rPr>
              <w:t xml:space="preserve"> (+1,6 %), </w:t>
            </w:r>
            <w:r>
              <w:t>které postupně reagovaly na růst poptávky související zejména s dlouhodobějšími změnami ve věkové skladbě populace (v oblasti vzdělávání, zdravotní a sociální péče). S</w:t>
            </w:r>
            <w:r>
              <w:rPr>
                <w:color w:val="0D0D0D" w:themeColor="text1" w:themeTint="F2"/>
                <w:spacing w:val="-4"/>
              </w:rPr>
              <w:t> </w:t>
            </w:r>
            <w:r>
              <w:t>vyššími nároky na kvalifikaci pracovníků se pojil i růst zaměstnanosti v oblasti podnikových služeb (profesní, vědecké a technické činnosti) i v informačních a komunikačních činnostech (+1,4 %). Mírněji rostl počet pracovníků v uskupení o</w:t>
            </w:r>
            <w:r w:rsidRPr="008F6D7F">
              <w:t>bchod, doprava, ubytování a pohostinství</w:t>
            </w:r>
            <w:r>
              <w:t>, kde se zvyšoval hlavně počet sebezaměstnaných. Ti stáli i za vyšší zaměstnaností v odvětví zemědělství a lesnictví. V průmyslu se celkový počet pracovníků snížil o 1,3 %, meziročně klesal již čtvrtý kvartál v řadě. To souviselo s</w:t>
            </w:r>
            <w:r>
              <w:rPr>
                <w:color w:val="0D0D0D" w:themeColor="text1" w:themeTint="F2"/>
                <w:spacing w:val="-4"/>
              </w:rPr>
              <w:t> </w:t>
            </w:r>
            <w:r>
              <w:t xml:space="preserve">recesí celého odvětví doprovázeným zesílenými nákladovými tlaky i oslabenou poptávkou v řadě tradičních odvětví. Jestliže v průmyslu dopadal nepříznivý ekonomický vývoj primárně na zaměstnance, ve stavebnictví se naopak mírně snižovaly stavy sebezaměstnaných a počet zaměstnanců fakticky stagnoval. V sektoru služeb se vlivem pokračující digitalizace mírně snížila zaměstnanost </w:t>
            </w:r>
            <w:r>
              <w:lastRenderedPageBreak/>
              <w:t>v p</w:t>
            </w:r>
            <w:r w:rsidRPr="00F80018">
              <w:t>eněžnictví a pojišťovnictví</w:t>
            </w:r>
            <w:r>
              <w:t xml:space="preserve">. Útlum hypotečního trhu se potom odrazil i na zaměstnanosti v oblasti nemovitostí. </w:t>
            </w:r>
          </w:p>
        </w:tc>
      </w:tr>
      <w:tr w:rsidR="00945636" w:rsidRPr="009F0D7F" w14:paraId="007ECCB2" w14:textId="77777777" w:rsidTr="00A77752">
        <w:trPr>
          <w:trHeight w:val="155"/>
        </w:trPr>
        <w:tc>
          <w:tcPr>
            <w:tcW w:w="1769" w:type="dxa"/>
            <w:shd w:val="clear" w:color="auto" w:fill="auto"/>
            <w:tcMar>
              <w:left w:w="0" w:type="dxa"/>
            </w:tcMar>
          </w:tcPr>
          <w:p w14:paraId="060A2AAE" w14:textId="77777777" w:rsidR="00945636" w:rsidRDefault="00945636" w:rsidP="00A77752">
            <w:pPr>
              <w:pStyle w:val="Marginlie"/>
              <w:spacing w:after="120"/>
              <w:rPr>
                <w:color w:val="0D0D0D" w:themeColor="text1" w:themeTint="F2"/>
                <w:spacing w:val="-4"/>
              </w:rPr>
            </w:pPr>
            <w:r>
              <w:rPr>
                <w:color w:val="0D0D0D" w:themeColor="text1" w:themeTint="F2"/>
                <w:spacing w:val="-4"/>
              </w:rPr>
              <w:lastRenderedPageBreak/>
              <w:t xml:space="preserve">Rostl počet specialistů </w:t>
            </w:r>
            <w:r>
              <w:rPr>
                <w:color w:val="0D0D0D" w:themeColor="text1" w:themeTint="F2"/>
                <w:spacing w:val="-4"/>
              </w:rPr>
              <w:br/>
              <w:t>a  pracovníků ve službách a prodeji. Přibývalo zaměstnaných žen.</w:t>
            </w:r>
          </w:p>
        </w:tc>
        <w:tc>
          <w:tcPr>
            <w:tcW w:w="220" w:type="dxa"/>
            <w:shd w:val="clear" w:color="auto" w:fill="auto"/>
            <w:tcMar>
              <w:left w:w="0" w:type="dxa"/>
            </w:tcMar>
          </w:tcPr>
          <w:p w14:paraId="4F141546" w14:textId="77777777" w:rsidR="00945636" w:rsidRPr="009F0D7F" w:rsidRDefault="00945636" w:rsidP="00A77752">
            <w:pPr>
              <w:pStyle w:val="Textpoznpodarou"/>
              <w:spacing w:after="120"/>
              <w:jc w:val="both"/>
              <w:rPr>
                <w:color w:val="0D0D0D" w:themeColor="text1" w:themeTint="F2"/>
                <w:spacing w:val="-4"/>
              </w:rPr>
            </w:pPr>
          </w:p>
        </w:tc>
        <w:tc>
          <w:tcPr>
            <w:tcW w:w="7685" w:type="dxa"/>
            <w:shd w:val="clear" w:color="auto" w:fill="auto"/>
            <w:tcMar>
              <w:left w:w="0" w:type="dxa"/>
            </w:tcMar>
          </w:tcPr>
          <w:p w14:paraId="508103E2" w14:textId="77777777" w:rsidR="00945636" w:rsidRPr="00061071" w:rsidRDefault="00945636" w:rsidP="00A77752">
            <w:pPr>
              <w:rPr>
                <w:color w:val="0D0D0D" w:themeColor="text1" w:themeTint="F2"/>
                <w:spacing w:val="-4"/>
              </w:rPr>
            </w:pPr>
            <w:r>
              <w:rPr>
                <w:color w:val="0D0D0D" w:themeColor="text1" w:themeTint="F2"/>
                <w:spacing w:val="-4"/>
              </w:rPr>
              <w:t>V</w:t>
            </w:r>
            <w:r w:rsidRPr="00E2089B">
              <w:rPr>
                <w:color w:val="0D0D0D" w:themeColor="text1" w:themeTint="F2"/>
                <w:spacing w:val="-4"/>
              </w:rPr>
              <w:t>ýše uvedené odvětvové posuny se promítly do změny profesní skladby</w:t>
            </w:r>
            <w:r>
              <w:rPr>
                <w:color w:val="0D0D0D" w:themeColor="text1" w:themeTint="F2"/>
                <w:spacing w:val="-4"/>
              </w:rPr>
              <w:t xml:space="preserve"> všech zaměstnaný</w:t>
            </w:r>
            <w:r w:rsidRPr="00E2089B">
              <w:rPr>
                <w:color w:val="0D0D0D" w:themeColor="text1" w:themeTint="F2"/>
                <w:spacing w:val="-4"/>
              </w:rPr>
              <w:t>ch.</w:t>
            </w:r>
            <w:r>
              <w:rPr>
                <w:color w:val="0D0D0D" w:themeColor="text1" w:themeTint="F2"/>
                <w:spacing w:val="-4"/>
              </w:rPr>
              <w:t xml:space="preserve"> Dle údajů z VŠPS pokračoval letos v 1. čtvrtletí dlouhodobý růst počtu specialistů (meziročně +100 </w:t>
            </w:r>
            <w:r w:rsidRPr="00424DE4">
              <w:rPr>
                <w:color w:val="0D0D0D" w:themeColor="text1" w:themeTint="F2"/>
                <w:spacing w:val="-4"/>
              </w:rPr>
              <w:t xml:space="preserve">tis.), </w:t>
            </w:r>
            <w:r>
              <w:rPr>
                <w:color w:val="0D0D0D" w:themeColor="text1" w:themeTint="F2"/>
                <w:spacing w:val="-4"/>
              </w:rPr>
              <w:t xml:space="preserve">přibylo i </w:t>
            </w:r>
            <w:r>
              <w:t xml:space="preserve">pracovníků ve službách a prodeji (o 50 tis.), mírněji i řemeslníků a opravářů či technických a odborných pracovníků. Stejně jako v předchozích letech </w:t>
            </w:r>
            <w:r>
              <w:rPr>
                <w:color w:val="0D0D0D" w:themeColor="text1" w:themeTint="F2"/>
                <w:spacing w:val="-4"/>
              </w:rPr>
              <w:t>ubývalo hlavně úřednických pozic (−58</w:t>
            </w:r>
            <w:r w:rsidRPr="00424DE4">
              <w:rPr>
                <w:color w:val="0D0D0D" w:themeColor="text1" w:themeTint="F2"/>
                <w:spacing w:val="-4"/>
              </w:rPr>
              <w:t xml:space="preserve"> tis.), což může souviset s postupující digitalizací ve finančnictví, obchodu i ve veřejné správě. </w:t>
            </w:r>
            <w:r>
              <w:rPr>
                <w:color w:val="0D0D0D" w:themeColor="text1" w:themeTint="F2"/>
                <w:spacing w:val="-4"/>
              </w:rPr>
              <w:t>Měnily se i další strukturální charakteristiky – z rozvoje služeb profitovaly ve větší míře ženy. Jejich míra zaměstnanosti (ve věku 15 až 64 let) meziročně vzrostla o 1,3 p. b. (na 68,8 %), u mužů se naopak snížila o 0,3 p. b. (na 80,9 %). I tak stále patřila zaměstnanost mužů v ČR spolu s Nizozemskem (85,9 %) a Maltou (85,5 %) v rámci zemí EU k nejvyšším</w:t>
            </w:r>
            <w:r>
              <w:rPr>
                <w:rStyle w:val="Znakapoznpodarou"/>
                <w:color w:val="0D0D0D" w:themeColor="text1" w:themeTint="F2"/>
                <w:spacing w:val="-4"/>
              </w:rPr>
              <w:footnoteReference w:id="56"/>
            </w:r>
            <w:r>
              <w:rPr>
                <w:color w:val="0D0D0D" w:themeColor="text1" w:themeTint="F2"/>
                <w:spacing w:val="-4"/>
              </w:rPr>
              <w:t>. Naopak míra zaměstnanosti žen v ČR se dlouhodobě řadí v rámci Unie k průměrným</w:t>
            </w:r>
            <w:r>
              <w:rPr>
                <w:rStyle w:val="Znakapoznpodarou"/>
                <w:color w:val="0D0D0D" w:themeColor="text1" w:themeTint="F2"/>
                <w:spacing w:val="-4"/>
              </w:rPr>
              <w:footnoteReference w:id="57"/>
            </w:r>
            <w:r>
              <w:rPr>
                <w:color w:val="0D0D0D" w:themeColor="text1" w:themeTint="F2"/>
                <w:spacing w:val="-4"/>
              </w:rPr>
              <w:t>.</w:t>
            </w:r>
          </w:p>
        </w:tc>
      </w:tr>
      <w:tr w:rsidR="00945636" w:rsidRPr="009F0D7F" w14:paraId="7C719AA4" w14:textId="77777777" w:rsidTr="00A77752">
        <w:trPr>
          <w:trHeight w:val="155"/>
        </w:trPr>
        <w:tc>
          <w:tcPr>
            <w:tcW w:w="1769" w:type="dxa"/>
            <w:shd w:val="clear" w:color="auto" w:fill="auto"/>
            <w:tcMar>
              <w:left w:w="0" w:type="dxa"/>
            </w:tcMar>
          </w:tcPr>
          <w:p w14:paraId="1B7F891B" w14:textId="77777777" w:rsidR="00945636" w:rsidRDefault="00945636" w:rsidP="00A77752">
            <w:pPr>
              <w:pStyle w:val="Marginlie"/>
              <w:spacing w:after="120"/>
              <w:rPr>
                <w:color w:val="0D0D0D" w:themeColor="text1" w:themeTint="F2"/>
                <w:spacing w:val="-4"/>
              </w:rPr>
            </w:pPr>
            <w:r>
              <w:rPr>
                <w:color w:val="0D0D0D" w:themeColor="text1" w:themeTint="F2"/>
                <w:spacing w:val="-4"/>
              </w:rPr>
              <w:t>Počet cizinců v zaměstnaneckém postavení vystoupal na 818 tis. Na jeho meziročním přírůstku se z více než poloviny podíleli Ukrajinci.</w:t>
            </w:r>
          </w:p>
          <w:p w14:paraId="06BB8C62" w14:textId="77777777" w:rsidR="00945636" w:rsidRDefault="00945636" w:rsidP="00A77752">
            <w:pPr>
              <w:pStyle w:val="Marginlie"/>
              <w:spacing w:after="120"/>
              <w:rPr>
                <w:color w:val="0D0D0D" w:themeColor="text1" w:themeTint="F2"/>
                <w:spacing w:val="-4"/>
              </w:rPr>
            </w:pPr>
          </w:p>
          <w:p w14:paraId="640533B9" w14:textId="77777777" w:rsidR="00945636" w:rsidRDefault="00945636" w:rsidP="00A77752">
            <w:pPr>
              <w:pStyle w:val="Marginlie"/>
              <w:spacing w:after="120"/>
              <w:rPr>
                <w:color w:val="0D0D0D" w:themeColor="text1" w:themeTint="F2"/>
                <w:spacing w:val="-4"/>
              </w:rPr>
            </w:pPr>
          </w:p>
          <w:p w14:paraId="369E3788" w14:textId="77777777" w:rsidR="00945636" w:rsidRDefault="00945636" w:rsidP="00A77752">
            <w:pPr>
              <w:pStyle w:val="Marginlie"/>
              <w:spacing w:after="120"/>
              <w:rPr>
                <w:color w:val="0D0D0D" w:themeColor="text1" w:themeTint="F2"/>
                <w:spacing w:val="-4"/>
              </w:rPr>
            </w:pPr>
            <w:r>
              <w:rPr>
                <w:color w:val="0D0D0D" w:themeColor="text1" w:themeTint="F2"/>
                <w:spacing w:val="-4"/>
              </w:rPr>
              <w:t>Zrychlil příliv pracovníků z některých asijských států.</w:t>
            </w:r>
          </w:p>
        </w:tc>
        <w:tc>
          <w:tcPr>
            <w:tcW w:w="220" w:type="dxa"/>
            <w:shd w:val="clear" w:color="auto" w:fill="auto"/>
            <w:tcMar>
              <w:left w:w="0" w:type="dxa"/>
            </w:tcMar>
          </w:tcPr>
          <w:p w14:paraId="6EC52D2D" w14:textId="77777777" w:rsidR="00945636" w:rsidRPr="009F0D7F" w:rsidRDefault="00945636" w:rsidP="00A77752">
            <w:pPr>
              <w:pStyle w:val="Textpoznpodarou"/>
              <w:spacing w:after="120"/>
              <w:jc w:val="both"/>
              <w:rPr>
                <w:color w:val="0D0D0D" w:themeColor="text1" w:themeTint="F2"/>
                <w:spacing w:val="-4"/>
              </w:rPr>
            </w:pPr>
          </w:p>
        </w:tc>
        <w:tc>
          <w:tcPr>
            <w:tcW w:w="7685" w:type="dxa"/>
            <w:shd w:val="clear" w:color="auto" w:fill="auto"/>
            <w:tcMar>
              <w:left w:w="0" w:type="dxa"/>
            </w:tcMar>
          </w:tcPr>
          <w:p w14:paraId="1D631036" w14:textId="77777777" w:rsidR="00945636" w:rsidRDefault="00945636" w:rsidP="00A77752">
            <w:pPr>
              <w:rPr>
                <w:color w:val="0D0D0D" w:themeColor="text1" w:themeTint="F2"/>
                <w:spacing w:val="-6"/>
              </w:rPr>
            </w:pPr>
            <w:r>
              <w:rPr>
                <w:color w:val="0D0D0D" w:themeColor="text1" w:themeTint="F2"/>
                <w:spacing w:val="-6"/>
              </w:rPr>
              <w:t>Dlouhodobě omezený rezervoár</w:t>
            </w:r>
            <w:r w:rsidRPr="00031007">
              <w:rPr>
                <w:color w:val="0D0D0D" w:themeColor="text1" w:themeTint="F2"/>
                <w:spacing w:val="-6"/>
              </w:rPr>
              <w:t xml:space="preserve"> volných </w:t>
            </w:r>
            <w:r>
              <w:rPr>
                <w:color w:val="0D0D0D" w:themeColor="text1" w:themeTint="F2"/>
                <w:spacing w:val="-6"/>
              </w:rPr>
              <w:t>pracovních sil v Česku i sílící tlak firem</w:t>
            </w:r>
            <w:r w:rsidRPr="00031007">
              <w:rPr>
                <w:color w:val="0D0D0D" w:themeColor="text1" w:themeTint="F2"/>
                <w:spacing w:val="-6"/>
              </w:rPr>
              <w:t xml:space="preserve"> na </w:t>
            </w:r>
            <w:r w:rsidRPr="00EC70E1">
              <w:rPr>
                <w:color w:val="0D0D0D" w:themeColor="text1" w:themeTint="F2"/>
                <w:spacing w:val="-6"/>
              </w:rPr>
              <w:t>optimalizac</w:t>
            </w:r>
            <w:r>
              <w:rPr>
                <w:color w:val="0D0D0D" w:themeColor="text1" w:themeTint="F2"/>
                <w:spacing w:val="-6"/>
              </w:rPr>
              <w:t>i výrobních nákladů nadále stimulovaly</w:t>
            </w:r>
            <w:r w:rsidRPr="0041310F">
              <w:rPr>
                <w:color w:val="0D0D0D" w:themeColor="text1" w:themeTint="F2"/>
                <w:spacing w:val="-6"/>
              </w:rPr>
              <w:t xml:space="preserve"> rostoucí poptávku tuzemských zaměstnavatelů po pracovnících ze zahraničí. </w:t>
            </w:r>
            <w:r>
              <w:rPr>
                <w:color w:val="0D0D0D" w:themeColor="text1" w:themeTint="F2"/>
                <w:spacing w:val="-6"/>
              </w:rPr>
              <w:t>Snadnějšímu zaměstnávání cizinců pomáhají legislativní změny snižující administrativní náročnost v této oblasti. To se týká nejen ukrajinských uprchlíků</w:t>
            </w:r>
            <w:r>
              <w:rPr>
                <w:rStyle w:val="Znakapoznpodarou"/>
                <w:color w:val="0D0D0D" w:themeColor="text1" w:themeTint="F2"/>
                <w:spacing w:val="-6"/>
              </w:rPr>
              <w:footnoteReference w:id="58"/>
            </w:r>
            <w:r>
              <w:rPr>
                <w:color w:val="0D0D0D" w:themeColor="text1" w:themeTint="F2"/>
                <w:spacing w:val="-6"/>
              </w:rPr>
              <w:t xml:space="preserve"> i cizinců z dalších hospodářsky méně vyspělých zemí mimo EU</w:t>
            </w:r>
            <w:r>
              <w:rPr>
                <w:rStyle w:val="Znakapoznpodarou"/>
                <w:color w:val="0D0D0D" w:themeColor="text1" w:themeTint="F2"/>
                <w:spacing w:val="-6"/>
              </w:rPr>
              <w:footnoteReference w:id="59"/>
            </w:r>
            <w:r>
              <w:rPr>
                <w:color w:val="0D0D0D" w:themeColor="text1" w:themeTint="F2"/>
                <w:spacing w:val="-6"/>
              </w:rPr>
              <w:t>. Dlouhodobý růst přílivu zahraničních pracovníků do Česka tak pokračoval i v roce 2024. Na konci března bylo na MPSV registrováno 818 tis. cizinců v zaměstnaneckém postavení (meziročně o 39 tis. více), cizích státních příslušníků s živnostenským oprávněním v Česku</w:t>
            </w:r>
            <w:r>
              <w:rPr>
                <w:rStyle w:val="Znakapoznpodarou"/>
                <w:color w:val="0D0D0D" w:themeColor="text1" w:themeTint="F2"/>
                <w:spacing w:val="-6"/>
              </w:rPr>
              <w:footnoteReference w:id="60"/>
            </w:r>
            <w:r>
              <w:rPr>
                <w:color w:val="0D0D0D" w:themeColor="text1" w:themeTint="F2"/>
                <w:spacing w:val="-6"/>
              </w:rPr>
              <w:t xml:space="preserve"> evidovalo MPO 119 tis. (+7 tis.). K meziročně vyššímu počtu cizinců v roli zaměstnanců přispěli nejvíce občané Ukrajiny (+22 tis., z toho 14 tis. ženy) a Slovenska (+4 tis.) – ti zde také dlouhodobě tvoří nejpočetnější zaměstnanecké skupiny (aktuálně 284 tis. a 214 tis. osob). O více než 1 tis. se zvýšil i počet občanů Filipín, Indie, Turecka, Vietnamu a Ruska. Významnější pokles naopak postihl občany Maďarska (−1,2 tis, −5,2 %), mírnější, ale dlouhodobější odliv pak nastal u Bulharů a Rumunů. Více než 30 % všech zaměstnaných cizinců registrovaly úřady práce v Praze a 17 % poté ve středních Čechách.</w:t>
            </w:r>
          </w:p>
        </w:tc>
      </w:tr>
      <w:tr w:rsidR="00945636" w:rsidRPr="009F0D7F" w14:paraId="75B58913" w14:textId="77777777" w:rsidTr="00A77752">
        <w:trPr>
          <w:trHeight w:val="155"/>
        </w:trPr>
        <w:tc>
          <w:tcPr>
            <w:tcW w:w="1769" w:type="dxa"/>
            <w:shd w:val="clear" w:color="auto" w:fill="auto"/>
            <w:tcMar>
              <w:left w:w="0" w:type="dxa"/>
            </w:tcMar>
          </w:tcPr>
          <w:p w14:paraId="2D467A2B" w14:textId="77777777" w:rsidR="00945636" w:rsidRDefault="00945636" w:rsidP="00A77752">
            <w:pPr>
              <w:pStyle w:val="Marginlie"/>
              <w:spacing w:after="120"/>
              <w:rPr>
                <w:color w:val="0D0D0D" w:themeColor="text1" w:themeTint="F2"/>
                <w:spacing w:val="-4"/>
              </w:rPr>
            </w:pPr>
            <w:r>
              <w:rPr>
                <w:color w:val="0D0D0D" w:themeColor="text1" w:themeTint="F2"/>
                <w:spacing w:val="-4"/>
              </w:rPr>
              <w:t>Počet odpracovaných hodin v ekonomice se poprvé po třech letech mírně snížil.</w:t>
            </w:r>
          </w:p>
        </w:tc>
        <w:tc>
          <w:tcPr>
            <w:tcW w:w="220" w:type="dxa"/>
            <w:shd w:val="clear" w:color="auto" w:fill="auto"/>
            <w:tcMar>
              <w:left w:w="0" w:type="dxa"/>
            </w:tcMar>
          </w:tcPr>
          <w:p w14:paraId="03C98F61" w14:textId="77777777" w:rsidR="00945636" w:rsidRPr="009F0D7F" w:rsidRDefault="00945636" w:rsidP="00A77752">
            <w:pPr>
              <w:pStyle w:val="Textpoznpodarou"/>
              <w:spacing w:after="120"/>
              <w:jc w:val="both"/>
              <w:rPr>
                <w:color w:val="0D0D0D" w:themeColor="text1" w:themeTint="F2"/>
                <w:spacing w:val="-4"/>
              </w:rPr>
            </w:pPr>
          </w:p>
        </w:tc>
        <w:tc>
          <w:tcPr>
            <w:tcW w:w="7685" w:type="dxa"/>
            <w:shd w:val="clear" w:color="auto" w:fill="auto"/>
            <w:tcMar>
              <w:left w:w="0" w:type="dxa"/>
            </w:tcMar>
          </w:tcPr>
          <w:p w14:paraId="668E21DA" w14:textId="77777777" w:rsidR="00945636" w:rsidRPr="00207F37" w:rsidRDefault="00945636" w:rsidP="00A77752">
            <w:pPr>
              <w:rPr>
                <w:color w:val="0D0D0D" w:themeColor="text1" w:themeTint="F2"/>
                <w:spacing w:val="-6"/>
              </w:rPr>
            </w:pPr>
            <w:r w:rsidRPr="00045F54">
              <w:rPr>
                <w:color w:val="0D0D0D" w:themeColor="text1" w:themeTint="F2"/>
                <w:spacing w:val="-4"/>
              </w:rPr>
              <w:t xml:space="preserve">Celkový </w:t>
            </w:r>
            <w:r w:rsidRPr="00593B91">
              <w:rPr>
                <w:color w:val="0D0D0D" w:themeColor="text1" w:themeTint="F2"/>
                <w:spacing w:val="-4"/>
              </w:rPr>
              <w:t>počet odpracovaných hodin v</w:t>
            </w:r>
            <w:r>
              <w:rPr>
                <w:color w:val="0D0D0D" w:themeColor="text1" w:themeTint="F2"/>
                <w:spacing w:val="-4"/>
              </w:rPr>
              <w:t> </w:t>
            </w:r>
            <w:r w:rsidRPr="00593B91">
              <w:rPr>
                <w:color w:val="0D0D0D" w:themeColor="text1" w:themeTint="F2"/>
                <w:spacing w:val="-4"/>
              </w:rPr>
              <w:t>ekonomice</w:t>
            </w:r>
            <w:r>
              <w:rPr>
                <w:color w:val="0D0D0D" w:themeColor="text1" w:themeTint="F2"/>
                <w:spacing w:val="-4"/>
              </w:rPr>
              <w:t xml:space="preserve">, jenž se loni poprvé vrátil </w:t>
            </w:r>
            <w:r w:rsidRPr="00045F54">
              <w:rPr>
                <w:color w:val="0D0D0D" w:themeColor="text1" w:themeTint="F2"/>
                <w:spacing w:val="-4"/>
              </w:rPr>
              <w:t>na úroveň z roku 2019</w:t>
            </w:r>
            <w:r>
              <w:rPr>
                <w:color w:val="0D0D0D" w:themeColor="text1" w:themeTint="F2"/>
                <w:spacing w:val="-4"/>
              </w:rPr>
              <w:t xml:space="preserve">, se letos v 1. čtvrtletí meziročně snížil o 0,6 % (klesl poprvé po 1. čtvrtletí 2021). Zaměstnanost ve fyzických osobách rostla rychleji než odpracovaná doba i po většinu loňského roku. Mohla se zde projevit nižší potřeba přesčasové práce, </w:t>
            </w:r>
            <w:r w:rsidRPr="00045F54">
              <w:rPr>
                <w:color w:val="0D0D0D" w:themeColor="text1" w:themeTint="F2"/>
                <w:spacing w:val="-4"/>
              </w:rPr>
              <w:t>rozšiřování zkrácených pracovních úvazků (související s rostoucí zaměstnaností žen</w:t>
            </w:r>
            <w:r>
              <w:rPr>
                <w:color w:val="0D0D0D" w:themeColor="text1" w:themeTint="F2"/>
                <w:spacing w:val="-4"/>
              </w:rPr>
              <w:t xml:space="preserve"> podpořenou uprchlickou vlnou i </w:t>
            </w:r>
            <w:r w:rsidRPr="00045F54">
              <w:rPr>
                <w:color w:val="0D0D0D" w:themeColor="text1" w:themeTint="F2"/>
                <w:spacing w:val="-4"/>
              </w:rPr>
              <w:t xml:space="preserve">nově zavedeným daňovým </w:t>
            </w:r>
            <w:r w:rsidRPr="00097D45">
              <w:rPr>
                <w:color w:val="0D0D0D" w:themeColor="text1" w:themeTint="F2"/>
                <w:spacing w:val="-6"/>
              </w:rPr>
              <w:t>zvýhodněním zkrácených úvazků)</w:t>
            </w:r>
            <w:r w:rsidRPr="00097D45">
              <w:rPr>
                <w:rStyle w:val="Znakapoznpodarou"/>
                <w:color w:val="0D0D0D" w:themeColor="text1" w:themeTint="F2"/>
                <w:spacing w:val="-6"/>
              </w:rPr>
              <w:footnoteReference w:id="61"/>
            </w:r>
            <w:r>
              <w:rPr>
                <w:color w:val="0D0D0D" w:themeColor="text1" w:themeTint="F2"/>
                <w:spacing w:val="-6"/>
              </w:rPr>
              <w:t xml:space="preserve"> či pokles počtu osob pracujících na dohody</w:t>
            </w:r>
            <w:r>
              <w:rPr>
                <w:rStyle w:val="Znakapoznpodarou"/>
                <w:color w:val="0D0D0D" w:themeColor="text1" w:themeTint="F2"/>
                <w:spacing w:val="-6"/>
              </w:rPr>
              <w:footnoteReference w:id="62"/>
            </w:r>
            <w:r>
              <w:rPr>
                <w:color w:val="0D0D0D" w:themeColor="text1" w:themeTint="F2"/>
                <w:spacing w:val="-6"/>
              </w:rPr>
              <w:t xml:space="preserve"> (vlivem legislativních změn snižujících pro zaměstnance finanční výhodnost těchto forem práce a naopak zvyšujících administrativní náročnost pro firmy). K nejvyššímu poklesu odpracovaných hodin došlo letos v p</w:t>
            </w:r>
            <w:r w:rsidRPr="00076F8D">
              <w:rPr>
                <w:color w:val="0D0D0D" w:themeColor="text1" w:themeTint="F2"/>
                <w:spacing w:val="-6"/>
              </w:rPr>
              <w:t>eněžnictví a pojišťovnictví</w:t>
            </w:r>
            <w:r>
              <w:rPr>
                <w:color w:val="0D0D0D" w:themeColor="text1" w:themeTint="F2"/>
                <w:spacing w:val="-6"/>
              </w:rPr>
              <w:t>, v ostatních službách</w:t>
            </w:r>
            <w:r>
              <w:rPr>
                <w:rStyle w:val="Znakapoznpodarou"/>
                <w:color w:val="0D0D0D" w:themeColor="text1" w:themeTint="F2"/>
                <w:spacing w:val="-6"/>
              </w:rPr>
              <w:footnoteReference w:id="63"/>
            </w:r>
            <w:r>
              <w:rPr>
                <w:color w:val="0D0D0D" w:themeColor="text1" w:themeTint="F2"/>
                <w:spacing w:val="-6"/>
              </w:rPr>
              <w:t xml:space="preserve"> a také v primárním sektoru.</w:t>
            </w:r>
          </w:p>
        </w:tc>
      </w:tr>
      <w:tr w:rsidR="00945636" w:rsidRPr="009F0D7F" w14:paraId="6DE05A69" w14:textId="77777777" w:rsidTr="00A77752">
        <w:trPr>
          <w:trHeight w:val="155"/>
        </w:trPr>
        <w:tc>
          <w:tcPr>
            <w:tcW w:w="1769" w:type="dxa"/>
            <w:shd w:val="clear" w:color="auto" w:fill="auto"/>
            <w:tcMar>
              <w:left w:w="0" w:type="dxa"/>
            </w:tcMar>
          </w:tcPr>
          <w:p w14:paraId="505898C9" w14:textId="77777777" w:rsidR="00945636" w:rsidRDefault="00945636" w:rsidP="00A77752">
            <w:pPr>
              <w:pStyle w:val="Marginlie"/>
              <w:rPr>
                <w:color w:val="0D0D0D" w:themeColor="text1" w:themeTint="F2"/>
                <w:spacing w:val="-4"/>
              </w:rPr>
            </w:pPr>
            <w:r>
              <w:rPr>
                <w:color w:val="0D0D0D" w:themeColor="text1" w:themeTint="F2"/>
                <w:spacing w:val="-4"/>
              </w:rPr>
              <w:lastRenderedPageBreak/>
              <w:t>Během 2. čtvrtletí se pesimismus podniků v oblasti zaměstnanosti mírně snížil. Ke zlepšení došlo ve službách i obchodu.</w:t>
            </w:r>
          </w:p>
          <w:p w14:paraId="71EA2CA9" w14:textId="77777777" w:rsidR="00945636" w:rsidRDefault="00945636" w:rsidP="00A77752">
            <w:pPr>
              <w:pStyle w:val="Marginlie"/>
              <w:rPr>
                <w:color w:val="0D0D0D" w:themeColor="text1" w:themeTint="F2"/>
                <w:spacing w:val="-4"/>
              </w:rPr>
            </w:pPr>
          </w:p>
          <w:p w14:paraId="3FC040D6" w14:textId="77777777" w:rsidR="00945636" w:rsidRDefault="00945636" w:rsidP="00A77752">
            <w:pPr>
              <w:pStyle w:val="Marginlie"/>
              <w:rPr>
                <w:color w:val="0D0D0D" w:themeColor="text1" w:themeTint="F2"/>
                <w:spacing w:val="-4"/>
              </w:rPr>
            </w:pPr>
          </w:p>
          <w:p w14:paraId="4D842BE1" w14:textId="77777777" w:rsidR="00945636" w:rsidRDefault="00945636" w:rsidP="00A77752">
            <w:pPr>
              <w:pStyle w:val="Marginlie"/>
              <w:rPr>
                <w:color w:val="0D0D0D" w:themeColor="text1" w:themeTint="F2"/>
                <w:spacing w:val="-4"/>
              </w:rPr>
            </w:pPr>
          </w:p>
          <w:p w14:paraId="62944448" w14:textId="77777777" w:rsidR="00945636" w:rsidRDefault="00945636" w:rsidP="00A77752">
            <w:pPr>
              <w:pStyle w:val="Marginlie"/>
              <w:rPr>
                <w:color w:val="0D0D0D" w:themeColor="text1" w:themeTint="F2"/>
                <w:spacing w:val="-4"/>
              </w:rPr>
            </w:pPr>
          </w:p>
          <w:p w14:paraId="6D0C6D6C" w14:textId="77777777" w:rsidR="00945636" w:rsidRDefault="00945636" w:rsidP="00A77752">
            <w:pPr>
              <w:pStyle w:val="Marginlie"/>
              <w:rPr>
                <w:color w:val="0D0D0D" w:themeColor="text1" w:themeTint="F2"/>
                <w:spacing w:val="-4"/>
              </w:rPr>
            </w:pPr>
            <w:r>
              <w:rPr>
                <w:color w:val="0D0D0D" w:themeColor="text1" w:themeTint="F2"/>
                <w:spacing w:val="-4"/>
              </w:rPr>
              <w:t>V průmyslu i službách představuje nedostatek pracovníků stále menší bariéru.</w:t>
            </w:r>
          </w:p>
          <w:p w14:paraId="10CEBE53" w14:textId="77777777" w:rsidR="00945636" w:rsidRDefault="00945636" w:rsidP="00A77752">
            <w:pPr>
              <w:pStyle w:val="Marginlie"/>
              <w:spacing w:after="120"/>
              <w:rPr>
                <w:color w:val="0D0D0D" w:themeColor="text1" w:themeTint="F2"/>
                <w:spacing w:val="-4"/>
              </w:rPr>
            </w:pPr>
          </w:p>
        </w:tc>
        <w:tc>
          <w:tcPr>
            <w:tcW w:w="220" w:type="dxa"/>
            <w:shd w:val="clear" w:color="auto" w:fill="auto"/>
            <w:tcMar>
              <w:left w:w="0" w:type="dxa"/>
            </w:tcMar>
          </w:tcPr>
          <w:p w14:paraId="666833D1" w14:textId="77777777" w:rsidR="00945636" w:rsidRPr="009F0D7F" w:rsidRDefault="00945636" w:rsidP="00A77752">
            <w:pPr>
              <w:pStyle w:val="Textpoznpodarou"/>
              <w:spacing w:after="120"/>
              <w:jc w:val="both"/>
              <w:rPr>
                <w:color w:val="0D0D0D" w:themeColor="text1" w:themeTint="F2"/>
                <w:spacing w:val="-4"/>
              </w:rPr>
            </w:pPr>
          </w:p>
        </w:tc>
        <w:tc>
          <w:tcPr>
            <w:tcW w:w="7685" w:type="dxa"/>
            <w:shd w:val="clear" w:color="auto" w:fill="auto"/>
            <w:tcMar>
              <w:left w:w="0" w:type="dxa"/>
            </w:tcMar>
          </w:tcPr>
          <w:p w14:paraId="4698C592" w14:textId="61143424" w:rsidR="00945636" w:rsidRPr="00A4613D" w:rsidRDefault="00945636" w:rsidP="00A77752">
            <w:pPr>
              <w:rPr>
                <w:rFonts w:eastAsia="MS Gothic" w:cs="Arial"/>
                <w:szCs w:val="20"/>
              </w:rPr>
            </w:pPr>
            <w:r w:rsidRPr="007F42CF">
              <w:rPr>
                <w:color w:val="0D0D0D" w:themeColor="text1" w:themeTint="F2"/>
                <w:spacing w:val="-4"/>
              </w:rPr>
              <w:t>Krátkodobá očekávání podniků v </w:t>
            </w:r>
            <w:r w:rsidRPr="00A60C4D">
              <w:rPr>
                <w:color w:val="0D0D0D" w:themeColor="text1" w:themeTint="F2"/>
                <w:spacing w:val="-4"/>
              </w:rPr>
              <w:t>ekonomice v oblasti zaměstnanosti</w:t>
            </w:r>
            <w:r>
              <w:rPr>
                <w:color w:val="0D0D0D" w:themeColor="text1" w:themeTint="F2"/>
                <w:spacing w:val="-4"/>
              </w:rPr>
              <w:t xml:space="preserve"> se od loňského října zhoršovala a letos v únoru sestoupila nejníže od vrcholu pandemie (březen 2021). V průběhu 2. čtvrtletí se pesimismus mírně snížil. Negativní očekávání převládala zejména ve službách, kde v tříměsíčním horizontu </w:t>
            </w:r>
            <w:r>
              <w:rPr>
                <w:rStyle w:val="eop"/>
                <w:rFonts w:eastAsia="MS Gothic" w:cs="Arial"/>
                <w:szCs w:val="20"/>
              </w:rPr>
              <w:t>uvažovalo o</w:t>
            </w:r>
            <w:r>
              <w:rPr>
                <w:color w:val="0D0D0D" w:themeColor="text1" w:themeTint="F2"/>
                <w:spacing w:val="-4"/>
              </w:rPr>
              <w:t> </w:t>
            </w:r>
            <w:r>
              <w:rPr>
                <w:rStyle w:val="eop"/>
                <w:rFonts w:eastAsia="MS Gothic" w:cs="Arial"/>
                <w:szCs w:val="20"/>
              </w:rPr>
              <w:t xml:space="preserve">propuštění pracovníků 29 % podniků, v průmyslu i stavebnictví okolo 15 %. </w:t>
            </w:r>
            <w:r>
              <w:rPr>
                <w:color w:val="0D0D0D" w:themeColor="text1" w:themeTint="F2"/>
                <w:spacing w:val="-4"/>
              </w:rPr>
              <w:t xml:space="preserve">Situace na úrovni dílčích odvětví v rámci průmyslu i služeb se </w:t>
            </w:r>
            <w:r w:rsidRPr="007B5F31">
              <w:rPr>
                <w:color w:val="0D0D0D" w:themeColor="text1" w:themeTint="F2"/>
                <w:spacing w:val="-4"/>
              </w:rPr>
              <w:t>odlišovala</w:t>
            </w:r>
            <w:r w:rsidRPr="007B5F31">
              <w:rPr>
                <w:rStyle w:val="Znakapoznpodarou"/>
                <w:color w:val="0D0D0D" w:themeColor="text1" w:themeTint="F2"/>
                <w:spacing w:val="-4"/>
              </w:rPr>
              <w:footnoteReference w:id="64"/>
            </w:r>
            <w:r w:rsidRPr="007B5F31">
              <w:rPr>
                <w:color w:val="0D0D0D" w:themeColor="text1" w:themeTint="F2"/>
                <w:spacing w:val="-4"/>
              </w:rPr>
              <w:t xml:space="preserve">. </w:t>
            </w:r>
            <w:r>
              <w:rPr>
                <w:color w:val="0D0D0D" w:themeColor="text1" w:themeTint="F2"/>
                <w:spacing w:val="-4"/>
              </w:rPr>
              <w:t>Dlouhodobě optimistické jsou podniky v obchodu</w:t>
            </w:r>
            <w:r>
              <w:rPr>
                <w:rStyle w:val="Znakapoznpodarou"/>
                <w:color w:val="0D0D0D" w:themeColor="text1" w:themeTint="F2"/>
                <w:spacing w:val="-4"/>
              </w:rPr>
              <w:footnoteReference w:id="65"/>
            </w:r>
            <w:r>
              <w:rPr>
                <w:color w:val="0D0D0D" w:themeColor="text1" w:themeTint="F2"/>
                <w:spacing w:val="-4"/>
              </w:rPr>
              <w:t xml:space="preserve">. </w:t>
            </w:r>
            <w:r>
              <w:rPr>
                <w:rStyle w:val="eop"/>
                <w:rFonts w:eastAsia="MS Gothic" w:cs="Arial"/>
                <w:szCs w:val="20"/>
              </w:rPr>
              <w:t xml:space="preserve">Jediné z hlavních odvětví, kde se očekávání meziročně mírně zlepšila, bylo stavebnictví. Ve srovnání s počátkem letošního roku je patrný pozitivní posun v obchodě i službách (což koresponduje i s oživující spotřebou domácností), zhoršení naopak v průmyslu i stavebnictví. Podíl podniků, pro něž </w:t>
            </w:r>
            <w:r w:rsidRPr="00A60C4D">
              <w:rPr>
                <w:color w:val="0D0D0D" w:themeColor="text1" w:themeTint="F2"/>
                <w:spacing w:val="-4"/>
              </w:rPr>
              <w:t>představuje nedostatek pracovní síly jednu z </w:t>
            </w:r>
            <w:r>
              <w:rPr>
                <w:color w:val="0D0D0D" w:themeColor="text1" w:themeTint="F2"/>
                <w:spacing w:val="-4"/>
              </w:rPr>
              <w:t>významných růstových bariér</w:t>
            </w:r>
            <w:r>
              <w:rPr>
                <w:rStyle w:val="Znakapoznpodarou"/>
                <w:color w:val="0D0D0D" w:themeColor="text1" w:themeTint="F2"/>
                <w:spacing w:val="-4"/>
              </w:rPr>
              <w:footnoteReference w:id="66"/>
            </w:r>
            <w:r>
              <w:rPr>
                <w:color w:val="0D0D0D" w:themeColor="text1" w:themeTint="F2"/>
                <w:spacing w:val="-4"/>
              </w:rPr>
              <w:t>, se od počátku letošního roku mírně snížil v průmyslu (na 12 %) i službách (8 %), takřka neměnný byl ve stavebnictví (50 %), kde jde o klíčovou bariéru fakticky již posledních pět a půl roku.</w:t>
            </w:r>
          </w:p>
        </w:tc>
      </w:tr>
      <w:tr w:rsidR="00945636" w:rsidRPr="009F2A8A" w14:paraId="1D7CFDFA" w14:textId="77777777" w:rsidTr="00A77752">
        <w:trPr>
          <w:trHeight w:val="155"/>
        </w:trPr>
        <w:tc>
          <w:tcPr>
            <w:tcW w:w="1769" w:type="dxa"/>
            <w:vMerge w:val="restart"/>
            <w:shd w:val="clear" w:color="auto" w:fill="auto"/>
            <w:tcMar>
              <w:left w:w="0" w:type="dxa"/>
            </w:tcMar>
          </w:tcPr>
          <w:p w14:paraId="52F96F52" w14:textId="77777777" w:rsidR="00945636" w:rsidRPr="00B43216" w:rsidRDefault="00945636" w:rsidP="00A77752">
            <w:pPr>
              <w:pStyle w:val="Marginlie"/>
              <w:spacing w:after="120"/>
              <w:rPr>
                <w:spacing w:val="-4"/>
              </w:rPr>
            </w:pPr>
          </w:p>
        </w:tc>
        <w:tc>
          <w:tcPr>
            <w:tcW w:w="220" w:type="dxa"/>
            <w:vMerge w:val="restart"/>
            <w:shd w:val="clear" w:color="auto" w:fill="auto"/>
            <w:tcMar>
              <w:left w:w="0" w:type="dxa"/>
            </w:tcMar>
          </w:tcPr>
          <w:p w14:paraId="46307C53" w14:textId="77777777" w:rsidR="00945636" w:rsidRPr="00B43216" w:rsidRDefault="00945636" w:rsidP="00A77752">
            <w:pPr>
              <w:pStyle w:val="Textpoznpodarou"/>
              <w:spacing w:after="120"/>
              <w:jc w:val="both"/>
              <w:rPr>
                <w:spacing w:val="-4"/>
              </w:rPr>
            </w:pPr>
          </w:p>
        </w:tc>
        <w:tc>
          <w:tcPr>
            <w:tcW w:w="7685" w:type="dxa"/>
            <w:shd w:val="clear" w:color="auto" w:fill="auto"/>
            <w:tcMar>
              <w:left w:w="0" w:type="dxa"/>
            </w:tcMar>
          </w:tcPr>
          <w:p w14:paraId="4D1E4655" w14:textId="77777777" w:rsidR="00945636" w:rsidRPr="00CA5850" w:rsidRDefault="00945636" w:rsidP="00A77752">
            <w:pPr>
              <w:spacing w:after="0"/>
              <w:rPr>
                <w:spacing w:val="-2"/>
              </w:rPr>
            </w:pPr>
            <w:r>
              <w:rPr>
                <w:rFonts w:cs="Arial"/>
                <w:b/>
                <w:bCs/>
                <w:color w:val="000000"/>
                <w:szCs w:val="20"/>
              </w:rPr>
              <w:t>Graf č. 13</w:t>
            </w:r>
            <w:r w:rsidRPr="0068569E">
              <w:rPr>
                <w:rFonts w:cs="Arial"/>
                <w:b/>
                <w:bCs/>
                <w:color w:val="000000"/>
                <w:sz w:val="18"/>
                <w:szCs w:val="18"/>
              </w:rPr>
              <w:t xml:space="preserve"> </w:t>
            </w:r>
            <w:r w:rsidRPr="0068569E">
              <w:rPr>
                <w:b/>
                <w:bCs/>
                <w:lang w:eastAsia="en-US"/>
              </w:rPr>
              <w:t xml:space="preserve">Celková zaměstnanost </w:t>
            </w:r>
            <w:r w:rsidRPr="0068569E">
              <w:rPr>
                <w:lang w:eastAsia="en-US"/>
              </w:rPr>
              <w:t>(</w:t>
            </w:r>
            <w:r w:rsidRPr="0068569E">
              <w:rPr>
                <w:spacing w:val="-2"/>
              </w:rPr>
              <w:t>meziročně v</w:t>
            </w:r>
            <w:r>
              <w:rPr>
                <w:spacing w:val="-2"/>
              </w:rPr>
              <w:t> %</w:t>
            </w:r>
            <w:r w:rsidRPr="0068569E">
              <w:rPr>
                <w:spacing w:val="-2"/>
              </w:rPr>
              <w:t>)</w:t>
            </w:r>
            <w:r w:rsidRPr="0068569E">
              <w:rPr>
                <w:b/>
                <w:bCs/>
                <w:spacing w:val="-2"/>
              </w:rPr>
              <w:t xml:space="preserve">, </w:t>
            </w:r>
            <w:r>
              <w:rPr>
                <w:b/>
                <w:bCs/>
                <w:spacing w:val="-2"/>
              </w:rPr>
              <w:t xml:space="preserve">příspěvky </w:t>
            </w:r>
            <w:r w:rsidRPr="0068569E">
              <w:rPr>
                <w:b/>
                <w:bCs/>
                <w:spacing w:val="-2"/>
              </w:rPr>
              <w:t xml:space="preserve">odvětví k meziroční změně zaměstnanosti </w:t>
            </w:r>
            <w:r w:rsidRPr="0068569E">
              <w:rPr>
                <w:spacing w:val="-2"/>
              </w:rPr>
              <w:t>(v</w:t>
            </w:r>
            <w:r>
              <w:rPr>
                <w:spacing w:val="-2"/>
              </w:rPr>
              <w:t> p. b.</w:t>
            </w:r>
            <w:r w:rsidRPr="0068569E">
              <w:rPr>
                <w:spacing w:val="-2"/>
              </w:rPr>
              <w:t>)</w:t>
            </w:r>
            <w:r w:rsidRPr="0068569E">
              <w:rPr>
                <w:b/>
                <w:bCs/>
                <w:spacing w:val="-2"/>
              </w:rPr>
              <w:t xml:space="preserve"> a očekávání vývoje zaměst</w:t>
            </w:r>
            <w:r>
              <w:rPr>
                <w:b/>
                <w:bCs/>
                <w:spacing w:val="-2"/>
              </w:rPr>
              <w:t>nanosti</w:t>
            </w:r>
            <w:r w:rsidRPr="0068569E">
              <w:rPr>
                <w:b/>
                <w:bCs/>
                <w:spacing w:val="-2"/>
              </w:rPr>
              <w:t xml:space="preserve"> </w:t>
            </w:r>
            <w:r w:rsidRPr="0068569E">
              <w:rPr>
                <w:spacing w:val="-2"/>
              </w:rPr>
              <w:t>(saldo v</w:t>
            </w:r>
            <w:r>
              <w:rPr>
                <w:spacing w:val="-2"/>
              </w:rPr>
              <w:t> p. b.)</w:t>
            </w:r>
          </w:p>
        </w:tc>
      </w:tr>
      <w:tr w:rsidR="00945636" w:rsidRPr="00B43216" w14:paraId="5EBF79B5" w14:textId="77777777" w:rsidTr="00A77752">
        <w:tblPrEx>
          <w:tblCellMar>
            <w:left w:w="70" w:type="dxa"/>
            <w:right w:w="70" w:type="dxa"/>
          </w:tblCellMar>
        </w:tblPrEx>
        <w:trPr>
          <w:trHeight w:val="155"/>
        </w:trPr>
        <w:tc>
          <w:tcPr>
            <w:tcW w:w="1769" w:type="dxa"/>
            <w:vMerge/>
            <w:shd w:val="clear" w:color="auto" w:fill="auto"/>
          </w:tcPr>
          <w:p w14:paraId="5F282427" w14:textId="77777777" w:rsidR="00945636" w:rsidRPr="00B43216" w:rsidRDefault="00945636" w:rsidP="00A77752">
            <w:pPr>
              <w:pStyle w:val="Marginlie"/>
              <w:spacing w:after="120"/>
              <w:rPr>
                <w:spacing w:val="-4"/>
              </w:rPr>
            </w:pPr>
          </w:p>
        </w:tc>
        <w:tc>
          <w:tcPr>
            <w:tcW w:w="220" w:type="dxa"/>
            <w:vMerge/>
            <w:shd w:val="clear" w:color="auto" w:fill="auto"/>
          </w:tcPr>
          <w:p w14:paraId="21FFDF2F" w14:textId="77777777" w:rsidR="00945636" w:rsidRPr="00B43216" w:rsidRDefault="00945636" w:rsidP="00A77752">
            <w:pPr>
              <w:pStyle w:val="Textpoznpodarou"/>
              <w:spacing w:after="120"/>
              <w:jc w:val="both"/>
              <w:rPr>
                <w:spacing w:val="-4"/>
              </w:rPr>
            </w:pPr>
          </w:p>
        </w:tc>
        <w:tc>
          <w:tcPr>
            <w:tcW w:w="7685" w:type="dxa"/>
            <w:shd w:val="clear" w:color="auto" w:fill="auto"/>
          </w:tcPr>
          <w:p w14:paraId="7021E0F1" w14:textId="77777777" w:rsidR="00945636" w:rsidRPr="00B43216" w:rsidRDefault="00945636" w:rsidP="00A77752">
            <w:pPr>
              <w:spacing w:after="0"/>
              <w:rPr>
                <w:spacing w:val="-4"/>
              </w:rPr>
            </w:pPr>
            <w:r>
              <w:rPr>
                <w:noProof/>
              </w:rPr>
              <w:drawing>
                <wp:inline distT="0" distB="0" distL="0" distR="0" wp14:anchorId="5D5D3E34" wp14:editId="5D28343E">
                  <wp:extent cx="4784141" cy="3702685"/>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945636" w:rsidRPr="00485ED5" w14:paraId="6444448C" w14:textId="77777777" w:rsidTr="00A77752">
        <w:trPr>
          <w:trHeight w:val="671"/>
        </w:trPr>
        <w:tc>
          <w:tcPr>
            <w:tcW w:w="1769" w:type="dxa"/>
            <w:vMerge/>
            <w:shd w:val="clear" w:color="auto" w:fill="auto"/>
            <w:tcMar>
              <w:left w:w="0" w:type="dxa"/>
            </w:tcMar>
          </w:tcPr>
          <w:p w14:paraId="72ACEDD7" w14:textId="77777777" w:rsidR="00945636" w:rsidRPr="00B43216" w:rsidRDefault="00945636" w:rsidP="00A77752">
            <w:pPr>
              <w:pStyle w:val="Marginlie"/>
              <w:spacing w:after="120"/>
              <w:rPr>
                <w:spacing w:val="-4"/>
              </w:rPr>
            </w:pPr>
          </w:p>
        </w:tc>
        <w:tc>
          <w:tcPr>
            <w:tcW w:w="220" w:type="dxa"/>
            <w:vMerge/>
            <w:shd w:val="clear" w:color="auto" w:fill="auto"/>
            <w:tcMar>
              <w:left w:w="0" w:type="dxa"/>
            </w:tcMar>
          </w:tcPr>
          <w:p w14:paraId="6F2D502E" w14:textId="77777777" w:rsidR="00945636" w:rsidRPr="00B43216" w:rsidRDefault="00945636" w:rsidP="00A77752">
            <w:pPr>
              <w:pStyle w:val="Textpoznpodarou"/>
              <w:spacing w:after="120"/>
              <w:jc w:val="both"/>
              <w:rPr>
                <w:spacing w:val="-4"/>
              </w:rPr>
            </w:pPr>
          </w:p>
        </w:tc>
        <w:tc>
          <w:tcPr>
            <w:tcW w:w="7685" w:type="dxa"/>
            <w:shd w:val="clear" w:color="auto" w:fill="auto"/>
            <w:tcMar>
              <w:left w:w="0" w:type="dxa"/>
            </w:tcMar>
          </w:tcPr>
          <w:p w14:paraId="3869F750" w14:textId="77777777" w:rsidR="00945636" w:rsidRDefault="00945636" w:rsidP="00A77752">
            <w:pPr>
              <w:spacing w:after="0" w:line="240" w:lineRule="auto"/>
              <w:rPr>
                <w:rFonts w:cs="Arial"/>
                <w:sz w:val="14"/>
                <w:szCs w:val="14"/>
              </w:rPr>
            </w:pPr>
            <w:r>
              <w:rPr>
                <w:rFonts w:cs="Arial"/>
                <w:color w:val="0D0D0D" w:themeColor="text1" w:themeTint="F2"/>
                <w:spacing w:val="-2"/>
                <w:sz w:val="14"/>
                <w:szCs w:val="14"/>
              </w:rPr>
              <w:t>*</w:t>
            </w:r>
            <w:r w:rsidRPr="00862F17">
              <w:rPr>
                <w:rFonts w:cs="Arial"/>
                <w:sz w:val="14"/>
                <w:szCs w:val="14"/>
              </w:rPr>
              <w:t xml:space="preserve"> Těžba a</w:t>
            </w:r>
            <w:r>
              <w:rPr>
                <w:rFonts w:cs="Arial"/>
                <w:sz w:val="14"/>
                <w:szCs w:val="14"/>
              </w:rPr>
              <w:t> </w:t>
            </w:r>
            <w:r w:rsidRPr="00862F17">
              <w:rPr>
                <w:rFonts w:cs="Arial"/>
                <w:sz w:val="14"/>
                <w:szCs w:val="14"/>
              </w:rPr>
              <w:t>energetika</w:t>
            </w:r>
            <w:r>
              <w:rPr>
                <w:rFonts w:cs="Arial"/>
                <w:sz w:val="14"/>
                <w:szCs w:val="14"/>
              </w:rPr>
              <w:t>;</w:t>
            </w:r>
            <w:r w:rsidRPr="00862F17">
              <w:rPr>
                <w:rFonts w:cs="Arial"/>
                <w:sz w:val="14"/>
                <w:szCs w:val="14"/>
              </w:rPr>
              <w:t xml:space="preserve"> Peněžnictví a</w:t>
            </w:r>
            <w:r>
              <w:rPr>
                <w:rFonts w:cs="Arial"/>
                <w:sz w:val="14"/>
                <w:szCs w:val="14"/>
              </w:rPr>
              <w:t> </w:t>
            </w:r>
            <w:r w:rsidRPr="00862F17">
              <w:rPr>
                <w:rFonts w:cs="Arial"/>
                <w:sz w:val="14"/>
                <w:szCs w:val="14"/>
              </w:rPr>
              <w:t>pojišťovnictví</w:t>
            </w:r>
            <w:r>
              <w:rPr>
                <w:rFonts w:cs="Arial"/>
                <w:sz w:val="14"/>
                <w:szCs w:val="14"/>
              </w:rPr>
              <w:t>;</w:t>
            </w:r>
            <w:r w:rsidRPr="00862F17">
              <w:rPr>
                <w:rFonts w:cs="Arial"/>
                <w:sz w:val="14"/>
                <w:szCs w:val="14"/>
              </w:rPr>
              <w:t xml:space="preserve"> Činnosti v</w:t>
            </w:r>
            <w:r>
              <w:rPr>
                <w:rFonts w:cs="Arial"/>
                <w:sz w:val="14"/>
                <w:szCs w:val="14"/>
              </w:rPr>
              <w:t> </w:t>
            </w:r>
            <w:r w:rsidRPr="00862F17">
              <w:rPr>
                <w:rFonts w:cs="Arial"/>
                <w:sz w:val="14"/>
                <w:szCs w:val="14"/>
              </w:rPr>
              <w:t>oblasti nemovitostí</w:t>
            </w:r>
            <w:r>
              <w:rPr>
                <w:rFonts w:cs="Arial"/>
                <w:sz w:val="14"/>
                <w:szCs w:val="14"/>
              </w:rPr>
              <w:t>;</w:t>
            </w:r>
            <w:r w:rsidRPr="00862F17">
              <w:rPr>
                <w:rFonts w:cs="Arial"/>
                <w:sz w:val="14"/>
                <w:szCs w:val="14"/>
              </w:rPr>
              <w:t xml:space="preserve"> Kulturní, zábavní a</w:t>
            </w:r>
            <w:r w:rsidRPr="00D47653">
              <w:rPr>
                <w:sz w:val="14"/>
                <w:szCs w:val="14"/>
              </w:rPr>
              <w:t> </w:t>
            </w:r>
            <w:r w:rsidRPr="00862F17">
              <w:rPr>
                <w:rFonts w:cs="Arial"/>
                <w:sz w:val="14"/>
                <w:szCs w:val="14"/>
              </w:rPr>
              <w:t>rekreační činnosti</w:t>
            </w:r>
            <w:r>
              <w:rPr>
                <w:rFonts w:cs="Arial"/>
                <w:sz w:val="14"/>
                <w:szCs w:val="14"/>
              </w:rPr>
              <w:t>.</w:t>
            </w:r>
          </w:p>
          <w:p w14:paraId="5441829E" w14:textId="77777777" w:rsidR="00945636" w:rsidRDefault="00945636" w:rsidP="00A77752">
            <w:pPr>
              <w:spacing w:after="0" w:line="240" w:lineRule="auto"/>
              <w:rPr>
                <w:rFonts w:cs="Arial"/>
                <w:sz w:val="14"/>
                <w:szCs w:val="14"/>
              </w:rPr>
            </w:pPr>
            <w:r>
              <w:rPr>
                <w:rFonts w:cs="Arial"/>
                <w:sz w:val="14"/>
                <w:szCs w:val="14"/>
              </w:rPr>
              <w:t xml:space="preserve">Poznámka: Saldo </w:t>
            </w:r>
            <w:r>
              <w:rPr>
                <w:rFonts w:cs="Arial"/>
                <w:color w:val="0D0D0D" w:themeColor="text1" w:themeTint="F2"/>
                <w:sz w:val="14"/>
                <w:szCs w:val="14"/>
              </w:rPr>
              <w:t>očekávání vyjadřuje rozdíl v p. b. mezi kategoriemi růst versus pokles zaměstnanosti v nejbližších třech měsících. Údaje jsou sezónně očištěny a vztahují se k druhému měsíci daného čtvrtletí.</w:t>
            </w:r>
          </w:p>
          <w:p w14:paraId="703CB6F8" w14:textId="77777777" w:rsidR="00945636" w:rsidRPr="00485ED5" w:rsidRDefault="00945636" w:rsidP="00A77752">
            <w:pPr>
              <w:spacing w:after="200" w:line="240" w:lineRule="auto"/>
              <w:rPr>
                <w:rFonts w:cs="Arial"/>
                <w:color w:val="0D0D0D" w:themeColor="text1" w:themeTint="F2"/>
                <w:spacing w:val="-2"/>
                <w:sz w:val="14"/>
                <w:szCs w:val="14"/>
              </w:rPr>
            </w:pPr>
            <w:r>
              <w:rPr>
                <w:rFonts w:cs="Arial"/>
                <w:sz w:val="14"/>
                <w:szCs w:val="14"/>
              </w:rPr>
              <w:t>Zdroj: ČSÚ (národní účty), Eurostat (konjunkturální průzkumy).</w:t>
            </w:r>
          </w:p>
        </w:tc>
      </w:tr>
      <w:tr w:rsidR="00945636" w:rsidRPr="00D82DBD" w14:paraId="27FA796A" w14:textId="77777777" w:rsidTr="00A77752">
        <w:trPr>
          <w:trHeight w:val="145"/>
        </w:trPr>
        <w:tc>
          <w:tcPr>
            <w:tcW w:w="1769" w:type="dxa"/>
            <w:shd w:val="clear" w:color="auto" w:fill="auto"/>
            <w:tcMar>
              <w:left w:w="0" w:type="dxa"/>
            </w:tcMar>
          </w:tcPr>
          <w:p w14:paraId="2A06A3D3" w14:textId="77777777" w:rsidR="00945636" w:rsidRDefault="00945636" w:rsidP="00A77752">
            <w:pPr>
              <w:pStyle w:val="Marginlie"/>
              <w:rPr>
                <w:color w:val="0D0D0D" w:themeColor="text1" w:themeTint="F2"/>
                <w:spacing w:val="-5"/>
              </w:rPr>
            </w:pPr>
            <w:r>
              <w:rPr>
                <w:color w:val="0D0D0D" w:themeColor="text1" w:themeTint="F2"/>
                <w:spacing w:val="-5"/>
              </w:rPr>
              <w:t xml:space="preserve">Obecná míra nezaměstnanosti mírně rostla. V lednu 2024 </w:t>
            </w:r>
            <w:r>
              <w:rPr>
                <w:color w:val="0D0D0D" w:themeColor="text1" w:themeTint="F2"/>
                <w:spacing w:val="-5"/>
              </w:rPr>
              <w:lastRenderedPageBreak/>
              <w:t>dosáhla nejvýše za posledních dva a půl roku.</w:t>
            </w:r>
          </w:p>
          <w:p w14:paraId="5BC79DE2" w14:textId="77777777" w:rsidR="00945636" w:rsidRPr="008659E6" w:rsidRDefault="00945636" w:rsidP="00A77752">
            <w:pPr>
              <w:pStyle w:val="Marginlie"/>
              <w:rPr>
                <w:color w:val="0D0D0D" w:themeColor="text1" w:themeTint="F2"/>
                <w:spacing w:val="-5"/>
              </w:rPr>
            </w:pPr>
          </w:p>
        </w:tc>
        <w:tc>
          <w:tcPr>
            <w:tcW w:w="220" w:type="dxa"/>
            <w:shd w:val="clear" w:color="auto" w:fill="auto"/>
            <w:tcMar>
              <w:left w:w="0" w:type="dxa"/>
            </w:tcMar>
          </w:tcPr>
          <w:p w14:paraId="1400C4D7" w14:textId="77777777" w:rsidR="00945636" w:rsidRPr="008659E6" w:rsidRDefault="00945636" w:rsidP="00A77752">
            <w:pPr>
              <w:pStyle w:val="Textpoznpodarou"/>
              <w:spacing w:after="120"/>
              <w:jc w:val="both"/>
              <w:rPr>
                <w:color w:val="0D0D0D" w:themeColor="text1" w:themeTint="F2"/>
                <w:spacing w:val="-4"/>
              </w:rPr>
            </w:pPr>
          </w:p>
        </w:tc>
        <w:tc>
          <w:tcPr>
            <w:tcW w:w="7685" w:type="dxa"/>
            <w:shd w:val="clear" w:color="auto" w:fill="auto"/>
            <w:tcMar>
              <w:left w:w="0" w:type="dxa"/>
            </w:tcMar>
          </w:tcPr>
          <w:p w14:paraId="7C8C287F" w14:textId="77777777" w:rsidR="00945636" w:rsidRPr="008659E6" w:rsidRDefault="00945636" w:rsidP="00A77752">
            <w:pPr>
              <w:spacing w:after="200"/>
              <w:rPr>
                <w:color w:val="0D0D0D" w:themeColor="text1" w:themeTint="F2"/>
                <w:spacing w:val="-6"/>
              </w:rPr>
            </w:pPr>
            <w:r w:rsidRPr="00733696">
              <w:rPr>
                <w:color w:val="0D0D0D" w:themeColor="text1" w:themeTint="F2"/>
                <w:spacing w:val="-6"/>
              </w:rPr>
              <w:t>Obecná míra nezaměstnanosti</w:t>
            </w:r>
            <w:r w:rsidRPr="00733696">
              <w:rPr>
                <w:rStyle w:val="Znakapoznpodarou"/>
                <w:color w:val="0D0D0D" w:themeColor="text1" w:themeTint="F2"/>
                <w:spacing w:val="-6"/>
              </w:rPr>
              <w:footnoteReference w:id="67"/>
            </w:r>
            <w:r>
              <w:rPr>
                <w:color w:val="0D0D0D" w:themeColor="text1" w:themeTint="F2"/>
                <w:spacing w:val="-6"/>
              </w:rPr>
              <w:t xml:space="preserve"> reagovala na stagnaci tuzemské ekonomiky jen minimálně. Letos v dubnu dosahovala u mužů 2,3 % a u žen 3,5 %, což jsou v podstatě identické hodnoty jako ve stejném období loňského roku řadící nadále Česko k nejméně zasaženým státům </w:t>
            </w:r>
            <w:r>
              <w:rPr>
                <w:color w:val="0D0D0D" w:themeColor="text1" w:themeTint="F2"/>
                <w:spacing w:val="-6"/>
              </w:rPr>
              <w:lastRenderedPageBreak/>
              <w:t>EU</w:t>
            </w:r>
            <w:r w:rsidRPr="00CA570D">
              <w:rPr>
                <w:rStyle w:val="Znakapoznpodarou"/>
                <w:color w:val="0D0D0D" w:themeColor="text1" w:themeTint="F2"/>
                <w:spacing w:val="-6"/>
              </w:rPr>
              <w:footnoteReference w:id="68"/>
            </w:r>
            <w:r>
              <w:rPr>
                <w:color w:val="0D0D0D" w:themeColor="text1" w:themeTint="F2"/>
                <w:spacing w:val="-6"/>
              </w:rPr>
              <w:t xml:space="preserve">. </w:t>
            </w:r>
            <w:r>
              <w:rPr>
                <w:rStyle w:val="normaltextrun"/>
                <w:rFonts w:eastAsia="MS Gothic" w:cs="Arial"/>
                <w:color w:val="000000"/>
                <w:szCs w:val="20"/>
                <w:bdr w:val="none" w:sz="0" w:space="0" w:color="auto" w:frame="1"/>
              </w:rPr>
              <w:t>Kvartální údaje naznačují nepatrný meziroční růst nezaměstnanosti (+0,1 p. b., na 2,8 % v 1. čtvrtletí 2024), tažený dlouhodobě nezaměstnanými.</w:t>
            </w:r>
            <w:r>
              <w:rPr>
                <w:color w:val="0D0D0D" w:themeColor="text1" w:themeTint="F2"/>
                <w:spacing w:val="-6"/>
              </w:rPr>
              <w:t xml:space="preserve"> Ti tvořili v 1. čtvrtletí skoro třetinu všech nezaměstnaných. Ve srovnání s „předcovidovými“ roky se také změnil regionální obraz celkové nezaměstnanosti. Tradičně nejvíce zasažené regiony Severozápad a Moravskoslezsko sice stále vykazují nadprůměrnou nezaměstnanost, ale od ostatních regionů se již výrazněji neodchylují. </w:t>
            </w:r>
            <w:r>
              <w:rPr>
                <w:color w:val="0D0D0D" w:themeColor="text1" w:themeTint="F2"/>
                <w:spacing w:val="-4"/>
              </w:rPr>
              <w:t>Meziroční nárůst velikosti potenciální pracovní</w:t>
            </w:r>
            <w:r w:rsidRPr="004B20D0">
              <w:rPr>
                <w:color w:val="0D0D0D" w:themeColor="text1" w:themeTint="F2"/>
                <w:spacing w:val="-4"/>
              </w:rPr>
              <w:t xml:space="preserve"> rezerv</w:t>
            </w:r>
            <w:r>
              <w:rPr>
                <w:color w:val="0D0D0D" w:themeColor="text1" w:themeTint="F2"/>
                <w:spacing w:val="-4"/>
              </w:rPr>
              <w:t xml:space="preserve">y (tj. </w:t>
            </w:r>
            <w:r w:rsidRPr="004B20D0">
              <w:rPr>
                <w:color w:val="0D0D0D" w:themeColor="text1" w:themeTint="F2"/>
                <w:spacing w:val="-4"/>
              </w:rPr>
              <w:t xml:space="preserve">ekonomicky neaktivních </w:t>
            </w:r>
            <w:r>
              <w:rPr>
                <w:color w:val="0D0D0D" w:themeColor="text1" w:themeTint="F2"/>
                <w:spacing w:val="-4"/>
              </w:rPr>
              <w:t xml:space="preserve">osob </w:t>
            </w:r>
            <w:r w:rsidRPr="004B20D0">
              <w:rPr>
                <w:color w:val="0D0D0D" w:themeColor="text1" w:themeTint="F2"/>
                <w:spacing w:val="-4"/>
              </w:rPr>
              <w:t>práci nehledaj</w:t>
            </w:r>
            <w:r>
              <w:rPr>
                <w:color w:val="0D0D0D" w:themeColor="text1" w:themeTint="F2"/>
                <w:spacing w:val="-4"/>
              </w:rPr>
              <w:t>ících), jež probíhal loni, se v 1. čtvrtletí 2024 téměř zastavil (na 78 tis.)</w:t>
            </w:r>
            <w:r>
              <w:rPr>
                <w:rStyle w:val="Znakapoznpodarou"/>
                <w:color w:val="0D0D0D" w:themeColor="text1" w:themeTint="F2"/>
                <w:spacing w:val="-4"/>
              </w:rPr>
              <w:footnoteReference w:id="69"/>
            </w:r>
            <w:r>
              <w:rPr>
                <w:color w:val="0D0D0D" w:themeColor="text1" w:themeTint="F2"/>
                <w:spacing w:val="-4"/>
              </w:rPr>
              <w:t>.</w:t>
            </w:r>
          </w:p>
        </w:tc>
      </w:tr>
      <w:tr w:rsidR="00945636" w:rsidRPr="00B43216" w14:paraId="09620805" w14:textId="77777777" w:rsidTr="00A77752">
        <w:trPr>
          <w:trHeight w:val="155"/>
        </w:trPr>
        <w:tc>
          <w:tcPr>
            <w:tcW w:w="1769" w:type="dxa"/>
            <w:vMerge w:val="restart"/>
            <w:shd w:val="clear" w:color="auto" w:fill="auto"/>
            <w:tcMar>
              <w:left w:w="0" w:type="dxa"/>
            </w:tcMar>
          </w:tcPr>
          <w:p w14:paraId="4F1092ED" w14:textId="77777777" w:rsidR="00945636" w:rsidRPr="00B43216" w:rsidRDefault="00945636" w:rsidP="00A77752">
            <w:pPr>
              <w:pStyle w:val="Marginlie"/>
              <w:spacing w:after="120"/>
              <w:rPr>
                <w:spacing w:val="-4"/>
              </w:rPr>
            </w:pPr>
          </w:p>
        </w:tc>
        <w:tc>
          <w:tcPr>
            <w:tcW w:w="220" w:type="dxa"/>
            <w:vMerge w:val="restart"/>
            <w:shd w:val="clear" w:color="auto" w:fill="auto"/>
            <w:tcMar>
              <w:left w:w="0" w:type="dxa"/>
            </w:tcMar>
          </w:tcPr>
          <w:p w14:paraId="49E16983" w14:textId="77777777" w:rsidR="00945636" w:rsidRPr="00B43216" w:rsidRDefault="00945636" w:rsidP="00A77752">
            <w:pPr>
              <w:pStyle w:val="Textpoznpodarou"/>
              <w:spacing w:after="120"/>
              <w:jc w:val="both"/>
              <w:rPr>
                <w:spacing w:val="-4"/>
              </w:rPr>
            </w:pPr>
          </w:p>
        </w:tc>
        <w:tc>
          <w:tcPr>
            <w:tcW w:w="7685" w:type="dxa"/>
            <w:shd w:val="clear" w:color="auto" w:fill="auto"/>
            <w:tcMar>
              <w:left w:w="0" w:type="dxa"/>
            </w:tcMar>
          </w:tcPr>
          <w:p w14:paraId="67999124" w14:textId="77777777" w:rsidR="00945636" w:rsidRPr="00926D74" w:rsidRDefault="00945636" w:rsidP="00A77752">
            <w:pPr>
              <w:spacing w:after="0"/>
              <w:rPr>
                <w:b/>
                <w:spacing w:val="-2"/>
              </w:rPr>
            </w:pPr>
            <w:r w:rsidRPr="00926D74">
              <w:rPr>
                <w:b/>
                <w:spacing w:val="-2"/>
              </w:rPr>
              <w:t xml:space="preserve">Graf č. 14 </w:t>
            </w:r>
            <w:r w:rsidRPr="00926D74">
              <w:rPr>
                <w:rFonts w:cs="Arial"/>
                <w:b/>
                <w:spacing w:val="-2"/>
              </w:rPr>
              <w:t xml:space="preserve">Obecná míra nezaměstnanosti </w:t>
            </w:r>
            <w:r w:rsidRPr="00926D74">
              <w:rPr>
                <w:rFonts w:cs="Arial"/>
                <w:bCs/>
                <w:spacing w:val="-2"/>
              </w:rPr>
              <w:t>(v %, věk 15 až 64 let)</w:t>
            </w:r>
            <w:r w:rsidRPr="00926D74">
              <w:rPr>
                <w:rFonts w:cs="Arial"/>
                <w:b/>
                <w:spacing w:val="-2"/>
              </w:rPr>
              <w:t xml:space="preserve">, ekonomicky neaktivní </w:t>
            </w:r>
            <w:r>
              <w:rPr>
                <w:rFonts w:cs="Arial"/>
                <w:b/>
                <w:spacing w:val="-2"/>
              </w:rPr>
              <w:t xml:space="preserve">osoby </w:t>
            </w:r>
            <w:r w:rsidRPr="00926D74">
              <w:rPr>
                <w:rFonts w:cs="Arial"/>
                <w:b/>
                <w:spacing w:val="-2"/>
              </w:rPr>
              <w:t>chtějící pracovat</w:t>
            </w:r>
            <w:r>
              <w:rPr>
                <w:rFonts w:cs="Arial"/>
                <w:b/>
                <w:spacing w:val="-2"/>
              </w:rPr>
              <w:t>*</w:t>
            </w:r>
            <w:r w:rsidRPr="00926D74">
              <w:rPr>
                <w:rFonts w:cs="Arial"/>
                <w:b/>
                <w:spacing w:val="-2"/>
              </w:rPr>
              <w:t xml:space="preserve"> </w:t>
            </w:r>
            <w:r>
              <w:rPr>
                <w:rFonts w:cs="Arial"/>
                <w:bCs/>
                <w:spacing w:val="-2"/>
              </w:rPr>
              <w:t>(v tis.)</w:t>
            </w:r>
            <w:r w:rsidRPr="00926D74">
              <w:rPr>
                <w:rFonts w:cs="Arial"/>
                <w:b/>
                <w:bCs/>
                <w:spacing w:val="-2"/>
              </w:rPr>
              <w:t xml:space="preserve">, volná pracovní místa </w:t>
            </w:r>
            <w:r>
              <w:rPr>
                <w:rFonts w:cs="Arial"/>
                <w:bCs/>
                <w:spacing w:val="-2"/>
              </w:rPr>
              <w:t>(v</w:t>
            </w:r>
            <w:r w:rsidRPr="00926D74">
              <w:rPr>
                <w:rFonts w:cs="Arial"/>
                <w:bCs/>
                <w:spacing w:val="-2"/>
              </w:rPr>
              <w:t xml:space="preserve"> tis.) </w:t>
            </w:r>
            <w:r w:rsidRPr="00926D74">
              <w:rPr>
                <w:rFonts w:cs="Arial"/>
                <w:b/>
                <w:bCs/>
                <w:spacing w:val="-2"/>
              </w:rPr>
              <w:t>a</w:t>
            </w:r>
            <w:r w:rsidRPr="00926D74">
              <w:rPr>
                <w:rFonts w:cs="Arial"/>
                <w:bCs/>
                <w:spacing w:val="-2"/>
              </w:rPr>
              <w:t xml:space="preserve"> </w:t>
            </w:r>
            <w:r w:rsidRPr="00926D74">
              <w:rPr>
                <w:rFonts w:cs="Arial"/>
                <w:b/>
                <w:bCs/>
                <w:spacing w:val="-2"/>
              </w:rPr>
              <w:t xml:space="preserve">očekávání </w:t>
            </w:r>
            <w:r>
              <w:rPr>
                <w:rFonts w:cs="Arial"/>
                <w:b/>
                <w:bCs/>
                <w:spacing w:val="-2"/>
              </w:rPr>
              <w:t xml:space="preserve">vývoje </w:t>
            </w:r>
            <w:r w:rsidRPr="00926D74">
              <w:rPr>
                <w:rFonts w:cs="Arial"/>
                <w:b/>
                <w:bCs/>
                <w:spacing w:val="-2"/>
              </w:rPr>
              <w:t>nezaměst</w:t>
            </w:r>
            <w:r>
              <w:rPr>
                <w:rFonts w:cs="Arial"/>
                <w:b/>
                <w:bCs/>
                <w:spacing w:val="-2"/>
              </w:rPr>
              <w:t>nanosti ze strany</w:t>
            </w:r>
            <w:r w:rsidRPr="00926D74">
              <w:rPr>
                <w:rFonts w:cs="Arial"/>
                <w:b/>
                <w:bCs/>
                <w:spacing w:val="-2"/>
              </w:rPr>
              <w:t> domácností</w:t>
            </w:r>
            <w:r w:rsidRPr="00926D74">
              <w:rPr>
                <w:rFonts w:cs="Arial"/>
                <w:bCs/>
                <w:spacing w:val="-2"/>
              </w:rPr>
              <w:t xml:space="preserve"> (v p. b.)**</w:t>
            </w:r>
          </w:p>
        </w:tc>
      </w:tr>
      <w:tr w:rsidR="00945636" w:rsidRPr="00B43216" w14:paraId="5FACF1ED" w14:textId="77777777" w:rsidTr="00A77752">
        <w:tblPrEx>
          <w:tblCellMar>
            <w:left w:w="70" w:type="dxa"/>
            <w:right w:w="70" w:type="dxa"/>
          </w:tblCellMar>
        </w:tblPrEx>
        <w:trPr>
          <w:trHeight w:val="155"/>
        </w:trPr>
        <w:tc>
          <w:tcPr>
            <w:tcW w:w="1769" w:type="dxa"/>
            <w:vMerge/>
            <w:shd w:val="clear" w:color="auto" w:fill="auto"/>
          </w:tcPr>
          <w:p w14:paraId="10DA578D" w14:textId="77777777" w:rsidR="00945636" w:rsidRPr="00B43216" w:rsidRDefault="00945636" w:rsidP="00A77752">
            <w:pPr>
              <w:pStyle w:val="Marginlie"/>
              <w:spacing w:after="120"/>
              <w:rPr>
                <w:spacing w:val="-4"/>
              </w:rPr>
            </w:pPr>
          </w:p>
        </w:tc>
        <w:tc>
          <w:tcPr>
            <w:tcW w:w="220" w:type="dxa"/>
            <w:vMerge/>
            <w:shd w:val="clear" w:color="auto" w:fill="auto"/>
          </w:tcPr>
          <w:p w14:paraId="235D6463" w14:textId="77777777" w:rsidR="00945636" w:rsidRPr="00B43216" w:rsidRDefault="00945636" w:rsidP="00A77752">
            <w:pPr>
              <w:pStyle w:val="Textpoznpodarou"/>
              <w:spacing w:after="120"/>
              <w:jc w:val="both"/>
              <w:rPr>
                <w:spacing w:val="-4"/>
              </w:rPr>
            </w:pPr>
          </w:p>
        </w:tc>
        <w:tc>
          <w:tcPr>
            <w:tcW w:w="7685" w:type="dxa"/>
            <w:shd w:val="clear" w:color="auto" w:fill="auto"/>
          </w:tcPr>
          <w:p w14:paraId="50E0EB3A" w14:textId="77777777" w:rsidR="00945636" w:rsidRPr="00B43216" w:rsidRDefault="00945636" w:rsidP="00A77752">
            <w:pPr>
              <w:spacing w:after="0"/>
              <w:rPr>
                <w:spacing w:val="-4"/>
              </w:rPr>
            </w:pPr>
            <w:r>
              <w:rPr>
                <w:noProof/>
              </w:rPr>
              <w:drawing>
                <wp:inline distT="0" distB="0" distL="0" distR="0" wp14:anchorId="6A69292E" wp14:editId="5F5DB0D0">
                  <wp:extent cx="4727495" cy="3478304"/>
                  <wp:effectExtent l="0" t="0" r="0" b="825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945636" w:rsidRPr="00B43216" w14:paraId="345B8B4B" w14:textId="77777777" w:rsidTr="00A77752">
        <w:trPr>
          <w:trHeight w:val="132"/>
        </w:trPr>
        <w:tc>
          <w:tcPr>
            <w:tcW w:w="1769" w:type="dxa"/>
            <w:vMerge/>
            <w:shd w:val="clear" w:color="auto" w:fill="auto"/>
            <w:tcMar>
              <w:left w:w="0" w:type="dxa"/>
            </w:tcMar>
          </w:tcPr>
          <w:p w14:paraId="08C9F37B" w14:textId="77777777" w:rsidR="00945636" w:rsidRPr="00B43216" w:rsidRDefault="00945636" w:rsidP="00A77752">
            <w:pPr>
              <w:pStyle w:val="Marginlie"/>
              <w:rPr>
                <w:spacing w:val="-4"/>
              </w:rPr>
            </w:pPr>
          </w:p>
        </w:tc>
        <w:tc>
          <w:tcPr>
            <w:tcW w:w="220" w:type="dxa"/>
            <w:vMerge/>
            <w:shd w:val="clear" w:color="auto" w:fill="auto"/>
            <w:tcMar>
              <w:left w:w="0" w:type="dxa"/>
            </w:tcMar>
          </w:tcPr>
          <w:p w14:paraId="468E7C1E" w14:textId="77777777" w:rsidR="00945636" w:rsidRPr="00B43216" w:rsidRDefault="00945636" w:rsidP="00A77752">
            <w:pPr>
              <w:pStyle w:val="Textpoznpodarou"/>
              <w:jc w:val="both"/>
              <w:rPr>
                <w:spacing w:val="-4"/>
              </w:rPr>
            </w:pPr>
          </w:p>
        </w:tc>
        <w:tc>
          <w:tcPr>
            <w:tcW w:w="7685" w:type="dxa"/>
            <w:shd w:val="clear" w:color="auto" w:fill="auto"/>
            <w:tcMar>
              <w:left w:w="0" w:type="dxa"/>
            </w:tcMar>
          </w:tcPr>
          <w:p w14:paraId="633C5AD8" w14:textId="77777777" w:rsidR="00945636" w:rsidRPr="00D94F3D" w:rsidRDefault="00945636" w:rsidP="00A77752">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Pozn.: Míry nezaměstnanosti jsou sezónně očištěny</w:t>
            </w:r>
            <w:r w:rsidRPr="00D94F3D">
              <w:rPr>
                <w:rFonts w:cs="Arial"/>
                <w:color w:val="0D0D0D" w:themeColor="text1" w:themeTint="F2"/>
                <w:spacing w:val="-4"/>
                <w:sz w:val="14"/>
                <w:szCs w:val="14"/>
              </w:rPr>
              <w:t>. VPM = volná pracovní místa (stav na konci čtvrtletí)</w:t>
            </w:r>
          </w:p>
          <w:p w14:paraId="1D760968" w14:textId="77777777" w:rsidR="00945636" w:rsidRDefault="00945636" w:rsidP="00A77752">
            <w:pPr>
              <w:spacing w:after="0" w:line="240" w:lineRule="auto"/>
              <w:rPr>
                <w:rFonts w:cs="Arial"/>
                <w:color w:val="0D0D0D" w:themeColor="text1" w:themeTint="F2"/>
                <w:spacing w:val="-2"/>
                <w:sz w:val="14"/>
                <w:szCs w:val="14"/>
              </w:rPr>
            </w:pPr>
            <w:r>
              <w:rPr>
                <w:rFonts w:cs="Arial"/>
                <w:bCs/>
                <w:color w:val="0D0D0D" w:themeColor="text1" w:themeTint="F2"/>
                <w:spacing w:val="-2"/>
                <w:sz w:val="14"/>
                <w:szCs w:val="14"/>
              </w:rPr>
              <w:t>*</w:t>
            </w:r>
            <w:r w:rsidRPr="004E68B1">
              <w:rPr>
                <w:rFonts w:cs="Arial"/>
                <w:bCs/>
                <w:color w:val="0D0D0D" w:themeColor="text1" w:themeTint="F2"/>
                <w:spacing w:val="-2"/>
                <w:sz w:val="14"/>
                <w:szCs w:val="14"/>
              </w:rPr>
              <w:t>Jde o osoby, které nepracují, aktivně práci nehledají,</w:t>
            </w:r>
            <w:r w:rsidRPr="004E68B1">
              <w:rPr>
                <w:rFonts w:cs="Arial"/>
                <w:color w:val="0D0D0D" w:themeColor="text1" w:themeTint="F2"/>
                <w:spacing w:val="-2"/>
                <w:sz w:val="14"/>
                <w:szCs w:val="14"/>
              </w:rPr>
              <w:t xml:space="preserve"> ale přitom uvádějí, že by chtěly pracovat.</w:t>
            </w:r>
          </w:p>
          <w:p w14:paraId="545394B3" w14:textId="77777777" w:rsidR="00945636" w:rsidRDefault="00945636" w:rsidP="00A77752">
            <w:pPr>
              <w:spacing w:after="0" w:line="240" w:lineRule="auto"/>
              <w:rPr>
                <w:rFonts w:cs="Arial"/>
                <w:color w:val="0D0D0D" w:themeColor="text1" w:themeTint="F2"/>
                <w:spacing w:val="-2"/>
                <w:sz w:val="14"/>
                <w:szCs w:val="14"/>
              </w:rPr>
            </w:pPr>
            <w:r>
              <w:rPr>
                <w:rFonts w:cs="Arial"/>
                <w:color w:val="0D0D0D" w:themeColor="text1" w:themeTint="F2"/>
                <w:spacing w:val="-2"/>
                <w:sz w:val="14"/>
                <w:szCs w:val="14"/>
              </w:rPr>
              <w:t>**Sezónně očištěné saldo očekávání nezaměstnanosti v nejbližších 12 měsících (rozdíl mezi procentuální četností odpovědí domácností, růst a pokles vyjádřený v procentních bodech). Vztahuje se k prostřednímu měsíci daného čtvrtletí.</w:t>
            </w:r>
          </w:p>
          <w:p w14:paraId="257C8087" w14:textId="77777777" w:rsidR="00945636" w:rsidRPr="00485ED5" w:rsidRDefault="00945636" w:rsidP="00A77752">
            <w:pPr>
              <w:spacing w:after="200" w:line="240" w:lineRule="auto"/>
              <w:rPr>
                <w:rFonts w:cs="Arial"/>
                <w:color w:val="0D0D0D" w:themeColor="text1" w:themeTint="F2"/>
                <w:spacing w:val="-2"/>
                <w:sz w:val="14"/>
                <w:szCs w:val="14"/>
              </w:rPr>
            </w:pPr>
            <w:r>
              <w:rPr>
                <w:rFonts w:cs="Arial"/>
                <w:color w:val="0D0D0D" w:themeColor="text1" w:themeTint="F2"/>
                <w:spacing w:val="-2"/>
                <w:sz w:val="14"/>
                <w:szCs w:val="14"/>
              </w:rPr>
              <w:t>Zdroj: ČSÚ (VŠPS, konjunkturální průzkum), MPSV (volná pracovní místa registrovaná na úřadech práce v ČR)</w:t>
            </w:r>
          </w:p>
        </w:tc>
      </w:tr>
      <w:tr w:rsidR="00945636" w:rsidRPr="00016778" w14:paraId="77F54E34" w14:textId="77777777" w:rsidTr="00A77752">
        <w:trPr>
          <w:trHeight w:val="132"/>
        </w:trPr>
        <w:tc>
          <w:tcPr>
            <w:tcW w:w="1769" w:type="dxa"/>
            <w:shd w:val="clear" w:color="auto" w:fill="auto"/>
            <w:tcMar>
              <w:left w:w="0" w:type="dxa"/>
            </w:tcMar>
          </w:tcPr>
          <w:p w14:paraId="36FB8454" w14:textId="77777777" w:rsidR="00945636" w:rsidRDefault="00945636" w:rsidP="00A77752">
            <w:pPr>
              <w:pStyle w:val="Marginlie"/>
              <w:rPr>
                <w:color w:val="0D0D0D" w:themeColor="text1" w:themeTint="F2"/>
                <w:spacing w:val="-5"/>
              </w:rPr>
            </w:pPr>
            <w:r>
              <w:rPr>
                <w:color w:val="0D0D0D" w:themeColor="text1" w:themeTint="F2"/>
                <w:spacing w:val="-5"/>
              </w:rPr>
              <w:t xml:space="preserve">Počet registrovaných volných pracovních míst v ekonomice se meziročně snížil. </w:t>
            </w:r>
          </w:p>
          <w:p w14:paraId="6A105A50" w14:textId="77777777" w:rsidR="00945636" w:rsidRDefault="00945636" w:rsidP="00A77752">
            <w:pPr>
              <w:pStyle w:val="Marginlie"/>
              <w:rPr>
                <w:color w:val="0D0D0D" w:themeColor="text1" w:themeTint="F2"/>
                <w:spacing w:val="-4"/>
              </w:rPr>
            </w:pPr>
          </w:p>
        </w:tc>
        <w:tc>
          <w:tcPr>
            <w:tcW w:w="220" w:type="dxa"/>
            <w:shd w:val="clear" w:color="auto" w:fill="auto"/>
            <w:tcMar>
              <w:left w:w="0" w:type="dxa"/>
            </w:tcMar>
          </w:tcPr>
          <w:p w14:paraId="10659A10" w14:textId="77777777" w:rsidR="00945636" w:rsidRPr="00016778" w:rsidRDefault="00945636" w:rsidP="00A77752">
            <w:pPr>
              <w:pStyle w:val="Textpoznpodarou"/>
              <w:jc w:val="both"/>
              <w:rPr>
                <w:color w:val="0D0D0D" w:themeColor="text1" w:themeTint="F2"/>
                <w:spacing w:val="-4"/>
              </w:rPr>
            </w:pPr>
          </w:p>
        </w:tc>
        <w:tc>
          <w:tcPr>
            <w:tcW w:w="7685" w:type="dxa"/>
            <w:shd w:val="clear" w:color="auto" w:fill="auto"/>
            <w:tcMar>
              <w:left w:w="0" w:type="dxa"/>
            </w:tcMar>
          </w:tcPr>
          <w:p w14:paraId="24D419FA" w14:textId="77777777" w:rsidR="00945636" w:rsidRPr="00363296" w:rsidRDefault="00945636" w:rsidP="00A77752">
            <w:pPr>
              <w:spacing w:after="200"/>
              <w:rPr>
                <w:color w:val="0D0D0D" w:themeColor="text1" w:themeTint="F2"/>
              </w:rPr>
            </w:pPr>
            <w:r w:rsidRPr="00F40BDA">
              <w:rPr>
                <w:color w:val="0D0D0D" w:themeColor="text1" w:themeTint="F2"/>
                <w:spacing w:val="-4"/>
              </w:rPr>
              <w:t xml:space="preserve">Stabilizovanou aktuální situaci na trhu práce potvrzují také údaje </w:t>
            </w:r>
            <w:r>
              <w:rPr>
                <w:color w:val="0D0D0D" w:themeColor="text1" w:themeTint="F2"/>
                <w:spacing w:val="-4"/>
              </w:rPr>
              <w:t xml:space="preserve">o </w:t>
            </w:r>
            <w:r w:rsidRPr="00F40BDA">
              <w:rPr>
                <w:color w:val="0D0D0D" w:themeColor="text1" w:themeTint="F2"/>
                <w:spacing w:val="-4"/>
              </w:rPr>
              <w:t xml:space="preserve">uchazečích o zaměstnání registrovaných na úřadech práce (ÚP). </w:t>
            </w:r>
            <w:r w:rsidRPr="00F40BDA">
              <w:rPr>
                <w:rStyle w:val="normaltextrun"/>
                <w:rFonts w:eastAsia="MS Gothic" w:cs="Arial"/>
                <w:color w:val="000000"/>
                <w:spacing w:val="-4"/>
                <w:szCs w:val="20"/>
                <w:shd w:val="clear" w:color="auto" w:fill="FFFFFF"/>
              </w:rPr>
              <w:t>Podíl nezaměstnaných (k celkové populaci 15</w:t>
            </w:r>
            <w:r>
              <w:rPr>
                <w:rStyle w:val="normaltextrun"/>
                <w:rFonts w:eastAsia="MS Gothic" w:cs="Arial"/>
                <w:color w:val="000000"/>
                <w:spacing w:val="-4"/>
                <w:szCs w:val="20"/>
                <w:shd w:val="clear" w:color="auto" w:fill="FFFFFF"/>
              </w:rPr>
              <w:t>–</w:t>
            </w:r>
            <w:r w:rsidRPr="00F40BDA">
              <w:rPr>
                <w:rStyle w:val="normaltextrun"/>
                <w:rFonts w:eastAsia="MS Gothic" w:cs="Arial"/>
                <w:color w:val="000000"/>
                <w:spacing w:val="-4"/>
                <w:szCs w:val="20"/>
                <w:shd w:val="clear" w:color="auto" w:fill="FFFFFF"/>
              </w:rPr>
              <w:t>64letých, bez sezónního očištění) činil letos na konci dubna 3,7 % (muži 3,4 %, ženy 4,1 %), meziročně posílil o 0,1 p. b. (nepatrný růst nastal i v předchozích letošních měsících). Navzdory velmi příznivému počasí nebyl zatím letos</w:t>
            </w:r>
            <w:r>
              <w:rPr>
                <w:rStyle w:val="normaltextrun"/>
                <w:rFonts w:eastAsia="MS Gothic" w:cs="Arial"/>
                <w:color w:val="000000"/>
                <w:spacing w:val="-4"/>
                <w:szCs w:val="20"/>
                <w:shd w:val="clear" w:color="auto" w:fill="FFFFFF"/>
              </w:rPr>
              <w:t xml:space="preserve"> náběh sezónních prací spojen s</w:t>
            </w:r>
            <w:r>
              <w:rPr>
                <w:color w:val="0D0D0D" w:themeColor="text1" w:themeTint="F2"/>
                <w:spacing w:val="-4"/>
              </w:rPr>
              <w:t> </w:t>
            </w:r>
            <w:r w:rsidRPr="00F40BDA">
              <w:rPr>
                <w:rStyle w:val="normaltextrun"/>
                <w:rFonts w:eastAsia="MS Gothic" w:cs="Arial"/>
                <w:color w:val="000000"/>
                <w:spacing w:val="-4"/>
                <w:szCs w:val="20"/>
                <w:shd w:val="clear" w:color="auto" w:fill="FFFFFF"/>
              </w:rPr>
              <w:t xml:space="preserve">významnějším růstem nabídky volných pracovních míst prostřednictvím ÚP (na konci </w:t>
            </w:r>
            <w:r w:rsidRPr="00F40BDA">
              <w:rPr>
                <w:rStyle w:val="normaltextrun"/>
                <w:rFonts w:eastAsia="MS Gothic" w:cs="Arial"/>
                <w:color w:val="000000"/>
                <w:spacing w:val="-4"/>
                <w:szCs w:val="20"/>
                <w:shd w:val="clear" w:color="auto" w:fill="FFFFFF"/>
              </w:rPr>
              <w:lastRenderedPageBreak/>
              <w:t>dubna 268 tis.</w:t>
            </w:r>
            <w:r w:rsidRPr="00F40BDA">
              <w:rPr>
                <w:rStyle w:val="Znakapoznpodarou"/>
                <w:color w:val="0D0D0D" w:themeColor="text1" w:themeTint="F2"/>
                <w:spacing w:val="-4"/>
              </w:rPr>
              <w:footnoteReference w:id="70"/>
            </w:r>
            <w:r w:rsidRPr="00F40BDA">
              <w:rPr>
                <w:rStyle w:val="normaltextrun"/>
                <w:rFonts w:eastAsia="MS Gothic" w:cs="Arial"/>
                <w:color w:val="000000"/>
                <w:spacing w:val="-4"/>
                <w:szCs w:val="20"/>
                <w:shd w:val="clear" w:color="auto" w:fill="FFFFFF"/>
              </w:rPr>
              <w:t>). Ta tak pátý měsíc v řadě za celkovým počtem uc</w:t>
            </w:r>
            <w:r>
              <w:rPr>
                <w:rStyle w:val="normaltextrun"/>
                <w:rFonts w:eastAsia="MS Gothic" w:cs="Arial"/>
                <w:color w:val="000000"/>
                <w:spacing w:val="-4"/>
                <w:szCs w:val="20"/>
                <w:shd w:val="clear" w:color="auto" w:fill="FFFFFF"/>
              </w:rPr>
              <w:t xml:space="preserve">hazečů o práci (280 tis.) lehce </w:t>
            </w:r>
            <w:r w:rsidRPr="00F40BDA">
              <w:rPr>
                <w:rStyle w:val="normaltextrun"/>
                <w:rFonts w:eastAsia="MS Gothic" w:cs="Arial"/>
                <w:color w:val="000000"/>
                <w:spacing w:val="-4"/>
                <w:szCs w:val="20"/>
                <w:shd w:val="clear" w:color="auto" w:fill="FFFFFF"/>
              </w:rPr>
              <w:t>zaostávala.</w:t>
            </w:r>
            <w:r>
              <w:rPr>
                <w:rStyle w:val="normaltextrun"/>
                <w:rFonts w:eastAsia="MS Gothic" w:cs="Arial"/>
                <w:color w:val="000000"/>
                <w:spacing w:val="-4"/>
                <w:szCs w:val="20"/>
                <w:shd w:val="clear" w:color="auto" w:fill="FFFFFF"/>
              </w:rPr>
              <w:t xml:space="preserve"> Počet registrovaných volných míst se meziročně mírně snížil, a to vesměs napříč kvalifikačními třídami. </w:t>
            </w:r>
            <w:r w:rsidRPr="001359C0">
              <w:rPr>
                <w:color w:val="0D0D0D" w:themeColor="text1" w:themeTint="F2"/>
                <w:spacing w:val="-4"/>
              </w:rPr>
              <w:t>Obavy lidí z růstu nezaměstnanosti (vyjádřené v rámci konjunkturálních šetření)</w:t>
            </w:r>
            <w:r>
              <w:rPr>
                <w:color w:val="0D0D0D" w:themeColor="text1" w:themeTint="F2"/>
                <w:spacing w:val="-4"/>
              </w:rPr>
              <w:t xml:space="preserve"> se letos v květnu pohybovaly blízko dlouhodobého průměru a meziročně se mírně snížily.</w:t>
            </w:r>
          </w:p>
        </w:tc>
      </w:tr>
      <w:tr w:rsidR="00945636" w:rsidRPr="00016778" w14:paraId="00D26412" w14:textId="77777777" w:rsidTr="00A77752">
        <w:trPr>
          <w:trHeight w:val="132"/>
        </w:trPr>
        <w:tc>
          <w:tcPr>
            <w:tcW w:w="1769" w:type="dxa"/>
            <w:shd w:val="clear" w:color="auto" w:fill="auto"/>
            <w:tcMar>
              <w:left w:w="0" w:type="dxa"/>
            </w:tcMar>
          </w:tcPr>
          <w:p w14:paraId="18C61E8C" w14:textId="77777777" w:rsidR="00945636" w:rsidRDefault="00945636" w:rsidP="00A77752">
            <w:pPr>
              <w:pStyle w:val="Marginlie"/>
              <w:rPr>
                <w:color w:val="0D0D0D" w:themeColor="text1" w:themeTint="F2"/>
                <w:spacing w:val="-4"/>
              </w:rPr>
            </w:pPr>
            <w:r>
              <w:rPr>
                <w:color w:val="0D0D0D" w:themeColor="text1" w:themeTint="F2"/>
                <w:spacing w:val="-4"/>
              </w:rPr>
              <w:lastRenderedPageBreak/>
              <w:t>Meziroční růst průměrných mezd zvolňoval, což souviselo s přetrvávajícím slabým výkonem ekonomiky.</w:t>
            </w:r>
          </w:p>
        </w:tc>
        <w:tc>
          <w:tcPr>
            <w:tcW w:w="220" w:type="dxa"/>
            <w:shd w:val="clear" w:color="auto" w:fill="auto"/>
            <w:tcMar>
              <w:left w:w="0" w:type="dxa"/>
            </w:tcMar>
          </w:tcPr>
          <w:p w14:paraId="038EABDE" w14:textId="77777777" w:rsidR="00945636" w:rsidRPr="00016778" w:rsidRDefault="00945636" w:rsidP="00A77752">
            <w:pPr>
              <w:pStyle w:val="Textpoznpodarou"/>
              <w:jc w:val="both"/>
              <w:rPr>
                <w:color w:val="0D0D0D" w:themeColor="text1" w:themeTint="F2"/>
                <w:spacing w:val="-4"/>
              </w:rPr>
            </w:pPr>
          </w:p>
        </w:tc>
        <w:tc>
          <w:tcPr>
            <w:tcW w:w="7685" w:type="dxa"/>
            <w:shd w:val="clear" w:color="auto" w:fill="auto"/>
            <w:tcMar>
              <w:left w:w="0" w:type="dxa"/>
            </w:tcMar>
          </w:tcPr>
          <w:p w14:paraId="1364104F" w14:textId="77777777" w:rsidR="00945636" w:rsidRPr="00363296" w:rsidRDefault="00945636" w:rsidP="00A77752">
            <w:pPr>
              <w:spacing w:after="200"/>
              <w:rPr>
                <w:color w:val="0D0D0D" w:themeColor="text1" w:themeTint="F2"/>
              </w:rPr>
            </w:pPr>
            <w:r w:rsidRPr="00363296">
              <w:rPr>
                <w:color w:val="0D0D0D" w:themeColor="text1" w:themeTint="F2"/>
              </w:rPr>
              <w:t>V 1. čtvrtletí dosáhla průměrná hrubá měsíční nominální mzda zaměstnance v národním hospodářství 43 941 korun. Meziročně vzrostla o 7,0 %, tedy srovnatelně jako na konci loňského roku. Ve srovnání s většinou loňského roku je však patrné, že meziroční růst mezd zpomaluje. Očištěná mzda byla v 1. čtvrtletí 2024 mezikvartálně vyšší o 1,7 %</w:t>
            </w:r>
            <w:r>
              <w:rPr>
                <w:color w:val="0D0D0D" w:themeColor="text1" w:themeTint="F2"/>
              </w:rPr>
              <w:t xml:space="preserve"> a</w:t>
            </w:r>
            <w:r>
              <w:rPr>
                <w:color w:val="0D0D0D" w:themeColor="text1" w:themeTint="F2"/>
                <w:spacing w:val="-4"/>
              </w:rPr>
              <w:t> </w:t>
            </w:r>
            <w:r>
              <w:rPr>
                <w:color w:val="0D0D0D" w:themeColor="text1" w:themeTint="F2"/>
              </w:rPr>
              <w:t>podo</w:t>
            </w:r>
            <w:r w:rsidRPr="00363296">
              <w:rPr>
                <w:color w:val="0D0D0D" w:themeColor="text1" w:themeTint="F2"/>
              </w:rPr>
              <w:t>bné tempo bylo vykázáno čtvrtý kvartál v řadě.  </w:t>
            </w:r>
            <w:r>
              <w:t xml:space="preserve">Mzdový růst v </w:t>
            </w:r>
            <w:r>
              <w:rPr>
                <w:color w:val="0D0D0D" w:themeColor="text1" w:themeTint="F2"/>
              </w:rPr>
              <w:t xml:space="preserve">ekonomice tlumila </w:t>
            </w:r>
            <w:r w:rsidRPr="00E2395C">
              <w:rPr>
                <w:color w:val="0D0D0D" w:themeColor="text1" w:themeTint="F2"/>
              </w:rPr>
              <w:t xml:space="preserve">sílící </w:t>
            </w:r>
            <w:r>
              <w:t xml:space="preserve">potřeba úspor v rozpočtové sféře i rostoucí počet zahraničních pracovníků ze „třetích zemí“. Ti nezřídka pracují na nízkokvalifikovaných pozicích a jejich výdělky tudíž </w:t>
            </w:r>
            <w:r w:rsidRPr="00DA5C07">
              <w:rPr>
                <w:spacing w:val="-2"/>
              </w:rPr>
              <w:t xml:space="preserve">zpravidla nedosahují úrovně občanů ČR. Naopak ve směru růstu nominální mzdy stále působila dosud relativně vysoká poptávka podniků po pracovní síle v některých odvětvích </w:t>
            </w:r>
            <w:r>
              <w:rPr>
                <w:spacing w:val="-2"/>
              </w:rPr>
              <w:t xml:space="preserve">či zvýšený tlak zaměstnanců </w:t>
            </w:r>
            <w:r w:rsidRPr="00DA5C07">
              <w:rPr>
                <w:spacing w:val="-2"/>
              </w:rPr>
              <w:t xml:space="preserve">pramenící </w:t>
            </w:r>
            <w:r>
              <w:rPr>
                <w:spacing w:val="-2"/>
              </w:rPr>
              <w:t>i</w:t>
            </w:r>
            <w:r w:rsidRPr="00DA5C07">
              <w:rPr>
                <w:spacing w:val="-2"/>
              </w:rPr>
              <w:t xml:space="preserve"> z napjatých rodinných rozpočtů vlivem doznívajícího vysokéh</w:t>
            </w:r>
            <w:r>
              <w:rPr>
                <w:spacing w:val="-2"/>
              </w:rPr>
              <w:t>o růstu cen některých položek spotřebního koše. Dynamičtější mzdový růst v řadě odvětví umožňovala i přetrvávající vysoká míra zisku podniků.</w:t>
            </w:r>
          </w:p>
        </w:tc>
      </w:tr>
      <w:tr w:rsidR="00945636" w:rsidRPr="00016778" w14:paraId="6F205141" w14:textId="77777777" w:rsidTr="00A77752">
        <w:trPr>
          <w:trHeight w:val="132"/>
        </w:trPr>
        <w:tc>
          <w:tcPr>
            <w:tcW w:w="1769" w:type="dxa"/>
            <w:shd w:val="clear" w:color="auto" w:fill="auto"/>
            <w:tcMar>
              <w:left w:w="0" w:type="dxa"/>
            </w:tcMar>
          </w:tcPr>
          <w:p w14:paraId="2255B0F3" w14:textId="77777777" w:rsidR="00945636" w:rsidRDefault="00945636" w:rsidP="00A77752">
            <w:pPr>
              <w:pStyle w:val="Marginlie"/>
              <w:rPr>
                <w:color w:val="0D0D0D" w:themeColor="text1" w:themeTint="F2"/>
                <w:spacing w:val="-4"/>
              </w:rPr>
            </w:pPr>
            <w:r>
              <w:rPr>
                <w:color w:val="0D0D0D" w:themeColor="text1" w:themeTint="F2"/>
                <w:spacing w:val="-4"/>
              </w:rPr>
              <w:t>Pokles reálné mzdy v ekonomice se po devíti čtvrtletích letos zastavil. Kupní síla průměrné mzdy odpovídala počátku roku 2018.</w:t>
            </w:r>
          </w:p>
        </w:tc>
        <w:tc>
          <w:tcPr>
            <w:tcW w:w="220" w:type="dxa"/>
            <w:shd w:val="clear" w:color="auto" w:fill="auto"/>
            <w:tcMar>
              <w:left w:w="0" w:type="dxa"/>
            </w:tcMar>
          </w:tcPr>
          <w:p w14:paraId="4C722CC6" w14:textId="77777777" w:rsidR="00945636" w:rsidRPr="00016778" w:rsidRDefault="00945636" w:rsidP="00A77752">
            <w:pPr>
              <w:pStyle w:val="Textpoznpodarou"/>
              <w:jc w:val="both"/>
              <w:rPr>
                <w:color w:val="0D0D0D" w:themeColor="text1" w:themeTint="F2"/>
                <w:spacing w:val="-4"/>
              </w:rPr>
            </w:pPr>
          </w:p>
        </w:tc>
        <w:tc>
          <w:tcPr>
            <w:tcW w:w="7685" w:type="dxa"/>
            <w:shd w:val="clear" w:color="auto" w:fill="auto"/>
            <w:tcMar>
              <w:left w:w="0" w:type="dxa"/>
            </w:tcMar>
          </w:tcPr>
          <w:p w14:paraId="532C8CBF" w14:textId="77777777" w:rsidR="00945636" w:rsidRPr="00A95D12" w:rsidRDefault="00945636" w:rsidP="00A77752">
            <w:pPr>
              <w:spacing w:after="200"/>
              <w:rPr>
                <w:color w:val="0D0D0D" w:themeColor="text1" w:themeTint="F2"/>
              </w:rPr>
            </w:pPr>
            <w:r w:rsidRPr="00363296">
              <w:rPr>
                <w:color w:val="0D0D0D" w:themeColor="text1" w:themeTint="F2"/>
              </w:rPr>
              <w:t>Díky razantnímu zpomalení meziročního tempa spotřebitelských cen došlo v 1. čtv</w:t>
            </w:r>
            <w:r>
              <w:rPr>
                <w:color w:val="0D0D0D" w:themeColor="text1" w:themeTint="F2"/>
              </w:rPr>
              <w:t>rtletí k</w:t>
            </w:r>
            <w:r>
              <w:rPr>
                <w:color w:val="0D0D0D" w:themeColor="text1" w:themeTint="F2"/>
                <w:spacing w:val="-4"/>
              </w:rPr>
              <w:t> </w:t>
            </w:r>
            <w:r w:rsidRPr="00363296">
              <w:rPr>
                <w:color w:val="0D0D0D" w:themeColor="text1" w:themeTint="F2"/>
              </w:rPr>
              <w:t>očekávanému nastartování růstu reálné mzdy (+4,8 %)</w:t>
            </w:r>
            <w:r>
              <w:rPr>
                <w:color w:val="0D0D0D" w:themeColor="text1" w:themeTint="F2"/>
              </w:rPr>
              <w:t xml:space="preserve">. K němu došlo po předchozích devíti </w:t>
            </w:r>
            <w:r w:rsidRPr="00363296">
              <w:rPr>
                <w:color w:val="0D0D0D" w:themeColor="text1" w:themeTint="F2"/>
              </w:rPr>
              <w:t>kvartálech, kdy se kupní síla průměrných zaměstnaneckých výdělků meziročně snižovala</w:t>
            </w:r>
            <w:r>
              <w:rPr>
                <w:rStyle w:val="Znakapoznpodarou"/>
                <w:color w:val="0D0D0D" w:themeColor="text1" w:themeTint="F2"/>
              </w:rPr>
              <w:footnoteReference w:id="71"/>
            </w:r>
            <w:r w:rsidRPr="00363296">
              <w:rPr>
                <w:color w:val="0D0D0D" w:themeColor="text1" w:themeTint="F2"/>
              </w:rPr>
              <w:t xml:space="preserve">. Reálná hrubá mzda je aktuálně srovnatelná s 1. čtvrtletím 2018, od té doby průměrná </w:t>
            </w:r>
            <w:r>
              <w:rPr>
                <w:color w:val="0D0D0D" w:themeColor="text1" w:themeTint="F2"/>
              </w:rPr>
              <w:t xml:space="preserve">nominální </w:t>
            </w:r>
            <w:r w:rsidRPr="00363296">
              <w:rPr>
                <w:color w:val="0D0D0D" w:themeColor="text1" w:themeTint="F2"/>
              </w:rPr>
              <w:t xml:space="preserve">mzda (po sezónním očištění) </w:t>
            </w:r>
            <w:r>
              <w:rPr>
                <w:color w:val="0D0D0D" w:themeColor="text1" w:themeTint="F2"/>
              </w:rPr>
              <w:t>a</w:t>
            </w:r>
            <w:r w:rsidRPr="00363296">
              <w:rPr>
                <w:color w:val="0D0D0D" w:themeColor="text1" w:themeTint="F2"/>
              </w:rPr>
              <w:t xml:space="preserve"> infla</w:t>
            </w:r>
            <w:r>
              <w:rPr>
                <w:color w:val="0D0D0D" w:themeColor="text1" w:themeTint="F2"/>
              </w:rPr>
              <w:t>ce vzrostly shodně v úhrnu o</w:t>
            </w:r>
            <w:r>
              <w:rPr>
                <w:color w:val="0D0D0D" w:themeColor="text1" w:themeTint="F2"/>
                <w:spacing w:val="-4"/>
              </w:rPr>
              <w:t> </w:t>
            </w:r>
            <w:r>
              <w:rPr>
                <w:color w:val="0D0D0D" w:themeColor="text1" w:themeTint="F2"/>
              </w:rPr>
              <w:t>44</w:t>
            </w:r>
            <w:r>
              <w:rPr>
                <w:color w:val="0D0D0D" w:themeColor="text1" w:themeTint="F2"/>
                <w:spacing w:val="-4"/>
              </w:rPr>
              <w:t> </w:t>
            </w:r>
            <w:r w:rsidRPr="00363296">
              <w:rPr>
                <w:color w:val="0D0D0D" w:themeColor="text1" w:themeTint="F2"/>
              </w:rPr>
              <w:t>%. V kupní síle mezd se letos negativně projevilo mírné zvýšení daňového zatížení práce (např. znovuzavedení zaměstnaneckých odvodů na nemocens</w:t>
            </w:r>
            <w:r>
              <w:rPr>
                <w:color w:val="0D0D0D" w:themeColor="text1" w:themeTint="F2"/>
              </w:rPr>
              <w:t>ké pojištění) schválené jako sou</w:t>
            </w:r>
            <w:r w:rsidRPr="00363296">
              <w:rPr>
                <w:color w:val="0D0D0D" w:themeColor="text1" w:themeTint="F2"/>
              </w:rPr>
              <w:t>část vládního konsolidačního balíčku.</w:t>
            </w:r>
          </w:p>
        </w:tc>
      </w:tr>
      <w:tr w:rsidR="00945636" w:rsidRPr="00016778" w14:paraId="227F830E" w14:textId="77777777" w:rsidTr="00A77752">
        <w:trPr>
          <w:trHeight w:val="132"/>
        </w:trPr>
        <w:tc>
          <w:tcPr>
            <w:tcW w:w="1769" w:type="dxa"/>
            <w:shd w:val="clear" w:color="auto" w:fill="auto"/>
            <w:tcMar>
              <w:left w:w="0" w:type="dxa"/>
            </w:tcMar>
          </w:tcPr>
          <w:p w14:paraId="45DA0A99" w14:textId="77777777" w:rsidR="00945636" w:rsidRDefault="00945636" w:rsidP="00A77752">
            <w:pPr>
              <w:pStyle w:val="Marginlie"/>
              <w:rPr>
                <w:color w:val="0D0D0D" w:themeColor="text1" w:themeTint="F2"/>
                <w:spacing w:val="-4"/>
              </w:rPr>
            </w:pPr>
            <w:r>
              <w:rPr>
                <w:color w:val="0D0D0D" w:themeColor="text1" w:themeTint="F2"/>
                <w:spacing w:val="-4"/>
              </w:rPr>
              <w:t xml:space="preserve">Relativně nejvíce se zvýšily mzdy ve zdravotní a sociální péči. </w:t>
            </w:r>
          </w:p>
          <w:p w14:paraId="58D55D48" w14:textId="77777777" w:rsidR="00945636" w:rsidRDefault="00945636" w:rsidP="00A77752">
            <w:pPr>
              <w:pStyle w:val="Marginlie"/>
              <w:rPr>
                <w:color w:val="0D0D0D" w:themeColor="text1" w:themeTint="F2"/>
                <w:spacing w:val="-4"/>
              </w:rPr>
            </w:pPr>
          </w:p>
          <w:p w14:paraId="0C687ADC" w14:textId="77777777" w:rsidR="00945636" w:rsidRDefault="00945636" w:rsidP="00A77752">
            <w:pPr>
              <w:pStyle w:val="Marginlie"/>
              <w:rPr>
                <w:color w:val="0D0D0D" w:themeColor="text1" w:themeTint="F2"/>
                <w:spacing w:val="-4"/>
              </w:rPr>
            </w:pPr>
          </w:p>
          <w:p w14:paraId="1F3E0C63" w14:textId="77777777" w:rsidR="00945636" w:rsidRDefault="00945636" w:rsidP="00A77752">
            <w:pPr>
              <w:pStyle w:val="Marginlie"/>
              <w:rPr>
                <w:color w:val="0D0D0D" w:themeColor="text1" w:themeTint="F2"/>
                <w:spacing w:val="-4"/>
              </w:rPr>
            </w:pPr>
          </w:p>
          <w:p w14:paraId="2A6DE9DD" w14:textId="77777777" w:rsidR="00945636" w:rsidRDefault="00945636" w:rsidP="00A77752">
            <w:pPr>
              <w:pStyle w:val="Marginlie"/>
              <w:rPr>
                <w:color w:val="0D0D0D" w:themeColor="text1" w:themeTint="F2"/>
                <w:spacing w:val="-4"/>
              </w:rPr>
            </w:pPr>
          </w:p>
          <w:p w14:paraId="55B18A17" w14:textId="77777777" w:rsidR="00945636" w:rsidRDefault="00945636" w:rsidP="00A77752">
            <w:pPr>
              <w:pStyle w:val="Marginlie"/>
              <w:rPr>
                <w:color w:val="0D0D0D" w:themeColor="text1" w:themeTint="F2"/>
                <w:spacing w:val="-4"/>
              </w:rPr>
            </w:pPr>
          </w:p>
          <w:p w14:paraId="170B8726" w14:textId="77777777" w:rsidR="00945636" w:rsidRDefault="00945636" w:rsidP="00A77752">
            <w:pPr>
              <w:pStyle w:val="Marginlie"/>
              <w:rPr>
                <w:color w:val="0D0D0D" w:themeColor="text1" w:themeTint="F2"/>
                <w:spacing w:val="-4"/>
              </w:rPr>
            </w:pPr>
            <w:r>
              <w:rPr>
                <w:color w:val="0D0D0D" w:themeColor="text1" w:themeTint="F2"/>
                <w:spacing w:val="-4"/>
              </w:rPr>
              <w:t>Vyšší mzdový růst v dopravě, průmyslu i stavebnictví byl doprovázen redukcí počtu zaměstnanců.</w:t>
            </w:r>
          </w:p>
          <w:p w14:paraId="304C7AC6" w14:textId="77777777" w:rsidR="00945636" w:rsidRDefault="00945636" w:rsidP="00A77752">
            <w:pPr>
              <w:pStyle w:val="Marginlie"/>
              <w:rPr>
                <w:color w:val="0D0D0D" w:themeColor="text1" w:themeTint="F2"/>
                <w:spacing w:val="-4"/>
              </w:rPr>
            </w:pPr>
          </w:p>
          <w:p w14:paraId="010EB9BA" w14:textId="77777777" w:rsidR="00945636" w:rsidRDefault="00945636" w:rsidP="00A77752">
            <w:pPr>
              <w:pStyle w:val="Marginlie"/>
              <w:rPr>
                <w:color w:val="0D0D0D" w:themeColor="text1" w:themeTint="F2"/>
                <w:spacing w:val="-4"/>
              </w:rPr>
            </w:pPr>
          </w:p>
          <w:p w14:paraId="2CF7C619" w14:textId="77777777" w:rsidR="00945636" w:rsidRDefault="00945636" w:rsidP="00A77752">
            <w:pPr>
              <w:pStyle w:val="Marginlie"/>
              <w:rPr>
                <w:color w:val="0D0D0D" w:themeColor="text1" w:themeTint="F2"/>
                <w:spacing w:val="-4"/>
              </w:rPr>
            </w:pPr>
          </w:p>
          <w:p w14:paraId="38778965" w14:textId="77777777" w:rsidR="00945636" w:rsidRDefault="00945636" w:rsidP="00A77752">
            <w:pPr>
              <w:pStyle w:val="Marginlie"/>
              <w:rPr>
                <w:color w:val="0D0D0D" w:themeColor="text1" w:themeTint="F2"/>
                <w:spacing w:val="-4"/>
              </w:rPr>
            </w:pPr>
          </w:p>
        </w:tc>
        <w:tc>
          <w:tcPr>
            <w:tcW w:w="220" w:type="dxa"/>
            <w:shd w:val="clear" w:color="auto" w:fill="auto"/>
            <w:tcMar>
              <w:left w:w="0" w:type="dxa"/>
            </w:tcMar>
          </w:tcPr>
          <w:p w14:paraId="5CDEC4A3" w14:textId="77777777" w:rsidR="00945636" w:rsidRPr="00016778" w:rsidRDefault="00945636" w:rsidP="00A77752">
            <w:pPr>
              <w:pStyle w:val="Textpoznpodarou"/>
              <w:jc w:val="both"/>
              <w:rPr>
                <w:color w:val="0D0D0D" w:themeColor="text1" w:themeTint="F2"/>
                <w:spacing w:val="-4"/>
              </w:rPr>
            </w:pPr>
          </w:p>
        </w:tc>
        <w:tc>
          <w:tcPr>
            <w:tcW w:w="7685" w:type="dxa"/>
            <w:shd w:val="clear" w:color="auto" w:fill="auto"/>
            <w:tcMar>
              <w:left w:w="0" w:type="dxa"/>
            </w:tcMar>
          </w:tcPr>
          <w:p w14:paraId="692A9ABF" w14:textId="1C583BDD" w:rsidR="00945636" w:rsidRPr="00A95D12" w:rsidRDefault="00945636" w:rsidP="00945636">
            <w:pPr>
              <w:spacing w:after="200"/>
              <w:rPr>
                <w:rFonts w:cs="Arial"/>
                <w:spacing w:val="-4"/>
                <w:szCs w:val="20"/>
              </w:rPr>
            </w:pPr>
            <w:r w:rsidRPr="00A95D12">
              <w:rPr>
                <w:color w:val="0D0D0D" w:themeColor="text1" w:themeTint="F2"/>
                <w:spacing w:val="-4"/>
              </w:rPr>
              <w:t xml:space="preserve">Růst nominálních mezd byl v 1. čtvrtletí výrazněji diferencovaný. Relativně nejvíce si </w:t>
            </w:r>
            <w:r>
              <w:rPr>
                <w:color w:val="0D0D0D" w:themeColor="text1" w:themeTint="F2"/>
                <w:spacing w:val="-4"/>
              </w:rPr>
              <w:br/>
            </w:r>
            <w:r w:rsidRPr="00A95D12">
              <w:rPr>
                <w:color w:val="0D0D0D" w:themeColor="text1" w:themeTint="F2"/>
                <w:spacing w:val="-4"/>
              </w:rPr>
              <w:t>v průměru polepšili zaměstnanci ve zdravotní a sociální péči (+11,1 %</w:t>
            </w:r>
            <w:r>
              <w:rPr>
                <w:color w:val="0D0D0D" w:themeColor="text1" w:themeTint="F2"/>
                <w:spacing w:val="-4"/>
              </w:rPr>
              <w:t xml:space="preserve"> meziročně</w:t>
            </w:r>
            <w:r w:rsidRPr="00A95D12">
              <w:rPr>
                <w:color w:val="0D0D0D" w:themeColor="text1" w:themeTint="F2"/>
                <w:spacing w:val="-4"/>
              </w:rPr>
              <w:t>).</w:t>
            </w:r>
            <w:r>
              <w:rPr>
                <w:color w:val="0D0D0D" w:themeColor="text1" w:themeTint="F2"/>
                <w:spacing w:val="-4"/>
              </w:rPr>
              <w:t xml:space="preserve"> Dvojciferný růst mezd nastal z </w:t>
            </w:r>
            <w:r w:rsidRPr="00A95D12">
              <w:rPr>
                <w:color w:val="0D0D0D" w:themeColor="text1" w:themeTint="F2"/>
                <w:spacing w:val="-4"/>
              </w:rPr>
              <w:t>hlavních odvětví ještě v administrativních a podpůrných činnostech a také v oblasti hospodaření s vodou a odpady – v obou případech se ale jedná o nízkovýdělková odvětví. To platí i pro ubytování, stravování a pohostinství, kde rychle se zotavující cestovní ruch pomohl nejen ke svižnému růstu průměrné mzdy (8,9 %), ale i</w:t>
            </w:r>
            <w:r>
              <w:rPr>
                <w:color w:val="0D0D0D" w:themeColor="text1" w:themeTint="F2"/>
                <w:spacing w:val="-4"/>
              </w:rPr>
              <w:t> k vyššímu počtu zaměstnanců (o 6,6 </w:t>
            </w:r>
            <w:r w:rsidRPr="00A95D12">
              <w:rPr>
                <w:color w:val="0D0D0D" w:themeColor="text1" w:themeTint="F2"/>
                <w:spacing w:val="-4"/>
              </w:rPr>
              <w:t xml:space="preserve">%). Rychleji než v celé ekonomice rostly mzdy </w:t>
            </w:r>
            <w:r>
              <w:rPr>
                <w:color w:val="0D0D0D" w:themeColor="text1" w:themeTint="F2"/>
                <w:spacing w:val="-4"/>
              </w:rPr>
              <w:t>v </w:t>
            </w:r>
            <w:r w:rsidRPr="00A95D12">
              <w:rPr>
                <w:color w:val="0D0D0D" w:themeColor="text1" w:themeTint="F2"/>
                <w:spacing w:val="-4"/>
              </w:rPr>
              <w:t>dopravě a skladování (9,2 %), těžebním (9,5 %) i zp</w:t>
            </w:r>
            <w:r>
              <w:rPr>
                <w:color w:val="0D0D0D" w:themeColor="text1" w:themeTint="F2"/>
                <w:spacing w:val="-4"/>
              </w:rPr>
              <w:t>racovatelském průmyslu (8,1 %) a ve</w:t>
            </w:r>
            <w:r w:rsidRPr="00A95D12">
              <w:rPr>
                <w:color w:val="0D0D0D" w:themeColor="text1" w:themeTint="F2"/>
                <w:spacing w:val="-4"/>
              </w:rPr>
              <w:t xml:space="preserve"> stavebnictví (7,6 %)</w:t>
            </w:r>
            <w:r>
              <w:rPr>
                <w:color w:val="0D0D0D" w:themeColor="text1" w:themeTint="F2"/>
                <w:spacing w:val="-4"/>
              </w:rPr>
              <w:t>. V</w:t>
            </w:r>
            <w:r w:rsidRPr="00A95D12">
              <w:rPr>
                <w:color w:val="0D0D0D" w:themeColor="text1" w:themeTint="F2"/>
                <w:spacing w:val="-4"/>
              </w:rPr>
              <w:t>ždy to ale bylo „vykoupeno“ redukcí zaměstnanosti (např. ve strojírenství, na které dopadlo významné snížení investiční aktivity v ekonomice, ubylo meziročně více než 3 % zaměstnanců). Naopak v obchodu či profesních, vědeckých a</w:t>
            </w:r>
            <w:r>
              <w:rPr>
                <w:color w:val="0D0D0D" w:themeColor="text1" w:themeTint="F2"/>
                <w:spacing w:val="-4"/>
              </w:rPr>
              <w:t> </w:t>
            </w:r>
            <w:r w:rsidRPr="00A95D12">
              <w:rPr>
                <w:color w:val="0D0D0D" w:themeColor="text1" w:themeTint="F2"/>
                <w:spacing w:val="-4"/>
              </w:rPr>
              <w:t>technických činnostech byl lehce nadprůměrný mzdový růst doprovázen i mírným zvýšením zaměstnanosti.  Absolutně nej</w:t>
            </w:r>
            <w:r>
              <w:rPr>
                <w:color w:val="0D0D0D" w:themeColor="text1" w:themeTint="F2"/>
                <w:spacing w:val="-4"/>
              </w:rPr>
              <w:t>více si polepšili zaměstnanci v </w:t>
            </w:r>
            <w:r w:rsidRPr="00A95D12">
              <w:rPr>
                <w:color w:val="0D0D0D" w:themeColor="text1" w:themeTint="F2"/>
                <w:spacing w:val="-4"/>
              </w:rPr>
              <w:t>informačních a</w:t>
            </w:r>
            <w:r>
              <w:rPr>
                <w:color w:val="0D0D0D" w:themeColor="text1" w:themeTint="F2"/>
                <w:spacing w:val="-4"/>
              </w:rPr>
              <w:t> </w:t>
            </w:r>
            <w:r w:rsidRPr="00A95D12">
              <w:rPr>
                <w:color w:val="0D0D0D" w:themeColor="text1" w:themeTint="F2"/>
                <w:spacing w:val="-4"/>
              </w:rPr>
              <w:t>komunikačních činnostech (+5,5 tis. měsíčn</w:t>
            </w:r>
            <w:r>
              <w:rPr>
                <w:color w:val="0D0D0D" w:themeColor="text1" w:themeTint="F2"/>
                <w:spacing w:val="-4"/>
              </w:rPr>
              <w:t>ě) a jejich průměrná mzda (84,3 </w:t>
            </w:r>
            <w:r w:rsidRPr="00A95D12">
              <w:rPr>
                <w:color w:val="0D0D0D" w:themeColor="text1" w:themeTint="F2"/>
                <w:spacing w:val="-4"/>
              </w:rPr>
              <w:t xml:space="preserve">tis. korun) převýšila </w:t>
            </w:r>
            <w:r>
              <w:rPr>
                <w:color w:val="0D0D0D" w:themeColor="text1" w:themeTint="F2"/>
                <w:spacing w:val="-4"/>
              </w:rPr>
              <w:t xml:space="preserve">již skoro dvojnásobně </w:t>
            </w:r>
            <w:r w:rsidRPr="00A95D12">
              <w:rPr>
                <w:color w:val="0D0D0D" w:themeColor="text1" w:themeTint="F2"/>
                <w:spacing w:val="-4"/>
              </w:rPr>
              <w:t xml:space="preserve">úroveň v celé ekonomice. Vysokou úroveň výdělků si stále drží i peněžnictví a pojišťovnictví (79 tis.), avšak relativní tempo jejich růstu, stejně </w:t>
            </w:r>
            <w:r>
              <w:rPr>
                <w:color w:val="0D0D0D" w:themeColor="text1" w:themeTint="F2"/>
                <w:spacing w:val="-4"/>
              </w:rPr>
              <w:t>jako u zaměstnanosti, za oblastí IT v </w:t>
            </w:r>
            <w:r w:rsidRPr="00A95D12">
              <w:rPr>
                <w:color w:val="0D0D0D" w:themeColor="text1" w:themeTint="F2"/>
                <w:spacing w:val="-4"/>
              </w:rPr>
              <w:t>posledních letech spíše zaostává.</w:t>
            </w:r>
            <w:r w:rsidRPr="00A95D12">
              <w:rPr>
                <w:rStyle w:val="eop"/>
                <w:rFonts w:cs="Arial"/>
                <w:spacing w:val="-4"/>
                <w:szCs w:val="20"/>
              </w:rPr>
              <w:t> </w:t>
            </w:r>
          </w:p>
        </w:tc>
      </w:tr>
      <w:tr w:rsidR="00945636" w:rsidRPr="00016778" w14:paraId="3E8AB664" w14:textId="77777777" w:rsidTr="00A77752">
        <w:trPr>
          <w:trHeight w:val="132"/>
        </w:trPr>
        <w:tc>
          <w:tcPr>
            <w:tcW w:w="1769" w:type="dxa"/>
            <w:shd w:val="clear" w:color="auto" w:fill="auto"/>
            <w:tcMar>
              <w:left w:w="0" w:type="dxa"/>
            </w:tcMar>
          </w:tcPr>
          <w:p w14:paraId="10D3789F" w14:textId="77777777" w:rsidR="00945636" w:rsidRDefault="00945636" w:rsidP="00A77752">
            <w:pPr>
              <w:pStyle w:val="Marginlie"/>
              <w:rPr>
                <w:color w:val="0D0D0D" w:themeColor="text1" w:themeTint="F2"/>
                <w:spacing w:val="-4"/>
              </w:rPr>
            </w:pPr>
            <w:r>
              <w:rPr>
                <w:color w:val="0D0D0D" w:themeColor="text1" w:themeTint="F2"/>
                <w:spacing w:val="-4"/>
              </w:rPr>
              <w:t xml:space="preserve">Podprůměrný mzdový růst v odvětvích s významnou rolí státu </w:t>
            </w:r>
            <w:r>
              <w:rPr>
                <w:color w:val="0D0D0D" w:themeColor="text1" w:themeTint="F2"/>
                <w:spacing w:val="-4"/>
              </w:rPr>
              <w:lastRenderedPageBreak/>
              <w:t>přetrvával více než dva roky.</w:t>
            </w:r>
          </w:p>
        </w:tc>
        <w:tc>
          <w:tcPr>
            <w:tcW w:w="220" w:type="dxa"/>
            <w:shd w:val="clear" w:color="auto" w:fill="auto"/>
            <w:tcMar>
              <w:left w:w="0" w:type="dxa"/>
            </w:tcMar>
          </w:tcPr>
          <w:p w14:paraId="1BC718A5" w14:textId="77777777" w:rsidR="00945636" w:rsidRPr="00016778" w:rsidRDefault="00945636" w:rsidP="00A77752">
            <w:pPr>
              <w:pStyle w:val="Textpoznpodarou"/>
              <w:jc w:val="both"/>
              <w:rPr>
                <w:color w:val="0D0D0D" w:themeColor="text1" w:themeTint="F2"/>
                <w:spacing w:val="-4"/>
              </w:rPr>
            </w:pPr>
          </w:p>
        </w:tc>
        <w:tc>
          <w:tcPr>
            <w:tcW w:w="7685" w:type="dxa"/>
            <w:shd w:val="clear" w:color="auto" w:fill="auto"/>
            <w:tcMar>
              <w:left w:w="0" w:type="dxa"/>
            </w:tcMar>
          </w:tcPr>
          <w:p w14:paraId="40094437" w14:textId="7ED9E971" w:rsidR="00945636" w:rsidRPr="00A95D12" w:rsidRDefault="00945636" w:rsidP="009E5BF4">
            <w:pPr>
              <w:spacing w:after="200"/>
              <w:rPr>
                <w:color w:val="0D0D0D" w:themeColor="text1" w:themeTint="F2"/>
              </w:rPr>
            </w:pPr>
            <w:r>
              <w:rPr>
                <w:color w:val="0D0D0D" w:themeColor="text1" w:themeTint="F2"/>
              </w:rPr>
              <w:t>S</w:t>
            </w:r>
            <w:r w:rsidRPr="00A95D12">
              <w:rPr>
                <w:color w:val="0D0D0D" w:themeColor="text1" w:themeTint="F2"/>
              </w:rPr>
              <w:t>labý mzdový růst letos zaznamenala energetika</w:t>
            </w:r>
            <w:r w:rsidRPr="00856E0C">
              <w:rPr>
                <w:rStyle w:val="Znakapoznpodarou"/>
                <w:rFonts w:cs="Arial"/>
                <w:color w:val="0D0D0D" w:themeColor="text1" w:themeTint="F2"/>
                <w:spacing w:val="-2"/>
                <w:szCs w:val="20"/>
              </w:rPr>
              <w:footnoteReference w:id="72"/>
            </w:r>
            <w:r w:rsidRPr="00A95D12">
              <w:rPr>
                <w:color w:val="0D0D0D" w:themeColor="text1" w:themeTint="F2"/>
              </w:rPr>
              <w:t xml:space="preserve"> (3,9 %), což je způsobeno mimoř</w:t>
            </w:r>
            <w:r>
              <w:rPr>
                <w:color w:val="0D0D0D" w:themeColor="text1" w:themeTint="F2"/>
              </w:rPr>
              <w:t xml:space="preserve">ádně vysokou loňskou základnou danou </w:t>
            </w:r>
            <w:r w:rsidRPr="00A95D12">
              <w:rPr>
                <w:color w:val="0D0D0D" w:themeColor="text1" w:themeTint="F2"/>
              </w:rPr>
              <w:t>vyplacení</w:t>
            </w:r>
            <w:r>
              <w:rPr>
                <w:color w:val="0D0D0D" w:themeColor="text1" w:themeTint="F2"/>
              </w:rPr>
              <w:t>m</w:t>
            </w:r>
            <w:r w:rsidRPr="00A95D12">
              <w:rPr>
                <w:color w:val="0D0D0D" w:themeColor="text1" w:themeTint="F2"/>
              </w:rPr>
              <w:t xml:space="preserve"> </w:t>
            </w:r>
            <w:r>
              <w:rPr>
                <w:color w:val="0D0D0D" w:themeColor="text1" w:themeTint="F2"/>
              </w:rPr>
              <w:t>mimořádných odměn</w:t>
            </w:r>
            <w:r w:rsidRPr="00A95D12">
              <w:rPr>
                <w:color w:val="0D0D0D" w:themeColor="text1" w:themeTint="F2"/>
              </w:rPr>
              <w:t>. Úroveň mezd zde i tak letos překonala hladinu např. ve finančnictví. Nízký mzdový růs</w:t>
            </w:r>
            <w:r>
              <w:rPr>
                <w:color w:val="0D0D0D" w:themeColor="text1" w:themeTint="F2"/>
              </w:rPr>
              <w:t xml:space="preserve">t </w:t>
            </w:r>
            <w:r>
              <w:rPr>
                <w:color w:val="0D0D0D" w:themeColor="text1" w:themeTint="F2"/>
              </w:rPr>
              <w:lastRenderedPageBreak/>
              <w:t>nastal i ve většině odvětví s</w:t>
            </w:r>
            <w:r w:rsidR="009E5BF4">
              <w:rPr>
                <w:color w:val="0D0D0D" w:themeColor="text1" w:themeTint="F2"/>
                <w:spacing w:val="-4"/>
              </w:rPr>
              <w:t> </w:t>
            </w:r>
            <w:r w:rsidR="009E5BF4">
              <w:rPr>
                <w:color w:val="0D0D0D" w:themeColor="text1" w:themeTint="F2"/>
              </w:rPr>
              <w:t>významnou rolí</w:t>
            </w:r>
            <w:r w:rsidRPr="00A95D12">
              <w:rPr>
                <w:color w:val="0D0D0D" w:themeColor="text1" w:themeTint="F2"/>
              </w:rPr>
              <w:t xml:space="preserve"> státu</w:t>
            </w:r>
            <w:r w:rsidRPr="00856E0C">
              <w:rPr>
                <w:rStyle w:val="Znakapoznpodarou"/>
                <w:rFonts w:cs="Arial"/>
                <w:color w:val="0D0D0D" w:themeColor="text1" w:themeTint="F2"/>
                <w:spacing w:val="-2"/>
                <w:szCs w:val="20"/>
              </w:rPr>
              <w:footnoteReference w:id="73"/>
            </w:r>
            <w:r w:rsidRPr="00A95D12">
              <w:rPr>
                <w:color w:val="0D0D0D" w:themeColor="text1" w:themeTint="F2"/>
              </w:rPr>
              <w:t xml:space="preserve"> – ve vzdělávání </w:t>
            </w:r>
            <w:r>
              <w:rPr>
                <w:color w:val="0D0D0D" w:themeColor="text1" w:themeTint="F2"/>
              </w:rPr>
              <w:t xml:space="preserve">či veřejné správě, </w:t>
            </w:r>
            <w:r>
              <w:rPr>
                <w:color w:val="0D0D0D" w:themeColor="text1" w:themeTint="F2"/>
              </w:rPr>
              <w:br/>
              <w:t>v obraně a sociálním</w:t>
            </w:r>
            <w:r w:rsidRPr="00A95D12">
              <w:rPr>
                <w:color w:val="0D0D0D" w:themeColor="text1" w:themeTint="F2"/>
              </w:rPr>
              <w:t xml:space="preserve"> zabezpečení </w:t>
            </w:r>
            <w:r>
              <w:rPr>
                <w:color w:val="0D0D0D" w:themeColor="text1" w:themeTint="F2"/>
              </w:rPr>
              <w:t>dokonce tento růst ani nepředči</w:t>
            </w:r>
            <w:r w:rsidRPr="00A95D12">
              <w:rPr>
                <w:color w:val="0D0D0D" w:themeColor="text1" w:themeTint="F2"/>
              </w:rPr>
              <w:t>l tempo inflace. Málo se „přidávalo“ i ve váhově méně významném odvětví činností v oblasti nemovitost</w:t>
            </w:r>
            <w:r>
              <w:rPr>
                <w:color w:val="0D0D0D" w:themeColor="text1" w:themeTint="F2"/>
              </w:rPr>
              <w:t>í</w:t>
            </w:r>
            <w:r w:rsidRPr="00A95D12">
              <w:rPr>
                <w:color w:val="0D0D0D" w:themeColor="text1" w:themeTint="F2"/>
              </w:rPr>
              <w:t xml:space="preserve"> (2,3</w:t>
            </w:r>
            <w:r>
              <w:rPr>
                <w:color w:val="0D0D0D" w:themeColor="text1" w:themeTint="F2"/>
              </w:rPr>
              <w:t> </w:t>
            </w:r>
            <w:r w:rsidRPr="00A95D12">
              <w:rPr>
                <w:color w:val="0D0D0D" w:themeColor="text1" w:themeTint="F2"/>
              </w:rPr>
              <w:t>%)</w:t>
            </w:r>
            <w:r>
              <w:rPr>
                <w:color w:val="0D0D0D" w:themeColor="text1" w:themeTint="F2"/>
              </w:rPr>
              <w:t xml:space="preserve">. </w:t>
            </w:r>
            <w:r w:rsidR="009E5BF4">
              <w:rPr>
                <w:color w:val="0D0D0D" w:themeColor="text1" w:themeTint="F2"/>
              </w:rPr>
              <w:t>Š</w:t>
            </w:r>
            <w:r w:rsidR="009E5BF4" w:rsidRPr="00A95D12">
              <w:rPr>
                <w:color w:val="0D0D0D" w:themeColor="text1" w:themeTint="F2"/>
              </w:rPr>
              <w:t>lo o jediné z hlavních odvětví, v němž mz</w:t>
            </w:r>
            <w:r w:rsidR="009E5BF4">
              <w:rPr>
                <w:color w:val="0D0D0D" w:themeColor="text1" w:themeTint="F2"/>
              </w:rPr>
              <w:t xml:space="preserve">dový růst významně zaostal </w:t>
            </w:r>
            <w:r w:rsidR="009E5BF4" w:rsidRPr="00A95D12">
              <w:rPr>
                <w:color w:val="0D0D0D" w:themeColor="text1" w:themeTint="F2"/>
              </w:rPr>
              <w:t>za vývojem počtu zaměstnanců (+4,4</w:t>
            </w:r>
            <w:r w:rsidR="009E5BF4">
              <w:rPr>
                <w:color w:val="0D0D0D" w:themeColor="text1" w:themeTint="F2"/>
              </w:rPr>
              <w:t> </w:t>
            </w:r>
            <w:r w:rsidR="009E5BF4" w:rsidRPr="00A95D12">
              <w:rPr>
                <w:color w:val="0D0D0D" w:themeColor="text1" w:themeTint="F2"/>
              </w:rPr>
              <w:t>%)</w:t>
            </w:r>
            <w:r w:rsidR="009E5BF4">
              <w:rPr>
                <w:color w:val="0D0D0D" w:themeColor="text1" w:themeTint="F2"/>
              </w:rPr>
              <w:t>.</w:t>
            </w:r>
          </w:p>
        </w:tc>
      </w:tr>
      <w:tr w:rsidR="00945636" w:rsidRPr="00016778" w14:paraId="3335979D" w14:textId="77777777" w:rsidTr="00A77752">
        <w:trPr>
          <w:trHeight w:val="132"/>
        </w:trPr>
        <w:tc>
          <w:tcPr>
            <w:tcW w:w="1769" w:type="dxa"/>
            <w:shd w:val="clear" w:color="auto" w:fill="auto"/>
            <w:tcMar>
              <w:left w:w="0" w:type="dxa"/>
            </w:tcMar>
          </w:tcPr>
          <w:p w14:paraId="6A83EDF2" w14:textId="77777777" w:rsidR="00945636" w:rsidRPr="00735561" w:rsidRDefault="00945636" w:rsidP="00A77752">
            <w:pPr>
              <w:pStyle w:val="Marginlie"/>
              <w:rPr>
                <w:color w:val="0D0D0D" w:themeColor="text1" w:themeTint="F2"/>
                <w:spacing w:val="-4"/>
              </w:rPr>
            </w:pPr>
            <w:r>
              <w:rPr>
                <w:color w:val="0D0D0D" w:themeColor="text1" w:themeTint="F2"/>
                <w:spacing w:val="-4"/>
              </w:rPr>
              <w:lastRenderedPageBreak/>
              <w:t xml:space="preserve">Relativně nejvíce vzrostla průměrná mzda ve Středočeském </w:t>
            </w:r>
            <w:r>
              <w:rPr>
                <w:color w:val="0D0D0D" w:themeColor="text1" w:themeTint="F2"/>
                <w:spacing w:val="-4"/>
              </w:rPr>
              <w:br/>
              <w:t>a Plzeňském kraji.</w:t>
            </w:r>
          </w:p>
        </w:tc>
        <w:tc>
          <w:tcPr>
            <w:tcW w:w="220" w:type="dxa"/>
            <w:shd w:val="clear" w:color="auto" w:fill="auto"/>
            <w:tcMar>
              <w:left w:w="0" w:type="dxa"/>
            </w:tcMar>
          </w:tcPr>
          <w:p w14:paraId="624C5206" w14:textId="77777777" w:rsidR="00945636" w:rsidRPr="00016778" w:rsidRDefault="00945636" w:rsidP="00A77752">
            <w:pPr>
              <w:pStyle w:val="Textpoznpodarou"/>
              <w:jc w:val="both"/>
              <w:rPr>
                <w:color w:val="0D0D0D" w:themeColor="text1" w:themeTint="F2"/>
                <w:spacing w:val="-4"/>
              </w:rPr>
            </w:pPr>
          </w:p>
        </w:tc>
        <w:tc>
          <w:tcPr>
            <w:tcW w:w="7685" w:type="dxa"/>
            <w:shd w:val="clear" w:color="auto" w:fill="auto"/>
            <w:tcMar>
              <w:left w:w="0" w:type="dxa"/>
            </w:tcMar>
          </w:tcPr>
          <w:p w14:paraId="24F3ACB6" w14:textId="77777777" w:rsidR="00945636" w:rsidRPr="00A95D12" w:rsidRDefault="00945636" w:rsidP="00A77752">
            <w:pPr>
              <w:spacing w:after="200"/>
              <w:rPr>
                <w:rFonts w:cs="Arial"/>
                <w:szCs w:val="20"/>
              </w:rPr>
            </w:pPr>
            <w:r w:rsidRPr="00A95D12">
              <w:rPr>
                <w:color w:val="0D0D0D" w:themeColor="text1" w:themeTint="F2"/>
              </w:rPr>
              <w:t xml:space="preserve">Mzdový růst se v 1. čtvrtletí mezi kraji pohyboval od 6,2 % (Praha) do 7,6 % (Středočeský a Plzeňský kraj). Z pohledu úrovně průměrné mzdy je rozpětí krajů dlouhodobě beze změn – mzda v Praze (56,4 tis. korun) aktuálně převyšuje mzdu </w:t>
            </w:r>
            <w:r>
              <w:rPr>
                <w:color w:val="0D0D0D" w:themeColor="text1" w:themeTint="F2"/>
              </w:rPr>
              <w:br/>
            </w:r>
            <w:r w:rsidRPr="00A95D12">
              <w:rPr>
                <w:color w:val="0D0D0D" w:themeColor="text1" w:themeTint="F2"/>
              </w:rPr>
              <w:t>v Karlovarské</w:t>
            </w:r>
            <w:r>
              <w:rPr>
                <w:color w:val="0D0D0D" w:themeColor="text1" w:themeTint="F2"/>
              </w:rPr>
              <w:t>m</w:t>
            </w:r>
            <w:r w:rsidRPr="00A95D12">
              <w:rPr>
                <w:color w:val="0D0D0D" w:themeColor="text1" w:themeTint="F2"/>
              </w:rPr>
              <w:t xml:space="preserve"> kraji (37,1 tis.</w:t>
            </w:r>
            <w:r>
              <w:rPr>
                <w:color w:val="0D0D0D" w:themeColor="text1" w:themeTint="F2"/>
              </w:rPr>
              <w:t xml:space="preserve"> korun</w:t>
            </w:r>
            <w:r w:rsidRPr="00A95D12">
              <w:rPr>
                <w:color w:val="0D0D0D" w:themeColor="text1" w:themeTint="F2"/>
              </w:rPr>
              <w:t xml:space="preserve">) zhruba o polovinu. Karlovarskému kraji zatím příliš nepomohlo oživení turismu, celková mzda zde </w:t>
            </w:r>
            <w:r>
              <w:rPr>
                <w:color w:val="0D0D0D" w:themeColor="text1" w:themeTint="F2"/>
              </w:rPr>
              <w:t xml:space="preserve">letos </w:t>
            </w:r>
            <w:r w:rsidRPr="00A95D12">
              <w:rPr>
                <w:color w:val="0D0D0D" w:themeColor="text1" w:themeTint="F2"/>
              </w:rPr>
              <w:t>vzrostla meziročně o</w:t>
            </w:r>
            <w:r>
              <w:rPr>
                <w:color w:val="0D0D0D" w:themeColor="text1" w:themeTint="F2"/>
              </w:rPr>
              <w:t> </w:t>
            </w:r>
            <w:r w:rsidRPr="00A95D12">
              <w:rPr>
                <w:color w:val="0D0D0D" w:themeColor="text1" w:themeTint="F2"/>
              </w:rPr>
              <w:t>podprůměrných 6,9 %.</w:t>
            </w:r>
            <w:r>
              <w:rPr>
                <w:rStyle w:val="eop"/>
                <w:rFonts w:cs="Arial"/>
                <w:szCs w:val="20"/>
              </w:rPr>
              <w:t> </w:t>
            </w:r>
          </w:p>
        </w:tc>
      </w:tr>
      <w:tr w:rsidR="00945636" w:rsidRPr="001E4B77" w14:paraId="71876950" w14:textId="77777777" w:rsidTr="00A77752">
        <w:trPr>
          <w:trHeight w:val="132"/>
        </w:trPr>
        <w:tc>
          <w:tcPr>
            <w:tcW w:w="1769" w:type="dxa"/>
            <w:shd w:val="clear" w:color="auto" w:fill="auto"/>
            <w:tcMar>
              <w:left w:w="0" w:type="dxa"/>
            </w:tcMar>
          </w:tcPr>
          <w:p w14:paraId="2A061F2E" w14:textId="77777777" w:rsidR="00945636" w:rsidRDefault="00945636" w:rsidP="00A77752">
            <w:pPr>
              <w:pStyle w:val="Marginlie"/>
              <w:rPr>
                <w:color w:val="0D0D0D" w:themeColor="text1" w:themeTint="F2"/>
                <w:spacing w:val="-4"/>
              </w:rPr>
            </w:pPr>
            <w:r>
              <w:rPr>
                <w:color w:val="0D0D0D" w:themeColor="text1" w:themeTint="F2"/>
                <w:spacing w:val="-4"/>
              </w:rPr>
              <w:t>Ženám vzrostl mzdový medián více než mužům. Celkové mzdové diference se snížily.</w:t>
            </w:r>
          </w:p>
        </w:tc>
        <w:tc>
          <w:tcPr>
            <w:tcW w:w="220" w:type="dxa"/>
            <w:shd w:val="clear" w:color="auto" w:fill="auto"/>
            <w:tcMar>
              <w:left w:w="0" w:type="dxa"/>
            </w:tcMar>
          </w:tcPr>
          <w:p w14:paraId="47E6E394" w14:textId="77777777" w:rsidR="00945636" w:rsidRPr="001E4B77" w:rsidRDefault="00945636" w:rsidP="00A77752">
            <w:pPr>
              <w:pStyle w:val="Textpoznpodarou"/>
              <w:jc w:val="both"/>
              <w:rPr>
                <w:color w:val="0D0D0D" w:themeColor="text1" w:themeTint="F2"/>
                <w:spacing w:val="-4"/>
              </w:rPr>
            </w:pPr>
          </w:p>
        </w:tc>
        <w:tc>
          <w:tcPr>
            <w:tcW w:w="7685" w:type="dxa"/>
            <w:shd w:val="clear" w:color="auto" w:fill="auto"/>
            <w:tcMar>
              <w:left w:w="0" w:type="dxa"/>
            </w:tcMar>
          </w:tcPr>
          <w:p w14:paraId="7FB5839F" w14:textId="46D1A271" w:rsidR="00945636" w:rsidRPr="00A95D12" w:rsidRDefault="00945636" w:rsidP="009E5BF4">
            <w:pPr>
              <w:spacing w:after="200"/>
              <w:rPr>
                <w:rStyle w:val="normaltextrun"/>
                <w:color w:val="0D0D0D" w:themeColor="text1" w:themeTint="F2"/>
              </w:rPr>
            </w:pPr>
            <w:r w:rsidRPr="00A95D12">
              <w:rPr>
                <w:color w:val="0D0D0D" w:themeColor="text1" w:themeTint="F2"/>
              </w:rPr>
              <w:t xml:space="preserve">Medián mezd se v 1. čtvrtletí zvýšil </w:t>
            </w:r>
            <w:r w:rsidR="001021B1">
              <w:rPr>
                <w:color w:val="0D0D0D" w:themeColor="text1" w:themeTint="F2"/>
              </w:rPr>
              <w:t xml:space="preserve">meziročně </w:t>
            </w:r>
            <w:r w:rsidRPr="00A95D12">
              <w:rPr>
                <w:color w:val="0D0D0D" w:themeColor="text1" w:themeTint="F2"/>
              </w:rPr>
              <w:t>o 5,5 % (na 36,7 tis. korun měsíčně). Mírně vyšším tempem rostl u žen</w:t>
            </w:r>
            <w:r>
              <w:rPr>
                <w:color w:val="0D0D0D" w:themeColor="text1" w:themeTint="F2"/>
              </w:rPr>
              <w:t xml:space="preserve"> (+5,9 %)</w:t>
            </w:r>
            <w:r w:rsidRPr="00A95D12">
              <w:rPr>
                <w:color w:val="0D0D0D" w:themeColor="text1" w:themeTint="F2"/>
              </w:rPr>
              <w:t>. Mezera prostřední výše výdělků mezi pohlavími se tak meziročně snížila o 0,8 p. b., na stále však významných 14,5 % (u nízkovýdělkových pracovníků –</w:t>
            </w:r>
            <w:r>
              <w:rPr>
                <w:color w:val="0D0D0D" w:themeColor="text1" w:themeTint="F2"/>
              </w:rPr>
              <w:t xml:space="preserve"> v</w:t>
            </w:r>
            <w:r>
              <w:rPr>
                <w:color w:val="0D0D0D" w:themeColor="text1" w:themeTint="F2"/>
                <w:spacing w:val="-4"/>
              </w:rPr>
              <w:t> </w:t>
            </w:r>
            <w:r w:rsidRPr="00A95D12">
              <w:rPr>
                <w:color w:val="0D0D0D" w:themeColor="text1" w:themeTint="F2"/>
              </w:rPr>
              <w:t xml:space="preserve">nejnižším decilu – však ženy pobíraly oproti mužům </w:t>
            </w:r>
            <w:r>
              <w:rPr>
                <w:color w:val="0D0D0D" w:themeColor="text1" w:themeTint="F2"/>
              </w:rPr>
              <w:t xml:space="preserve">již </w:t>
            </w:r>
            <w:r w:rsidRPr="00A95D12">
              <w:rPr>
                <w:color w:val="0D0D0D" w:themeColor="text1" w:themeTint="F2"/>
              </w:rPr>
              <w:t>jen o 4,8 % méně). Mzdová</w:t>
            </w:r>
            <w:r>
              <w:rPr>
                <w:color w:val="0D0D0D" w:themeColor="text1" w:themeTint="F2"/>
              </w:rPr>
              <w:t xml:space="preserve"> distribuce se celkově snížila, neboť</w:t>
            </w:r>
            <w:r w:rsidRPr="00A95D12">
              <w:rPr>
                <w:color w:val="0D0D0D" w:themeColor="text1" w:themeTint="F2"/>
              </w:rPr>
              <w:t xml:space="preserve"> horní mzdov</w:t>
            </w:r>
            <w:r>
              <w:rPr>
                <w:color w:val="0D0D0D" w:themeColor="text1" w:themeTint="F2"/>
              </w:rPr>
              <w:t>ý decil meziročně narostl o 5,8</w:t>
            </w:r>
            <w:r>
              <w:rPr>
                <w:color w:val="0D0D0D" w:themeColor="text1" w:themeTint="F2"/>
                <w:spacing w:val="-4"/>
              </w:rPr>
              <w:t> </w:t>
            </w:r>
            <w:r>
              <w:rPr>
                <w:color w:val="0D0D0D" w:themeColor="text1" w:themeTint="F2"/>
              </w:rPr>
              <w:t>%, dolní decil ovšem</w:t>
            </w:r>
            <w:r w:rsidR="009E5BF4">
              <w:rPr>
                <w:color w:val="0D0D0D" w:themeColor="text1" w:themeTint="F2"/>
              </w:rPr>
              <w:t xml:space="preserve"> o 11,7 %</w:t>
            </w:r>
            <w:r w:rsidR="009E5BF4" w:rsidRPr="00A95D12">
              <w:rPr>
                <w:color w:val="0D0D0D" w:themeColor="text1" w:themeTint="F2"/>
              </w:rPr>
              <w:t xml:space="preserve"> (projevil se </w:t>
            </w:r>
            <w:r w:rsidR="009E5BF4">
              <w:rPr>
                <w:color w:val="0D0D0D" w:themeColor="text1" w:themeTint="F2"/>
              </w:rPr>
              <w:t xml:space="preserve">např. </w:t>
            </w:r>
            <w:r w:rsidR="009E5BF4" w:rsidRPr="00A95D12">
              <w:rPr>
                <w:color w:val="0D0D0D" w:themeColor="text1" w:themeTint="F2"/>
              </w:rPr>
              <w:t>svižný růst mezd v oblastech spojených s cestovním ruchem či mezd agenturních pracovníků</w:t>
            </w:r>
            <w:r w:rsidR="009E5BF4">
              <w:rPr>
                <w:color w:val="0D0D0D" w:themeColor="text1" w:themeTint="F2"/>
              </w:rPr>
              <w:t>, obecně i zrychlení navýšení hranice minimální mzdy</w:t>
            </w:r>
            <w:r w:rsidR="009E5BF4" w:rsidRPr="00A95D12">
              <w:rPr>
                <w:color w:val="0D0D0D" w:themeColor="text1" w:themeTint="F2"/>
              </w:rPr>
              <w:t>).</w:t>
            </w:r>
          </w:p>
        </w:tc>
      </w:tr>
      <w:tr w:rsidR="00945636" w:rsidRPr="00716203" w14:paraId="14933132" w14:textId="77777777" w:rsidTr="00A77752">
        <w:trPr>
          <w:trHeight w:val="132"/>
        </w:trPr>
        <w:tc>
          <w:tcPr>
            <w:tcW w:w="1769" w:type="dxa"/>
            <w:shd w:val="clear" w:color="auto" w:fill="auto"/>
            <w:tcMar>
              <w:left w:w="0" w:type="dxa"/>
            </w:tcMar>
          </w:tcPr>
          <w:p w14:paraId="72E01A52" w14:textId="77777777" w:rsidR="00945636" w:rsidRPr="00A90A79" w:rsidRDefault="00945636" w:rsidP="00A77752">
            <w:pPr>
              <w:pStyle w:val="Marginlie"/>
              <w:rPr>
                <w:spacing w:val="-4"/>
              </w:rPr>
            </w:pPr>
          </w:p>
        </w:tc>
        <w:tc>
          <w:tcPr>
            <w:tcW w:w="220" w:type="dxa"/>
            <w:shd w:val="clear" w:color="auto" w:fill="auto"/>
            <w:tcMar>
              <w:left w:w="0" w:type="dxa"/>
            </w:tcMar>
          </w:tcPr>
          <w:p w14:paraId="1A5EAA29" w14:textId="77777777" w:rsidR="00945636" w:rsidRPr="00B43216" w:rsidRDefault="00945636" w:rsidP="00A77752">
            <w:pPr>
              <w:pStyle w:val="Textpoznpodarou"/>
              <w:jc w:val="both"/>
              <w:rPr>
                <w:spacing w:val="-4"/>
              </w:rPr>
            </w:pPr>
          </w:p>
        </w:tc>
        <w:tc>
          <w:tcPr>
            <w:tcW w:w="7685" w:type="dxa"/>
            <w:shd w:val="clear" w:color="auto" w:fill="auto"/>
            <w:tcMar>
              <w:left w:w="0" w:type="dxa"/>
            </w:tcMar>
          </w:tcPr>
          <w:p w14:paraId="3CB2AFCD" w14:textId="77777777" w:rsidR="00945636" w:rsidRDefault="00945636" w:rsidP="00A77752">
            <w:pPr>
              <w:spacing w:after="0"/>
              <w:rPr>
                <w:rFonts w:cs="Arial"/>
                <w:b/>
                <w:color w:val="0D0D0D" w:themeColor="text1" w:themeTint="F2"/>
                <w:spacing w:val="-4"/>
                <w:szCs w:val="20"/>
              </w:rPr>
            </w:pPr>
            <w:r w:rsidRPr="00A90A79">
              <w:rPr>
                <w:rFonts w:cs="Arial"/>
                <w:b/>
                <w:color w:val="0D0D0D" w:themeColor="text1" w:themeTint="F2"/>
                <w:spacing w:val="-4"/>
                <w:szCs w:val="20"/>
              </w:rPr>
              <w:t>Graf č. 15 Průměrná nominální i reálná mzda a produktivita</w:t>
            </w:r>
            <w:r w:rsidRPr="00A90A79">
              <w:rPr>
                <w:rFonts w:cs="Arial"/>
                <w:color w:val="0D0D0D" w:themeColor="text1" w:themeTint="F2"/>
                <w:spacing w:val="-4"/>
                <w:szCs w:val="20"/>
              </w:rPr>
              <w:t xml:space="preserve"> </w:t>
            </w:r>
            <w:r w:rsidRPr="00A90A79">
              <w:rPr>
                <w:rFonts w:cs="Arial"/>
                <w:b/>
                <w:color w:val="0D0D0D" w:themeColor="text1" w:themeTint="F2"/>
                <w:spacing w:val="-4"/>
                <w:szCs w:val="20"/>
              </w:rPr>
              <w:t>práce</w:t>
            </w:r>
          </w:p>
          <w:p w14:paraId="2E0F1B33" w14:textId="77777777" w:rsidR="00945636" w:rsidRPr="00282974" w:rsidRDefault="00945636" w:rsidP="00A77752">
            <w:pPr>
              <w:spacing w:after="0"/>
              <w:rPr>
                <w:b/>
                <w:spacing w:val="-2"/>
              </w:rPr>
            </w:pPr>
            <w:r w:rsidRPr="00A90A79">
              <w:rPr>
                <w:rFonts w:cs="Arial"/>
                <w:color w:val="0D0D0D" w:themeColor="text1" w:themeTint="F2"/>
                <w:spacing w:val="-4"/>
                <w:szCs w:val="20"/>
              </w:rPr>
              <w:t>(</w:t>
            </w:r>
            <w:r>
              <w:rPr>
                <w:rFonts w:cs="Arial"/>
                <w:color w:val="0D0D0D" w:themeColor="text1" w:themeTint="F2"/>
                <w:spacing w:val="-4"/>
                <w:szCs w:val="20"/>
              </w:rPr>
              <w:t>roční úhrny</w:t>
            </w:r>
            <w:r w:rsidRPr="00A90A79">
              <w:rPr>
                <w:rFonts w:cs="Arial"/>
                <w:color w:val="0D0D0D" w:themeColor="text1" w:themeTint="F2"/>
                <w:spacing w:val="-4"/>
                <w:szCs w:val="20"/>
              </w:rPr>
              <w:t xml:space="preserve">, </w:t>
            </w:r>
            <w:r>
              <w:rPr>
                <w:rFonts w:cs="Arial"/>
                <w:color w:val="0D0D0D" w:themeColor="text1" w:themeTint="F2"/>
                <w:spacing w:val="-4"/>
                <w:szCs w:val="20"/>
              </w:rPr>
              <w:t>meziroční změna</w:t>
            </w:r>
            <w:r w:rsidRPr="00A90A79">
              <w:rPr>
                <w:rFonts w:cs="Arial"/>
                <w:color w:val="0D0D0D" w:themeColor="text1" w:themeTint="F2"/>
                <w:spacing w:val="-4"/>
                <w:szCs w:val="20"/>
              </w:rPr>
              <w:t xml:space="preserve"> v %)</w:t>
            </w:r>
          </w:p>
        </w:tc>
      </w:tr>
      <w:tr w:rsidR="00945636" w:rsidRPr="003E01D3" w14:paraId="1F3DD792" w14:textId="77777777" w:rsidTr="00A77752">
        <w:tblPrEx>
          <w:tblCellMar>
            <w:left w:w="70" w:type="dxa"/>
            <w:right w:w="70" w:type="dxa"/>
          </w:tblCellMar>
        </w:tblPrEx>
        <w:trPr>
          <w:trHeight w:val="132"/>
        </w:trPr>
        <w:tc>
          <w:tcPr>
            <w:tcW w:w="1769" w:type="dxa"/>
            <w:shd w:val="clear" w:color="auto" w:fill="auto"/>
          </w:tcPr>
          <w:p w14:paraId="6DD31172" w14:textId="77777777" w:rsidR="00945636" w:rsidRPr="00A90A79" w:rsidRDefault="00945636" w:rsidP="00A77752">
            <w:pPr>
              <w:pStyle w:val="Marginlie"/>
              <w:rPr>
                <w:spacing w:val="-4"/>
              </w:rPr>
            </w:pPr>
          </w:p>
        </w:tc>
        <w:tc>
          <w:tcPr>
            <w:tcW w:w="220" w:type="dxa"/>
            <w:shd w:val="clear" w:color="auto" w:fill="auto"/>
          </w:tcPr>
          <w:p w14:paraId="55512ACA" w14:textId="77777777" w:rsidR="00945636" w:rsidRPr="00B43216" w:rsidRDefault="00945636" w:rsidP="00A77752">
            <w:pPr>
              <w:pStyle w:val="Textpoznpodarou"/>
              <w:jc w:val="both"/>
              <w:rPr>
                <w:spacing w:val="-4"/>
              </w:rPr>
            </w:pPr>
          </w:p>
        </w:tc>
        <w:tc>
          <w:tcPr>
            <w:tcW w:w="7685" w:type="dxa"/>
            <w:shd w:val="clear" w:color="auto" w:fill="auto"/>
          </w:tcPr>
          <w:p w14:paraId="25E36246" w14:textId="77777777" w:rsidR="00945636" w:rsidRPr="00A90A79" w:rsidRDefault="00945636" w:rsidP="00A77752">
            <w:pPr>
              <w:spacing w:after="0" w:line="240" w:lineRule="auto"/>
              <w:rPr>
                <w:rFonts w:cs="Arial"/>
                <w:color w:val="0D0D0D" w:themeColor="text1" w:themeTint="F2"/>
                <w:spacing w:val="-4"/>
                <w:sz w:val="14"/>
                <w:szCs w:val="14"/>
              </w:rPr>
            </w:pPr>
            <w:r>
              <w:rPr>
                <w:noProof/>
              </w:rPr>
              <w:drawing>
                <wp:inline distT="0" distB="0" distL="0" distR="0" wp14:anchorId="2854F301" wp14:editId="5DFB463A">
                  <wp:extent cx="4791456" cy="360807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945636" w:rsidRPr="00F6560A" w14:paraId="78F33314" w14:textId="77777777" w:rsidTr="00A77752">
        <w:trPr>
          <w:trHeight w:val="132"/>
        </w:trPr>
        <w:tc>
          <w:tcPr>
            <w:tcW w:w="1769" w:type="dxa"/>
            <w:shd w:val="clear" w:color="auto" w:fill="auto"/>
            <w:tcMar>
              <w:left w:w="0" w:type="dxa"/>
            </w:tcMar>
          </w:tcPr>
          <w:p w14:paraId="2283C219" w14:textId="77777777" w:rsidR="00945636" w:rsidRPr="00A90A79" w:rsidRDefault="00945636" w:rsidP="00A77752">
            <w:pPr>
              <w:pStyle w:val="Marginlie"/>
              <w:rPr>
                <w:spacing w:val="-4"/>
              </w:rPr>
            </w:pPr>
          </w:p>
        </w:tc>
        <w:tc>
          <w:tcPr>
            <w:tcW w:w="220" w:type="dxa"/>
            <w:shd w:val="clear" w:color="auto" w:fill="auto"/>
            <w:tcMar>
              <w:left w:w="0" w:type="dxa"/>
            </w:tcMar>
          </w:tcPr>
          <w:p w14:paraId="33BA0C8E" w14:textId="77777777" w:rsidR="00945636" w:rsidRPr="00B43216" w:rsidRDefault="00945636" w:rsidP="00A77752">
            <w:pPr>
              <w:pStyle w:val="Textpoznpodarou"/>
              <w:jc w:val="both"/>
              <w:rPr>
                <w:spacing w:val="-4"/>
              </w:rPr>
            </w:pPr>
          </w:p>
        </w:tc>
        <w:tc>
          <w:tcPr>
            <w:tcW w:w="7685" w:type="dxa"/>
            <w:shd w:val="clear" w:color="auto" w:fill="auto"/>
            <w:tcMar>
              <w:left w:w="0" w:type="dxa"/>
            </w:tcMar>
          </w:tcPr>
          <w:p w14:paraId="03806467" w14:textId="77777777" w:rsidR="00945636" w:rsidRDefault="00945636" w:rsidP="00A77752">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w:t>
            </w:r>
            <w:r w:rsidRPr="00A90A79">
              <w:rPr>
                <w:rFonts w:cs="Arial"/>
                <w:color w:val="0D0D0D" w:themeColor="text1" w:themeTint="F2"/>
                <w:spacing w:val="-4"/>
                <w:sz w:val="14"/>
                <w:szCs w:val="14"/>
              </w:rPr>
              <w:t>Zahrnuj</w:t>
            </w:r>
            <w:r>
              <w:rPr>
                <w:rFonts w:cs="Arial"/>
                <w:color w:val="0D0D0D" w:themeColor="text1" w:themeTint="F2"/>
                <w:spacing w:val="-4"/>
                <w:sz w:val="14"/>
                <w:szCs w:val="14"/>
              </w:rPr>
              <w:t>e odvětví s významnou rolí vládního sektoru</w:t>
            </w:r>
            <w:r w:rsidRPr="00A90A79">
              <w:rPr>
                <w:rFonts w:cs="Arial"/>
                <w:color w:val="0D0D0D" w:themeColor="text1" w:themeTint="F2"/>
                <w:spacing w:val="-4"/>
                <w:sz w:val="14"/>
                <w:szCs w:val="14"/>
              </w:rPr>
              <w:t>: Veřejná správa a obrana, povinné sociální zabezpečení; Vzdělávání; Zdravotní a sociální péče; Kulturn</w:t>
            </w:r>
            <w:r>
              <w:rPr>
                <w:rFonts w:cs="Arial"/>
                <w:color w:val="0D0D0D" w:themeColor="text1" w:themeTint="F2"/>
                <w:spacing w:val="-4"/>
                <w:sz w:val="14"/>
                <w:szCs w:val="14"/>
              </w:rPr>
              <w:t>í, zábavní a rekreační činnosti.</w:t>
            </w:r>
          </w:p>
          <w:p w14:paraId="6F987B76" w14:textId="77777777" w:rsidR="00945636" w:rsidRDefault="00945636" w:rsidP="00A77752">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 xml:space="preserve">**Vyjadřuje HDP (ve stálých cenách) vztažený na 1 pracovníka (ve fyzických osobách) </w:t>
            </w:r>
          </w:p>
          <w:p w14:paraId="47C558F9" w14:textId="77777777" w:rsidR="00945636" w:rsidRPr="00A90A79" w:rsidRDefault="00945636" w:rsidP="00A77752">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 xml:space="preserve"> </w:t>
            </w:r>
            <w:r w:rsidRPr="00A90A79">
              <w:rPr>
                <w:rFonts w:cs="Arial"/>
                <w:color w:val="0D0D0D" w:themeColor="text1" w:themeTint="F2"/>
                <w:spacing w:val="-4"/>
                <w:sz w:val="14"/>
                <w:szCs w:val="14"/>
              </w:rPr>
              <w:t>Zdroj: ČSÚ</w:t>
            </w:r>
          </w:p>
        </w:tc>
      </w:tr>
    </w:tbl>
    <w:p w14:paraId="24FB7250" w14:textId="77777777" w:rsidR="00945636" w:rsidRPr="00DF0187" w:rsidRDefault="00945636" w:rsidP="00945636">
      <w:pPr>
        <w:pStyle w:val="Nadpis11"/>
        <w:spacing w:after="120"/>
        <w:rPr>
          <w:b w:val="0"/>
          <w:sz w:val="2"/>
          <w:szCs w:val="2"/>
        </w:rPr>
      </w:pPr>
    </w:p>
    <w:p w14:paraId="0A81451C" w14:textId="77777777" w:rsidR="00945636" w:rsidRDefault="00945636">
      <w:pPr>
        <w:spacing w:after="0" w:line="240" w:lineRule="auto"/>
        <w:jc w:val="left"/>
        <w:rPr>
          <w:rFonts w:eastAsia="MS Gothic"/>
          <w:b/>
          <w:bCs/>
          <w:color w:val="71818C"/>
          <w:sz w:val="32"/>
          <w:szCs w:val="28"/>
        </w:rPr>
      </w:pPr>
      <w:r>
        <w:br w:type="page"/>
      </w:r>
    </w:p>
    <w:p w14:paraId="67D000B3" w14:textId="268D018D" w:rsidR="007C3842" w:rsidRDefault="007C3842" w:rsidP="007C3842">
      <w:pPr>
        <w:pStyle w:val="Nadpis11"/>
        <w:spacing w:after="120"/>
      </w:pPr>
      <w:bookmarkStart w:id="43" w:name="_Toc169258119"/>
      <w:r>
        <w:lastRenderedPageBreak/>
        <w:t>7. Měnové podmínky</w:t>
      </w:r>
      <w:bookmarkEnd w:id="43"/>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7C3842" w:rsidRPr="0037004A" w14:paraId="76F79EAE" w14:textId="77777777" w:rsidTr="00FA1CA9">
        <w:trPr>
          <w:trHeight w:val="145"/>
        </w:trPr>
        <w:tc>
          <w:tcPr>
            <w:tcW w:w="1802" w:type="dxa"/>
          </w:tcPr>
          <w:p w14:paraId="31B7D15C" w14:textId="77777777" w:rsidR="007C3842" w:rsidRDefault="007C3842" w:rsidP="00FA1CA9">
            <w:pPr>
              <w:pStyle w:val="Marginlie"/>
              <w:rPr>
                <w:lang w:eastAsia="en-US"/>
              </w:rPr>
            </w:pPr>
            <w:r>
              <w:rPr>
                <w:lang w:eastAsia="en-US"/>
              </w:rPr>
              <w:t>Měnověpolitické sazby byly v 1. čtvrtletí dvakrát sníženy.</w:t>
            </w:r>
          </w:p>
        </w:tc>
        <w:tc>
          <w:tcPr>
            <w:tcW w:w="229" w:type="dxa"/>
          </w:tcPr>
          <w:p w14:paraId="73E77356" w14:textId="77777777" w:rsidR="007C3842" w:rsidRDefault="007C3842" w:rsidP="00FA1CA9">
            <w:pPr>
              <w:pStyle w:val="Textpoznpodarou"/>
              <w:jc w:val="both"/>
              <w:rPr>
                <w:spacing w:val="-4"/>
                <w:lang w:eastAsia="en-US"/>
              </w:rPr>
            </w:pPr>
          </w:p>
        </w:tc>
        <w:tc>
          <w:tcPr>
            <w:tcW w:w="7610" w:type="dxa"/>
          </w:tcPr>
          <w:p w14:paraId="11409DEF" w14:textId="77777777" w:rsidR="007C3842" w:rsidRPr="0037004A" w:rsidRDefault="007C3842" w:rsidP="00FA1CA9">
            <w:pPr>
              <w:rPr>
                <w:spacing w:val="-2"/>
                <w:lang w:eastAsia="en-US"/>
              </w:rPr>
            </w:pPr>
            <w:r>
              <w:rPr>
                <w:spacing w:val="-2"/>
                <w:lang w:eastAsia="en-US"/>
              </w:rPr>
              <w:t>Hlavní měnověpolitické sazby v průběhu 1. čtvrtletí pokračovaly v poklesu zahájeném na přelomu loňského roku. Došlo ke dvěma snížením o 0,50 p. b. (v únoru a v březnu) a dvoutýdenní repo sazba ke konci března dosahovala 5,75 %</w:t>
            </w:r>
            <w:r w:rsidRPr="0037004A">
              <w:rPr>
                <w:rStyle w:val="Znakapoznpodarou"/>
                <w:spacing w:val="-2"/>
                <w:lang w:eastAsia="en-US"/>
              </w:rPr>
              <w:footnoteReference w:id="74"/>
            </w:r>
            <w:r>
              <w:rPr>
                <w:spacing w:val="-2"/>
                <w:lang w:eastAsia="en-US"/>
              </w:rPr>
              <w:t xml:space="preserve">, diskontní sazba 4,75 % a lombardní sazba 6,75 %. V průběhu celého čtvrtletí také postupně oslaboval kurz koruny vůči euru (z 24,73 CZK/EUR na konci roku 2023 na 25,31 CZK/EUR na konci března 2024) i dolaru (z 22,38 CZK/USD na 23,41 CZK/USD). Kurz koruny vůči euru za celé 1. čtvrtletí dosáhl průměru 25,07 CZK/EUR, což představovalo mezičtvrtletní oslabení o 55 haléřů a meziroční </w:t>
            </w:r>
            <w:r>
              <w:rPr>
                <w:spacing w:val="-2"/>
                <w:lang w:val="ru-RU" w:eastAsia="en-US"/>
              </w:rPr>
              <w:t xml:space="preserve">– </w:t>
            </w:r>
            <w:r>
              <w:rPr>
                <w:spacing w:val="-2"/>
                <w:lang w:eastAsia="en-US"/>
              </w:rPr>
              <w:t>o korunu a 29 haléřů. Kurz vůči dolaru dosáhl v 1. čtvrtletí průměru 23,09 CZK/USD. Mezičtvrtletně tak kurz oslabil o 27 haléřů a meziročně o 92 haléřů. Oslabení koruny mělo výrazný proinflační vliv na ceny zahraničního obchodu.</w:t>
            </w:r>
          </w:p>
        </w:tc>
      </w:tr>
      <w:tr w:rsidR="007C3842" w14:paraId="40B8A6F3" w14:textId="77777777" w:rsidTr="00FA1CA9">
        <w:trPr>
          <w:trHeight w:val="145"/>
        </w:trPr>
        <w:tc>
          <w:tcPr>
            <w:tcW w:w="1802" w:type="dxa"/>
          </w:tcPr>
          <w:p w14:paraId="148F76A5" w14:textId="77777777" w:rsidR="007C3842" w:rsidRDefault="007C3842" w:rsidP="00FA1CA9">
            <w:pPr>
              <w:pStyle w:val="Marginlie"/>
              <w:rPr>
                <w:lang w:eastAsia="en-US"/>
              </w:rPr>
            </w:pPr>
            <w:r>
              <w:rPr>
                <w:lang w:eastAsia="en-US"/>
              </w:rPr>
              <w:t xml:space="preserve">Klesaly úrokové sazby mezibankovního trhu </w:t>
            </w:r>
            <w:r>
              <w:rPr>
                <w:lang w:eastAsia="en-US"/>
              </w:rPr>
              <w:br/>
              <w:t>i výnosy vládních dluhopisů.</w:t>
            </w:r>
          </w:p>
        </w:tc>
        <w:tc>
          <w:tcPr>
            <w:tcW w:w="229" w:type="dxa"/>
          </w:tcPr>
          <w:p w14:paraId="5EC74E1D" w14:textId="77777777" w:rsidR="007C3842" w:rsidRDefault="007C3842" w:rsidP="00FA1CA9">
            <w:pPr>
              <w:pStyle w:val="Textpoznpodarou"/>
              <w:jc w:val="both"/>
              <w:rPr>
                <w:spacing w:val="-4"/>
                <w:lang w:eastAsia="en-US"/>
              </w:rPr>
            </w:pPr>
          </w:p>
        </w:tc>
        <w:tc>
          <w:tcPr>
            <w:tcW w:w="7610" w:type="dxa"/>
          </w:tcPr>
          <w:p w14:paraId="1F0C94E4" w14:textId="77777777" w:rsidR="007C3842" w:rsidRDefault="007C3842" w:rsidP="00FA1CA9">
            <w:pPr>
              <w:rPr>
                <w:spacing w:val="-1"/>
                <w:lang w:eastAsia="en-US"/>
              </w:rPr>
            </w:pPr>
            <w:r>
              <w:rPr>
                <w:spacing w:val="-1"/>
                <w:lang w:eastAsia="en-US"/>
              </w:rPr>
              <w:t xml:space="preserve">Snížení měnověpolitických sazeb vyústilo v pokles úrokových sazeb mezibankovního trhu. Sazby depozit s kratší splatností reagovaly bezprostředně na zprávy o snížení dvoutýdenní repo sazby a tříměsíční sazba PRIBOR se ke konci března propadla </w:t>
            </w:r>
            <w:r>
              <w:rPr>
                <w:spacing w:val="-1"/>
                <w:lang w:eastAsia="en-US"/>
              </w:rPr>
              <w:br/>
              <w:t>o 1,13 p. b.</w:t>
            </w:r>
            <w:r>
              <w:rPr>
                <w:rStyle w:val="Znakapoznpodarou"/>
                <w:spacing w:val="-1"/>
                <w:lang w:eastAsia="en-US"/>
              </w:rPr>
              <w:footnoteReference w:id="75"/>
            </w:r>
            <w:r>
              <w:rPr>
                <w:spacing w:val="-1"/>
                <w:lang w:eastAsia="en-US"/>
              </w:rPr>
              <w:t xml:space="preserve"> na 5,55 %. U depozit s delší splatností byl patrný pohyb dolů ještě v období, kde se na rozhodnutí ČNB jen čekalo. Roční PRIBOR ale během 1. čtvrtletí klesl o dalšího 1,39 p. b. na 4,59 % ke konci března. Snižovaly se také úrokové sazby vládních dluhopisů. Nejvýraznější pokles byl zaznamenán u dluhopisů s krátkodobou splatností (−0,88 p. b. na 3,73 % ke konci čtvrtletí), následovaných střednědobými dluhopisy (−0,39 p. b. na 3,57 %). Jen mírně poklesly výnosy dluhopisů s nejdelší splatností (−0,15 p. b. na 3,82 %).         </w:t>
            </w:r>
          </w:p>
        </w:tc>
      </w:tr>
      <w:tr w:rsidR="007C3842" w14:paraId="1C125B42" w14:textId="77777777" w:rsidTr="00FA1CA9">
        <w:trPr>
          <w:trHeight w:val="145"/>
        </w:trPr>
        <w:tc>
          <w:tcPr>
            <w:tcW w:w="1802" w:type="dxa"/>
          </w:tcPr>
          <w:p w14:paraId="06E993FE" w14:textId="77777777" w:rsidR="007C3842" w:rsidRDefault="007C3842" w:rsidP="00FA1CA9">
            <w:pPr>
              <w:pStyle w:val="Marginlie"/>
              <w:rPr>
                <w:lang w:eastAsia="en-US"/>
              </w:rPr>
            </w:pPr>
            <w:r>
              <w:rPr>
                <w:lang w:eastAsia="en-US"/>
              </w:rPr>
              <w:t>Snižovaly se úrokové sazby vkladů.</w:t>
            </w:r>
          </w:p>
        </w:tc>
        <w:tc>
          <w:tcPr>
            <w:tcW w:w="229" w:type="dxa"/>
          </w:tcPr>
          <w:p w14:paraId="49DF3756" w14:textId="77777777" w:rsidR="007C3842" w:rsidRDefault="007C3842" w:rsidP="00FA1CA9">
            <w:pPr>
              <w:pStyle w:val="Textpoznpodarou"/>
              <w:jc w:val="both"/>
              <w:rPr>
                <w:spacing w:val="-4"/>
                <w:lang w:eastAsia="en-US"/>
              </w:rPr>
            </w:pPr>
          </w:p>
        </w:tc>
        <w:tc>
          <w:tcPr>
            <w:tcW w:w="7610" w:type="dxa"/>
          </w:tcPr>
          <w:p w14:paraId="135AC3B3" w14:textId="77777777" w:rsidR="007C3842" w:rsidRDefault="007C3842" w:rsidP="00FA1CA9">
            <w:pPr>
              <w:rPr>
                <w:spacing w:val="-3"/>
                <w:lang w:eastAsia="en-US"/>
              </w:rPr>
            </w:pPr>
            <w:r>
              <w:rPr>
                <w:spacing w:val="-3"/>
                <w:lang w:eastAsia="en-US"/>
              </w:rPr>
              <w:t>Pro běžné klienty také došlo ke změnám. Úročení vkladů se vesměs snižovalo. Výjimkou byly jednodenní vklady, u kterých průměrné úročení v 1. čtvrtletí stouplo pro domácnosti o 0,10 p. b. na 1,70 % a pro nefinanční podniky o 0,24 p. b. na 1,81 %. Zvýšení bylo zaznamenáno také v poměrně minoritním segmentu vkladů domácností s výpovědní lhůtou nad 2 roky (+0,50 p. b. na 5,40 %). Jinak se v případě domácností průměrné úročení běžných vkladů snížilo o 0,04 p. b. na 0,23 % a vkladů s dohodnutou splatností celkem o 0,56 p. b. na 5,16 %. Nefinančním podnikům se snížilo průměrné úročení na běžných účtech o 0,06 p. b. na 0,97 % a na vkladech s dohodnutou splatností celkově o 0,71 % na 5,39 %. Celkový objem vkladů byl ke konci března meziročně vyšší o 571,1 mld. korun (8,6 %) a nárůst poháněly zejména termínované vklady (+407,7 mld., 16,5 %). Mírně vyšší byly také netermínované vklady (163,4 mld. korun, 3,9 %). Nárůst vkladů byl z největší části způsoben aktivitami domácností</w:t>
            </w:r>
            <w:r>
              <w:rPr>
                <w:rStyle w:val="Znakapoznpodarou"/>
                <w:spacing w:val="-3"/>
                <w:lang w:eastAsia="en-US"/>
              </w:rPr>
              <w:footnoteReference w:id="76"/>
            </w:r>
            <w:r>
              <w:rPr>
                <w:spacing w:val="-3"/>
                <w:lang w:eastAsia="en-US"/>
              </w:rPr>
              <w:t xml:space="preserve"> (+286,4 mld. korun, 8,3 %) následovaných vládními institucemi (137,8 mld., 14,8 %). Mírnější byl nárůst </w:t>
            </w:r>
            <w:r>
              <w:rPr>
                <w:spacing w:val="-3"/>
                <w:lang w:eastAsia="en-US"/>
              </w:rPr>
              <w:br/>
              <w:t xml:space="preserve">u nefinančních podniků (+78,6 mld. korun, 5,4 %) a výrazně zpomalil přírůstek v případě finančních institucí (42,6 mld., 9,4 %). </w:t>
            </w:r>
          </w:p>
        </w:tc>
      </w:tr>
      <w:tr w:rsidR="007C3842" w14:paraId="30B84EF2" w14:textId="77777777" w:rsidTr="00FA1CA9">
        <w:trPr>
          <w:trHeight w:val="145"/>
        </w:trPr>
        <w:tc>
          <w:tcPr>
            <w:tcW w:w="1802" w:type="dxa"/>
          </w:tcPr>
          <w:p w14:paraId="0743B36B" w14:textId="77777777" w:rsidR="007C3842" w:rsidRDefault="007C3842" w:rsidP="00FA1CA9">
            <w:pPr>
              <w:pStyle w:val="Marginlie"/>
              <w:rPr>
                <w:lang w:eastAsia="en-US"/>
              </w:rPr>
            </w:pPr>
            <w:r>
              <w:rPr>
                <w:lang w:eastAsia="en-US"/>
              </w:rPr>
              <w:t>Úvěry na bydlení zlevnily a jejich objem si držel stabilní tempo růstu.</w:t>
            </w:r>
          </w:p>
        </w:tc>
        <w:tc>
          <w:tcPr>
            <w:tcW w:w="229" w:type="dxa"/>
          </w:tcPr>
          <w:p w14:paraId="4B46CB70" w14:textId="77777777" w:rsidR="007C3842" w:rsidRDefault="007C3842" w:rsidP="00FA1CA9">
            <w:pPr>
              <w:pStyle w:val="Textpoznpodarou"/>
              <w:jc w:val="both"/>
              <w:rPr>
                <w:spacing w:val="-4"/>
                <w:lang w:eastAsia="en-US"/>
              </w:rPr>
            </w:pPr>
          </w:p>
        </w:tc>
        <w:tc>
          <w:tcPr>
            <w:tcW w:w="7610" w:type="dxa"/>
          </w:tcPr>
          <w:p w14:paraId="75F77109" w14:textId="77777777" w:rsidR="007C3842" w:rsidRDefault="007C3842" w:rsidP="00FA1CA9">
            <w:pPr>
              <w:rPr>
                <w:lang w:eastAsia="en-US"/>
              </w:rPr>
            </w:pPr>
            <w:r>
              <w:rPr>
                <w:lang w:eastAsia="en-US"/>
              </w:rPr>
              <w:t xml:space="preserve">Úročení úvěrů pro domácnosti celkově klesalo. Úvěry na spotřebu byly ke konci 1. čtvrtletí v průměru úročeny 8,83 %, což představovalo snížení o 0,45 p. b. V případě úvěrů na bydlení pokračoval pokles patrný již na konci roku 2023 a v průběhu letošního 1. čtvrtletí se průměrná úroková sazba snížila o 0,25 p. b. na 5,16 %. Výrazné meziroční růstové tempo si držel objem poskytnutých úvěrů na spotřebu, který byl ke konci března vyšší o 9,4 %. Dynamika poskytnutých úvěrů na bydlení zůstala stabilní a přírůstek dosáhl 4,2 %.  Objem dominantních hypotečních úvěrů byl ke konci března o 4,0 % </w:t>
            </w:r>
            <w:r>
              <w:rPr>
                <w:lang w:eastAsia="en-US"/>
              </w:rPr>
              <w:lastRenderedPageBreak/>
              <w:t>meziročně vyšší. Úvěry ze stavebního spoření dál prudce rostly (32,7 %)</w:t>
            </w:r>
            <w:r>
              <w:rPr>
                <w:rStyle w:val="Znakapoznpodarou"/>
                <w:lang w:eastAsia="en-US"/>
              </w:rPr>
              <w:footnoteReference w:id="77"/>
            </w:r>
            <w:r>
              <w:rPr>
                <w:lang w:eastAsia="en-US"/>
              </w:rPr>
              <w:t xml:space="preserve">. Objem nových hypotečních úvěrů v 1. čtvrtletí zaznamenal zvýšení, které je v posledních letech obvyklé pro začátek roku. Oproti předchozím čtvrtletím, kdy většinu objemu nových smluv tvořila nová ujednání stávajících úvěrů, byl však v 1. kvartálu 2024 patrný skokový nárůst objemu čistých nových úvěrů. Celkové zadlužení domácností ke konci března 2024 dosahovalo 2 337,8 mld. korun a bylo meziročně vyšší o 4,9 %. </w:t>
            </w:r>
          </w:p>
        </w:tc>
      </w:tr>
      <w:tr w:rsidR="007C3842" w14:paraId="5DBECCD2" w14:textId="77777777" w:rsidTr="00FA1CA9">
        <w:trPr>
          <w:trHeight w:val="145"/>
        </w:trPr>
        <w:tc>
          <w:tcPr>
            <w:tcW w:w="1802" w:type="dxa"/>
          </w:tcPr>
          <w:p w14:paraId="29B96A50" w14:textId="77777777" w:rsidR="007C3842" w:rsidRDefault="007C3842" w:rsidP="00FA1CA9">
            <w:pPr>
              <w:pStyle w:val="Marginlie"/>
              <w:rPr>
                <w:lang w:eastAsia="en-US"/>
              </w:rPr>
            </w:pPr>
            <w:r>
              <w:rPr>
                <w:lang w:eastAsia="en-US"/>
              </w:rPr>
              <w:lastRenderedPageBreak/>
              <w:t>Klesalo průměrné úročení úvěrů pro nefinanční podniky.</w:t>
            </w:r>
          </w:p>
        </w:tc>
        <w:tc>
          <w:tcPr>
            <w:tcW w:w="229" w:type="dxa"/>
          </w:tcPr>
          <w:p w14:paraId="49305514" w14:textId="77777777" w:rsidR="007C3842" w:rsidRDefault="007C3842" w:rsidP="00FA1CA9">
            <w:pPr>
              <w:pStyle w:val="Textpoznpodarou"/>
              <w:jc w:val="both"/>
              <w:rPr>
                <w:spacing w:val="-4"/>
                <w:lang w:eastAsia="en-US"/>
              </w:rPr>
            </w:pPr>
          </w:p>
        </w:tc>
        <w:tc>
          <w:tcPr>
            <w:tcW w:w="7610" w:type="dxa"/>
          </w:tcPr>
          <w:p w14:paraId="5E3CCE2F" w14:textId="77777777" w:rsidR="007C3842" w:rsidRDefault="007C3842" w:rsidP="00FA1CA9">
            <w:pPr>
              <w:rPr>
                <w:lang w:eastAsia="en-US"/>
              </w:rPr>
            </w:pPr>
            <w:r>
              <w:rPr>
                <w:lang w:eastAsia="en-US"/>
              </w:rPr>
              <w:t>Úvěrové financování pro nefinanční podniky v 1. čtvrtletí rovněž zlevnilo. Úvěry do výše 7,5 mil. korun včetně byly ke konci března v průměru úročeny 7,46 % (−0,30 p. b.). Ve střední kategorii (od 7,5 do 30 mil. korun včetně) došlo k nejvýraznějšímu snížení úroků (o 0,95 p. b. na 7,65 %). Úvěry nad 30 mil. korun měly na konci března průměrnou úrokovou sazbu 7,76 % (−0,76 p. b.). Celkový objem úvěrů a pohledávek poskytnutých nefinančním podnikům ke konci března meziročně vzrostl o 10,7 %. Tak jako v předchozích dvou letech byl růst tažen výhradně úvěry v cizí měně</w:t>
            </w:r>
            <w:r>
              <w:rPr>
                <w:rStyle w:val="Znakapoznpodarou"/>
                <w:lang w:eastAsia="en-US"/>
              </w:rPr>
              <w:footnoteReference w:id="78"/>
            </w:r>
            <w:r>
              <w:rPr>
                <w:lang w:eastAsia="en-US"/>
              </w:rPr>
              <w:t xml:space="preserve">, kterých bylo ke konci března 2024 meziročně o 23,3 % více. Úvěry v cizí měně také ke konci 1. čtvrtletí tvořily 52,4 % objemu úvěrů poskytnutých nefinančním podnikům. Ve všech odvětvových sekcích objem poskytnutých úvěrů meziročně rostl. Největší meziroční přírůstek měl objem úvěrů poskytnutých v profesních, vědeckých, technických a administrativních činnostech (41,5 %). Následovaly informační a komunikační činnosti (22,9 %) a ubytování, stravování a pohostinství (14,3 %). O více než desetinu meziročně vzrostl objem poskytnutých úvěrů také v peněžnictví a pojišťovnictví (13,8 %) a v činnostech v oblasti nemovitostí (11,3 %). V odvětví zpracovatelského průmyslu objem poskytnutých úvěrů meziročně prakticky stagnoval (0,2 %), což koresponduje také se zpomalením ekonomické aktivity v tomto odvětví.       </w:t>
            </w:r>
          </w:p>
        </w:tc>
      </w:tr>
      <w:tr w:rsidR="007C3842" w14:paraId="58A81EED" w14:textId="77777777" w:rsidTr="00FA1CA9">
        <w:trPr>
          <w:trHeight w:val="304"/>
        </w:trPr>
        <w:tc>
          <w:tcPr>
            <w:tcW w:w="1802" w:type="dxa"/>
            <w:vMerge w:val="restart"/>
          </w:tcPr>
          <w:p w14:paraId="7BC475C4" w14:textId="77777777" w:rsidR="007C3842" w:rsidRDefault="007C3842" w:rsidP="00FA1CA9">
            <w:pPr>
              <w:pStyle w:val="Marginlie"/>
              <w:rPr>
                <w:lang w:eastAsia="en-US"/>
              </w:rPr>
            </w:pPr>
          </w:p>
        </w:tc>
        <w:tc>
          <w:tcPr>
            <w:tcW w:w="229" w:type="dxa"/>
            <w:vMerge w:val="restart"/>
          </w:tcPr>
          <w:p w14:paraId="3AE6EC78" w14:textId="77777777" w:rsidR="007C3842" w:rsidRDefault="007C3842" w:rsidP="00FA1CA9">
            <w:pPr>
              <w:pStyle w:val="Textpoznpodarou"/>
              <w:jc w:val="both"/>
              <w:rPr>
                <w:spacing w:val="-4"/>
                <w:lang w:eastAsia="en-US"/>
              </w:rPr>
            </w:pPr>
          </w:p>
        </w:tc>
        <w:tc>
          <w:tcPr>
            <w:tcW w:w="7610" w:type="dxa"/>
            <w:hideMark/>
          </w:tcPr>
          <w:p w14:paraId="480A92A2" w14:textId="0341A1BB" w:rsidR="007C3842" w:rsidRPr="00D721B4" w:rsidRDefault="00EC6B23" w:rsidP="00FA1CA9">
            <w:pPr>
              <w:spacing w:after="0"/>
              <w:rPr>
                <w:szCs w:val="20"/>
                <w:lang w:eastAsia="en-US"/>
              </w:rPr>
            </w:pPr>
            <w:r>
              <w:rPr>
                <w:rFonts w:cs="Arial"/>
                <w:b/>
                <w:bCs/>
                <w:color w:val="000000"/>
                <w:szCs w:val="20"/>
                <w:lang w:eastAsia="en-US"/>
              </w:rPr>
              <w:t>Graf č. 16</w:t>
            </w:r>
            <w:r w:rsidR="007C3842" w:rsidRPr="00D721B4">
              <w:rPr>
                <w:rFonts w:cs="Arial"/>
                <w:b/>
                <w:bCs/>
                <w:color w:val="000000"/>
                <w:szCs w:val="20"/>
                <w:lang w:eastAsia="en-US"/>
              </w:rPr>
              <w:t xml:space="preserve"> </w:t>
            </w:r>
            <w:r w:rsidR="007C3842" w:rsidRPr="00D721B4">
              <w:rPr>
                <w:b/>
                <w:spacing w:val="-4"/>
                <w:szCs w:val="20"/>
                <w:lang w:eastAsia="en-US"/>
              </w:rPr>
              <w:t xml:space="preserve">Tržní úrokové sazby </w:t>
            </w:r>
            <w:r w:rsidR="007C3842" w:rsidRPr="00D721B4">
              <w:rPr>
                <w:bCs/>
                <w:spacing w:val="-4"/>
                <w:szCs w:val="20"/>
                <w:lang w:eastAsia="en-US"/>
              </w:rPr>
              <w:t>(v</w:t>
            </w:r>
            <w:r w:rsidR="007C3842">
              <w:rPr>
                <w:bCs/>
                <w:spacing w:val="-4"/>
                <w:szCs w:val="20"/>
                <w:lang w:eastAsia="en-US"/>
              </w:rPr>
              <w:t> %</w:t>
            </w:r>
            <w:r w:rsidR="007C3842" w:rsidRPr="00D721B4">
              <w:rPr>
                <w:bCs/>
                <w:spacing w:val="-4"/>
                <w:szCs w:val="20"/>
                <w:lang w:eastAsia="en-US"/>
              </w:rPr>
              <w:t>)</w:t>
            </w:r>
          </w:p>
        </w:tc>
      </w:tr>
      <w:tr w:rsidR="007C3842" w14:paraId="60C84B45" w14:textId="77777777" w:rsidTr="00FA1CA9">
        <w:tblPrEx>
          <w:tblCellMar>
            <w:left w:w="70" w:type="dxa"/>
            <w:right w:w="70" w:type="dxa"/>
          </w:tblCellMar>
        </w:tblPrEx>
        <w:trPr>
          <w:trHeight w:val="170"/>
        </w:trPr>
        <w:tc>
          <w:tcPr>
            <w:tcW w:w="1802" w:type="dxa"/>
            <w:vMerge/>
            <w:vAlign w:val="center"/>
            <w:hideMark/>
          </w:tcPr>
          <w:p w14:paraId="44B74E47" w14:textId="77777777" w:rsidR="007C3842" w:rsidRDefault="007C3842" w:rsidP="00FA1CA9">
            <w:pPr>
              <w:spacing w:after="0" w:line="240" w:lineRule="auto"/>
              <w:jc w:val="left"/>
              <w:rPr>
                <w:spacing w:val="-2"/>
                <w:sz w:val="16"/>
                <w:szCs w:val="16"/>
                <w:lang w:eastAsia="en-US"/>
              </w:rPr>
            </w:pPr>
          </w:p>
        </w:tc>
        <w:tc>
          <w:tcPr>
            <w:tcW w:w="229" w:type="dxa"/>
            <w:vMerge/>
            <w:vAlign w:val="center"/>
            <w:hideMark/>
          </w:tcPr>
          <w:p w14:paraId="4742CE03" w14:textId="77777777" w:rsidR="007C3842" w:rsidRDefault="007C3842" w:rsidP="00FA1CA9">
            <w:pPr>
              <w:spacing w:after="0" w:line="240" w:lineRule="auto"/>
              <w:jc w:val="left"/>
              <w:rPr>
                <w:rFonts w:eastAsia="Calibri"/>
                <w:spacing w:val="-4"/>
                <w:szCs w:val="20"/>
                <w:lang w:eastAsia="en-US"/>
              </w:rPr>
            </w:pPr>
          </w:p>
        </w:tc>
        <w:tc>
          <w:tcPr>
            <w:tcW w:w="7610" w:type="dxa"/>
            <w:hideMark/>
          </w:tcPr>
          <w:p w14:paraId="68E62938" w14:textId="77777777" w:rsidR="007C3842" w:rsidRDefault="007C3842" w:rsidP="00FA1CA9">
            <w:pPr>
              <w:spacing w:after="0"/>
              <w:rPr>
                <w:sz w:val="14"/>
                <w:szCs w:val="14"/>
                <w:lang w:eastAsia="en-US"/>
              </w:rPr>
            </w:pPr>
            <w:r>
              <w:rPr>
                <w:noProof/>
              </w:rPr>
              <w:drawing>
                <wp:inline distT="0" distB="0" distL="0" distR="0" wp14:anchorId="2FBD3A79" wp14:editId="0978F320">
                  <wp:extent cx="4737600" cy="3553200"/>
                  <wp:effectExtent l="0" t="0" r="6350" b="0"/>
                  <wp:docPr id="4" name="Graf 4">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7C3842" w14:paraId="6963077B" w14:textId="77777777" w:rsidTr="00FA1CA9">
        <w:trPr>
          <w:trHeight w:val="170"/>
        </w:trPr>
        <w:tc>
          <w:tcPr>
            <w:tcW w:w="0" w:type="auto"/>
            <w:vMerge/>
            <w:vAlign w:val="center"/>
            <w:hideMark/>
          </w:tcPr>
          <w:p w14:paraId="7EFC6E8E" w14:textId="77777777" w:rsidR="007C3842" w:rsidRDefault="007C3842" w:rsidP="00FA1CA9">
            <w:pPr>
              <w:spacing w:after="0" w:line="240" w:lineRule="auto"/>
              <w:jc w:val="left"/>
              <w:rPr>
                <w:spacing w:val="-2"/>
                <w:sz w:val="16"/>
                <w:szCs w:val="16"/>
                <w:lang w:eastAsia="en-US"/>
              </w:rPr>
            </w:pPr>
          </w:p>
        </w:tc>
        <w:tc>
          <w:tcPr>
            <w:tcW w:w="0" w:type="auto"/>
            <w:vMerge/>
            <w:vAlign w:val="center"/>
            <w:hideMark/>
          </w:tcPr>
          <w:p w14:paraId="352A2B48" w14:textId="77777777" w:rsidR="007C3842" w:rsidRDefault="007C3842" w:rsidP="00FA1CA9">
            <w:pPr>
              <w:spacing w:after="0" w:line="240" w:lineRule="auto"/>
              <w:jc w:val="left"/>
              <w:rPr>
                <w:rFonts w:eastAsia="Calibri"/>
                <w:spacing w:val="-4"/>
                <w:szCs w:val="20"/>
                <w:lang w:eastAsia="en-US"/>
              </w:rPr>
            </w:pPr>
          </w:p>
        </w:tc>
        <w:tc>
          <w:tcPr>
            <w:tcW w:w="7610" w:type="dxa"/>
            <w:hideMark/>
          </w:tcPr>
          <w:p w14:paraId="2DCB4000" w14:textId="77777777" w:rsidR="007C3842" w:rsidRDefault="007C3842" w:rsidP="00FA1CA9">
            <w:pPr>
              <w:spacing w:after="0"/>
              <w:rPr>
                <w:sz w:val="14"/>
                <w:szCs w:val="14"/>
                <w:lang w:eastAsia="en-US"/>
              </w:rPr>
            </w:pPr>
            <w:r>
              <w:rPr>
                <w:sz w:val="14"/>
                <w:szCs w:val="14"/>
                <w:lang w:eastAsia="en-US"/>
              </w:rPr>
              <w:t>Zdroj: ARAD, ČNB</w:t>
            </w:r>
          </w:p>
        </w:tc>
      </w:tr>
    </w:tbl>
    <w:p w14:paraId="1722DE77" w14:textId="77777777" w:rsidR="007C3842" w:rsidRPr="00BB286B" w:rsidRDefault="007C3842" w:rsidP="007C3842">
      <w:pPr>
        <w:spacing w:after="0" w:line="240" w:lineRule="auto"/>
        <w:jc w:val="left"/>
        <w:rPr>
          <w:rFonts w:eastAsia="MS Gothic"/>
          <w:b/>
          <w:bCs/>
          <w:color w:val="71818C"/>
          <w:sz w:val="32"/>
          <w:szCs w:val="32"/>
          <w:highlight w:val="yellow"/>
        </w:rPr>
      </w:pPr>
    </w:p>
    <w:p w14:paraId="6408F189" w14:textId="77777777" w:rsidR="00F204DA" w:rsidRDefault="00F204DA" w:rsidP="00F204DA">
      <w:pPr>
        <w:pStyle w:val="Nadpis11"/>
      </w:pPr>
      <w:bookmarkStart w:id="44" w:name="_Toc169258120"/>
      <w:bookmarkEnd w:id="42"/>
      <w:r>
        <w:rPr>
          <w:szCs w:val="32"/>
        </w:rPr>
        <w:lastRenderedPageBreak/>
        <w:t>8</w:t>
      </w:r>
      <w:r>
        <w:t>. Státní rozpočet</w:t>
      </w:r>
      <w:bookmarkEnd w:id="44"/>
    </w:p>
    <w:tbl>
      <w:tblPr>
        <w:tblW w:w="0" w:type="dxa"/>
        <w:tblInd w:w="-20" w:type="dxa"/>
        <w:tblLayout w:type="fixed"/>
        <w:tblCellMar>
          <w:left w:w="0" w:type="dxa"/>
          <w:right w:w="0" w:type="dxa"/>
        </w:tblCellMar>
        <w:tblLook w:val="00A0" w:firstRow="1" w:lastRow="0" w:firstColumn="1" w:lastColumn="0" w:noHBand="0" w:noVBand="0"/>
      </w:tblPr>
      <w:tblGrid>
        <w:gridCol w:w="1792"/>
        <w:gridCol w:w="203"/>
        <w:gridCol w:w="7674"/>
      </w:tblGrid>
      <w:tr w:rsidR="00F204DA" w14:paraId="447765F5" w14:textId="77777777" w:rsidTr="00F204DA">
        <w:trPr>
          <w:trHeight w:val="60"/>
        </w:trPr>
        <w:tc>
          <w:tcPr>
            <w:tcW w:w="1792" w:type="dxa"/>
            <w:hideMark/>
          </w:tcPr>
          <w:p w14:paraId="46270CA8" w14:textId="77777777" w:rsidR="00F204DA" w:rsidRDefault="00F204DA">
            <w:pPr>
              <w:pStyle w:val="Marginlie"/>
              <w:rPr>
                <w:lang w:eastAsia="en-US"/>
              </w:rPr>
            </w:pPr>
            <w:r>
              <w:rPr>
                <w:lang w:eastAsia="en-US"/>
              </w:rPr>
              <w:t>Hluboký rozpočtový schodek přetrvával, meziročně se ale o více než třetinu zmírnil.</w:t>
            </w:r>
          </w:p>
        </w:tc>
        <w:tc>
          <w:tcPr>
            <w:tcW w:w="203" w:type="dxa"/>
          </w:tcPr>
          <w:p w14:paraId="631D547B" w14:textId="77777777" w:rsidR="00F204DA" w:rsidRDefault="00F204DA">
            <w:pPr>
              <w:pStyle w:val="Textpoznpodarou"/>
              <w:jc w:val="both"/>
              <w:rPr>
                <w:spacing w:val="-4"/>
                <w:lang w:eastAsia="en-US"/>
              </w:rPr>
            </w:pPr>
          </w:p>
        </w:tc>
        <w:tc>
          <w:tcPr>
            <w:tcW w:w="7674" w:type="dxa"/>
            <w:hideMark/>
          </w:tcPr>
          <w:p w14:paraId="773EEF83" w14:textId="77777777" w:rsidR="00F204DA" w:rsidRDefault="00F204DA">
            <w:pPr>
              <w:spacing w:after="200"/>
              <w:rPr>
                <w:spacing w:val="-4"/>
                <w:lang w:eastAsia="en-US"/>
              </w:rPr>
            </w:pPr>
            <w:r>
              <w:rPr>
                <w:spacing w:val="-4"/>
                <w:lang w:eastAsia="en-US"/>
              </w:rPr>
              <w:t>Hospodaření státního rozpočtu</w:t>
            </w:r>
            <w:r>
              <w:rPr>
                <w:rStyle w:val="Znakapoznpodarou"/>
                <w:spacing w:val="-4"/>
                <w:lang w:eastAsia="en-US"/>
              </w:rPr>
              <w:footnoteReference w:id="79"/>
            </w:r>
            <w:r>
              <w:rPr>
                <w:spacing w:val="-4"/>
                <w:lang w:eastAsia="en-US"/>
              </w:rPr>
              <w:t xml:space="preserve"> ČR vyústilo na konci 1. čtvrtletí 2024 v deficit ve výši </w:t>
            </w:r>
            <w:r>
              <w:rPr>
                <w:spacing w:val="-4"/>
                <w:lang w:eastAsia="en-US"/>
              </w:rPr>
              <w:br/>
              <w:t>105 mld. korun</w:t>
            </w:r>
            <w:r>
              <w:rPr>
                <w:rStyle w:val="Znakapoznpodarou"/>
                <w:spacing w:val="-4"/>
                <w:lang w:eastAsia="en-US"/>
              </w:rPr>
              <w:footnoteReference w:id="80"/>
            </w:r>
            <w:r>
              <w:rPr>
                <w:spacing w:val="-4"/>
                <w:lang w:eastAsia="en-US"/>
              </w:rPr>
              <w:t>. Ten byl na počátku roku vykázán pošesté v řadě, přičemž od roku 2020 se jednalo o významný schodek. Do bilance se stále negativně promítá jen slabý hospodářský růst i přetrvávající vysoký podíl mandatorních výdajů. Meziročně se ovšem rozpočtový schodek snížil o více než třetinu</w:t>
            </w:r>
            <w:r>
              <w:rPr>
                <w:rStyle w:val="Znakapoznpodarou"/>
                <w:spacing w:val="-4"/>
                <w:lang w:eastAsia="en-US"/>
              </w:rPr>
              <w:footnoteReference w:id="81"/>
            </w:r>
            <w:r>
              <w:rPr>
                <w:spacing w:val="-4"/>
                <w:lang w:eastAsia="en-US"/>
              </w:rPr>
              <w:t>, což z velké části souvisí s odezníváním potřeby mimořádných výdajů domácnostem i firmám zasažených dopady vysoké inflace. Ta stále ještě ovlivňuje příjmovou stránku rozpočtu, a to včetně mimořádných daní dočasně uvalených na vybrané sektory ekonomiky. SR začíná velmi pozvolna pociťovat pozitivní dopady mírně se zotavující spotřeby domácností související s jejich zlepšující se finanční situací a celkovou důvěrou v ekonomiku. Vedle toho se v inkasu některých příjmových daní již na počátku roku projevují první dopady schváleného konsolidačního balíčku k ozdravení veřejných financí (např. nárůst inkasa některých spotřebních daní vlivem předzásobení motivovaném blížícím se zvýšením sazby daně). S legislativními úpravami souvisí i změna rozpočtového určení daní, které od ledna 2024 zvyšuje podíl na výnosu některých váhově významných daní ve prospěch SR</w:t>
            </w:r>
            <w:r>
              <w:rPr>
                <w:rStyle w:val="Znakapoznpodarou"/>
                <w:spacing w:val="-4"/>
                <w:lang w:eastAsia="en-US"/>
              </w:rPr>
              <w:footnoteReference w:id="82"/>
            </w:r>
            <w:r>
              <w:rPr>
                <w:spacing w:val="-4"/>
                <w:lang w:eastAsia="en-US"/>
              </w:rPr>
              <w:t>.</w:t>
            </w:r>
          </w:p>
        </w:tc>
      </w:tr>
      <w:tr w:rsidR="00F204DA" w14:paraId="7F9E1291" w14:textId="77777777" w:rsidTr="00F204DA">
        <w:trPr>
          <w:trHeight w:val="60"/>
        </w:trPr>
        <w:tc>
          <w:tcPr>
            <w:tcW w:w="1792" w:type="dxa"/>
            <w:hideMark/>
          </w:tcPr>
          <w:p w14:paraId="338F3B1A" w14:textId="77777777" w:rsidR="00F204DA" w:rsidRDefault="00F204DA">
            <w:pPr>
              <w:pStyle w:val="Marginlie"/>
              <w:rPr>
                <w:lang w:eastAsia="en-US"/>
              </w:rPr>
            </w:pPr>
            <w:r>
              <w:rPr>
                <w:lang w:eastAsia="en-US"/>
              </w:rPr>
              <w:t>K růstu celkových příjmů zásadně přispělo vyšší daňové inkaso.</w:t>
            </w:r>
          </w:p>
        </w:tc>
        <w:tc>
          <w:tcPr>
            <w:tcW w:w="203" w:type="dxa"/>
          </w:tcPr>
          <w:p w14:paraId="18DB18C8" w14:textId="77777777" w:rsidR="00F204DA" w:rsidRDefault="00F204DA">
            <w:pPr>
              <w:pStyle w:val="Textpoznpodarou"/>
              <w:jc w:val="both"/>
              <w:rPr>
                <w:spacing w:val="-4"/>
                <w:lang w:eastAsia="en-US"/>
              </w:rPr>
            </w:pPr>
          </w:p>
        </w:tc>
        <w:tc>
          <w:tcPr>
            <w:tcW w:w="7674" w:type="dxa"/>
            <w:hideMark/>
          </w:tcPr>
          <w:p w14:paraId="28527D4F" w14:textId="77777777" w:rsidR="00F204DA" w:rsidRDefault="00F204DA">
            <w:pPr>
              <w:spacing w:after="200"/>
              <w:rPr>
                <w:color w:val="0D0D0D" w:themeColor="text1" w:themeTint="F2"/>
                <w:spacing w:val="-4"/>
                <w:lang w:eastAsia="en-US"/>
              </w:rPr>
            </w:pPr>
            <w:r>
              <w:rPr>
                <w:color w:val="0D0D0D" w:themeColor="text1" w:themeTint="F2"/>
                <w:spacing w:val="-4"/>
                <w:lang w:eastAsia="en-US"/>
              </w:rPr>
              <w:t xml:space="preserve">Celkové příjmy SR vzrostly v 1. čtvrtletí meziročně o 11,6 % (resp. o 46,6 mld. korun). Přestože posílily všechny významnější příjmové položky, k celkovému růstu více než z poloviny přispělo vyšší daňové inkaso (s růstem o 14,1 %, resp. o 12,1 % </w:t>
            </w:r>
            <w:r>
              <w:rPr>
                <w:spacing w:val="-4"/>
                <w:lang w:eastAsia="en-US"/>
              </w:rPr>
              <w:t>po odečtení mimořádných firemních daní</w:t>
            </w:r>
            <w:r>
              <w:rPr>
                <w:color w:val="0D0D0D" w:themeColor="text1" w:themeTint="F2"/>
                <w:spacing w:val="-4"/>
                <w:lang w:eastAsia="en-US"/>
              </w:rPr>
              <w:t xml:space="preserve">), ze čtvrtiny pak příjmy </w:t>
            </w:r>
            <w:r>
              <w:rPr>
                <w:spacing w:val="-4"/>
                <w:lang w:eastAsia="en-US"/>
              </w:rPr>
              <w:t>z povinného pojistného</w:t>
            </w:r>
            <w:r>
              <w:rPr>
                <w:rStyle w:val="Znakapoznpodarou"/>
                <w:spacing w:val="-4"/>
                <w:lang w:eastAsia="en-US"/>
              </w:rPr>
              <w:footnoteReference w:id="83"/>
            </w:r>
            <w:r>
              <w:rPr>
                <w:spacing w:val="-4"/>
                <w:lang w:eastAsia="en-US"/>
              </w:rPr>
              <w:t xml:space="preserve"> (+7,9 %). Zvolňování růstu výběru pojistného, jež bylo patrné po celý loňský rok, se na počátku roku 2024 zastavilo. Projevily se v něm nejen aktuální oživení na trhu práce vlivem mírně zlepšeného výkonu ekonomiky, ale i dopady legislativních změn</w:t>
            </w:r>
            <w:r>
              <w:rPr>
                <w:rStyle w:val="Znakapoznpodarou"/>
                <w:spacing w:val="-4"/>
                <w:lang w:eastAsia="en-US"/>
              </w:rPr>
              <w:footnoteReference w:id="84"/>
            </w:r>
            <w:r>
              <w:rPr>
                <w:spacing w:val="-4"/>
                <w:lang w:eastAsia="en-US"/>
              </w:rPr>
              <w:t xml:space="preserve">.    </w:t>
            </w:r>
          </w:p>
        </w:tc>
      </w:tr>
      <w:tr w:rsidR="00F204DA" w14:paraId="58C8BAE1" w14:textId="77777777" w:rsidTr="00F204DA">
        <w:trPr>
          <w:trHeight w:val="60"/>
        </w:trPr>
        <w:tc>
          <w:tcPr>
            <w:tcW w:w="1792" w:type="dxa"/>
            <w:hideMark/>
          </w:tcPr>
          <w:p w14:paraId="6E3B40D4" w14:textId="77777777" w:rsidR="00F204DA" w:rsidRDefault="00F204DA">
            <w:pPr>
              <w:pStyle w:val="Marginlie"/>
              <w:rPr>
                <w:lang w:eastAsia="en-US"/>
              </w:rPr>
            </w:pPr>
            <w:r>
              <w:rPr>
                <w:lang w:eastAsia="en-US"/>
              </w:rPr>
              <w:t>Růst celostátního inkasa DPH od poloviny loňského roku mírně zrychloval.</w:t>
            </w:r>
          </w:p>
        </w:tc>
        <w:tc>
          <w:tcPr>
            <w:tcW w:w="203" w:type="dxa"/>
          </w:tcPr>
          <w:p w14:paraId="72330477" w14:textId="77777777" w:rsidR="00F204DA" w:rsidRDefault="00F204DA">
            <w:pPr>
              <w:pStyle w:val="Textpoznpodarou"/>
              <w:jc w:val="both"/>
              <w:rPr>
                <w:spacing w:val="-4"/>
                <w:lang w:eastAsia="en-US"/>
              </w:rPr>
            </w:pPr>
          </w:p>
        </w:tc>
        <w:tc>
          <w:tcPr>
            <w:tcW w:w="7674" w:type="dxa"/>
            <w:hideMark/>
          </w:tcPr>
          <w:p w14:paraId="2A3F4863" w14:textId="77777777" w:rsidR="00F204DA" w:rsidRDefault="00F204DA">
            <w:pPr>
              <w:spacing w:after="200"/>
              <w:rPr>
                <w:spacing w:val="-4"/>
                <w:lang w:eastAsia="en-US"/>
              </w:rPr>
            </w:pPr>
            <w:r>
              <w:rPr>
                <w:spacing w:val="-4"/>
                <w:lang w:eastAsia="en-US"/>
              </w:rPr>
              <w:t>Růst celkového daňového inkasa v 1. čtvrtletí podpořily vcelku rovnoměrně všechny klíčové položky. Nejvýznamnější úlohu hrála tradičně váhově dominantní daň – DPH – z níž SR získal meziročně o 8,7 % více (+6,9 mld. korun). Na úrovni všech veřejných rozpočtů dosáhl růst 6,8 % a jeho tempo se zvyšovalo třetí kvartál v řadě. Inkaso pozitivně ovlivnila pozvolna se zotavující spotřeba domácností</w:t>
            </w:r>
            <w:r>
              <w:rPr>
                <w:rStyle w:val="Znakapoznpodarou"/>
                <w:spacing w:val="-4"/>
                <w:lang w:eastAsia="en-US"/>
              </w:rPr>
              <w:footnoteReference w:id="85"/>
            </w:r>
            <w:r>
              <w:rPr>
                <w:spacing w:val="-4"/>
                <w:lang w:eastAsia="en-US"/>
              </w:rPr>
              <w:t>. V inkasu se navíc od počátku roku postupně začínají projevovat dopady úpravy sazeb daně</w:t>
            </w:r>
            <w:r>
              <w:rPr>
                <w:rStyle w:val="Znakapoznpodarou"/>
                <w:spacing w:val="-4"/>
                <w:lang w:eastAsia="en-US"/>
              </w:rPr>
              <w:footnoteReference w:id="86"/>
            </w:r>
            <w:r>
              <w:rPr>
                <w:spacing w:val="-4"/>
                <w:lang w:eastAsia="en-US"/>
              </w:rPr>
              <w:t xml:space="preserve"> v souvislosti s účinností konsolidačního balíčku. </w:t>
            </w:r>
          </w:p>
        </w:tc>
      </w:tr>
      <w:tr w:rsidR="00F204DA" w14:paraId="1D5BA373" w14:textId="77777777" w:rsidTr="00F204DA">
        <w:trPr>
          <w:trHeight w:val="60"/>
        </w:trPr>
        <w:tc>
          <w:tcPr>
            <w:tcW w:w="1792" w:type="dxa"/>
            <w:hideMark/>
          </w:tcPr>
          <w:p w14:paraId="27B63D6E" w14:textId="77777777" w:rsidR="00F204DA" w:rsidRDefault="00F204DA">
            <w:pPr>
              <w:pStyle w:val="Marginlie"/>
              <w:rPr>
                <w:lang w:eastAsia="en-US"/>
              </w:rPr>
            </w:pPr>
            <w:r>
              <w:rPr>
                <w:lang w:eastAsia="en-US"/>
              </w:rPr>
              <w:t>Svižný růst inkasa spotřební daně souvisel primárně se zvýšením sazby u klíčových produktů.</w:t>
            </w:r>
          </w:p>
        </w:tc>
        <w:tc>
          <w:tcPr>
            <w:tcW w:w="203" w:type="dxa"/>
          </w:tcPr>
          <w:p w14:paraId="155F69D3" w14:textId="77777777" w:rsidR="00F204DA" w:rsidRDefault="00F204DA">
            <w:pPr>
              <w:pStyle w:val="Textpoznpodarou"/>
              <w:jc w:val="both"/>
              <w:rPr>
                <w:spacing w:val="-4"/>
                <w:lang w:eastAsia="en-US"/>
              </w:rPr>
            </w:pPr>
          </w:p>
        </w:tc>
        <w:tc>
          <w:tcPr>
            <w:tcW w:w="7674" w:type="dxa"/>
            <w:hideMark/>
          </w:tcPr>
          <w:p w14:paraId="086B745C" w14:textId="1C38B571" w:rsidR="00F204DA" w:rsidRDefault="00F204DA" w:rsidP="00F204DA">
            <w:pPr>
              <w:spacing w:after="200"/>
              <w:rPr>
                <w:color w:val="0D0D0D" w:themeColor="text1" w:themeTint="F2"/>
                <w:spacing w:val="-4"/>
                <w:szCs w:val="20"/>
                <w:lang w:eastAsia="en-US"/>
              </w:rPr>
            </w:pPr>
            <w:r>
              <w:rPr>
                <w:spacing w:val="-4"/>
                <w:szCs w:val="20"/>
                <w:lang w:eastAsia="en-US"/>
              </w:rPr>
              <w:t xml:space="preserve">Inkaso spotřební daně (včetně energetické daně) po nepříznivém loňském vývoji letos </w:t>
            </w:r>
            <w:r>
              <w:rPr>
                <w:spacing w:val="-4"/>
                <w:szCs w:val="20"/>
                <w:lang w:eastAsia="en-US"/>
              </w:rPr>
              <w:br/>
              <w:t>v 1. čtvrtletí</w:t>
            </w:r>
            <w:r>
              <w:rPr>
                <w:color w:val="0D0D0D" w:themeColor="text1" w:themeTint="F2"/>
                <w:spacing w:val="-4"/>
                <w:szCs w:val="20"/>
                <w:lang w:eastAsia="en-US"/>
              </w:rPr>
              <w:t xml:space="preserve"> vzrostlo o 11,6 %, a to především díky výběru daně z minerálních olejů </w:t>
            </w:r>
            <w:r>
              <w:rPr>
                <w:color w:val="0D0D0D" w:themeColor="text1" w:themeTint="F2"/>
                <w:spacing w:val="-4"/>
                <w:szCs w:val="20"/>
                <w:lang w:eastAsia="en-US"/>
              </w:rPr>
              <w:br/>
              <w:t xml:space="preserve">(+14,1 %), jejíž tempo zatím předčilo rozpočtové očekávání. </w:t>
            </w:r>
            <w:r>
              <w:rPr>
                <w:spacing w:val="-5"/>
                <w:lang w:eastAsia="en-US"/>
              </w:rPr>
              <w:t>Pozitivně se zde projevuje návrat sazby daně z motorové nafty na úroveň před vzplanutím energetické krize</w:t>
            </w:r>
            <w:r>
              <w:rPr>
                <w:rStyle w:val="Znakapoznpodarou"/>
                <w:color w:val="0D0D0D" w:themeColor="text1" w:themeTint="F2"/>
                <w:spacing w:val="-5"/>
                <w:lang w:eastAsia="en-US"/>
              </w:rPr>
              <w:footnoteReference w:id="87"/>
            </w:r>
            <w:r>
              <w:rPr>
                <w:spacing w:val="-5"/>
                <w:lang w:eastAsia="en-US"/>
              </w:rPr>
              <w:t>. Spotřeba většiny druhů ropných produktů v ČR navíc letos na počátku letošního roku dále rostla</w:t>
            </w:r>
            <w:r>
              <w:rPr>
                <w:rStyle w:val="Znakapoznpodarou"/>
                <w:spacing w:val="-5"/>
                <w:lang w:eastAsia="en-US"/>
              </w:rPr>
              <w:footnoteReference w:id="88"/>
            </w:r>
            <w:r>
              <w:rPr>
                <w:spacing w:val="-5"/>
                <w:lang w:eastAsia="en-US"/>
              </w:rPr>
              <w:t>.</w:t>
            </w:r>
            <w:r>
              <w:rPr>
                <w:color w:val="0D0D0D" w:themeColor="text1" w:themeTint="F2"/>
                <w:spacing w:val="-4"/>
                <w:szCs w:val="20"/>
                <w:lang w:eastAsia="en-US"/>
              </w:rPr>
              <w:t xml:space="preserve"> </w:t>
            </w:r>
            <w:r>
              <w:rPr>
                <w:color w:val="0D0D0D" w:themeColor="text1" w:themeTint="F2"/>
                <w:spacing w:val="-4"/>
                <w:szCs w:val="20"/>
                <w:lang w:eastAsia="en-US"/>
              </w:rPr>
              <w:lastRenderedPageBreak/>
              <w:t>Výběr daně z tabákových výrobků se zvyšoval mírněji (+3,6 %), a to navzdory předzásobení z důvodu navýšení sazby daně. Tento efekt se mnohem výrazněji projevil u daně z lihu, jejíž inkaso na počátku roku vzrostlo o více než 40 % (+1,1 mld. korun). Naopak mírně se meziročně snížil výběr daně z piva, ve srovnání s počátkem roku 2019 pak dokonce o 15 %.</w:t>
            </w:r>
          </w:p>
        </w:tc>
      </w:tr>
      <w:tr w:rsidR="00F204DA" w14:paraId="76FBCF04" w14:textId="77777777" w:rsidTr="00F204DA">
        <w:trPr>
          <w:trHeight w:val="60"/>
        </w:trPr>
        <w:tc>
          <w:tcPr>
            <w:tcW w:w="1792" w:type="dxa"/>
            <w:hideMark/>
          </w:tcPr>
          <w:p w14:paraId="5F9A24D4" w14:textId="77777777" w:rsidR="00F204DA" w:rsidRDefault="00F204DA">
            <w:pPr>
              <w:pStyle w:val="Marginlie"/>
              <w:rPr>
                <w:spacing w:val="-5"/>
                <w:lang w:eastAsia="en-US"/>
              </w:rPr>
            </w:pPr>
            <w:r>
              <w:rPr>
                <w:spacing w:val="-5"/>
                <w:lang w:eastAsia="en-US"/>
              </w:rPr>
              <w:lastRenderedPageBreak/>
              <w:t xml:space="preserve">Přetrvávající vysoká míra zisku podniků se odráží ve svižném růstu inkasa korporátní daně. Podobně jako loni získal SR i příjmy z mimořádného zdanění vybraného segmentu firem.  </w:t>
            </w:r>
          </w:p>
        </w:tc>
        <w:tc>
          <w:tcPr>
            <w:tcW w:w="203" w:type="dxa"/>
          </w:tcPr>
          <w:p w14:paraId="3783BFBE" w14:textId="77777777" w:rsidR="00F204DA" w:rsidRDefault="00F204DA">
            <w:pPr>
              <w:pStyle w:val="Textpoznpodarou"/>
              <w:jc w:val="both"/>
              <w:rPr>
                <w:spacing w:val="-4"/>
                <w:lang w:eastAsia="en-US"/>
              </w:rPr>
            </w:pPr>
          </w:p>
        </w:tc>
        <w:tc>
          <w:tcPr>
            <w:tcW w:w="7674" w:type="dxa"/>
            <w:hideMark/>
          </w:tcPr>
          <w:p w14:paraId="545FB6FC" w14:textId="77777777" w:rsidR="00F204DA" w:rsidRDefault="00F204DA">
            <w:pPr>
              <w:spacing w:after="220"/>
              <w:rPr>
                <w:color w:val="0D0D0D" w:themeColor="text1" w:themeTint="F2"/>
                <w:spacing w:val="-4"/>
                <w:lang w:eastAsia="en-US"/>
              </w:rPr>
            </w:pPr>
            <w:r>
              <w:rPr>
                <w:color w:val="0D0D0D" w:themeColor="text1" w:themeTint="F2"/>
                <w:spacing w:val="-4"/>
                <w:lang w:eastAsia="en-US"/>
              </w:rPr>
              <w:t xml:space="preserve">Z přímých daní rostlo v 1. čtvrtletí nejvíce inkaso daně z příjmů právnických osob </w:t>
            </w:r>
            <w:r>
              <w:rPr>
                <w:color w:val="0D0D0D" w:themeColor="text1" w:themeTint="F2"/>
                <w:spacing w:val="-4"/>
                <w:lang w:eastAsia="en-US"/>
              </w:rPr>
              <w:br/>
              <w:t>(+16,7 %, +5,8 mld. korun) a podobně jako v předešlých letech převyšovalo rozpočtové očekávání. Projevuje se zde dlouhodobě vysoká míra zisku podniků</w:t>
            </w:r>
            <w:r>
              <w:rPr>
                <w:rStyle w:val="Znakapoznpodarou"/>
                <w:color w:val="0D0D0D" w:themeColor="text1" w:themeTint="F2"/>
                <w:spacing w:val="-4"/>
                <w:lang w:eastAsia="en-US"/>
              </w:rPr>
              <w:footnoteReference w:id="89"/>
            </w:r>
            <w:r>
              <w:rPr>
                <w:color w:val="0D0D0D" w:themeColor="text1" w:themeTint="F2"/>
                <w:spacing w:val="-4"/>
                <w:lang w:eastAsia="en-US"/>
              </w:rPr>
              <w:t>. Vedle pravidelných příjmů plynoucích z korporátní daně pokračovaly letos i ty nepravidelné. V březnu získal SR čtvrtletní zálohu daně z</w:t>
            </w:r>
            <w:r>
              <w:rPr>
                <w:spacing w:val="-4"/>
                <w:lang w:eastAsia="en-US"/>
              </w:rPr>
              <w:t> neočekávaných zisků</w:t>
            </w:r>
            <w:r>
              <w:rPr>
                <w:rStyle w:val="Znakapoznpodarou"/>
                <w:spacing w:val="-4"/>
                <w:lang w:eastAsia="en-US"/>
              </w:rPr>
              <w:footnoteReference w:id="90"/>
            </w:r>
            <w:r>
              <w:rPr>
                <w:spacing w:val="-4"/>
                <w:lang w:eastAsia="en-US"/>
              </w:rPr>
              <w:t xml:space="preserve"> ve výši rovných 13 mld. korun (na zálohách v roce 2023 bylo odvedeno SR 39,1 mld. korun). Na rozdíl od loňského roku již SR prakticky nepočítá s příjmy z daně z nadměrných příjmů</w:t>
            </w:r>
            <w:r>
              <w:rPr>
                <w:rStyle w:val="Znakapoznpodarou"/>
                <w:spacing w:val="-4"/>
                <w:lang w:eastAsia="en-US"/>
              </w:rPr>
              <w:footnoteReference w:id="91"/>
            </w:r>
            <w:r>
              <w:rPr>
                <w:spacing w:val="-4"/>
                <w:lang w:eastAsia="en-US"/>
              </w:rPr>
              <w:t xml:space="preserve">, na níž za celý rok obdržel 18,5 mld. korun (z toho v 1. čtvrtletí 8,2 mld.). Zatímco za rok 2023 činil plánovaný odhad příjmů SR ze všech </w:t>
            </w:r>
            <w:r>
              <w:rPr>
                <w:color w:val="0D0D0D" w:themeColor="text1" w:themeTint="F2"/>
                <w:spacing w:val="-4"/>
                <w:lang w:eastAsia="en-US"/>
              </w:rPr>
              <w:t>prostředků z mimořádného zdanění firem 100 mld. korun, letos 17,2 mld.</w:t>
            </w:r>
          </w:p>
        </w:tc>
      </w:tr>
      <w:tr w:rsidR="00F204DA" w14:paraId="3AB98A33" w14:textId="77777777" w:rsidTr="00F204DA">
        <w:trPr>
          <w:trHeight w:val="60"/>
        </w:trPr>
        <w:tc>
          <w:tcPr>
            <w:tcW w:w="1792" w:type="dxa"/>
          </w:tcPr>
          <w:p w14:paraId="3541B4C1" w14:textId="77777777" w:rsidR="00F204DA" w:rsidRDefault="00F204DA">
            <w:pPr>
              <w:pStyle w:val="Marginlie"/>
              <w:rPr>
                <w:lang w:eastAsia="en-US"/>
              </w:rPr>
            </w:pPr>
          </w:p>
        </w:tc>
        <w:tc>
          <w:tcPr>
            <w:tcW w:w="203" w:type="dxa"/>
          </w:tcPr>
          <w:p w14:paraId="34C023F6" w14:textId="77777777" w:rsidR="00F204DA" w:rsidRDefault="00F204DA">
            <w:pPr>
              <w:pStyle w:val="Textpoznpodarou"/>
              <w:jc w:val="both"/>
              <w:rPr>
                <w:spacing w:val="-4"/>
                <w:lang w:eastAsia="en-US"/>
              </w:rPr>
            </w:pPr>
          </w:p>
        </w:tc>
        <w:tc>
          <w:tcPr>
            <w:tcW w:w="7674" w:type="dxa"/>
            <w:hideMark/>
          </w:tcPr>
          <w:p w14:paraId="4A3051A9" w14:textId="1F86A489" w:rsidR="00F204DA" w:rsidRDefault="00EC6B23">
            <w:pPr>
              <w:spacing w:after="40"/>
              <w:rPr>
                <w:color w:val="0D0D0D" w:themeColor="text1" w:themeTint="F2"/>
                <w:spacing w:val="-4"/>
                <w:lang w:eastAsia="en-US"/>
              </w:rPr>
            </w:pPr>
            <w:r>
              <w:rPr>
                <w:rFonts w:cs="Arial"/>
                <w:b/>
                <w:bCs/>
                <w:color w:val="000000"/>
                <w:spacing w:val="-2"/>
                <w:szCs w:val="20"/>
                <w:lang w:eastAsia="en-US"/>
              </w:rPr>
              <w:t>Graf č. 17</w:t>
            </w:r>
            <w:r w:rsidR="00F204DA">
              <w:rPr>
                <w:rFonts w:cs="Arial"/>
                <w:b/>
                <w:bCs/>
                <w:color w:val="000000"/>
                <w:spacing w:val="-2"/>
                <w:szCs w:val="20"/>
                <w:lang w:eastAsia="en-US"/>
              </w:rPr>
              <w:t xml:space="preserve"> Příspěvek dílčích příjmů k meziročnímu růstu souhrnného celostátního inkasa daňových příjmů </w:t>
            </w:r>
            <w:r w:rsidR="00F204DA">
              <w:rPr>
                <w:rFonts w:cs="Arial"/>
                <w:bCs/>
                <w:color w:val="000000"/>
                <w:spacing w:val="-2"/>
                <w:szCs w:val="20"/>
                <w:lang w:eastAsia="en-US"/>
              </w:rPr>
              <w:t xml:space="preserve">(v p. b.), </w:t>
            </w:r>
            <w:r w:rsidR="00F204DA">
              <w:rPr>
                <w:rFonts w:cs="Arial"/>
                <w:b/>
                <w:bCs/>
                <w:color w:val="000000"/>
                <w:spacing w:val="-2"/>
                <w:szCs w:val="20"/>
                <w:lang w:eastAsia="en-US"/>
              </w:rPr>
              <w:t>meziroční růst příjmů pojistného na sociální zabezpečení</w:t>
            </w:r>
            <w:r w:rsidR="00F204DA">
              <w:rPr>
                <w:rFonts w:cs="Arial"/>
                <w:bCs/>
                <w:color w:val="000000"/>
                <w:spacing w:val="-2"/>
                <w:szCs w:val="20"/>
                <w:lang w:eastAsia="en-US"/>
              </w:rPr>
              <w:t xml:space="preserve"> (%) </w:t>
            </w:r>
            <w:r w:rsidR="00F204DA">
              <w:rPr>
                <w:rFonts w:cs="Arial"/>
                <w:b/>
                <w:bCs/>
                <w:color w:val="000000"/>
                <w:spacing w:val="-2"/>
                <w:szCs w:val="20"/>
                <w:lang w:eastAsia="en-US"/>
              </w:rPr>
              <w:t xml:space="preserve">a saldo státního rozpočtu </w:t>
            </w:r>
            <w:r w:rsidR="00F204DA">
              <w:rPr>
                <w:rFonts w:cs="Arial"/>
                <w:bCs/>
                <w:color w:val="000000"/>
                <w:spacing w:val="-2"/>
                <w:szCs w:val="20"/>
                <w:lang w:eastAsia="en-US"/>
              </w:rPr>
              <w:t xml:space="preserve">(v mld. korun) </w:t>
            </w:r>
            <w:r w:rsidR="00F204DA">
              <w:rPr>
                <w:rFonts w:cs="Arial"/>
                <w:b/>
                <w:bCs/>
                <w:lang w:eastAsia="en-US"/>
              </w:rPr>
              <w:t>v rámci 1. čtvrtletí</w:t>
            </w:r>
          </w:p>
        </w:tc>
      </w:tr>
      <w:tr w:rsidR="00F204DA" w14:paraId="02064A78" w14:textId="77777777" w:rsidTr="00F204DA">
        <w:trPr>
          <w:trHeight w:val="170"/>
        </w:trPr>
        <w:tc>
          <w:tcPr>
            <w:tcW w:w="1792" w:type="dxa"/>
            <w:vMerge w:val="restart"/>
          </w:tcPr>
          <w:p w14:paraId="7AF79D24" w14:textId="77777777" w:rsidR="00F204DA" w:rsidRDefault="00F204DA">
            <w:pPr>
              <w:pStyle w:val="Marginlie"/>
              <w:rPr>
                <w:lang w:eastAsia="en-US"/>
              </w:rPr>
            </w:pPr>
          </w:p>
        </w:tc>
        <w:tc>
          <w:tcPr>
            <w:tcW w:w="203" w:type="dxa"/>
            <w:vMerge w:val="restart"/>
          </w:tcPr>
          <w:p w14:paraId="08546D63" w14:textId="77777777" w:rsidR="00F204DA" w:rsidRDefault="00F204DA">
            <w:pPr>
              <w:pStyle w:val="Textpoznpodarou"/>
              <w:jc w:val="both"/>
              <w:rPr>
                <w:spacing w:val="-4"/>
                <w:lang w:eastAsia="en-US"/>
              </w:rPr>
            </w:pPr>
          </w:p>
          <w:p w14:paraId="29F51375" w14:textId="77777777" w:rsidR="00F204DA" w:rsidRDefault="00F204DA">
            <w:pPr>
              <w:pStyle w:val="Textpoznpodarou"/>
              <w:jc w:val="both"/>
              <w:rPr>
                <w:spacing w:val="-4"/>
                <w:lang w:eastAsia="en-US"/>
              </w:rPr>
            </w:pPr>
          </w:p>
        </w:tc>
        <w:tc>
          <w:tcPr>
            <w:tcW w:w="7674" w:type="dxa"/>
            <w:hideMark/>
          </w:tcPr>
          <w:p w14:paraId="39F83497" w14:textId="50D49CB5" w:rsidR="00F204DA" w:rsidRDefault="00F204DA">
            <w:pPr>
              <w:spacing w:after="40"/>
              <w:rPr>
                <w:rFonts w:cs="Arial"/>
                <w:b/>
                <w:bCs/>
                <w:color w:val="000000"/>
                <w:spacing w:val="-2"/>
                <w:szCs w:val="20"/>
                <w:lang w:eastAsia="en-US"/>
              </w:rPr>
            </w:pPr>
            <w:r>
              <w:rPr>
                <w:noProof/>
              </w:rPr>
              <w:drawing>
                <wp:inline distT="0" distB="0" distL="0" distR="0" wp14:anchorId="70C6ABBD" wp14:editId="32A7221E">
                  <wp:extent cx="4754880" cy="3434715"/>
                  <wp:effectExtent l="0" t="0" r="7620" b="0"/>
                  <wp:docPr id="37" name="Graf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F204DA" w14:paraId="22551542" w14:textId="77777777" w:rsidTr="00F204DA">
        <w:trPr>
          <w:trHeight w:val="1317"/>
        </w:trPr>
        <w:tc>
          <w:tcPr>
            <w:tcW w:w="1792" w:type="dxa"/>
            <w:vMerge/>
            <w:vAlign w:val="center"/>
            <w:hideMark/>
          </w:tcPr>
          <w:p w14:paraId="46638741" w14:textId="77777777" w:rsidR="00F204DA" w:rsidRDefault="00F204DA">
            <w:pPr>
              <w:spacing w:after="0" w:line="240" w:lineRule="auto"/>
              <w:jc w:val="left"/>
              <w:rPr>
                <w:spacing w:val="-2"/>
                <w:sz w:val="16"/>
                <w:szCs w:val="16"/>
                <w:lang w:eastAsia="en-US"/>
              </w:rPr>
            </w:pPr>
          </w:p>
        </w:tc>
        <w:tc>
          <w:tcPr>
            <w:tcW w:w="203" w:type="dxa"/>
            <w:vMerge/>
            <w:vAlign w:val="center"/>
            <w:hideMark/>
          </w:tcPr>
          <w:p w14:paraId="7348A227" w14:textId="77777777" w:rsidR="00F204DA" w:rsidRDefault="00F204DA">
            <w:pPr>
              <w:spacing w:after="0" w:line="240" w:lineRule="auto"/>
              <w:jc w:val="left"/>
              <w:rPr>
                <w:rFonts w:eastAsia="Calibri"/>
                <w:spacing w:val="-4"/>
                <w:szCs w:val="20"/>
                <w:lang w:eastAsia="en-US"/>
              </w:rPr>
            </w:pPr>
          </w:p>
        </w:tc>
        <w:tc>
          <w:tcPr>
            <w:tcW w:w="7674" w:type="dxa"/>
            <w:tcMar>
              <w:top w:w="0" w:type="dxa"/>
              <w:left w:w="70" w:type="dxa"/>
              <w:bottom w:w="0" w:type="dxa"/>
              <w:right w:w="70" w:type="dxa"/>
            </w:tcMar>
            <w:hideMark/>
          </w:tcPr>
          <w:p w14:paraId="4481A555" w14:textId="77777777" w:rsidR="00F204DA" w:rsidRDefault="00F204DA">
            <w:pPr>
              <w:tabs>
                <w:tab w:val="right" w:pos="7683"/>
              </w:tabs>
              <w:spacing w:after="0" w:line="240" w:lineRule="auto"/>
              <w:jc w:val="left"/>
              <w:rPr>
                <w:spacing w:val="-2"/>
                <w:sz w:val="14"/>
                <w:szCs w:val="14"/>
                <w:lang w:eastAsia="en-US"/>
              </w:rPr>
            </w:pPr>
            <w:r>
              <w:rPr>
                <w:spacing w:val="-2"/>
                <w:sz w:val="14"/>
                <w:szCs w:val="14"/>
                <w:lang w:eastAsia="en-US"/>
              </w:rPr>
              <w:t>*Zahrnují i příspěvky na státní politiku zaměstnanosti.</w:t>
            </w:r>
          </w:p>
          <w:p w14:paraId="3CB08EC3" w14:textId="77777777" w:rsidR="00F204DA" w:rsidRDefault="00F204DA">
            <w:pPr>
              <w:tabs>
                <w:tab w:val="right" w:pos="7683"/>
              </w:tabs>
              <w:spacing w:after="0" w:line="240" w:lineRule="auto"/>
              <w:jc w:val="left"/>
              <w:rPr>
                <w:spacing w:val="-2"/>
                <w:sz w:val="14"/>
                <w:szCs w:val="14"/>
                <w:lang w:eastAsia="en-US"/>
              </w:rPr>
            </w:pPr>
            <w:r>
              <w:rPr>
                <w:spacing w:val="-2"/>
                <w:sz w:val="14"/>
                <w:szCs w:val="14"/>
                <w:lang w:eastAsia="en-US"/>
              </w:rPr>
              <w:t>**Saldo očištěné o prostředky na programy/projekty z rozpočtu EU a finančních mechanismů, které byly předfinancovány ze SR a následně jsou propláceny z rozpočtu EU a FM. Celoroční údaje jsou k dispozici počínaje rokem 2010.</w:t>
            </w:r>
          </w:p>
          <w:p w14:paraId="5C61A35C" w14:textId="77777777" w:rsidR="00F204DA" w:rsidRDefault="00F204DA">
            <w:pPr>
              <w:tabs>
                <w:tab w:val="right" w:pos="7683"/>
              </w:tabs>
              <w:spacing w:after="0" w:line="240" w:lineRule="auto"/>
              <w:jc w:val="left"/>
              <w:rPr>
                <w:sz w:val="16"/>
                <w:szCs w:val="16"/>
                <w:lang w:eastAsia="en-US"/>
              </w:rPr>
            </w:pPr>
            <w:r>
              <w:rPr>
                <w:spacing w:val="-2"/>
                <w:sz w:val="14"/>
                <w:szCs w:val="14"/>
                <w:lang w:eastAsia="en-US"/>
              </w:rPr>
              <w:t>FO = fyzické soby, PO = právnické osoby. Ostatní daně z příjmů FO zahrnují daně placené poplatníky (zejména z drobného podnikání) a dále daně vybírané srážkou.</w:t>
            </w:r>
          </w:p>
          <w:p w14:paraId="28C4D611" w14:textId="77777777" w:rsidR="00F204DA" w:rsidRDefault="00F204DA">
            <w:pPr>
              <w:spacing w:after="0"/>
              <w:rPr>
                <w:sz w:val="14"/>
                <w:szCs w:val="14"/>
                <w:lang w:eastAsia="en-US"/>
              </w:rPr>
            </w:pPr>
            <w:r>
              <w:rPr>
                <w:sz w:val="14"/>
                <w:szCs w:val="14"/>
                <w:lang w:eastAsia="en-US"/>
              </w:rPr>
              <w:t xml:space="preserve">Ostatní daně a poplatky obsahují zejména daň z nemovitých věcí, daň z hazardních her, dálniční poplatek, mýtné </w:t>
            </w:r>
            <w:r>
              <w:rPr>
                <w:sz w:val="14"/>
                <w:szCs w:val="14"/>
                <w:lang w:eastAsia="en-US"/>
              </w:rPr>
              <w:br/>
              <w:t>a v roce 2023 nově rovněž odvod z nadměrných příjmů a neočekávaných zisků.                                                           Zdroj: MF ČR</w:t>
            </w:r>
          </w:p>
        </w:tc>
      </w:tr>
      <w:tr w:rsidR="00F204DA" w14:paraId="320E9646" w14:textId="77777777" w:rsidTr="00F204DA">
        <w:trPr>
          <w:trHeight w:val="170"/>
        </w:trPr>
        <w:tc>
          <w:tcPr>
            <w:tcW w:w="1792" w:type="dxa"/>
            <w:hideMark/>
          </w:tcPr>
          <w:p w14:paraId="351D389A" w14:textId="77777777" w:rsidR="00F204DA" w:rsidRDefault="00F204DA">
            <w:pPr>
              <w:pStyle w:val="Marginlie"/>
              <w:rPr>
                <w:lang w:eastAsia="en-US"/>
              </w:rPr>
            </w:pPr>
            <w:r>
              <w:rPr>
                <w:lang w:eastAsia="en-US"/>
              </w:rPr>
              <w:t xml:space="preserve">Výběr daně od fyzických osob ze závislé činnosti sice rostl nad úroveň </w:t>
            </w:r>
            <w:r>
              <w:rPr>
                <w:lang w:eastAsia="en-US"/>
              </w:rPr>
              <w:lastRenderedPageBreak/>
              <w:t xml:space="preserve">rozpočtového očekávání, ve srovnání s 1. čtvrtletím 2019 i 2020 ale stále zaostával. </w:t>
            </w:r>
          </w:p>
        </w:tc>
        <w:tc>
          <w:tcPr>
            <w:tcW w:w="203" w:type="dxa"/>
          </w:tcPr>
          <w:p w14:paraId="3D114B8E" w14:textId="77777777" w:rsidR="00F204DA" w:rsidRDefault="00F204DA">
            <w:pPr>
              <w:pStyle w:val="Textpoznpodarou"/>
              <w:jc w:val="both"/>
              <w:rPr>
                <w:spacing w:val="-4"/>
                <w:lang w:eastAsia="en-US"/>
              </w:rPr>
            </w:pPr>
          </w:p>
        </w:tc>
        <w:tc>
          <w:tcPr>
            <w:tcW w:w="7674" w:type="dxa"/>
            <w:hideMark/>
          </w:tcPr>
          <w:p w14:paraId="5B8C57BB" w14:textId="77777777" w:rsidR="00F204DA" w:rsidRDefault="00F204DA">
            <w:pPr>
              <w:spacing w:after="200"/>
              <w:rPr>
                <w:spacing w:val="-4"/>
                <w:lang w:eastAsia="en-US"/>
              </w:rPr>
            </w:pPr>
            <w:r>
              <w:rPr>
                <w:spacing w:val="-4"/>
                <w:lang w:eastAsia="en-US"/>
              </w:rPr>
              <w:t xml:space="preserve">Na </w:t>
            </w:r>
            <w:r>
              <w:rPr>
                <w:color w:val="0D0D0D" w:themeColor="text1" w:themeTint="F2"/>
                <w:spacing w:val="-4"/>
                <w:lang w:eastAsia="en-US"/>
              </w:rPr>
              <w:t>dani</w:t>
            </w:r>
            <w:r>
              <w:rPr>
                <w:color w:val="0D0D0D" w:themeColor="text1" w:themeTint="F2"/>
                <w:spacing w:val="-5"/>
                <w:lang w:eastAsia="en-US"/>
              </w:rPr>
              <w:t xml:space="preserve"> z příjmů fyzických osob (</w:t>
            </w:r>
            <w:r>
              <w:rPr>
                <w:color w:val="0D0D0D" w:themeColor="text1" w:themeTint="F2"/>
                <w:spacing w:val="-4"/>
                <w:lang w:eastAsia="en-US"/>
              </w:rPr>
              <w:t>DPFO) získal SR v 1. čtvrtletí meziročně o 12,9 % více, což bylo obdobně jako loni více, než činilo rozpočtové očekávání. Na tom měla hlavní zásluhu klíčová příjmová daň ze závislé činnosti (+16 %)</w:t>
            </w:r>
            <w:r>
              <w:rPr>
                <w:rStyle w:val="Znakapoznpodarou"/>
                <w:color w:val="0D0D0D" w:themeColor="text1" w:themeTint="F2"/>
                <w:spacing w:val="-4"/>
                <w:lang w:eastAsia="en-US"/>
              </w:rPr>
              <w:footnoteReference w:id="92"/>
            </w:r>
            <w:r>
              <w:rPr>
                <w:color w:val="0D0D0D" w:themeColor="text1" w:themeTint="F2"/>
                <w:spacing w:val="-4"/>
                <w:lang w:eastAsia="en-US"/>
              </w:rPr>
              <w:t xml:space="preserve">. Příznivě se v ní promítala jak </w:t>
            </w:r>
            <w:r>
              <w:rPr>
                <w:color w:val="0D0D0D" w:themeColor="text1" w:themeTint="F2"/>
                <w:spacing w:val="-4"/>
                <w:lang w:eastAsia="en-US"/>
              </w:rPr>
              <w:lastRenderedPageBreak/>
              <w:t xml:space="preserve">dobrá kondice trhu práce (vyšší zaměstnanost i svižný nominální růst průměrné mzdy v podnikové sféře), tak legislativní změny (především snížení pásma pro druhou zvýšenou sazbu této daně či úprava zdanění vybraných nepeněžních benefitů). Nadále se dařilo inkasu DPFO vybírané srážkou. Za více než 13% růstem inkasa oproti počátku loňského roku stály přetrvávající vyšší </w:t>
            </w:r>
            <w:r>
              <w:rPr>
                <w:color w:val="0D0D0D" w:themeColor="text1" w:themeTint="F2"/>
                <w:spacing w:val="-5"/>
                <w:lang w:eastAsia="en-US"/>
              </w:rPr>
              <w:t xml:space="preserve">úrokové sazby na vkladech, nově se projevilo i snížení limitu pro osvobození příjmů z tombol a hazardních her. </w:t>
            </w:r>
          </w:p>
        </w:tc>
      </w:tr>
      <w:tr w:rsidR="00F204DA" w14:paraId="1DE0F4C5" w14:textId="77777777" w:rsidTr="00F204DA">
        <w:trPr>
          <w:trHeight w:val="170"/>
        </w:trPr>
        <w:tc>
          <w:tcPr>
            <w:tcW w:w="1792" w:type="dxa"/>
            <w:hideMark/>
          </w:tcPr>
          <w:p w14:paraId="74A7C023" w14:textId="77777777" w:rsidR="00F204DA" w:rsidRDefault="00F204DA">
            <w:pPr>
              <w:pStyle w:val="Marginlie"/>
              <w:rPr>
                <w:spacing w:val="-5"/>
                <w:lang w:eastAsia="en-US"/>
              </w:rPr>
            </w:pPr>
            <w:r>
              <w:rPr>
                <w:spacing w:val="-5"/>
                <w:lang w:eastAsia="en-US"/>
              </w:rPr>
              <w:lastRenderedPageBreak/>
              <w:t>Nedaňové a kapitálové příjmy svižně rostly díky prostředkům z EU.</w:t>
            </w:r>
          </w:p>
        </w:tc>
        <w:tc>
          <w:tcPr>
            <w:tcW w:w="203" w:type="dxa"/>
          </w:tcPr>
          <w:p w14:paraId="6282EE35" w14:textId="77777777" w:rsidR="00F204DA" w:rsidRDefault="00F204DA">
            <w:pPr>
              <w:pStyle w:val="Textpoznpodarou"/>
              <w:jc w:val="both"/>
              <w:rPr>
                <w:spacing w:val="-4"/>
                <w:lang w:eastAsia="en-US"/>
              </w:rPr>
            </w:pPr>
          </w:p>
        </w:tc>
        <w:tc>
          <w:tcPr>
            <w:tcW w:w="7674" w:type="dxa"/>
            <w:hideMark/>
          </w:tcPr>
          <w:p w14:paraId="53F94BE2" w14:textId="77777777" w:rsidR="00F204DA" w:rsidRDefault="00F204DA">
            <w:pPr>
              <w:spacing w:after="200"/>
              <w:rPr>
                <w:color w:val="0D0D0D" w:themeColor="text1" w:themeTint="F2"/>
                <w:spacing w:val="-4"/>
                <w:lang w:eastAsia="en-US"/>
              </w:rPr>
            </w:pPr>
            <w:r>
              <w:rPr>
                <w:color w:val="0D0D0D" w:themeColor="text1" w:themeTint="F2"/>
                <w:spacing w:val="-4"/>
                <w:lang w:eastAsia="en-US"/>
              </w:rPr>
              <w:t xml:space="preserve">Nedaňové a kapitálové příjmy se na počátku roku zvýšily o 14,2 % a vyvíjely se tak zatím lépe než celoroční rozpočtové očekávání. Za to vděčí především příjmům z rozpočtu EU (včetně finančních mechanismů), jež překonaly úroveň z 1. čtvrtletí 2023 o sedminu, </w:t>
            </w:r>
            <w:r>
              <w:rPr>
                <w:color w:val="0D0D0D" w:themeColor="text1" w:themeTint="F2"/>
                <w:spacing w:val="-4"/>
                <w:lang w:eastAsia="en-US"/>
              </w:rPr>
              <w:br/>
              <w:t>resp. 3,8 mld. korun. Tyto prostředky určené na krytí již SR dříve předfinancovaných výdajů rostly hlavně díky OP Doprava 2021+, zčásti rovněž vlivem dobíhajících plateb vázaných na končící programové období 2014 až 2021 (např. Integrovaný regionální operační program). Klesly naopak přijaté platby na společnou zemědělskou politiku (o 3,7 mld. korun, na 12 mld.).</w:t>
            </w:r>
          </w:p>
        </w:tc>
      </w:tr>
      <w:tr w:rsidR="00F204DA" w14:paraId="36C07AC0" w14:textId="77777777" w:rsidTr="00F204DA">
        <w:trPr>
          <w:trHeight w:val="170"/>
        </w:trPr>
        <w:tc>
          <w:tcPr>
            <w:tcW w:w="1792" w:type="dxa"/>
            <w:hideMark/>
          </w:tcPr>
          <w:p w14:paraId="5A1AF0F9" w14:textId="77777777" w:rsidR="00F204DA" w:rsidRDefault="00F204DA">
            <w:pPr>
              <w:pStyle w:val="Marginlie"/>
              <w:rPr>
                <w:spacing w:val="-5"/>
                <w:lang w:eastAsia="en-US"/>
              </w:rPr>
            </w:pPr>
            <w:r>
              <w:rPr>
                <w:spacing w:val="-5"/>
                <w:lang w:eastAsia="en-US"/>
              </w:rPr>
              <w:t>Na poklesu celkových výdajů se podílely v první řadě běžné výdaje, v nichž se projevil především útlum mimořádných dotací v energetice.</w:t>
            </w:r>
          </w:p>
        </w:tc>
        <w:tc>
          <w:tcPr>
            <w:tcW w:w="203" w:type="dxa"/>
          </w:tcPr>
          <w:p w14:paraId="569B5E44" w14:textId="77777777" w:rsidR="00F204DA" w:rsidRDefault="00F204DA">
            <w:pPr>
              <w:pStyle w:val="Textpoznpodarou"/>
              <w:jc w:val="both"/>
              <w:rPr>
                <w:spacing w:val="-4"/>
                <w:lang w:eastAsia="en-US"/>
              </w:rPr>
            </w:pPr>
          </w:p>
        </w:tc>
        <w:tc>
          <w:tcPr>
            <w:tcW w:w="7674" w:type="dxa"/>
            <w:hideMark/>
          </w:tcPr>
          <w:p w14:paraId="217C406E" w14:textId="77777777" w:rsidR="00F204DA" w:rsidRDefault="00F204DA">
            <w:pPr>
              <w:spacing w:after="200"/>
              <w:rPr>
                <w:color w:val="0D0D0D" w:themeColor="text1" w:themeTint="F2"/>
                <w:spacing w:val="-4"/>
                <w:lang w:eastAsia="en-US"/>
              </w:rPr>
            </w:pPr>
            <w:r>
              <w:rPr>
                <w:color w:val="0D0D0D" w:themeColor="text1" w:themeTint="F2"/>
                <w:spacing w:val="-4"/>
                <w:lang w:eastAsia="en-US"/>
              </w:rPr>
              <w:t xml:space="preserve">Výdaje SR se v 1. čtvrtletí 2024 v souladu s celoročním rozpočtovým očekáváním meziročně snížily, a to o 2,6 % (−14,6 mld., korun). Pokles v této části roku tak zaznamenaly teprve podruhé po roce 2010. Ve srovnání s „běžným“ počátkem roku 2022, kdy již rozpočet nebyl významně zatížen financováním protipandemické pomoci, ovšem celkové výdaje narostly o celou třetinu. Letošní meziroční pokles souvisí primárně s nižšími běžnými výdaji (−12,1 mld. korun), v nichž se zřetelně projevil útlum dotací do oblasti energetiky (−16,6 mld. korun) umožněný díky příznivému vývoji cen energií na světových trzích. Zklidnění cenového růstu v ekonomice se příznivě odrazilo i v redukci výdajů na obsluhu státního dluhu a v nižším tlaku na valorizaci širokého spektra sociálních dávek. Ten byl dále u důchodů zmírněn legislativními změnami řádné i mimořádné valorizace či zpřísněním podmínek přiznání předčasného důchodu. Dílčí vliv mělo i utlumení uprchlické vlny a postupující integrace ukrajinských držitelů dočasné ochrany na tuzemský pracovní trh. Na druhou stranu pokračující válka na Ukrajině spolu s obecným nárůstem geopolitického napětí zvýraznily vyšší potřebu veřejných výdajů </w:t>
            </w:r>
            <w:r>
              <w:rPr>
                <w:spacing w:val="-4"/>
                <w:lang w:eastAsia="en-US"/>
              </w:rPr>
              <w:t>na obranu a bezpečnost.</w:t>
            </w:r>
          </w:p>
        </w:tc>
      </w:tr>
      <w:tr w:rsidR="00F204DA" w14:paraId="4F2461DA" w14:textId="77777777" w:rsidTr="00F204DA">
        <w:trPr>
          <w:trHeight w:val="170"/>
        </w:trPr>
        <w:tc>
          <w:tcPr>
            <w:tcW w:w="1792" w:type="dxa"/>
            <w:hideMark/>
          </w:tcPr>
          <w:p w14:paraId="1131F9D6" w14:textId="77777777" w:rsidR="00F204DA" w:rsidRDefault="00F204DA">
            <w:pPr>
              <w:pStyle w:val="Marginlie"/>
              <w:rPr>
                <w:spacing w:val="-5"/>
                <w:lang w:eastAsia="en-US"/>
              </w:rPr>
            </w:pPr>
            <w:r>
              <w:rPr>
                <w:lang w:eastAsia="en-US"/>
              </w:rPr>
              <w:t>Navzdory úpravě valorizace přispěly loni k fiskální expanzi nejvíce výdaje na důchody. Schodek důchodového pojištění se meziročně významně nezměnil.</w:t>
            </w:r>
          </w:p>
        </w:tc>
        <w:tc>
          <w:tcPr>
            <w:tcW w:w="203" w:type="dxa"/>
          </w:tcPr>
          <w:p w14:paraId="454A314D" w14:textId="77777777" w:rsidR="00F204DA" w:rsidRDefault="00F204DA">
            <w:pPr>
              <w:pStyle w:val="Textpoznpodarou"/>
              <w:jc w:val="both"/>
              <w:rPr>
                <w:spacing w:val="-4"/>
                <w:lang w:eastAsia="en-US"/>
              </w:rPr>
            </w:pPr>
          </w:p>
        </w:tc>
        <w:tc>
          <w:tcPr>
            <w:tcW w:w="7674" w:type="dxa"/>
            <w:hideMark/>
          </w:tcPr>
          <w:p w14:paraId="4A523768" w14:textId="5ED9C625" w:rsidR="00F204DA" w:rsidRDefault="00F204DA" w:rsidP="00F204DA">
            <w:pPr>
              <w:spacing w:after="220"/>
              <w:rPr>
                <w:spacing w:val="-4"/>
                <w:lang w:eastAsia="en-US"/>
              </w:rPr>
            </w:pPr>
            <w:r>
              <w:rPr>
                <w:spacing w:val="-4"/>
                <w:lang w:eastAsia="en-US"/>
              </w:rPr>
              <w:t xml:space="preserve">Proti hlubšímu poklesu běžných výdajů působily i letos tradičně sociální dávky. Ve srovnání s 1. čtvrtletím 2023 se zvýšily o 10,5 mld. korun, resp. 4,8 %. Jejich podíl na veškerých výdajích SR vystoupal na 41,4 %, když byl za posledních šest let vyšší pouze na počátku roku 2022. Takřka veškerý růst u sociálních dávek pokryly vyšší </w:t>
            </w:r>
            <w:r>
              <w:rPr>
                <w:color w:val="0D0D0D" w:themeColor="text1" w:themeTint="F2"/>
                <w:spacing w:val="-4"/>
                <w:lang w:eastAsia="en-US"/>
              </w:rPr>
              <w:t xml:space="preserve">výdaje na důchody, jež </w:t>
            </w:r>
            <w:r>
              <w:rPr>
                <w:spacing w:val="-4"/>
                <w:lang w:eastAsia="en-US"/>
              </w:rPr>
              <w:t>posílily o 5,5</w:t>
            </w:r>
            <w:r>
              <w:rPr>
                <w:color w:val="0D0D0D" w:themeColor="text1" w:themeTint="F2"/>
                <w:spacing w:val="-4"/>
                <w:lang w:eastAsia="en-US"/>
              </w:rPr>
              <w:t> </w:t>
            </w:r>
            <w:r>
              <w:rPr>
                <w:spacing w:val="-4"/>
                <w:lang w:eastAsia="en-US"/>
              </w:rPr>
              <w:t>% (+9,3 mld. korun). Vlivem ústupu inflace i změny valorizačního mechanismu</w:t>
            </w:r>
            <w:r>
              <w:rPr>
                <w:vertAlign w:val="superscript"/>
                <w:lang w:eastAsia="en-US"/>
              </w:rPr>
              <w:footnoteReference w:id="93"/>
            </w:r>
            <w:r>
              <w:rPr>
                <w:spacing w:val="-4"/>
                <w:lang w:eastAsia="en-US"/>
              </w:rPr>
              <w:t xml:space="preserve"> šlo však o nejnižší procentní růst za posledních osm čtvrtletí. Objem výdajů byl ovlivněn jak loňským mimořádným navýšením, tak letošní řádnou valorizací.</w:t>
            </w:r>
            <w:r>
              <w:rPr>
                <w:rFonts w:ascii="Segoe UI" w:hAnsi="Segoe UI" w:cs="Segoe UI"/>
                <w:color w:val="000000"/>
                <w:lang w:eastAsia="en-US"/>
              </w:rPr>
              <w:t xml:space="preserve"> </w:t>
            </w:r>
            <w:r>
              <w:rPr>
                <w:spacing w:val="-4"/>
                <w:lang w:eastAsia="en-US"/>
              </w:rPr>
              <w:t xml:space="preserve">Vlivem výrazně vyššího zájmu </w:t>
            </w:r>
            <w:r>
              <w:rPr>
                <w:color w:val="0D0D0D" w:themeColor="text1" w:themeTint="F2"/>
                <w:spacing w:val="-4"/>
                <w:lang w:eastAsia="en-US"/>
              </w:rPr>
              <w:t>o předčasné penze</w:t>
            </w:r>
            <w:r>
              <w:rPr>
                <w:rStyle w:val="Znakapoznpodarou"/>
                <w:color w:val="0D0D0D" w:themeColor="text1" w:themeTint="F2"/>
                <w:spacing w:val="-4"/>
                <w:lang w:eastAsia="en-US"/>
              </w:rPr>
              <w:footnoteReference w:id="94"/>
            </w:r>
            <w:r>
              <w:rPr>
                <w:color w:val="0D0D0D" w:themeColor="text1" w:themeTint="F2"/>
                <w:spacing w:val="-4"/>
                <w:lang w:eastAsia="en-US"/>
              </w:rPr>
              <w:t xml:space="preserve"> se zastavil více než tři roky trvající pokles počtu příjemců některého z důchodů.</w:t>
            </w:r>
            <w:r>
              <w:rPr>
                <w:spacing w:val="-6"/>
                <w:lang w:eastAsia="en-US"/>
              </w:rPr>
              <w:t xml:space="preserve"> Ačkoli stále dobrá kondice tuzemského trhu práce i změna legislativy podporovaly</w:t>
            </w:r>
            <w:r>
              <w:rPr>
                <w:spacing w:val="-4"/>
                <w:lang w:eastAsia="en-US"/>
              </w:rPr>
              <w:t xml:space="preserve"> svižný růst příjmů </w:t>
            </w:r>
            <w:r>
              <w:rPr>
                <w:rFonts w:cs="Arial"/>
                <w:color w:val="0D0D0D" w:themeColor="text1" w:themeTint="F2"/>
                <w:spacing w:val="-4"/>
                <w:lang w:eastAsia="en-US"/>
              </w:rPr>
              <w:t xml:space="preserve">důchodového pojištění (a jeho meziroční tempo bylo na počátku roku srovnatelné s výdaji), saldo systému </w:t>
            </w:r>
            <w:r>
              <w:rPr>
                <w:rFonts w:cs="Arial"/>
                <w:color w:val="0D0D0D" w:themeColor="text1" w:themeTint="F2"/>
                <w:spacing w:val="-2"/>
                <w:lang w:eastAsia="en-US"/>
              </w:rPr>
              <w:t>důchodového pojištění</w:t>
            </w:r>
            <w:r>
              <w:rPr>
                <w:rStyle w:val="Znakapoznpodarou"/>
                <w:color w:val="0D0D0D" w:themeColor="text1" w:themeTint="F2"/>
                <w:spacing w:val="-2"/>
                <w:lang w:eastAsia="en-US"/>
              </w:rPr>
              <w:footnoteReference w:id="95"/>
            </w:r>
            <w:r>
              <w:rPr>
                <w:rFonts w:cs="Arial"/>
                <w:color w:val="0D0D0D" w:themeColor="text1" w:themeTint="F2"/>
                <w:spacing w:val="-2"/>
                <w:lang w:eastAsia="en-US"/>
              </w:rPr>
              <w:t xml:space="preserve"> vykázalo za 1. čtvrtletí stále významný deficit (23 mld. korun), meziročně fakticky srovnatelný.</w:t>
            </w:r>
          </w:p>
        </w:tc>
      </w:tr>
      <w:tr w:rsidR="00F204DA" w14:paraId="20B4DA27" w14:textId="77777777" w:rsidTr="00F204DA">
        <w:trPr>
          <w:trHeight w:val="170"/>
        </w:trPr>
        <w:tc>
          <w:tcPr>
            <w:tcW w:w="1792" w:type="dxa"/>
            <w:hideMark/>
          </w:tcPr>
          <w:p w14:paraId="41CAD691" w14:textId="77777777" w:rsidR="00F204DA" w:rsidRDefault="00F204DA">
            <w:pPr>
              <w:pStyle w:val="Marginlie"/>
              <w:rPr>
                <w:lang w:eastAsia="en-US"/>
              </w:rPr>
            </w:pPr>
            <w:r>
              <w:rPr>
                <w:lang w:eastAsia="en-US"/>
              </w:rPr>
              <w:t>Výdaje na rodičovské příspěvky třetí rok v řadě klesly, snížil se i objem humanitárních dávek pro ukrajinské uprchlíky.</w:t>
            </w:r>
          </w:p>
          <w:p w14:paraId="1D964182" w14:textId="77777777" w:rsidR="00F204DA" w:rsidRDefault="00F204DA">
            <w:pPr>
              <w:pStyle w:val="Marginlie"/>
              <w:rPr>
                <w:lang w:eastAsia="en-US"/>
              </w:rPr>
            </w:pPr>
            <w:r>
              <w:rPr>
                <w:lang w:eastAsia="en-US"/>
              </w:rPr>
              <w:lastRenderedPageBreak/>
              <w:t>Nejrychleji se zvyšovaly výdaje na příspěvky na bydlení. Většina ostatních dávek rostla jen mírně.</w:t>
            </w:r>
          </w:p>
        </w:tc>
        <w:tc>
          <w:tcPr>
            <w:tcW w:w="203" w:type="dxa"/>
          </w:tcPr>
          <w:p w14:paraId="285BE0FC" w14:textId="77777777" w:rsidR="00F204DA" w:rsidRDefault="00F204DA">
            <w:pPr>
              <w:pStyle w:val="Textpoznpodarou"/>
              <w:jc w:val="both"/>
              <w:rPr>
                <w:spacing w:val="-4"/>
                <w:lang w:eastAsia="en-US"/>
              </w:rPr>
            </w:pPr>
          </w:p>
        </w:tc>
        <w:tc>
          <w:tcPr>
            <w:tcW w:w="7674" w:type="dxa"/>
            <w:hideMark/>
          </w:tcPr>
          <w:p w14:paraId="67D2E555" w14:textId="476FE3FE" w:rsidR="00F204DA" w:rsidRDefault="00F204DA" w:rsidP="00F204DA">
            <w:pPr>
              <w:spacing w:after="220"/>
              <w:rPr>
                <w:spacing w:val="-4"/>
                <w:lang w:eastAsia="en-US"/>
              </w:rPr>
            </w:pPr>
            <w:r>
              <w:rPr>
                <w:color w:val="0D0D0D" w:themeColor="text1" w:themeTint="F2"/>
                <w:spacing w:val="-4"/>
                <w:lang w:eastAsia="en-US"/>
              </w:rPr>
              <w:t xml:space="preserve">Růst výdajů na ostatní sociální dávky, obdobně jako u těch důchodových, letos v 1. čtvrtletí razantně zvolnil (na 2,5 % meziročně, nejméně v tomto období za posledních šest let). To souviselo s poklesem objemu </w:t>
            </w:r>
            <w:r>
              <w:rPr>
                <w:rFonts w:cs="Arial"/>
                <w:color w:val="0D0D0D" w:themeColor="text1" w:themeTint="F2"/>
                <w:spacing w:val="-5"/>
                <w:lang w:eastAsia="en-US"/>
              </w:rPr>
              <w:t>váhově významných</w:t>
            </w:r>
            <w:r>
              <w:rPr>
                <w:color w:val="0D0D0D" w:themeColor="text1" w:themeTint="F2"/>
                <w:spacing w:val="-4"/>
                <w:lang w:eastAsia="en-US"/>
              </w:rPr>
              <w:t xml:space="preserve"> rodičovských příspěvků (−0,5 mld.), </w:t>
            </w:r>
            <w:r>
              <w:rPr>
                <w:color w:val="0D0D0D" w:themeColor="text1" w:themeTint="F2"/>
                <w:spacing w:val="-4"/>
                <w:lang w:eastAsia="en-US"/>
              </w:rPr>
              <w:lastRenderedPageBreak/>
              <w:t xml:space="preserve">který pokračoval třetím rokem v řadě. Zejména </w:t>
            </w:r>
            <w:r>
              <w:rPr>
                <w:color w:val="0D0D0D" w:themeColor="text1" w:themeTint="F2"/>
                <w:spacing w:val="-6"/>
                <w:lang w:eastAsia="en-US"/>
              </w:rPr>
              <w:t>vlivem většího zacílení</w:t>
            </w:r>
            <w:r>
              <w:rPr>
                <w:rStyle w:val="Znakapoznpodarou"/>
                <w:color w:val="0D0D0D" w:themeColor="text1" w:themeTint="F2"/>
                <w:spacing w:val="-6"/>
                <w:lang w:eastAsia="en-US"/>
              </w:rPr>
              <w:footnoteReference w:id="96"/>
            </w:r>
            <w:r>
              <w:rPr>
                <w:color w:val="0D0D0D" w:themeColor="text1" w:themeTint="F2"/>
                <w:spacing w:val="-6"/>
                <w:lang w:eastAsia="en-US"/>
              </w:rPr>
              <w:t xml:space="preserve"> se snížil objem humanitárních dávek </w:t>
            </w:r>
            <w:r>
              <w:rPr>
                <w:spacing w:val="-6"/>
                <w:lang w:eastAsia="en-US"/>
              </w:rPr>
              <w:t xml:space="preserve">pro </w:t>
            </w:r>
            <w:r>
              <w:rPr>
                <w:rFonts w:cs="Arial"/>
                <w:color w:val="0D0D0D" w:themeColor="text1" w:themeTint="F2"/>
                <w:spacing w:val="-6"/>
                <w:lang w:eastAsia="en-US"/>
              </w:rPr>
              <w:t>uprchlíky z Ukrajiny (−13 %</w:t>
            </w:r>
            <w:r>
              <w:rPr>
                <w:rFonts w:cs="Arial"/>
                <w:color w:val="0D0D0D" w:themeColor="text1" w:themeTint="F2"/>
                <w:spacing w:val="-4"/>
                <w:lang w:eastAsia="en-US"/>
              </w:rPr>
              <w:t xml:space="preserve">, na 1,9 mld. </w:t>
            </w:r>
            <w:r>
              <w:rPr>
                <w:rFonts w:cs="Arial"/>
                <w:color w:val="0D0D0D" w:themeColor="text1" w:themeTint="F2"/>
                <w:spacing w:val="-5"/>
                <w:lang w:eastAsia="en-US"/>
              </w:rPr>
              <w:t>korun). SR naopak více zatížily především vyšší výdaje na příspěvky na bydlení (+30 %, resp. +1,2 mld. korun</w:t>
            </w:r>
            <w:r>
              <w:rPr>
                <w:rStyle w:val="Znakapoznpodarou"/>
                <w:color w:val="0D0D0D" w:themeColor="text1" w:themeTint="F2"/>
                <w:spacing w:val="-5"/>
                <w:lang w:eastAsia="en-US"/>
              </w:rPr>
              <w:footnoteReference w:id="97"/>
            </w:r>
            <w:r>
              <w:rPr>
                <w:rFonts w:cs="Arial"/>
                <w:color w:val="0D0D0D" w:themeColor="text1" w:themeTint="F2"/>
                <w:spacing w:val="-5"/>
                <w:lang w:eastAsia="en-US"/>
              </w:rPr>
              <w:t xml:space="preserve">), a to při navýšení počtu příjemců o 10 %. </w:t>
            </w:r>
            <w:r>
              <w:rPr>
                <w:rFonts w:cs="Arial"/>
                <w:color w:val="0D0D0D" w:themeColor="text1" w:themeTint="F2"/>
                <w:spacing w:val="-4"/>
                <w:lang w:eastAsia="en-US"/>
              </w:rPr>
              <w:t xml:space="preserve">Projevil se zde dopad </w:t>
            </w:r>
            <w:r>
              <w:rPr>
                <w:color w:val="0D0D0D" w:themeColor="text1" w:themeTint="F2"/>
                <w:spacing w:val="-4"/>
                <w:lang w:eastAsia="en-US"/>
              </w:rPr>
              <w:t>vysokých cen energií a </w:t>
            </w:r>
            <w:r>
              <w:rPr>
                <w:spacing w:val="-4"/>
                <w:lang w:eastAsia="en-US"/>
              </w:rPr>
              <w:t>zvýšení nákladů uznatelných pro výplatu, ale i růstu povědomí o</w:t>
            </w:r>
            <w:r>
              <w:rPr>
                <w:color w:val="0D0D0D" w:themeColor="text1" w:themeTint="F2"/>
                <w:spacing w:val="-4"/>
                <w:lang w:eastAsia="en-US"/>
              </w:rPr>
              <w:t> </w:t>
            </w:r>
            <w:r>
              <w:rPr>
                <w:spacing w:val="-4"/>
                <w:lang w:eastAsia="en-US"/>
              </w:rPr>
              <w:t>možnosti čerpání této pomoci v populaci a zjednodušení procedury podání žádosti o</w:t>
            </w:r>
            <w:r>
              <w:rPr>
                <w:color w:val="0D0D0D" w:themeColor="text1" w:themeTint="F2"/>
                <w:spacing w:val="-4"/>
                <w:lang w:eastAsia="en-US"/>
              </w:rPr>
              <w:t> </w:t>
            </w:r>
            <w:r>
              <w:rPr>
                <w:spacing w:val="-4"/>
                <w:lang w:eastAsia="en-US"/>
              </w:rPr>
              <w:t xml:space="preserve">dávku. Podruhé v řadě se meziročně zvýšily výdaje na podporu v nezaměstnanosti (letos o 0,5 mil. korun, zejména kvůli mírnému růstu počtu osob s nárokem na pomoc). Mírnějším tempem (do 5 %) se zvýšil objem některých významnějších příjmově testovaných dávek (přídavky na děti, příspěvek na živobytí) nebo dávky pro zdravotně postižené. Objemově významné příspěvky na péči </w:t>
            </w:r>
            <w:r>
              <w:rPr>
                <w:rFonts w:cs="Arial"/>
                <w:color w:val="0D0D0D" w:themeColor="text1" w:themeTint="F2"/>
                <w:spacing w:val="-4"/>
                <w:lang w:eastAsia="en-US"/>
              </w:rPr>
              <w:t>pro dlouhodobě nemocné stagnovaly, podobně jako vyplacené dávky nemocenského pojištění.</w:t>
            </w:r>
          </w:p>
        </w:tc>
      </w:tr>
      <w:tr w:rsidR="00F204DA" w14:paraId="01D558B2" w14:textId="77777777" w:rsidTr="00F204DA">
        <w:trPr>
          <w:trHeight w:val="170"/>
        </w:trPr>
        <w:tc>
          <w:tcPr>
            <w:tcW w:w="1792" w:type="dxa"/>
            <w:hideMark/>
          </w:tcPr>
          <w:p w14:paraId="5521CFB3" w14:textId="77777777" w:rsidR="00F204DA" w:rsidRDefault="00F204DA">
            <w:pPr>
              <w:pStyle w:val="Marginlie"/>
              <w:rPr>
                <w:lang w:eastAsia="en-US"/>
              </w:rPr>
            </w:pPr>
            <w:r>
              <w:rPr>
                <w:lang w:eastAsia="en-US"/>
              </w:rPr>
              <w:lastRenderedPageBreak/>
              <w:t xml:space="preserve">Za vyššími výdaji na neinvestiční nákupy stál zejména nákup armádní techniky. </w:t>
            </w:r>
          </w:p>
        </w:tc>
        <w:tc>
          <w:tcPr>
            <w:tcW w:w="203" w:type="dxa"/>
          </w:tcPr>
          <w:p w14:paraId="0D29F573" w14:textId="77777777" w:rsidR="00F204DA" w:rsidRDefault="00F204DA">
            <w:pPr>
              <w:pStyle w:val="Textpoznpodarou"/>
              <w:jc w:val="both"/>
              <w:rPr>
                <w:spacing w:val="-4"/>
                <w:lang w:eastAsia="en-US"/>
              </w:rPr>
            </w:pPr>
          </w:p>
        </w:tc>
        <w:tc>
          <w:tcPr>
            <w:tcW w:w="7674" w:type="dxa"/>
            <w:hideMark/>
          </w:tcPr>
          <w:p w14:paraId="1DB9F414" w14:textId="77777777" w:rsidR="00F204DA" w:rsidRDefault="00F204DA">
            <w:pPr>
              <w:spacing w:after="220"/>
              <w:rPr>
                <w:color w:val="0D0D0D" w:themeColor="text1" w:themeTint="F2"/>
                <w:spacing w:val="-4"/>
                <w:lang w:eastAsia="en-US"/>
              </w:rPr>
            </w:pPr>
            <w:r>
              <w:rPr>
                <w:color w:val="0D0D0D" w:themeColor="text1" w:themeTint="F2"/>
                <w:spacing w:val="-4"/>
                <w:lang w:eastAsia="en-US"/>
              </w:rPr>
              <w:t xml:space="preserve">Vedle sociálních dávek více zatížily SR vyšší výdaje na neinvestiční nákupy a související výdaje (bez obsluhy dluhu), jež se meziročně zvýšily o více než čtvrtinu (resp. 4 mld. korun). To souviselo s vyššími nákupy služeb (v oblasti armádní techniky), dále s výdaji na opravy a udržování a s mírným posílením výdajů na nákup vody, paliv a energií. Dále vlivem automatické valorizace vzrostly o 3,1 mld. (+9 %) výdaje za platby veřejného zdravotního pojištění za tzv. státní pojištěnce. O desetinu více než loni vydal SR na dotace státním fondům, především vlivem vyšších transferů na krytí deficitu v oblasti dopravní infrastruktury. </w:t>
            </w:r>
          </w:p>
        </w:tc>
      </w:tr>
      <w:tr w:rsidR="00F204DA" w14:paraId="2BEEE9B5" w14:textId="77777777" w:rsidTr="00F204DA">
        <w:trPr>
          <w:trHeight w:val="170"/>
        </w:trPr>
        <w:tc>
          <w:tcPr>
            <w:tcW w:w="1792" w:type="dxa"/>
            <w:hideMark/>
          </w:tcPr>
          <w:p w14:paraId="70B84555" w14:textId="77777777" w:rsidR="00F204DA" w:rsidRDefault="00F204DA">
            <w:pPr>
              <w:pStyle w:val="Marginlie"/>
              <w:rPr>
                <w:lang w:eastAsia="en-US"/>
              </w:rPr>
            </w:pPr>
            <w:r>
              <w:rPr>
                <w:lang w:eastAsia="en-US"/>
              </w:rPr>
              <w:t>Dotace podnikatelům po mimořádném roce 2023 letos razantně klesly, proti roku 2019 však byly stále bezmála dvojnásobné.</w:t>
            </w:r>
          </w:p>
        </w:tc>
        <w:tc>
          <w:tcPr>
            <w:tcW w:w="203" w:type="dxa"/>
          </w:tcPr>
          <w:p w14:paraId="6848AF36" w14:textId="77777777" w:rsidR="00F204DA" w:rsidRDefault="00F204DA">
            <w:pPr>
              <w:pStyle w:val="Textpoznpodarou"/>
              <w:jc w:val="both"/>
              <w:rPr>
                <w:spacing w:val="-4"/>
                <w:lang w:eastAsia="en-US"/>
              </w:rPr>
            </w:pPr>
          </w:p>
        </w:tc>
        <w:tc>
          <w:tcPr>
            <w:tcW w:w="7674" w:type="dxa"/>
            <w:hideMark/>
          </w:tcPr>
          <w:p w14:paraId="47769996" w14:textId="77777777" w:rsidR="00F204DA" w:rsidRDefault="00F204DA">
            <w:pPr>
              <w:spacing w:after="220"/>
              <w:rPr>
                <w:color w:val="0D0D0D" w:themeColor="text1" w:themeTint="F2"/>
                <w:spacing w:val="-4"/>
                <w:lang w:eastAsia="en-US"/>
              </w:rPr>
            </w:pPr>
            <w:r>
              <w:rPr>
                <w:color w:val="0D0D0D" w:themeColor="text1" w:themeTint="F2"/>
                <w:spacing w:val="-4"/>
                <w:lang w:eastAsia="en-US"/>
              </w:rPr>
              <w:t xml:space="preserve">Ve směru poklesu celkových výdajů SR působil v 1. čtvrtletí 2024 nejvíce očekávaný hluboký propad neinvestičních dotací podnikatelům. Ty meziročně klesly o více než třetinu (byly i znatelně nižší než v „pandemickém“ roce 2021, ale úroveň z počátku roku 2019 současně převyšovaly skoro dvojnásobně). Velká část jejich objemu i poklesu byla spjatá s dotacemi do oblasti energetiky (např. </w:t>
            </w:r>
            <w:r>
              <w:rPr>
                <w:color w:val="0D0D0D" w:themeColor="text1" w:themeTint="F2"/>
                <w:spacing w:val="-5"/>
                <w:lang w:eastAsia="en-US"/>
              </w:rPr>
              <w:t xml:space="preserve">výdaje na zastropování cen elektřiny a plynu zákazníkům klesly z 21,1 mld. na 6,5 mld., snížily se i dotace provozovatelům přenosové soustavy a program na pomoc podnikatelům se zvýšenými cenami energií byl zcela zastaven). SR dále ušetří i na aktivní politice zaměstnanosti. Naopak u zálohových dotací na obnovitelné zdroje energií bylo zatím letos vyplaceno více (+4,4 mld. korun).  </w:t>
            </w:r>
          </w:p>
        </w:tc>
      </w:tr>
      <w:tr w:rsidR="00F204DA" w14:paraId="0C8634F1" w14:textId="77777777" w:rsidTr="00F204DA">
        <w:trPr>
          <w:trHeight w:val="170"/>
        </w:trPr>
        <w:tc>
          <w:tcPr>
            <w:tcW w:w="1792" w:type="dxa"/>
            <w:hideMark/>
          </w:tcPr>
          <w:p w14:paraId="078892E8" w14:textId="77777777" w:rsidR="00F204DA" w:rsidRDefault="00F204DA">
            <w:pPr>
              <w:pStyle w:val="Marginlie"/>
              <w:rPr>
                <w:lang w:eastAsia="en-US"/>
              </w:rPr>
            </w:pPr>
            <w:r>
              <w:rPr>
                <w:lang w:eastAsia="en-US"/>
              </w:rPr>
              <w:t>Pokles výdajů na státní dluh ovlivnila vysoká loňská výplata státních protiinflačních dluhopisů.</w:t>
            </w:r>
          </w:p>
        </w:tc>
        <w:tc>
          <w:tcPr>
            <w:tcW w:w="203" w:type="dxa"/>
          </w:tcPr>
          <w:p w14:paraId="1D789311" w14:textId="77777777" w:rsidR="00F204DA" w:rsidRDefault="00F204DA">
            <w:pPr>
              <w:pStyle w:val="Textpoznpodarou"/>
              <w:jc w:val="both"/>
              <w:rPr>
                <w:spacing w:val="-4"/>
                <w:lang w:eastAsia="en-US"/>
              </w:rPr>
            </w:pPr>
          </w:p>
        </w:tc>
        <w:tc>
          <w:tcPr>
            <w:tcW w:w="7674" w:type="dxa"/>
            <w:hideMark/>
          </w:tcPr>
          <w:p w14:paraId="35AEC346" w14:textId="77777777" w:rsidR="00F204DA" w:rsidRDefault="00F204DA">
            <w:pPr>
              <w:spacing w:after="220"/>
              <w:rPr>
                <w:color w:val="0D0D0D" w:themeColor="text1" w:themeTint="F2"/>
                <w:spacing w:val="-4"/>
                <w:lang w:eastAsia="en-US"/>
              </w:rPr>
            </w:pPr>
            <w:r>
              <w:rPr>
                <w:color w:val="0D0D0D" w:themeColor="text1" w:themeTint="F2"/>
                <w:spacing w:val="-4"/>
                <w:lang w:eastAsia="en-US"/>
              </w:rPr>
              <w:t xml:space="preserve">Významnější meziroční pokles, jenž nastal také u dotací územním rozpočtům </w:t>
            </w:r>
            <w:r>
              <w:rPr>
                <w:color w:val="0D0D0D" w:themeColor="text1" w:themeTint="F2"/>
                <w:spacing w:val="-4"/>
                <w:lang w:eastAsia="en-US"/>
              </w:rPr>
              <w:br/>
              <w:t>(−6,5 mld. korun), souvisel v první řadě s loňským předfinancováním záloh soukromému školství, v menší míře také s klesajícím kompenzačním příspěvkem na nouzové ubytování osob z Ukrajiny. Oproti rekordním výdajům na obsluhu státního dluhu z počátku loňského roku</w:t>
            </w:r>
            <w:r>
              <w:rPr>
                <w:rStyle w:val="Znakapoznpodarou"/>
                <w:spacing w:val="-4"/>
                <w:lang w:eastAsia="en-US"/>
              </w:rPr>
              <w:footnoteReference w:id="98"/>
            </w:r>
            <w:r>
              <w:rPr>
                <w:color w:val="0D0D0D" w:themeColor="text1" w:themeTint="F2"/>
                <w:spacing w:val="-4"/>
                <w:lang w:eastAsia="en-US"/>
              </w:rPr>
              <w:t xml:space="preserve"> vydal SR letos skoro třetinu (o 5 mld. korun méně). Nižší byly i povinné odvody ČR do rozpočtu EU (−3,5 mld.), nicméně rozpočtový plán počítá za celý rok 2024 s jejich mírným navýšením. Dotace příspěvkovým organizacím letos spíše stagnovaly a podobné platí také o výdajích na platy v organizačních složkách státu, kde se promítá plošné snížení o 2 % související s realizací konsolidačního balíčku. </w:t>
            </w:r>
          </w:p>
        </w:tc>
      </w:tr>
      <w:tr w:rsidR="00F204DA" w14:paraId="23059981" w14:textId="77777777" w:rsidTr="00F204DA">
        <w:trPr>
          <w:trHeight w:val="170"/>
        </w:trPr>
        <w:tc>
          <w:tcPr>
            <w:tcW w:w="1792" w:type="dxa"/>
          </w:tcPr>
          <w:p w14:paraId="13A9B33B" w14:textId="55F28E4F" w:rsidR="00F204DA" w:rsidRDefault="00F204DA">
            <w:pPr>
              <w:pStyle w:val="Marginlie"/>
              <w:rPr>
                <w:lang w:eastAsia="en-US"/>
              </w:rPr>
            </w:pPr>
            <w:r>
              <w:rPr>
                <w:lang w:eastAsia="en-US"/>
              </w:rPr>
              <w:t>Investice SR se na počátku roku po</w:t>
            </w:r>
            <w:r w:rsidR="00EC6B23">
              <w:rPr>
                <w:lang w:eastAsia="en-US"/>
              </w:rPr>
              <w:t xml:space="preserve"> loňském</w:t>
            </w:r>
            <w:r>
              <w:rPr>
                <w:lang w:eastAsia="en-US"/>
              </w:rPr>
              <w:t xml:space="preserve"> svižné</w:t>
            </w:r>
            <w:r w:rsidR="00EC6B23">
              <w:rPr>
                <w:lang w:eastAsia="en-US"/>
              </w:rPr>
              <w:t>m</w:t>
            </w:r>
            <w:r>
              <w:rPr>
                <w:lang w:eastAsia="en-US"/>
              </w:rPr>
              <w:t xml:space="preserve"> růstu snížily. Pokračovaly zvýšené nákupy v oblasti obrany.</w:t>
            </w:r>
          </w:p>
          <w:p w14:paraId="704DA251" w14:textId="77777777" w:rsidR="00F204DA" w:rsidRDefault="00F204DA">
            <w:pPr>
              <w:pStyle w:val="Marginlie"/>
              <w:rPr>
                <w:lang w:eastAsia="en-US"/>
              </w:rPr>
            </w:pPr>
          </w:p>
        </w:tc>
        <w:tc>
          <w:tcPr>
            <w:tcW w:w="203" w:type="dxa"/>
          </w:tcPr>
          <w:p w14:paraId="6D58ECFE" w14:textId="77777777" w:rsidR="00F204DA" w:rsidRDefault="00F204DA">
            <w:pPr>
              <w:pStyle w:val="Textpoznpodarou"/>
              <w:jc w:val="both"/>
              <w:rPr>
                <w:spacing w:val="-4"/>
                <w:lang w:eastAsia="en-US"/>
              </w:rPr>
            </w:pPr>
          </w:p>
        </w:tc>
        <w:tc>
          <w:tcPr>
            <w:tcW w:w="7674" w:type="dxa"/>
            <w:hideMark/>
          </w:tcPr>
          <w:p w14:paraId="0788B7F3" w14:textId="77777777" w:rsidR="00F204DA" w:rsidRDefault="00F204DA">
            <w:pPr>
              <w:rPr>
                <w:color w:val="0D0D0D" w:themeColor="text1" w:themeTint="F2"/>
                <w:spacing w:val="-4"/>
                <w:lang w:eastAsia="en-US"/>
              </w:rPr>
            </w:pPr>
            <w:r>
              <w:rPr>
                <w:color w:val="0D0D0D" w:themeColor="text1" w:themeTint="F2"/>
                <w:spacing w:val="-4"/>
                <w:lang w:eastAsia="en-US"/>
              </w:rPr>
              <w:t xml:space="preserve">Kapitálové výdaje SR se v souladu s rozpočtovým očekáváním v 1. čtvrtletí meziročně snížily, a to o 7,1 %, resp. 2,6 mld. korun. Na poklesu se podílely oblasti, u nichž se předpokládá financování čistě z národních zdrojů. Nižší byly nepravidelně poskytované dotace Státnímu fondu dopravní infrastruktury (−6,4 mld. korun) a Státnímu fondu životního prostředí (−4,1 mld. korun). Mírněji naproti tomu rostly transfery územním rozpočtům </w:t>
            </w:r>
            <w:r>
              <w:rPr>
                <w:color w:val="0D0D0D" w:themeColor="text1" w:themeTint="F2"/>
                <w:spacing w:val="-4"/>
                <w:lang w:eastAsia="en-US"/>
              </w:rPr>
              <w:br/>
              <w:t xml:space="preserve">a podnikatelům – v obou případech určené na dobíhající projekty z programového období 2014 až 2021. Podobně jako loni se zvyšovaly investiční nákupy (pořízení dlouhodobého hmotného majetku), především v oblasti obrany. Celkové investice SR tvořily v 1. čtvrtletí </w:t>
            </w:r>
            <w:r>
              <w:rPr>
                <w:color w:val="0D0D0D" w:themeColor="text1" w:themeTint="F2"/>
                <w:spacing w:val="-4"/>
                <w:lang w:eastAsia="en-US"/>
              </w:rPr>
              <w:lastRenderedPageBreak/>
              <w:t>6,1 % veškerých rozpočtových výdajů, v kontextu poslední dekády jde za toto období roku o mírně nadprůměrný podíl.</w:t>
            </w:r>
          </w:p>
        </w:tc>
      </w:tr>
      <w:tr w:rsidR="00F204DA" w14:paraId="4B4414F5" w14:textId="77777777" w:rsidTr="00F204DA">
        <w:trPr>
          <w:trHeight w:val="170"/>
        </w:trPr>
        <w:tc>
          <w:tcPr>
            <w:tcW w:w="1792" w:type="dxa"/>
            <w:hideMark/>
          </w:tcPr>
          <w:p w14:paraId="28DEB47E" w14:textId="77777777" w:rsidR="00F204DA" w:rsidRDefault="00F204DA">
            <w:pPr>
              <w:pStyle w:val="Marginlie"/>
              <w:rPr>
                <w:lang w:eastAsia="en-US"/>
              </w:rPr>
            </w:pPr>
            <w:r>
              <w:rPr>
                <w:lang w:eastAsia="en-US"/>
              </w:rPr>
              <w:lastRenderedPageBreak/>
              <w:t>Státní dluh vystoupal na rekordní výši, tempo zadlužování však zvolnilo.</w:t>
            </w:r>
          </w:p>
        </w:tc>
        <w:tc>
          <w:tcPr>
            <w:tcW w:w="203" w:type="dxa"/>
          </w:tcPr>
          <w:p w14:paraId="02BF1C52" w14:textId="77777777" w:rsidR="00F204DA" w:rsidRDefault="00F204DA">
            <w:pPr>
              <w:pStyle w:val="Textpoznpodarou"/>
              <w:jc w:val="both"/>
              <w:rPr>
                <w:spacing w:val="-4"/>
                <w:lang w:eastAsia="en-US"/>
              </w:rPr>
            </w:pPr>
          </w:p>
        </w:tc>
        <w:tc>
          <w:tcPr>
            <w:tcW w:w="7674" w:type="dxa"/>
            <w:hideMark/>
          </w:tcPr>
          <w:p w14:paraId="78AE2165" w14:textId="77777777" w:rsidR="00F204DA" w:rsidRDefault="00F204DA">
            <w:pPr>
              <w:spacing w:after="200"/>
              <w:rPr>
                <w:color w:val="0D0D0D" w:themeColor="text1" w:themeTint="F2"/>
                <w:spacing w:val="-4"/>
                <w:lang w:eastAsia="en-US"/>
              </w:rPr>
            </w:pPr>
            <w:r>
              <w:rPr>
                <w:color w:val="0D0D0D" w:themeColor="text1" w:themeTint="F2"/>
                <w:spacing w:val="-2"/>
                <w:lang w:eastAsia="en-US"/>
              </w:rPr>
              <w:t>Pokračující deficitní hospodaření SR se promítlo v úrovni státního dluhu. Ten vystoupal na konci 1. čtvrtletí 2024 na rekordních 3 221 mld. korun. Meziročně se zvýšil o 7,5 %, rostl tak již 19 kvartálů v řadě. Tempo růstu však ve srovnání s 1. čtvrtletím loňského roku zvolnilo na polovinu. Od počátku letošního roku se dluh navýšil o 110 mld. korun, rostl tradičně zejména vnitřní zadlužeností, a to hlavně vlivem emise středně- a dlouhodobých státních dluhopisů, u nichž zároveň docházelo k postupnému prodlužování průměrné doby splatnosti</w:t>
            </w:r>
            <w:r>
              <w:rPr>
                <w:rStyle w:val="Znakapoznpodarou"/>
                <w:color w:val="0D0D0D" w:themeColor="text1" w:themeTint="F2"/>
                <w:spacing w:val="-2"/>
                <w:lang w:eastAsia="en-US"/>
              </w:rPr>
              <w:footnoteReference w:id="99"/>
            </w:r>
            <w:r>
              <w:rPr>
                <w:color w:val="0D0D0D" w:themeColor="text1" w:themeTint="F2"/>
                <w:spacing w:val="-2"/>
                <w:lang w:eastAsia="en-US"/>
              </w:rPr>
              <w:t xml:space="preserve">. Mezi držiteli všech domácích dluhopisů v oběhu dominovaly na konci 1. čtvrtletí finanční instituce (59,0 %, zejména banky, ale i pojišťovny a investiční a penzijní fondy), nerezidenti pak vlastnili 34,5 % dluhopisů. </w:t>
            </w:r>
          </w:p>
        </w:tc>
      </w:tr>
      <w:tr w:rsidR="00F204DA" w14:paraId="0FB0D609" w14:textId="77777777" w:rsidTr="00F204DA">
        <w:trPr>
          <w:trHeight w:val="170"/>
        </w:trPr>
        <w:tc>
          <w:tcPr>
            <w:tcW w:w="1792" w:type="dxa"/>
          </w:tcPr>
          <w:p w14:paraId="0DE4CFC0" w14:textId="77777777" w:rsidR="00F204DA" w:rsidRDefault="00F204DA">
            <w:pPr>
              <w:pStyle w:val="Marginlie"/>
              <w:rPr>
                <w:lang w:eastAsia="en-US"/>
              </w:rPr>
            </w:pPr>
          </w:p>
        </w:tc>
        <w:tc>
          <w:tcPr>
            <w:tcW w:w="203" w:type="dxa"/>
          </w:tcPr>
          <w:p w14:paraId="1E02BCF0" w14:textId="77777777" w:rsidR="00F204DA" w:rsidRDefault="00F204DA">
            <w:pPr>
              <w:pStyle w:val="Textpoznpodarou"/>
              <w:jc w:val="both"/>
              <w:rPr>
                <w:spacing w:val="-4"/>
                <w:lang w:eastAsia="en-US"/>
              </w:rPr>
            </w:pPr>
          </w:p>
        </w:tc>
        <w:tc>
          <w:tcPr>
            <w:tcW w:w="7674" w:type="dxa"/>
            <w:hideMark/>
          </w:tcPr>
          <w:p w14:paraId="6A1701E6" w14:textId="720EC478" w:rsidR="00F204DA" w:rsidRDefault="00EC6B23">
            <w:pPr>
              <w:spacing w:after="0"/>
              <w:rPr>
                <w:color w:val="0D0D0D" w:themeColor="text1" w:themeTint="F2"/>
                <w:spacing w:val="-3"/>
                <w:lang w:eastAsia="en-US"/>
              </w:rPr>
            </w:pPr>
            <w:r>
              <w:rPr>
                <w:b/>
                <w:lang w:eastAsia="en-US"/>
              </w:rPr>
              <w:t>Graf č. 18</w:t>
            </w:r>
            <w:r w:rsidR="00F204DA">
              <w:rPr>
                <w:b/>
                <w:lang w:eastAsia="en-US"/>
              </w:rPr>
              <w:t xml:space="preserve"> </w:t>
            </w:r>
            <w:r w:rsidR="00F204DA">
              <w:rPr>
                <w:rFonts w:cs="Arial"/>
                <w:b/>
                <w:bCs/>
                <w:lang w:eastAsia="en-US"/>
              </w:rPr>
              <w:t>Vybrané výdaje státního rozpočtu v rámci 1. čtvrtletí</w:t>
            </w:r>
          </w:p>
        </w:tc>
      </w:tr>
      <w:tr w:rsidR="00F204DA" w14:paraId="2F3A5C5B" w14:textId="77777777" w:rsidTr="00F204DA">
        <w:trPr>
          <w:trHeight w:val="170"/>
        </w:trPr>
        <w:tc>
          <w:tcPr>
            <w:tcW w:w="1792" w:type="dxa"/>
          </w:tcPr>
          <w:p w14:paraId="0E0FC5F4" w14:textId="77777777" w:rsidR="00F204DA" w:rsidRDefault="00F204DA">
            <w:pPr>
              <w:pStyle w:val="Marginlie"/>
              <w:rPr>
                <w:lang w:eastAsia="en-US"/>
              </w:rPr>
            </w:pPr>
          </w:p>
        </w:tc>
        <w:tc>
          <w:tcPr>
            <w:tcW w:w="203" w:type="dxa"/>
          </w:tcPr>
          <w:p w14:paraId="0E29DB57" w14:textId="77777777" w:rsidR="00F204DA" w:rsidRDefault="00F204DA">
            <w:pPr>
              <w:pStyle w:val="Textpoznpodarou"/>
              <w:jc w:val="both"/>
              <w:rPr>
                <w:spacing w:val="-4"/>
                <w:lang w:eastAsia="en-US"/>
              </w:rPr>
            </w:pPr>
          </w:p>
        </w:tc>
        <w:tc>
          <w:tcPr>
            <w:tcW w:w="7674" w:type="dxa"/>
            <w:hideMark/>
          </w:tcPr>
          <w:p w14:paraId="76D046D5" w14:textId="69491DB1" w:rsidR="00F204DA" w:rsidRDefault="00F204DA">
            <w:pPr>
              <w:spacing w:after="0"/>
              <w:rPr>
                <w:color w:val="0D0D0D" w:themeColor="text1" w:themeTint="F2"/>
                <w:spacing w:val="-3"/>
                <w:lang w:eastAsia="en-US"/>
              </w:rPr>
            </w:pPr>
            <w:r>
              <w:rPr>
                <w:noProof/>
              </w:rPr>
              <w:drawing>
                <wp:inline distT="0" distB="0" distL="0" distR="0" wp14:anchorId="10B75372" wp14:editId="5977F043">
                  <wp:extent cx="4723130" cy="3212465"/>
                  <wp:effectExtent l="0" t="0" r="1270" b="6985"/>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F204DA" w14:paraId="23598F77" w14:textId="77777777" w:rsidTr="00F204DA">
        <w:trPr>
          <w:trHeight w:val="170"/>
        </w:trPr>
        <w:tc>
          <w:tcPr>
            <w:tcW w:w="1792" w:type="dxa"/>
          </w:tcPr>
          <w:p w14:paraId="6CF5D603" w14:textId="77777777" w:rsidR="00F204DA" w:rsidRDefault="00F204DA">
            <w:pPr>
              <w:pStyle w:val="Marginlie"/>
              <w:rPr>
                <w:lang w:eastAsia="en-US"/>
              </w:rPr>
            </w:pPr>
          </w:p>
        </w:tc>
        <w:tc>
          <w:tcPr>
            <w:tcW w:w="203" w:type="dxa"/>
          </w:tcPr>
          <w:p w14:paraId="2E2031D1" w14:textId="77777777" w:rsidR="00F204DA" w:rsidRDefault="00F204DA">
            <w:pPr>
              <w:pStyle w:val="Textpoznpodarou"/>
              <w:jc w:val="both"/>
              <w:rPr>
                <w:spacing w:val="-4"/>
                <w:lang w:eastAsia="en-US"/>
              </w:rPr>
            </w:pPr>
          </w:p>
        </w:tc>
        <w:tc>
          <w:tcPr>
            <w:tcW w:w="7674" w:type="dxa"/>
            <w:hideMark/>
          </w:tcPr>
          <w:p w14:paraId="2423FB2A" w14:textId="77777777" w:rsidR="00F204DA" w:rsidRDefault="00F204DA">
            <w:pPr>
              <w:pStyle w:val="Textpoznpodarou"/>
              <w:rPr>
                <w:spacing w:val="-4"/>
                <w:sz w:val="14"/>
                <w:szCs w:val="14"/>
                <w:lang w:eastAsia="en-US"/>
              </w:rPr>
            </w:pPr>
            <w:r>
              <w:rPr>
                <w:spacing w:val="-4"/>
                <w:sz w:val="14"/>
                <w:szCs w:val="14"/>
                <w:lang w:eastAsia="en-US"/>
              </w:rPr>
              <w:t>*Pokrývají výdaje na platy v organizačních složkách státu. Nezahrnují například mzdové výdaje na regionální školství.</w:t>
            </w:r>
          </w:p>
          <w:p w14:paraId="136744BD" w14:textId="77777777" w:rsidR="00F204DA" w:rsidRDefault="00F204DA">
            <w:pPr>
              <w:pStyle w:val="Textpoznpodarou"/>
              <w:rPr>
                <w:spacing w:val="-4"/>
                <w:sz w:val="14"/>
                <w:szCs w:val="14"/>
                <w:lang w:eastAsia="en-US"/>
              </w:rPr>
            </w:pPr>
            <w:r>
              <w:rPr>
                <w:spacing w:val="-4"/>
                <w:sz w:val="14"/>
                <w:szCs w:val="14"/>
                <w:lang w:eastAsia="en-US"/>
              </w:rPr>
              <w:t xml:space="preserve">**Zahrnuje i dávky pěstounské péče.   </w:t>
            </w:r>
          </w:p>
          <w:p w14:paraId="7BC4CF43" w14:textId="77777777" w:rsidR="00F204DA" w:rsidRDefault="00F204DA">
            <w:pPr>
              <w:pStyle w:val="Textpoznpodarou"/>
              <w:rPr>
                <w:spacing w:val="-4"/>
                <w:sz w:val="14"/>
                <w:szCs w:val="14"/>
                <w:lang w:eastAsia="en-US"/>
              </w:rPr>
            </w:pPr>
            <w:r>
              <w:rPr>
                <w:spacing w:val="-4"/>
                <w:sz w:val="14"/>
                <w:szCs w:val="14"/>
                <w:lang w:eastAsia="en-US"/>
              </w:rPr>
              <w:t>***Zahrnují dávky pomoci v hmotné nouzi, dávky osobám se zdravotním postižením, příspěvek na péči dle zákona o soc. službách. Jsou zde obsaženy i dávky humanitární pomoci poskytnuté občanům Ukrajiny.</w:t>
            </w:r>
          </w:p>
          <w:p w14:paraId="48503DEB" w14:textId="77777777" w:rsidR="00F204DA" w:rsidRDefault="00F204DA">
            <w:pPr>
              <w:pStyle w:val="Textpoznpodarou"/>
              <w:rPr>
                <w:spacing w:val="-4"/>
                <w:sz w:val="14"/>
                <w:szCs w:val="14"/>
                <w:lang w:eastAsia="en-US"/>
              </w:rPr>
            </w:pPr>
            <w:r>
              <w:rPr>
                <w:spacing w:val="-4"/>
                <w:sz w:val="14"/>
                <w:szCs w:val="14"/>
                <w:lang w:eastAsia="en-US"/>
              </w:rPr>
              <w:t>****Obsahují zejména výdaje na nákup služeb, materiálu, energií či ostatních služeb (například výdaje na opravy a udržování).</w:t>
            </w:r>
          </w:p>
          <w:p w14:paraId="49642E85" w14:textId="77777777" w:rsidR="00F204DA" w:rsidRDefault="00F204DA">
            <w:pPr>
              <w:spacing w:after="200"/>
              <w:rPr>
                <w:color w:val="0D0D0D" w:themeColor="text1" w:themeTint="F2"/>
                <w:spacing w:val="-3"/>
                <w:lang w:eastAsia="en-US"/>
              </w:rPr>
            </w:pPr>
            <w:r>
              <w:rPr>
                <w:spacing w:val="-4"/>
                <w:sz w:val="14"/>
                <w:szCs w:val="14"/>
                <w:lang w:eastAsia="en-US"/>
              </w:rPr>
              <w:t xml:space="preserve">                                                                                                                                                                                                     Zdroj: MF ČR</w:t>
            </w:r>
          </w:p>
        </w:tc>
      </w:tr>
      <w:tr w:rsidR="00F204DA" w14:paraId="49FDAAB5" w14:textId="77777777" w:rsidTr="00F204DA">
        <w:trPr>
          <w:trHeight w:val="170"/>
        </w:trPr>
        <w:tc>
          <w:tcPr>
            <w:tcW w:w="1792" w:type="dxa"/>
          </w:tcPr>
          <w:p w14:paraId="3DE19854" w14:textId="77777777" w:rsidR="00F204DA" w:rsidRDefault="00F204DA">
            <w:pPr>
              <w:pStyle w:val="Marginlie"/>
              <w:rPr>
                <w:lang w:eastAsia="en-US"/>
              </w:rPr>
            </w:pPr>
            <w:r>
              <w:rPr>
                <w:lang w:eastAsia="en-US"/>
              </w:rPr>
              <w:t xml:space="preserve">Deficit sektoru vládních institucí se ve 4. čtvrtletí meziročně mírně prohloubil. </w:t>
            </w:r>
          </w:p>
          <w:p w14:paraId="129DAF07" w14:textId="77777777" w:rsidR="00F204DA" w:rsidRDefault="00F204DA">
            <w:pPr>
              <w:pStyle w:val="Marginlie"/>
              <w:rPr>
                <w:lang w:eastAsia="en-US"/>
              </w:rPr>
            </w:pPr>
          </w:p>
          <w:p w14:paraId="46505138" w14:textId="77777777" w:rsidR="00F204DA" w:rsidRDefault="00F204DA">
            <w:pPr>
              <w:pStyle w:val="Marginlie"/>
              <w:rPr>
                <w:lang w:eastAsia="en-US"/>
              </w:rPr>
            </w:pPr>
          </w:p>
          <w:p w14:paraId="1248BB98" w14:textId="77777777" w:rsidR="00F204DA" w:rsidRDefault="00F204DA">
            <w:pPr>
              <w:pStyle w:val="Marginlie"/>
              <w:rPr>
                <w:lang w:eastAsia="en-US"/>
              </w:rPr>
            </w:pPr>
          </w:p>
          <w:p w14:paraId="0B517F6D" w14:textId="77777777" w:rsidR="00F204DA" w:rsidRDefault="00F204DA">
            <w:pPr>
              <w:pStyle w:val="Marginlie"/>
              <w:rPr>
                <w:lang w:eastAsia="en-US"/>
              </w:rPr>
            </w:pPr>
            <w:r>
              <w:rPr>
                <w:lang w:eastAsia="en-US"/>
              </w:rPr>
              <w:t xml:space="preserve">K většímu zhoršení došlo v celoročním pohledu, </w:t>
            </w:r>
            <w:r>
              <w:rPr>
                <w:lang w:eastAsia="en-US"/>
              </w:rPr>
              <w:br/>
              <w:t>a to navzdory tomu, že přebytek místních vládních institucí vystoupal na rekordní výši.</w:t>
            </w:r>
          </w:p>
          <w:p w14:paraId="50923DD5" w14:textId="77777777" w:rsidR="00F204DA" w:rsidRDefault="00F204DA">
            <w:pPr>
              <w:pStyle w:val="Marginlie"/>
              <w:rPr>
                <w:lang w:eastAsia="en-US"/>
              </w:rPr>
            </w:pPr>
          </w:p>
          <w:p w14:paraId="155AE7ED" w14:textId="77777777" w:rsidR="00F204DA" w:rsidRDefault="00F204DA">
            <w:pPr>
              <w:pStyle w:val="Marginlie"/>
              <w:rPr>
                <w:lang w:eastAsia="en-US"/>
              </w:rPr>
            </w:pPr>
          </w:p>
          <w:p w14:paraId="5B8036E1" w14:textId="77777777" w:rsidR="00F204DA" w:rsidRDefault="00F204DA">
            <w:pPr>
              <w:pStyle w:val="Marginlie"/>
              <w:rPr>
                <w:lang w:eastAsia="en-US"/>
              </w:rPr>
            </w:pPr>
          </w:p>
          <w:p w14:paraId="60C63006" w14:textId="77777777" w:rsidR="00F204DA" w:rsidRDefault="00F204DA">
            <w:pPr>
              <w:pStyle w:val="Marginlie"/>
              <w:rPr>
                <w:lang w:eastAsia="en-US"/>
              </w:rPr>
            </w:pPr>
          </w:p>
        </w:tc>
        <w:tc>
          <w:tcPr>
            <w:tcW w:w="203" w:type="dxa"/>
          </w:tcPr>
          <w:p w14:paraId="2E2D51AA" w14:textId="77777777" w:rsidR="00F204DA" w:rsidRDefault="00F204DA">
            <w:pPr>
              <w:pStyle w:val="Textpoznpodarou"/>
              <w:jc w:val="both"/>
              <w:rPr>
                <w:spacing w:val="-4"/>
                <w:lang w:eastAsia="en-US"/>
              </w:rPr>
            </w:pPr>
          </w:p>
        </w:tc>
        <w:tc>
          <w:tcPr>
            <w:tcW w:w="7674" w:type="dxa"/>
            <w:hideMark/>
          </w:tcPr>
          <w:p w14:paraId="1BA2A76C" w14:textId="0AD0A4FE" w:rsidR="00F204DA" w:rsidRDefault="00F204DA" w:rsidP="00F204DA">
            <w:pPr>
              <w:spacing w:after="0"/>
              <w:rPr>
                <w:color w:val="0D0D0D" w:themeColor="text1" w:themeTint="F2"/>
                <w:spacing w:val="-3"/>
                <w:lang w:eastAsia="en-US"/>
              </w:rPr>
            </w:pPr>
            <w:r>
              <w:rPr>
                <w:color w:val="0D0D0D" w:themeColor="text1" w:themeTint="F2"/>
                <w:spacing w:val="-3"/>
                <w:lang w:eastAsia="en-US"/>
              </w:rPr>
              <w:t>Sektor vládních institucí (VI) v ČR hospodařil ve 4. čtvrtletí 2023</w:t>
            </w:r>
            <w:r>
              <w:rPr>
                <w:rStyle w:val="Znakapoznpodarou"/>
                <w:color w:val="0D0D0D" w:themeColor="text1" w:themeTint="F2"/>
                <w:spacing w:val="-3"/>
                <w:lang w:eastAsia="en-US"/>
              </w:rPr>
              <w:footnoteReference w:id="100"/>
            </w:r>
            <w:r>
              <w:rPr>
                <w:color w:val="0D0D0D" w:themeColor="text1" w:themeTint="F2"/>
                <w:spacing w:val="-3"/>
                <w:lang w:eastAsia="en-US"/>
              </w:rPr>
              <w:t xml:space="preserve"> s deficitem </w:t>
            </w:r>
            <w:r>
              <w:rPr>
                <w:color w:val="0D0D0D" w:themeColor="text1" w:themeTint="F2"/>
                <w:spacing w:val="-3"/>
                <w:lang w:eastAsia="en-US"/>
              </w:rPr>
              <w:br/>
              <w:t>107 mld. korun</w:t>
            </w:r>
            <w:r>
              <w:rPr>
                <w:rStyle w:val="Znakapoznpodarou"/>
                <w:color w:val="0D0D0D" w:themeColor="text1" w:themeTint="F2"/>
                <w:spacing w:val="-3"/>
                <w:lang w:eastAsia="en-US"/>
              </w:rPr>
              <w:footnoteReference w:id="101"/>
            </w:r>
            <w:r>
              <w:rPr>
                <w:color w:val="0D0D0D" w:themeColor="text1" w:themeTint="F2"/>
                <w:spacing w:val="-3"/>
                <w:lang w:eastAsia="en-US"/>
              </w:rPr>
              <w:t>, když schodek vykázaly ústřední, místní VI i zdravotní pojišťovny. Celkový deficit se meziročně mírně prohloubil (o necelou desetinu), příjmy i výdaje VI přitom rostly identickým tempem (+9,1 %). Za celý loňský rok činil schodek 268 mld. korun, oproti rok</w:t>
            </w:r>
            <w:r w:rsidR="008A7E04">
              <w:rPr>
                <w:color w:val="0D0D0D" w:themeColor="text1" w:themeTint="F2"/>
                <w:spacing w:val="-3"/>
                <w:lang w:eastAsia="en-US"/>
              </w:rPr>
              <w:t>u 2022 se navýšil skoro o čtvrtinu</w:t>
            </w:r>
            <w:r>
              <w:rPr>
                <w:color w:val="0D0D0D" w:themeColor="text1" w:themeTint="F2"/>
                <w:spacing w:val="-3"/>
                <w:lang w:eastAsia="en-US"/>
              </w:rPr>
              <w:t xml:space="preserve">. Na to mělo zásadní vliv prohloubení schodku ústředních vládních institucí (o 53 mld. korun), </w:t>
            </w:r>
            <w:r>
              <w:rPr>
                <w:spacing w:val="-3"/>
                <w:lang w:eastAsia="en-US"/>
              </w:rPr>
              <w:t>jež financovaly klíčové mimořádné výdaje související s řešením dopadů vysoké inflace či s integrací uprchlíků z Ukrajiny</w:t>
            </w:r>
            <w:r>
              <w:rPr>
                <w:color w:val="0D0D0D" w:themeColor="text1" w:themeTint="F2"/>
                <w:spacing w:val="-3"/>
                <w:lang w:eastAsia="en-US"/>
              </w:rPr>
              <w:t>. Jen okrajovou roli sehrálo mírné zhoršení salda hospodaření zdravotních pojišťoven (na −5 mld. korun) i lehké zvýšení přebytku místních VI (na rekordních 70 mld.). Za loňským růstem všech příjmů celého sektoru VI (+9,0 %) stály nejvíce běžné daně z důchodů a jmění (jejichž meziroční růst inkasa zrychlil na 16,8 %) a dále pak čisté sociální příspěvky (+7,8 %). K růstu výdajů (+10,1</w:t>
            </w:r>
            <w:r>
              <w:rPr>
                <w:color w:val="0D0D0D" w:themeColor="text1" w:themeTint="F2"/>
                <w:spacing w:val="-2"/>
                <w:lang w:eastAsia="en-US"/>
              </w:rPr>
              <w:t> </w:t>
            </w:r>
            <w:r>
              <w:rPr>
                <w:color w:val="0D0D0D" w:themeColor="text1" w:themeTint="F2"/>
                <w:spacing w:val="-3"/>
                <w:lang w:eastAsia="en-US"/>
              </w:rPr>
              <w:t xml:space="preserve">%) přispěly skoro z poloviny sociální dávky (včetně </w:t>
            </w:r>
            <w:r>
              <w:rPr>
                <w:color w:val="0D0D0D" w:themeColor="text1" w:themeTint="F2"/>
                <w:spacing w:val="-3"/>
                <w:lang w:eastAsia="en-US"/>
              </w:rPr>
              <w:lastRenderedPageBreak/>
              <w:t xml:space="preserve">naturálních sociálních transferů), jejichž růst zrychlil na 10,8 % a dále téměř pětinou vyplacené dotace (+38 %) a podobným dílem i růst tvorby fixních investic (+16,9 %). </w:t>
            </w:r>
          </w:p>
        </w:tc>
      </w:tr>
      <w:tr w:rsidR="00F204DA" w14:paraId="7EC48FA4" w14:textId="77777777" w:rsidTr="00F204DA">
        <w:trPr>
          <w:trHeight w:val="170"/>
        </w:trPr>
        <w:tc>
          <w:tcPr>
            <w:tcW w:w="1792" w:type="dxa"/>
          </w:tcPr>
          <w:p w14:paraId="238ABEBE" w14:textId="77777777" w:rsidR="00F204DA" w:rsidRDefault="00F204DA">
            <w:pPr>
              <w:pStyle w:val="Marginlie"/>
              <w:rPr>
                <w:lang w:eastAsia="en-US"/>
              </w:rPr>
            </w:pPr>
            <w:r>
              <w:rPr>
                <w:lang w:eastAsia="en-US"/>
              </w:rPr>
              <w:lastRenderedPageBreak/>
              <w:t xml:space="preserve">Schodek hospodaření vládních institucí v EU se prohluboval i vlivem slabého výkonu ekonomiky během loňského roku. </w:t>
            </w:r>
          </w:p>
          <w:p w14:paraId="1CC44276" w14:textId="77777777" w:rsidR="00F204DA" w:rsidRDefault="00F204DA">
            <w:pPr>
              <w:pStyle w:val="Marginlie"/>
              <w:rPr>
                <w:lang w:eastAsia="en-US"/>
              </w:rPr>
            </w:pPr>
          </w:p>
          <w:p w14:paraId="30366EA0" w14:textId="77777777" w:rsidR="00F204DA" w:rsidRDefault="00F204DA">
            <w:pPr>
              <w:pStyle w:val="Marginlie"/>
              <w:rPr>
                <w:lang w:eastAsia="en-US"/>
              </w:rPr>
            </w:pPr>
          </w:p>
          <w:p w14:paraId="333ECE16" w14:textId="77777777" w:rsidR="00F204DA" w:rsidRDefault="00F204DA">
            <w:pPr>
              <w:pStyle w:val="Marginlie"/>
              <w:rPr>
                <w:lang w:eastAsia="en-US"/>
              </w:rPr>
            </w:pPr>
          </w:p>
          <w:p w14:paraId="0B74F34B" w14:textId="77777777" w:rsidR="00F204DA" w:rsidRDefault="00F204DA">
            <w:pPr>
              <w:pStyle w:val="Marginlie"/>
              <w:rPr>
                <w:lang w:eastAsia="en-US"/>
              </w:rPr>
            </w:pPr>
          </w:p>
          <w:p w14:paraId="20A63ACC" w14:textId="77777777" w:rsidR="00F204DA" w:rsidRDefault="00F204DA">
            <w:pPr>
              <w:pStyle w:val="Marginlie"/>
              <w:rPr>
                <w:lang w:eastAsia="en-US"/>
              </w:rPr>
            </w:pPr>
          </w:p>
          <w:p w14:paraId="242A6094" w14:textId="77777777" w:rsidR="00F204DA" w:rsidRDefault="00F204DA">
            <w:pPr>
              <w:pStyle w:val="Marginlie"/>
              <w:rPr>
                <w:lang w:eastAsia="en-US"/>
              </w:rPr>
            </w:pPr>
          </w:p>
          <w:p w14:paraId="08C7D7A6" w14:textId="77777777" w:rsidR="00F204DA" w:rsidRDefault="00F204DA">
            <w:pPr>
              <w:pStyle w:val="Marginlie"/>
              <w:rPr>
                <w:lang w:eastAsia="en-US"/>
              </w:rPr>
            </w:pPr>
            <w:r>
              <w:rPr>
                <w:lang w:eastAsia="en-US"/>
              </w:rPr>
              <w:t xml:space="preserve">Celoroční schodek hospodaření VI v ČR byl v posledních třech letech srovnatelný s EU </w:t>
            </w:r>
            <w:r>
              <w:rPr>
                <w:lang w:eastAsia="en-US"/>
              </w:rPr>
              <w:br/>
              <w:t xml:space="preserve">i eurozónou. </w:t>
            </w:r>
          </w:p>
          <w:p w14:paraId="75A8B286" w14:textId="77777777" w:rsidR="00F204DA" w:rsidRDefault="00F204DA">
            <w:pPr>
              <w:pStyle w:val="Marginlie"/>
              <w:rPr>
                <w:lang w:eastAsia="en-US"/>
              </w:rPr>
            </w:pPr>
          </w:p>
        </w:tc>
        <w:tc>
          <w:tcPr>
            <w:tcW w:w="203" w:type="dxa"/>
          </w:tcPr>
          <w:p w14:paraId="63D5B9DC" w14:textId="77777777" w:rsidR="00F204DA" w:rsidRDefault="00F204DA">
            <w:pPr>
              <w:pStyle w:val="Textpoznpodarou"/>
              <w:jc w:val="both"/>
              <w:rPr>
                <w:spacing w:val="-4"/>
                <w:lang w:eastAsia="en-US"/>
              </w:rPr>
            </w:pPr>
          </w:p>
        </w:tc>
        <w:tc>
          <w:tcPr>
            <w:tcW w:w="7674" w:type="dxa"/>
            <w:hideMark/>
          </w:tcPr>
          <w:p w14:paraId="19481E71" w14:textId="77777777" w:rsidR="00F204DA" w:rsidRDefault="00F204DA">
            <w:pPr>
              <w:spacing w:after="200"/>
              <w:rPr>
                <w:color w:val="0D0D0D" w:themeColor="text1" w:themeTint="F2"/>
                <w:spacing w:val="-4"/>
                <w:lang w:eastAsia="en-US"/>
              </w:rPr>
            </w:pPr>
            <w:r>
              <w:rPr>
                <w:color w:val="0D0D0D" w:themeColor="text1" w:themeTint="F2"/>
                <w:spacing w:val="-4"/>
                <w:lang w:eastAsia="en-US"/>
              </w:rPr>
              <w:t>Pomalejší růst celkových příjmů než výdajů (vztažených k HDP) sektoru VI v EU způsobil, že jeho schodek hospodaření (po sezónním očištění) se během loňského roku prohluboval. To souviselo s velmi slabým hospodářským růstem v celé Unii</w:t>
            </w:r>
            <w:r>
              <w:rPr>
                <w:rStyle w:val="Znakapoznpodarou"/>
                <w:color w:val="0D0D0D" w:themeColor="text1" w:themeTint="F2"/>
                <w:spacing w:val="-4"/>
                <w:lang w:eastAsia="en-US"/>
              </w:rPr>
              <w:footnoteReference w:id="102"/>
            </w:r>
            <w:r>
              <w:rPr>
                <w:color w:val="0D0D0D" w:themeColor="text1" w:themeTint="F2"/>
                <w:spacing w:val="-4"/>
                <w:lang w:eastAsia="en-US"/>
              </w:rPr>
              <w:t>. Ve 4. čtvrtletí dosáhl tento schodek již 4,0 % HDP. V Česku zůstával během roku 2023 deficit vcelku stabilní a na jeho konci činil 3,4 % HDP. Ke zhoršování hospodaření naopak docházelo u většiny sousedních států – v Polsku činil ve 4. čtvrtletí schodek již 7,4 % HDP (po Maltě nejvíce v EU), na Slovensku 6,8 %. Pod 3 % HDP celkově dosahoval skoro v polovině států Unie</w:t>
            </w:r>
            <w:r>
              <w:rPr>
                <w:rStyle w:val="Znakapoznpodarou"/>
                <w:color w:val="0D0D0D" w:themeColor="text1" w:themeTint="F2"/>
                <w:spacing w:val="-4"/>
                <w:lang w:eastAsia="en-US"/>
              </w:rPr>
              <w:footnoteReference w:id="103"/>
            </w:r>
            <w:r>
              <w:rPr>
                <w:color w:val="0D0D0D" w:themeColor="text1" w:themeTint="F2"/>
                <w:spacing w:val="-4"/>
                <w:lang w:eastAsia="en-US"/>
              </w:rPr>
              <w:t xml:space="preserve"> (např. včetně Německa). Přebytek hospodaření registrovaly jen Irsko, Bulharsko a také Dánsko. To dosáhlo v rámci Unie nejvýraznějšího přebytku i za celý loňský rok (+3,1 % HDP), těsně následované Kyprem a dále Irskem (+1,7 %) a Portugalskem (+1,2 %). Naopak relativně velmi hluboký schodek postihl Itálii (−7,4 % HDP, nejhorší pozice mezi státy EU třetí rok v řadě), Maďarsko (−6,7 %), Rumunsko (−6,6 %), Francii (−5,5 %) a Polsko (−5,1 %). Tuzemský schodek (−3,7 % HDP) byl loni devátý nejvyšší mezi členskými státy, což bylo sice nejhorší postavení po roce 2005, zároveň však významně nezaostal za úrovní v EU (−3,5 % HDP) či eurozóně (−3,6 %). </w:t>
            </w:r>
          </w:p>
        </w:tc>
      </w:tr>
      <w:tr w:rsidR="00F204DA" w14:paraId="13A58F5D" w14:textId="77777777" w:rsidTr="00F204DA">
        <w:trPr>
          <w:trHeight w:val="170"/>
        </w:trPr>
        <w:tc>
          <w:tcPr>
            <w:tcW w:w="1792" w:type="dxa"/>
          </w:tcPr>
          <w:p w14:paraId="55C7886E" w14:textId="77777777" w:rsidR="00F204DA" w:rsidRDefault="00F204DA">
            <w:pPr>
              <w:pStyle w:val="Marginlie"/>
              <w:rPr>
                <w:lang w:eastAsia="en-US"/>
              </w:rPr>
            </w:pPr>
            <w:r>
              <w:rPr>
                <w:lang w:eastAsia="en-US"/>
              </w:rPr>
              <w:t>Pokles míry zadlužení v zemích EU loni pokračoval, byť mírnějším tempem.</w:t>
            </w:r>
          </w:p>
          <w:p w14:paraId="62C9B58E" w14:textId="77777777" w:rsidR="00F204DA" w:rsidRDefault="00F204DA">
            <w:pPr>
              <w:pStyle w:val="Marginlie"/>
              <w:rPr>
                <w:lang w:eastAsia="en-US"/>
              </w:rPr>
            </w:pPr>
          </w:p>
          <w:p w14:paraId="6F47015E" w14:textId="77777777" w:rsidR="00F204DA" w:rsidRDefault="00F204DA">
            <w:pPr>
              <w:pStyle w:val="Marginlie"/>
              <w:rPr>
                <w:lang w:eastAsia="en-US"/>
              </w:rPr>
            </w:pPr>
          </w:p>
          <w:p w14:paraId="120C6BDC" w14:textId="77777777" w:rsidR="00F204DA" w:rsidRDefault="00F204DA">
            <w:pPr>
              <w:pStyle w:val="Marginlie"/>
              <w:rPr>
                <w:lang w:eastAsia="en-US"/>
              </w:rPr>
            </w:pPr>
          </w:p>
          <w:p w14:paraId="0192A261" w14:textId="77777777" w:rsidR="00F204DA" w:rsidRDefault="00F204DA">
            <w:pPr>
              <w:pStyle w:val="Marginlie"/>
              <w:rPr>
                <w:lang w:eastAsia="en-US"/>
              </w:rPr>
            </w:pPr>
          </w:p>
          <w:p w14:paraId="716C1357" w14:textId="77777777" w:rsidR="00F204DA" w:rsidRDefault="00F204DA">
            <w:pPr>
              <w:pStyle w:val="Marginlie"/>
              <w:rPr>
                <w:lang w:eastAsia="en-US"/>
              </w:rPr>
            </w:pPr>
          </w:p>
          <w:p w14:paraId="5A2EE1F9" w14:textId="77777777" w:rsidR="00F204DA" w:rsidRDefault="00F204DA">
            <w:pPr>
              <w:pStyle w:val="Marginlie"/>
              <w:rPr>
                <w:lang w:eastAsia="en-US"/>
              </w:rPr>
            </w:pPr>
          </w:p>
          <w:p w14:paraId="539FEC17" w14:textId="77777777" w:rsidR="00F204DA" w:rsidRDefault="00F204DA">
            <w:pPr>
              <w:pStyle w:val="Marginlie"/>
              <w:rPr>
                <w:lang w:eastAsia="en-US"/>
              </w:rPr>
            </w:pPr>
            <w:r>
              <w:rPr>
                <w:lang w:eastAsia="en-US"/>
              </w:rPr>
              <w:t>Míra zadlužení v Česku byla devátá nejnižší v Unii, ale její souhrnný nárůst od konce roku 2019 byl mezi státy nejvyšší.</w:t>
            </w:r>
          </w:p>
          <w:p w14:paraId="39311801" w14:textId="77777777" w:rsidR="00F204DA" w:rsidRDefault="00F204DA">
            <w:pPr>
              <w:pStyle w:val="Marginlie"/>
              <w:rPr>
                <w:lang w:eastAsia="en-US"/>
              </w:rPr>
            </w:pPr>
          </w:p>
        </w:tc>
        <w:tc>
          <w:tcPr>
            <w:tcW w:w="203" w:type="dxa"/>
          </w:tcPr>
          <w:p w14:paraId="2B72BC8D" w14:textId="77777777" w:rsidR="00F204DA" w:rsidRDefault="00F204DA">
            <w:pPr>
              <w:pStyle w:val="Textpoznpodarou"/>
              <w:jc w:val="both"/>
              <w:rPr>
                <w:spacing w:val="-4"/>
                <w:lang w:eastAsia="en-US"/>
              </w:rPr>
            </w:pPr>
          </w:p>
        </w:tc>
        <w:tc>
          <w:tcPr>
            <w:tcW w:w="7674" w:type="dxa"/>
            <w:hideMark/>
          </w:tcPr>
          <w:p w14:paraId="6BB82D0F" w14:textId="77777777" w:rsidR="00F204DA" w:rsidRDefault="00F204DA">
            <w:pPr>
              <w:spacing w:after="0"/>
              <w:rPr>
                <w:color w:val="0D0D0D" w:themeColor="text1" w:themeTint="F2"/>
                <w:spacing w:val="-2"/>
                <w:lang w:eastAsia="en-US"/>
              </w:rPr>
            </w:pPr>
            <w:r>
              <w:rPr>
                <w:color w:val="0D0D0D" w:themeColor="text1" w:themeTint="F2"/>
                <w:spacing w:val="-2"/>
                <w:lang w:eastAsia="en-US"/>
              </w:rPr>
              <w:t>Navzdory prohlubujícímu se schodku hospodaření sektoru VI v EU se jeho míra zadlužení během loňska dále snižovala, byť pomaleji než v roce 2022. Na konci 4. čtvrtletí 2023 se v Unii rovnala 81,7 % HDP, z toho v eurozóně 88,6 % HDP, a meziročně se snížila o 1,7 p. b., resp. 2,2 p. b.  Pokles zadlužení nastal ve dvou třetinách členských států, nejvyšší byl v dlouhodobě vysoce zadlužených ekonomikách – Portugalsku (ze 112,4 % HDP na 99,1 % HDP) a Řecku (ze 172,7 % na 161,9 %). V zemích, kde došlo ke zhoršení (zpravidla novější členské státy Unie), byl nárůst zadlužení jen mírný (např. v Lotyšsku ze 41,8 % HDP na 43,6 % HDP). V Česku se zadluženost meziročně téměř nezměnila a činila rovných 44 % HDP (devátá nejnižší hodnota v Unii). Bezmála v polovině zemí zadluženost aktuálně převyšovala 60 % HDP, z toho ze států, jež vstoupily do Unie až po roce 2000, šlo o Chorvatsko (63,5 % HDP), Slovinsko (69,2 %), Maďarsko (73,5 %) a Kypr (77,3 %). Ve srovnání s úrovní před propuknutím pandemie (4. čtvrtletí 2019) byla ve více než dvou třetinách zemí EU současná míra zadlužení stále vyšší. To platilo zejména o Česku (+14,0 p. b.), Rumunsku (+13,7 p. b.), Francii (+12,7 p. b.), Estonsku (+11,1 p. b.) a Finsku (+10,9 p. b.). Nad předkrizovou úrovní zadlužení se nacházely všechny středoevropské státy.</w:t>
            </w:r>
          </w:p>
        </w:tc>
      </w:tr>
    </w:tbl>
    <w:p w14:paraId="5179A073" w14:textId="77777777" w:rsidR="00F204DA" w:rsidRDefault="00F204DA" w:rsidP="00F204DA">
      <w:pPr>
        <w:pStyle w:val="Nadpis11"/>
        <w:rPr>
          <w:sz w:val="2"/>
          <w:szCs w:val="2"/>
        </w:rPr>
      </w:pPr>
    </w:p>
    <w:p w14:paraId="6FD91E5A" w14:textId="797E1141" w:rsidR="00106BCC" w:rsidRPr="001C3855" w:rsidRDefault="00106BCC" w:rsidP="00F204DA">
      <w:pPr>
        <w:pStyle w:val="Nadpis11"/>
        <w:rPr>
          <w:sz w:val="2"/>
          <w:szCs w:val="2"/>
        </w:rPr>
      </w:pPr>
    </w:p>
    <w:sectPr w:rsidR="00106BCC" w:rsidRPr="001C3855" w:rsidSect="00A03B10">
      <w:headerReference w:type="even" r:id="rId35"/>
      <w:headerReference w:type="default" r:id="rId36"/>
      <w:footerReference w:type="even" r:id="rId37"/>
      <w:footerReference w:type="default" r:id="rId38"/>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B34EC" w14:textId="77777777" w:rsidR="005C1345" w:rsidRDefault="005C1345" w:rsidP="00E71A58">
      <w:r>
        <w:separator/>
      </w:r>
    </w:p>
  </w:endnote>
  <w:endnote w:type="continuationSeparator" w:id="0">
    <w:p w14:paraId="37EAFF0A" w14:textId="77777777" w:rsidR="005C1345" w:rsidRDefault="005C134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A1CA9" w14:paraId="6989D3A2" w14:textId="77777777" w:rsidTr="7059F910">
      <w:trPr>
        <w:trHeight w:val="300"/>
      </w:trPr>
      <w:tc>
        <w:tcPr>
          <w:tcW w:w="3210" w:type="dxa"/>
        </w:tcPr>
        <w:p w14:paraId="6590D2C6" w14:textId="074A4A49" w:rsidR="00FA1CA9" w:rsidRDefault="00FA1CA9" w:rsidP="7059F910">
          <w:pPr>
            <w:pStyle w:val="Zhlav"/>
            <w:ind w:left="-115"/>
          </w:pPr>
        </w:p>
      </w:tc>
      <w:tc>
        <w:tcPr>
          <w:tcW w:w="3210" w:type="dxa"/>
        </w:tcPr>
        <w:p w14:paraId="5B278884" w14:textId="26249C98" w:rsidR="00FA1CA9" w:rsidRDefault="00FA1CA9" w:rsidP="7059F910">
          <w:pPr>
            <w:pStyle w:val="Zhlav"/>
            <w:jc w:val="center"/>
          </w:pPr>
        </w:p>
      </w:tc>
      <w:tc>
        <w:tcPr>
          <w:tcW w:w="3210" w:type="dxa"/>
        </w:tcPr>
        <w:p w14:paraId="350DA2AE" w14:textId="68DB72F9" w:rsidR="00FA1CA9" w:rsidRDefault="00FA1CA9" w:rsidP="7059F910">
          <w:pPr>
            <w:pStyle w:val="Zhlav"/>
            <w:ind w:right="-115"/>
            <w:jc w:val="right"/>
          </w:pPr>
        </w:p>
      </w:tc>
    </w:tr>
  </w:tbl>
  <w:p w14:paraId="2D671E04" w14:textId="65A29983" w:rsidR="00FA1CA9" w:rsidRDefault="00FA1CA9" w:rsidP="7059F9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A1CA9" w14:paraId="5BC8A3D5" w14:textId="77777777" w:rsidTr="7059F910">
      <w:trPr>
        <w:trHeight w:val="300"/>
      </w:trPr>
      <w:tc>
        <w:tcPr>
          <w:tcW w:w="3210" w:type="dxa"/>
        </w:tcPr>
        <w:p w14:paraId="4C3FABBA" w14:textId="5B17EC4C" w:rsidR="00FA1CA9" w:rsidRDefault="00FA1CA9" w:rsidP="7059F910">
          <w:pPr>
            <w:pStyle w:val="Zhlav"/>
            <w:ind w:left="-115"/>
          </w:pPr>
        </w:p>
      </w:tc>
      <w:tc>
        <w:tcPr>
          <w:tcW w:w="3210" w:type="dxa"/>
        </w:tcPr>
        <w:p w14:paraId="2F6BA66C" w14:textId="3E0E9ADE" w:rsidR="00FA1CA9" w:rsidRDefault="00FA1CA9" w:rsidP="7059F910">
          <w:pPr>
            <w:pStyle w:val="Zhlav"/>
            <w:jc w:val="center"/>
          </w:pPr>
        </w:p>
      </w:tc>
      <w:tc>
        <w:tcPr>
          <w:tcW w:w="3210" w:type="dxa"/>
        </w:tcPr>
        <w:p w14:paraId="376513CE" w14:textId="29DADE64" w:rsidR="00FA1CA9" w:rsidRDefault="00FA1CA9" w:rsidP="7059F910">
          <w:pPr>
            <w:pStyle w:val="Zhlav"/>
            <w:ind w:right="-115"/>
            <w:jc w:val="right"/>
          </w:pPr>
        </w:p>
      </w:tc>
    </w:tr>
  </w:tbl>
  <w:p w14:paraId="02DCEB25" w14:textId="79ED3BB1" w:rsidR="00FA1CA9" w:rsidRDefault="00FA1CA9" w:rsidP="7059F9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60AC0BA2" w:rsidR="00FA1CA9" w:rsidRPr="00932443" w:rsidRDefault="00FA1CA9"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716508">
      <w:rPr>
        <w:szCs w:val="16"/>
      </w:rPr>
      <w:t>4</w:t>
    </w:r>
    <w:r w:rsidRPr="00932443">
      <w:rPr>
        <w:szCs w:val="16"/>
      </w:rPr>
      <w:fldChar w:fldCharType="end"/>
    </w:r>
    <w:r w:rsidRPr="00932443">
      <w:rPr>
        <w:szCs w:val="16"/>
      </w:rPr>
      <w:tab/>
    </w:r>
    <w:r>
      <w:rPr>
        <w:szCs w:val="16"/>
      </w:rPr>
      <w:t>rok 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1EA26C6B" w:rsidR="00FA1CA9" w:rsidRPr="00932443" w:rsidRDefault="00FA1CA9" w:rsidP="00FA6CB6">
    <w:pPr>
      <w:pStyle w:val="Zpat"/>
      <w:rPr>
        <w:szCs w:val="16"/>
      </w:rPr>
    </w:pPr>
    <w:r w:rsidRPr="00FA6CB6">
      <w:rPr>
        <w:szCs w:val="16"/>
      </w:rPr>
      <w:tab/>
    </w:r>
    <w:r>
      <w:rPr>
        <w:szCs w:val="16"/>
      </w:rPr>
      <w:t>rok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716508">
      <w:rPr>
        <w:rStyle w:val="ZpatChar"/>
        <w:szCs w:val="16"/>
      </w:rPr>
      <w:t>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94C316" w14:textId="77777777" w:rsidR="005C1345" w:rsidRDefault="005C1345" w:rsidP="00A21B4D">
      <w:pPr>
        <w:spacing w:after="0"/>
      </w:pPr>
      <w:r>
        <w:separator/>
      </w:r>
    </w:p>
  </w:footnote>
  <w:footnote w:type="continuationSeparator" w:id="0">
    <w:p w14:paraId="10266835" w14:textId="77777777" w:rsidR="005C1345" w:rsidRDefault="005C1345" w:rsidP="00E71A58">
      <w:r>
        <w:continuationSeparator/>
      </w:r>
    </w:p>
  </w:footnote>
  <w:footnote w:id="1">
    <w:p w14:paraId="7675C789" w14:textId="77777777" w:rsidR="004F6E12" w:rsidRDefault="004F6E12" w:rsidP="004F6E12">
      <w:pPr>
        <w:pStyle w:val="Textpoznpodarou"/>
        <w:rPr>
          <w:spacing w:val="-2"/>
          <w:sz w:val="16"/>
          <w:szCs w:val="16"/>
        </w:rPr>
      </w:pPr>
      <w:r>
        <w:rPr>
          <w:rStyle w:val="Znakapoznpodarou"/>
          <w:spacing w:val="-2"/>
          <w:sz w:val="16"/>
          <w:szCs w:val="16"/>
        </w:rPr>
        <w:footnoteRef/>
      </w:r>
      <w:r>
        <w:rPr>
          <w:spacing w:val="-2"/>
          <w:sz w:val="16"/>
          <w:szCs w:val="16"/>
        </w:rPr>
        <w:t xml:space="preserve"> Data o HDP, hrubé přidané hodnotě a jejích složkách jsou vyjádřena ve stálých cenách a v očištění o sezónní a kalendářní vlivy.</w:t>
      </w:r>
    </w:p>
  </w:footnote>
  <w:footnote w:id="2">
    <w:p w14:paraId="1F74C124" w14:textId="77777777" w:rsidR="004F6E12" w:rsidRDefault="004F6E12" w:rsidP="004F6E12">
      <w:pPr>
        <w:pStyle w:val="Textpoznpodarou"/>
        <w:rPr>
          <w:sz w:val="16"/>
          <w:szCs w:val="16"/>
        </w:rPr>
      </w:pPr>
      <w:r>
        <w:rPr>
          <w:rStyle w:val="Znakapoznpodarou"/>
          <w:sz w:val="16"/>
          <w:szCs w:val="16"/>
        </w:rPr>
        <w:footnoteRef/>
      </w:r>
      <w:r>
        <w:rPr>
          <w:sz w:val="16"/>
          <w:szCs w:val="16"/>
        </w:rPr>
        <w:t xml:space="preserve"> Podle metodiky čtvrtletních národních účtů (vývoz a dovoz v ocenění FOB/FOB).</w:t>
      </w:r>
    </w:p>
  </w:footnote>
  <w:footnote w:id="3">
    <w:p w14:paraId="5D224AFB" w14:textId="77777777" w:rsidR="004F6E12" w:rsidRDefault="004F6E12" w:rsidP="004F6E12">
      <w:pPr>
        <w:pStyle w:val="Textpoznpodarou"/>
        <w:jc w:val="both"/>
        <w:rPr>
          <w:sz w:val="16"/>
          <w:szCs w:val="16"/>
        </w:rPr>
      </w:pPr>
      <w:r>
        <w:rPr>
          <w:rStyle w:val="Znakapoznpodarou"/>
          <w:spacing w:val="-2"/>
          <w:sz w:val="16"/>
          <w:szCs w:val="16"/>
        </w:rPr>
        <w:footnoteRef/>
      </w:r>
      <w:r>
        <w:rPr>
          <w:spacing w:val="-2"/>
          <w:sz w:val="16"/>
          <w:szCs w:val="16"/>
        </w:rPr>
        <w:t xml:space="preserve"> Údaje o zaměstnanosti jsou uvedeny v pojetí národních účtů a očištěny o sezónní vlivy.</w:t>
      </w:r>
    </w:p>
  </w:footnote>
  <w:footnote w:id="4">
    <w:p w14:paraId="3721C66B" w14:textId="77777777" w:rsidR="00BF40A9" w:rsidRPr="000348AF" w:rsidRDefault="00BF40A9" w:rsidP="00BF40A9">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w:t>
      </w:r>
      <w:r>
        <w:rPr>
          <w:sz w:val="16"/>
          <w:szCs w:val="16"/>
        </w:rPr>
        <w:t xml:space="preserve"> 31. 5. </w:t>
      </w:r>
      <w:r w:rsidRPr="000348AF">
        <w:rPr>
          <w:sz w:val="16"/>
          <w:szCs w:val="16"/>
        </w:rPr>
        <w:t>202</w:t>
      </w:r>
      <w:r>
        <w:rPr>
          <w:sz w:val="16"/>
          <w:szCs w:val="16"/>
        </w:rPr>
        <w:t>4</w:t>
      </w:r>
      <w:r w:rsidRPr="000348AF">
        <w:rPr>
          <w:sz w:val="16"/>
          <w:szCs w:val="16"/>
        </w:rPr>
        <w:t>.</w:t>
      </w:r>
    </w:p>
  </w:footnote>
  <w:footnote w:id="5">
    <w:p w14:paraId="25C5D369" w14:textId="77777777" w:rsidR="00BF40A9" w:rsidRDefault="00BF40A9" w:rsidP="00BF40A9">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6">
    <w:p w14:paraId="314C2322" w14:textId="77777777" w:rsidR="00BF40A9" w:rsidRPr="005F75B1" w:rsidRDefault="00BF40A9" w:rsidP="00BF40A9">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7">
    <w:p w14:paraId="50ECADD6" w14:textId="77777777" w:rsidR="00BF40A9" w:rsidRPr="0053191D" w:rsidRDefault="00BF40A9" w:rsidP="00BF40A9">
      <w:pPr>
        <w:pStyle w:val="Textpoznpodarou"/>
        <w:rPr>
          <w:sz w:val="16"/>
          <w:szCs w:val="16"/>
        </w:rPr>
      </w:pPr>
      <w:r w:rsidRPr="0053191D">
        <w:rPr>
          <w:rStyle w:val="Znakapoznpodarou"/>
          <w:sz w:val="16"/>
          <w:szCs w:val="16"/>
        </w:rPr>
        <w:footnoteRef/>
      </w:r>
      <w:r w:rsidRPr="0053191D">
        <w:rPr>
          <w:sz w:val="16"/>
          <w:szCs w:val="16"/>
        </w:rPr>
        <w:t xml:space="preserve"> Tato sekce zahrnuje činnosti organizací sdružujících osoby za účelem prosazování společných zájmů, opravy počítačů a výrobků pro osobní potřebu a převážně pro domácnost a řadu jiných osobních služeb</w:t>
      </w:r>
      <w:r>
        <w:rPr>
          <w:sz w:val="16"/>
          <w:szCs w:val="16"/>
        </w:rPr>
        <w:t xml:space="preserve"> (kosmetické, kadeřnické apod.).</w:t>
      </w:r>
    </w:p>
  </w:footnote>
  <w:footnote w:id="8">
    <w:p w14:paraId="22D5C675" w14:textId="77777777" w:rsidR="00BF40A9" w:rsidRPr="009C6EA8" w:rsidRDefault="00BF40A9" w:rsidP="00BF40A9">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9">
    <w:p w14:paraId="7E2B3690" w14:textId="77777777" w:rsidR="00BF40A9" w:rsidRPr="00954992" w:rsidRDefault="00BF40A9" w:rsidP="00BF40A9">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w:t>
      </w:r>
      <w:r>
        <w:rPr>
          <w:sz w:val="16"/>
          <w:szCs w:val="16"/>
        </w:rPr>
        <w:t>.</w:t>
      </w:r>
    </w:p>
  </w:footnote>
  <w:footnote w:id="10">
    <w:p w14:paraId="5AD93E21" w14:textId="77777777" w:rsidR="00BF40A9" w:rsidRPr="004831F6" w:rsidRDefault="00BF40A9" w:rsidP="00BF40A9">
      <w:pPr>
        <w:pStyle w:val="Textpoznpodarou"/>
        <w:rPr>
          <w:sz w:val="16"/>
          <w:szCs w:val="16"/>
        </w:rPr>
      </w:pPr>
      <w:r w:rsidRPr="004831F6">
        <w:rPr>
          <w:rStyle w:val="Znakapoznpodarou"/>
          <w:sz w:val="16"/>
          <w:szCs w:val="16"/>
        </w:rPr>
        <w:footnoteRef/>
      </w:r>
      <w:r w:rsidRPr="004831F6">
        <w:rPr>
          <w:sz w:val="16"/>
          <w:szCs w:val="16"/>
        </w:rPr>
        <w:t xml:space="preserve"> Změna zásob</w:t>
      </w:r>
      <w:r>
        <w:rPr>
          <w:sz w:val="16"/>
          <w:szCs w:val="16"/>
        </w:rPr>
        <w:t xml:space="preserve"> (v běžných cenách a sezónně neočištěná)</w:t>
      </w:r>
      <w:r w:rsidRPr="004831F6">
        <w:rPr>
          <w:sz w:val="16"/>
          <w:szCs w:val="16"/>
        </w:rPr>
        <w:t xml:space="preserve"> </w:t>
      </w:r>
      <w:r>
        <w:rPr>
          <w:sz w:val="16"/>
          <w:szCs w:val="16"/>
        </w:rPr>
        <w:t xml:space="preserve">v 1. čtvrtletí 2024 dosáhla 5,9 mld. korun, zatímco v roce 2023 to bylo </w:t>
      </w:r>
      <w:r>
        <w:rPr>
          <w:sz w:val="16"/>
          <w:szCs w:val="16"/>
        </w:rPr>
        <w:br/>
        <w:t xml:space="preserve">57,0 mld. </w:t>
      </w:r>
    </w:p>
  </w:footnote>
  <w:footnote w:id="11">
    <w:p w14:paraId="5B314FBA" w14:textId="77777777" w:rsidR="00BF40A9" w:rsidRPr="00167B30" w:rsidRDefault="00BF40A9" w:rsidP="00BF40A9">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 xml:space="preserve">. Bilance zahraničního obchodu v běžných cenách </w:t>
      </w:r>
      <w:r>
        <w:rPr>
          <w:sz w:val="16"/>
          <w:szCs w:val="16"/>
        </w:rPr>
        <w:br/>
        <w:t>a po sezónním očištění.</w:t>
      </w:r>
    </w:p>
  </w:footnote>
  <w:footnote w:id="12">
    <w:p w14:paraId="0DCC8750" w14:textId="77777777" w:rsidR="00BF40A9" w:rsidRPr="00AC5E0A" w:rsidRDefault="00BF40A9" w:rsidP="00BF40A9">
      <w:pPr>
        <w:pStyle w:val="Textpoznpodarou"/>
        <w:rPr>
          <w:sz w:val="16"/>
          <w:szCs w:val="16"/>
        </w:rPr>
      </w:pPr>
      <w:r w:rsidRPr="00AC5E0A">
        <w:rPr>
          <w:rStyle w:val="Znakapoznpodarou"/>
          <w:sz w:val="16"/>
          <w:szCs w:val="16"/>
        </w:rPr>
        <w:footnoteRef/>
      </w:r>
      <w:r w:rsidRPr="00AC5E0A">
        <w:rPr>
          <w:sz w:val="16"/>
          <w:szCs w:val="16"/>
        </w:rPr>
        <w:t xml:space="preserve"> </w:t>
      </w:r>
      <w:r>
        <w:rPr>
          <w:sz w:val="16"/>
          <w:szCs w:val="16"/>
        </w:rPr>
        <w:t>R</w:t>
      </w:r>
      <w:r w:rsidRPr="00AC5E0A">
        <w:rPr>
          <w:sz w:val="16"/>
          <w:szCs w:val="16"/>
        </w:rPr>
        <w:t xml:space="preserve">ozdíl mezi dynamikou HDP a HPH </w:t>
      </w:r>
      <w:r>
        <w:rPr>
          <w:sz w:val="16"/>
          <w:szCs w:val="16"/>
        </w:rPr>
        <w:t xml:space="preserve">prohlubovaly rostoucí daňové výnosy </w:t>
      </w:r>
      <w:r w:rsidRPr="00AC5E0A">
        <w:rPr>
          <w:sz w:val="16"/>
          <w:szCs w:val="16"/>
        </w:rPr>
        <w:t>souvis</w:t>
      </w:r>
      <w:r>
        <w:rPr>
          <w:sz w:val="16"/>
          <w:szCs w:val="16"/>
        </w:rPr>
        <w:t>ející</w:t>
      </w:r>
      <w:r w:rsidRPr="00AC5E0A">
        <w:rPr>
          <w:sz w:val="16"/>
          <w:szCs w:val="16"/>
        </w:rPr>
        <w:t xml:space="preserve"> s</w:t>
      </w:r>
      <w:r>
        <w:rPr>
          <w:sz w:val="16"/>
          <w:szCs w:val="16"/>
        </w:rPr>
        <w:t xml:space="preserve"> oživením </w:t>
      </w:r>
      <w:r w:rsidRPr="00AC5E0A">
        <w:rPr>
          <w:sz w:val="16"/>
          <w:szCs w:val="16"/>
        </w:rPr>
        <w:t>spotřeb</w:t>
      </w:r>
      <w:r>
        <w:rPr>
          <w:sz w:val="16"/>
          <w:szCs w:val="16"/>
        </w:rPr>
        <w:t xml:space="preserve">y a na druhé straně propad dotací, ve kterých byly loni zachyceny </w:t>
      </w:r>
      <w:r w:rsidRPr="00AC5E0A">
        <w:rPr>
          <w:sz w:val="16"/>
          <w:szCs w:val="16"/>
        </w:rPr>
        <w:t>stropy cen elektřiny</w:t>
      </w:r>
      <w:r>
        <w:rPr>
          <w:sz w:val="16"/>
          <w:szCs w:val="16"/>
        </w:rPr>
        <w:t>.</w:t>
      </w:r>
    </w:p>
  </w:footnote>
  <w:footnote w:id="13">
    <w:p w14:paraId="61E5409E" w14:textId="77777777" w:rsidR="00EC6B23" w:rsidRPr="00E1174E" w:rsidRDefault="00EC6B23" w:rsidP="00EC6B23">
      <w:pPr>
        <w:spacing w:after="0" w:line="240" w:lineRule="auto"/>
        <w:rPr>
          <w:rFonts w:cs="Arial"/>
          <w:color w:val="0D0D0D" w:themeColor="text1" w:themeTint="F2"/>
          <w:spacing w:val="-4"/>
          <w:sz w:val="16"/>
          <w:szCs w:val="16"/>
        </w:rPr>
      </w:pPr>
      <w:r w:rsidRPr="008C2F46">
        <w:rPr>
          <w:rStyle w:val="Znakapoznpodarou"/>
          <w:spacing w:val="-4"/>
          <w:sz w:val="16"/>
          <w:szCs w:val="16"/>
        </w:rPr>
        <w:footnoteRef/>
      </w:r>
      <w:r w:rsidRPr="008C2F46">
        <w:rPr>
          <w:spacing w:val="-4"/>
          <w:sz w:val="16"/>
          <w:szCs w:val="16"/>
        </w:rPr>
        <w:t xml:space="preserve"> </w:t>
      </w:r>
      <w:r w:rsidRPr="00E1174E">
        <w:rPr>
          <w:rFonts w:cs="Arial"/>
          <w:color w:val="0D0D0D" w:themeColor="text1" w:themeTint="F2"/>
          <w:spacing w:val="-4"/>
          <w:sz w:val="16"/>
          <w:szCs w:val="16"/>
        </w:rPr>
        <w:t>Zahrnuje odvětví těžby a dobývání, zpracovatelského průmyslu a také energetiky (zde pojímané jako odvětví výroby a rozvodu elektřiny, plynu, tepla a klimatizovaného vzduchu). Všechna meziroční tempa produkce jsou očištěna o kalendářní vlivy, mezičtvrtletní tempa i o vliv sezónnosti.</w:t>
      </w:r>
    </w:p>
  </w:footnote>
  <w:footnote w:id="14">
    <w:p w14:paraId="32ECDD6B" w14:textId="77777777" w:rsidR="00EC6B23" w:rsidRPr="00B45768" w:rsidRDefault="00EC6B23" w:rsidP="00EC6B23">
      <w:pPr>
        <w:pStyle w:val="Textpoznpodarou"/>
        <w:rPr>
          <w:sz w:val="16"/>
          <w:szCs w:val="16"/>
        </w:rPr>
      </w:pPr>
      <w:r w:rsidRPr="00B45768">
        <w:rPr>
          <w:rStyle w:val="Znakapoznpodarou"/>
          <w:sz w:val="16"/>
          <w:szCs w:val="16"/>
        </w:rPr>
        <w:footnoteRef/>
      </w:r>
      <w:r w:rsidRPr="00B45768">
        <w:rPr>
          <w:sz w:val="16"/>
          <w:szCs w:val="16"/>
        </w:rPr>
        <w:t xml:space="preserve"> Na celkové hodnotě průmyslové produkce se toto odvětví v 1. čtvrtletí podílelo takřka celou pětinou. </w:t>
      </w:r>
    </w:p>
  </w:footnote>
  <w:footnote w:id="15">
    <w:p w14:paraId="43F71A8D" w14:textId="77777777" w:rsidR="00EC6B23" w:rsidRPr="0072547F" w:rsidRDefault="00EC6B23" w:rsidP="00EC6B23">
      <w:pPr>
        <w:pStyle w:val="Textpoznpodarou"/>
        <w:rPr>
          <w:sz w:val="16"/>
          <w:szCs w:val="16"/>
        </w:rPr>
      </w:pPr>
      <w:r w:rsidRPr="0072547F">
        <w:rPr>
          <w:rStyle w:val="Znakapoznpodarou"/>
          <w:sz w:val="16"/>
          <w:szCs w:val="16"/>
        </w:rPr>
        <w:footnoteRef/>
      </w:r>
      <w:r w:rsidRPr="0072547F">
        <w:rPr>
          <w:sz w:val="16"/>
          <w:szCs w:val="16"/>
        </w:rPr>
        <w:t xml:space="preserve"> Za období od 2. čtvrtletí 2022 do 4. čtvrtletí 2023 se produkce v odvětví ostatních nekovových minerálních výrobků v úhrnu </w:t>
      </w:r>
      <w:r>
        <w:rPr>
          <w:sz w:val="16"/>
          <w:szCs w:val="16"/>
        </w:rPr>
        <w:t xml:space="preserve">snížila </w:t>
      </w:r>
      <w:r>
        <w:rPr>
          <w:sz w:val="16"/>
          <w:szCs w:val="16"/>
        </w:rPr>
        <w:br/>
        <w:t>o 24</w:t>
      </w:r>
      <w:r w:rsidRPr="00E1174E">
        <w:rPr>
          <w:rFonts w:cs="Arial"/>
          <w:color w:val="0D0D0D" w:themeColor="text1" w:themeTint="F2"/>
          <w:spacing w:val="-4"/>
          <w:sz w:val="16"/>
          <w:szCs w:val="16"/>
        </w:rPr>
        <w:t> </w:t>
      </w:r>
      <w:r w:rsidRPr="0072547F">
        <w:rPr>
          <w:sz w:val="16"/>
          <w:szCs w:val="16"/>
        </w:rPr>
        <w:t>%</w:t>
      </w:r>
      <w:r>
        <w:rPr>
          <w:sz w:val="16"/>
          <w:szCs w:val="16"/>
        </w:rPr>
        <w:t>.</w:t>
      </w:r>
      <w:r w:rsidRPr="0072547F">
        <w:rPr>
          <w:sz w:val="16"/>
          <w:szCs w:val="16"/>
        </w:rPr>
        <w:t xml:space="preserve"> S</w:t>
      </w:r>
      <w:r>
        <w:rPr>
          <w:sz w:val="16"/>
          <w:szCs w:val="16"/>
        </w:rPr>
        <w:t>rovnatelný propad zde přitom v novodobé éře nastal</w:t>
      </w:r>
      <w:r w:rsidRPr="0072547F">
        <w:rPr>
          <w:sz w:val="16"/>
          <w:szCs w:val="16"/>
        </w:rPr>
        <w:t xml:space="preserve"> pouze během let 2008 až 2009.</w:t>
      </w:r>
    </w:p>
  </w:footnote>
  <w:footnote w:id="16">
    <w:p w14:paraId="79C27467" w14:textId="77777777" w:rsidR="00EC6B23" w:rsidRPr="0013125D" w:rsidRDefault="00EC6B23" w:rsidP="00EC6B23">
      <w:pPr>
        <w:pStyle w:val="Textpoznpodarou"/>
        <w:rPr>
          <w:sz w:val="16"/>
          <w:szCs w:val="16"/>
        </w:rPr>
      </w:pPr>
      <w:r w:rsidRPr="0013125D">
        <w:rPr>
          <w:rStyle w:val="Znakapoznpodarou"/>
          <w:sz w:val="16"/>
          <w:szCs w:val="16"/>
        </w:rPr>
        <w:footnoteRef/>
      </w:r>
      <w:r w:rsidRPr="0013125D">
        <w:rPr>
          <w:sz w:val="16"/>
          <w:szCs w:val="16"/>
        </w:rPr>
        <w:t xml:space="preserve"> Z</w:t>
      </w:r>
      <w:r>
        <w:rPr>
          <w:sz w:val="16"/>
          <w:szCs w:val="16"/>
        </w:rPr>
        <w:t>a svým vrcholem z období let 2015 až 2019 letos v 1</w:t>
      </w:r>
      <w:r w:rsidRPr="0013125D">
        <w:rPr>
          <w:sz w:val="16"/>
          <w:szCs w:val="16"/>
        </w:rPr>
        <w:t xml:space="preserve">. </w:t>
      </w:r>
      <w:r>
        <w:rPr>
          <w:sz w:val="16"/>
          <w:szCs w:val="16"/>
        </w:rPr>
        <w:t>čtvrtletí zaostávalo 17 z 25 hlavních</w:t>
      </w:r>
      <w:r w:rsidRPr="0013125D">
        <w:rPr>
          <w:sz w:val="16"/>
          <w:szCs w:val="16"/>
        </w:rPr>
        <w:t xml:space="preserve"> prů</w:t>
      </w:r>
      <w:r>
        <w:rPr>
          <w:sz w:val="16"/>
          <w:szCs w:val="16"/>
        </w:rPr>
        <w:t xml:space="preserve">myslových oborů – nejvíce těžba uhlí </w:t>
      </w:r>
      <w:r w:rsidRPr="004369AC">
        <w:rPr>
          <w:spacing w:val="2"/>
          <w:sz w:val="16"/>
          <w:szCs w:val="16"/>
        </w:rPr>
        <w:t>(</w:t>
      </w:r>
      <w:r w:rsidRPr="004369AC">
        <w:rPr>
          <w:rFonts w:cs="Arial"/>
          <w:color w:val="0D0D0D" w:themeColor="text1" w:themeTint="F2"/>
          <w:spacing w:val="2"/>
          <w:sz w:val="16"/>
          <w:szCs w:val="16"/>
        </w:rPr>
        <w:t>o </w:t>
      </w:r>
      <w:r w:rsidRPr="004369AC">
        <w:rPr>
          <w:spacing w:val="2"/>
          <w:sz w:val="16"/>
          <w:szCs w:val="16"/>
        </w:rPr>
        <w:t>58</w:t>
      </w:r>
      <w:r w:rsidRPr="004369AC">
        <w:rPr>
          <w:rFonts w:cs="Arial"/>
          <w:color w:val="0D0D0D" w:themeColor="text1" w:themeTint="F2"/>
          <w:spacing w:val="2"/>
          <w:sz w:val="16"/>
          <w:szCs w:val="16"/>
        </w:rPr>
        <w:t> </w:t>
      </w:r>
      <w:r w:rsidRPr="004369AC">
        <w:rPr>
          <w:spacing w:val="2"/>
          <w:sz w:val="16"/>
          <w:szCs w:val="16"/>
        </w:rPr>
        <w:t>%), výroba základních kovů, hutn</w:t>
      </w:r>
      <w:r>
        <w:rPr>
          <w:spacing w:val="2"/>
          <w:sz w:val="16"/>
          <w:szCs w:val="16"/>
        </w:rPr>
        <w:t>í zpracování a slévárenství (−30 %), textilní průmysl</w:t>
      </w:r>
      <w:r w:rsidRPr="004369AC">
        <w:rPr>
          <w:spacing w:val="2"/>
          <w:sz w:val="16"/>
          <w:szCs w:val="16"/>
        </w:rPr>
        <w:t xml:space="preserve"> </w:t>
      </w:r>
      <w:r>
        <w:rPr>
          <w:spacing w:val="2"/>
          <w:sz w:val="16"/>
          <w:szCs w:val="16"/>
        </w:rPr>
        <w:t xml:space="preserve">a </w:t>
      </w:r>
      <w:r w:rsidRPr="004369AC">
        <w:rPr>
          <w:spacing w:val="2"/>
          <w:sz w:val="16"/>
          <w:szCs w:val="16"/>
        </w:rPr>
        <w:t xml:space="preserve">energetika </w:t>
      </w:r>
      <w:r>
        <w:rPr>
          <w:spacing w:val="2"/>
          <w:sz w:val="16"/>
          <w:szCs w:val="16"/>
        </w:rPr>
        <w:t>(shodně −</w:t>
      </w:r>
      <w:r w:rsidRPr="004369AC">
        <w:rPr>
          <w:spacing w:val="2"/>
          <w:sz w:val="16"/>
          <w:szCs w:val="16"/>
        </w:rPr>
        <w:t xml:space="preserve">20 %) </w:t>
      </w:r>
      <w:r>
        <w:rPr>
          <w:spacing w:val="2"/>
          <w:sz w:val="16"/>
          <w:szCs w:val="16"/>
        </w:rPr>
        <w:br/>
      </w:r>
      <w:r w:rsidRPr="004369AC">
        <w:rPr>
          <w:spacing w:val="2"/>
          <w:sz w:val="16"/>
          <w:szCs w:val="16"/>
        </w:rPr>
        <w:t>a tiskárenství (</w:t>
      </w:r>
      <w:r>
        <w:rPr>
          <w:spacing w:val="2"/>
          <w:sz w:val="16"/>
          <w:szCs w:val="16"/>
        </w:rPr>
        <w:t>−</w:t>
      </w:r>
      <w:r w:rsidRPr="004369AC">
        <w:rPr>
          <w:sz w:val="16"/>
          <w:szCs w:val="16"/>
        </w:rPr>
        <w:t>19</w:t>
      </w:r>
      <w:r w:rsidRPr="004369AC">
        <w:rPr>
          <w:rFonts w:cs="Arial"/>
          <w:color w:val="0D0D0D" w:themeColor="text1" w:themeTint="F2"/>
          <w:sz w:val="16"/>
          <w:szCs w:val="16"/>
        </w:rPr>
        <w:t> </w:t>
      </w:r>
      <w:r w:rsidRPr="004369AC">
        <w:rPr>
          <w:sz w:val="16"/>
          <w:szCs w:val="16"/>
        </w:rPr>
        <w:t>%).</w:t>
      </w:r>
      <w:r>
        <w:rPr>
          <w:sz w:val="16"/>
          <w:szCs w:val="16"/>
        </w:rPr>
        <w:t xml:space="preserve"> Z větších oborů dále zejména chemický (−12 %) a strojírenský průmysl (−11 %) a kovovýroba (−5 %). Naopak nad předkrizovou úrovní produkce se aktuálně nacházela zejména výroba ostatních dopravních prostředků (+20 %), farmacie (+18 %), výroba motorových vozidel (+16 %), ostatní zpracovatelský průmysl (+15 %), elektrotechnický průmysl (+13 %), papírenský průmysl (+12 %), a z dalších oborů např. potravinářství (+4 %).</w:t>
      </w:r>
    </w:p>
  </w:footnote>
  <w:footnote w:id="17">
    <w:p w14:paraId="33F883D0" w14:textId="77777777" w:rsidR="00EC6B23" w:rsidRPr="005002C2" w:rsidRDefault="00EC6B23" w:rsidP="00EC6B23">
      <w:pPr>
        <w:pStyle w:val="Textpoznpodarou"/>
        <w:rPr>
          <w:sz w:val="16"/>
          <w:szCs w:val="16"/>
        </w:rPr>
      </w:pPr>
      <w:r w:rsidRPr="005002C2">
        <w:rPr>
          <w:rStyle w:val="Znakapoznpodarou"/>
          <w:sz w:val="16"/>
          <w:szCs w:val="16"/>
        </w:rPr>
        <w:footnoteRef/>
      </w:r>
      <w:r w:rsidRPr="005002C2">
        <w:rPr>
          <w:sz w:val="16"/>
          <w:szCs w:val="16"/>
        </w:rPr>
        <w:t xml:space="preserve"> Za celý rok 2023 se vý</w:t>
      </w:r>
      <w:r>
        <w:rPr>
          <w:sz w:val="16"/>
          <w:szCs w:val="16"/>
        </w:rPr>
        <w:t>kon energetiky snížil o 11,1 %, tedy</w:t>
      </w:r>
      <w:r w:rsidRPr="005002C2">
        <w:rPr>
          <w:sz w:val="16"/>
          <w:szCs w:val="16"/>
        </w:rPr>
        <w:t xml:space="preserve"> zdaleka nejvíce ve srovnatelné řadě po roce 2000. </w:t>
      </w:r>
    </w:p>
  </w:footnote>
  <w:footnote w:id="18">
    <w:p w14:paraId="5FE587B8" w14:textId="77777777" w:rsidR="00EC6B23" w:rsidRPr="0011709E" w:rsidRDefault="00EC6B23" w:rsidP="00EC6B23">
      <w:pPr>
        <w:pStyle w:val="Textpoznpodarou"/>
        <w:rPr>
          <w:sz w:val="16"/>
          <w:szCs w:val="16"/>
        </w:rPr>
      </w:pPr>
      <w:r w:rsidRPr="002B00F4">
        <w:rPr>
          <w:rStyle w:val="Znakapoznpodarou"/>
          <w:sz w:val="16"/>
          <w:szCs w:val="16"/>
        </w:rPr>
        <w:footnoteRef/>
      </w:r>
      <w:r w:rsidRPr="002B00F4">
        <w:rPr>
          <w:sz w:val="16"/>
          <w:szCs w:val="16"/>
        </w:rPr>
        <w:t xml:space="preserve"> Průměrná teplota ovzduší v ČR byla dle Českého hydrometeorologického úřadu v únoru o 6,1 stupně Celsia vyšší než dlouhodobý </w:t>
      </w:r>
      <w:r w:rsidRPr="0011709E">
        <w:rPr>
          <w:sz w:val="16"/>
          <w:szCs w:val="16"/>
        </w:rPr>
        <w:t xml:space="preserve">průměr (z období </w:t>
      </w:r>
      <w:r>
        <w:rPr>
          <w:sz w:val="16"/>
          <w:szCs w:val="16"/>
        </w:rPr>
        <w:t xml:space="preserve">let </w:t>
      </w:r>
      <w:r w:rsidRPr="0011709E">
        <w:rPr>
          <w:sz w:val="16"/>
          <w:szCs w:val="16"/>
        </w:rPr>
        <w:t>1991</w:t>
      </w:r>
      <w:r>
        <w:rPr>
          <w:sz w:val="16"/>
          <w:szCs w:val="16"/>
        </w:rPr>
        <w:t>–</w:t>
      </w:r>
      <w:r w:rsidRPr="0011709E">
        <w:rPr>
          <w:sz w:val="16"/>
          <w:szCs w:val="16"/>
        </w:rPr>
        <w:t xml:space="preserve">2020), v březnu o 3,8 stupně a </w:t>
      </w:r>
      <w:r>
        <w:rPr>
          <w:sz w:val="16"/>
          <w:szCs w:val="16"/>
        </w:rPr>
        <w:t xml:space="preserve">v </w:t>
      </w:r>
      <w:r w:rsidRPr="0011709E">
        <w:rPr>
          <w:sz w:val="16"/>
          <w:szCs w:val="16"/>
        </w:rPr>
        <w:t>lednu o 0,9 stupně.</w:t>
      </w:r>
    </w:p>
  </w:footnote>
  <w:footnote w:id="19">
    <w:p w14:paraId="039490CA" w14:textId="77777777" w:rsidR="00EC6B23" w:rsidRDefault="00EC6B23" w:rsidP="00EC6B23">
      <w:pPr>
        <w:pStyle w:val="Textpoznpodarou"/>
      </w:pPr>
      <w:r w:rsidRPr="0011709E">
        <w:rPr>
          <w:rStyle w:val="Znakapoznpodarou"/>
          <w:sz w:val="16"/>
          <w:szCs w:val="16"/>
        </w:rPr>
        <w:footnoteRef/>
      </w:r>
      <w:r w:rsidRPr="0011709E">
        <w:rPr>
          <w:sz w:val="16"/>
          <w:szCs w:val="16"/>
        </w:rPr>
        <w:t xml:space="preserve"> </w:t>
      </w:r>
      <w:r w:rsidRPr="0011709E">
        <w:rPr>
          <w:color w:val="0D0D0D" w:themeColor="text1" w:themeTint="F2"/>
          <w:spacing w:val="-4"/>
          <w:sz w:val="16"/>
          <w:szCs w:val="16"/>
        </w:rPr>
        <w:t>Dle předběžných</w:t>
      </w:r>
      <w:r>
        <w:rPr>
          <w:color w:val="0D0D0D" w:themeColor="text1" w:themeTint="F2"/>
          <w:spacing w:val="-4"/>
          <w:sz w:val="16"/>
          <w:szCs w:val="16"/>
        </w:rPr>
        <w:t xml:space="preserve"> </w:t>
      </w:r>
      <w:r w:rsidRPr="00201E70">
        <w:rPr>
          <w:color w:val="0D0D0D" w:themeColor="text1" w:themeTint="F2"/>
          <w:spacing w:val="-4"/>
          <w:sz w:val="16"/>
          <w:szCs w:val="16"/>
        </w:rPr>
        <w:t xml:space="preserve">údajů </w:t>
      </w:r>
      <w:r>
        <w:rPr>
          <w:color w:val="0D0D0D" w:themeColor="text1" w:themeTint="F2"/>
          <w:spacing w:val="-4"/>
          <w:sz w:val="16"/>
          <w:szCs w:val="16"/>
        </w:rPr>
        <w:t>E</w:t>
      </w:r>
      <w:r w:rsidRPr="00201E70">
        <w:rPr>
          <w:color w:val="0D0D0D" w:themeColor="text1" w:themeTint="F2"/>
          <w:spacing w:val="-4"/>
          <w:sz w:val="16"/>
          <w:szCs w:val="16"/>
        </w:rPr>
        <w:t xml:space="preserve">nergetického regulačního </w:t>
      </w:r>
      <w:r>
        <w:rPr>
          <w:color w:val="0D0D0D" w:themeColor="text1" w:themeTint="F2"/>
          <w:spacing w:val="-4"/>
          <w:sz w:val="16"/>
          <w:szCs w:val="16"/>
        </w:rPr>
        <w:t>úřadu se fyzická spotřeba zemního plynu v ČR v 1. čtvrtletí 2024 snížila o 4,3 % (meziroční pokles nastal jedenáctý kvartál v řadě). Spotřeba přepočtená na dlouhodobý teplotní normál se ovšem mírně zvýšila (+0,5 %), k nárůstu zde předtím došlo naposledy ve 2. čtvrtletí 2021.</w:t>
      </w:r>
    </w:p>
  </w:footnote>
  <w:footnote w:id="20">
    <w:p w14:paraId="75833AEB" w14:textId="77777777" w:rsidR="00EC6B23" w:rsidRDefault="00EC6B23" w:rsidP="00EC6B23">
      <w:pPr>
        <w:pStyle w:val="Textpoznpodarou"/>
      </w:pPr>
      <w:r w:rsidRPr="0011709E">
        <w:rPr>
          <w:rStyle w:val="Znakapoznpodarou"/>
          <w:sz w:val="16"/>
          <w:szCs w:val="16"/>
        </w:rPr>
        <w:footnoteRef/>
      </w:r>
      <w:r w:rsidRPr="0011709E">
        <w:rPr>
          <w:sz w:val="16"/>
          <w:szCs w:val="16"/>
        </w:rPr>
        <w:t xml:space="preserve"> </w:t>
      </w:r>
      <w:r w:rsidRPr="0011709E">
        <w:rPr>
          <w:rFonts w:eastAsia="Times New Roman" w:cs="Arial"/>
          <w:color w:val="0D0D0D" w:themeColor="text1" w:themeTint="F2"/>
          <w:spacing w:val="-4"/>
          <w:sz w:val="16"/>
          <w:szCs w:val="16"/>
        </w:rPr>
        <w:t>Dle Evropského</w:t>
      </w:r>
      <w:r w:rsidRPr="00E1174E">
        <w:rPr>
          <w:rFonts w:eastAsia="Times New Roman" w:cs="Arial"/>
          <w:color w:val="0D0D0D" w:themeColor="text1" w:themeTint="F2"/>
          <w:spacing w:val="-4"/>
          <w:sz w:val="16"/>
          <w:szCs w:val="16"/>
        </w:rPr>
        <w:t xml:space="preserve"> sdružení výrobců</w:t>
      </w:r>
      <w:r>
        <w:rPr>
          <w:rFonts w:eastAsia="Times New Roman" w:cs="Arial"/>
          <w:color w:val="0D0D0D" w:themeColor="text1" w:themeTint="F2"/>
          <w:spacing w:val="-4"/>
          <w:sz w:val="16"/>
          <w:szCs w:val="16"/>
        </w:rPr>
        <w:t xml:space="preserve"> automobilů vzrostly za leden až duben 2024</w:t>
      </w:r>
      <w:r w:rsidRPr="00E1174E">
        <w:rPr>
          <w:rFonts w:eastAsia="Times New Roman" w:cs="Arial"/>
          <w:color w:val="0D0D0D" w:themeColor="text1" w:themeTint="F2"/>
          <w:spacing w:val="-4"/>
          <w:sz w:val="16"/>
          <w:szCs w:val="16"/>
        </w:rPr>
        <w:t xml:space="preserve"> počty registrací nových osobních aut v EU meziro</w:t>
      </w:r>
      <w:r>
        <w:rPr>
          <w:rFonts w:eastAsia="Times New Roman" w:cs="Arial"/>
          <w:color w:val="0D0D0D" w:themeColor="text1" w:themeTint="F2"/>
          <w:spacing w:val="-4"/>
          <w:sz w:val="16"/>
          <w:szCs w:val="16"/>
        </w:rPr>
        <w:t>čně o 8 %, ještě svižnější dynamiky přitom vykázal segment elektrických vozidel.</w:t>
      </w:r>
    </w:p>
  </w:footnote>
  <w:footnote w:id="21">
    <w:p w14:paraId="467849A6" w14:textId="77777777" w:rsidR="00EC6B23" w:rsidRPr="00E1174E" w:rsidRDefault="00EC6B23" w:rsidP="00EC6B23">
      <w:pPr>
        <w:pStyle w:val="Textpoznpodarou"/>
        <w:rPr>
          <w:color w:val="0D0D0D" w:themeColor="text1" w:themeTint="F2"/>
          <w:sz w:val="16"/>
          <w:szCs w:val="16"/>
        </w:rPr>
      </w:pPr>
      <w:r w:rsidRPr="00E1174E">
        <w:rPr>
          <w:rStyle w:val="Znakapoznpodarou"/>
          <w:color w:val="0D0D0D" w:themeColor="text1" w:themeTint="F2"/>
          <w:sz w:val="16"/>
          <w:szCs w:val="16"/>
        </w:rPr>
        <w:footnoteRef/>
      </w:r>
      <w:r w:rsidRPr="00E1174E">
        <w:rPr>
          <w:color w:val="0D0D0D" w:themeColor="text1" w:themeTint="F2"/>
          <w:sz w:val="16"/>
          <w:szCs w:val="16"/>
        </w:rPr>
        <w:t xml:space="preserve"> Dle Sdružení automobilo</w:t>
      </w:r>
      <w:r>
        <w:rPr>
          <w:color w:val="0D0D0D" w:themeColor="text1" w:themeTint="F2"/>
          <w:sz w:val="16"/>
          <w:szCs w:val="16"/>
        </w:rPr>
        <w:t>vého průmyslu bylo za první čtyři měsíce letošního roku v Česku vyrobeno 531 tis. osobních automobilů (meziročně o 14 % více a současně 7 % více než v rekordním roce 2017</w:t>
      </w:r>
      <w:r w:rsidRPr="00E1174E">
        <w:rPr>
          <w:color w:val="0D0D0D" w:themeColor="text1" w:themeTint="F2"/>
          <w:sz w:val="16"/>
          <w:szCs w:val="16"/>
        </w:rPr>
        <w:t xml:space="preserve">). </w:t>
      </w:r>
      <w:r>
        <w:rPr>
          <w:color w:val="0D0D0D" w:themeColor="text1" w:themeTint="F2"/>
          <w:spacing w:val="-3"/>
          <w:sz w:val="16"/>
          <w:szCs w:val="16"/>
        </w:rPr>
        <w:t xml:space="preserve">Kromě března byla letos dosud výroba </w:t>
      </w:r>
      <w:r w:rsidRPr="00E1174E">
        <w:rPr>
          <w:color w:val="0D0D0D" w:themeColor="text1" w:themeTint="F2"/>
          <w:spacing w:val="-3"/>
          <w:sz w:val="16"/>
          <w:szCs w:val="16"/>
        </w:rPr>
        <w:t xml:space="preserve">v rámci shodných měsíců dokonce nejvyšší v historii. </w:t>
      </w:r>
      <w:r>
        <w:rPr>
          <w:color w:val="0D0D0D" w:themeColor="text1" w:themeTint="F2"/>
          <w:spacing w:val="-3"/>
          <w:sz w:val="16"/>
          <w:szCs w:val="16"/>
        </w:rPr>
        <w:t>Na rozdíl od předchozích let se vyznačovala nebývalou rovnoměrností (ve všech měsících výroba mírně překročila 130 tis. vozů), což naznačuje výrazné zklidnění v oblasti dodavatelských řetězců. K meziročnímu poklesu naopak došlo ve výrobě elektrických vozidel</w:t>
      </w:r>
      <w:r w:rsidRPr="00E1174E">
        <w:rPr>
          <w:color w:val="0D0D0D" w:themeColor="text1" w:themeTint="F2"/>
          <w:spacing w:val="-3"/>
          <w:sz w:val="16"/>
          <w:szCs w:val="16"/>
        </w:rPr>
        <w:t xml:space="preserve"> (vč. vozů s hybridní</w:t>
      </w:r>
      <w:r>
        <w:rPr>
          <w:color w:val="0D0D0D" w:themeColor="text1" w:themeTint="F2"/>
          <w:spacing w:val="-3"/>
          <w:sz w:val="16"/>
          <w:szCs w:val="16"/>
        </w:rPr>
        <w:t>m pohonem), které se zatím letos na celkové produkci</w:t>
      </w:r>
      <w:r w:rsidRPr="00E1174E">
        <w:rPr>
          <w:color w:val="0D0D0D" w:themeColor="text1" w:themeTint="F2"/>
          <w:spacing w:val="-3"/>
          <w:sz w:val="16"/>
          <w:szCs w:val="16"/>
        </w:rPr>
        <w:t xml:space="preserve"> osobních automobilů</w:t>
      </w:r>
      <w:r>
        <w:rPr>
          <w:color w:val="0D0D0D" w:themeColor="text1" w:themeTint="F2"/>
          <w:spacing w:val="-3"/>
          <w:sz w:val="16"/>
          <w:szCs w:val="16"/>
        </w:rPr>
        <w:t xml:space="preserve"> podílely 7,5 % (o rok dříve 12,1 %). Meziroční posílení výroby</w:t>
      </w:r>
      <w:r w:rsidRPr="00E1174E">
        <w:rPr>
          <w:color w:val="0D0D0D" w:themeColor="text1" w:themeTint="F2"/>
          <w:spacing w:val="-3"/>
          <w:sz w:val="16"/>
          <w:szCs w:val="16"/>
        </w:rPr>
        <w:t xml:space="preserve"> </w:t>
      </w:r>
      <w:r>
        <w:rPr>
          <w:color w:val="0D0D0D" w:themeColor="text1" w:themeTint="F2"/>
          <w:spacing w:val="-3"/>
          <w:sz w:val="16"/>
          <w:szCs w:val="16"/>
        </w:rPr>
        <w:t xml:space="preserve">bylo naopak zaznamenáno u </w:t>
      </w:r>
      <w:r w:rsidRPr="00E1174E">
        <w:rPr>
          <w:color w:val="0D0D0D" w:themeColor="text1" w:themeTint="F2"/>
          <w:spacing w:val="-3"/>
          <w:sz w:val="16"/>
          <w:szCs w:val="16"/>
        </w:rPr>
        <w:t>vý</w:t>
      </w:r>
      <w:r>
        <w:rPr>
          <w:color w:val="0D0D0D" w:themeColor="text1" w:themeTint="F2"/>
          <w:spacing w:val="-3"/>
          <w:sz w:val="16"/>
          <w:szCs w:val="16"/>
        </w:rPr>
        <w:t>robců</w:t>
      </w:r>
      <w:r w:rsidRPr="00E1174E">
        <w:rPr>
          <w:color w:val="0D0D0D" w:themeColor="text1" w:themeTint="F2"/>
          <w:spacing w:val="-3"/>
          <w:sz w:val="16"/>
          <w:szCs w:val="16"/>
        </w:rPr>
        <w:t xml:space="preserve"> ostatních druhů silničních motorových vozidel.</w:t>
      </w:r>
    </w:p>
  </w:footnote>
  <w:footnote w:id="22">
    <w:p w14:paraId="0FAE3DF3" w14:textId="77777777" w:rsidR="00EC6B23" w:rsidRPr="00FB58F4" w:rsidRDefault="00EC6B23" w:rsidP="00EC6B23">
      <w:pPr>
        <w:pStyle w:val="Textpoznpodarou"/>
        <w:jc w:val="both"/>
        <w:rPr>
          <w:rFonts w:cs="Arial"/>
          <w:color w:val="0D0D0D" w:themeColor="text1" w:themeTint="F2"/>
          <w:spacing w:val="-2"/>
          <w:sz w:val="16"/>
          <w:szCs w:val="16"/>
        </w:rPr>
      </w:pPr>
      <w:r w:rsidRPr="00F33536">
        <w:rPr>
          <w:rStyle w:val="Znakapoznpodarou"/>
          <w:rFonts w:cs="Arial"/>
          <w:color w:val="0D0D0D" w:themeColor="text1" w:themeTint="F2"/>
          <w:spacing w:val="-2"/>
          <w:sz w:val="16"/>
          <w:szCs w:val="16"/>
        </w:rPr>
        <w:footnoteRef/>
      </w:r>
      <w:r w:rsidRPr="00F33536">
        <w:rPr>
          <w:rFonts w:cs="Arial"/>
          <w:color w:val="0D0D0D" w:themeColor="text1" w:themeTint="F2"/>
          <w:spacing w:val="-2"/>
          <w:sz w:val="16"/>
          <w:szCs w:val="16"/>
        </w:rPr>
        <w:t xml:space="preserve"> Zjišťování zakázek probíhá jen ve dvanácti zpracovatelských odvětvích vyrábějících převážně na zakázku, s dlouhodobějším výrobním cyklem a s většími zásobami zakázek. Meziroční tempa zakázek j</w:t>
      </w:r>
      <w:r>
        <w:rPr>
          <w:rFonts w:cs="Arial"/>
          <w:color w:val="0D0D0D" w:themeColor="text1" w:themeTint="F2"/>
          <w:spacing w:val="-2"/>
          <w:sz w:val="16"/>
          <w:szCs w:val="16"/>
        </w:rPr>
        <w:t>sou očištěna o kalendářní vlivy, mezikvartální tempa také o vliv sezónnosti.</w:t>
      </w:r>
    </w:p>
  </w:footnote>
  <w:footnote w:id="23">
    <w:p w14:paraId="2A8B422F" w14:textId="77777777" w:rsidR="00EC6B23" w:rsidRPr="0004570A" w:rsidRDefault="00EC6B23" w:rsidP="00EC6B23">
      <w:pPr>
        <w:pStyle w:val="Textpoznpodarou"/>
        <w:rPr>
          <w:sz w:val="16"/>
          <w:szCs w:val="16"/>
        </w:rPr>
      </w:pPr>
      <w:r w:rsidRPr="0004570A">
        <w:rPr>
          <w:rStyle w:val="Znakapoznpodarou"/>
          <w:sz w:val="16"/>
          <w:szCs w:val="16"/>
        </w:rPr>
        <w:footnoteRef/>
      </w:r>
      <w:r w:rsidRPr="0004570A">
        <w:rPr>
          <w:sz w:val="16"/>
          <w:szCs w:val="16"/>
        </w:rPr>
        <w:t xml:space="preserve"> Podniky mohou uvést více růstových bariér současně.</w:t>
      </w:r>
    </w:p>
  </w:footnote>
  <w:footnote w:id="24">
    <w:p w14:paraId="3B76D3AD" w14:textId="77777777" w:rsidR="00EC6B23" w:rsidRPr="00291A49" w:rsidRDefault="00EC6B23" w:rsidP="00EC6B23">
      <w:pPr>
        <w:pStyle w:val="Textpoznpodarou"/>
        <w:rPr>
          <w:sz w:val="16"/>
          <w:szCs w:val="16"/>
        </w:rPr>
      </w:pPr>
      <w:r w:rsidRPr="00291A49">
        <w:rPr>
          <w:rStyle w:val="Znakapoznpodarou"/>
          <w:sz w:val="16"/>
          <w:szCs w:val="16"/>
        </w:rPr>
        <w:footnoteRef/>
      </w:r>
      <w:r w:rsidRPr="00291A49">
        <w:rPr>
          <w:sz w:val="16"/>
          <w:szCs w:val="16"/>
        </w:rPr>
        <w:t xml:space="preserve"> Dle kon</w:t>
      </w:r>
      <w:r>
        <w:rPr>
          <w:sz w:val="16"/>
          <w:szCs w:val="16"/>
        </w:rPr>
        <w:t xml:space="preserve">junkturálních průzkumů z května 2024 očekávala </w:t>
      </w:r>
      <w:r w:rsidRPr="00291A49">
        <w:rPr>
          <w:sz w:val="16"/>
          <w:szCs w:val="16"/>
        </w:rPr>
        <w:t xml:space="preserve">růst cen vlastní produkce </w:t>
      </w:r>
      <w:r>
        <w:rPr>
          <w:sz w:val="16"/>
          <w:szCs w:val="16"/>
        </w:rPr>
        <w:t xml:space="preserve">(v horizontu tří měsíců) stále více než třetina tuzemských </w:t>
      </w:r>
      <w:r w:rsidRPr="00291A49">
        <w:rPr>
          <w:sz w:val="16"/>
          <w:szCs w:val="16"/>
        </w:rPr>
        <w:t>stavebních p</w:t>
      </w:r>
      <w:r>
        <w:rPr>
          <w:sz w:val="16"/>
          <w:szCs w:val="16"/>
        </w:rPr>
        <w:t xml:space="preserve">odniků. Šlo jednoznačně </w:t>
      </w:r>
      <w:r w:rsidRPr="00291A49">
        <w:rPr>
          <w:sz w:val="16"/>
          <w:szCs w:val="16"/>
        </w:rPr>
        <w:t>o nejvyšší podíl me</w:t>
      </w:r>
      <w:r>
        <w:rPr>
          <w:sz w:val="16"/>
          <w:szCs w:val="16"/>
        </w:rPr>
        <w:t>zi všemi hlavními odvětvími</w:t>
      </w:r>
      <w:r w:rsidRPr="00291A49">
        <w:rPr>
          <w:sz w:val="16"/>
          <w:szCs w:val="16"/>
        </w:rPr>
        <w:t>.</w:t>
      </w:r>
      <w:r>
        <w:rPr>
          <w:sz w:val="16"/>
          <w:szCs w:val="16"/>
        </w:rPr>
        <w:t xml:space="preserve"> Zatímco v těchto odvětvích inflační tlaky již z velké části vyprchaly, ve stavebnictví se vlivem delšího výrobního cyklu projevuje vyšší setrvačnost.</w:t>
      </w:r>
    </w:p>
  </w:footnote>
  <w:footnote w:id="25">
    <w:p w14:paraId="58A35C14" w14:textId="77777777" w:rsidR="00EC6B23" w:rsidRPr="000F6F33" w:rsidRDefault="00EC6B23" w:rsidP="00EC6B23">
      <w:pPr>
        <w:pStyle w:val="Textpoznpodarou"/>
        <w:rPr>
          <w:sz w:val="16"/>
          <w:szCs w:val="16"/>
        </w:rPr>
      </w:pPr>
      <w:r w:rsidRPr="000F6F33">
        <w:rPr>
          <w:rStyle w:val="Znakapoznpodarou"/>
          <w:sz w:val="16"/>
          <w:szCs w:val="16"/>
        </w:rPr>
        <w:footnoteRef/>
      </w:r>
      <w:r w:rsidRPr="000F6F33">
        <w:rPr>
          <w:sz w:val="16"/>
          <w:szCs w:val="16"/>
        </w:rPr>
        <w:t xml:space="preserve"> </w:t>
      </w:r>
      <w:r>
        <w:rPr>
          <w:sz w:val="16"/>
          <w:szCs w:val="16"/>
        </w:rPr>
        <w:t>Např. k</w:t>
      </w:r>
      <w:r w:rsidRPr="000F6F33">
        <w:rPr>
          <w:sz w:val="16"/>
          <w:szCs w:val="16"/>
        </w:rPr>
        <w:t>apitálové výdaje stá</w:t>
      </w:r>
      <w:r>
        <w:rPr>
          <w:sz w:val="16"/>
          <w:szCs w:val="16"/>
        </w:rPr>
        <w:t xml:space="preserve">tního rozpočtu ČR vzrostly letos od ledna do dubna meziročně o 4 % (na 55 </w:t>
      </w:r>
      <w:r w:rsidRPr="000F6F33">
        <w:rPr>
          <w:sz w:val="16"/>
          <w:szCs w:val="16"/>
        </w:rPr>
        <w:t>mld. korun</w:t>
      </w:r>
      <w:r>
        <w:rPr>
          <w:sz w:val="16"/>
          <w:szCs w:val="16"/>
        </w:rPr>
        <w:t>)</w:t>
      </w:r>
      <w:r w:rsidRPr="000F6F33">
        <w:rPr>
          <w:sz w:val="16"/>
          <w:szCs w:val="16"/>
        </w:rPr>
        <w:t>.</w:t>
      </w:r>
      <w:r>
        <w:rPr>
          <w:sz w:val="16"/>
          <w:szCs w:val="16"/>
        </w:rPr>
        <w:t xml:space="preserve"> Státní fond dopravní infrastruktury počítá na celý letošní rok s celkovými výdaji ve výši 150 mld. korun, což je jen nepatrně méně než v rekordním loňském roce (151 mld.). </w:t>
      </w:r>
    </w:p>
  </w:footnote>
  <w:footnote w:id="26">
    <w:p w14:paraId="0E104901" w14:textId="77777777" w:rsidR="00EC6B23" w:rsidRPr="002D2942" w:rsidRDefault="00EC6B23" w:rsidP="00EC6B23">
      <w:pPr>
        <w:pStyle w:val="Textpoznpodarou"/>
        <w:jc w:val="both"/>
        <w:rPr>
          <w:sz w:val="16"/>
          <w:szCs w:val="16"/>
        </w:rPr>
      </w:pPr>
      <w:r w:rsidRPr="002D2942">
        <w:rPr>
          <w:rStyle w:val="Znakapoznpodarou"/>
          <w:rFonts w:cs="Arial"/>
          <w:color w:val="0D0D0D" w:themeColor="text1" w:themeTint="F2"/>
          <w:sz w:val="16"/>
          <w:szCs w:val="16"/>
        </w:rPr>
        <w:footnoteRef/>
      </w:r>
      <w:r w:rsidRPr="002D2942">
        <w:rPr>
          <w:rFonts w:cs="Arial"/>
          <w:color w:val="0D0D0D" w:themeColor="text1" w:themeTint="F2"/>
          <w:sz w:val="16"/>
          <w:szCs w:val="16"/>
        </w:rPr>
        <w:t xml:space="preserve"> Údaje o stavební produkci jsou ve stálých cenách, meziroční tempa jsou očištěna o kalendářní vlivy, mezičtvrtletní též o vliv sezónnosti.</w:t>
      </w:r>
    </w:p>
  </w:footnote>
  <w:footnote w:id="27">
    <w:p w14:paraId="21CD67C2" w14:textId="77777777" w:rsidR="00EC6B23" w:rsidRPr="00013110" w:rsidRDefault="00EC6B23" w:rsidP="00EC6B23">
      <w:pPr>
        <w:pStyle w:val="Textpoznpodarou"/>
        <w:rPr>
          <w:sz w:val="16"/>
          <w:szCs w:val="16"/>
        </w:rPr>
      </w:pPr>
      <w:r w:rsidRPr="00013110">
        <w:rPr>
          <w:rStyle w:val="Znakapoznpodarou"/>
          <w:sz w:val="16"/>
          <w:szCs w:val="16"/>
        </w:rPr>
        <w:footnoteRef/>
      </w:r>
      <w:r w:rsidRPr="00013110">
        <w:rPr>
          <w:sz w:val="16"/>
          <w:szCs w:val="16"/>
        </w:rPr>
        <w:t xml:space="preserve"> </w:t>
      </w:r>
      <w:r w:rsidRPr="00013110">
        <w:rPr>
          <w:rStyle w:val="normaltextrun"/>
          <w:rFonts w:eastAsiaTheme="majorEastAsia" w:cs="Arial"/>
          <w:sz w:val="16"/>
          <w:szCs w:val="16"/>
        </w:rPr>
        <w:t>Jednalo se o nejteplejší únor zaznamenaný na území ČR v dostupné řadě od roku 1961 s rekordně vysokou odchylkou průměrné měsíční teploty vzduchu od normálu 1991–2020 (+6,1 °C</w:t>
      </w:r>
      <w:r>
        <w:rPr>
          <w:rStyle w:val="normaltextrun"/>
          <w:rFonts w:eastAsiaTheme="majorEastAsia" w:cs="Arial"/>
          <w:sz w:val="16"/>
          <w:szCs w:val="16"/>
        </w:rPr>
        <w:t>) a minimálním výskytem mrazivých</w:t>
      </w:r>
      <w:r w:rsidRPr="00013110">
        <w:rPr>
          <w:rStyle w:val="normaltextrun"/>
          <w:rFonts w:eastAsiaTheme="majorEastAsia" w:cs="Arial"/>
          <w:sz w:val="16"/>
          <w:szCs w:val="16"/>
        </w:rPr>
        <w:t xml:space="preserve"> dní (žádný den v únoru neklesla průměrná denní teplota pod +2 °C). Teplotně nadprůměrné (byť mírněji) byly i všechny ostatní měsíce letošní zimy. </w:t>
      </w:r>
      <w:r w:rsidRPr="00013110">
        <w:rPr>
          <w:rStyle w:val="eop"/>
          <w:rFonts w:cs="Arial"/>
          <w:sz w:val="16"/>
          <w:szCs w:val="16"/>
        </w:rPr>
        <w:t> </w:t>
      </w:r>
    </w:p>
  </w:footnote>
  <w:footnote w:id="28">
    <w:p w14:paraId="60124063" w14:textId="77777777" w:rsidR="00EC6B23" w:rsidRPr="006C33B2" w:rsidRDefault="00EC6B23" w:rsidP="00EC6B23">
      <w:pPr>
        <w:pStyle w:val="Textpoznpodarou"/>
        <w:rPr>
          <w:sz w:val="16"/>
          <w:szCs w:val="16"/>
        </w:rPr>
      </w:pPr>
      <w:r w:rsidRPr="006C33B2">
        <w:rPr>
          <w:rStyle w:val="Znakapoznpodarou"/>
          <w:sz w:val="16"/>
          <w:szCs w:val="16"/>
        </w:rPr>
        <w:footnoteRef/>
      </w:r>
      <w:r w:rsidRPr="006C33B2">
        <w:rPr>
          <w:sz w:val="16"/>
          <w:szCs w:val="16"/>
        </w:rPr>
        <w:t xml:space="preserve"> Zakázky jsou sledovány pouze u podniků s 50 a více zaměstnanci.</w:t>
      </w:r>
    </w:p>
  </w:footnote>
  <w:footnote w:id="29">
    <w:p w14:paraId="373CF7AC" w14:textId="77777777" w:rsidR="00EC6B23" w:rsidRPr="00E62461" w:rsidRDefault="00EC6B23" w:rsidP="00EC6B23">
      <w:pPr>
        <w:spacing w:after="0" w:line="240" w:lineRule="auto"/>
        <w:rPr>
          <w:spacing w:val="-2"/>
        </w:rPr>
      </w:pPr>
      <w:r w:rsidRPr="00E62461">
        <w:rPr>
          <w:rStyle w:val="Znakapoznpodarou"/>
          <w:color w:val="0D0D0D" w:themeColor="text1" w:themeTint="F2"/>
          <w:spacing w:val="-2"/>
          <w:sz w:val="16"/>
          <w:szCs w:val="16"/>
        </w:rPr>
        <w:footnoteRef/>
      </w:r>
      <w:r w:rsidRPr="00E62461">
        <w:rPr>
          <w:color w:val="0D0D0D" w:themeColor="text1" w:themeTint="F2"/>
          <w:spacing w:val="-2"/>
          <w:sz w:val="16"/>
          <w:szCs w:val="16"/>
        </w:rPr>
        <w:t xml:space="preserve"> Bez obchodu, peněžnictví, pojišťovnictví, vědy, výzkumu a veřejných služeb. Všechny údaje za tržby ve službách jsou ve stálých cenách, meziroční data jsou očištěna o kalendářní vlivy, mezičtvrtletní jsou očištěna o sezónní vlivy (včetně vlivu počtu pracovních dnů).</w:t>
      </w:r>
    </w:p>
  </w:footnote>
  <w:footnote w:id="30">
    <w:p w14:paraId="38F655EE" w14:textId="4A4AD64F" w:rsidR="00EC6B23" w:rsidRPr="00D60F26" w:rsidRDefault="00EC6B23" w:rsidP="00EC6B23">
      <w:pPr>
        <w:pStyle w:val="Textpoznpodarou"/>
        <w:rPr>
          <w:spacing w:val="-4"/>
          <w:sz w:val="16"/>
          <w:szCs w:val="16"/>
        </w:rPr>
      </w:pPr>
      <w:r w:rsidRPr="00D60F26">
        <w:rPr>
          <w:rStyle w:val="Znakapoznpodarou"/>
          <w:spacing w:val="-4"/>
          <w:sz w:val="16"/>
          <w:szCs w:val="16"/>
        </w:rPr>
        <w:footnoteRef/>
      </w:r>
      <w:r w:rsidRPr="00D60F26">
        <w:rPr>
          <w:spacing w:val="-4"/>
          <w:sz w:val="16"/>
          <w:szCs w:val="16"/>
        </w:rPr>
        <w:t xml:space="preserve"> Z hlavních</w:t>
      </w:r>
      <w:r>
        <w:rPr>
          <w:spacing w:val="-4"/>
          <w:sz w:val="16"/>
          <w:szCs w:val="16"/>
        </w:rPr>
        <w:t xml:space="preserve"> odvětví za úrovní z 2. čtvrtletí 2019 </w:t>
      </w:r>
      <w:r w:rsidRPr="00D60F26">
        <w:rPr>
          <w:spacing w:val="-4"/>
          <w:sz w:val="16"/>
          <w:szCs w:val="16"/>
        </w:rPr>
        <w:t xml:space="preserve">zaostávaly </w:t>
      </w:r>
      <w:r>
        <w:rPr>
          <w:spacing w:val="-4"/>
          <w:sz w:val="16"/>
          <w:szCs w:val="16"/>
        </w:rPr>
        <w:t xml:space="preserve">letos </w:t>
      </w:r>
      <w:r w:rsidRPr="00D60F26">
        <w:rPr>
          <w:spacing w:val="-4"/>
          <w:sz w:val="16"/>
          <w:szCs w:val="16"/>
        </w:rPr>
        <w:t>tržby nejvíce v ubytování, stravování a pohostinství (</w:t>
      </w:r>
      <w:r>
        <w:rPr>
          <w:spacing w:val="-4"/>
          <w:sz w:val="16"/>
          <w:szCs w:val="16"/>
        </w:rPr>
        <w:t>−14,2</w:t>
      </w:r>
      <w:r w:rsidRPr="00D60F26">
        <w:rPr>
          <w:spacing w:val="-4"/>
          <w:sz w:val="16"/>
          <w:szCs w:val="16"/>
        </w:rPr>
        <w:t xml:space="preserve"> %) </w:t>
      </w:r>
      <w:r>
        <w:rPr>
          <w:spacing w:val="-4"/>
          <w:sz w:val="16"/>
          <w:szCs w:val="16"/>
        </w:rPr>
        <w:br/>
      </w:r>
      <w:r w:rsidRPr="00D60F26">
        <w:rPr>
          <w:spacing w:val="-4"/>
          <w:sz w:val="16"/>
          <w:szCs w:val="16"/>
        </w:rPr>
        <w:t xml:space="preserve">a v </w:t>
      </w:r>
      <w:r w:rsidRPr="00D60F26">
        <w:rPr>
          <w:rFonts w:cs="Arial"/>
          <w:color w:val="0D0D0D" w:themeColor="text1" w:themeTint="F2"/>
          <w:spacing w:val="-4"/>
          <w:sz w:val="16"/>
          <w:szCs w:val="16"/>
        </w:rPr>
        <w:t>administrativních a podpůrných činnostech (</w:t>
      </w:r>
      <w:r w:rsidRPr="00D60F26">
        <w:rPr>
          <w:color w:val="0D0D0D" w:themeColor="text1" w:themeTint="F2"/>
          <w:spacing w:val="-4"/>
          <w:sz w:val="16"/>
          <w:szCs w:val="16"/>
        </w:rPr>
        <w:t>–</w:t>
      </w:r>
      <w:r>
        <w:rPr>
          <w:rFonts w:cs="Arial"/>
          <w:color w:val="0D0D0D" w:themeColor="text1" w:themeTint="F2"/>
          <w:spacing w:val="-4"/>
          <w:sz w:val="16"/>
          <w:szCs w:val="16"/>
        </w:rPr>
        <w:t>8,0</w:t>
      </w:r>
      <w:r w:rsidRPr="00D60F26">
        <w:rPr>
          <w:rFonts w:cs="Arial"/>
          <w:color w:val="0D0D0D" w:themeColor="text1" w:themeTint="F2"/>
          <w:spacing w:val="-4"/>
          <w:sz w:val="16"/>
          <w:szCs w:val="16"/>
        </w:rPr>
        <w:t xml:space="preserve"> %). </w:t>
      </w:r>
      <w:r>
        <w:rPr>
          <w:rFonts w:cs="Arial"/>
          <w:color w:val="0D0D0D" w:themeColor="text1" w:themeTint="F2"/>
          <w:spacing w:val="-4"/>
          <w:sz w:val="16"/>
          <w:szCs w:val="16"/>
        </w:rPr>
        <w:t>O</w:t>
      </w:r>
      <w:r w:rsidRPr="00D60F26">
        <w:rPr>
          <w:rFonts w:cs="Arial"/>
          <w:color w:val="0D0D0D" w:themeColor="text1" w:themeTint="F2"/>
          <w:spacing w:val="-4"/>
          <w:sz w:val="16"/>
          <w:szCs w:val="16"/>
        </w:rPr>
        <w:t>proti tom</w:t>
      </w:r>
      <w:r>
        <w:rPr>
          <w:rFonts w:cs="Arial"/>
          <w:color w:val="0D0D0D" w:themeColor="text1" w:themeTint="F2"/>
          <w:spacing w:val="-4"/>
          <w:sz w:val="16"/>
          <w:szCs w:val="16"/>
        </w:rPr>
        <w:t>u tuto úroveň překonaly zejména</w:t>
      </w:r>
      <w:r w:rsidRPr="00D60F26">
        <w:rPr>
          <w:spacing w:val="-4"/>
          <w:sz w:val="16"/>
          <w:szCs w:val="16"/>
        </w:rPr>
        <w:t> </w:t>
      </w:r>
      <w:r w:rsidRPr="00D60F26">
        <w:rPr>
          <w:rFonts w:cs="Arial"/>
          <w:color w:val="0D0D0D" w:themeColor="text1" w:themeTint="F2"/>
          <w:spacing w:val="-4"/>
          <w:sz w:val="16"/>
          <w:szCs w:val="16"/>
        </w:rPr>
        <w:t>informa</w:t>
      </w:r>
      <w:r>
        <w:rPr>
          <w:rFonts w:cs="Arial"/>
          <w:color w:val="0D0D0D" w:themeColor="text1" w:themeTint="F2"/>
          <w:spacing w:val="-4"/>
          <w:sz w:val="16"/>
          <w:szCs w:val="16"/>
        </w:rPr>
        <w:t>ční a</w:t>
      </w:r>
      <w:r w:rsidRPr="001A321F">
        <w:rPr>
          <w:spacing w:val="-2"/>
          <w:sz w:val="16"/>
          <w:szCs w:val="16"/>
        </w:rPr>
        <w:t> </w:t>
      </w:r>
      <w:r>
        <w:rPr>
          <w:rFonts w:cs="Arial"/>
          <w:color w:val="0D0D0D" w:themeColor="text1" w:themeTint="F2"/>
          <w:spacing w:val="-4"/>
          <w:sz w:val="16"/>
          <w:szCs w:val="16"/>
        </w:rPr>
        <w:t xml:space="preserve">komunikační činnosti </w:t>
      </w:r>
      <w:r>
        <w:rPr>
          <w:rFonts w:cs="Arial"/>
          <w:color w:val="0D0D0D" w:themeColor="text1" w:themeTint="F2"/>
          <w:spacing w:val="-4"/>
          <w:sz w:val="16"/>
          <w:szCs w:val="16"/>
        </w:rPr>
        <w:br/>
        <w:t>(+11,2</w:t>
      </w:r>
      <w:r w:rsidRPr="00D60F26">
        <w:rPr>
          <w:rFonts w:cs="Arial"/>
          <w:color w:val="0D0D0D" w:themeColor="text1" w:themeTint="F2"/>
          <w:spacing w:val="-4"/>
          <w:sz w:val="16"/>
          <w:szCs w:val="16"/>
        </w:rPr>
        <w:t xml:space="preserve"> %)</w:t>
      </w:r>
      <w:r>
        <w:rPr>
          <w:rFonts w:cs="Arial"/>
          <w:color w:val="0D0D0D" w:themeColor="text1" w:themeTint="F2"/>
          <w:spacing w:val="-4"/>
          <w:sz w:val="16"/>
          <w:szCs w:val="16"/>
        </w:rPr>
        <w:t xml:space="preserve"> a činnosti v oblasti nemovitostí (+4,5 %)</w:t>
      </w:r>
      <w:r w:rsidRPr="00D60F26">
        <w:rPr>
          <w:rFonts w:cs="Arial"/>
          <w:color w:val="0D0D0D" w:themeColor="text1" w:themeTint="F2"/>
          <w:spacing w:val="-4"/>
          <w:sz w:val="16"/>
          <w:szCs w:val="16"/>
        </w:rPr>
        <w:t>.</w:t>
      </w:r>
    </w:p>
  </w:footnote>
  <w:footnote w:id="31">
    <w:p w14:paraId="5D4B5A22" w14:textId="77777777" w:rsidR="00EC6B23" w:rsidRPr="00A85E31" w:rsidRDefault="00EC6B23" w:rsidP="00EC6B23">
      <w:pPr>
        <w:pStyle w:val="paragraph"/>
        <w:spacing w:before="0" w:beforeAutospacing="0" w:after="0" w:afterAutospacing="0"/>
        <w:textAlignment w:val="baseline"/>
        <w:rPr>
          <w:rFonts w:ascii="Arial" w:hAnsi="Arial" w:cs="Arial"/>
          <w:sz w:val="16"/>
          <w:szCs w:val="16"/>
        </w:rPr>
      </w:pPr>
      <w:r w:rsidRPr="00A85E31">
        <w:rPr>
          <w:rStyle w:val="Znakapoznpodarou"/>
          <w:rFonts w:ascii="Arial" w:hAnsi="Arial" w:cs="Arial"/>
          <w:sz w:val="16"/>
          <w:szCs w:val="16"/>
        </w:rPr>
        <w:footnoteRef/>
      </w:r>
      <w:r w:rsidRPr="00A85E31">
        <w:rPr>
          <w:rFonts w:ascii="Arial" w:hAnsi="Arial" w:cs="Arial"/>
          <w:sz w:val="16"/>
          <w:szCs w:val="16"/>
        </w:rPr>
        <w:t xml:space="preserve"> </w:t>
      </w:r>
      <w:r w:rsidRPr="00A85E31">
        <w:rPr>
          <w:rStyle w:val="normaltextrun"/>
          <w:rFonts w:ascii="Arial" w:hAnsi="Arial" w:cs="Arial"/>
          <w:sz w:val="16"/>
          <w:szCs w:val="16"/>
        </w:rPr>
        <w:t>Meziroční růst u přenocování byl tažen takřka výhradně hotely (kde jich přibylo o 10,5 % - nejvíce 5* - o 15,7 %). Naopak cel</w:t>
      </w:r>
      <w:r>
        <w:rPr>
          <w:rStyle w:val="normaltextrun"/>
          <w:rFonts w:ascii="Arial" w:hAnsi="Arial" w:cs="Arial"/>
          <w:sz w:val="16"/>
          <w:szCs w:val="16"/>
        </w:rPr>
        <w:t>ková poptávka v penzionech se vlivem poklesu počtu tuzemských hostů mírně snížil</w:t>
      </w:r>
      <w:r w:rsidRPr="00A85E31">
        <w:rPr>
          <w:rStyle w:val="normaltextrun"/>
          <w:rFonts w:ascii="Arial" w:hAnsi="Arial" w:cs="Arial"/>
          <w:sz w:val="16"/>
          <w:szCs w:val="16"/>
        </w:rPr>
        <w:t>a (</w:t>
      </w:r>
      <w:r>
        <w:rPr>
          <w:rStyle w:val="normaltextrun"/>
          <w:rFonts w:ascii="Arial" w:hAnsi="Arial" w:cs="Arial"/>
          <w:sz w:val="16"/>
          <w:szCs w:val="16"/>
        </w:rPr>
        <w:t>−</w:t>
      </w:r>
      <w:r w:rsidRPr="00A85E31">
        <w:rPr>
          <w:rStyle w:val="normaltextrun"/>
          <w:rFonts w:ascii="Arial" w:hAnsi="Arial" w:cs="Arial"/>
          <w:sz w:val="16"/>
          <w:szCs w:val="16"/>
        </w:rPr>
        <w:t xml:space="preserve">1,6 %). V kempech byl počet přenocování vyšší skoro o polovinu. Regionálně klesla celková poptávka v 5 krajích (nejvíce v Libereckém – o 5 %), z významné části vlivem úbytku domácí klientely v horských oblastech. Naopak v Praze počet přenocování vzrostl o 18,4 %, v některých krajích podpořilo poptávku </w:t>
      </w:r>
      <w:r>
        <w:rPr>
          <w:rStyle w:val="normaltextrun"/>
          <w:rFonts w:ascii="Arial" w:hAnsi="Arial" w:cs="Arial"/>
          <w:sz w:val="16"/>
          <w:szCs w:val="16"/>
        </w:rPr>
        <w:br/>
      </w:r>
      <w:r w:rsidRPr="00A85E31">
        <w:rPr>
          <w:rStyle w:val="normaltextrun"/>
          <w:rFonts w:ascii="Arial" w:hAnsi="Arial" w:cs="Arial"/>
          <w:sz w:val="16"/>
          <w:szCs w:val="16"/>
        </w:rPr>
        <w:t>i pořádání významných sportovních akcí (MS v cyklokrosu v Táboře a MS v biatlonu v Novém Městě na Moravě). Na Vysočině tak meziročně přibylo přenocování o 20 % (z toho nerezidentů o 44 %).</w:t>
      </w:r>
      <w:r w:rsidRPr="00A85E31">
        <w:rPr>
          <w:rStyle w:val="eop"/>
          <w:rFonts w:ascii="Arial" w:hAnsi="Arial" w:cs="Arial"/>
          <w:sz w:val="16"/>
          <w:szCs w:val="16"/>
        </w:rPr>
        <w:t> </w:t>
      </w:r>
    </w:p>
  </w:footnote>
  <w:footnote w:id="32">
    <w:p w14:paraId="2ECDBFEA" w14:textId="77777777" w:rsidR="00EC6B23" w:rsidRPr="00A85E31" w:rsidRDefault="00EC6B23" w:rsidP="00EC6B23">
      <w:pPr>
        <w:pStyle w:val="paragraph"/>
        <w:spacing w:before="0" w:beforeAutospacing="0" w:after="0" w:afterAutospacing="0"/>
        <w:textAlignment w:val="baseline"/>
        <w:rPr>
          <w:rStyle w:val="eop"/>
          <w:rFonts w:ascii="Arial" w:hAnsi="Arial" w:cs="Arial"/>
          <w:sz w:val="16"/>
          <w:szCs w:val="16"/>
        </w:rPr>
      </w:pPr>
      <w:r w:rsidRPr="00A85E31">
        <w:rPr>
          <w:rStyle w:val="Znakapoznpodarou"/>
          <w:rFonts w:ascii="Arial" w:hAnsi="Arial" w:cs="Arial"/>
          <w:sz w:val="16"/>
          <w:szCs w:val="16"/>
        </w:rPr>
        <w:footnoteRef/>
      </w:r>
      <w:r w:rsidRPr="00A85E31">
        <w:rPr>
          <w:rFonts w:ascii="Arial" w:hAnsi="Arial" w:cs="Arial"/>
          <w:sz w:val="16"/>
          <w:szCs w:val="16"/>
        </w:rPr>
        <w:t xml:space="preserve"> </w:t>
      </w:r>
      <w:r w:rsidRPr="00A85E31">
        <w:rPr>
          <w:rStyle w:val="normaltextrun"/>
          <w:rFonts w:ascii="Arial" w:hAnsi="Arial" w:cs="Arial"/>
          <w:sz w:val="16"/>
          <w:szCs w:val="16"/>
        </w:rPr>
        <w:t xml:space="preserve">K růstu počtu přenocování nerezidentů přispěla v 1. čtvrtletí 2024 tradičně dominantní skupina hostů z Německa (jejich poptávka vzrostla meziročně o 15,3 %), silně rostla </w:t>
      </w:r>
      <w:r>
        <w:rPr>
          <w:rStyle w:val="normaltextrun"/>
          <w:rFonts w:ascii="Arial" w:hAnsi="Arial" w:cs="Arial"/>
          <w:sz w:val="16"/>
          <w:szCs w:val="16"/>
        </w:rPr>
        <w:t xml:space="preserve">i </w:t>
      </w:r>
      <w:r w:rsidRPr="00A85E31">
        <w:rPr>
          <w:rStyle w:val="normaltextrun"/>
          <w:rFonts w:ascii="Arial" w:hAnsi="Arial" w:cs="Arial"/>
          <w:sz w:val="16"/>
          <w:szCs w:val="16"/>
        </w:rPr>
        <w:t>klientela ze Špa</w:t>
      </w:r>
      <w:r>
        <w:rPr>
          <w:rStyle w:val="normaltextrun"/>
          <w:rFonts w:ascii="Arial" w:hAnsi="Arial" w:cs="Arial"/>
          <w:sz w:val="16"/>
          <w:szCs w:val="16"/>
        </w:rPr>
        <w:t>nělska (+61 %) a Itálie (+30 %). M</w:t>
      </w:r>
      <w:r w:rsidRPr="00A85E31">
        <w:rPr>
          <w:rStyle w:val="normaltextrun"/>
          <w:rFonts w:ascii="Arial" w:hAnsi="Arial" w:cs="Arial"/>
          <w:sz w:val="16"/>
          <w:szCs w:val="16"/>
        </w:rPr>
        <w:t>ezi nejvýznamnějšími národnostmi vykázali pokles přenocování jen Ukrajinci (</w:t>
      </w:r>
      <w:r>
        <w:rPr>
          <w:rStyle w:val="normaltextrun"/>
          <w:rFonts w:ascii="Arial" w:hAnsi="Arial" w:cs="Arial"/>
          <w:sz w:val="16"/>
          <w:szCs w:val="16"/>
        </w:rPr>
        <w:t>−</w:t>
      </w:r>
      <w:r w:rsidRPr="00A85E31">
        <w:rPr>
          <w:rStyle w:val="normaltextrun"/>
          <w:rFonts w:ascii="Arial" w:hAnsi="Arial" w:cs="Arial"/>
          <w:sz w:val="16"/>
          <w:szCs w:val="16"/>
        </w:rPr>
        <w:t xml:space="preserve">12 %), z dalších podstatnějších skupin klesl zájem z Ruska a Nizozemska. I přes nepříznivou geopolitickou situaci počet hostů i přenocování Izraelců vzrostl o více než desetinu. </w:t>
      </w:r>
    </w:p>
    <w:p w14:paraId="26484DA0" w14:textId="77777777" w:rsidR="00EC6B23" w:rsidRPr="00A85E31" w:rsidRDefault="00EC6B23" w:rsidP="00EC6B23">
      <w:pPr>
        <w:pStyle w:val="paragraph"/>
        <w:spacing w:before="0" w:beforeAutospacing="0" w:after="0" w:afterAutospacing="0"/>
        <w:textAlignment w:val="baseline"/>
        <w:rPr>
          <w:rFonts w:ascii="Arial" w:hAnsi="Arial" w:cs="Arial"/>
          <w:sz w:val="16"/>
          <w:szCs w:val="16"/>
        </w:rPr>
      </w:pPr>
      <w:r w:rsidRPr="00A85E31">
        <w:rPr>
          <w:rStyle w:val="normaltextrun"/>
          <w:rFonts w:ascii="Arial" w:hAnsi="Arial" w:cs="Arial"/>
          <w:sz w:val="16"/>
          <w:szCs w:val="16"/>
        </w:rPr>
        <w:t>Proti 1. čtvrtletí 2019 se letos v Česku ubytovalo o 3,2 % hostů více, ale počet přenocován</w:t>
      </w:r>
      <w:r>
        <w:rPr>
          <w:rStyle w:val="normaltextrun"/>
          <w:rFonts w:ascii="Arial" w:hAnsi="Arial" w:cs="Arial"/>
          <w:sz w:val="16"/>
          <w:szCs w:val="16"/>
        </w:rPr>
        <w:t>í zaostal</w:t>
      </w:r>
      <w:r w:rsidRPr="00A85E31">
        <w:rPr>
          <w:rStyle w:val="normaltextrun"/>
          <w:rFonts w:ascii="Arial" w:hAnsi="Arial" w:cs="Arial"/>
          <w:sz w:val="16"/>
          <w:szCs w:val="16"/>
        </w:rPr>
        <w:t xml:space="preserve"> za touto předpandemickou úrovní </w:t>
      </w:r>
      <w:r>
        <w:rPr>
          <w:rStyle w:val="normaltextrun"/>
          <w:rFonts w:ascii="Arial" w:hAnsi="Arial" w:cs="Arial"/>
          <w:sz w:val="16"/>
          <w:szCs w:val="16"/>
        </w:rPr>
        <w:br/>
      </w:r>
      <w:r w:rsidRPr="00A85E31">
        <w:rPr>
          <w:rStyle w:val="normaltextrun"/>
          <w:rFonts w:ascii="Arial" w:hAnsi="Arial" w:cs="Arial"/>
          <w:sz w:val="16"/>
          <w:szCs w:val="16"/>
        </w:rPr>
        <w:t xml:space="preserve">o 1,5 % (u zahraničních hostů o 7 %, u těch z Česka byl však vyšší o 3,9 %). Počet zahraničních hostů zaostával za rokem 2019 </w:t>
      </w:r>
      <w:r>
        <w:rPr>
          <w:rStyle w:val="normaltextrun"/>
          <w:rFonts w:ascii="Arial" w:hAnsi="Arial" w:cs="Arial"/>
          <w:sz w:val="16"/>
          <w:szCs w:val="16"/>
        </w:rPr>
        <w:br/>
        <w:t xml:space="preserve">o 65 tis. </w:t>
      </w:r>
      <w:r w:rsidRPr="00B43007">
        <w:rPr>
          <w:rStyle w:val="normaltextrun"/>
          <w:rFonts w:ascii="Arial" w:hAnsi="Arial" w:cs="Arial"/>
          <w:spacing w:val="-2"/>
          <w:sz w:val="16"/>
          <w:szCs w:val="16"/>
        </w:rPr>
        <w:t>(</w:t>
      </w:r>
      <w:r>
        <w:rPr>
          <w:rStyle w:val="normaltextrun"/>
          <w:rFonts w:ascii="Arial" w:hAnsi="Arial" w:cs="Arial"/>
          <w:spacing w:val="-2"/>
          <w:sz w:val="16"/>
          <w:szCs w:val="16"/>
        </w:rPr>
        <w:t>−</w:t>
      </w:r>
      <w:r w:rsidRPr="00B43007">
        <w:rPr>
          <w:rStyle w:val="normaltextrun"/>
          <w:rFonts w:ascii="Arial" w:hAnsi="Arial" w:cs="Arial"/>
          <w:spacing w:val="-2"/>
          <w:sz w:val="16"/>
          <w:szCs w:val="16"/>
        </w:rPr>
        <w:t>3,2 %), hlavně vlivem nižšího počtu hostů z Ruska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121 tis,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93 %), </w:t>
      </w:r>
      <w:r>
        <w:rPr>
          <w:rStyle w:val="normaltextrun"/>
          <w:rFonts w:ascii="Arial" w:hAnsi="Arial" w:cs="Arial"/>
          <w:spacing w:val="-2"/>
          <w:sz w:val="16"/>
          <w:szCs w:val="16"/>
        </w:rPr>
        <w:t xml:space="preserve">z </w:t>
      </w:r>
      <w:r w:rsidRPr="00B43007">
        <w:rPr>
          <w:rStyle w:val="normaltextrun"/>
          <w:rFonts w:ascii="Arial" w:hAnsi="Arial" w:cs="Arial"/>
          <w:spacing w:val="-2"/>
          <w:sz w:val="16"/>
          <w:szCs w:val="16"/>
        </w:rPr>
        <w:t>Číny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69 tis., </w:t>
      </w:r>
      <w:r>
        <w:rPr>
          <w:rStyle w:val="normaltextrun"/>
          <w:rFonts w:ascii="Arial" w:hAnsi="Arial" w:cs="Arial"/>
          <w:spacing w:val="-2"/>
          <w:sz w:val="16"/>
          <w:szCs w:val="16"/>
        </w:rPr>
        <w:t>−</w:t>
      </w:r>
      <w:r w:rsidRPr="00B43007">
        <w:rPr>
          <w:rStyle w:val="normaltextrun"/>
          <w:rFonts w:ascii="Arial" w:hAnsi="Arial" w:cs="Arial"/>
          <w:spacing w:val="-2"/>
          <w:sz w:val="16"/>
          <w:szCs w:val="16"/>
        </w:rPr>
        <w:t>76 %) a Jižní Korey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42 tis.,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48 %) </w:t>
      </w:r>
      <w:r>
        <w:rPr>
          <w:rStyle w:val="normaltextrun"/>
          <w:rFonts w:ascii="Arial" w:hAnsi="Arial" w:cs="Arial"/>
          <w:spacing w:val="-2"/>
          <w:sz w:val="16"/>
          <w:szCs w:val="16"/>
        </w:rPr>
        <w:br/>
      </w:r>
      <w:r w:rsidRPr="00B43007">
        <w:rPr>
          <w:rStyle w:val="normaltextrun"/>
          <w:rFonts w:ascii="Arial" w:hAnsi="Arial" w:cs="Arial"/>
          <w:spacing w:val="-2"/>
          <w:sz w:val="16"/>
          <w:szCs w:val="16"/>
        </w:rPr>
        <w:t>a Japonska (</w:t>
      </w:r>
      <w:r>
        <w:rPr>
          <w:rStyle w:val="normaltextrun"/>
          <w:rFonts w:ascii="Arial" w:hAnsi="Arial" w:cs="Arial"/>
          <w:spacing w:val="-2"/>
          <w:sz w:val="16"/>
          <w:szCs w:val="16"/>
        </w:rPr>
        <w:t>−</w:t>
      </w:r>
      <w:r w:rsidRPr="00B43007">
        <w:rPr>
          <w:rStyle w:val="normaltextrun"/>
          <w:rFonts w:ascii="Arial" w:hAnsi="Arial" w:cs="Arial"/>
          <w:spacing w:val="-2"/>
          <w:sz w:val="16"/>
          <w:szCs w:val="16"/>
        </w:rPr>
        <w:t xml:space="preserve">15 tis., </w:t>
      </w:r>
      <w:r>
        <w:rPr>
          <w:rStyle w:val="normaltextrun"/>
          <w:rFonts w:ascii="Arial" w:hAnsi="Arial" w:cs="Arial"/>
          <w:spacing w:val="-2"/>
          <w:sz w:val="16"/>
          <w:szCs w:val="16"/>
        </w:rPr>
        <w:t>−</w:t>
      </w:r>
      <w:r w:rsidRPr="00B43007">
        <w:rPr>
          <w:rStyle w:val="normaltextrun"/>
          <w:rFonts w:ascii="Arial" w:hAnsi="Arial" w:cs="Arial"/>
          <w:spacing w:val="-2"/>
          <w:sz w:val="16"/>
          <w:szCs w:val="16"/>
        </w:rPr>
        <w:t>55 %). Přibylo naopak zejména Němců (+94 tis. +23 %), Slováků (+36 tis., +25 %), z významnějších skupin pak Italů (+17 %) a Španělů (+13 %). Z návštěvníků z</w:t>
      </w:r>
      <w:r>
        <w:rPr>
          <w:rStyle w:val="normaltextrun"/>
          <w:rFonts w:ascii="Arial" w:hAnsi="Arial" w:cs="Arial"/>
          <w:spacing w:val="-2"/>
          <w:sz w:val="16"/>
          <w:szCs w:val="16"/>
        </w:rPr>
        <w:t>e</w:t>
      </w:r>
      <w:r w:rsidRPr="00B43007">
        <w:rPr>
          <w:rStyle w:val="normaltextrun"/>
          <w:rFonts w:ascii="Arial" w:hAnsi="Arial" w:cs="Arial"/>
          <w:spacing w:val="-2"/>
          <w:sz w:val="16"/>
          <w:szCs w:val="16"/>
        </w:rPr>
        <w:t xml:space="preserve"> zemí EU zaostávali nejvíce Švédové a Finové (shodně okolo 40 %) a dalších šest států (např. Francie o 15 %).</w:t>
      </w:r>
    </w:p>
  </w:footnote>
  <w:footnote w:id="33">
    <w:p w14:paraId="3ED6AFE4" w14:textId="77777777" w:rsidR="00EC6B23" w:rsidRPr="00052DD9" w:rsidRDefault="00EC6B23" w:rsidP="00EC6B23">
      <w:pPr>
        <w:pStyle w:val="Textpoznpodarou"/>
        <w:rPr>
          <w:sz w:val="16"/>
          <w:szCs w:val="16"/>
        </w:rPr>
      </w:pPr>
      <w:r w:rsidRPr="00052DD9">
        <w:rPr>
          <w:rStyle w:val="Znakapoznpodarou"/>
          <w:sz w:val="16"/>
          <w:szCs w:val="16"/>
        </w:rPr>
        <w:footnoteRef/>
      </w:r>
      <w:r w:rsidRPr="00052DD9">
        <w:rPr>
          <w:sz w:val="16"/>
          <w:szCs w:val="16"/>
        </w:rPr>
        <w:t xml:space="preserve"> K poklesu tržeb </w:t>
      </w:r>
      <w:r>
        <w:rPr>
          <w:sz w:val="16"/>
          <w:szCs w:val="16"/>
        </w:rPr>
        <w:t xml:space="preserve">zde </w:t>
      </w:r>
      <w:r w:rsidRPr="00052DD9">
        <w:rPr>
          <w:sz w:val="16"/>
          <w:szCs w:val="16"/>
        </w:rPr>
        <w:t xml:space="preserve">došlo i při vysokém růstu počtu pracujících cizinců v ČR. Na něm se v posledních dvou letech významně podíleli uprchlíci z Ukrajiny. Vzhledem ke statutu dočasné ochrany, který byl těmto osobám přiznán, je </w:t>
      </w:r>
      <w:r>
        <w:rPr>
          <w:sz w:val="16"/>
          <w:szCs w:val="16"/>
        </w:rPr>
        <w:t>je</w:t>
      </w:r>
      <w:r w:rsidRPr="00052DD9">
        <w:rPr>
          <w:sz w:val="16"/>
          <w:szCs w:val="16"/>
        </w:rPr>
        <w:t xml:space="preserve">jich zaměstnávání v tuzemsku administrativně jednodušší (oproti ostatním skupinám migrantů z tzv. třetích zemí) a </w:t>
      </w:r>
      <w:r>
        <w:rPr>
          <w:sz w:val="16"/>
          <w:szCs w:val="16"/>
        </w:rPr>
        <w:t>ti tak mohou</w:t>
      </w:r>
      <w:r w:rsidRPr="00052DD9">
        <w:rPr>
          <w:sz w:val="16"/>
          <w:szCs w:val="16"/>
        </w:rPr>
        <w:t xml:space="preserve"> snáze nalézt práci „napřímo“ (bez zprostředkovatele). Kromě výše uvedeného se na pokle</w:t>
      </w:r>
      <w:r>
        <w:rPr>
          <w:sz w:val="16"/>
          <w:szCs w:val="16"/>
        </w:rPr>
        <w:t xml:space="preserve">su tržeb </w:t>
      </w:r>
      <w:r w:rsidRPr="00052DD9">
        <w:rPr>
          <w:sz w:val="16"/>
          <w:szCs w:val="16"/>
        </w:rPr>
        <w:t xml:space="preserve">může podílet i snížená poptávka pracovních </w:t>
      </w:r>
      <w:r>
        <w:rPr>
          <w:sz w:val="16"/>
          <w:szCs w:val="16"/>
        </w:rPr>
        <w:t xml:space="preserve">agentur </w:t>
      </w:r>
      <w:r w:rsidRPr="00052DD9">
        <w:rPr>
          <w:sz w:val="16"/>
          <w:szCs w:val="16"/>
        </w:rPr>
        <w:t>ze strany klí</w:t>
      </w:r>
      <w:r>
        <w:rPr>
          <w:sz w:val="16"/>
          <w:szCs w:val="16"/>
        </w:rPr>
        <w:t xml:space="preserve">čových výrobních odvětví </w:t>
      </w:r>
      <w:r w:rsidRPr="00052DD9">
        <w:rPr>
          <w:sz w:val="16"/>
          <w:szCs w:val="16"/>
        </w:rPr>
        <w:t>procház</w:t>
      </w:r>
      <w:r>
        <w:rPr>
          <w:sz w:val="16"/>
          <w:szCs w:val="16"/>
        </w:rPr>
        <w:t>ej</w:t>
      </w:r>
      <w:r w:rsidRPr="00052DD9">
        <w:rPr>
          <w:sz w:val="16"/>
          <w:szCs w:val="16"/>
        </w:rPr>
        <w:t>í</w:t>
      </w:r>
      <w:r>
        <w:rPr>
          <w:sz w:val="16"/>
          <w:szCs w:val="16"/>
        </w:rPr>
        <w:t>cích recesí (</w:t>
      </w:r>
      <w:r w:rsidRPr="00052DD9">
        <w:rPr>
          <w:sz w:val="16"/>
          <w:szCs w:val="16"/>
        </w:rPr>
        <w:t>průmysl</w:t>
      </w:r>
      <w:r>
        <w:rPr>
          <w:sz w:val="16"/>
          <w:szCs w:val="16"/>
        </w:rPr>
        <w:t xml:space="preserve"> a stavebnictví</w:t>
      </w:r>
      <w:r w:rsidRPr="00052DD9">
        <w:rPr>
          <w:sz w:val="16"/>
          <w:szCs w:val="16"/>
        </w:rPr>
        <w:t>).</w:t>
      </w:r>
    </w:p>
  </w:footnote>
  <w:footnote w:id="34">
    <w:p w14:paraId="4D26A395" w14:textId="77777777" w:rsidR="00EC6B23" w:rsidRPr="00F34E27" w:rsidRDefault="00EC6B23" w:rsidP="00EC6B23">
      <w:pPr>
        <w:pStyle w:val="Textpoznpodarou"/>
        <w:rPr>
          <w:sz w:val="16"/>
          <w:szCs w:val="16"/>
        </w:rPr>
      </w:pPr>
      <w:r w:rsidRPr="00F34E27">
        <w:rPr>
          <w:rStyle w:val="Znakapoznpodarou"/>
          <w:sz w:val="16"/>
          <w:szCs w:val="16"/>
        </w:rPr>
        <w:footnoteRef/>
      </w:r>
      <w:r w:rsidRPr="00F34E27">
        <w:rPr>
          <w:sz w:val="16"/>
          <w:szCs w:val="16"/>
        </w:rPr>
        <w:t xml:space="preserve"> Toto dílčí odvětví, v němž hrají významnou roli drobní podnikatelé, zahrnuje především zprostředkovatelské činnosti, návrhářské, překladatelské a fotografické služby </w:t>
      </w:r>
      <w:r>
        <w:rPr>
          <w:sz w:val="16"/>
          <w:szCs w:val="16"/>
        </w:rPr>
        <w:t>nebo činnosti stavebního dozoru.</w:t>
      </w:r>
    </w:p>
  </w:footnote>
  <w:footnote w:id="35">
    <w:p w14:paraId="5E5E583B" w14:textId="77777777" w:rsidR="00EC6B23" w:rsidRPr="00590597" w:rsidRDefault="00EC6B23" w:rsidP="00EC6B23">
      <w:pPr>
        <w:pStyle w:val="Textpoznpodarou"/>
        <w:rPr>
          <w:sz w:val="16"/>
          <w:szCs w:val="16"/>
        </w:rPr>
      </w:pPr>
      <w:r w:rsidRPr="00590597">
        <w:rPr>
          <w:rStyle w:val="Znakapoznpodarou"/>
          <w:sz w:val="16"/>
          <w:szCs w:val="16"/>
        </w:rPr>
        <w:footnoteRef/>
      </w:r>
      <w:r w:rsidRPr="00590597">
        <w:rPr>
          <w:sz w:val="16"/>
          <w:szCs w:val="16"/>
        </w:rPr>
        <w:t xml:space="preserve"> </w:t>
      </w:r>
      <w:r>
        <w:rPr>
          <w:sz w:val="16"/>
          <w:szCs w:val="16"/>
        </w:rPr>
        <w:t>Podstatně lépe si vedl segment</w:t>
      </w:r>
      <w:r w:rsidRPr="00590597">
        <w:rPr>
          <w:sz w:val="16"/>
          <w:szCs w:val="16"/>
        </w:rPr>
        <w:t xml:space="preserve"> filmové distribuce. </w:t>
      </w:r>
      <w:r w:rsidRPr="00590597">
        <w:rPr>
          <w:rFonts w:cs="Arial"/>
          <w:color w:val="0D0D0D" w:themeColor="text1" w:themeTint="F2"/>
          <w:spacing w:val="-3"/>
          <w:sz w:val="16"/>
          <w:szCs w:val="16"/>
        </w:rPr>
        <w:t xml:space="preserve">Dle údajů </w:t>
      </w:r>
      <w:r w:rsidRPr="00590597">
        <w:rPr>
          <w:spacing w:val="-3"/>
          <w:sz w:val="16"/>
          <w:szCs w:val="16"/>
        </w:rPr>
        <w:t>Unie filmových distributo</w:t>
      </w:r>
      <w:r>
        <w:rPr>
          <w:spacing w:val="-3"/>
          <w:sz w:val="16"/>
          <w:szCs w:val="16"/>
        </w:rPr>
        <w:t xml:space="preserve">rů klesly letos od ledna do dubna </w:t>
      </w:r>
      <w:r w:rsidRPr="00590597">
        <w:rPr>
          <w:spacing w:val="-3"/>
          <w:sz w:val="16"/>
          <w:szCs w:val="16"/>
        </w:rPr>
        <w:t>hrubé nominální tržby provozovate</w:t>
      </w:r>
      <w:r>
        <w:rPr>
          <w:spacing w:val="-3"/>
          <w:sz w:val="16"/>
          <w:szCs w:val="16"/>
        </w:rPr>
        <w:t>lů tuzemských kin meziročně o 2,6</w:t>
      </w:r>
      <w:r w:rsidRPr="00590597">
        <w:rPr>
          <w:spacing w:val="-3"/>
          <w:sz w:val="16"/>
          <w:szCs w:val="16"/>
        </w:rPr>
        <w:t xml:space="preserve"> %. Celková návštěv</w:t>
      </w:r>
      <w:r>
        <w:rPr>
          <w:spacing w:val="-3"/>
          <w:sz w:val="16"/>
          <w:szCs w:val="16"/>
        </w:rPr>
        <w:t xml:space="preserve">nost se analogicky snížila o 5,9 %, naopak </w:t>
      </w:r>
      <w:r w:rsidRPr="00590597">
        <w:rPr>
          <w:spacing w:val="-3"/>
          <w:sz w:val="16"/>
          <w:szCs w:val="16"/>
        </w:rPr>
        <w:t>počet odehraných představení</w:t>
      </w:r>
      <w:r>
        <w:rPr>
          <w:spacing w:val="-3"/>
          <w:sz w:val="16"/>
          <w:szCs w:val="16"/>
        </w:rPr>
        <w:t xml:space="preserve"> narostl o 5,2 %. </w:t>
      </w:r>
      <w:r w:rsidRPr="00590597">
        <w:rPr>
          <w:spacing w:val="-3"/>
          <w:sz w:val="16"/>
          <w:szCs w:val="16"/>
        </w:rPr>
        <w:t>Ve srovnání s</w:t>
      </w:r>
      <w:r>
        <w:rPr>
          <w:spacing w:val="-3"/>
          <w:sz w:val="16"/>
          <w:szCs w:val="16"/>
        </w:rPr>
        <w:t>e stejným obdobím rekordního roku</w:t>
      </w:r>
      <w:r w:rsidRPr="00590597">
        <w:rPr>
          <w:spacing w:val="-3"/>
          <w:sz w:val="16"/>
          <w:szCs w:val="16"/>
        </w:rPr>
        <w:t xml:space="preserve"> 2019 </w:t>
      </w:r>
      <w:r>
        <w:rPr>
          <w:spacing w:val="-3"/>
          <w:sz w:val="16"/>
          <w:szCs w:val="16"/>
        </w:rPr>
        <w:t>ovšem letos</w:t>
      </w:r>
      <w:r w:rsidRPr="00590597">
        <w:rPr>
          <w:spacing w:val="-3"/>
          <w:sz w:val="16"/>
          <w:szCs w:val="16"/>
        </w:rPr>
        <w:t xml:space="preserve"> </w:t>
      </w:r>
      <w:r>
        <w:rPr>
          <w:spacing w:val="-3"/>
          <w:sz w:val="16"/>
          <w:szCs w:val="16"/>
        </w:rPr>
        <w:t xml:space="preserve">stále scházely bezmála dvě pětiny </w:t>
      </w:r>
      <w:r w:rsidRPr="00590597">
        <w:rPr>
          <w:spacing w:val="-3"/>
          <w:sz w:val="16"/>
          <w:szCs w:val="16"/>
        </w:rPr>
        <w:t>diváků</w:t>
      </w:r>
      <w:r>
        <w:rPr>
          <w:spacing w:val="-3"/>
          <w:sz w:val="16"/>
          <w:szCs w:val="16"/>
        </w:rPr>
        <w:t xml:space="preserve"> </w:t>
      </w:r>
      <w:r>
        <w:rPr>
          <w:spacing w:val="-3"/>
          <w:sz w:val="16"/>
          <w:szCs w:val="16"/>
        </w:rPr>
        <w:br/>
        <w:t>a více než čtvrtina tržeb</w:t>
      </w:r>
      <w:r w:rsidRPr="00590597">
        <w:rPr>
          <w:spacing w:val="-3"/>
          <w:sz w:val="16"/>
          <w:szCs w:val="16"/>
        </w:rPr>
        <w:t>.</w:t>
      </w:r>
    </w:p>
  </w:footnote>
  <w:footnote w:id="36">
    <w:p w14:paraId="646BA5C0" w14:textId="77777777" w:rsidR="00EC6B23" w:rsidRPr="00B86BDD" w:rsidRDefault="00EC6B23" w:rsidP="00EC6B23">
      <w:pPr>
        <w:pStyle w:val="Textpoznpodarou"/>
        <w:rPr>
          <w:sz w:val="16"/>
          <w:szCs w:val="16"/>
        </w:rPr>
      </w:pPr>
      <w:r w:rsidRPr="00B86BDD">
        <w:rPr>
          <w:rStyle w:val="Znakapoznpodarou"/>
          <w:sz w:val="16"/>
          <w:szCs w:val="16"/>
        </w:rPr>
        <w:footnoteRef/>
      </w:r>
      <w:r w:rsidRPr="00B86BDD">
        <w:rPr>
          <w:sz w:val="16"/>
          <w:szCs w:val="16"/>
        </w:rPr>
        <w:t xml:space="preserve"> Zahrnují zejména činnosti webových portálů, zpravodajských tiskových kanceláří a agentur či zpracování dat a hosting.</w:t>
      </w:r>
    </w:p>
  </w:footnote>
  <w:footnote w:id="37">
    <w:p w14:paraId="10C29A2F" w14:textId="77777777" w:rsidR="00EC6B23" w:rsidRPr="00EB7D87" w:rsidRDefault="00EC6B23" w:rsidP="00EC6B23">
      <w:pPr>
        <w:spacing w:after="0" w:line="240" w:lineRule="auto"/>
        <w:rPr>
          <w:spacing w:val="-2"/>
        </w:rPr>
      </w:pPr>
      <w:r w:rsidRPr="00EB7D87">
        <w:rPr>
          <w:rStyle w:val="Znakapoznpodarou"/>
          <w:color w:val="0D0D0D" w:themeColor="text1" w:themeTint="F2"/>
          <w:spacing w:val="-2"/>
          <w:sz w:val="16"/>
          <w:szCs w:val="16"/>
        </w:rPr>
        <w:footnoteRef/>
      </w:r>
      <w:r>
        <w:rPr>
          <w:color w:val="0D0D0D" w:themeColor="text1" w:themeTint="F2"/>
          <w:spacing w:val="-2"/>
          <w:sz w:val="16"/>
          <w:szCs w:val="16"/>
        </w:rPr>
        <w:t xml:space="preserve"> Všechna meziroční</w:t>
      </w:r>
      <w:r w:rsidRPr="00EB7D87">
        <w:rPr>
          <w:color w:val="0D0D0D" w:themeColor="text1" w:themeTint="F2"/>
          <w:spacing w:val="-2"/>
          <w:sz w:val="16"/>
          <w:szCs w:val="16"/>
        </w:rPr>
        <w:t xml:space="preserve"> tempa tržeb za maloobchod jsou uvedena ve stálých cenách a očištěna o kalendářní vlivy, mezičtvrtletní tempa jsou očištěna o sezónní vlivy (včetně vlivu počtu pracovních dnů). Maloobchod zahrnuje odvětví CZ-NACE 47.</w:t>
      </w:r>
    </w:p>
  </w:footnote>
  <w:footnote w:id="38">
    <w:p w14:paraId="14A1B1FA" w14:textId="77777777" w:rsidR="00EC6B23" w:rsidRPr="00832E72" w:rsidRDefault="00EC6B23" w:rsidP="00EC6B23">
      <w:pPr>
        <w:pStyle w:val="Textpoznpodarou"/>
        <w:rPr>
          <w:sz w:val="16"/>
          <w:szCs w:val="16"/>
        </w:rPr>
      </w:pPr>
      <w:r w:rsidRPr="00832E72">
        <w:rPr>
          <w:rStyle w:val="Znakapoznpodarou"/>
          <w:sz w:val="16"/>
          <w:szCs w:val="16"/>
        </w:rPr>
        <w:footnoteRef/>
      </w:r>
      <w:r w:rsidRPr="00832E72">
        <w:rPr>
          <w:sz w:val="16"/>
          <w:szCs w:val="16"/>
        </w:rPr>
        <w:t xml:space="preserve"> Ty zahrnují především </w:t>
      </w:r>
      <w:r w:rsidRPr="00832E72">
        <w:rPr>
          <w:rStyle w:val="normaltextrun"/>
          <w:rFonts w:eastAsia="MS Gothic" w:cs="Arial"/>
          <w:spacing w:val="-3"/>
          <w:sz w:val="16"/>
          <w:szCs w:val="16"/>
        </w:rPr>
        <w:t>železářské zboží, stavebniny, barvy, sklo, potřeby pro kutily, elektrospotřebiče, elektroniku, nábytek,</w:t>
      </w:r>
      <w:r w:rsidRPr="00832E72">
        <w:rPr>
          <w:rFonts w:cs="Arial"/>
          <w:color w:val="0D0D0D" w:themeColor="text1" w:themeTint="F2"/>
          <w:spacing w:val="-3"/>
          <w:sz w:val="16"/>
          <w:szCs w:val="16"/>
        </w:rPr>
        <w:t> </w:t>
      </w:r>
      <w:r w:rsidRPr="00832E72">
        <w:rPr>
          <w:rStyle w:val="normaltextrun"/>
          <w:rFonts w:eastAsia="MS Gothic" w:cs="Arial"/>
          <w:spacing w:val="-3"/>
          <w:sz w:val="16"/>
          <w:szCs w:val="16"/>
        </w:rPr>
        <w:t xml:space="preserve">svítidla, </w:t>
      </w:r>
      <w:r>
        <w:rPr>
          <w:rFonts w:cs="Arial"/>
          <w:color w:val="0D0D0D" w:themeColor="text1" w:themeTint="F2"/>
          <w:sz w:val="16"/>
          <w:szCs w:val="16"/>
        </w:rPr>
        <w:t>koberce či bytový textil</w:t>
      </w:r>
      <w:r w:rsidRPr="00832E72">
        <w:rPr>
          <w:rFonts w:cs="Arial"/>
          <w:color w:val="0D0D0D" w:themeColor="text1" w:themeTint="F2"/>
          <w:sz w:val="16"/>
          <w:szCs w:val="16"/>
        </w:rPr>
        <w:t>.</w:t>
      </w:r>
    </w:p>
  </w:footnote>
  <w:footnote w:id="39">
    <w:p w14:paraId="1A358071" w14:textId="77777777" w:rsidR="00EC6B23" w:rsidRPr="00F67A32" w:rsidRDefault="00EC6B23" w:rsidP="00EC6B23">
      <w:pPr>
        <w:pStyle w:val="Textpoznpodarou"/>
        <w:rPr>
          <w:sz w:val="16"/>
          <w:szCs w:val="16"/>
        </w:rPr>
      </w:pPr>
      <w:r w:rsidRPr="00F67A32">
        <w:rPr>
          <w:rStyle w:val="Znakapoznpodarou"/>
          <w:sz w:val="16"/>
          <w:szCs w:val="16"/>
        </w:rPr>
        <w:footnoteRef/>
      </w:r>
      <w:r w:rsidRPr="00F67A32">
        <w:rPr>
          <w:sz w:val="16"/>
          <w:szCs w:val="16"/>
        </w:rPr>
        <w:t xml:space="preserve"> Poptávku v obou těchto kategoriích specializovaných prodejen silně poznamenaly restrikce během pandemického období. Ve srovnání s počátkem roku 2019 byly např. aktuální tržby za oděvy, obuv a kožené zboží </w:t>
      </w:r>
      <w:r>
        <w:rPr>
          <w:sz w:val="16"/>
          <w:szCs w:val="16"/>
        </w:rPr>
        <w:t xml:space="preserve">stále </w:t>
      </w:r>
      <w:r w:rsidRPr="00F67A32">
        <w:rPr>
          <w:sz w:val="16"/>
          <w:szCs w:val="16"/>
        </w:rPr>
        <w:t xml:space="preserve">nižší o celou pětinu. </w:t>
      </w:r>
    </w:p>
  </w:footnote>
  <w:footnote w:id="40">
    <w:p w14:paraId="118D2082" w14:textId="77777777" w:rsidR="00EC6B23" w:rsidRPr="00B45636" w:rsidRDefault="00EC6B23" w:rsidP="00EC6B23">
      <w:pPr>
        <w:pStyle w:val="Textpoznpodarou"/>
        <w:rPr>
          <w:sz w:val="16"/>
          <w:szCs w:val="16"/>
        </w:rPr>
      </w:pPr>
      <w:r w:rsidRPr="00B45636">
        <w:rPr>
          <w:rStyle w:val="Znakapoznpodarou"/>
          <w:sz w:val="16"/>
          <w:szCs w:val="16"/>
        </w:rPr>
        <w:footnoteRef/>
      </w:r>
      <w:r w:rsidRPr="00B45636">
        <w:rPr>
          <w:sz w:val="16"/>
          <w:szCs w:val="16"/>
        </w:rPr>
        <w:t xml:space="preserve"> Mimo</w:t>
      </w:r>
      <w:r>
        <w:rPr>
          <w:sz w:val="16"/>
          <w:szCs w:val="16"/>
        </w:rPr>
        <w:t xml:space="preserve"> specializované prodejny již třetí rok v řadě</w:t>
      </w:r>
      <w:r w:rsidRPr="00B45636">
        <w:rPr>
          <w:sz w:val="16"/>
          <w:szCs w:val="16"/>
        </w:rPr>
        <w:t xml:space="preserve"> </w:t>
      </w:r>
      <w:r>
        <w:rPr>
          <w:sz w:val="16"/>
          <w:szCs w:val="16"/>
        </w:rPr>
        <w:t xml:space="preserve">(vyjma krátkodobého poklesu loni ve 2. čtvrtletí) svižně rostly tržby </w:t>
      </w:r>
      <w:r w:rsidRPr="00B45636">
        <w:rPr>
          <w:rStyle w:val="normaltextrun"/>
          <w:rFonts w:eastAsia="MS Gothic" w:cs="Arial"/>
          <w:sz w:val="16"/>
          <w:szCs w:val="16"/>
        </w:rPr>
        <w:t xml:space="preserve">v </w:t>
      </w:r>
      <w:r w:rsidRPr="00B45636">
        <w:rPr>
          <w:rFonts w:cs="Arial"/>
          <w:color w:val="0D0D0D" w:themeColor="text1" w:themeTint="F2"/>
          <w:sz w:val="16"/>
          <w:szCs w:val="16"/>
        </w:rPr>
        <w:t xml:space="preserve">malém segmentu ostatního maloobchodu s převahou </w:t>
      </w:r>
      <w:r>
        <w:rPr>
          <w:rFonts w:cs="Arial"/>
          <w:color w:val="0D0D0D" w:themeColor="text1" w:themeTint="F2"/>
          <w:sz w:val="16"/>
          <w:szCs w:val="16"/>
        </w:rPr>
        <w:t>nepotravinářského zboží (letos v 1. čtvrtletí o 18,2 %).</w:t>
      </w:r>
      <w:r w:rsidRPr="00B45636">
        <w:rPr>
          <w:rFonts w:cs="Arial"/>
          <w:color w:val="0D0D0D" w:themeColor="text1" w:themeTint="F2"/>
          <w:sz w:val="16"/>
          <w:szCs w:val="16"/>
        </w:rPr>
        <w:t xml:space="preserve"> Ten zahrnuje typicky menší provozovny orientované na prodej různorodého drobného zboží, zpravidla ve slevových akcích.</w:t>
      </w:r>
    </w:p>
  </w:footnote>
  <w:footnote w:id="41">
    <w:p w14:paraId="18F31A38" w14:textId="77777777" w:rsidR="00B8507A" w:rsidRDefault="00B8507A" w:rsidP="00B8507A">
      <w:pPr>
        <w:pStyle w:val="Textpoznpodarou"/>
        <w:rPr>
          <w:rFonts w:cs="Arial"/>
          <w:i/>
          <w:iCs/>
          <w:sz w:val="16"/>
          <w:szCs w:val="16"/>
        </w:rPr>
      </w:pPr>
      <w:r>
        <w:rPr>
          <w:rStyle w:val="Znakapoznpodarou"/>
          <w:rFonts w:cs="Arial"/>
          <w:sz w:val="16"/>
          <w:szCs w:val="16"/>
        </w:rPr>
        <w:footnoteRef/>
      </w:r>
      <w:r>
        <w:rPr>
          <w:rFonts w:cs="Arial"/>
          <w:i/>
          <w:iCs/>
          <w:sz w:val="16"/>
          <w:szCs w:val="16"/>
        </w:rPr>
        <w:t xml:space="preserve"> </w:t>
      </w:r>
      <w:r>
        <w:rPr>
          <w:rStyle w:val="Zdraznn"/>
          <w:rFonts w:cs="Arial"/>
          <w:color w:val="333333"/>
          <w:sz w:val="16"/>
          <w:szCs w:val="16"/>
          <w:bdr w:val="none" w:sz="0" w:space="0" w:color="auto" w:frame="1"/>
          <w:shd w:val="clear" w:color="auto" w:fill="FFFFFF"/>
        </w:rPr>
        <w:t>Údaje za zahraniční obchod se zbožím od roku 2020 jsou přepočítávány aktualizovanou metodou založenou na vyšší míře detailu, viz </w:t>
      </w:r>
      <w:hyperlink r:id="rId1" w:history="1">
        <w:r>
          <w:rPr>
            <w:rStyle w:val="Hypertextovodkaz"/>
            <w:rFonts w:cs="Arial"/>
            <w:sz w:val="16"/>
            <w:szCs w:val="16"/>
            <w:bdr w:val="none" w:sz="0" w:space="0" w:color="auto" w:frame="1"/>
            <w:shd w:val="clear" w:color="auto" w:fill="FFFFFF"/>
          </w:rPr>
          <w:t>https://www.czso.cz/csu/czso/aktualizace-metody-propoctu-zahranicni-obchod-se-zbozim</w:t>
        </w:r>
      </w:hyperlink>
      <w:r>
        <w:rPr>
          <w:rStyle w:val="Hypertextovodkaz"/>
          <w:rFonts w:cs="Arial"/>
          <w:sz w:val="16"/>
          <w:szCs w:val="16"/>
          <w:bdr w:val="none" w:sz="0" w:space="0" w:color="auto" w:frame="1"/>
          <w:shd w:val="clear" w:color="auto" w:fill="FFFFFF"/>
        </w:rPr>
        <w:t xml:space="preserve">. </w:t>
      </w:r>
      <w:r>
        <w:rPr>
          <w:sz w:val="16"/>
          <w:szCs w:val="16"/>
        </w:rPr>
        <w:t>Není-li uvedeno jinak, jsou všechny údaje sezónně neočištěné a v běžných cenách.</w:t>
      </w:r>
    </w:p>
  </w:footnote>
  <w:footnote w:id="42">
    <w:p w14:paraId="41418C38" w14:textId="77777777" w:rsidR="00B8507A" w:rsidRDefault="00B8507A" w:rsidP="00B8507A">
      <w:pPr>
        <w:pStyle w:val="Textpoznpodarou"/>
        <w:rPr>
          <w:sz w:val="16"/>
          <w:szCs w:val="16"/>
        </w:rPr>
      </w:pPr>
      <w:r>
        <w:rPr>
          <w:rStyle w:val="Znakapoznpodarou"/>
          <w:sz w:val="16"/>
          <w:szCs w:val="16"/>
        </w:rPr>
        <w:footnoteRef/>
      </w:r>
      <w:r>
        <w:rPr>
          <w:sz w:val="16"/>
          <w:szCs w:val="16"/>
        </w:rPr>
        <w:t xml:space="preserve"> Ceny vývozu zboží loni klesly o 0,7 % a v samotném 4. čtvrtletí byly meziročně nižší o 2,2 %. Mezičtvrtletně ceny vývozu vzrostly </w:t>
      </w:r>
      <w:r>
        <w:rPr>
          <w:sz w:val="16"/>
          <w:szCs w:val="16"/>
        </w:rPr>
        <w:br/>
        <w:t>o 0,6 %. Ceny ostatních surovin se loni propadly o 18,6 % a minerálních paliv o 0,9 %. Ve 4. čtvrtletí ale ceny minerálních paliv meziročně klesly o 13,7 %.</w:t>
      </w:r>
    </w:p>
  </w:footnote>
  <w:footnote w:id="43">
    <w:p w14:paraId="0AAD0AD3" w14:textId="77777777" w:rsidR="00B8507A" w:rsidRDefault="00B8507A" w:rsidP="00B8507A">
      <w:pPr>
        <w:pStyle w:val="Textpoznpodarou"/>
        <w:rPr>
          <w:sz w:val="16"/>
          <w:szCs w:val="16"/>
        </w:rPr>
      </w:pPr>
      <w:r>
        <w:rPr>
          <w:rStyle w:val="Znakapoznpodarou"/>
          <w:sz w:val="16"/>
          <w:szCs w:val="16"/>
        </w:rPr>
        <w:footnoteRef/>
      </w:r>
      <w:r>
        <w:rPr>
          <w:sz w:val="16"/>
          <w:szCs w:val="16"/>
        </w:rPr>
        <w:t xml:space="preserve"> Ceny dovozu zboží byly loni nižší o 5,7 %. Ve 4. čtvrtletí meziročně klesly o 6,1 % a mezičtvrtletně vzrostly o 1,5 %. Ceny importu minerálních paliv loni klesly o 27,7 %, ostatních surovin o 10,7 % a chemikálií o 7,9 %.</w:t>
      </w:r>
    </w:p>
  </w:footnote>
  <w:footnote w:id="44">
    <w:p w14:paraId="2B850942" w14:textId="77777777" w:rsidR="00B8507A" w:rsidRDefault="00B8507A" w:rsidP="00B8507A">
      <w:pPr>
        <w:pStyle w:val="Textpoznpodarou"/>
        <w:rPr>
          <w:sz w:val="16"/>
          <w:szCs w:val="16"/>
        </w:rPr>
      </w:pPr>
      <w:r>
        <w:rPr>
          <w:rStyle w:val="Znakapoznpodarou"/>
          <w:sz w:val="16"/>
          <w:szCs w:val="16"/>
        </w:rPr>
        <w:footnoteRef/>
      </w:r>
      <w:r>
        <w:rPr>
          <w:sz w:val="16"/>
          <w:szCs w:val="16"/>
        </w:rPr>
        <w:t xml:space="preserve"> </w:t>
      </w:r>
      <w:r>
        <w:rPr>
          <w:spacing w:val="-4"/>
          <w:sz w:val="16"/>
          <w:szCs w:val="16"/>
          <w:lang w:eastAsia="en-US"/>
        </w:rPr>
        <w:t xml:space="preserve">Poměrně netypicky vysoký nárůst u Tchaj-wanu souvisel s nárůstem dovozu počítačů a elektronických a optických přístrojů, podobně jako </w:t>
      </w:r>
      <w:r>
        <w:rPr>
          <w:spacing w:val="-4"/>
          <w:sz w:val="16"/>
          <w:szCs w:val="16"/>
          <w:lang w:eastAsia="en-US"/>
        </w:rPr>
        <w:br/>
        <w:t xml:space="preserve">u dovozu z Malajsie. Z Kazachstánu bylo dovezeno více ropy a zemního plynu.        </w:t>
      </w:r>
    </w:p>
  </w:footnote>
  <w:footnote w:id="45">
    <w:p w14:paraId="29C10331" w14:textId="77777777" w:rsidR="00B8507A" w:rsidRDefault="00B8507A" w:rsidP="00B8507A">
      <w:pPr>
        <w:pStyle w:val="Textpoznpodarou"/>
        <w:rPr>
          <w:sz w:val="16"/>
          <w:szCs w:val="16"/>
        </w:rPr>
      </w:pPr>
      <w:r>
        <w:rPr>
          <w:rStyle w:val="Znakapoznpodarou"/>
          <w:sz w:val="16"/>
          <w:szCs w:val="16"/>
        </w:rPr>
        <w:footnoteRef/>
      </w:r>
      <w:r>
        <w:rPr>
          <w:sz w:val="16"/>
          <w:szCs w:val="16"/>
        </w:rPr>
        <w:t xml:space="preserve"> Podle dostupné časové řady jde o nejvyšší přebytek zaznamenaný v rámci 1. kvartálu.</w:t>
      </w:r>
    </w:p>
  </w:footnote>
  <w:footnote w:id="46">
    <w:p w14:paraId="7DC3135E" w14:textId="77777777" w:rsidR="00FA1CA9" w:rsidRPr="007414CF" w:rsidRDefault="00FA1CA9" w:rsidP="007C3842">
      <w:pPr>
        <w:pStyle w:val="Textpoznpodarou"/>
        <w:rPr>
          <w:sz w:val="16"/>
          <w:szCs w:val="16"/>
        </w:rPr>
      </w:pPr>
      <w:r w:rsidRPr="007414CF">
        <w:rPr>
          <w:rStyle w:val="Znakapoznpodarou"/>
          <w:sz w:val="16"/>
          <w:szCs w:val="16"/>
        </w:rPr>
        <w:footnoteRef/>
      </w:r>
      <w:r w:rsidRPr="007414CF">
        <w:rPr>
          <w:sz w:val="16"/>
          <w:szCs w:val="16"/>
        </w:rPr>
        <w:t xml:space="preserve"> V letech 2022 a 2023 byly přírůstky cen v 1. kvartálu roku mimořádně vysoké</w:t>
      </w:r>
      <w:r>
        <w:rPr>
          <w:sz w:val="16"/>
          <w:szCs w:val="16"/>
        </w:rPr>
        <w:t xml:space="preserve"> (6,3 % a 6,9 %)</w:t>
      </w:r>
      <w:r w:rsidRPr="007414CF">
        <w:rPr>
          <w:sz w:val="16"/>
          <w:szCs w:val="16"/>
        </w:rPr>
        <w:t>. V 1. čtvrtletí roku 2021 spotřebitelské ceny mezičtvrtletně vzrostly o 1,4 %, v roce 2020 o 1,8 %, v roce 2019 o 1,2 %.</w:t>
      </w:r>
    </w:p>
  </w:footnote>
  <w:footnote w:id="47">
    <w:p w14:paraId="3FCAF8DB" w14:textId="77777777" w:rsidR="00FA1CA9" w:rsidRDefault="00FA1CA9" w:rsidP="007C3842">
      <w:pPr>
        <w:pStyle w:val="Textpoznpodarou"/>
        <w:rPr>
          <w:sz w:val="16"/>
          <w:szCs w:val="16"/>
        </w:rPr>
      </w:pPr>
      <w:r>
        <w:rPr>
          <w:rStyle w:val="Znakapoznpodarou"/>
          <w:sz w:val="16"/>
          <w:szCs w:val="16"/>
        </w:rPr>
        <w:footnoteRef/>
      </w:r>
      <w:r>
        <w:rPr>
          <w:sz w:val="16"/>
          <w:szCs w:val="16"/>
        </w:rPr>
        <w:t xml:space="preserve"> Imputované nájemné vyjadřuje náklady vlastnického bydlení. Kromě samotných cen bydlení zahrnuje i náklady na výstavbu a renovace a další poplatky. Více na: </w:t>
      </w:r>
      <w:hyperlink r:id="rId2" w:history="1">
        <w:r>
          <w:rPr>
            <w:rStyle w:val="Hypertextovodkaz"/>
            <w:sz w:val="16"/>
            <w:szCs w:val="16"/>
          </w:rPr>
          <w:t>https://www.czso.cz/csu/czso/metodicka-poznamka-k-indexu-spotrebitelskych-cen-imputovane-najemne</w:t>
        </w:r>
      </w:hyperlink>
      <w:r>
        <w:rPr>
          <w:rStyle w:val="Hypertextovodkaz"/>
          <w:sz w:val="16"/>
          <w:szCs w:val="16"/>
        </w:rPr>
        <w:t>.</w:t>
      </w:r>
    </w:p>
  </w:footnote>
  <w:footnote w:id="48">
    <w:p w14:paraId="68B9BF33" w14:textId="77777777" w:rsidR="00FA1CA9" w:rsidRDefault="00FA1CA9" w:rsidP="007C3842">
      <w:pPr>
        <w:pStyle w:val="Textpoznpodarou"/>
        <w:rPr>
          <w:sz w:val="16"/>
          <w:szCs w:val="16"/>
        </w:rPr>
      </w:pPr>
      <w:r>
        <w:rPr>
          <w:rStyle w:val="Znakapoznpodarou"/>
          <w:sz w:val="16"/>
          <w:szCs w:val="16"/>
        </w:rPr>
        <w:footnoteRef/>
      </w:r>
      <w:r>
        <w:rPr>
          <w:sz w:val="16"/>
          <w:szCs w:val="16"/>
        </w:rPr>
        <w:t xml:space="preserve"> Zahrnuje služby osobní péče a osobní potřeby a doplňky, sociální péči, pojištění a další finanční služby apod.</w:t>
      </w:r>
    </w:p>
  </w:footnote>
  <w:footnote w:id="49">
    <w:p w14:paraId="38E8F8F8" w14:textId="77777777" w:rsidR="00FA1CA9" w:rsidRDefault="00FA1CA9" w:rsidP="007C3842">
      <w:pPr>
        <w:pStyle w:val="Textpoznpodarou"/>
        <w:rPr>
          <w:sz w:val="16"/>
          <w:szCs w:val="16"/>
        </w:rPr>
      </w:pPr>
      <w:r>
        <w:rPr>
          <w:rStyle w:val="Znakapoznpodarou"/>
          <w:sz w:val="16"/>
          <w:szCs w:val="16"/>
        </w:rPr>
        <w:footnoteRef/>
      </w:r>
      <w:r>
        <w:rPr>
          <w:sz w:val="16"/>
          <w:szCs w:val="16"/>
        </w:rPr>
        <w:t xml:space="preserve"> Oproti indexu spotřebitelských cen, který ČSÚ pro českou ekonomiku sestavuje, HICP neobsahuje imputované nájemné, což bývá zdrojem rozdílů mezi HICP a Indexem spotřebitelských cen.</w:t>
      </w:r>
    </w:p>
  </w:footnote>
  <w:footnote w:id="50">
    <w:p w14:paraId="5CA41C15" w14:textId="77777777" w:rsidR="00FA1CA9" w:rsidRDefault="00FA1CA9" w:rsidP="007C3842">
      <w:pPr>
        <w:pStyle w:val="Textpoznpodarou"/>
        <w:rPr>
          <w:sz w:val="16"/>
          <w:szCs w:val="16"/>
        </w:rPr>
      </w:pPr>
      <w:r>
        <w:rPr>
          <w:rStyle w:val="Znakapoznpodarou"/>
          <w:sz w:val="16"/>
          <w:szCs w:val="16"/>
        </w:rPr>
        <w:footnoteRef/>
      </w:r>
      <w:r>
        <w:rPr>
          <w:sz w:val="16"/>
          <w:szCs w:val="16"/>
        </w:rPr>
        <w:t xml:space="preserve"> Bez cen zásobování vodou a služeb souvisejících s odpadními vodami.</w:t>
      </w:r>
    </w:p>
  </w:footnote>
  <w:footnote w:id="51">
    <w:p w14:paraId="1ED6313D" w14:textId="77777777" w:rsidR="00FA1CA9" w:rsidRDefault="00FA1CA9" w:rsidP="007C3842">
      <w:pPr>
        <w:pStyle w:val="Textpoznpodarou"/>
        <w:rPr>
          <w:sz w:val="16"/>
          <w:szCs w:val="16"/>
        </w:rPr>
      </w:pPr>
      <w:r>
        <w:rPr>
          <w:rStyle w:val="Znakapoznpodarou"/>
          <w:sz w:val="16"/>
          <w:szCs w:val="16"/>
        </w:rPr>
        <w:footnoteRef/>
      </w:r>
      <w:r>
        <w:rPr>
          <w:sz w:val="16"/>
          <w:szCs w:val="16"/>
        </w:rPr>
        <w:t xml:space="preserve"> Podle údajů ČNB byl v 1. čtvrtletí 2024 průměrný kurz koruny vůči euru 25,070 CZK/EUR. V 1. čtvrtletí 2023 to bylo 23,785 CZK/EUR a ve 4. čtvrtletí 24,521 CZK/EUR. Kurz vůči dolaru též oslaboval. V 1. čtvrtletí 2024 činil průměr 23,090 CZK/USD. Ve stejném období roku 2023 to bylo 22,169 CZK/USD a ve 4. čtvrtletí 2023 22,820 CZK/EUR.</w:t>
      </w:r>
    </w:p>
  </w:footnote>
  <w:footnote w:id="52">
    <w:p w14:paraId="0BC2093F" w14:textId="77777777" w:rsidR="00945636" w:rsidRPr="00F72E52" w:rsidRDefault="00945636" w:rsidP="00945636">
      <w:pPr>
        <w:pStyle w:val="Textpoznpodarou"/>
        <w:jc w:val="both"/>
        <w:rPr>
          <w:color w:val="0D0D0D" w:themeColor="text1" w:themeTint="F2"/>
          <w:spacing w:val="-2"/>
          <w:sz w:val="16"/>
          <w:szCs w:val="16"/>
        </w:rPr>
      </w:pPr>
      <w:r w:rsidRPr="00F72E52">
        <w:rPr>
          <w:rStyle w:val="Znakapoznpodarou"/>
          <w:color w:val="0D0D0D" w:themeColor="text1" w:themeTint="F2"/>
          <w:spacing w:val="-2"/>
          <w:sz w:val="16"/>
          <w:szCs w:val="16"/>
        </w:rPr>
        <w:footnoteRef/>
      </w:r>
      <w:r w:rsidRPr="00F72E52">
        <w:rPr>
          <w:color w:val="0D0D0D" w:themeColor="text1" w:themeTint="F2"/>
          <w:spacing w:val="-2"/>
          <w:sz w:val="16"/>
          <w:szCs w:val="16"/>
        </w:rPr>
        <w:t xml:space="preserve"> Údaje </w:t>
      </w:r>
      <w:r>
        <w:rPr>
          <w:color w:val="0D0D0D" w:themeColor="text1" w:themeTint="F2"/>
          <w:spacing w:val="-2"/>
          <w:sz w:val="16"/>
          <w:szCs w:val="16"/>
        </w:rPr>
        <w:t xml:space="preserve">o zaměstnanosti </w:t>
      </w:r>
      <w:r w:rsidRPr="00F72E52">
        <w:rPr>
          <w:color w:val="0D0D0D" w:themeColor="text1" w:themeTint="F2"/>
          <w:spacing w:val="-2"/>
          <w:sz w:val="16"/>
          <w:szCs w:val="16"/>
        </w:rPr>
        <w:t>vycház</w:t>
      </w:r>
      <w:r>
        <w:rPr>
          <w:color w:val="0D0D0D" w:themeColor="text1" w:themeTint="F2"/>
          <w:spacing w:val="-2"/>
          <w:sz w:val="16"/>
          <w:szCs w:val="16"/>
        </w:rPr>
        <w:t>ej</w:t>
      </w:r>
      <w:r w:rsidRPr="00F72E52">
        <w:rPr>
          <w:color w:val="0D0D0D" w:themeColor="text1" w:themeTint="F2"/>
          <w:spacing w:val="-2"/>
          <w:sz w:val="16"/>
          <w:szCs w:val="16"/>
        </w:rPr>
        <w:t>í z</w:t>
      </w:r>
      <w:r>
        <w:rPr>
          <w:color w:val="0D0D0D" w:themeColor="text1" w:themeTint="F2"/>
          <w:spacing w:val="-2"/>
          <w:sz w:val="16"/>
          <w:szCs w:val="16"/>
        </w:rPr>
        <w:t> </w:t>
      </w:r>
      <w:r w:rsidRPr="00F72E52">
        <w:rPr>
          <w:color w:val="0D0D0D" w:themeColor="text1" w:themeTint="F2"/>
          <w:spacing w:val="-2"/>
          <w:sz w:val="16"/>
          <w:szCs w:val="16"/>
        </w:rPr>
        <w:t>pojetí národních účtů. Jsou vyjádřeny ve fyzických osobách a</w:t>
      </w:r>
      <w:r>
        <w:rPr>
          <w:color w:val="0D0D0D" w:themeColor="text1" w:themeTint="F2"/>
          <w:spacing w:val="-2"/>
          <w:sz w:val="16"/>
          <w:szCs w:val="16"/>
        </w:rPr>
        <w:t> </w:t>
      </w:r>
      <w:r w:rsidRPr="00F72E52">
        <w:rPr>
          <w:color w:val="0D0D0D" w:themeColor="text1" w:themeTint="F2"/>
          <w:spacing w:val="-2"/>
          <w:sz w:val="16"/>
          <w:szCs w:val="16"/>
        </w:rPr>
        <w:t>očištěny o sezónní vlivy.</w:t>
      </w:r>
      <w:r>
        <w:rPr>
          <w:color w:val="0D0D0D" w:themeColor="text1" w:themeTint="F2"/>
          <w:spacing w:val="-2"/>
          <w:sz w:val="16"/>
          <w:szCs w:val="16"/>
        </w:rPr>
        <w:t xml:space="preserve"> Na rozdíl od údajů z podnikové statistiky či z </w:t>
      </w:r>
      <w:r w:rsidRPr="00946AFA">
        <w:rPr>
          <w:sz w:val="16"/>
          <w:szCs w:val="16"/>
        </w:rPr>
        <w:t xml:space="preserve">výběrového šetření pracovních sil </w:t>
      </w:r>
      <w:r>
        <w:rPr>
          <w:sz w:val="16"/>
          <w:szCs w:val="16"/>
        </w:rPr>
        <w:t>(VŠPS) zahrnují např. i odhad vlivu šedé ekonomiky.</w:t>
      </w:r>
    </w:p>
  </w:footnote>
  <w:footnote w:id="53">
    <w:p w14:paraId="2DE97820" w14:textId="77777777" w:rsidR="00945636" w:rsidRPr="00A22305" w:rsidRDefault="00945636" w:rsidP="00945636">
      <w:pPr>
        <w:pStyle w:val="Textpoznpodarou"/>
        <w:rPr>
          <w:spacing w:val="-2"/>
          <w:sz w:val="16"/>
          <w:szCs w:val="16"/>
        </w:rPr>
      </w:pPr>
      <w:r w:rsidRPr="00431D2B">
        <w:rPr>
          <w:rStyle w:val="Znakapoznpodarou"/>
          <w:sz w:val="16"/>
          <w:szCs w:val="16"/>
        </w:rPr>
        <w:footnoteRef/>
      </w:r>
      <w:r w:rsidRPr="00431D2B">
        <w:rPr>
          <w:sz w:val="16"/>
          <w:szCs w:val="16"/>
        </w:rPr>
        <w:t xml:space="preserve"> </w:t>
      </w:r>
      <w:r>
        <w:rPr>
          <w:spacing w:val="-2"/>
          <w:sz w:val="16"/>
          <w:szCs w:val="16"/>
        </w:rPr>
        <w:t>Zaměstnanost v Česku</w:t>
      </w:r>
      <w:r w:rsidRPr="00C034B4">
        <w:rPr>
          <w:spacing w:val="-2"/>
          <w:sz w:val="16"/>
          <w:szCs w:val="16"/>
        </w:rPr>
        <w:t xml:space="preserve"> tak rostla opět pomalej</w:t>
      </w:r>
      <w:r>
        <w:rPr>
          <w:spacing w:val="-2"/>
          <w:sz w:val="16"/>
          <w:szCs w:val="16"/>
        </w:rPr>
        <w:t xml:space="preserve">i než v EU. V celé Unii se v 1. čtvrtletí </w:t>
      </w:r>
      <w:r w:rsidRPr="00C034B4">
        <w:rPr>
          <w:spacing w:val="-2"/>
          <w:sz w:val="16"/>
          <w:szCs w:val="16"/>
        </w:rPr>
        <w:t>počet</w:t>
      </w:r>
      <w:r>
        <w:rPr>
          <w:spacing w:val="-2"/>
          <w:sz w:val="16"/>
          <w:szCs w:val="16"/>
        </w:rPr>
        <w:t xml:space="preserve"> pracovníků meziročně zvýšil o 0,9</w:t>
      </w:r>
      <w:r w:rsidRPr="00C034B4">
        <w:rPr>
          <w:spacing w:val="-2"/>
          <w:sz w:val="16"/>
          <w:szCs w:val="16"/>
        </w:rPr>
        <w:t xml:space="preserve"> %</w:t>
      </w:r>
      <w:r>
        <w:rPr>
          <w:spacing w:val="-2"/>
          <w:sz w:val="16"/>
          <w:szCs w:val="16"/>
        </w:rPr>
        <w:t xml:space="preserve"> (nejméně za poslední tři roky). Z</w:t>
      </w:r>
      <w:r w:rsidRPr="00C034B4">
        <w:rPr>
          <w:spacing w:val="-2"/>
          <w:sz w:val="16"/>
          <w:szCs w:val="16"/>
        </w:rPr>
        <w:t xml:space="preserve"> jednotlivých</w:t>
      </w:r>
      <w:r>
        <w:rPr>
          <w:spacing w:val="-2"/>
          <w:sz w:val="16"/>
          <w:szCs w:val="16"/>
        </w:rPr>
        <w:t xml:space="preserve"> států vzrostl nejvíce na Maltě (o 5,8 %)</w:t>
      </w:r>
      <w:r w:rsidRPr="00C034B4">
        <w:rPr>
          <w:spacing w:val="-2"/>
          <w:sz w:val="16"/>
          <w:szCs w:val="16"/>
        </w:rPr>
        <w:t xml:space="preserve">, </w:t>
      </w:r>
      <w:r>
        <w:rPr>
          <w:spacing w:val="-2"/>
          <w:sz w:val="16"/>
          <w:szCs w:val="16"/>
        </w:rPr>
        <w:t>v Rumunsku (+3,8 %) a Španělsku (+3,1</w:t>
      </w:r>
      <w:r w:rsidRPr="00C034B4">
        <w:rPr>
          <w:spacing w:val="-2"/>
          <w:sz w:val="16"/>
          <w:szCs w:val="16"/>
        </w:rPr>
        <w:t xml:space="preserve"> %). </w:t>
      </w:r>
      <w:r>
        <w:rPr>
          <w:spacing w:val="-2"/>
          <w:sz w:val="16"/>
          <w:szCs w:val="16"/>
        </w:rPr>
        <w:t xml:space="preserve">Počet pracovníků klesl jen v pěti vesměs menších zemích – v Estonsku (−1,3 %), Lotyšsku (−0,9 %), Polsku (−0,8 %), Finsku (−0,4 %) a také na Slovensku </w:t>
      </w:r>
      <w:r>
        <w:rPr>
          <w:spacing w:val="-2"/>
          <w:sz w:val="16"/>
          <w:szCs w:val="16"/>
        </w:rPr>
        <w:br/>
        <w:t>(−0,2 %). V Německu, shodně jako v tuzemsku, došlo k velmi mírnému růstu o 0,3 %. V rámci středoevropských ekonomik přibylo nejvíce pracovníků v Maďarsku (+0,5 %). Počet samotných zaměstnanců se v EU zvyšoval procentuálně obdobně jako počet sebezaměstnaných.</w:t>
      </w:r>
    </w:p>
  </w:footnote>
  <w:footnote w:id="54">
    <w:p w14:paraId="70B22CFA" w14:textId="77777777" w:rsidR="00945636" w:rsidRPr="00946AFA" w:rsidRDefault="00945636" w:rsidP="00945636">
      <w:pPr>
        <w:pStyle w:val="Textpoznpodarou"/>
        <w:rPr>
          <w:sz w:val="16"/>
          <w:szCs w:val="16"/>
        </w:rPr>
      </w:pPr>
      <w:r w:rsidRPr="00946AFA">
        <w:rPr>
          <w:rStyle w:val="Znakapoznpodarou"/>
          <w:sz w:val="16"/>
          <w:szCs w:val="16"/>
        </w:rPr>
        <w:footnoteRef/>
      </w:r>
      <w:r w:rsidRPr="00946AFA">
        <w:rPr>
          <w:sz w:val="16"/>
          <w:szCs w:val="16"/>
        </w:rPr>
        <w:t xml:space="preserve"> Z detailnějších </w:t>
      </w:r>
      <w:r>
        <w:rPr>
          <w:sz w:val="16"/>
          <w:szCs w:val="16"/>
        </w:rPr>
        <w:t xml:space="preserve">údajů z VŠPS </w:t>
      </w:r>
      <w:r w:rsidRPr="00946AFA">
        <w:rPr>
          <w:sz w:val="16"/>
          <w:szCs w:val="16"/>
        </w:rPr>
        <w:t>plyne, že počet zaměstnavatel</w:t>
      </w:r>
      <w:r>
        <w:rPr>
          <w:sz w:val="16"/>
          <w:szCs w:val="16"/>
        </w:rPr>
        <w:t>ů (podnikatelů se zaměstnanci) se nadále mírně snížil (a</w:t>
      </w:r>
      <w:r w:rsidRPr="00B6005F">
        <w:rPr>
          <w:spacing w:val="-3"/>
          <w:sz w:val="16"/>
          <w:szCs w:val="16"/>
        </w:rPr>
        <w:t> </w:t>
      </w:r>
      <w:r>
        <w:rPr>
          <w:sz w:val="16"/>
          <w:szCs w:val="16"/>
        </w:rPr>
        <w:t>pokračoval tak v nepříznivém trendu trvajícím od roku 2019). Tato početně méně významná skupina podnikatelů je v metodice národních účtů řazena do kategorie zaměstnanců.</w:t>
      </w:r>
    </w:p>
  </w:footnote>
  <w:footnote w:id="55">
    <w:p w14:paraId="7E746C5A" w14:textId="77777777" w:rsidR="00945636" w:rsidRDefault="00945636" w:rsidP="00945636">
      <w:pPr>
        <w:pStyle w:val="Textpoznpodarou"/>
      </w:pPr>
      <w:r w:rsidRPr="00442EDD">
        <w:rPr>
          <w:rStyle w:val="Znakapoznpodarou"/>
          <w:sz w:val="16"/>
          <w:szCs w:val="16"/>
        </w:rPr>
        <w:footnoteRef/>
      </w:r>
      <w:r w:rsidRPr="00442EDD">
        <w:rPr>
          <w:sz w:val="16"/>
          <w:szCs w:val="16"/>
        </w:rPr>
        <w:t xml:space="preserve"> </w:t>
      </w:r>
      <w:r w:rsidRPr="00442EDD">
        <w:rPr>
          <w:spacing w:val="-2"/>
          <w:sz w:val="16"/>
          <w:szCs w:val="16"/>
        </w:rPr>
        <w:t>Zahrnují odvětví Veřejná správa a obrana, vzdělávání, zdravotní a sociální péče.</w:t>
      </w:r>
    </w:p>
  </w:footnote>
  <w:footnote w:id="56">
    <w:p w14:paraId="536DAA83" w14:textId="77777777" w:rsidR="00945636" w:rsidRPr="0014571E" w:rsidRDefault="00945636" w:rsidP="00945636">
      <w:pPr>
        <w:pStyle w:val="Textpoznpodarou"/>
        <w:rPr>
          <w:sz w:val="16"/>
          <w:szCs w:val="16"/>
        </w:rPr>
      </w:pPr>
      <w:r w:rsidRPr="0014571E">
        <w:rPr>
          <w:rStyle w:val="Znakapoznpodarou"/>
          <w:sz w:val="16"/>
          <w:szCs w:val="16"/>
        </w:rPr>
        <w:footnoteRef/>
      </w:r>
      <w:r w:rsidRPr="0014571E">
        <w:rPr>
          <w:sz w:val="16"/>
          <w:szCs w:val="16"/>
        </w:rPr>
        <w:t xml:space="preserve"> Nejaktuálnější data v evropském srovnání jsou k dispozici </w:t>
      </w:r>
      <w:r>
        <w:rPr>
          <w:sz w:val="16"/>
          <w:szCs w:val="16"/>
        </w:rPr>
        <w:t>ke</w:t>
      </w:r>
      <w:r w:rsidRPr="0014571E">
        <w:rPr>
          <w:sz w:val="16"/>
          <w:szCs w:val="16"/>
        </w:rPr>
        <w:t xml:space="preserve"> 4. čtvrtletí 2023.</w:t>
      </w:r>
    </w:p>
  </w:footnote>
  <w:footnote w:id="57">
    <w:p w14:paraId="31333A22" w14:textId="77777777" w:rsidR="00945636" w:rsidRPr="00061071" w:rsidRDefault="00945636" w:rsidP="00945636">
      <w:pPr>
        <w:pStyle w:val="Textpoznpodarou"/>
        <w:rPr>
          <w:sz w:val="16"/>
          <w:szCs w:val="16"/>
        </w:rPr>
      </w:pPr>
      <w:r w:rsidRPr="00061071">
        <w:rPr>
          <w:rStyle w:val="Znakapoznpodarou"/>
          <w:sz w:val="16"/>
          <w:szCs w:val="16"/>
        </w:rPr>
        <w:footnoteRef/>
      </w:r>
      <w:r w:rsidRPr="00061071">
        <w:rPr>
          <w:sz w:val="16"/>
          <w:szCs w:val="16"/>
        </w:rPr>
        <w:t xml:space="preserve"> Ve 4. čtvrtletí 2023 měly ženy vyšší míru zaměstnanosti </w:t>
      </w:r>
      <w:r>
        <w:rPr>
          <w:sz w:val="16"/>
          <w:szCs w:val="16"/>
        </w:rPr>
        <w:t xml:space="preserve">než v Česku </w:t>
      </w:r>
      <w:r w:rsidRPr="00061071">
        <w:rPr>
          <w:sz w:val="16"/>
          <w:szCs w:val="16"/>
        </w:rPr>
        <w:t>hned v 15 zemích EU, z toho v sedmi státech, jež vs</w:t>
      </w:r>
      <w:r>
        <w:rPr>
          <w:sz w:val="16"/>
          <w:szCs w:val="16"/>
        </w:rPr>
        <w:t>toupily do Unie až po roce 2000 (např. v Estonsku, Maďarsku či Slovinsku).</w:t>
      </w:r>
    </w:p>
  </w:footnote>
  <w:footnote w:id="58">
    <w:p w14:paraId="1549FC53" w14:textId="77777777" w:rsidR="00945636" w:rsidRPr="00AD3730" w:rsidRDefault="00945636" w:rsidP="00945636">
      <w:pPr>
        <w:pStyle w:val="Textpoznpodarou"/>
        <w:rPr>
          <w:sz w:val="16"/>
          <w:szCs w:val="16"/>
        </w:rPr>
      </w:pPr>
      <w:r w:rsidRPr="00AD3730">
        <w:rPr>
          <w:rStyle w:val="Znakapoznpodarou"/>
          <w:sz w:val="16"/>
          <w:szCs w:val="16"/>
        </w:rPr>
        <w:footnoteRef/>
      </w:r>
      <w:r w:rsidRPr="00AD3730">
        <w:rPr>
          <w:sz w:val="16"/>
          <w:szCs w:val="16"/>
        </w:rPr>
        <w:t xml:space="preserve"> Více než tři čtvrtiny všech občanů Ukrajiny působících v ČR v zaměstnaneckém postavení nepotřebovalo povolení k zaměstnání.</w:t>
      </w:r>
    </w:p>
  </w:footnote>
  <w:footnote w:id="59">
    <w:p w14:paraId="5261CB0D" w14:textId="77777777" w:rsidR="00945636" w:rsidRPr="00223F13" w:rsidRDefault="00945636" w:rsidP="00945636">
      <w:pPr>
        <w:pStyle w:val="Textpoznpodarou"/>
        <w:rPr>
          <w:sz w:val="16"/>
          <w:szCs w:val="16"/>
        </w:rPr>
      </w:pPr>
      <w:r w:rsidRPr="00223F13">
        <w:rPr>
          <w:rStyle w:val="Znakapoznpodarou"/>
          <w:sz w:val="16"/>
          <w:szCs w:val="16"/>
        </w:rPr>
        <w:footnoteRef/>
      </w:r>
      <w:r w:rsidRPr="00223F13">
        <w:rPr>
          <w:sz w:val="16"/>
          <w:szCs w:val="16"/>
        </w:rPr>
        <w:t xml:space="preserve"> Od 1. července 2024 nebudou potřebovat v Česku pracovní povolení </w:t>
      </w:r>
      <w:r>
        <w:rPr>
          <w:sz w:val="16"/>
          <w:szCs w:val="16"/>
        </w:rPr>
        <w:t>ani zaměstnanecké karty</w:t>
      </w:r>
      <w:r w:rsidRPr="00223F13">
        <w:rPr>
          <w:sz w:val="16"/>
          <w:szCs w:val="16"/>
        </w:rPr>
        <w:t xml:space="preserve"> cizinci z některých ekonomicky vyspělých zemí mimo EU (USA, Velká Británie, Kanada, Austrálie, Nový Zéland, Japonsko, Jižní Korea, Izrael a Singapur).</w:t>
      </w:r>
    </w:p>
  </w:footnote>
  <w:footnote w:id="60">
    <w:p w14:paraId="0CB795D5" w14:textId="77777777" w:rsidR="00945636" w:rsidRPr="00536DA1" w:rsidRDefault="00945636" w:rsidP="00945636">
      <w:pPr>
        <w:pStyle w:val="Textpoznpodarou"/>
        <w:rPr>
          <w:sz w:val="16"/>
          <w:szCs w:val="16"/>
        </w:rPr>
      </w:pPr>
      <w:r w:rsidRPr="00536DA1">
        <w:rPr>
          <w:rStyle w:val="Znakapoznpodarou"/>
          <w:sz w:val="16"/>
          <w:szCs w:val="16"/>
        </w:rPr>
        <w:footnoteRef/>
      </w:r>
      <w:r w:rsidRPr="00536DA1">
        <w:rPr>
          <w:sz w:val="16"/>
          <w:szCs w:val="16"/>
        </w:rPr>
        <w:t xml:space="preserve"> Mezi nimi se ve srovnání s cizinci v zaměstnaneckém postavení častěji vyskytují lidé v Česku dlouhodobě usazení</w:t>
      </w:r>
      <w:r>
        <w:rPr>
          <w:sz w:val="16"/>
          <w:szCs w:val="16"/>
        </w:rPr>
        <w:t xml:space="preserve"> (např. Vietnamci).</w:t>
      </w:r>
    </w:p>
  </w:footnote>
  <w:footnote w:id="61">
    <w:p w14:paraId="79FBB343" w14:textId="77777777" w:rsidR="00945636" w:rsidRPr="004F321F" w:rsidRDefault="00945636" w:rsidP="00945636">
      <w:pPr>
        <w:pStyle w:val="Textpoznpodarou"/>
        <w:rPr>
          <w:sz w:val="16"/>
          <w:szCs w:val="16"/>
        </w:rPr>
      </w:pPr>
      <w:r w:rsidRPr="004F321F">
        <w:rPr>
          <w:rStyle w:val="Znakapoznpodarou"/>
          <w:sz w:val="16"/>
          <w:szCs w:val="16"/>
        </w:rPr>
        <w:footnoteRef/>
      </w:r>
      <w:r>
        <w:rPr>
          <w:sz w:val="16"/>
          <w:szCs w:val="16"/>
        </w:rPr>
        <w:t xml:space="preserve"> D</w:t>
      </w:r>
      <w:r w:rsidRPr="004F321F">
        <w:rPr>
          <w:sz w:val="16"/>
          <w:szCs w:val="16"/>
        </w:rPr>
        <w:t>le údajů</w:t>
      </w:r>
      <w:r w:rsidRPr="00B04E9B">
        <w:rPr>
          <w:sz w:val="16"/>
          <w:szCs w:val="16"/>
        </w:rPr>
        <w:t xml:space="preserve"> z</w:t>
      </w:r>
      <w:r>
        <w:rPr>
          <w:sz w:val="16"/>
          <w:szCs w:val="16"/>
        </w:rPr>
        <w:t> VŠPS za 4. čtvrtletí 2023 pracovalo v ČR mezi ženami ve věku 15 a více let na zkrácené úvazky rekordních 13,7 %. To je meziročně o 1,7 p. b. více (spolu se Slovenskem jde o nejvýraznější nárůst v rámci EU). Zastoupení těchto úvazků v ČR je ovšem stále v evropském kontextu nízké. V EU dosahovalo (29,6 %), z toho v eurozóně (34,4 %).</w:t>
      </w:r>
    </w:p>
  </w:footnote>
  <w:footnote w:id="62">
    <w:p w14:paraId="48191BF5" w14:textId="77777777" w:rsidR="00945636" w:rsidRPr="00F24215" w:rsidRDefault="00945636" w:rsidP="00945636">
      <w:pPr>
        <w:pStyle w:val="Textpoznpodarou"/>
        <w:rPr>
          <w:sz w:val="16"/>
          <w:szCs w:val="16"/>
        </w:rPr>
      </w:pPr>
      <w:r w:rsidRPr="00F24215">
        <w:rPr>
          <w:rStyle w:val="Znakapoznpodarou"/>
          <w:sz w:val="16"/>
          <w:szCs w:val="16"/>
        </w:rPr>
        <w:footnoteRef/>
      </w:r>
      <w:r w:rsidRPr="00F24215">
        <w:rPr>
          <w:sz w:val="16"/>
          <w:szCs w:val="16"/>
        </w:rPr>
        <w:t xml:space="preserve"> Dle experimentální statistiky ČSÚ klesl v 1. </w:t>
      </w:r>
      <w:r>
        <w:rPr>
          <w:sz w:val="16"/>
          <w:szCs w:val="16"/>
        </w:rPr>
        <w:t xml:space="preserve">čtvrtletí </w:t>
      </w:r>
      <w:r w:rsidRPr="00F24215">
        <w:rPr>
          <w:sz w:val="16"/>
          <w:szCs w:val="16"/>
        </w:rPr>
        <w:t xml:space="preserve">2024 počet osob pracujících na dohodu o provedení práce meziročně o 8 %, osob pracujících na dohodu o pracovní činnosti </w:t>
      </w:r>
      <w:r>
        <w:rPr>
          <w:sz w:val="16"/>
          <w:szCs w:val="16"/>
        </w:rPr>
        <w:t xml:space="preserve">pak </w:t>
      </w:r>
      <w:r w:rsidRPr="00F24215">
        <w:rPr>
          <w:sz w:val="16"/>
          <w:szCs w:val="16"/>
        </w:rPr>
        <w:t xml:space="preserve">o 4 %. Podobně klesl i počet jimi odpracovaných hodin. Osoby pracující na dohody u více zaměstnavatelů současně </w:t>
      </w:r>
      <w:r>
        <w:rPr>
          <w:sz w:val="16"/>
          <w:szCs w:val="16"/>
        </w:rPr>
        <w:t>jsou zahrnuty vícenásobně (tj. samostatně u každého zaměstnavatele).</w:t>
      </w:r>
    </w:p>
  </w:footnote>
  <w:footnote w:id="63">
    <w:p w14:paraId="06526158" w14:textId="77777777" w:rsidR="00945636" w:rsidRPr="00076F8D" w:rsidRDefault="00945636" w:rsidP="00945636">
      <w:pPr>
        <w:pStyle w:val="Textpoznpodarou"/>
        <w:rPr>
          <w:sz w:val="16"/>
          <w:szCs w:val="16"/>
        </w:rPr>
      </w:pPr>
      <w:r w:rsidRPr="00076F8D">
        <w:rPr>
          <w:rStyle w:val="Znakapoznpodarou"/>
          <w:sz w:val="16"/>
          <w:szCs w:val="16"/>
        </w:rPr>
        <w:footnoteRef/>
      </w:r>
      <w:r w:rsidRPr="00076F8D">
        <w:rPr>
          <w:sz w:val="16"/>
          <w:szCs w:val="16"/>
        </w:rPr>
        <w:t xml:space="preserve"> Ty zahrnují např. kulturní, zábavní a rekreační činnosti či služby pro domácnosti (opravy výrobků aj.)</w:t>
      </w:r>
      <w:r>
        <w:rPr>
          <w:sz w:val="16"/>
          <w:szCs w:val="16"/>
        </w:rPr>
        <w:t>.</w:t>
      </w:r>
    </w:p>
  </w:footnote>
  <w:footnote w:id="64">
    <w:p w14:paraId="216D308E" w14:textId="77777777" w:rsidR="00945636" w:rsidRPr="00A20936" w:rsidRDefault="00945636" w:rsidP="00945636">
      <w:pPr>
        <w:pStyle w:val="Textpoznpodarou"/>
        <w:rPr>
          <w:color w:val="0D0D0D" w:themeColor="text1" w:themeTint="F2"/>
          <w:spacing w:val="-4"/>
          <w:sz w:val="16"/>
          <w:szCs w:val="16"/>
        </w:rPr>
      </w:pPr>
      <w:r w:rsidRPr="00A20936">
        <w:rPr>
          <w:rStyle w:val="Znakapoznpodarou"/>
          <w:color w:val="0D0D0D" w:themeColor="text1" w:themeTint="F2"/>
          <w:spacing w:val="-2"/>
          <w:sz w:val="16"/>
          <w:szCs w:val="16"/>
        </w:rPr>
        <w:footnoteRef/>
      </w:r>
      <w:r w:rsidRPr="00A20936">
        <w:rPr>
          <w:color w:val="0D0D0D" w:themeColor="text1" w:themeTint="F2"/>
          <w:spacing w:val="-2"/>
          <w:sz w:val="16"/>
          <w:szCs w:val="16"/>
        </w:rPr>
        <w:t xml:space="preserve"> </w:t>
      </w:r>
      <w:r>
        <w:rPr>
          <w:color w:val="0D0D0D" w:themeColor="text1" w:themeTint="F2"/>
          <w:spacing w:val="-2"/>
          <w:sz w:val="16"/>
          <w:szCs w:val="16"/>
        </w:rPr>
        <w:t xml:space="preserve">Převažující negativní očekávání zaměstnanosti vyjádřily (dle šetření z května 2024) podniky skoro ve dvou třetinách zpracovatelských </w:t>
      </w:r>
      <w:r w:rsidRPr="00A20936">
        <w:rPr>
          <w:color w:val="0D0D0D" w:themeColor="text1" w:themeTint="F2"/>
          <w:spacing w:val="-2"/>
          <w:sz w:val="16"/>
          <w:szCs w:val="16"/>
        </w:rPr>
        <w:t xml:space="preserve">průmyslových oborů – jak </w:t>
      </w:r>
      <w:r>
        <w:rPr>
          <w:color w:val="0D0D0D" w:themeColor="text1" w:themeTint="F2"/>
          <w:spacing w:val="-2"/>
          <w:sz w:val="16"/>
          <w:szCs w:val="16"/>
        </w:rPr>
        <w:t>v</w:t>
      </w:r>
      <w:r w:rsidRPr="002377B1">
        <w:rPr>
          <w:sz w:val="16"/>
          <w:szCs w:val="16"/>
        </w:rPr>
        <w:t> </w:t>
      </w:r>
      <w:r w:rsidRPr="00A20936">
        <w:rPr>
          <w:color w:val="0D0D0D" w:themeColor="text1" w:themeTint="F2"/>
          <w:spacing w:val="-2"/>
          <w:sz w:val="16"/>
          <w:szCs w:val="16"/>
        </w:rPr>
        <w:t>energeticky ná</w:t>
      </w:r>
      <w:r>
        <w:rPr>
          <w:color w:val="0D0D0D" w:themeColor="text1" w:themeTint="F2"/>
          <w:spacing w:val="-2"/>
          <w:sz w:val="16"/>
          <w:szCs w:val="16"/>
        </w:rPr>
        <w:t xml:space="preserve">ročných (hutnictví, </w:t>
      </w:r>
      <w:r w:rsidRPr="00A20936">
        <w:rPr>
          <w:color w:val="0D0D0D" w:themeColor="text1" w:themeTint="F2"/>
          <w:spacing w:val="-2"/>
          <w:sz w:val="16"/>
          <w:szCs w:val="16"/>
        </w:rPr>
        <w:t xml:space="preserve">výroba stavebních materiálů, </w:t>
      </w:r>
      <w:r>
        <w:rPr>
          <w:color w:val="0D0D0D" w:themeColor="text1" w:themeTint="F2"/>
          <w:spacing w:val="-2"/>
          <w:sz w:val="16"/>
          <w:szCs w:val="16"/>
        </w:rPr>
        <w:t xml:space="preserve">kovodělný, </w:t>
      </w:r>
      <w:r w:rsidRPr="00A20936">
        <w:rPr>
          <w:color w:val="0D0D0D" w:themeColor="text1" w:themeTint="F2"/>
          <w:spacing w:val="-2"/>
          <w:sz w:val="16"/>
          <w:szCs w:val="16"/>
        </w:rPr>
        <w:t>ch</w:t>
      </w:r>
      <w:r>
        <w:rPr>
          <w:color w:val="0D0D0D" w:themeColor="text1" w:themeTint="F2"/>
          <w:spacing w:val="-2"/>
          <w:sz w:val="16"/>
          <w:szCs w:val="16"/>
        </w:rPr>
        <w:t>emický a papírenský průmysl), tak ve strojírenství, elektronickém průmyslu a subdodavatelských oborech pro automobilový průmysl či v řadě</w:t>
      </w:r>
      <w:r w:rsidRPr="00A20936">
        <w:rPr>
          <w:color w:val="0D0D0D" w:themeColor="text1" w:themeTint="F2"/>
          <w:spacing w:val="-2"/>
          <w:sz w:val="16"/>
          <w:szCs w:val="16"/>
        </w:rPr>
        <w:t xml:space="preserve"> </w:t>
      </w:r>
      <w:r>
        <w:rPr>
          <w:color w:val="0D0D0D" w:themeColor="text1" w:themeTint="F2"/>
          <w:spacing w:val="-2"/>
          <w:sz w:val="16"/>
          <w:szCs w:val="16"/>
        </w:rPr>
        <w:t xml:space="preserve">vesměs menších oborů, jejichž odbyt závisí z velké části na spotřebě domácností (nábytkářský, oděvní, obuvnický a potravinářský </w:t>
      </w:r>
      <w:r w:rsidRPr="00A20936">
        <w:rPr>
          <w:color w:val="0D0D0D" w:themeColor="text1" w:themeTint="F2"/>
          <w:spacing w:val="-2"/>
          <w:sz w:val="16"/>
          <w:szCs w:val="16"/>
        </w:rPr>
        <w:t xml:space="preserve">průmysl). Naopak mírně pozitivní výhledy přetrvávaly ve výrobě dopravních </w:t>
      </w:r>
      <w:r>
        <w:rPr>
          <w:color w:val="0D0D0D" w:themeColor="text1" w:themeTint="F2"/>
          <w:spacing w:val="-4"/>
          <w:sz w:val="16"/>
          <w:szCs w:val="16"/>
        </w:rPr>
        <w:t>prostředků, dále ve farmacii, ostatním průmyslu či opravě a instalaci</w:t>
      </w:r>
      <w:r w:rsidRPr="007B0645">
        <w:rPr>
          <w:color w:val="0D0D0D" w:themeColor="text1" w:themeTint="F2"/>
          <w:spacing w:val="-4"/>
          <w:sz w:val="16"/>
          <w:szCs w:val="16"/>
        </w:rPr>
        <w:t xml:space="preserve"> strojů a zařízení</w:t>
      </w:r>
      <w:r>
        <w:rPr>
          <w:color w:val="0D0D0D" w:themeColor="text1" w:themeTint="F2"/>
          <w:spacing w:val="-4"/>
          <w:sz w:val="16"/>
          <w:szCs w:val="16"/>
        </w:rPr>
        <w:t>.</w:t>
      </w:r>
    </w:p>
    <w:p w14:paraId="74EC8B47" w14:textId="77777777" w:rsidR="00945636" w:rsidRPr="0046167D" w:rsidRDefault="00945636" w:rsidP="00945636">
      <w:pPr>
        <w:pStyle w:val="Textpoznpodarou"/>
        <w:rPr>
          <w:color w:val="0D0D0D" w:themeColor="text1" w:themeTint="F2"/>
          <w:spacing w:val="-5"/>
          <w:sz w:val="16"/>
          <w:szCs w:val="16"/>
        </w:rPr>
      </w:pPr>
      <w:r w:rsidRPr="0046167D">
        <w:rPr>
          <w:color w:val="0D0D0D" w:themeColor="text1" w:themeTint="F2"/>
          <w:spacing w:val="-5"/>
          <w:sz w:val="16"/>
          <w:szCs w:val="16"/>
        </w:rPr>
        <w:t>Ve službách převažoval</w:t>
      </w:r>
      <w:r>
        <w:rPr>
          <w:color w:val="0D0D0D" w:themeColor="text1" w:themeTint="F2"/>
          <w:spacing w:val="-5"/>
          <w:sz w:val="16"/>
          <w:szCs w:val="16"/>
        </w:rPr>
        <w:t>a negativní očekávání ve třech pětinách</w:t>
      </w:r>
      <w:r w:rsidRPr="0046167D">
        <w:rPr>
          <w:color w:val="0D0D0D" w:themeColor="text1" w:themeTint="F2"/>
          <w:spacing w:val="-5"/>
          <w:sz w:val="16"/>
          <w:szCs w:val="16"/>
        </w:rPr>
        <w:t xml:space="preserve"> dílčích odvětví. Nejvíce byla patrná v peněžnictví, </w:t>
      </w:r>
      <w:r>
        <w:rPr>
          <w:color w:val="0D0D0D" w:themeColor="text1" w:themeTint="F2"/>
          <w:spacing w:val="-5"/>
          <w:sz w:val="16"/>
          <w:szCs w:val="16"/>
        </w:rPr>
        <w:t>ve všech druzích dopravy</w:t>
      </w:r>
      <w:r w:rsidRPr="0046167D">
        <w:rPr>
          <w:color w:val="0D0D0D" w:themeColor="text1" w:themeTint="F2"/>
          <w:spacing w:val="-5"/>
          <w:sz w:val="16"/>
          <w:szCs w:val="16"/>
        </w:rPr>
        <w:t>, dále v</w:t>
      </w:r>
      <w:r>
        <w:rPr>
          <w:color w:val="0D0D0D" w:themeColor="text1" w:themeTint="F2"/>
          <w:spacing w:val="-5"/>
          <w:sz w:val="16"/>
          <w:szCs w:val="16"/>
        </w:rPr>
        <w:t> kulturních, zábavních a rekreačních činnostech, v</w:t>
      </w:r>
      <w:r w:rsidRPr="0046167D">
        <w:rPr>
          <w:color w:val="0D0D0D" w:themeColor="text1" w:themeTint="F2"/>
          <w:spacing w:val="-5"/>
          <w:sz w:val="16"/>
          <w:szCs w:val="16"/>
        </w:rPr>
        <w:t>e většině administrati</w:t>
      </w:r>
      <w:r>
        <w:rPr>
          <w:color w:val="0D0D0D" w:themeColor="text1" w:themeTint="F2"/>
          <w:spacing w:val="-5"/>
          <w:sz w:val="16"/>
          <w:szCs w:val="16"/>
        </w:rPr>
        <w:t xml:space="preserve">vních a podpůrných činností </w:t>
      </w:r>
      <w:r w:rsidRPr="0046167D">
        <w:rPr>
          <w:color w:val="0D0D0D" w:themeColor="text1" w:themeTint="F2"/>
          <w:spacing w:val="-5"/>
          <w:sz w:val="16"/>
          <w:szCs w:val="16"/>
        </w:rPr>
        <w:t xml:space="preserve">či v reklamě. Naopak u řady jiných podnikových služeb (právní a účetnické činnosti, architektonické a inženýrské činnosti, </w:t>
      </w:r>
      <w:r>
        <w:rPr>
          <w:color w:val="0D0D0D" w:themeColor="text1" w:themeTint="F2"/>
          <w:spacing w:val="-5"/>
          <w:sz w:val="16"/>
          <w:szCs w:val="16"/>
        </w:rPr>
        <w:t>pracovní</w:t>
      </w:r>
      <w:r w:rsidRPr="0046167D">
        <w:rPr>
          <w:color w:val="0D0D0D" w:themeColor="text1" w:themeTint="F2"/>
          <w:spacing w:val="-5"/>
          <w:sz w:val="16"/>
          <w:szCs w:val="16"/>
        </w:rPr>
        <w:t xml:space="preserve"> agentur</w:t>
      </w:r>
      <w:r>
        <w:rPr>
          <w:color w:val="0D0D0D" w:themeColor="text1" w:themeTint="F2"/>
          <w:spacing w:val="-5"/>
          <w:sz w:val="16"/>
          <w:szCs w:val="16"/>
        </w:rPr>
        <w:t xml:space="preserve">y) či v oblasti programování, v </w:t>
      </w:r>
      <w:r w:rsidRPr="0046167D">
        <w:rPr>
          <w:color w:val="0D0D0D" w:themeColor="text1" w:themeTint="F2"/>
          <w:spacing w:val="-5"/>
          <w:sz w:val="16"/>
          <w:szCs w:val="16"/>
        </w:rPr>
        <w:t xml:space="preserve">kurýrních činnostech, </w:t>
      </w:r>
      <w:r>
        <w:rPr>
          <w:color w:val="0D0D0D" w:themeColor="text1" w:themeTint="F2"/>
          <w:spacing w:val="-5"/>
          <w:sz w:val="16"/>
          <w:szCs w:val="16"/>
        </w:rPr>
        <w:t>skladování, pohostinství či ubytování podniky očekávaly</w:t>
      </w:r>
      <w:r w:rsidRPr="0046167D">
        <w:rPr>
          <w:color w:val="0D0D0D" w:themeColor="text1" w:themeTint="F2"/>
          <w:spacing w:val="-5"/>
          <w:sz w:val="16"/>
          <w:szCs w:val="16"/>
        </w:rPr>
        <w:t xml:space="preserve"> spíše vyšší zaměstnanost.</w:t>
      </w:r>
    </w:p>
  </w:footnote>
  <w:footnote w:id="65">
    <w:p w14:paraId="31A81EE0" w14:textId="77777777" w:rsidR="00945636" w:rsidRPr="004C3272" w:rsidRDefault="00945636" w:rsidP="00945636">
      <w:pPr>
        <w:pStyle w:val="Textpoznpodarou"/>
        <w:rPr>
          <w:sz w:val="16"/>
          <w:szCs w:val="16"/>
        </w:rPr>
      </w:pPr>
      <w:r w:rsidRPr="004C3272">
        <w:rPr>
          <w:rStyle w:val="Znakapoznpodarou"/>
          <w:sz w:val="16"/>
          <w:szCs w:val="16"/>
        </w:rPr>
        <w:footnoteRef/>
      </w:r>
      <w:r w:rsidRPr="004C3272">
        <w:rPr>
          <w:sz w:val="16"/>
          <w:szCs w:val="16"/>
        </w:rPr>
        <w:t xml:space="preserve"> Aktuálně zde v tříměsíčním výhledu plánovalo nabírat zaměstnance 16 % firem, propouštět pak 7 %.</w:t>
      </w:r>
    </w:p>
  </w:footnote>
  <w:footnote w:id="66">
    <w:p w14:paraId="19B5496D" w14:textId="77777777" w:rsidR="00945636" w:rsidRPr="00A4613D" w:rsidRDefault="00945636" w:rsidP="00945636">
      <w:pPr>
        <w:pStyle w:val="Textpoznpodarou"/>
        <w:rPr>
          <w:sz w:val="16"/>
          <w:szCs w:val="16"/>
        </w:rPr>
      </w:pPr>
      <w:r w:rsidRPr="00A4613D">
        <w:rPr>
          <w:rStyle w:val="Znakapoznpodarou"/>
          <w:sz w:val="16"/>
          <w:szCs w:val="16"/>
        </w:rPr>
        <w:footnoteRef/>
      </w:r>
      <w:r w:rsidRPr="00A4613D">
        <w:rPr>
          <w:sz w:val="16"/>
          <w:szCs w:val="16"/>
        </w:rPr>
        <w:t xml:space="preserve"> Podniky mohly uvést více bariér současně.</w:t>
      </w:r>
    </w:p>
  </w:footnote>
  <w:footnote w:id="67">
    <w:p w14:paraId="5ACE8A1A" w14:textId="77777777" w:rsidR="00945636" w:rsidRPr="004E68B1" w:rsidRDefault="00945636" w:rsidP="00945636">
      <w:pPr>
        <w:pStyle w:val="Textpoznpodarou"/>
        <w:rPr>
          <w:spacing w:val="-3"/>
          <w:sz w:val="16"/>
          <w:szCs w:val="16"/>
        </w:rPr>
      </w:pPr>
      <w:r w:rsidRPr="004E68B1">
        <w:rPr>
          <w:rStyle w:val="Znakapoznpodarou"/>
          <w:spacing w:val="-3"/>
          <w:sz w:val="16"/>
          <w:szCs w:val="16"/>
        </w:rPr>
        <w:footnoteRef/>
      </w:r>
      <w:r>
        <w:rPr>
          <w:spacing w:val="-3"/>
          <w:sz w:val="16"/>
          <w:szCs w:val="16"/>
        </w:rPr>
        <w:t xml:space="preserve"> Není-li uvedeno jinak, vycházejí v</w:t>
      </w:r>
      <w:r w:rsidRPr="004E68B1">
        <w:rPr>
          <w:spacing w:val="-3"/>
          <w:sz w:val="16"/>
          <w:szCs w:val="16"/>
        </w:rPr>
        <w:t>šechny údaje o </w:t>
      </w:r>
      <w:r>
        <w:rPr>
          <w:spacing w:val="-3"/>
          <w:sz w:val="16"/>
          <w:szCs w:val="16"/>
        </w:rPr>
        <w:t xml:space="preserve">mírách </w:t>
      </w:r>
      <w:r w:rsidRPr="004E68B1">
        <w:rPr>
          <w:spacing w:val="-3"/>
          <w:sz w:val="16"/>
          <w:szCs w:val="16"/>
        </w:rPr>
        <w:t>nezaměstnanosti z</w:t>
      </w:r>
      <w:r>
        <w:rPr>
          <w:spacing w:val="-3"/>
          <w:sz w:val="16"/>
          <w:szCs w:val="16"/>
        </w:rPr>
        <w:t> VŠPS (dle metodiky ILO) a jsou očištěny o sezónní vlivy.</w:t>
      </w:r>
    </w:p>
  </w:footnote>
  <w:footnote w:id="68">
    <w:p w14:paraId="4094E76E" w14:textId="77777777" w:rsidR="00945636" w:rsidRPr="0046167D" w:rsidRDefault="00945636" w:rsidP="00945636">
      <w:pPr>
        <w:pStyle w:val="paragraph"/>
        <w:spacing w:before="0" w:beforeAutospacing="0" w:after="0" w:afterAutospacing="0"/>
        <w:jc w:val="both"/>
        <w:textAlignment w:val="baseline"/>
        <w:rPr>
          <w:rFonts w:ascii="Arial" w:eastAsia="Calibri" w:hAnsi="Arial"/>
          <w:color w:val="0D0D0D" w:themeColor="text1" w:themeTint="F2"/>
          <w:spacing w:val="-5"/>
          <w:sz w:val="16"/>
          <w:szCs w:val="16"/>
        </w:rPr>
      </w:pPr>
      <w:r w:rsidRPr="0046167D">
        <w:rPr>
          <w:rFonts w:ascii="Arial" w:eastAsia="Calibri" w:hAnsi="Arial"/>
          <w:color w:val="0D0D0D" w:themeColor="text1" w:themeTint="F2"/>
          <w:spacing w:val="-5"/>
          <w:sz w:val="16"/>
          <w:szCs w:val="16"/>
          <w:vertAlign w:val="superscript"/>
        </w:rPr>
        <w:footnoteRef/>
      </w:r>
      <w:r w:rsidRPr="0046167D">
        <w:rPr>
          <w:rFonts w:ascii="Arial" w:eastAsia="Calibri" w:hAnsi="Arial"/>
          <w:color w:val="0D0D0D" w:themeColor="text1" w:themeTint="F2"/>
          <w:spacing w:val="-5"/>
          <w:sz w:val="16"/>
          <w:szCs w:val="16"/>
        </w:rPr>
        <w:t xml:space="preserve"> </w:t>
      </w:r>
      <w:r w:rsidRPr="003C42A4">
        <w:rPr>
          <w:rFonts w:ascii="Arial" w:eastAsia="Calibri" w:hAnsi="Arial"/>
          <w:color w:val="0D0D0D" w:themeColor="text1" w:themeTint="F2"/>
          <w:spacing w:val="-5"/>
          <w:sz w:val="16"/>
          <w:szCs w:val="16"/>
        </w:rPr>
        <w:t>Míra nezaměstnanosti (15 až 74letých) dosáhla v letos v březnu EU 6,0 % (v eurozóně 6,5 %). Meziměsíčně i meziročně se téměř nezměnila</w:t>
      </w:r>
      <w:r>
        <w:rPr>
          <w:rFonts w:ascii="Arial" w:eastAsia="Calibri" w:hAnsi="Arial"/>
          <w:color w:val="0D0D0D" w:themeColor="text1" w:themeTint="F2"/>
          <w:spacing w:val="-5"/>
          <w:sz w:val="16"/>
          <w:szCs w:val="16"/>
        </w:rPr>
        <w:t xml:space="preserve">, což platí pro muže i ženy, </w:t>
      </w:r>
      <w:r w:rsidRPr="003C42A4">
        <w:rPr>
          <w:rFonts w:ascii="Arial" w:eastAsia="Calibri" w:hAnsi="Arial"/>
          <w:color w:val="0D0D0D" w:themeColor="text1" w:themeTint="F2"/>
          <w:spacing w:val="-5"/>
          <w:sz w:val="16"/>
          <w:szCs w:val="16"/>
        </w:rPr>
        <w:t xml:space="preserve">jejichž aktuální nezaměstnanost </w:t>
      </w:r>
      <w:r>
        <w:rPr>
          <w:rFonts w:ascii="Arial" w:eastAsia="Calibri" w:hAnsi="Arial"/>
          <w:color w:val="0D0D0D" w:themeColor="text1" w:themeTint="F2"/>
          <w:spacing w:val="-5"/>
          <w:sz w:val="16"/>
          <w:szCs w:val="16"/>
        </w:rPr>
        <w:t>činila v EU 5,7 %, resp. 6,4 %.</w:t>
      </w:r>
      <w:r w:rsidRPr="003C42A4">
        <w:rPr>
          <w:rFonts w:ascii="Arial" w:eastAsia="Calibri" w:hAnsi="Arial"/>
          <w:color w:val="0D0D0D" w:themeColor="text1" w:themeTint="F2"/>
          <w:spacing w:val="-5"/>
          <w:sz w:val="16"/>
          <w:szCs w:val="16"/>
        </w:rPr>
        <w:t xml:space="preserve"> Celková nezaměstnanost stagnuje v Unii již zhruba dva roky. Nachází se blízko historického minima a proti roku 2008 je n</w:t>
      </w:r>
      <w:r>
        <w:rPr>
          <w:rFonts w:ascii="Arial" w:eastAsia="Calibri" w:hAnsi="Arial"/>
          <w:color w:val="0D0D0D" w:themeColor="text1" w:themeTint="F2"/>
          <w:spacing w:val="-5"/>
          <w:sz w:val="16"/>
          <w:szCs w:val="16"/>
        </w:rPr>
        <w:t>ižší o 1 p. b</w:t>
      </w:r>
      <w:r w:rsidRPr="003C42A4">
        <w:rPr>
          <w:rFonts w:ascii="Arial" w:eastAsia="Calibri" w:hAnsi="Arial"/>
          <w:color w:val="0D0D0D" w:themeColor="text1" w:themeTint="F2"/>
          <w:spacing w:val="-5"/>
          <w:sz w:val="16"/>
          <w:szCs w:val="16"/>
        </w:rPr>
        <w:t xml:space="preserve">. Nezaměstnanost v Česku (2,9 %) byla </w:t>
      </w:r>
      <w:r>
        <w:rPr>
          <w:rFonts w:ascii="Arial" w:eastAsia="Calibri" w:hAnsi="Arial"/>
          <w:color w:val="0D0D0D" w:themeColor="text1" w:themeTint="F2"/>
          <w:spacing w:val="-5"/>
          <w:sz w:val="16"/>
          <w:szCs w:val="16"/>
        </w:rPr>
        <w:t xml:space="preserve">letos v březnu </w:t>
      </w:r>
      <w:r w:rsidRPr="003C42A4">
        <w:rPr>
          <w:rFonts w:ascii="Arial" w:eastAsia="Calibri" w:hAnsi="Arial"/>
          <w:color w:val="0D0D0D" w:themeColor="text1" w:themeTint="F2"/>
          <w:spacing w:val="-5"/>
          <w:sz w:val="16"/>
          <w:szCs w:val="16"/>
        </w:rPr>
        <w:t>s</w:t>
      </w:r>
      <w:r>
        <w:rPr>
          <w:rFonts w:ascii="Arial" w:eastAsia="Calibri" w:hAnsi="Arial"/>
          <w:color w:val="0D0D0D" w:themeColor="text1" w:themeTint="F2"/>
          <w:spacing w:val="-5"/>
          <w:sz w:val="16"/>
          <w:szCs w:val="16"/>
        </w:rPr>
        <w:t xml:space="preserve">polu </w:t>
      </w:r>
      <w:r>
        <w:rPr>
          <w:rFonts w:ascii="Arial" w:eastAsia="Calibri" w:hAnsi="Arial"/>
          <w:color w:val="0D0D0D" w:themeColor="text1" w:themeTint="F2"/>
          <w:spacing w:val="-5"/>
          <w:sz w:val="16"/>
          <w:szCs w:val="16"/>
        </w:rPr>
        <w:br/>
        <w:t>s Polskem</w:t>
      </w:r>
      <w:r w:rsidRPr="003C42A4">
        <w:rPr>
          <w:rFonts w:ascii="Arial" w:eastAsia="Calibri" w:hAnsi="Arial"/>
          <w:color w:val="0D0D0D" w:themeColor="text1" w:themeTint="F2"/>
          <w:spacing w:val="-5"/>
          <w:sz w:val="16"/>
          <w:szCs w:val="16"/>
        </w:rPr>
        <w:t xml:space="preserve"> nejnižší v EU. Výsadní postavení mělo Česko primárně díky mužům (2,4 %), u žen, kde nezaměstnanost tradičn</w:t>
      </w:r>
      <w:r>
        <w:rPr>
          <w:rFonts w:ascii="Arial" w:eastAsia="Calibri" w:hAnsi="Arial"/>
          <w:color w:val="0D0D0D" w:themeColor="text1" w:themeTint="F2"/>
          <w:spacing w:val="-5"/>
          <w:sz w:val="16"/>
          <w:szCs w:val="16"/>
        </w:rPr>
        <w:t>ě</w:t>
      </w:r>
      <w:r w:rsidRPr="003C42A4">
        <w:rPr>
          <w:rFonts w:ascii="Arial" w:eastAsia="Calibri" w:hAnsi="Arial"/>
          <w:color w:val="0D0D0D" w:themeColor="text1" w:themeTint="F2"/>
          <w:spacing w:val="-5"/>
          <w:sz w:val="16"/>
          <w:szCs w:val="16"/>
        </w:rPr>
        <w:t xml:space="preserve"> více kolísá, dosáhly nižší úrovně než v tuzemsku (3,6 %) Polsko, Německo, Malta a Slovinsko.</w:t>
      </w:r>
      <w:r w:rsidRPr="003C42A4">
        <w:rPr>
          <w:rFonts w:eastAsia="Calibri"/>
          <w:color w:val="0D0D0D" w:themeColor="text1" w:themeTint="F2"/>
          <w:spacing w:val="-5"/>
          <w:sz w:val="16"/>
          <w:szCs w:val="16"/>
        </w:rPr>
        <w:t> </w:t>
      </w:r>
      <w:r w:rsidRPr="003C42A4">
        <w:rPr>
          <w:rFonts w:ascii="Arial" w:eastAsia="Calibri" w:hAnsi="Arial"/>
          <w:color w:val="0D0D0D" w:themeColor="text1" w:themeTint="F2"/>
          <w:spacing w:val="-5"/>
          <w:sz w:val="16"/>
          <w:szCs w:val="16"/>
        </w:rPr>
        <w:t xml:space="preserve">Meziroční pokles celkové nezaměstnanosti nastal v březnu </w:t>
      </w:r>
      <w:r>
        <w:rPr>
          <w:rFonts w:ascii="Arial" w:eastAsia="Calibri" w:hAnsi="Arial"/>
          <w:color w:val="0D0D0D" w:themeColor="text1" w:themeTint="F2"/>
          <w:spacing w:val="-5"/>
          <w:sz w:val="16"/>
          <w:szCs w:val="16"/>
        </w:rPr>
        <w:br/>
      </w:r>
      <w:r w:rsidRPr="003C42A4">
        <w:rPr>
          <w:rFonts w:ascii="Arial" w:eastAsia="Calibri" w:hAnsi="Arial"/>
          <w:color w:val="0D0D0D" w:themeColor="text1" w:themeTint="F2"/>
          <w:spacing w:val="-5"/>
          <w:sz w:val="16"/>
          <w:szCs w:val="16"/>
        </w:rPr>
        <w:t>v 11 členský</w:t>
      </w:r>
      <w:r>
        <w:rPr>
          <w:rFonts w:ascii="Arial" w:eastAsia="Calibri" w:hAnsi="Arial"/>
          <w:color w:val="0D0D0D" w:themeColor="text1" w:themeTint="F2"/>
          <w:spacing w:val="-5"/>
          <w:sz w:val="16"/>
          <w:szCs w:val="16"/>
        </w:rPr>
        <w:t>ch státech Unie – zejména</w:t>
      </w:r>
      <w:r w:rsidRPr="003C42A4">
        <w:rPr>
          <w:rFonts w:ascii="Arial" w:eastAsia="Calibri" w:hAnsi="Arial"/>
          <w:color w:val="0D0D0D" w:themeColor="text1" w:themeTint="F2"/>
          <w:spacing w:val="-5"/>
          <w:sz w:val="16"/>
          <w:szCs w:val="16"/>
        </w:rPr>
        <w:t xml:space="preserve"> v Řecku (z 11,4 % na 10,2 %), Španělsku (z 12,6 % na 11,7 %) a Itálii (ze 7,9 % na 7,2 %). </w:t>
      </w:r>
      <w:r>
        <w:rPr>
          <w:rFonts w:ascii="Arial" w:eastAsia="Calibri" w:hAnsi="Arial"/>
          <w:color w:val="0D0D0D" w:themeColor="text1" w:themeTint="F2"/>
          <w:spacing w:val="-5"/>
          <w:sz w:val="16"/>
          <w:szCs w:val="16"/>
        </w:rPr>
        <w:br/>
      </w:r>
      <w:r w:rsidRPr="003C42A4">
        <w:rPr>
          <w:rFonts w:ascii="Arial" w:eastAsia="Calibri" w:hAnsi="Arial"/>
          <w:color w:val="0D0D0D" w:themeColor="text1" w:themeTint="F2"/>
          <w:spacing w:val="-5"/>
          <w:sz w:val="16"/>
          <w:szCs w:val="16"/>
        </w:rPr>
        <w:t>K významnějším</w:t>
      </w:r>
      <w:r>
        <w:rPr>
          <w:rFonts w:ascii="Arial" w:eastAsia="Calibri" w:hAnsi="Arial"/>
          <w:color w:val="0D0D0D" w:themeColor="text1" w:themeTint="F2"/>
          <w:spacing w:val="-5"/>
          <w:sz w:val="16"/>
          <w:szCs w:val="16"/>
        </w:rPr>
        <w:t>u</w:t>
      </w:r>
      <w:r w:rsidRPr="003C42A4">
        <w:rPr>
          <w:rFonts w:ascii="Arial" w:eastAsia="Calibri" w:hAnsi="Arial"/>
          <w:color w:val="0D0D0D" w:themeColor="text1" w:themeTint="F2"/>
          <w:spacing w:val="-5"/>
          <w:sz w:val="16"/>
          <w:szCs w:val="16"/>
        </w:rPr>
        <w:t xml:space="preserve"> zlepšení ale došlo např. </w:t>
      </w:r>
      <w:r>
        <w:rPr>
          <w:rFonts w:ascii="Arial" w:eastAsia="Calibri" w:hAnsi="Arial"/>
          <w:color w:val="0D0D0D" w:themeColor="text1" w:themeTint="F2"/>
          <w:spacing w:val="-5"/>
          <w:sz w:val="16"/>
          <w:szCs w:val="16"/>
        </w:rPr>
        <w:t xml:space="preserve">i </w:t>
      </w:r>
      <w:r w:rsidRPr="003C42A4">
        <w:rPr>
          <w:rFonts w:ascii="Arial" w:eastAsia="Calibri" w:hAnsi="Arial"/>
          <w:color w:val="0D0D0D" w:themeColor="text1" w:themeTint="F2"/>
          <w:spacing w:val="-5"/>
          <w:sz w:val="16"/>
          <w:szCs w:val="16"/>
        </w:rPr>
        <w:t xml:space="preserve">ve Slovinsku (na 3,1 %, o 0,6 p. b.). Naopak v některých severských státech (Švédsko, Finsko </w:t>
      </w:r>
      <w:r>
        <w:rPr>
          <w:rFonts w:ascii="Arial" w:eastAsia="Calibri" w:hAnsi="Arial"/>
          <w:color w:val="0D0D0D" w:themeColor="text1" w:themeTint="F2"/>
          <w:spacing w:val="-5"/>
          <w:sz w:val="16"/>
          <w:szCs w:val="16"/>
        </w:rPr>
        <w:br/>
      </w:r>
      <w:r w:rsidRPr="003C42A4">
        <w:rPr>
          <w:rFonts w:ascii="Arial" w:eastAsia="Calibri" w:hAnsi="Arial"/>
          <w:color w:val="0D0D0D" w:themeColor="text1" w:themeTint="F2"/>
          <w:spacing w:val="-5"/>
          <w:sz w:val="16"/>
          <w:szCs w:val="16"/>
        </w:rPr>
        <w:t>a Estonsko) se nezaměstnanost zvýšila až o 2 p. b. a pohybovala se kolem 8 %.</w:t>
      </w:r>
      <w:r w:rsidRPr="003C42A4">
        <w:rPr>
          <w:rFonts w:eastAsia="Calibri"/>
          <w:color w:val="0D0D0D" w:themeColor="text1" w:themeTint="F2"/>
          <w:spacing w:val="-5"/>
          <w:sz w:val="16"/>
          <w:szCs w:val="16"/>
        </w:rPr>
        <w:t> </w:t>
      </w:r>
      <w:r w:rsidRPr="003C42A4">
        <w:rPr>
          <w:rFonts w:ascii="Arial" w:eastAsia="Calibri" w:hAnsi="Arial"/>
          <w:color w:val="0D0D0D" w:themeColor="text1" w:themeTint="F2"/>
          <w:spacing w:val="-5"/>
          <w:sz w:val="16"/>
          <w:szCs w:val="16"/>
        </w:rPr>
        <w:t xml:space="preserve">Díky zlepšení situace na jižním křídle eurozóny pokračoval </w:t>
      </w:r>
      <w:r>
        <w:rPr>
          <w:rFonts w:ascii="Arial" w:eastAsia="Calibri" w:hAnsi="Arial"/>
          <w:color w:val="0D0D0D" w:themeColor="text1" w:themeTint="F2"/>
          <w:spacing w:val="-5"/>
          <w:sz w:val="16"/>
          <w:szCs w:val="16"/>
        </w:rPr>
        <w:br/>
      </w:r>
      <w:r w:rsidRPr="003C42A4">
        <w:rPr>
          <w:rFonts w:ascii="Arial" w:eastAsia="Calibri" w:hAnsi="Arial"/>
          <w:color w:val="0D0D0D" w:themeColor="text1" w:themeTint="F2"/>
          <w:spacing w:val="-5"/>
          <w:sz w:val="16"/>
          <w:szCs w:val="16"/>
        </w:rPr>
        <w:t xml:space="preserve">v posledních měsících v EU mírný pokles míry nezaměstnanosti mladých (do 25 let) – ta v březnu činila 14,6 %. Meziročně je však nezaměstnanost mladých stále vyšší – v EU (+0,6 p. b.). Nejvíce vzrostla v severských státech (zejména ve Finsku – z 14,2 % na 21,4 %), ale </w:t>
      </w:r>
      <w:r>
        <w:rPr>
          <w:rFonts w:ascii="Arial" w:eastAsia="Calibri" w:hAnsi="Arial"/>
          <w:color w:val="0D0D0D" w:themeColor="text1" w:themeTint="F2"/>
          <w:spacing w:val="-5"/>
          <w:sz w:val="16"/>
          <w:szCs w:val="16"/>
        </w:rPr>
        <w:br/>
      </w:r>
      <w:r w:rsidRPr="003C42A4">
        <w:rPr>
          <w:rFonts w:ascii="Arial" w:eastAsia="Calibri" w:hAnsi="Arial"/>
          <w:color w:val="0D0D0D" w:themeColor="text1" w:themeTint="F2"/>
          <w:spacing w:val="-5"/>
          <w:sz w:val="16"/>
          <w:szCs w:val="16"/>
        </w:rPr>
        <w:t>i v Bulharsku či Maďarsku. Česko naopak patřilo do šesti</w:t>
      </w:r>
      <w:r>
        <w:rPr>
          <w:rFonts w:ascii="Arial" w:eastAsia="Calibri" w:hAnsi="Arial"/>
          <w:color w:val="0D0D0D" w:themeColor="text1" w:themeTint="F2"/>
          <w:spacing w:val="-5"/>
          <w:sz w:val="16"/>
          <w:szCs w:val="16"/>
        </w:rPr>
        <w:t xml:space="preserve">ce zemí, v nichž byl zaznamenán </w:t>
      </w:r>
      <w:r w:rsidRPr="003C42A4">
        <w:rPr>
          <w:rFonts w:ascii="Arial" w:eastAsia="Calibri" w:hAnsi="Arial"/>
          <w:color w:val="0D0D0D" w:themeColor="text1" w:themeTint="F2"/>
          <w:spacing w:val="-5"/>
          <w:sz w:val="16"/>
          <w:szCs w:val="16"/>
        </w:rPr>
        <w:t>příznivý vývoj (z 10,3 % na 6,8 %). Nižší nezaměstnanost mezi mladými mělo aktuáln</w:t>
      </w:r>
      <w:r>
        <w:rPr>
          <w:rFonts w:ascii="Arial" w:eastAsia="Calibri" w:hAnsi="Arial"/>
          <w:color w:val="0D0D0D" w:themeColor="text1" w:themeTint="F2"/>
          <w:spacing w:val="-5"/>
          <w:sz w:val="16"/>
          <w:szCs w:val="16"/>
        </w:rPr>
        <w:t>ě</w:t>
      </w:r>
      <w:r w:rsidRPr="003C42A4">
        <w:rPr>
          <w:rFonts w:ascii="Arial" w:eastAsia="Calibri" w:hAnsi="Arial"/>
          <w:color w:val="0D0D0D" w:themeColor="text1" w:themeTint="F2"/>
          <w:spacing w:val="-5"/>
          <w:sz w:val="16"/>
          <w:szCs w:val="16"/>
        </w:rPr>
        <w:t xml:space="preserve"> v Unii jen Německo (5,8 %). Naopak v</w:t>
      </w:r>
      <w:r>
        <w:rPr>
          <w:rFonts w:ascii="Arial" w:eastAsia="Calibri" w:hAnsi="Arial"/>
          <w:color w:val="0D0D0D" w:themeColor="text1" w:themeTint="F2"/>
          <w:spacing w:val="-5"/>
          <w:sz w:val="16"/>
          <w:szCs w:val="16"/>
        </w:rPr>
        <w:t>íce než 20% míra sužovala hned sedm</w:t>
      </w:r>
      <w:r w:rsidRPr="003C42A4">
        <w:rPr>
          <w:rFonts w:ascii="Arial" w:eastAsia="Calibri" w:hAnsi="Arial"/>
          <w:color w:val="0D0D0D" w:themeColor="text1" w:themeTint="F2"/>
          <w:spacing w:val="-5"/>
          <w:sz w:val="16"/>
          <w:szCs w:val="16"/>
        </w:rPr>
        <w:t xml:space="preserve"> členských zemí – zejména Španělsko (27 %) a Švédsko</w:t>
      </w:r>
    </w:p>
  </w:footnote>
  <w:footnote w:id="69">
    <w:p w14:paraId="2B7F3497" w14:textId="77777777" w:rsidR="00945636" w:rsidRPr="004A5CB3" w:rsidRDefault="00945636" w:rsidP="00945636">
      <w:pPr>
        <w:pStyle w:val="Textpoznpodarou"/>
        <w:rPr>
          <w:sz w:val="16"/>
          <w:szCs w:val="16"/>
        </w:rPr>
      </w:pPr>
      <w:r w:rsidRPr="004A5CB3">
        <w:rPr>
          <w:rStyle w:val="Znakapoznpodarou"/>
          <w:sz w:val="16"/>
          <w:szCs w:val="16"/>
        </w:rPr>
        <w:footnoteRef/>
      </w:r>
      <w:r>
        <w:rPr>
          <w:sz w:val="16"/>
          <w:szCs w:val="16"/>
        </w:rPr>
        <w:t xml:space="preserve"> Pouze necelá pětina z tohoto počtu je ovšem schop</w:t>
      </w:r>
      <w:r w:rsidRPr="004A5CB3">
        <w:rPr>
          <w:sz w:val="16"/>
          <w:szCs w:val="16"/>
        </w:rPr>
        <w:t>n</w:t>
      </w:r>
      <w:r>
        <w:rPr>
          <w:sz w:val="16"/>
          <w:szCs w:val="16"/>
        </w:rPr>
        <w:t>a</w:t>
      </w:r>
      <w:r w:rsidRPr="004A5CB3">
        <w:rPr>
          <w:sz w:val="16"/>
          <w:szCs w:val="16"/>
        </w:rPr>
        <w:t xml:space="preserve"> </w:t>
      </w:r>
      <w:r>
        <w:rPr>
          <w:sz w:val="16"/>
          <w:szCs w:val="16"/>
        </w:rPr>
        <w:t xml:space="preserve">nastoupit </w:t>
      </w:r>
      <w:r w:rsidRPr="004A5CB3">
        <w:rPr>
          <w:sz w:val="16"/>
          <w:szCs w:val="16"/>
        </w:rPr>
        <w:t>bezprostředně do práce</w:t>
      </w:r>
      <w:r>
        <w:rPr>
          <w:sz w:val="16"/>
          <w:szCs w:val="16"/>
        </w:rPr>
        <w:t>.</w:t>
      </w:r>
      <w:r w:rsidRPr="004A5CB3">
        <w:rPr>
          <w:sz w:val="16"/>
          <w:szCs w:val="16"/>
        </w:rPr>
        <w:t xml:space="preserve"> Významnou část pracovních rezerv totiž tvoří studenti a ženy na rodičovské dovolené.</w:t>
      </w:r>
    </w:p>
  </w:footnote>
  <w:footnote w:id="70">
    <w:p w14:paraId="4A113F39" w14:textId="77777777" w:rsidR="00945636" w:rsidRPr="00184274" w:rsidRDefault="00945636" w:rsidP="00945636">
      <w:pPr>
        <w:pStyle w:val="Textpoznpodarou"/>
        <w:rPr>
          <w:sz w:val="16"/>
          <w:szCs w:val="16"/>
        </w:rPr>
      </w:pPr>
      <w:r w:rsidRPr="00184274">
        <w:rPr>
          <w:rStyle w:val="Znakapoznpodarou"/>
          <w:sz w:val="16"/>
          <w:szCs w:val="16"/>
        </w:rPr>
        <w:footnoteRef/>
      </w:r>
      <w:r w:rsidRPr="00184274">
        <w:rPr>
          <w:sz w:val="16"/>
          <w:szCs w:val="16"/>
        </w:rPr>
        <w:t xml:space="preserve"> N</w:t>
      </w:r>
      <w:r>
        <w:rPr>
          <w:sz w:val="16"/>
          <w:szCs w:val="16"/>
        </w:rPr>
        <w:t>e všechny</w:t>
      </w:r>
      <w:r w:rsidRPr="00184274">
        <w:rPr>
          <w:sz w:val="16"/>
          <w:szCs w:val="16"/>
        </w:rPr>
        <w:t xml:space="preserve"> nabídky volných pracovníc</w:t>
      </w:r>
      <w:r>
        <w:rPr>
          <w:sz w:val="16"/>
          <w:szCs w:val="16"/>
        </w:rPr>
        <w:t xml:space="preserve">h pozic v evidenci ÚP lze ale </w:t>
      </w:r>
      <w:r w:rsidRPr="00184274">
        <w:rPr>
          <w:sz w:val="16"/>
          <w:szCs w:val="16"/>
        </w:rPr>
        <w:t>považovat za a</w:t>
      </w:r>
      <w:r>
        <w:rPr>
          <w:sz w:val="16"/>
          <w:szCs w:val="16"/>
        </w:rPr>
        <w:t>ktuální. Pouze 122 tis.</w:t>
      </w:r>
      <w:r w:rsidRPr="00184274">
        <w:rPr>
          <w:sz w:val="16"/>
          <w:szCs w:val="16"/>
        </w:rPr>
        <w:t xml:space="preserve"> z celkového počtu</w:t>
      </w:r>
      <w:r>
        <w:rPr>
          <w:sz w:val="16"/>
          <w:szCs w:val="16"/>
        </w:rPr>
        <w:t xml:space="preserve"> míst (269 tis.) bylo na konci 1</w:t>
      </w:r>
      <w:r w:rsidRPr="00184274">
        <w:rPr>
          <w:sz w:val="16"/>
          <w:szCs w:val="16"/>
        </w:rPr>
        <w:t>.</w:t>
      </w:r>
      <w:r>
        <w:rPr>
          <w:sz w:val="16"/>
          <w:szCs w:val="16"/>
        </w:rPr>
        <w:t xml:space="preserve"> čtvrtletí 2024 inzerováno méně </w:t>
      </w:r>
      <w:r w:rsidRPr="00184274">
        <w:rPr>
          <w:sz w:val="16"/>
          <w:szCs w:val="16"/>
        </w:rPr>
        <w:t>než půl roku.</w:t>
      </w:r>
      <w:r>
        <w:rPr>
          <w:sz w:val="16"/>
          <w:szCs w:val="16"/>
        </w:rPr>
        <w:t xml:space="preserve"> Počet volných pracovních míst (na základě šetření v podnicích) na experimentální bázi zjišťuje od roku 2020 i ČSÚ. V 1. čtvrtletí 2024 byl takto odhadnut počet míst v ČR na 105 tis. Jejich četnost se po mírném poklesu ve 2. pololetí 2023 aktuálně meziročně zvýšila o 5 %. K růstu přispěly zejména obchod, administrativní a podpůrné činnosti a zdravotní a sociální péče, k úbytku míst došlo naopak především ve zpracovatelském průmyslu.</w:t>
      </w:r>
    </w:p>
  </w:footnote>
  <w:footnote w:id="71">
    <w:p w14:paraId="12B35AA8" w14:textId="77777777" w:rsidR="00945636" w:rsidRPr="00363296" w:rsidRDefault="00945636" w:rsidP="00945636">
      <w:pPr>
        <w:pStyle w:val="Textpoznpodarou"/>
        <w:rPr>
          <w:sz w:val="16"/>
          <w:szCs w:val="16"/>
        </w:rPr>
      </w:pPr>
      <w:r w:rsidRPr="00363296">
        <w:rPr>
          <w:rStyle w:val="Znakapoznpodarou"/>
          <w:sz w:val="16"/>
          <w:szCs w:val="16"/>
        </w:rPr>
        <w:footnoteRef/>
      </w:r>
      <w:r w:rsidRPr="00363296">
        <w:rPr>
          <w:sz w:val="16"/>
          <w:szCs w:val="16"/>
        </w:rPr>
        <w:t xml:space="preserve"> V mezikvartálním vyjádření se pokles reálné mzdy zastavil již ve 2. čtvrtletí 2023.</w:t>
      </w:r>
    </w:p>
  </w:footnote>
  <w:footnote w:id="72">
    <w:p w14:paraId="05A9968F" w14:textId="77777777" w:rsidR="00945636" w:rsidRPr="00B43E19" w:rsidRDefault="00945636" w:rsidP="00945636">
      <w:pPr>
        <w:pStyle w:val="Textpoznpodarou"/>
        <w:rPr>
          <w:sz w:val="16"/>
          <w:szCs w:val="16"/>
        </w:rPr>
      </w:pPr>
      <w:r w:rsidRPr="00B6005F">
        <w:rPr>
          <w:rStyle w:val="Znakapoznpodarou"/>
          <w:spacing w:val="-3"/>
          <w:sz w:val="16"/>
          <w:szCs w:val="16"/>
        </w:rPr>
        <w:footnoteRef/>
      </w:r>
      <w:r w:rsidRPr="00B6005F">
        <w:rPr>
          <w:spacing w:val="-3"/>
          <w:sz w:val="16"/>
          <w:szCs w:val="16"/>
        </w:rPr>
        <w:t xml:space="preserve"> Zahrnuje výrobu a rozvod elektřiny, plynu, tepla a klimatizovaného vzduchu.</w:t>
      </w:r>
    </w:p>
  </w:footnote>
  <w:footnote w:id="73">
    <w:p w14:paraId="56018FEA" w14:textId="77777777" w:rsidR="00945636" w:rsidRPr="00D16130" w:rsidRDefault="00945636" w:rsidP="00945636">
      <w:pPr>
        <w:pStyle w:val="Textpoznpodarou"/>
        <w:rPr>
          <w:sz w:val="16"/>
          <w:szCs w:val="16"/>
        </w:rPr>
      </w:pPr>
      <w:r w:rsidRPr="00D16130">
        <w:rPr>
          <w:rStyle w:val="Znakapoznpodarou"/>
          <w:sz w:val="16"/>
          <w:szCs w:val="16"/>
        </w:rPr>
        <w:footnoteRef/>
      </w:r>
      <w:r w:rsidRPr="00D16130">
        <w:rPr>
          <w:sz w:val="16"/>
          <w:szCs w:val="16"/>
        </w:rPr>
        <w:t xml:space="preserve"> Pro zjednodušení zahrnuje odvětví </w:t>
      </w:r>
      <w:r w:rsidRPr="00D16130">
        <w:rPr>
          <w:rFonts w:cs="Arial"/>
          <w:color w:val="0D0D0D" w:themeColor="text1" w:themeTint="F2"/>
          <w:spacing w:val="-4"/>
          <w:sz w:val="16"/>
          <w:szCs w:val="16"/>
        </w:rPr>
        <w:t>Veřejná správa a obrana, povinné sociální zabezpečení; Vzdělávání; Zdravotní a sociální péče; Kulturní, zábavní a rekreační činnosti.</w:t>
      </w:r>
    </w:p>
  </w:footnote>
  <w:footnote w:id="74">
    <w:p w14:paraId="0013CAD3" w14:textId="77777777" w:rsidR="00FA1CA9" w:rsidRDefault="00FA1CA9" w:rsidP="007C3842">
      <w:pPr>
        <w:pStyle w:val="Textpoznpodarou"/>
        <w:rPr>
          <w:sz w:val="16"/>
          <w:szCs w:val="16"/>
        </w:rPr>
      </w:pPr>
      <w:r>
        <w:rPr>
          <w:rStyle w:val="Znakapoznpodarou"/>
          <w:sz w:val="16"/>
          <w:szCs w:val="16"/>
        </w:rPr>
        <w:footnoteRef/>
      </w:r>
      <w:r>
        <w:rPr>
          <w:sz w:val="16"/>
          <w:szCs w:val="16"/>
        </w:rPr>
        <w:t xml:space="preserve"> Není-li uvedeno jinak, je zdrojem údajů v této kapitole databáze ARAD České národní banky. Hodnoty směnných kurzů jsou rovněž převzaty od ČNB.</w:t>
      </w:r>
    </w:p>
  </w:footnote>
  <w:footnote w:id="75">
    <w:p w14:paraId="1258BCF9" w14:textId="77777777" w:rsidR="00FA1CA9" w:rsidRPr="001F5F82" w:rsidRDefault="00FA1CA9" w:rsidP="007C3842">
      <w:pPr>
        <w:pStyle w:val="Textpoznpodarou"/>
        <w:rPr>
          <w:sz w:val="16"/>
          <w:szCs w:val="16"/>
        </w:rPr>
      </w:pPr>
      <w:r w:rsidRPr="001F5F82">
        <w:rPr>
          <w:rStyle w:val="Znakapoznpodarou"/>
          <w:sz w:val="16"/>
          <w:szCs w:val="16"/>
        </w:rPr>
        <w:footnoteRef/>
      </w:r>
      <w:r w:rsidRPr="001F5F82">
        <w:rPr>
          <w:sz w:val="16"/>
          <w:szCs w:val="16"/>
        </w:rPr>
        <w:t xml:space="preserve"> Není</w:t>
      </w:r>
      <w:r>
        <w:rPr>
          <w:sz w:val="16"/>
          <w:szCs w:val="16"/>
        </w:rPr>
        <w:t>-</w:t>
      </w:r>
      <w:r w:rsidRPr="001F5F82">
        <w:rPr>
          <w:sz w:val="16"/>
          <w:szCs w:val="16"/>
        </w:rPr>
        <w:t>li uvedeno jinak, je změnou úrokových sazeb myšlen rozdíl mezi hodnotou ke dni 3</w:t>
      </w:r>
      <w:r>
        <w:rPr>
          <w:sz w:val="16"/>
          <w:szCs w:val="16"/>
        </w:rPr>
        <w:t>1. 12</w:t>
      </w:r>
      <w:r w:rsidRPr="001F5F82">
        <w:rPr>
          <w:sz w:val="16"/>
          <w:szCs w:val="16"/>
        </w:rPr>
        <w:t>.</w:t>
      </w:r>
      <w:r>
        <w:rPr>
          <w:sz w:val="16"/>
          <w:szCs w:val="16"/>
        </w:rPr>
        <w:t xml:space="preserve"> 2023</w:t>
      </w:r>
      <w:r w:rsidRPr="001F5F82">
        <w:rPr>
          <w:sz w:val="16"/>
          <w:szCs w:val="16"/>
        </w:rPr>
        <w:t xml:space="preserve"> a</w:t>
      </w:r>
      <w:r>
        <w:rPr>
          <w:sz w:val="16"/>
          <w:szCs w:val="16"/>
        </w:rPr>
        <w:t> </w:t>
      </w:r>
      <w:r w:rsidRPr="001F5F82">
        <w:rPr>
          <w:sz w:val="16"/>
          <w:szCs w:val="16"/>
        </w:rPr>
        <w:t>3</w:t>
      </w:r>
      <w:r>
        <w:rPr>
          <w:sz w:val="16"/>
          <w:szCs w:val="16"/>
        </w:rPr>
        <w:t>0. 9</w:t>
      </w:r>
      <w:r w:rsidRPr="001F5F82">
        <w:rPr>
          <w:sz w:val="16"/>
          <w:szCs w:val="16"/>
        </w:rPr>
        <w:t>.</w:t>
      </w:r>
      <w:r>
        <w:rPr>
          <w:sz w:val="16"/>
          <w:szCs w:val="16"/>
        </w:rPr>
        <w:t xml:space="preserve"> 2023.</w:t>
      </w:r>
    </w:p>
  </w:footnote>
  <w:footnote w:id="76">
    <w:p w14:paraId="71565866" w14:textId="77777777" w:rsidR="00FA1CA9" w:rsidRPr="00651A71" w:rsidRDefault="00FA1CA9" w:rsidP="007C3842">
      <w:pPr>
        <w:pStyle w:val="Textpoznpodarou"/>
        <w:rPr>
          <w:sz w:val="16"/>
          <w:szCs w:val="16"/>
        </w:rPr>
      </w:pPr>
      <w:r w:rsidRPr="00651A71">
        <w:rPr>
          <w:rStyle w:val="Znakapoznpodarou"/>
          <w:sz w:val="16"/>
          <w:szCs w:val="16"/>
        </w:rPr>
        <w:footnoteRef/>
      </w:r>
      <w:r w:rsidRPr="00651A71">
        <w:rPr>
          <w:sz w:val="16"/>
          <w:szCs w:val="16"/>
        </w:rPr>
        <w:t xml:space="preserve"> O</w:t>
      </w:r>
      <w:r w:rsidRPr="00651A71">
        <w:rPr>
          <w:spacing w:val="-3"/>
          <w:sz w:val="16"/>
          <w:szCs w:val="16"/>
          <w:lang w:eastAsia="en-US"/>
        </w:rPr>
        <w:t>byvatelstvo</w:t>
      </w:r>
      <w:r>
        <w:rPr>
          <w:spacing w:val="-3"/>
          <w:sz w:val="16"/>
          <w:szCs w:val="16"/>
          <w:lang w:eastAsia="en-US"/>
        </w:rPr>
        <w:t xml:space="preserve"> včetně </w:t>
      </w:r>
      <w:r w:rsidRPr="00651A71">
        <w:rPr>
          <w:spacing w:val="-3"/>
          <w:sz w:val="16"/>
          <w:szCs w:val="16"/>
          <w:lang w:eastAsia="en-US"/>
        </w:rPr>
        <w:t>živnostníků.</w:t>
      </w:r>
    </w:p>
  </w:footnote>
  <w:footnote w:id="77">
    <w:p w14:paraId="188A348A" w14:textId="77777777" w:rsidR="00FA1CA9" w:rsidRDefault="00FA1CA9" w:rsidP="007C3842">
      <w:pPr>
        <w:pStyle w:val="Textpoznpodarou"/>
      </w:pPr>
      <w:r w:rsidRPr="00FE4E1A">
        <w:rPr>
          <w:rStyle w:val="Znakapoznpodarou"/>
          <w:sz w:val="16"/>
          <w:szCs w:val="16"/>
        </w:rPr>
        <w:footnoteRef/>
      </w:r>
      <w:r w:rsidRPr="00FE4E1A">
        <w:rPr>
          <w:sz w:val="16"/>
          <w:szCs w:val="16"/>
        </w:rPr>
        <w:t xml:space="preserve"> Dvoucifern</w:t>
      </w:r>
      <w:r>
        <w:rPr>
          <w:sz w:val="16"/>
          <w:szCs w:val="16"/>
        </w:rPr>
        <w:t>é</w:t>
      </w:r>
      <w:r w:rsidRPr="00FE4E1A">
        <w:rPr>
          <w:sz w:val="16"/>
          <w:szCs w:val="16"/>
        </w:rPr>
        <w:t xml:space="preserve"> temp</w:t>
      </w:r>
      <w:r>
        <w:rPr>
          <w:sz w:val="16"/>
          <w:szCs w:val="16"/>
        </w:rPr>
        <w:t>o si drží</w:t>
      </w:r>
      <w:r w:rsidRPr="00FE4E1A">
        <w:rPr>
          <w:sz w:val="16"/>
          <w:szCs w:val="16"/>
        </w:rPr>
        <w:t xml:space="preserve"> úvěry ze stavebních spoření od konce roku 2022. </w:t>
      </w:r>
      <w:r>
        <w:rPr>
          <w:sz w:val="16"/>
          <w:szCs w:val="16"/>
        </w:rPr>
        <w:t>Ú</w:t>
      </w:r>
      <w:r w:rsidRPr="00FE4E1A">
        <w:rPr>
          <w:sz w:val="16"/>
          <w:szCs w:val="16"/>
        </w:rPr>
        <w:t xml:space="preserve">věry ze stavebního spoření, u kterých je maximální úročení zákonem omezeno, </w:t>
      </w:r>
      <w:r>
        <w:rPr>
          <w:sz w:val="16"/>
          <w:szCs w:val="16"/>
        </w:rPr>
        <w:t xml:space="preserve">se ve srovnání s hypotečními úvěry </w:t>
      </w:r>
      <w:r w:rsidRPr="00FE4E1A">
        <w:rPr>
          <w:sz w:val="16"/>
          <w:szCs w:val="16"/>
        </w:rPr>
        <w:t>pro dlužníky</w:t>
      </w:r>
      <w:r>
        <w:rPr>
          <w:sz w:val="16"/>
          <w:szCs w:val="16"/>
        </w:rPr>
        <w:t xml:space="preserve"> staly</w:t>
      </w:r>
      <w:r w:rsidRPr="00FE4E1A">
        <w:rPr>
          <w:sz w:val="16"/>
          <w:szCs w:val="16"/>
        </w:rPr>
        <w:t xml:space="preserve"> výhodnějším nástrojem financování</w:t>
      </w:r>
      <w:r>
        <w:t xml:space="preserve">. </w:t>
      </w:r>
    </w:p>
  </w:footnote>
  <w:footnote w:id="78">
    <w:p w14:paraId="090E60BC" w14:textId="77777777" w:rsidR="00FA1CA9" w:rsidRPr="00724B7B" w:rsidRDefault="00FA1CA9" w:rsidP="007C3842">
      <w:pPr>
        <w:pStyle w:val="Textpoznpodarou"/>
        <w:rPr>
          <w:sz w:val="16"/>
          <w:szCs w:val="16"/>
        </w:rPr>
      </w:pPr>
      <w:r w:rsidRPr="00724B7B">
        <w:rPr>
          <w:rStyle w:val="Znakapoznpodarou"/>
          <w:sz w:val="16"/>
          <w:szCs w:val="16"/>
        </w:rPr>
        <w:footnoteRef/>
      </w:r>
      <w:r w:rsidRPr="00724B7B">
        <w:rPr>
          <w:sz w:val="16"/>
          <w:szCs w:val="16"/>
        </w:rPr>
        <w:t xml:space="preserve"> Úvěry v cizí měně začaly prudce</w:t>
      </w:r>
      <w:r>
        <w:rPr>
          <w:sz w:val="16"/>
          <w:szCs w:val="16"/>
        </w:rPr>
        <w:t xml:space="preserve"> růst</w:t>
      </w:r>
      <w:r w:rsidRPr="00724B7B">
        <w:rPr>
          <w:sz w:val="16"/>
          <w:szCs w:val="16"/>
        </w:rPr>
        <w:t xml:space="preserve"> po začátku opětovného zvyšování měnověpolitických sazeb v červnu 2021.</w:t>
      </w:r>
    </w:p>
  </w:footnote>
  <w:footnote w:id="79">
    <w:p w14:paraId="420D486C" w14:textId="77777777" w:rsidR="00F204DA" w:rsidRDefault="00F204DA" w:rsidP="00F204DA">
      <w:pPr>
        <w:pStyle w:val="Textpoznpodarou"/>
        <w:jc w:val="both"/>
        <w:rPr>
          <w:spacing w:val="-2"/>
          <w:sz w:val="16"/>
          <w:szCs w:val="16"/>
        </w:rPr>
      </w:pPr>
      <w:r>
        <w:rPr>
          <w:rStyle w:val="Znakapoznpodarou"/>
          <w:spacing w:val="-2"/>
          <w:sz w:val="16"/>
          <w:szCs w:val="16"/>
        </w:rPr>
        <w:footnoteRef/>
      </w:r>
      <w:r>
        <w:rPr>
          <w:spacing w:val="-2"/>
          <w:sz w:val="16"/>
          <w:szCs w:val="16"/>
        </w:rPr>
        <w:t xml:space="preserve"> </w:t>
      </w:r>
      <w:r>
        <w:rPr>
          <w:color w:val="0D0D0D" w:themeColor="text1" w:themeTint="F2"/>
          <w:spacing w:val="-2"/>
          <w:sz w:val="16"/>
          <w:szCs w:val="16"/>
        </w:rPr>
        <w:t xml:space="preserve">Pokud není uvedeno jinak, vycházejí všechny údaje týkající se státního rozpočtu </w:t>
      </w:r>
      <w:r>
        <w:rPr>
          <w:rFonts w:cs="Arial"/>
          <w:color w:val="0D0D0D" w:themeColor="text1" w:themeTint="F2"/>
          <w:spacing w:val="-2"/>
          <w:sz w:val="16"/>
          <w:szCs w:val="16"/>
        </w:rPr>
        <w:t>z dat Ministerstva financí ČR o pokladním plnění.</w:t>
      </w:r>
    </w:p>
  </w:footnote>
  <w:footnote w:id="80">
    <w:p w14:paraId="12A03F9D"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To představuje téměř 42 % plánovaného celoročního schodku (dle Zákona o státním rozpočtu na rok 2024, schváleného na konci listopadu 2023). V předchozích letech se ovšem vývoj příjmů i výdajů SR v průběhu roku vyznačoval větší nerovnoměrností (např. </w:t>
      </w:r>
      <w:r>
        <w:rPr>
          <w:sz w:val="16"/>
          <w:szCs w:val="16"/>
        </w:rPr>
        <w:br/>
        <w:t>v 1. čtvrtletí 2023 byl plánovaný roční deficit naplněn z 56 %, i tak byl na konci roku dodržen).</w:t>
      </w:r>
    </w:p>
  </w:footnote>
  <w:footnote w:id="81">
    <w:p w14:paraId="28B51E7D" w14:textId="77777777" w:rsidR="00F204DA" w:rsidRDefault="00F204DA" w:rsidP="00F204DA">
      <w:pPr>
        <w:autoSpaceDE w:val="0"/>
        <w:autoSpaceDN w:val="0"/>
        <w:adjustRightInd w:val="0"/>
        <w:spacing w:after="0" w:line="240" w:lineRule="auto"/>
        <w:jc w:val="left"/>
        <w:rPr>
          <w:rFonts w:eastAsia="Calibri" w:cs="Arial"/>
          <w:spacing w:val="-3"/>
          <w:sz w:val="16"/>
          <w:szCs w:val="16"/>
          <w:lang w:eastAsia="en-US"/>
        </w:rPr>
      </w:pPr>
      <w:r>
        <w:rPr>
          <w:rStyle w:val="Znakapoznpodarou"/>
          <w:spacing w:val="-3"/>
          <w:sz w:val="16"/>
          <w:szCs w:val="16"/>
        </w:rPr>
        <w:footnoteRef/>
      </w:r>
      <w:r>
        <w:rPr>
          <w:spacing w:val="-3"/>
          <w:sz w:val="16"/>
          <w:szCs w:val="16"/>
        </w:rPr>
        <w:t xml:space="preserve"> Tento pozitivní trend byl patrný i po očištění o vliv prostředků z rozpočtu EU (včetně finančních mechanismů). Jde o prostředky na programy</w:t>
      </w:r>
      <w:r>
        <w:rPr>
          <w:rFonts w:cs="Arial"/>
          <w:spacing w:val="-3"/>
          <w:sz w:val="16"/>
          <w:szCs w:val="16"/>
        </w:rPr>
        <w:t xml:space="preserve"> z rozpočtu EU a FM, které byly předfinancovány ze SR a následně postupně proplaceny z</w:t>
      </w:r>
      <w:r>
        <w:rPr>
          <w:spacing w:val="-3"/>
          <w:sz w:val="16"/>
          <w:szCs w:val="16"/>
        </w:rPr>
        <w:t> </w:t>
      </w:r>
      <w:r>
        <w:rPr>
          <w:rFonts w:cs="Arial"/>
          <w:spacing w:val="-3"/>
          <w:sz w:val="16"/>
          <w:szCs w:val="16"/>
        </w:rPr>
        <w:t xml:space="preserve">rozpočtu EU a FM. </w:t>
      </w:r>
      <w:r>
        <w:rPr>
          <w:rFonts w:eastAsia="Calibri" w:cs="Arial"/>
          <w:spacing w:val="-3"/>
          <w:sz w:val="16"/>
          <w:szCs w:val="16"/>
          <w:lang w:eastAsia="en-US"/>
        </w:rPr>
        <w:t xml:space="preserve">Bez těchto prostředků, které jsou ve schváleném SR zahrnuty s neutrálním dopadem, </w:t>
      </w:r>
      <w:r>
        <w:rPr>
          <w:rFonts w:cs="Arial"/>
          <w:spacing w:val="-3"/>
          <w:sz w:val="16"/>
          <w:szCs w:val="16"/>
          <w:lang w:eastAsia="en-US"/>
        </w:rPr>
        <w:t xml:space="preserve">činil </w:t>
      </w:r>
      <w:r>
        <w:rPr>
          <w:rFonts w:eastAsia="Calibri" w:cs="Arial"/>
          <w:spacing w:val="-3"/>
          <w:sz w:val="16"/>
          <w:szCs w:val="16"/>
          <w:lang w:eastAsia="en-US"/>
        </w:rPr>
        <w:t xml:space="preserve">schodek za 1. kvartál </w:t>
      </w:r>
      <w:r>
        <w:rPr>
          <w:rFonts w:cs="Arial"/>
          <w:spacing w:val="-3"/>
          <w:sz w:val="16"/>
          <w:szCs w:val="16"/>
          <w:lang w:eastAsia="en-US"/>
        </w:rPr>
        <w:t>99,1</w:t>
      </w:r>
      <w:r>
        <w:rPr>
          <w:rFonts w:eastAsia="Calibri" w:cs="Arial"/>
          <w:spacing w:val="-3"/>
          <w:sz w:val="16"/>
          <w:szCs w:val="16"/>
          <w:lang w:eastAsia="en-US"/>
        </w:rPr>
        <w:t xml:space="preserve"> mld. korun (meziročně o 57,8 mld. méně).</w:t>
      </w:r>
    </w:p>
  </w:footnote>
  <w:footnote w:id="82">
    <w:p w14:paraId="475F5A95"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Díky této úpravě je letos dle odhadu MF očekáváno celoroční zvýšení inkasa SR u DPH o 5,6 mld. korun, u daně z příjmu fyzických osob o 2,3 mld. a u korporátní daně o 2,9 mld.</w:t>
      </w:r>
    </w:p>
  </w:footnote>
  <w:footnote w:id="83">
    <w:p w14:paraId="3022D04F" w14:textId="77777777" w:rsidR="00F204DA" w:rsidRDefault="00F204DA" w:rsidP="00F204DA">
      <w:pPr>
        <w:pStyle w:val="Textpoznpodarou"/>
        <w:rPr>
          <w:spacing w:val="-2"/>
          <w:sz w:val="16"/>
          <w:szCs w:val="16"/>
        </w:rPr>
      </w:pPr>
      <w:r>
        <w:rPr>
          <w:rStyle w:val="Znakapoznpodarou"/>
          <w:spacing w:val="-2"/>
          <w:sz w:val="16"/>
          <w:szCs w:val="16"/>
        </w:rPr>
        <w:footnoteRef/>
      </w:r>
      <w:r>
        <w:rPr>
          <w:spacing w:val="-2"/>
          <w:sz w:val="16"/>
          <w:szCs w:val="16"/>
        </w:rPr>
        <w:t xml:space="preserve"> Jde o pojistné na sociální zabezpečení a aktivní politiku zaměstnanosti.</w:t>
      </w:r>
    </w:p>
  </w:footnote>
  <w:footnote w:id="84">
    <w:p w14:paraId="429E39CB" w14:textId="77777777" w:rsidR="00F204DA" w:rsidRDefault="00F204DA" w:rsidP="00F204DA">
      <w:pPr>
        <w:spacing w:after="0" w:line="240" w:lineRule="auto"/>
      </w:pPr>
      <w:r>
        <w:rPr>
          <w:rStyle w:val="Znakapoznpodarou"/>
          <w:sz w:val="16"/>
          <w:szCs w:val="16"/>
        </w:rPr>
        <w:footnoteRef/>
      </w:r>
      <w:r>
        <w:rPr>
          <w:sz w:val="16"/>
          <w:szCs w:val="16"/>
        </w:rPr>
        <w:t xml:space="preserve"> </w:t>
      </w:r>
      <w:r>
        <w:rPr>
          <w:rFonts w:cs="Arial"/>
          <w:spacing w:val="-2"/>
          <w:sz w:val="16"/>
          <w:szCs w:val="16"/>
        </w:rPr>
        <w:t>Jedná se zejména o znovuzavedení placení pojistného z nemocenského pojištění hrazeného zaměstnancem (0,6 % vyměřovacího základu). Rozpočtově méně významné je zvýšení vyměřovacího základu pro osoby samostatně výdělečně činné a stanovení limitů pro vznik účasti na pojištění zaměstnance pracujícího na základě dohody o provedení práce.</w:t>
      </w:r>
      <w:r>
        <w:rPr>
          <w:rFonts w:cstheme="minorHAnsi"/>
        </w:rPr>
        <w:t xml:space="preserve"> </w:t>
      </w:r>
    </w:p>
  </w:footnote>
  <w:footnote w:id="85">
    <w:p w14:paraId="4B1C0B72" w14:textId="77777777" w:rsidR="00F204DA" w:rsidRDefault="00F204DA" w:rsidP="00F204DA">
      <w:pPr>
        <w:pStyle w:val="Textpoznpodarou"/>
        <w:rPr>
          <w:spacing w:val="-2"/>
          <w:sz w:val="16"/>
          <w:szCs w:val="16"/>
        </w:rPr>
      </w:pPr>
      <w:r>
        <w:rPr>
          <w:rStyle w:val="Znakapoznpodarou"/>
          <w:spacing w:val="-2"/>
          <w:sz w:val="16"/>
          <w:szCs w:val="16"/>
        </w:rPr>
        <w:footnoteRef/>
      </w:r>
      <w:r>
        <w:rPr>
          <w:spacing w:val="-2"/>
          <w:sz w:val="16"/>
          <w:szCs w:val="16"/>
        </w:rPr>
        <w:t xml:space="preserve"> Dle prvního odhadu HDP se reálné výdaje na konečnou spotřebu domácností mezikvartálně zvyšovaly ve 4. čtvrtletí 2023 i na počátku letošního roku. K opakovanému růstu spotřeby došlo v tuzemsku naposledy během roku 2021 (po uvolnění protipandemických restrikcí).   </w:t>
      </w:r>
    </w:p>
  </w:footnote>
  <w:footnote w:id="86">
    <w:p w14:paraId="0DEFE112"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To se týká sjednocení dvou snížených sazeb (10 % a 15 %) do jedné ve výši 12 %. Řada zboží a služeb tak nově podléhá nižšímu zdanění. Negativní rozpočtový dopad je současně tlumen přesunem některých položek bez prokazatelného sociálního či zdravotního významu do základní sazby daně ve výši 21 %.</w:t>
      </w:r>
    </w:p>
  </w:footnote>
  <w:footnote w:id="87">
    <w:p w14:paraId="469A1C0C" w14:textId="77777777" w:rsidR="00F204DA" w:rsidRDefault="00F204DA" w:rsidP="00F204DA">
      <w:pPr>
        <w:pStyle w:val="Textpoznpodarou"/>
      </w:pPr>
      <w:r>
        <w:rPr>
          <w:rStyle w:val="Znakapoznpodarou"/>
          <w:sz w:val="16"/>
          <w:szCs w:val="16"/>
        </w:rPr>
        <w:footnoteRef/>
      </w:r>
      <w:r>
        <w:rPr>
          <w:sz w:val="16"/>
          <w:szCs w:val="16"/>
        </w:rPr>
        <w:t xml:space="preserve"> K tomuto zvýšení došlo loni od srpna (o 1,5 korun na litr). Sazba spotřební daně z motorové nafty se tak vrátila na původní výši </w:t>
      </w:r>
      <w:r>
        <w:rPr>
          <w:sz w:val="16"/>
          <w:szCs w:val="16"/>
        </w:rPr>
        <w:br/>
        <w:t>(9,95 korun/l) platnou do května 2022.</w:t>
      </w:r>
    </w:p>
  </w:footnote>
  <w:footnote w:id="88">
    <w:p w14:paraId="2132CE28"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Např. u motorového benzínu došlo od ledna do února k meziročnímu posílení spotřeby o 11 %, u motorové nafty o 3 %.</w:t>
      </w:r>
    </w:p>
  </w:footnote>
  <w:footnote w:id="89">
    <w:p w14:paraId="351B872F"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Např. u nefinančních podniků v ČR dosáhl podíl hrubého provozního přebytku k jimi vytvořené hrubé přidané hodnotě za celý loňský rok 48,7 % a byl nejvyšší za posledních sedm let. </w:t>
      </w:r>
    </w:p>
  </w:footnote>
  <w:footnote w:id="90">
    <w:p w14:paraId="7C1DE7D1" w14:textId="77777777" w:rsidR="00F204DA" w:rsidRDefault="00F204DA" w:rsidP="00F204DA">
      <w:pPr>
        <w:pStyle w:val="Textpoznpodarou"/>
        <w:rPr>
          <w:spacing w:val="-2"/>
          <w:sz w:val="16"/>
          <w:szCs w:val="16"/>
        </w:rPr>
      </w:pPr>
      <w:r>
        <w:rPr>
          <w:rStyle w:val="Znakapoznpodarou"/>
          <w:spacing w:val="-2"/>
          <w:sz w:val="16"/>
          <w:szCs w:val="16"/>
        </w:rPr>
        <w:footnoteRef/>
      </w:r>
      <w:r>
        <w:rPr>
          <w:spacing w:val="-2"/>
          <w:sz w:val="16"/>
          <w:szCs w:val="16"/>
        </w:rPr>
        <w:t xml:space="preserve"> Ta se týká energetických, petrochemických a těžebních firem a zahrnuje rovněž velké banky. Drtivá většina inkasa této daně ovšem plynula do SR jen z odvětví energetiky. </w:t>
      </w:r>
    </w:p>
  </w:footnote>
  <w:footnote w:id="91">
    <w:p w14:paraId="225343A6" w14:textId="77777777" w:rsidR="00F204DA" w:rsidRDefault="00F204DA" w:rsidP="00F204DA">
      <w:pPr>
        <w:pStyle w:val="Textpoznpodarou"/>
        <w:rPr>
          <w:sz w:val="16"/>
          <w:szCs w:val="16"/>
        </w:rPr>
      </w:pPr>
      <w:r>
        <w:rPr>
          <w:rStyle w:val="Znakapoznpodarou"/>
          <w:spacing w:val="-2"/>
          <w:sz w:val="16"/>
          <w:szCs w:val="16"/>
        </w:rPr>
        <w:footnoteRef/>
      </w:r>
      <w:r>
        <w:rPr>
          <w:spacing w:val="-2"/>
          <w:sz w:val="16"/>
          <w:szCs w:val="16"/>
        </w:rPr>
        <w:t xml:space="preserve"> Tento odvod (zdaněný 90% sazbou) představuje rozdíl mezi skutečným příjmem a stropem tržního příjmu z prodeje elektřiny nad stanovenou hranici (za období od 1. prosince 2022 do konce roku 2023).</w:t>
      </w:r>
    </w:p>
  </w:footnote>
  <w:footnote w:id="92">
    <w:p w14:paraId="6F57018E" w14:textId="77777777" w:rsidR="00F204DA" w:rsidRDefault="00F204DA" w:rsidP="00F204DA">
      <w:pPr>
        <w:pStyle w:val="Textpoznpodarou"/>
        <w:rPr>
          <w:spacing w:val="-6"/>
          <w:sz w:val="16"/>
          <w:szCs w:val="16"/>
        </w:rPr>
      </w:pPr>
      <w:r>
        <w:rPr>
          <w:rStyle w:val="Znakapoznpodarou"/>
          <w:spacing w:val="-6"/>
          <w:sz w:val="16"/>
          <w:szCs w:val="16"/>
        </w:rPr>
        <w:footnoteRef/>
      </w:r>
      <w:r>
        <w:rPr>
          <w:spacing w:val="-6"/>
          <w:sz w:val="16"/>
          <w:szCs w:val="16"/>
        </w:rPr>
        <w:t xml:space="preserve"> Navzdory tomu se celostátní inkaso DPFO ze závislé činnosti (na úrovni všech veřejných rozpočtů) v 1. čtvrtletí 2024 nacházelo jen mírně nad úrovní roku 2018 a za rekordní výší z počátku roku 2020 zaostávalo o 16 %. Klíčovou roli zde sehrálo snížení daňového zatížení práce od roku 2021 (zrušení tzv. superhrubé mzdy).</w:t>
      </w:r>
    </w:p>
  </w:footnote>
  <w:footnote w:id="93">
    <w:p w14:paraId="77E3A503"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Jde zejména o to, že při zvýšení důchodu se nově nezohledňuje polovina, ale pouze třetina nárůstu reálné mzdy. Od ledna 2024 došlo pouze k navýšení základní výměry všech důchodů (o 360 korun), procentní výměra nevzrostla. Průměrný starobní důchod se navýšil o 1,8 % a na konci března dosáhl (bez souběhu s ostatními důchody) měsíčně u mužů 21,9 tis. korun, u žen 19,4 tis. korun.</w:t>
      </w:r>
    </w:p>
  </w:footnote>
  <w:footnote w:id="94">
    <w:p w14:paraId="733E4AD0"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Růst počtu všech příjemců trvale krácených starobních důchodů (KSD) během loňského roku zrychloval a tento vývoj pokračoval </w:t>
      </w:r>
      <w:r>
        <w:rPr>
          <w:sz w:val="16"/>
          <w:szCs w:val="16"/>
        </w:rPr>
        <w:br/>
        <w:t>i letos (v 1. čtvrtletí na 8,8 % meziročně, nejvíce od roku 2012) a jejich podíl na všech příjemcích starobních důchodů se blížil 32 %. Do počtu KSD nejsou zahrnuty osoby, které podaly žádost o předčasný důchod, ale zahájení jeho výplaty si odložily.</w:t>
      </w:r>
    </w:p>
  </w:footnote>
  <w:footnote w:id="95">
    <w:p w14:paraId="37C90EF7" w14:textId="77777777" w:rsidR="00F204DA" w:rsidRDefault="00F204DA" w:rsidP="00F204DA">
      <w:pPr>
        <w:pStyle w:val="Textpoznpodarou"/>
        <w:jc w:val="both"/>
        <w:rPr>
          <w:rFonts w:cs="Arial"/>
          <w:color w:val="000000" w:themeColor="text1"/>
          <w:spacing w:val="-4"/>
          <w:sz w:val="16"/>
          <w:szCs w:val="16"/>
        </w:rPr>
      </w:pPr>
      <w:r>
        <w:rPr>
          <w:rStyle w:val="Znakapoznpodarou"/>
          <w:spacing w:val="-4"/>
          <w:sz w:val="16"/>
          <w:szCs w:val="16"/>
        </w:rPr>
        <w:footnoteRef/>
      </w:r>
      <w:r>
        <w:rPr>
          <w:spacing w:val="-4"/>
          <w:sz w:val="16"/>
          <w:szCs w:val="16"/>
        </w:rPr>
        <w:t xml:space="preserve"> To vyjadřuje r</w:t>
      </w:r>
      <w:r>
        <w:rPr>
          <w:rFonts w:cs="Arial"/>
          <w:color w:val="000000" w:themeColor="text1"/>
          <w:spacing w:val="-4"/>
          <w:sz w:val="16"/>
          <w:szCs w:val="16"/>
        </w:rPr>
        <w:t>ozdíl mezi příjmy z pojistného na důchodové pojištění</w:t>
      </w:r>
      <w:r>
        <w:rPr>
          <w:rFonts w:ascii="Segoe UI" w:eastAsia="Times New Roman" w:hAnsi="Segoe UI" w:cs="Segoe UI"/>
          <w:b/>
          <w:bCs/>
          <w:color w:val="000000"/>
          <w:spacing w:val="-4"/>
          <w:sz w:val="16"/>
          <w:szCs w:val="16"/>
        </w:rPr>
        <w:t xml:space="preserve"> </w:t>
      </w:r>
      <w:r>
        <w:rPr>
          <w:rFonts w:cs="Arial"/>
          <w:color w:val="000000" w:themeColor="text1"/>
          <w:spacing w:val="-4"/>
          <w:sz w:val="16"/>
          <w:szCs w:val="16"/>
        </w:rPr>
        <w:t xml:space="preserve">a výdaji na dávky důchodového </w:t>
      </w:r>
      <w:r>
        <w:rPr>
          <w:rFonts w:cs="Arial"/>
          <w:color w:val="0D0D0D" w:themeColor="text1" w:themeTint="F2"/>
          <w:spacing w:val="-4"/>
          <w:sz w:val="16"/>
          <w:szCs w:val="16"/>
        </w:rPr>
        <w:t>pojištění</w:t>
      </w:r>
      <w:r>
        <w:rPr>
          <w:rFonts w:cs="Arial"/>
          <w:color w:val="000000" w:themeColor="text1"/>
          <w:spacing w:val="-4"/>
          <w:sz w:val="16"/>
          <w:szCs w:val="16"/>
        </w:rPr>
        <w:t xml:space="preserve"> (včetně nákladů na jeho správu).</w:t>
      </w:r>
    </w:p>
  </w:footnote>
  <w:footnote w:id="96">
    <w:p w14:paraId="374FE7E2" w14:textId="77777777" w:rsidR="00F204DA" w:rsidRDefault="00F204DA" w:rsidP="00F204DA">
      <w:pPr>
        <w:pStyle w:val="Textpoznpodarou"/>
        <w:rPr>
          <w:spacing w:val="-4"/>
          <w:sz w:val="16"/>
          <w:szCs w:val="16"/>
        </w:rPr>
      </w:pPr>
      <w:r>
        <w:rPr>
          <w:rStyle w:val="Znakapoznpodarou"/>
          <w:spacing w:val="-4"/>
          <w:sz w:val="16"/>
          <w:szCs w:val="16"/>
        </w:rPr>
        <w:footnoteRef/>
      </w:r>
      <w:r>
        <w:rPr>
          <w:spacing w:val="-4"/>
          <w:sz w:val="16"/>
          <w:szCs w:val="16"/>
        </w:rPr>
        <w:t xml:space="preserve"> Od července 2023 jsou při výpočtu výše dávky zohledňovány započitatelné náklady na bydlení (stanovené vládním nařízením), jejichž výše je odvislá od počtu osob a typu bydlení. Letos v březnu pobíralo humanitární dávky 55 tis. příjemců, meziročně skoro o polovinu méně. </w:t>
      </w:r>
    </w:p>
  </w:footnote>
  <w:footnote w:id="97">
    <w:p w14:paraId="0F7F8DE4" w14:textId="77777777" w:rsidR="00F204DA" w:rsidRDefault="00F204DA" w:rsidP="00F204DA">
      <w:pPr>
        <w:pStyle w:val="Textpoznpodarou"/>
        <w:rPr>
          <w:spacing w:val="-2"/>
          <w:sz w:val="16"/>
          <w:szCs w:val="16"/>
        </w:rPr>
      </w:pPr>
      <w:r>
        <w:rPr>
          <w:rStyle w:val="Znakapoznpodarou"/>
          <w:spacing w:val="-2"/>
          <w:sz w:val="16"/>
          <w:szCs w:val="16"/>
        </w:rPr>
        <w:footnoteRef/>
      </w:r>
      <w:r>
        <w:rPr>
          <w:spacing w:val="-2"/>
          <w:sz w:val="16"/>
          <w:szCs w:val="16"/>
        </w:rPr>
        <w:t xml:space="preserve"> Ve srovnání s 1. čtvrtletím 2022 se objem příspěvků téměř ztrojnásobil (na 5,1 mld.) a počet příjemců vzrostl o dvě třetiny (na 285 tis.).</w:t>
      </w:r>
    </w:p>
  </w:footnote>
  <w:footnote w:id="98">
    <w:p w14:paraId="2B730D91" w14:textId="77777777" w:rsidR="00F204DA" w:rsidRDefault="00F204DA" w:rsidP="00F204DA">
      <w:pPr>
        <w:pStyle w:val="Textpoznpodarou"/>
        <w:rPr>
          <w:spacing w:val="-4"/>
          <w:sz w:val="16"/>
          <w:szCs w:val="16"/>
        </w:rPr>
      </w:pPr>
      <w:r>
        <w:rPr>
          <w:rStyle w:val="Znakapoznpodarou"/>
          <w:spacing w:val="-4"/>
          <w:sz w:val="16"/>
          <w:szCs w:val="16"/>
        </w:rPr>
        <w:footnoteRef/>
      </w:r>
      <w:r>
        <w:rPr>
          <w:spacing w:val="-4"/>
          <w:sz w:val="16"/>
          <w:szCs w:val="16"/>
        </w:rPr>
        <w:t xml:space="preserve"> Čisté výdaje odpovídají saldu rozpočtové kapitoly Státní dluh (č. 396). </w:t>
      </w:r>
      <w:r>
        <w:rPr>
          <w:color w:val="0D0D0D" w:themeColor="text1" w:themeTint="F2"/>
          <w:spacing w:val="-4"/>
          <w:sz w:val="16"/>
          <w:szCs w:val="16"/>
        </w:rPr>
        <w:t xml:space="preserve">Zásadní vliv na růst výdajů zde měly výplaty protiinflačních státních dluhopisů občanům, dílčí roli pak rostoucí úrokové sazby u dalších instrumentů dluhového financování a celkový trend růstu zadlužení z předchozích let. </w:t>
      </w:r>
    </w:p>
  </w:footnote>
  <w:footnote w:id="99">
    <w:p w14:paraId="77DC2DD1" w14:textId="77777777" w:rsidR="00F204DA" w:rsidRDefault="00F204DA" w:rsidP="00F204DA">
      <w:pPr>
        <w:pStyle w:val="Textpoznpodarou"/>
        <w:rPr>
          <w:spacing w:val="-2"/>
        </w:rPr>
      </w:pPr>
      <w:r>
        <w:rPr>
          <w:rStyle w:val="Znakapoznpodarou"/>
          <w:spacing w:val="-2"/>
          <w:sz w:val="16"/>
          <w:szCs w:val="16"/>
        </w:rPr>
        <w:footnoteRef/>
      </w:r>
      <w:r>
        <w:rPr>
          <w:spacing w:val="-2"/>
          <w:sz w:val="16"/>
          <w:szCs w:val="16"/>
        </w:rPr>
        <w:t xml:space="preserve"> V 1. čtvrtletí 2024 byly prodány státní dluhopisy v celkové jmenovité hodnotě 78,7 mld. korun s průměrnou zbytkovou dobou do splatnosti 11,2 roku. To je o 2,7 roku více než ve stejném období v předchozím roce a o 2,1 roku více než za celý rok 2023.</w:t>
      </w:r>
    </w:p>
  </w:footnote>
  <w:footnote w:id="100">
    <w:p w14:paraId="54D6A954" w14:textId="77777777" w:rsidR="00F204DA" w:rsidRDefault="00F204DA" w:rsidP="00F204DA">
      <w:pPr>
        <w:pStyle w:val="Textpoznpodarou"/>
        <w:rPr>
          <w:spacing w:val="-4"/>
          <w:sz w:val="16"/>
          <w:szCs w:val="16"/>
        </w:rPr>
      </w:pPr>
      <w:r>
        <w:rPr>
          <w:rStyle w:val="Znakapoznpodarou"/>
          <w:spacing w:val="-4"/>
          <w:sz w:val="16"/>
          <w:szCs w:val="16"/>
        </w:rPr>
        <w:footnoteRef/>
      </w:r>
      <w:r>
        <w:rPr>
          <w:spacing w:val="-4"/>
          <w:sz w:val="16"/>
          <w:szCs w:val="16"/>
        </w:rPr>
        <w:t xml:space="preserve"> Údaje o hospodaření sektoru vládních institucí v ČR za 1. čtvrtletí 2024 zveřejní ČSÚ 2. července 2024, Eurostat za členské státy Unie následovně 22. července. Detailnější zhodnocení tuzemského vývoje za 4. čtvrtletí 2023 je obsaženo v publikaci </w:t>
      </w:r>
      <w:hyperlink r:id="rId3" w:history="1">
        <w:r>
          <w:rPr>
            <w:rStyle w:val="Hypertextovodkaz"/>
            <w:i/>
            <w:spacing w:val="-4"/>
            <w:sz w:val="16"/>
            <w:szCs w:val="16"/>
          </w:rPr>
          <w:t>Analýza sektorových účtů</w:t>
        </w:r>
      </w:hyperlink>
    </w:p>
  </w:footnote>
  <w:footnote w:id="101">
    <w:p w14:paraId="4A2AE5D7" w14:textId="77777777" w:rsidR="00F204DA" w:rsidRDefault="00F204DA" w:rsidP="00F204DA">
      <w:pPr>
        <w:pStyle w:val="Textpoznpodarou"/>
        <w:rPr>
          <w:spacing w:val="-4"/>
          <w:sz w:val="16"/>
          <w:szCs w:val="16"/>
        </w:rPr>
      </w:pPr>
      <w:r>
        <w:rPr>
          <w:rStyle w:val="Znakapoznpodarou"/>
          <w:spacing w:val="-4"/>
          <w:sz w:val="16"/>
          <w:szCs w:val="16"/>
        </w:rPr>
        <w:footnoteRef/>
      </w:r>
      <w:r>
        <w:rPr>
          <w:spacing w:val="-4"/>
          <w:sz w:val="16"/>
          <w:szCs w:val="16"/>
        </w:rPr>
        <w:t xml:space="preserve"> Není-li uvedeno jinak, jsou údaje o hospodaření sektoru VI v ČR vyjádřeny bez sezónního očištění.</w:t>
      </w:r>
    </w:p>
  </w:footnote>
  <w:footnote w:id="102">
    <w:p w14:paraId="6AC03947"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HDP se zde loni reálně zvýšil jen o 0,4 %, což bylo nejméně za poslední tři roky. V největší ekonomice Unie – Německu – se dokonce výkon ekonomiky o 0,2 % snížil.</w:t>
      </w:r>
    </w:p>
  </w:footnote>
  <w:footnote w:id="103">
    <w:p w14:paraId="6B624044" w14:textId="77777777" w:rsidR="00F204DA" w:rsidRDefault="00F204DA" w:rsidP="00F204DA">
      <w:pPr>
        <w:pStyle w:val="Textpoznpodarou"/>
        <w:rPr>
          <w:sz w:val="16"/>
          <w:szCs w:val="16"/>
        </w:rPr>
      </w:pPr>
      <w:r>
        <w:rPr>
          <w:rStyle w:val="Znakapoznpodarou"/>
          <w:sz w:val="16"/>
          <w:szCs w:val="16"/>
        </w:rPr>
        <w:footnoteRef/>
      </w:r>
      <w:r>
        <w:rPr>
          <w:sz w:val="16"/>
          <w:szCs w:val="16"/>
        </w:rPr>
        <w:t xml:space="preserve"> Bez Itálie, Řecka a Kypru, za něž nebyly k dispozici údaje o saldu hospodaření po sezónním očištění.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A1CA9" w14:paraId="3D57519A" w14:textId="77777777" w:rsidTr="7059F910">
      <w:trPr>
        <w:trHeight w:val="300"/>
      </w:trPr>
      <w:tc>
        <w:tcPr>
          <w:tcW w:w="3210" w:type="dxa"/>
        </w:tcPr>
        <w:p w14:paraId="7811EB53" w14:textId="4DDFCD4B" w:rsidR="00FA1CA9" w:rsidRDefault="00FA1CA9" w:rsidP="7059F910">
          <w:pPr>
            <w:pStyle w:val="Zhlav"/>
            <w:ind w:left="-115"/>
          </w:pPr>
        </w:p>
      </w:tc>
      <w:tc>
        <w:tcPr>
          <w:tcW w:w="3210" w:type="dxa"/>
        </w:tcPr>
        <w:p w14:paraId="5B18E2FB" w14:textId="699852E7" w:rsidR="00FA1CA9" w:rsidRDefault="00FA1CA9" w:rsidP="7059F910">
          <w:pPr>
            <w:pStyle w:val="Zhlav"/>
            <w:jc w:val="center"/>
          </w:pPr>
        </w:p>
      </w:tc>
      <w:tc>
        <w:tcPr>
          <w:tcW w:w="3210" w:type="dxa"/>
        </w:tcPr>
        <w:p w14:paraId="1759E02E" w14:textId="10B800EB" w:rsidR="00FA1CA9" w:rsidRDefault="00FA1CA9" w:rsidP="7059F910">
          <w:pPr>
            <w:pStyle w:val="Zhlav"/>
            <w:ind w:right="-115"/>
            <w:jc w:val="right"/>
          </w:pPr>
        </w:p>
      </w:tc>
    </w:tr>
  </w:tbl>
  <w:p w14:paraId="757EF678" w14:textId="58C73B80" w:rsidR="00FA1CA9" w:rsidRDefault="00FA1CA9" w:rsidP="7059F9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FA1CA9" w14:paraId="0DBEFC73" w14:textId="77777777" w:rsidTr="7059F910">
      <w:trPr>
        <w:trHeight w:val="300"/>
      </w:trPr>
      <w:tc>
        <w:tcPr>
          <w:tcW w:w="3210" w:type="dxa"/>
        </w:tcPr>
        <w:p w14:paraId="2A6581A2" w14:textId="561A369A" w:rsidR="00FA1CA9" w:rsidRDefault="00FA1CA9" w:rsidP="7059F910">
          <w:pPr>
            <w:pStyle w:val="Zhlav"/>
            <w:ind w:left="-115"/>
          </w:pPr>
        </w:p>
      </w:tc>
      <w:tc>
        <w:tcPr>
          <w:tcW w:w="3210" w:type="dxa"/>
        </w:tcPr>
        <w:p w14:paraId="3D3E0A0E" w14:textId="2B32CF54" w:rsidR="00FA1CA9" w:rsidRDefault="00FA1CA9" w:rsidP="7059F910">
          <w:pPr>
            <w:pStyle w:val="Zhlav"/>
            <w:jc w:val="center"/>
          </w:pPr>
        </w:p>
      </w:tc>
      <w:tc>
        <w:tcPr>
          <w:tcW w:w="3210" w:type="dxa"/>
        </w:tcPr>
        <w:p w14:paraId="64BF241E" w14:textId="61DF3F23" w:rsidR="00FA1CA9" w:rsidRDefault="00FA1CA9" w:rsidP="7059F910">
          <w:pPr>
            <w:pStyle w:val="Zhlav"/>
            <w:ind w:right="-115"/>
            <w:jc w:val="right"/>
          </w:pPr>
        </w:p>
      </w:tc>
    </w:tr>
  </w:tbl>
  <w:p w14:paraId="7626C104" w14:textId="012EE53B" w:rsidR="00FA1CA9" w:rsidRDefault="00FA1CA9" w:rsidP="7059F9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FA1CA9" w:rsidRDefault="00FA1CA9" w:rsidP="00937AE2">
    <w:pPr>
      <w:pStyle w:val="Zhlav"/>
    </w:pPr>
    <w:r>
      <w:t>Vývoj ekonomiky České republiky</w:t>
    </w:r>
  </w:p>
  <w:p w14:paraId="3E881AB3" w14:textId="77777777" w:rsidR="00FA1CA9" w:rsidRPr="006F5416" w:rsidRDefault="00FA1CA9" w:rsidP="00937AE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FA1CA9" w:rsidRDefault="00FA1CA9" w:rsidP="00937AE2">
    <w:pPr>
      <w:pStyle w:val="Zhlav"/>
    </w:pPr>
    <w:r>
      <w:t>Vývoj ekonomiky České republiky</w:t>
    </w:r>
  </w:p>
  <w:p w14:paraId="57266714" w14:textId="77777777" w:rsidR="00FA1CA9" w:rsidRPr="006F5416" w:rsidRDefault="00FA1CA9"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8193">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994"/>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107"/>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2B5"/>
    <w:rsid w:val="00026389"/>
    <w:rsid w:val="0002669F"/>
    <w:rsid w:val="000279E5"/>
    <w:rsid w:val="000305E0"/>
    <w:rsid w:val="00031AE0"/>
    <w:rsid w:val="00031BB2"/>
    <w:rsid w:val="000322EF"/>
    <w:rsid w:val="00032C3C"/>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2CA"/>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363"/>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4ED"/>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90F"/>
    <w:rsid w:val="00093241"/>
    <w:rsid w:val="00093868"/>
    <w:rsid w:val="00094A84"/>
    <w:rsid w:val="00095025"/>
    <w:rsid w:val="00095135"/>
    <w:rsid w:val="00095152"/>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2BC"/>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2FC"/>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D7C6F"/>
    <w:rsid w:val="000E04FD"/>
    <w:rsid w:val="000E0E96"/>
    <w:rsid w:val="000E298B"/>
    <w:rsid w:val="000E2C7D"/>
    <w:rsid w:val="000E3E56"/>
    <w:rsid w:val="000E440D"/>
    <w:rsid w:val="000E4AC5"/>
    <w:rsid w:val="000E6253"/>
    <w:rsid w:val="000E6AC4"/>
    <w:rsid w:val="000E6E4D"/>
    <w:rsid w:val="000E6FBD"/>
    <w:rsid w:val="000E6FCB"/>
    <w:rsid w:val="000F0848"/>
    <w:rsid w:val="000F090B"/>
    <w:rsid w:val="000F0E42"/>
    <w:rsid w:val="000F15F7"/>
    <w:rsid w:val="000F1AA2"/>
    <w:rsid w:val="000F378E"/>
    <w:rsid w:val="000F3F3B"/>
    <w:rsid w:val="000F4721"/>
    <w:rsid w:val="000F47E8"/>
    <w:rsid w:val="000F70E4"/>
    <w:rsid w:val="000F76EA"/>
    <w:rsid w:val="00100A8B"/>
    <w:rsid w:val="00100F5C"/>
    <w:rsid w:val="00101B15"/>
    <w:rsid w:val="00101CDA"/>
    <w:rsid w:val="00102037"/>
    <w:rsid w:val="001021B1"/>
    <w:rsid w:val="00103DCB"/>
    <w:rsid w:val="00104C4C"/>
    <w:rsid w:val="00105015"/>
    <w:rsid w:val="001055D2"/>
    <w:rsid w:val="001057C2"/>
    <w:rsid w:val="00106BCC"/>
    <w:rsid w:val="00107124"/>
    <w:rsid w:val="0011038E"/>
    <w:rsid w:val="0011055D"/>
    <w:rsid w:val="00111573"/>
    <w:rsid w:val="00112370"/>
    <w:rsid w:val="0011239B"/>
    <w:rsid w:val="001125EF"/>
    <w:rsid w:val="00112CAB"/>
    <w:rsid w:val="0011440C"/>
    <w:rsid w:val="00114C33"/>
    <w:rsid w:val="00114D5B"/>
    <w:rsid w:val="00116D3F"/>
    <w:rsid w:val="00117474"/>
    <w:rsid w:val="00117623"/>
    <w:rsid w:val="00117FEA"/>
    <w:rsid w:val="001200CF"/>
    <w:rsid w:val="001208E3"/>
    <w:rsid w:val="001211F9"/>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5376"/>
    <w:rsid w:val="00136A6F"/>
    <w:rsid w:val="00136C1A"/>
    <w:rsid w:val="00137812"/>
    <w:rsid w:val="00137F06"/>
    <w:rsid w:val="001405FA"/>
    <w:rsid w:val="00140D1A"/>
    <w:rsid w:val="00141184"/>
    <w:rsid w:val="00141315"/>
    <w:rsid w:val="0014152B"/>
    <w:rsid w:val="00141AA0"/>
    <w:rsid w:val="001425C3"/>
    <w:rsid w:val="0014262D"/>
    <w:rsid w:val="00142B29"/>
    <w:rsid w:val="00143EED"/>
    <w:rsid w:val="00144108"/>
    <w:rsid w:val="00144588"/>
    <w:rsid w:val="001447DD"/>
    <w:rsid w:val="00145358"/>
    <w:rsid w:val="001459BC"/>
    <w:rsid w:val="0014779E"/>
    <w:rsid w:val="00147B13"/>
    <w:rsid w:val="00150ECA"/>
    <w:rsid w:val="0015108F"/>
    <w:rsid w:val="00151707"/>
    <w:rsid w:val="00152C86"/>
    <w:rsid w:val="00152EBC"/>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3868"/>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4ED1"/>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23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64B"/>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3CD"/>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3855"/>
    <w:rsid w:val="001C4B8F"/>
    <w:rsid w:val="001C4BB8"/>
    <w:rsid w:val="001C4D8C"/>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6B3F"/>
    <w:rsid w:val="001D7EFD"/>
    <w:rsid w:val="001D7F60"/>
    <w:rsid w:val="001E085B"/>
    <w:rsid w:val="001E149B"/>
    <w:rsid w:val="001E15CB"/>
    <w:rsid w:val="001E1AF1"/>
    <w:rsid w:val="001E3306"/>
    <w:rsid w:val="001E504C"/>
    <w:rsid w:val="001E56AC"/>
    <w:rsid w:val="001E5A17"/>
    <w:rsid w:val="001E6441"/>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1D"/>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3F48"/>
    <w:rsid w:val="00254FC3"/>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20A"/>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0ED"/>
    <w:rsid w:val="002A3209"/>
    <w:rsid w:val="002A34B5"/>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B75C0"/>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0B6"/>
    <w:rsid w:val="002E3638"/>
    <w:rsid w:val="002E37D1"/>
    <w:rsid w:val="002E3BEE"/>
    <w:rsid w:val="002E4DCE"/>
    <w:rsid w:val="002E4E4C"/>
    <w:rsid w:val="002E4EA7"/>
    <w:rsid w:val="002E5846"/>
    <w:rsid w:val="002E631B"/>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0D42"/>
    <w:rsid w:val="00301294"/>
    <w:rsid w:val="003017EC"/>
    <w:rsid w:val="00302165"/>
    <w:rsid w:val="00303BB4"/>
    <w:rsid w:val="00304771"/>
    <w:rsid w:val="00304F9C"/>
    <w:rsid w:val="003052D4"/>
    <w:rsid w:val="00305863"/>
    <w:rsid w:val="003060D6"/>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A8B"/>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BCB"/>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375E0"/>
    <w:rsid w:val="00340BE6"/>
    <w:rsid w:val="00340BF3"/>
    <w:rsid w:val="00341C6C"/>
    <w:rsid w:val="00341D26"/>
    <w:rsid w:val="00341F05"/>
    <w:rsid w:val="0034335E"/>
    <w:rsid w:val="00344668"/>
    <w:rsid w:val="00344940"/>
    <w:rsid w:val="0034506D"/>
    <w:rsid w:val="00346234"/>
    <w:rsid w:val="003462D9"/>
    <w:rsid w:val="0034723F"/>
    <w:rsid w:val="00347247"/>
    <w:rsid w:val="003474B6"/>
    <w:rsid w:val="00347DD4"/>
    <w:rsid w:val="00352B43"/>
    <w:rsid w:val="00352C28"/>
    <w:rsid w:val="003541BB"/>
    <w:rsid w:val="00354502"/>
    <w:rsid w:val="00354F89"/>
    <w:rsid w:val="0035506D"/>
    <w:rsid w:val="003579A1"/>
    <w:rsid w:val="0036077F"/>
    <w:rsid w:val="00360A35"/>
    <w:rsid w:val="00360C86"/>
    <w:rsid w:val="00360F7A"/>
    <w:rsid w:val="00360FBC"/>
    <w:rsid w:val="00361537"/>
    <w:rsid w:val="00361B2D"/>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32DB"/>
    <w:rsid w:val="003A45E3"/>
    <w:rsid w:val="003A46B8"/>
    <w:rsid w:val="003A478C"/>
    <w:rsid w:val="003A4A38"/>
    <w:rsid w:val="003A5295"/>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5EBF"/>
    <w:rsid w:val="003D6920"/>
    <w:rsid w:val="003D6982"/>
    <w:rsid w:val="003E0249"/>
    <w:rsid w:val="003E08A4"/>
    <w:rsid w:val="003E105C"/>
    <w:rsid w:val="003E1EF8"/>
    <w:rsid w:val="003E2DFB"/>
    <w:rsid w:val="003E4466"/>
    <w:rsid w:val="003E4C91"/>
    <w:rsid w:val="003E52D8"/>
    <w:rsid w:val="003E62F1"/>
    <w:rsid w:val="003E6ED5"/>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0F40"/>
    <w:rsid w:val="00421179"/>
    <w:rsid w:val="004225D7"/>
    <w:rsid w:val="00422EE6"/>
    <w:rsid w:val="00423623"/>
    <w:rsid w:val="0042470E"/>
    <w:rsid w:val="0042507B"/>
    <w:rsid w:val="00425352"/>
    <w:rsid w:val="00426C99"/>
    <w:rsid w:val="004272BE"/>
    <w:rsid w:val="00430C96"/>
    <w:rsid w:val="0043174F"/>
    <w:rsid w:val="00431BFF"/>
    <w:rsid w:val="00432199"/>
    <w:rsid w:val="00432A58"/>
    <w:rsid w:val="00432FC7"/>
    <w:rsid w:val="004331C3"/>
    <w:rsid w:val="00433C17"/>
    <w:rsid w:val="00434617"/>
    <w:rsid w:val="00434DE9"/>
    <w:rsid w:val="00435051"/>
    <w:rsid w:val="00435C69"/>
    <w:rsid w:val="004360FB"/>
    <w:rsid w:val="00437CED"/>
    <w:rsid w:val="004407BF"/>
    <w:rsid w:val="00440900"/>
    <w:rsid w:val="00440D2A"/>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6AEE"/>
    <w:rsid w:val="0047735C"/>
    <w:rsid w:val="004776BC"/>
    <w:rsid w:val="00477820"/>
    <w:rsid w:val="00477B96"/>
    <w:rsid w:val="00480802"/>
    <w:rsid w:val="00480BAE"/>
    <w:rsid w:val="00480D7F"/>
    <w:rsid w:val="0048139F"/>
    <w:rsid w:val="00481E40"/>
    <w:rsid w:val="00482405"/>
    <w:rsid w:val="004826A7"/>
    <w:rsid w:val="004828DA"/>
    <w:rsid w:val="0048368C"/>
    <w:rsid w:val="0048372F"/>
    <w:rsid w:val="0048399F"/>
    <w:rsid w:val="00483A0C"/>
    <w:rsid w:val="004841CC"/>
    <w:rsid w:val="00484ECE"/>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389"/>
    <w:rsid w:val="004A0498"/>
    <w:rsid w:val="004A06B0"/>
    <w:rsid w:val="004A0D0E"/>
    <w:rsid w:val="004A14E4"/>
    <w:rsid w:val="004A204E"/>
    <w:rsid w:val="004A26A5"/>
    <w:rsid w:val="004A27F0"/>
    <w:rsid w:val="004A3212"/>
    <w:rsid w:val="004A37CD"/>
    <w:rsid w:val="004A3BE4"/>
    <w:rsid w:val="004A40D9"/>
    <w:rsid w:val="004A49A5"/>
    <w:rsid w:val="004A4F8A"/>
    <w:rsid w:val="004A52AB"/>
    <w:rsid w:val="004A5494"/>
    <w:rsid w:val="004A5D4E"/>
    <w:rsid w:val="004A61C5"/>
    <w:rsid w:val="004A62A0"/>
    <w:rsid w:val="004A77DF"/>
    <w:rsid w:val="004A7DC0"/>
    <w:rsid w:val="004B1417"/>
    <w:rsid w:val="004B1627"/>
    <w:rsid w:val="004B305C"/>
    <w:rsid w:val="004B31B8"/>
    <w:rsid w:val="004B339A"/>
    <w:rsid w:val="004B4C83"/>
    <w:rsid w:val="004B55B7"/>
    <w:rsid w:val="004B591D"/>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CE4"/>
    <w:rsid w:val="004C3DB0"/>
    <w:rsid w:val="004C439A"/>
    <w:rsid w:val="004C4720"/>
    <w:rsid w:val="004C4CD0"/>
    <w:rsid w:val="004C5060"/>
    <w:rsid w:val="004C5165"/>
    <w:rsid w:val="004C589C"/>
    <w:rsid w:val="004C5AE8"/>
    <w:rsid w:val="004C6E0E"/>
    <w:rsid w:val="004C70DC"/>
    <w:rsid w:val="004D0211"/>
    <w:rsid w:val="004D0794"/>
    <w:rsid w:val="004D17A6"/>
    <w:rsid w:val="004D2D31"/>
    <w:rsid w:val="004D2E03"/>
    <w:rsid w:val="004D3296"/>
    <w:rsid w:val="004D4056"/>
    <w:rsid w:val="004D4CB0"/>
    <w:rsid w:val="004D5B0F"/>
    <w:rsid w:val="004D7626"/>
    <w:rsid w:val="004E085C"/>
    <w:rsid w:val="004E12DF"/>
    <w:rsid w:val="004E186A"/>
    <w:rsid w:val="004E1A40"/>
    <w:rsid w:val="004E1DB2"/>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01B"/>
    <w:rsid w:val="004F6484"/>
    <w:rsid w:val="004F6539"/>
    <w:rsid w:val="004F6E12"/>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32B"/>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5F3"/>
    <w:rsid w:val="00560C41"/>
    <w:rsid w:val="00560C68"/>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2A12"/>
    <w:rsid w:val="00583BDD"/>
    <w:rsid w:val="00583E52"/>
    <w:rsid w:val="00583FFD"/>
    <w:rsid w:val="00584252"/>
    <w:rsid w:val="005848DD"/>
    <w:rsid w:val="0058519A"/>
    <w:rsid w:val="005856BD"/>
    <w:rsid w:val="00585983"/>
    <w:rsid w:val="00586BCA"/>
    <w:rsid w:val="00587038"/>
    <w:rsid w:val="00587319"/>
    <w:rsid w:val="00590608"/>
    <w:rsid w:val="00590B28"/>
    <w:rsid w:val="005911BE"/>
    <w:rsid w:val="00591273"/>
    <w:rsid w:val="00591E9E"/>
    <w:rsid w:val="005927A4"/>
    <w:rsid w:val="00593152"/>
    <w:rsid w:val="00593389"/>
    <w:rsid w:val="00593FE6"/>
    <w:rsid w:val="005956A3"/>
    <w:rsid w:val="00595958"/>
    <w:rsid w:val="00595CAB"/>
    <w:rsid w:val="0059622E"/>
    <w:rsid w:val="0059684D"/>
    <w:rsid w:val="00597671"/>
    <w:rsid w:val="00597BBF"/>
    <w:rsid w:val="005A040C"/>
    <w:rsid w:val="005A0463"/>
    <w:rsid w:val="005A05DF"/>
    <w:rsid w:val="005A0948"/>
    <w:rsid w:val="005A0A03"/>
    <w:rsid w:val="005A10F2"/>
    <w:rsid w:val="005A16C0"/>
    <w:rsid w:val="005A2156"/>
    <w:rsid w:val="005A21E0"/>
    <w:rsid w:val="005A2401"/>
    <w:rsid w:val="005A28FF"/>
    <w:rsid w:val="005A2C09"/>
    <w:rsid w:val="005A3778"/>
    <w:rsid w:val="005A37B0"/>
    <w:rsid w:val="005A3DF8"/>
    <w:rsid w:val="005A5549"/>
    <w:rsid w:val="005A566A"/>
    <w:rsid w:val="005A56E0"/>
    <w:rsid w:val="005A70CA"/>
    <w:rsid w:val="005A7ABD"/>
    <w:rsid w:val="005A7CF8"/>
    <w:rsid w:val="005B0EDA"/>
    <w:rsid w:val="005B121D"/>
    <w:rsid w:val="005B1705"/>
    <w:rsid w:val="005B26B0"/>
    <w:rsid w:val="005B41C9"/>
    <w:rsid w:val="005B44E6"/>
    <w:rsid w:val="005B4853"/>
    <w:rsid w:val="005B591B"/>
    <w:rsid w:val="005B6CA1"/>
    <w:rsid w:val="005B770C"/>
    <w:rsid w:val="005C06ED"/>
    <w:rsid w:val="005C0CE1"/>
    <w:rsid w:val="005C11B8"/>
    <w:rsid w:val="005C1345"/>
    <w:rsid w:val="005C1B24"/>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5B60"/>
    <w:rsid w:val="005D66E6"/>
    <w:rsid w:val="005D7119"/>
    <w:rsid w:val="005D76C8"/>
    <w:rsid w:val="005D7890"/>
    <w:rsid w:val="005D7AAF"/>
    <w:rsid w:val="005E19C1"/>
    <w:rsid w:val="005E2194"/>
    <w:rsid w:val="005E24F0"/>
    <w:rsid w:val="005E3113"/>
    <w:rsid w:val="005E36FE"/>
    <w:rsid w:val="005E3F66"/>
    <w:rsid w:val="005E490F"/>
    <w:rsid w:val="005E4BC9"/>
    <w:rsid w:val="005E5314"/>
    <w:rsid w:val="005E53DC"/>
    <w:rsid w:val="005E764D"/>
    <w:rsid w:val="005E772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5F7B79"/>
    <w:rsid w:val="0060120D"/>
    <w:rsid w:val="006017C1"/>
    <w:rsid w:val="00601ADE"/>
    <w:rsid w:val="00601EEF"/>
    <w:rsid w:val="0060255A"/>
    <w:rsid w:val="00602998"/>
    <w:rsid w:val="00602EB3"/>
    <w:rsid w:val="00604307"/>
    <w:rsid w:val="0060487F"/>
    <w:rsid w:val="00604EAD"/>
    <w:rsid w:val="0060513F"/>
    <w:rsid w:val="006065E2"/>
    <w:rsid w:val="0060694B"/>
    <w:rsid w:val="00607E1D"/>
    <w:rsid w:val="006104FB"/>
    <w:rsid w:val="006116FF"/>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415E"/>
    <w:rsid w:val="00625A84"/>
    <w:rsid w:val="00626079"/>
    <w:rsid w:val="00626B8F"/>
    <w:rsid w:val="006275B5"/>
    <w:rsid w:val="00631698"/>
    <w:rsid w:val="00631E44"/>
    <w:rsid w:val="00634C57"/>
    <w:rsid w:val="00634CE7"/>
    <w:rsid w:val="006350D5"/>
    <w:rsid w:val="00635EBE"/>
    <w:rsid w:val="0063642C"/>
    <w:rsid w:val="006376B3"/>
    <w:rsid w:val="00637858"/>
    <w:rsid w:val="006404A7"/>
    <w:rsid w:val="00640A38"/>
    <w:rsid w:val="00640E6B"/>
    <w:rsid w:val="00641787"/>
    <w:rsid w:val="0064179B"/>
    <w:rsid w:val="00642338"/>
    <w:rsid w:val="00642489"/>
    <w:rsid w:val="00644055"/>
    <w:rsid w:val="00644137"/>
    <w:rsid w:val="0064478C"/>
    <w:rsid w:val="00644938"/>
    <w:rsid w:val="00645160"/>
    <w:rsid w:val="006451E4"/>
    <w:rsid w:val="0064574B"/>
    <w:rsid w:val="00645B33"/>
    <w:rsid w:val="00650FFC"/>
    <w:rsid w:val="0065153D"/>
    <w:rsid w:val="006516CB"/>
    <w:rsid w:val="00652444"/>
    <w:rsid w:val="00652E30"/>
    <w:rsid w:val="00653BD0"/>
    <w:rsid w:val="00654110"/>
    <w:rsid w:val="00656C5D"/>
    <w:rsid w:val="00656CFB"/>
    <w:rsid w:val="00656D25"/>
    <w:rsid w:val="00657E87"/>
    <w:rsid w:val="00660D2D"/>
    <w:rsid w:val="0066110B"/>
    <w:rsid w:val="00661C41"/>
    <w:rsid w:val="00661EC9"/>
    <w:rsid w:val="00662469"/>
    <w:rsid w:val="0066411C"/>
    <w:rsid w:val="00664205"/>
    <w:rsid w:val="00664647"/>
    <w:rsid w:val="00664803"/>
    <w:rsid w:val="0066502F"/>
    <w:rsid w:val="006653CC"/>
    <w:rsid w:val="00665501"/>
    <w:rsid w:val="00665982"/>
    <w:rsid w:val="00665BA4"/>
    <w:rsid w:val="00666BF3"/>
    <w:rsid w:val="00667748"/>
    <w:rsid w:val="00667856"/>
    <w:rsid w:val="00667AF2"/>
    <w:rsid w:val="00670489"/>
    <w:rsid w:val="006710C9"/>
    <w:rsid w:val="00671D85"/>
    <w:rsid w:val="00672586"/>
    <w:rsid w:val="006727BC"/>
    <w:rsid w:val="006741CD"/>
    <w:rsid w:val="006745DF"/>
    <w:rsid w:val="00674BAC"/>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9F8"/>
    <w:rsid w:val="00684B9B"/>
    <w:rsid w:val="00684D59"/>
    <w:rsid w:val="00684E25"/>
    <w:rsid w:val="006858A4"/>
    <w:rsid w:val="00685C08"/>
    <w:rsid w:val="00685C8C"/>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2153"/>
    <w:rsid w:val="006A3CAF"/>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5D3"/>
    <w:rsid w:val="006D18B3"/>
    <w:rsid w:val="006D1E89"/>
    <w:rsid w:val="006D26CE"/>
    <w:rsid w:val="006D317E"/>
    <w:rsid w:val="006D3E8A"/>
    <w:rsid w:val="006D47D9"/>
    <w:rsid w:val="006D61F6"/>
    <w:rsid w:val="006E1081"/>
    <w:rsid w:val="006E1332"/>
    <w:rsid w:val="006E19CB"/>
    <w:rsid w:val="006E279A"/>
    <w:rsid w:val="006E313B"/>
    <w:rsid w:val="006E32A5"/>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18A4"/>
    <w:rsid w:val="0070398A"/>
    <w:rsid w:val="00705242"/>
    <w:rsid w:val="007055E0"/>
    <w:rsid w:val="007056ED"/>
    <w:rsid w:val="00705F4E"/>
    <w:rsid w:val="0070658E"/>
    <w:rsid w:val="007065C5"/>
    <w:rsid w:val="007068E1"/>
    <w:rsid w:val="00706AA0"/>
    <w:rsid w:val="00706AD4"/>
    <w:rsid w:val="00707150"/>
    <w:rsid w:val="00711A82"/>
    <w:rsid w:val="007124D7"/>
    <w:rsid w:val="00712C20"/>
    <w:rsid w:val="00713549"/>
    <w:rsid w:val="007140BE"/>
    <w:rsid w:val="007147AB"/>
    <w:rsid w:val="00715502"/>
    <w:rsid w:val="00715D01"/>
    <w:rsid w:val="00715E4D"/>
    <w:rsid w:val="00715F12"/>
    <w:rsid w:val="00716508"/>
    <w:rsid w:val="0071677A"/>
    <w:rsid w:val="00716F48"/>
    <w:rsid w:val="007170FB"/>
    <w:rsid w:val="00717114"/>
    <w:rsid w:val="0071779F"/>
    <w:rsid w:val="007201A6"/>
    <w:rsid w:val="00720310"/>
    <w:rsid w:val="00720D7A"/>
    <w:rsid w:val="007211F5"/>
    <w:rsid w:val="007213C3"/>
    <w:rsid w:val="00721601"/>
    <w:rsid w:val="00722777"/>
    <w:rsid w:val="0072294F"/>
    <w:rsid w:val="00723435"/>
    <w:rsid w:val="00723436"/>
    <w:rsid w:val="007240E2"/>
    <w:rsid w:val="0072454C"/>
    <w:rsid w:val="0072583E"/>
    <w:rsid w:val="00725BB5"/>
    <w:rsid w:val="00727C02"/>
    <w:rsid w:val="0073008E"/>
    <w:rsid w:val="00730A8B"/>
    <w:rsid w:val="00730AE8"/>
    <w:rsid w:val="00730F1B"/>
    <w:rsid w:val="0073186D"/>
    <w:rsid w:val="007324A6"/>
    <w:rsid w:val="0073261D"/>
    <w:rsid w:val="0073333D"/>
    <w:rsid w:val="007343D9"/>
    <w:rsid w:val="00734F71"/>
    <w:rsid w:val="00735448"/>
    <w:rsid w:val="00736F07"/>
    <w:rsid w:val="007377BD"/>
    <w:rsid w:val="00737DEC"/>
    <w:rsid w:val="0074004D"/>
    <w:rsid w:val="00741493"/>
    <w:rsid w:val="00741F2A"/>
    <w:rsid w:val="007434E5"/>
    <w:rsid w:val="00743884"/>
    <w:rsid w:val="0074499B"/>
    <w:rsid w:val="007449D6"/>
    <w:rsid w:val="0074501E"/>
    <w:rsid w:val="007450BF"/>
    <w:rsid w:val="0074599A"/>
    <w:rsid w:val="00746EE5"/>
    <w:rsid w:val="00746F45"/>
    <w:rsid w:val="007471A1"/>
    <w:rsid w:val="007477BD"/>
    <w:rsid w:val="007477DA"/>
    <w:rsid w:val="00747EE9"/>
    <w:rsid w:val="007520B6"/>
    <w:rsid w:val="00752180"/>
    <w:rsid w:val="00752323"/>
    <w:rsid w:val="007532B7"/>
    <w:rsid w:val="00753CAB"/>
    <w:rsid w:val="00754A70"/>
    <w:rsid w:val="00754BC9"/>
    <w:rsid w:val="00754FB0"/>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A88"/>
    <w:rsid w:val="00763B23"/>
    <w:rsid w:val="00763B85"/>
    <w:rsid w:val="007644A2"/>
    <w:rsid w:val="00764974"/>
    <w:rsid w:val="00764D18"/>
    <w:rsid w:val="0076521E"/>
    <w:rsid w:val="0076579C"/>
    <w:rsid w:val="00765928"/>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BF0"/>
    <w:rsid w:val="00780EF1"/>
    <w:rsid w:val="00781A91"/>
    <w:rsid w:val="00781AD3"/>
    <w:rsid w:val="00781F36"/>
    <w:rsid w:val="00783576"/>
    <w:rsid w:val="00783810"/>
    <w:rsid w:val="00784980"/>
    <w:rsid w:val="007853FD"/>
    <w:rsid w:val="00785778"/>
    <w:rsid w:val="00786C87"/>
    <w:rsid w:val="0078755E"/>
    <w:rsid w:val="007877C9"/>
    <w:rsid w:val="00790764"/>
    <w:rsid w:val="0079085F"/>
    <w:rsid w:val="00790E96"/>
    <w:rsid w:val="00791005"/>
    <w:rsid w:val="00793D78"/>
    <w:rsid w:val="0079420B"/>
    <w:rsid w:val="0079453C"/>
    <w:rsid w:val="00794677"/>
    <w:rsid w:val="00795759"/>
    <w:rsid w:val="007A0B5E"/>
    <w:rsid w:val="007A170B"/>
    <w:rsid w:val="007A20EB"/>
    <w:rsid w:val="007A282C"/>
    <w:rsid w:val="007A293C"/>
    <w:rsid w:val="007A2A3A"/>
    <w:rsid w:val="007A33E2"/>
    <w:rsid w:val="007A3CAF"/>
    <w:rsid w:val="007A4551"/>
    <w:rsid w:val="007A4664"/>
    <w:rsid w:val="007A4782"/>
    <w:rsid w:val="007A516D"/>
    <w:rsid w:val="007A5E65"/>
    <w:rsid w:val="007A65E1"/>
    <w:rsid w:val="007A6A6E"/>
    <w:rsid w:val="007A6AAA"/>
    <w:rsid w:val="007A7033"/>
    <w:rsid w:val="007A775D"/>
    <w:rsid w:val="007B04B0"/>
    <w:rsid w:val="007B0834"/>
    <w:rsid w:val="007B0E83"/>
    <w:rsid w:val="007B11FA"/>
    <w:rsid w:val="007B1396"/>
    <w:rsid w:val="007B16D6"/>
    <w:rsid w:val="007B1D1B"/>
    <w:rsid w:val="007B1E3F"/>
    <w:rsid w:val="007B2011"/>
    <w:rsid w:val="007B2CFE"/>
    <w:rsid w:val="007B309B"/>
    <w:rsid w:val="007B3457"/>
    <w:rsid w:val="007B37AB"/>
    <w:rsid w:val="007B3D5E"/>
    <w:rsid w:val="007B3DCB"/>
    <w:rsid w:val="007B54AE"/>
    <w:rsid w:val="007B5725"/>
    <w:rsid w:val="007B5C1F"/>
    <w:rsid w:val="007B6689"/>
    <w:rsid w:val="007B6747"/>
    <w:rsid w:val="007B6F72"/>
    <w:rsid w:val="007B74AA"/>
    <w:rsid w:val="007C10BD"/>
    <w:rsid w:val="007C162D"/>
    <w:rsid w:val="007C1A03"/>
    <w:rsid w:val="007C1F0C"/>
    <w:rsid w:val="007C1FFB"/>
    <w:rsid w:val="007C2D94"/>
    <w:rsid w:val="007C3842"/>
    <w:rsid w:val="007C4A6B"/>
    <w:rsid w:val="007C5F92"/>
    <w:rsid w:val="007C6227"/>
    <w:rsid w:val="007C64F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D7F4F"/>
    <w:rsid w:val="007E0535"/>
    <w:rsid w:val="007E07F2"/>
    <w:rsid w:val="007E0D4A"/>
    <w:rsid w:val="007E1788"/>
    <w:rsid w:val="007E1EE3"/>
    <w:rsid w:val="007E29B4"/>
    <w:rsid w:val="007E2F12"/>
    <w:rsid w:val="007E3627"/>
    <w:rsid w:val="007E435A"/>
    <w:rsid w:val="007E445C"/>
    <w:rsid w:val="007E49F7"/>
    <w:rsid w:val="007E4C70"/>
    <w:rsid w:val="007E5149"/>
    <w:rsid w:val="007E5B5F"/>
    <w:rsid w:val="007E69C6"/>
    <w:rsid w:val="007E78B6"/>
    <w:rsid w:val="007E7E61"/>
    <w:rsid w:val="007F0845"/>
    <w:rsid w:val="007F0873"/>
    <w:rsid w:val="007F20F3"/>
    <w:rsid w:val="007F2353"/>
    <w:rsid w:val="007F2390"/>
    <w:rsid w:val="007F2CAC"/>
    <w:rsid w:val="007F3CB6"/>
    <w:rsid w:val="007F4740"/>
    <w:rsid w:val="007F595A"/>
    <w:rsid w:val="007F5C38"/>
    <w:rsid w:val="007F708D"/>
    <w:rsid w:val="007F7E3F"/>
    <w:rsid w:val="008006B3"/>
    <w:rsid w:val="00800B63"/>
    <w:rsid w:val="0080158A"/>
    <w:rsid w:val="00801E13"/>
    <w:rsid w:val="00803008"/>
    <w:rsid w:val="00803069"/>
    <w:rsid w:val="0080346B"/>
    <w:rsid w:val="00803E08"/>
    <w:rsid w:val="00804155"/>
    <w:rsid w:val="00804C9F"/>
    <w:rsid w:val="0080559E"/>
    <w:rsid w:val="00805AF3"/>
    <w:rsid w:val="00806C9C"/>
    <w:rsid w:val="008071B1"/>
    <w:rsid w:val="0080734C"/>
    <w:rsid w:val="00807C82"/>
    <w:rsid w:val="008107EE"/>
    <w:rsid w:val="008117CC"/>
    <w:rsid w:val="00811FF8"/>
    <w:rsid w:val="0081249F"/>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007"/>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3CE"/>
    <w:rsid w:val="0083471A"/>
    <w:rsid w:val="00834FAA"/>
    <w:rsid w:val="00835495"/>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AA1"/>
    <w:rsid w:val="00856D65"/>
    <w:rsid w:val="00856FA4"/>
    <w:rsid w:val="00860D79"/>
    <w:rsid w:val="0086150F"/>
    <w:rsid w:val="00861B41"/>
    <w:rsid w:val="00861B9F"/>
    <w:rsid w:val="00861BE3"/>
    <w:rsid w:val="00861EB6"/>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2C"/>
    <w:rsid w:val="008772BC"/>
    <w:rsid w:val="00880A0E"/>
    <w:rsid w:val="008817FE"/>
    <w:rsid w:val="00881CD7"/>
    <w:rsid w:val="00882911"/>
    <w:rsid w:val="00882F6E"/>
    <w:rsid w:val="00883202"/>
    <w:rsid w:val="00884E02"/>
    <w:rsid w:val="0088502B"/>
    <w:rsid w:val="00885D40"/>
    <w:rsid w:val="008873D4"/>
    <w:rsid w:val="008902A5"/>
    <w:rsid w:val="00890CB1"/>
    <w:rsid w:val="00891EDF"/>
    <w:rsid w:val="00892872"/>
    <w:rsid w:val="0089296D"/>
    <w:rsid w:val="00893E85"/>
    <w:rsid w:val="00893EBE"/>
    <w:rsid w:val="00894031"/>
    <w:rsid w:val="00894C5D"/>
    <w:rsid w:val="00895508"/>
    <w:rsid w:val="00895797"/>
    <w:rsid w:val="008967E9"/>
    <w:rsid w:val="00896A5C"/>
    <w:rsid w:val="00897155"/>
    <w:rsid w:val="008972D2"/>
    <w:rsid w:val="0089754C"/>
    <w:rsid w:val="00897CFA"/>
    <w:rsid w:val="008A0659"/>
    <w:rsid w:val="008A0ADD"/>
    <w:rsid w:val="008A0D27"/>
    <w:rsid w:val="008A1C59"/>
    <w:rsid w:val="008A2254"/>
    <w:rsid w:val="008A37E2"/>
    <w:rsid w:val="008A388E"/>
    <w:rsid w:val="008A394E"/>
    <w:rsid w:val="008A3CBA"/>
    <w:rsid w:val="008A4B59"/>
    <w:rsid w:val="008A63E1"/>
    <w:rsid w:val="008A66B7"/>
    <w:rsid w:val="008A68BB"/>
    <w:rsid w:val="008A6AA5"/>
    <w:rsid w:val="008A7127"/>
    <w:rsid w:val="008A7E04"/>
    <w:rsid w:val="008B02E7"/>
    <w:rsid w:val="008B0CBA"/>
    <w:rsid w:val="008B1850"/>
    <w:rsid w:val="008B2639"/>
    <w:rsid w:val="008B3537"/>
    <w:rsid w:val="008B35C1"/>
    <w:rsid w:val="008B3690"/>
    <w:rsid w:val="008B3A80"/>
    <w:rsid w:val="008B3AEC"/>
    <w:rsid w:val="008B3C07"/>
    <w:rsid w:val="008B3C6E"/>
    <w:rsid w:val="008B3F7B"/>
    <w:rsid w:val="008B43CA"/>
    <w:rsid w:val="008B5324"/>
    <w:rsid w:val="008B5C99"/>
    <w:rsid w:val="008B6106"/>
    <w:rsid w:val="008B7C02"/>
    <w:rsid w:val="008B7D2B"/>
    <w:rsid w:val="008B7EF9"/>
    <w:rsid w:val="008C0049"/>
    <w:rsid w:val="008C025A"/>
    <w:rsid w:val="008C0314"/>
    <w:rsid w:val="008C0E88"/>
    <w:rsid w:val="008C0EBE"/>
    <w:rsid w:val="008C1717"/>
    <w:rsid w:val="008C17F0"/>
    <w:rsid w:val="008C3A32"/>
    <w:rsid w:val="008C3B05"/>
    <w:rsid w:val="008C4B50"/>
    <w:rsid w:val="008C5A37"/>
    <w:rsid w:val="008C7569"/>
    <w:rsid w:val="008C79C3"/>
    <w:rsid w:val="008D006F"/>
    <w:rsid w:val="008D033D"/>
    <w:rsid w:val="008D06A2"/>
    <w:rsid w:val="008D0DBD"/>
    <w:rsid w:val="008D117E"/>
    <w:rsid w:val="008D127E"/>
    <w:rsid w:val="008D1CA8"/>
    <w:rsid w:val="008D1E0A"/>
    <w:rsid w:val="008D1E6A"/>
    <w:rsid w:val="008D2407"/>
    <w:rsid w:val="008D2A16"/>
    <w:rsid w:val="008D2AEC"/>
    <w:rsid w:val="008D3295"/>
    <w:rsid w:val="008D33F5"/>
    <w:rsid w:val="008D35E4"/>
    <w:rsid w:val="008D3ACD"/>
    <w:rsid w:val="008D3D21"/>
    <w:rsid w:val="008D6C3A"/>
    <w:rsid w:val="008D70E2"/>
    <w:rsid w:val="008D7F47"/>
    <w:rsid w:val="008E0001"/>
    <w:rsid w:val="008E039E"/>
    <w:rsid w:val="008E292B"/>
    <w:rsid w:val="008E2C57"/>
    <w:rsid w:val="008E31FF"/>
    <w:rsid w:val="008E3287"/>
    <w:rsid w:val="008E38E4"/>
    <w:rsid w:val="008E3DFA"/>
    <w:rsid w:val="008E419B"/>
    <w:rsid w:val="008E51EB"/>
    <w:rsid w:val="008E5746"/>
    <w:rsid w:val="008E64D7"/>
    <w:rsid w:val="008E6DCB"/>
    <w:rsid w:val="008E6E5D"/>
    <w:rsid w:val="008E6F06"/>
    <w:rsid w:val="008E7000"/>
    <w:rsid w:val="008E723E"/>
    <w:rsid w:val="008E7B8E"/>
    <w:rsid w:val="008E7FC9"/>
    <w:rsid w:val="008F0107"/>
    <w:rsid w:val="008F029B"/>
    <w:rsid w:val="008F0589"/>
    <w:rsid w:val="008F130B"/>
    <w:rsid w:val="008F2A5D"/>
    <w:rsid w:val="008F2BC7"/>
    <w:rsid w:val="008F2E83"/>
    <w:rsid w:val="008F3636"/>
    <w:rsid w:val="008F3FC9"/>
    <w:rsid w:val="008F418F"/>
    <w:rsid w:val="008F509F"/>
    <w:rsid w:val="008F525A"/>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B2B"/>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0FA"/>
    <w:rsid w:val="0093648B"/>
    <w:rsid w:val="00937017"/>
    <w:rsid w:val="009373B2"/>
    <w:rsid w:val="00937AE2"/>
    <w:rsid w:val="0094061F"/>
    <w:rsid w:val="00940F0F"/>
    <w:rsid w:val="00941912"/>
    <w:rsid w:val="0094416B"/>
    <w:rsid w:val="0094427A"/>
    <w:rsid w:val="009449C6"/>
    <w:rsid w:val="00944C7C"/>
    <w:rsid w:val="00945245"/>
    <w:rsid w:val="00945523"/>
    <w:rsid w:val="00945636"/>
    <w:rsid w:val="00946C43"/>
    <w:rsid w:val="00946FE0"/>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6B8B"/>
    <w:rsid w:val="00957140"/>
    <w:rsid w:val="00957445"/>
    <w:rsid w:val="0095759C"/>
    <w:rsid w:val="009617EB"/>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CE5"/>
    <w:rsid w:val="00984D1B"/>
    <w:rsid w:val="00986246"/>
    <w:rsid w:val="00987A30"/>
    <w:rsid w:val="00990312"/>
    <w:rsid w:val="009908AF"/>
    <w:rsid w:val="0099182E"/>
    <w:rsid w:val="00991D45"/>
    <w:rsid w:val="00992B49"/>
    <w:rsid w:val="00992BB3"/>
    <w:rsid w:val="00992CF3"/>
    <w:rsid w:val="00993194"/>
    <w:rsid w:val="0099321E"/>
    <w:rsid w:val="00993ECA"/>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7C8"/>
    <w:rsid w:val="009B0CAF"/>
    <w:rsid w:val="009B1324"/>
    <w:rsid w:val="009B2558"/>
    <w:rsid w:val="009B284F"/>
    <w:rsid w:val="009B3742"/>
    <w:rsid w:val="009B3764"/>
    <w:rsid w:val="009B3840"/>
    <w:rsid w:val="009B52AC"/>
    <w:rsid w:val="009B553D"/>
    <w:rsid w:val="009B59EA"/>
    <w:rsid w:val="009B5B6E"/>
    <w:rsid w:val="009B66CE"/>
    <w:rsid w:val="009B6FD3"/>
    <w:rsid w:val="009B72BE"/>
    <w:rsid w:val="009B78A4"/>
    <w:rsid w:val="009B7DB2"/>
    <w:rsid w:val="009C03DB"/>
    <w:rsid w:val="009C15AF"/>
    <w:rsid w:val="009C1750"/>
    <w:rsid w:val="009C2E29"/>
    <w:rsid w:val="009C3E8F"/>
    <w:rsid w:val="009C554B"/>
    <w:rsid w:val="009C5E83"/>
    <w:rsid w:val="009C66F8"/>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D78C3"/>
    <w:rsid w:val="009E1120"/>
    <w:rsid w:val="009E1393"/>
    <w:rsid w:val="009E1922"/>
    <w:rsid w:val="009E1A3D"/>
    <w:rsid w:val="009E4715"/>
    <w:rsid w:val="009E4A58"/>
    <w:rsid w:val="009E5273"/>
    <w:rsid w:val="009E57A8"/>
    <w:rsid w:val="009E5B85"/>
    <w:rsid w:val="009E5BF4"/>
    <w:rsid w:val="009E5DDB"/>
    <w:rsid w:val="009F032E"/>
    <w:rsid w:val="009F1CA6"/>
    <w:rsid w:val="009F2921"/>
    <w:rsid w:val="009F2D61"/>
    <w:rsid w:val="009F3063"/>
    <w:rsid w:val="009F42CF"/>
    <w:rsid w:val="009F4982"/>
    <w:rsid w:val="009F4CA7"/>
    <w:rsid w:val="009F4F6A"/>
    <w:rsid w:val="009F55BA"/>
    <w:rsid w:val="009F7D36"/>
    <w:rsid w:val="009F7D61"/>
    <w:rsid w:val="00A00470"/>
    <w:rsid w:val="00A00E71"/>
    <w:rsid w:val="00A016B3"/>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5FC3"/>
    <w:rsid w:val="00A2628E"/>
    <w:rsid w:val="00A266BF"/>
    <w:rsid w:val="00A26777"/>
    <w:rsid w:val="00A269AB"/>
    <w:rsid w:val="00A2731E"/>
    <w:rsid w:val="00A309AC"/>
    <w:rsid w:val="00A30EA4"/>
    <w:rsid w:val="00A30F65"/>
    <w:rsid w:val="00A315D0"/>
    <w:rsid w:val="00A3279E"/>
    <w:rsid w:val="00A32A91"/>
    <w:rsid w:val="00A33DB1"/>
    <w:rsid w:val="00A33EEB"/>
    <w:rsid w:val="00A351C8"/>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1A9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09AD"/>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1EAD"/>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49E1"/>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22A"/>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27EC6"/>
    <w:rsid w:val="00B3108D"/>
    <w:rsid w:val="00B32DDB"/>
    <w:rsid w:val="00B32F57"/>
    <w:rsid w:val="00B3345C"/>
    <w:rsid w:val="00B343C4"/>
    <w:rsid w:val="00B34528"/>
    <w:rsid w:val="00B34750"/>
    <w:rsid w:val="00B34CC9"/>
    <w:rsid w:val="00B34CDA"/>
    <w:rsid w:val="00B35160"/>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45A"/>
    <w:rsid w:val="00B64C24"/>
    <w:rsid w:val="00B64E72"/>
    <w:rsid w:val="00B65CEF"/>
    <w:rsid w:val="00B6608F"/>
    <w:rsid w:val="00B674C7"/>
    <w:rsid w:val="00B67749"/>
    <w:rsid w:val="00B679FB"/>
    <w:rsid w:val="00B71FBF"/>
    <w:rsid w:val="00B734A0"/>
    <w:rsid w:val="00B73A14"/>
    <w:rsid w:val="00B73FE8"/>
    <w:rsid w:val="00B748BD"/>
    <w:rsid w:val="00B74964"/>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07A"/>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3A"/>
    <w:rsid w:val="00B97FE2"/>
    <w:rsid w:val="00BA0E0B"/>
    <w:rsid w:val="00BA201A"/>
    <w:rsid w:val="00BA21DF"/>
    <w:rsid w:val="00BA361D"/>
    <w:rsid w:val="00BA3787"/>
    <w:rsid w:val="00BA403A"/>
    <w:rsid w:val="00BA46E8"/>
    <w:rsid w:val="00BA49DB"/>
    <w:rsid w:val="00BA4AE9"/>
    <w:rsid w:val="00BA4E19"/>
    <w:rsid w:val="00BA5125"/>
    <w:rsid w:val="00BA6436"/>
    <w:rsid w:val="00BA64F2"/>
    <w:rsid w:val="00BA684E"/>
    <w:rsid w:val="00BA6C2B"/>
    <w:rsid w:val="00BA7B64"/>
    <w:rsid w:val="00BB02A3"/>
    <w:rsid w:val="00BB0351"/>
    <w:rsid w:val="00BB15C3"/>
    <w:rsid w:val="00BB1AF4"/>
    <w:rsid w:val="00BB2202"/>
    <w:rsid w:val="00BB286B"/>
    <w:rsid w:val="00BB3C6B"/>
    <w:rsid w:val="00BB3FD6"/>
    <w:rsid w:val="00BB453F"/>
    <w:rsid w:val="00BB46F3"/>
    <w:rsid w:val="00BB4A71"/>
    <w:rsid w:val="00BB4CB1"/>
    <w:rsid w:val="00BB4E47"/>
    <w:rsid w:val="00BB4F98"/>
    <w:rsid w:val="00BB50C0"/>
    <w:rsid w:val="00BB5AB2"/>
    <w:rsid w:val="00BB5ABF"/>
    <w:rsid w:val="00BB5F94"/>
    <w:rsid w:val="00BB6EA2"/>
    <w:rsid w:val="00BB7142"/>
    <w:rsid w:val="00BB76F3"/>
    <w:rsid w:val="00BB7B5B"/>
    <w:rsid w:val="00BB7EB1"/>
    <w:rsid w:val="00BC003F"/>
    <w:rsid w:val="00BC06AA"/>
    <w:rsid w:val="00BC0930"/>
    <w:rsid w:val="00BC223A"/>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55EF"/>
    <w:rsid w:val="00BE652B"/>
    <w:rsid w:val="00BE7F5F"/>
    <w:rsid w:val="00BF02C8"/>
    <w:rsid w:val="00BF1578"/>
    <w:rsid w:val="00BF15CA"/>
    <w:rsid w:val="00BF1D12"/>
    <w:rsid w:val="00BF1D3A"/>
    <w:rsid w:val="00BF2B5B"/>
    <w:rsid w:val="00BF2D41"/>
    <w:rsid w:val="00BF3274"/>
    <w:rsid w:val="00BF32DC"/>
    <w:rsid w:val="00BF35C9"/>
    <w:rsid w:val="00BF40A9"/>
    <w:rsid w:val="00BF4329"/>
    <w:rsid w:val="00BF4E43"/>
    <w:rsid w:val="00BF5C4C"/>
    <w:rsid w:val="00BF765C"/>
    <w:rsid w:val="00BF77FC"/>
    <w:rsid w:val="00C006D6"/>
    <w:rsid w:val="00C00BD7"/>
    <w:rsid w:val="00C01410"/>
    <w:rsid w:val="00C024BB"/>
    <w:rsid w:val="00C02D23"/>
    <w:rsid w:val="00C03D4D"/>
    <w:rsid w:val="00C044F4"/>
    <w:rsid w:val="00C04B78"/>
    <w:rsid w:val="00C052AA"/>
    <w:rsid w:val="00C06EE3"/>
    <w:rsid w:val="00C07279"/>
    <w:rsid w:val="00C07749"/>
    <w:rsid w:val="00C07C2F"/>
    <w:rsid w:val="00C07C67"/>
    <w:rsid w:val="00C10805"/>
    <w:rsid w:val="00C11244"/>
    <w:rsid w:val="00C118A9"/>
    <w:rsid w:val="00C11D48"/>
    <w:rsid w:val="00C12304"/>
    <w:rsid w:val="00C12316"/>
    <w:rsid w:val="00C1246C"/>
    <w:rsid w:val="00C1493E"/>
    <w:rsid w:val="00C15537"/>
    <w:rsid w:val="00C15DBD"/>
    <w:rsid w:val="00C161C5"/>
    <w:rsid w:val="00C172F7"/>
    <w:rsid w:val="00C2010D"/>
    <w:rsid w:val="00C20CB5"/>
    <w:rsid w:val="00C21430"/>
    <w:rsid w:val="00C216DF"/>
    <w:rsid w:val="00C21E61"/>
    <w:rsid w:val="00C21F94"/>
    <w:rsid w:val="00C223E8"/>
    <w:rsid w:val="00C224BD"/>
    <w:rsid w:val="00C2272B"/>
    <w:rsid w:val="00C234DB"/>
    <w:rsid w:val="00C23C5C"/>
    <w:rsid w:val="00C2479A"/>
    <w:rsid w:val="00C24903"/>
    <w:rsid w:val="00C2590D"/>
    <w:rsid w:val="00C25D9C"/>
    <w:rsid w:val="00C26086"/>
    <w:rsid w:val="00C27913"/>
    <w:rsid w:val="00C27FA7"/>
    <w:rsid w:val="00C300E2"/>
    <w:rsid w:val="00C31F21"/>
    <w:rsid w:val="00C32631"/>
    <w:rsid w:val="00C33301"/>
    <w:rsid w:val="00C33311"/>
    <w:rsid w:val="00C33B68"/>
    <w:rsid w:val="00C34AD4"/>
    <w:rsid w:val="00C35570"/>
    <w:rsid w:val="00C3579B"/>
    <w:rsid w:val="00C35A2A"/>
    <w:rsid w:val="00C36A79"/>
    <w:rsid w:val="00C401A9"/>
    <w:rsid w:val="00C401D2"/>
    <w:rsid w:val="00C4031A"/>
    <w:rsid w:val="00C405D4"/>
    <w:rsid w:val="00C419D5"/>
    <w:rsid w:val="00C41D54"/>
    <w:rsid w:val="00C42EBB"/>
    <w:rsid w:val="00C435E8"/>
    <w:rsid w:val="00C4513B"/>
    <w:rsid w:val="00C475E8"/>
    <w:rsid w:val="00C50E79"/>
    <w:rsid w:val="00C5197D"/>
    <w:rsid w:val="00C525FB"/>
    <w:rsid w:val="00C527AD"/>
    <w:rsid w:val="00C5390B"/>
    <w:rsid w:val="00C540D3"/>
    <w:rsid w:val="00C54257"/>
    <w:rsid w:val="00C54697"/>
    <w:rsid w:val="00C550CE"/>
    <w:rsid w:val="00C553A5"/>
    <w:rsid w:val="00C55402"/>
    <w:rsid w:val="00C5603B"/>
    <w:rsid w:val="00C6020C"/>
    <w:rsid w:val="00C60AE3"/>
    <w:rsid w:val="00C61F47"/>
    <w:rsid w:val="00C62828"/>
    <w:rsid w:val="00C63132"/>
    <w:rsid w:val="00C655DA"/>
    <w:rsid w:val="00C672C1"/>
    <w:rsid w:val="00C706D2"/>
    <w:rsid w:val="00C715CC"/>
    <w:rsid w:val="00C719A3"/>
    <w:rsid w:val="00C71D2F"/>
    <w:rsid w:val="00C72984"/>
    <w:rsid w:val="00C72BC7"/>
    <w:rsid w:val="00C73885"/>
    <w:rsid w:val="00C73C93"/>
    <w:rsid w:val="00C7435A"/>
    <w:rsid w:val="00C747B1"/>
    <w:rsid w:val="00C75510"/>
    <w:rsid w:val="00C755F9"/>
    <w:rsid w:val="00C75752"/>
    <w:rsid w:val="00C75B60"/>
    <w:rsid w:val="00C761EC"/>
    <w:rsid w:val="00C770C9"/>
    <w:rsid w:val="00C773D8"/>
    <w:rsid w:val="00C8019E"/>
    <w:rsid w:val="00C81070"/>
    <w:rsid w:val="00C8174E"/>
    <w:rsid w:val="00C82191"/>
    <w:rsid w:val="00C83134"/>
    <w:rsid w:val="00C831E7"/>
    <w:rsid w:val="00C832F3"/>
    <w:rsid w:val="00C84307"/>
    <w:rsid w:val="00C845A4"/>
    <w:rsid w:val="00C8504C"/>
    <w:rsid w:val="00C85545"/>
    <w:rsid w:val="00C855B5"/>
    <w:rsid w:val="00C85F0E"/>
    <w:rsid w:val="00C867F9"/>
    <w:rsid w:val="00C872AA"/>
    <w:rsid w:val="00C87C6B"/>
    <w:rsid w:val="00C90357"/>
    <w:rsid w:val="00C90CF4"/>
    <w:rsid w:val="00C91C20"/>
    <w:rsid w:val="00C922DE"/>
    <w:rsid w:val="00C92843"/>
    <w:rsid w:val="00C929FE"/>
    <w:rsid w:val="00C92EB6"/>
    <w:rsid w:val="00C93389"/>
    <w:rsid w:val="00C948E6"/>
    <w:rsid w:val="00C94CDD"/>
    <w:rsid w:val="00C95123"/>
    <w:rsid w:val="00C97588"/>
    <w:rsid w:val="00CA0346"/>
    <w:rsid w:val="00CA0649"/>
    <w:rsid w:val="00CA0BD5"/>
    <w:rsid w:val="00CA0DA1"/>
    <w:rsid w:val="00CA1BD6"/>
    <w:rsid w:val="00CA2D95"/>
    <w:rsid w:val="00CA37FF"/>
    <w:rsid w:val="00CA423A"/>
    <w:rsid w:val="00CA47BC"/>
    <w:rsid w:val="00CA5EAD"/>
    <w:rsid w:val="00CA6AB4"/>
    <w:rsid w:val="00CA7255"/>
    <w:rsid w:val="00CA79E2"/>
    <w:rsid w:val="00CA7E12"/>
    <w:rsid w:val="00CB111E"/>
    <w:rsid w:val="00CB18B2"/>
    <w:rsid w:val="00CB1BEE"/>
    <w:rsid w:val="00CB2351"/>
    <w:rsid w:val="00CB2BF7"/>
    <w:rsid w:val="00CB3605"/>
    <w:rsid w:val="00CB3ECE"/>
    <w:rsid w:val="00CB4022"/>
    <w:rsid w:val="00CB4257"/>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5EE0"/>
    <w:rsid w:val="00CD6331"/>
    <w:rsid w:val="00CD7E9E"/>
    <w:rsid w:val="00CE12FB"/>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0E03"/>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842"/>
    <w:rsid w:val="00D03A72"/>
    <w:rsid w:val="00D040DD"/>
    <w:rsid w:val="00D04134"/>
    <w:rsid w:val="00D05C65"/>
    <w:rsid w:val="00D06B56"/>
    <w:rsid w:val="00D06D68"/>
    <w:rsid w:val="00D075BE"/>
    <w:rsid w:val="00D07AFF"/>
    <w:rsid w:val="00D07CC2"/>
    <w:rsid w:val="00D10C15"/>
    <w:rsid w:val="00D11011"/>
    <w:rsid w:val="00D11476"/>
    <w:rsid w:val="00D12C25"/>
    <w:rsid w:val="00D133B4"/>
    <w:rsid w:val="00D13986"/>
    <w:rsid w:val="00D13F3E"/>
    <w:rsid w:val="00D14C5B"/>
    <w:rsid w:val="00D15D3A"/>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133"/>
    <w:rsid w:val="00D269B9"/>
    <w:rsid w:val="00D26E6B"/>
    <w:rsid w:val="00D27973"/>
    <w:rsid w:val="00D27F07"/>
    <w:rsid w:val="00D27F3A"/>
    <w:rsid w:val="00D31537"/>
    <w:rsid w:val="00D31E1E"/>
    <w:rsid w:val="00D322A0"/>
    <w:rsid w:val="00D32824"/>
    <w:rsid w:val="00D33297"/>
    <w:rsid w:val="00D334E2"/>
    <w:rsid w:val="00D335E5"/>
    <w:rsid w:val="00D350B1"/>
    <w:rsid w:val="00D35AD6"/>
    <w:rsid w:val="00D35BBB"/>
    <w:rsid w:val="00D35E1A"/>
    <w:rsid w:val="00D36B0A"/>
    <w:rsid w:val="00D36DFB"/>
    <w:rsid w:val="00D36E1C"/>
    <w:rsid w:val="00D373AF"/>
    <w:rsid w:val="00D40556"/>
    <w:rsid w:val="00D418E9"/>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DAE"/>
    <w:rsid w:val="00D60E3C"/>
    <w:rsid w:val="00D60FA7"/>
    <w:rsid w:val="00D61FAB"/>
    <w:rsid w:val="00D62C4E"/>
    <w:rsid w:val="00D63BE5"/>
    <w:rsid w:val="00D6475F"/>
    <w:rsid w:val="00D652EB"/>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2CD7"/>
    <w:rsid w:val="00D932B8"/>
    <w:rsid w:val="00D932F0"/>
    <w:rsid w:val="00D95302"/>
    <w:rsid w:val="00D95889"/>
    <w:rsid w:val="00D95C5D"/>
    <w:rsid w:val="00D95CBE"/>
    <w:rsid w:val="00D95E7F"/>
    <w:rsid w:val="00D96B03"/>
    <w:rsid w:val="00D97D00"/>
    <w:rsid w:val="00DA0121"/>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27CD"/>
    <w:rsid w:val="00DE2B97"/>
    <w:rsid w:val="00DE3231"/>
    <w:rsid w:val="00DE3E22"/>
    <w:rsid w:val="00DE3E5D"/>
    <w:rsid w:val="00DE450F"/>
    <w:rsid w:val="00DE4865"/>
    <w:rsid w:val="00DE5CA6"/>
    <w:rsid w:val="00DE5E55"/>
    <w:rsid w:val="00DE6209"/>
    <w:rsid w:val="00DE63AE"/>
    <w:rsid w:val="00DE7156"/>
    <w:rsid w:val="00DE7AC8"/>
    <w:rsid w:val="00DF0830"/>
    <w:rsid w:val="00DF1D57"/>
    <w:rsid w:val="00DF2C5D"/>
    <w:rsid w:val="00DF2CD3"/>
    <w:rsid w:val="00DF3643"/>
    <w:rsid w:val="00DF42FF"/>
    <w:rsid w:val="00DF4369"/>
    <w:rsid w:val="00DF4423"/>
    <w:rsid w:val="00DF4ADF"/>
    <w:rsid w:val="00DF57D6"/>
    <w:rsid w:val="00DF5D1E"/>
    <w:rsid w:val="00DF7489"/>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59C6"/>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C5D"/>
    <w:rsid w:val="00E47EBA"/>
    <w:rsid w:val="00E50156"/>
    <w:rsid w:val="00E504EB"/>
    <w:rsid w:val="00E5076C"/>
    <w:rsid w:val="00E50D2E"/>
    <w:rsid w:val="00E50D7D"/>
    <w:rsid w:val="00E51EF0"/>
    <w:rsid w:val="00E53470"/>
    <w:rsid w:val="00E5368D"/>
    <w:rsid w:val="00E539F6"/>
    <w:rsid w:val="00E54698"/>
    <w:rsid w:val="00E54BE9"/>
    <w:rsid w:val="00E54D22"/>
    <w:rsid w:val="00E54FB4"/>
    <w:rsid w:val="00E5539A"/>
    <w:rsid w:val="00E55791"/>
    <w:rsid w:val="00E55E1A"/>
    <w:rsid w:val="00E578A2"/>
    <w:rsid w:val="00E579ED"/>
    <w:rsid w:val="00E60043"/>
    <w:rsid w:val="00E61740"/>
    <w:rsid w:val="00E61EB5"/>
    <w:rsid w:val="00E6324D"/>
    <w:rsid w:val="00E647C1"/>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66E"/>
    <w:rsid w:val="00E75C94"/>
    <w:rsid w:val="00E76A08"/>
    <w:rsid w:val="00E76B9B"/>
    <w:rsid w:val="00E76E61"/>
    <w:rsid w:val="00E76EE4"/>
    <w:rsid w:val="00E77CC0"/>
    <w:rsid w:val="00E80B3D"/>
    <w:rsid w:val="00E80CA3"/>
    <w:rsid w:val="00E81AAA"/>
    <w:rsid w:val="00E82618"/>
    <w:rsid w:val="00E82A42"/>
    <w:rsid w:val="00E82AB6"/>
    <w:rsid w:val="00E84E09"/>
    <w:rsid w:val="00E87CE2"/>
    <w:rsid w:val="00E87D5B"/>
    <w:rsid w:val="00E90CA8"/>
    <w:rsid w:val="00E911C6"/>
    <w:rsid w:val="00E920DE"/>
    <w:rsid w:val="00E930A1"/>
    <w:rsid w:val="00E93820"/>
    <w:rsid w:val="00E93FD5"/>
    <w:rsid w:val="00E94A86"/>
    <w:rsid w:val="00E951AB"/>
    <w:rsid w:val="00E953F6"/>
    <w:rsid w:val="00E96143"/>
    <w:rsid w:val="00E96833"/>
    <w:rsid w:val="00E97506"/>
    <w:rsid w:val="00E97BB5"/>
    <w:rsid w:val="00E97D5B"/>
    <w:rsid w:val="00E97F14"/>
    <w:rsid w:val="00EA0B1A"/>
    <w:rsid w:val="00EA0C68"/>
    <w:rsid w:val="00EA0E39"/>
    <w:rsid w:val="00EA1D0E"/>
    <w:rsid w:val="00EA1EBB"/>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473"/>
    <w:rsid w:val="00EB6DA6"/>
    <w:rsid w:val="00EB6FAC"/>
    <w:rsid w:val="00EB7BAC"/>
    <w:rsid w:val="00EB7CC9"/>
    <w:rsid w:val="00EC03D7"/>
    <w:rsid w:val="00EC13A7"/>
    <w:rsid w:val="00EC189D"/>
    <w:rsid w:val="00EC2EB6"/>
    <w:rsid w:val="00EC434A"/>
    <w:rsid w:val="00EC4FFF"/>
    <w:rsid w:val="00EC5517"/>
    <w:rsid w:val="00EC6B23"/>
    <w:rsid w:val="00EC6E8C"/>
    <w:rsid w:val="00ED0962"/>
    <w:rsid w:val="00ED0EF0"/>
    <w:rsid w:val="00ED0F73"/>
    <w:rsid w:val="00ED12B9"/>
    <w:rsid w:val="00ED16B8"/>
    <w:rsid w:val="00ED1959"/>
    <w:rsid w:val="00ED1A00"/>
    <w:rsid w:val="00ED1DF0"/>
    <w:rsid w:val="00ED2386"/>
    <w:rsid w:val="00ED2525"/>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A09"/>
    <w:rsid w:val="00EE6E06"/>
    <w:rsid w:val="00EE7179"/>
    <w:rsid w:val="00EF0D90"/>
    <w:rsid w:val="00EF150D"/>
    <w:rsid w:val="00EF1967"/>
    <w:rsid w:val="00EF1F5A"/>
    <w:rsid w:val="00EF23B5"/>
    <w:rsid w:val="00EF326A"/>
    <w:rsid w:val="00EF3898"/>
    <w:rsid w:val="00EF47BF"/>
    <w:rsid w:val="00EF52F7"/>
    <w:rsid w:val="00EF54CF"/>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6002"/>
    <w:rsid w:val="00F067B8"/>
    <w:rsid w:val="00F0730A"/>
    <w:rsid w:val="00F073ED"/>
    <w:rsid w:val="00F07C4C"/>
    <w:rsid w:val="00F07E45"/>
    <w:rsid w:val="00F10F11"/>
    <w:rsid w:val="00F11159"/>
    <w:rsid w:val="00F1152E"/>
    <w:rsid w:val="00F115E4"/>
    <w:rsid w:val="00F11AC4"/>
    <w:rsid w:val="00F11FDC"/>
    <w:rsid w:val="00F120A5"/>
    <w:rsid w:val="00F12CFB"/>
    <w:rsid w:val="00F13E60"/>
    <w:rsid w:val="00F13FDB"/>
    <w:rsid w:val="00F15AAA"/>
    <w:rsid w:val="00F15BEF"/>
    <w:rsid w:val="00F1770C"/>
    <w:rsid w:val="00F17898"/>
    <w:rsid w:val="00F204BF"/>
    <w:rsid w:val="00F204DA"/>
    <w:rsid w:val="00F207C2"/>
    <w:rsid w:val="00F21337"/>
    <w:rsid w:val="00F219A1"/>
    <w:rsid w:val="00F23927"/>
    <w:rsid w:val="00F23E20"/>
    <w:rsid w:val="00F24407"/>
    <w:rsid w:val="00F249CE"/>
    <w:rsid w:val="00F24FAA"/>
    <w:rsid w:val="00F25040"/>
    <w:rsid w:val="00F269D7"/>
    <w:rsid w:val="00F26FB5"/>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2E7"/>
    <w:rsid w:val="00F44537"/>
    <w:rsid w:val="00F46185"/>
    <w:rsid w:val="00F46423"/>
    <w:rsid w:val="00F4696A"/>
    <w:rsid w:val="00F47067"/>
    <w:rsid w:val="00F47234"/>
    <w:rsid w:val="00F51ADD"/>
    <w:rsid w:val="00F525AB"/>
    <w:rsid w:val="00F525EB"/>
    <w:rsid w:val="00F52CB5"/>
    <w:rsid w:val="00F53378"/>
    <w:rsid w:val="00F53917"/>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54A"/>
    <w:rsid w:val="00F93688"/>
    <w:rsid w:val="00F939F3"/>
    <w:rsid w:val="00F93C6E"/>
    <w:rsid w:val="00F93F2C"/>
    <w:rsid w:val="00F947E9"/>
    <w:rsid w:val="00F962AD"/>
    <w:rsid w:val="00F9644E"/>
    <w:rsid w:val="00FA0105"/>
    <w:rsid w:val="00FA05A0"/>
    <w:rsid w:val="00FA0AEF"/>
    <w:rsid w:val="00FA17CC"/>
    <w:rsid w:val="00FA1CA9"/>
    <w:rsid w:val="00FA1CFE"/>
    <w:rsid w:val="00FA1EE7"/>
    <w:rsid w:val="00FA1F01"/>
    <w:rsid w:val="00FA26DF"/>
    <w:rsid w:val="00FA2C07"/>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1BA4"/>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372"/>
    <w:rsid w:val="00FD4916"/>
    <w:rsid w:val="00FD4D12"/>
    <w:rsid w:val="00FD4F73"/>
    <w:rsid w:val="00FD595E"/>
    <w:rsid w:val="00FD6667"/>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56A"/>
    <w:rsid w:val="00FF5B8C"/>
    <w:rsid w:val="00FF63E6"/>
    <w:rsid w:val="00FF72DC"/>
    <w:rsid w:val="00FF7B96"/>
    <w:rsid w:val="019CB78C"/>
    <w:rsid w:val="0241D284"/>
    <w:rsid w:val="04BD1937"/>
    <w:rsid w:val="0523CDF2"/>
    <w:rsid w:val="06B1A837"/>
    <w:rsid w:val="07FB41B9"/>
    <w:rsid w:val="08A648BF"/>
    <w:rsid w:val="08AB0269"/>
    <w:rsid w:val="0A844D4D"/>
    <w:rsid w:val="0BCD71E1"/>
    <w:rsid w:val="0EBE9DEC"/>
    <w:rsid w:val="0FBB85B6"/>
    <w:rsid w:val="12650F4E"/>
    <w:rsid w:val="1371242A"/>
    <w:rsid w:val="1394E51D"/>
    <w:rsid w:val="14DB2A87"/>
    <w:rsid w:val="15DD577B"/>
    <w:rsid w:val="16EC38E2"/>
    <w:rsid w:val="17178072"/>
    <w:rsid w:val="173F358F"/>
    <w:rsid w:val="17513AF8"/>
    <w:rsid w:val="1812CB49"/>
    <w:rsid w:val="1B53A8C8"/>
    <w:rsid w:val="1BEE6986"/>
    <w:rsid w:val="20D21749"/>
    <w:rsid w:val="2111A021"/>
    <w:rsid w:val="21BE069A"/>
    <w:rsid w:val="224238BC"/>
    <w:rsid w:val="224482AD"/>
    <w:rsid w:val="23E0530E"/>
    <w:rsid w:val="24FC0D77"/>
    <w:rsid w:val="2A0E9F3A"/>
    <w:rsid w:val="2A2A6298"/>
    <w:rsid w:val="2F72CB2D"/>
    <w:rsid w:val="3204B56C"/>
    <w:rsid w:val="36A6CB7D"/>
    <w:rsid w:val="37D604A5"/>
    <w:rsid w:val="38C72AFC"/>
    <w:rsid w:val="3A31F626"/>
    <w:rsid w:val="3AA0BED0"/>
    <w:rsid w:val="3C7646FC"/>
    <w:rsid w:val="3E4A9713"/>
    <w:rsid w:val="3E77F3B4"/>
    <w:rsid w:val="40C3BF09"/>
    <w:rsid w:val="4475CE70"/>
    <w:rsid w:val="47207A7B"/>
    <w:rsid w:val="48038D4B"/>
    <w:rsid w:val="49A859FB"/>
    <w:rsid w:val="49E8263C"/>
    <w:rsid w:val="4A567F3C"/>
    <w:rsid w:val="50A35788"/>
    <w:rsid w:val="52944939"/>
    <w:rsid w:val="53942896"/>
    <w:rsid w:val="5536E42E"/>
    <w:rsid w:val="55914544"/>
    <w:rsid w:val="581B14F9"/>
    <w:rsid w:val="58FD3BB8"/>
    <w:rsid w:val="5B145290"/>
    <w:rsid w:val="5CF587E8"/>
    <w:rsid w:val="5DD689BF"/>
    <w:rsid w:val="5E8D8646"/>
    <w:rsid w:val="60B2C930"/>
    <w:rsid w:val="64244C5C"/>
    <w:rsid w:val="64B5C10F"/>
    <w:rsid w:val="661E5011"/>
    <w:rsid w:val="67F8BB57"/>
    <w:rsid w:val="6AEA4E8B"/>
    <w:rsid w:val="6AEC8A78"/>
    <w:rsid w:val="6D951AA9"/>
    <w:rsid w:val="7059F910"/>
    <w:rsid w:val="74248E8F"/>
    <w:rsid w:val="74EA3077"/>
    <w:rsid w:val="754BB0AE"/>
    <w:rsid w:val="75B5B795"/>
    <w:rsid w:val="76D4E0D9"/>
    <w:rsid w:val="78058569"/>
    <w:rsid w:val="785B85D1"/>
    <w:rsid w:val="78E73CD1"/>
    <w:rsid w:val="78EC659F"/>
    <w:rsid w:val="7C941E33"/>
    <w:rsid w:val="7E2BC7B5"/>
    <w:rsid w:val="7F508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ecf4dd,#eaecee,#fcec0a,#fcecdb,#f1daf5"/>
    </o:shapedefaults>
    <o:shapelayout v:ext="edit">
      <o:idmap v:ext="edit" data="1"/>
    </o:shapelayout>
  </w:shapeDefaults>
  <w:decimalSymbol w:val=","/>
  <w:listSeparator w:val=";"/>
  <w14:docId w14:val="5D395025"/>
  <w15:docId w15:val="{56910147-D8D0-4759-AD79-65565E20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link w:val="OdstavecseseznamemChar"/>
    <w:uiPriority w:val="34"/>
    <w:qFormat/>
    <w:rsid w:val="006B0F92"/>
    <w:pPr>
      <w:ind w:left="720"/>
      <w:contextualSpacing/>
    </w:pPr>
  </w:style>
  <w:style w:type="paragraph" w:customStyle="1" w:styleId="Normalodrka">
    <w:name w:val="Normal odrážka"/>
    <w:qFormat/>
    <w:rsid w:val="006B0F92"/>
    <w:pPr>
      <w:numPr>
        <w:numId w:val="2"/>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Standardnpsmoodstavce"/>
    <w:rsid w:val="006A3CAF"/>
  </w:style>
  <w:style w:type="paragraph" w:customStyle="1" w:styleId="paragraph">
    <w:name w:val="paragraph"/>
    <w:basedOn w:val="Normln"/>
    <w:rsid w:val="006A3CAF"/>
    <w:pPr>
      <w:spacing w:before="100" w:beforeAutospacing="1" w:after="100" w:afterAutospacing="1" w:line="240" w:lineRule="auto"/>
      <w:jc w:val="left"/>
    </w:pPr>
    <w:rPr>
      <w:rFonts w:ascii="Times New Roman" w:hAnsi="Times New Roman"/>
      <w:sz w:val="24"/>
    </w:rPr>
  </w:style>
  <w:style w:type="character" w:customStyle="1" w:styleId="eop">
    <w:name w:val="eop"/>
    <w:basedOn w:val="Standardnpsmoodstavce"/>
    <w:rsid w:val="00784980"/>
  </w:style>
  <w:style w:type="character" w:customStyle="1" w:styleId="scxw9398236">
    <w:name w:val="scxw9398236"/>
    <w:basedOn w:val="Standardnpsmoodstavce"/>
    <w:rsid w:val="000D7C6F"/>
  </w:style>
  <w:style w:type="character" w:customStyle="1" w:styleId="superscript">
    <w:name w:val="superscript"/>
    <w:basedOn w:val="Standardnpsmoodstavce"/>
    <w:rsid w:val="000D7C6F"/>
  </w:style>
  <w:style w:type="character" w:customStyle="1" w:styleId="OdstavecseseznamemChar">
    <w:name w:val="Odstavec se seznamem Char"/>
    <w:basedOn w:val="Standardnpsmoodstavce"/>
    <w:link w:val="Odstavecseseznamem"/>
    <w:uiPriority w:val="34"/>
    <w:rsid w:val="00A51A9B"/>
    <w:rPr>
      <w:rFonts w:ascii="Arial" w:eastAsia="Times New Roman" w:hAnsi="Arial"/>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72790313">
      <w:bodyDiv w:val="1"/>
      <w:marLeft w:val="0"/>
      <w:marRight w:val="0"/>
      <w:marTop w:val="0"/>
      <w:marBottom w:val="0"/>
      <w:divBdr>
        <w:top w:val="none" w:sz="0" w:space="0" w:color="auto"/>
        <w:left w:val="none" w:sz="0" w:space="0" w:color="auto"/>
        <w:bottom w:val="none" w:sz="0" w:space="0" w:color="auto"/>
        <w:right w:val="none" w:sz="0" w:space="0" w:color="auto"/>
      </w:divBdr>
    </w:div>
    <w:div w:id="475994402">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768357224">
      <w:bodyDiv w:val="1"/>
      <w:marLeft w:val="0"/>
      <w:marRight w:val="0"/>
      <w:marTop w:val="0"/>
      <w:marBottom w:val="0"/>
      <w:divBdr>
        <w:top w:val="none" w:sz="0" w:space="0" w:color="auto"/>
        <w:left w:val="none" w:sz="0" w:space="0" w:color="auto"/>
        <w:bottom w:val="none" w:sz="0" w:space="0" w:color="auto"/>
        <w:right w:val="none" w:sz="0" w:space="0" w:color="auto"/>
      </w:divBdr>
      <w:divsChild>
        <w:div w:id="1344359446">
          <w:marLeft w:val="0"/>
          <w:marRight w:val="0"/>
          <w:marTop w:val="0"/>
          <w:marBottom w:val="0"/>
          <w:divBdr>
            <w:top w:val="none" w:sz="0" w:space="0" w:color="auto"/>
            <w:left w:val="none" w:sz="0" w:space="0" w:color="auto"/>
            <w:bottom w:val="none" w:sz="0" w:space="0" w:color="auto"/>
            <w:right w:val="none" w:sz="0" w:space="0" w:color="auto"/>
          </w:divBdr>
        </w:div>
        <w:div w:id="1716659461">
          <w:marLeft w:val="0"/>
          <w:marRight w:val="0"/>
          <w:marTop w:val="0"/>
          <w:marBottom w:val="0"/>
          <w:divBdr>
            <w:top w:val="none" w:sz="0" w:space="0" w:color="auto"/>
            <w:left w:val="none" w:sz="0" w:space="0" w:color="auto"/>
            <w:bottom w:val="none" w:sz="0" w:space="0" w:color="auto"/>
            <w:right w:val="none" w:sz="0" w:space="0" w:color="auto"/>
          </w:divBdr>
          <w:divsChild>
            <w:div w:id="908930234">
              <w:marLeft w:val="-75"/>
              <w:marRight w:val="0"/>
              <w:marTop w:val="30"/>
              <w:marBottom w:val="30"/>
              <w:divBdr>
                <w:top w:val="none" w:sz="0" w:space="0" w:color="auto"/>
                <w:left w:val="none" w:sz="0" w:space="0" w:color="auto"/>
                <w:bottom w:val="none" w:sz="0" w:space="0" w:color="auto"/>
                <w:right w:val="none" w:sz="0" w:space="0" w:color="auto"/>
              </w:divBdr>
              <w:divsChild>
                <w:div w:id="189690384">
                  <w:marLeft w:val="0"/>
                  <w:marRight w:val="0"/>
                  <w:marTop w:val="0"/>
                  <w:marBottom w:val="0"/>
                  <w:divBdr>
                    <w:top w:val="none" w:sz="0" w:space="0" w:color="auto"/>
                    <w:left w:val="none" w:sz="0" w:space="0" w:color="auto"/>
                    <w:bottom w:val="none" w:sz="0" w:space="0" w:color="auto"/>
                    <w:right w:val="none" w:sz="0" w:space="0" w:color="auto"/>
                  </w:divBdr>
                  <w:divsChild>
                    <w:div w:id="345450649">
                      <w:marLeft w:val="0"/>
                      <w:marRight w:val="0"/>
                      <w:marTop w:val="0"/>
                      <w:marBottom w:val="0"/>
                      <w:divBdr>
                        <w:top w:val="none" w:sz="0" w:space="0" w:color="auto"/>
                        <w:left w:val="none" w:sz="0" w:space="0" w:color="auto"/>
                        <w:bottom w:val="none" w:sz="0" w:space="0" w:color="auto"/>
                        <w:right w:val="none" w:sz="0" w:space="0" w:color="auto"/>
                      </w:divBdr>
                    </w:div>
                  </w:divsChild>
                </w:div>
                <w:div w:id="2130083414">
                  <w:marLeft w:val="0"/>
                  <w:marRight w:val="0"/>
                  <w:marTop w:val="0"/>
                  <w:marBottom w:val="0"/>
                  <w:divBdr>
                    <w:top w:val="none" w:sz="0" w:space="0" w:color="auto"/>
                    <w:left w:val="none" w:sz="0" w:space="0" w:color="auto"/>
                    <w:bottom w:val="none" w:sz="0" w:space="0" w:color="auto"/>
                    <w:right w:val="none" w:sz="0" w:space="0" w:color="auto"/>
                  </w:divBdr>
                  <w:divsChild>
                    <w:div w:id="1847819293">
                      <w:marLeft w:val="0"/>
                      <w:marRight w:val="0"/>
                      <w:marTop w:val="0"/>
                      <w:marBottom w:val="0"/>
                      <w:divBdr>
                        <w:top w:val="none" w:sz="0" w:space="0" w:color="auto"/>
                        <w:left w:val="none" w:sz="0" w:space="0" w:color="auto"/>
                        <w:bottom w:val="none" w:sz="0" w:space="0" w:color="auto"/>
                        <w:right w:val="none" w:sz="0" w:space="0" w:color="auto"/>
                      </w:divBdr>
                    </w:div>
                  </w:divsChild>
                </w:div>
                <w:div w:id="141698433">
                  <w:marLeft w:val="0"/>
                  <w:marRight w:val="0"/>
                  <w:marTop w:val="0"/>
                  <w:marBottom w:val="0"/>
                  <w:divBdr>
                    <w:top w:val="none" w:sz="0" w:space="0" w:color="auto"/>
                    <w:left w:val="none" w:sz="0" w:space="0" w:color="auto"/>
                    <w:bottom w:val="none" w:sz="0" w:space="0" w:color="auto"/>
                    <w:right w:val="none" w:sz="0" w:space="0" w:color="auto"/>
                  </w:divBdr>
                  <w:divsChild>
                    <w:div w:id="1561865753">
                      <w:marLeft w:val="0"/>
                      <w:marRight w:val="0"/>
                      <w:marTop w:val="0"/>
                      <w:marBottom w:val="0"/>
                      <w:divBdr>
                        <w:top w:val="none" w:sz="0" w:space="0" w:color="auto"/>
                        <w:left w:val="none" w:sz="0" w:space="0" w:color="auto"/>
                        <w:bottom w:val="none" w:sz="0" w:space="0" w:color="auto"/>
                        <w:right w:val="none" w:sz="0" w:space="0" w:color="auto"/>
                      </w:divBdr>
                    </w:div>
                  </w:divsChild>
                </w:div>
                <w:div w:id="1168449760">
                  <w:marLeft w:val="0"/>
                  <w:marRight w:val="0"/>
                  <w:marTop w:val="0"/>
                  <w:marBottom w:val="0"/>
                  <w:divBdr>
                    <w:top w:val="none" w:sz="0" w:space="0" w:color="auto"/>
                    <w:left w:val="none" w:sz="0" w:space="0" w:color="auto"/>
                    <w:bottom w:val="none" w:sz="0" w:space="0" w:color="auto"/>
                    <w:right w:val="none" w:sz="0" w:space="0" w:color="auto"/>
                  </w:divBdr>
                  <w:divsChild>
                    <w:div w:id="1407143116">
                      <w:marLeft w:val="0"/>
                      <w:marRight w:val="0"/>
                      <w:marTop w:val="0"/>
                      <w:marBottom w:val="0"/>
                      <w:divBdr>
                        <w:top w:val="none" w:sz="0" w:space="0" w:color="auto"/>
                        <w:left w:val="none" w:sz="0" w:space="0" w:color="auto"/>
                        <w:bottom w:val="none" w:sz="0" w:space="0" w:color="auto"/>
                        <w:right w:val="none" w:sz="0" w:space="0" w:color="auto"/>
                      </w:divBdr>
                    </w:div>
                  </w:divsChild>
                </w:div>
                <w:div w:id="2124761785">
                  <w:marLeft w:val="0"/>
                  <w:marRight w:val="0"/>
                  <w:marTop w:val="0"/>
                  <w:marBottom w:val="0"/>
                  <w:divBdr>
                    <w:top w:val="none" w:sz="0" w:space="0" w:color="auto"/>
                    <w:left w:val="none" w:sz="0" w:space="0" w:color="auto"/>
                    <w:bottom w:val="none" w:sz="0" w:space="0" w:color="auto"/>
                    <w:right w:val="none" w:sz="0" w:space="0" w:color="auto"/>
                  </w:divBdr>
                  <w:divsChild>
                    <w:div w:id="1111317610">
                      <w:marLeft w:val="0"/>
                      <w:marRight w:val="0"/>
                      <w:marTop w:val="0"/>
                      <w:marBottom w:val="0"/>
                      <w:divBdr>
                        <w:top w:val="none" w:sz="0" w:space="0" w:color="auto"/>
                        <w:left w:val="none" w:sz="0" w:space="0" w:color="auto"/>
                        <w:bottom w:val="none" w:sz="0" w:space="0" w:color="auto"/>
                        <w:right w:val="none" w:sz="0" w:space="0" w:color="auto"/>
                      </w:divBdr>
                    </w:div>
                  </w:divsChild>
                </w:div>
                <w:div w:id="1016151455">
                  <w:marLeft w:val="0"/>
                  <w:marRight w:val="0"/>
                  <w:marTop w:val="0"/>
                  <w:marBottom w:val="0"/>
                  <w:divBdr>
                    <w:top w:val="none" w:sz="0" w:space="0" w:color="auto"/>
                    <w:left w:val="none" w:sz="0" w:space="0" w:color="auto"/>
                    <w:bottom w:val="none" w:sz="0" w:space="0" w:color="auto"/>
                    <w:right w:val="none" w:sz="0" w:space="0" w:color="auto"/>
                  </w:divBdr>
                  <w:divsChild>
                    <w:div w:id="1179079040">
                      <w:marLeft w:val="0"/>
                      <w:marRight w:val="0"/>
                      <w:marTop w:val="0"/>
                      <w:marBottom w:val="0"/>
                      <w:divBdr>
                        <w:top w:val="none" w:sz="0" w:space="0" w:color="auto"/>
                        <w:left w:val="none" w:sz="0" w:space="0" w:color="auto"/>
                        <w:bottom w:val="none" w:sz="0" w:space="0" w:color="auto"/>
                        <w:right w:val="none" w:sz="0" w:space="0" w:color="auto"/>
                      </w:divBdr>
                    </w:div>
                  </w:divsChild>
                </w:div>
                <w:div w:id="953753815">
                  <w:marLeft w:val="0"/>
                  <w:marRight w:val="0"/>
                  <w:marTop w:val="0"/>
                  <w:marBottom w:val="0"/>
                  <w:divBdr>
                    <w:top w:val="none" w:sz="0" w:space="0" w:color="auto"/>
                    <w:left w:val="none" w:sz="0" w:space="0" w:color="auto"/>
                    <w:bottom w:val="none" w:sz="0" w:space="0" w:color="auto"/>
                    <w:right w:val="none" w:sz="0" w:space="0" w:color="auto"/>
                  </w:divBdr>
                  <w:divsChild>
                    <w:div w:id="126052794">
                      <w:marLeft w:val="0"/>
                      <w:marRight w:val="0"/>
                      <w:marTop w:val="0"/>
                      <w:marBottom w:val="0"/>
                      <w:divBdr>
                        <w:top w:val="none" w:sz="0" w:space="0" w:color="auto"/>
                        <w:left w:val="none" w:sz="0" w:space="0" w:color="auto"/>
                        <w:bottom w:val="none" w:sz="0" w:space="0" w:color="auto"/>
                        <w:right w:val="none" w:sz="0" w:space="0" w:color="auto"/>
                      </w:divBdr>
                    </w:div>
                  </w:divsChild>
                </w:div>
                <w:div w:id="864711492">
                  <w:marLeft w:val="0"/>
                  <w:marRight w:val="0"/>
                  <w:marTop w:val="0"/>
                  <w:marBottom w:val="0"/>
                  <w:divBdr>
                    <w:top w:val="none" w:sz="0" w:space="0" w:color="auto"/>
                    <w:left w:val="none" w:sz="0" w:space="0" w:color="auto"/>
                    <w:bottom w:val="none" w:sz="0" w:space="0" w:color="auto"/>
                    <w:right w:val="none" w:sz="0" w:space="0" w:color="auto"/>
                  </w:divBdr>
                  <w:divsChild>
                    <w:div w:id="1959221365">
                      <w:marLeft w:val="0"/>
                      <w:marRight w:val="0"/>
                      <w:marTop w:val="0"/>
                      <w:marBottom w:val="0"/>
                      <w:divBdr>
                        <w:top w:val="none" w:sz="0" w:space="0" w:color="auto"/>
                        <w:left w:val="none" w:sz="0" w:space="0" w:color="auto"/>
                        <w:bottom w:val="none" w:sz="0" w:space="0" w:color="auto"/>
                        <w:right w:val="none" w:sz="0" w:space="0" w:color="auto"/>
                      </w:divBdr>
                    </w:div>
                  </w:divsChild>
                </w:div>
                <w:div w:id="708652465">
                  <w:marLeft w:val="0"/>
                  <w:marRight w:val="0"/>
                  <w:marTop w:val="0"/>
                  <w:marBottom w:val="0"/>
                  <w:divBdr>
                    <w:top w:val="none" w:sz="0" w:space="0" w:color="auto"/>
                    <w:left w:val="none" w:sz="0" w:space="0" w:color="auto"/>
                    <w:bottom w:val="none" w:sz="0" w:space="0" w:color="auto"/>
                    <w:right w:val="none" w:sz="0" w:space="0" w:color="auto"/>
                  </w:divBdr>
                  <w:divsChild>
                    <w:div w:id="587033635">
                      <w:marLeft w:val="0"/>
                      <w:marRight w:val="0"/>
                      <w:marTop w:val="0"/>
                      <w:marBottom w:val="0"/>
                      <w:divBdr>
                        <w:top w:val="none" w:sz="0" w:space="0" w:color="auto"/>
                        <w:left w:val="none" w:sz="0" w:space="0" w:color="auto"/>
                        <w:bottom w:val="none" w:sz="0" w:space="0" w:color="auto"/>
                        <w:right w:val="none" w:sz="0" w:space="0" w:color="auto"/>
                      </w:divBdr>
                    </w:div>
                  </w:divsChild>
                </w:div>
                <w:div w:id="970284968">
                  <w:marLeft w:val="0"/>
                  <w:marRight w:val="0"/>
                  <w:marTop w:val="0"/>
                  <w:marBottom w:val="0"/>
                  <w:divBdr>
                    <w:top w:val="none" w:sz="0" w:space="0" w:color="auto"/>
                    <w:left w:val="none" w:sz="0" w:space="0" w:color="auto"/>
                    <w:bottom w:val="none" w:sz="0" w:space="0" w:color="auto"/>
                    <w:right w:val="none" w:sz="0" w:space="0" w:color="auto"/>
                  </w:divBdr>
                  <w:divsChild>
                    <w:div w:id="1759984152">
                      <w:marLeft w:val="0"/>
                      <w:marRight w:val="0"/>
                      <w:marTop w:val="0"/>
                      <w:marBottom w:val="0"/>
                      <w:divBdr>
                        <w:top w:val="none" w:sz="0" w:space="0" w:color="auto"/>
                        <w:left w:val="none" w:sz="0" w:space="0" w:color="auto"/>
                        <w:bottom w:val="none" w:sz="0" w:space="0" w:color="auto"/>
                        <w:right w:val="none" w:sz="0" w:space="0" w:color="auto"/>
                      </w:divBdr>
                    </w:div>
                  </w:divsChild>
                </w:div>
                <w:div w:id="1041595004">
                  <w:marLeft w:val="0"/>
                  <w:marRight w:val="0"/>
                  <w:marTop w:val="0"/>
                  <w:marBottom w:val="0"/>
                  <w:divBdr>
                    <w:top w:val="none" w:sz="0" w:space="0" w:color="auto"/>
                    <w:left w:val="none" w:sz="0" w:space="0" w:color="auto"/>
                    <w:bottom w:val="none" w:sz="0" w:space="0" w:color="auto"/>
                    <w:right w:val="none" w:sz="0" w:space="0" w:color="auto"/>
                  </w:divBdr>
                  <w:divsChild>
                    <w:div w:id="1259410822">
                      <w:marLeft w:val="0"/>
                      <w:marRight w:val="0"/>
                      <w:marTop w:val="0"/>
                      <w:marBottom w:val="0"/>
                      <w:divBdr>
                        <w:top w:val="none" w:sz="0" w:space="0" w:color="auto"/>
                        <w:left w:val="none" w:sz="0" w:space="0" w:color="auto"/>
                        <w:bottom w:val="none" w:sz="0" w:space="0" w:color="auto"/>
                        <w:right w:val="none" w:sz="0" w:space="0" w:color="auto"/>
                      </w:divBdr>
                    </w:div>
                  </w:divsChild>
                </w:div>
                <w:div w:id="1384409651">
                  <w:marLeft w:val="0"/>
                  <w:marRight w:val="0"/>
                  <w:marTop w:val="0"/>
                  <w:marBottom w:val="0"/>
                  <w:divBdr>
                    <w:top w:val="none" w:sz="0" w:space="0" w:color="auto"/>
                    <w:left w:val="none" w:sz="0" w:space="0" w:color="auto"/>
                    <w:bottom w:val="none" w:sz="0" w:space="0" w:color="auto"/>
                    <w:right w:val="none" w:sz="0" w:space="0" w:color="auto"/>
                  </w:divBdr>
                  <w:divsChild>
                    <w:div w:id="73013662">
                      <w:marLeft w:val="0"/>
                      <w:marRight w:val="0"/>
                      <w:marTop w:val="0"/>
                      <w:marBottom w:val="0"/>
                      <w:divBdr>
                        <w:top w:val="none" w:sz="0" w:space="0" w:color="auto"/>
                        <w:left w:val="none" w:sz="0" w:space="0" w:color="auto"/>
                        <w:bottom w:val="none" w:sz="0" w:space="0" w:color="auto"/>
                        <w:right w:val="none" w:sz="0" w:space="0" w:color="auto"/>
                      </w:divBdr>
                    </w:div>
                  </w:divsChild>
                </w:div>
                <w:div w:id="1396856273">
                  <w:marLeft w:val="0"/>
                  <w:marRight w:val="0"/>
                  <w:marTop w:val="0"/>
                  <w:marBottom w:val="0"/>
                  <w:divBdr>
                    <w:top w:val="none" w:sz="0" w:space="0" w:color="auto"/>
                    <w:left w:val="none" w:sz="0" w:space="0" w:color="auto"/>
                    <w:bottom w:val="none" w:sz="0" w:space="0" w:color="auto"/>
                    <w:right w:val="none" w:sz="0" w:space="0" w:color="auto"/>
                  </w:divBdr>
                  <w:divsChild>
                    <w:div w:id="1129475919">
                      <w:marLeft w:val="0"/>
                      <w:marRight w:val="0"/>
                      <w:marTop w:val="0"/>
                      <w:marBottom w:val="0"/>
                      <w:divBdr>
                        <w:top w:val="none" w:sz="0" w:space="0" w:color="auto"/>
                        <w:left w:val="none" w:sz="0" w:space="0" w:color="auto"/>
                        <w:bottom w:val="none" w:sz="0" w:space="0" w:color="auto"/>
                        <w:right w:val="none" w:sz="0" w:space="0" w:color="auto"/>
                      </w:divBdr>
                    </w:div>
                  </w:divsChild>
                </w:div>
                <w:div w:id="241991679">
                  <w:marLeft w:val="0"/>
                  <w:marRight w:val="0"/>
                  <w:marTop w:val="0"/>
                  <w:marBottom w:val="0"/>
                  <w:divBdr>
                    <w:top w:val="none" w:sz="0" w:space="0" w:color="auto"/>
                    <w:left w:val="none" w:sz="0" w:space="0" w:color="auto"/>
                    <w:bottom w:val="none" w:sz="0" w:space="0" w:color="auto"/>
                    <w:right w:val="none" w:sz="0" w:space="0" w:color="auto"/>
                  </w:divBdr>
                  <w:divsChild>
                    <w:div w:id="1142037930">
                      <w:marLeft w:val="0"/>
                      <w:marRight w:val="0"/>
                      <w:marTop w:val="0"/>
                      <w:marBottom w:val="0"/>
                      <w:divBdr>
                        <w:top w:val="none" w:sz="0" w:space="0" w:color="auto"/>
                        <w:left w:val="none" w:sz="0" w:space="0" w:color="auto"/>
                        <w:bottom w:val="none" w:sz="0" w:space="0" w:color="auto"/>
                        <w:right w:val="none" w:sz="0" w:space="0" w:color="auto"/>
                      </w:divBdr>
                    </w:div>
                  </w:divsChild>
                </w:div>
                <w:div w:id="87964264">
                  <w:marLeft w:val="0"/>
                  <w:marRight w:val="0"/>
                  <w:marTop w:val="0"/>
                  <w:marBottom w:val="0"/>
                  <w:divBdr>
                    <w:top w:val="none" w:sz="0" w:space="0" w:color="auto"/>
                    <w:left w:val="none" w:sz="0" w:space="0" w:color="auto"/>
                    <w:bottom w:val="none" w:sz="0" w:space="0" w:color="auto"/>
                    <w:right w:val="none" w:sz="0" w:space="0" w:color="auto"/>
                  </w:divBdr>
                  <w:divsChild>
                    <w:div w:id="297150500">
                      <w:marLeft w:val="0"/>
                      <w:marRight w:val="0"/>
                      <w:marTop w:val="0"/>
                      <w:marBottom w:val="0"/>
                      <w:divBdr>
                        <w:top w:val="none" w:sz="0" w:space="0" w:color="auto"/>
                        <w:left w:val="none" w:sz="0" w:space="0" w:color="auto"/>
                        <w:bottom w:val="none" w:sz="0" w:space="0" w:color="auto"/>
                        <w:right w:val="none" w:sz="0" w:space="0" w:color="auto"/>
                      </w:divBdr>
                    </w:div>
                  </w:divsChild>
                </w:div>
                <w:div w:id="368145167">
                  <w:marLeft w:val="0"/>
                  <w:marRight w:val="0"/>
                  <w:marTop w:val="0"/>
                  <w:marBottom w:val="0"/>
                  <w:divBdr>
                    <w:top w:val="none" w:sz="0" w:space="0" w:color="auto"/>
                    <w:left w:val="none" w:sz="0" w:space="0" w:color="auto"/>
                    <w:bottom w:val="none" w:sz="0" w:space="0" w:color="auto"/>
                    <w:right w:val="none" w:sz="0" w:space="0" w:color="auto"/>
                  </w:divBdr>
                  <w:divsChild>
                    <w:div w:id="1170104264">
                      <w:marLeft w:val="0"/>
                      <w:marRight w:val="0"/>
                      <w:marTop w:val="0"/>
                      <w:marBottom w:val="0"/>
                      <w:divBdr>
                        <w:top w:val="none" w:sz="0" w:space="0" w:color="auto"/>
                        <w:left w:val="none" w:sz="0" w:space="0" w:color="auto"/>
                        <w:bottom w:val="none" w:sz="0" w:space="0" w:color="auto"/>
                        <w:right w:val="none" w:sz="0" w:space="0" w:color="auto"/>
                      </w:divBdr>
                    </w:div>
                  </w:divsChild>
                </w:div>
                <w:div w:id="542448709">
                  <w:marLeft w:val="0"/>
                  <w:marRight w:val="0"/>
                  <w:marTop w:val="0"/>
                  <w:marBottom w:val="0"/>
                  <w:divBdr>
                    <w:top w:val="none" w:sz="0" w:space="0" w:color="auto"/>
                    <w:left w:val="none" w:sz="0" w:space="0" w:color="auto"/>
                    <w:bottom w:val="none" w:sz="0" w:space="0" w:color="auto"/>
                    <w:right w:val="none" w:sz="0" w:space="0" w:color="auto"/>
                  </w:divBdr>
                  <w:divsChild>
                    <w:div w:id="811479007">
                      <w:marLeft w:val="0"/>
                      <w:marRight w:val="0"/>
                      <w:marTop w:val="0"/>
                      <w:marBottom w:val="0"/>
                      <w:divBdr>
                        <w:top w:val="none" w:sz="0" w:space="0" w:color="auto"/>
                        <w:left w:val="none" w:sz="0" w:space="0" w:color="auto"/>
                        <w:bottom w:val="none" w:sz="0" w:space="0" w:color="auto"/>
                        <w:right w:val="none" w:sz="0" w:space="0" w:color="auto"/>
                      </w:divBdr>
                    </w:div>
                  </w:divsChild>
                </w:div>
                <w:div w:id="218828323">
                  <w:marLeft w:val="0"/>
                  <w:marRight w:val="0"/>
                  <w:marTop w:val="0"/>
                  <w:marBottom w:val="0"/>
                  <w:divBdr>
                    <w:top w:val="none" w:sz="0" w:space="0" w:color="auto"/>
                    <w:left w:val="none" w:sz="0" w:space="0" w:color="auto"/>
                    <w:bottom w:val="none" w:sz="0" w:space="0" w:color="auto"/>
                    <w:right w:val="none" w:sz="0" w:space="0" w:color="auto"/>
                  </w:divBdr>
                  <w:divsChild>
                    <w:div w:id="521748238">
                      <w:marLeft w:val="0"/>
                      <w:marRight w:val="0"/>
                      <w:marTop w:val="0"/>
                      <w:marBottom w:val="0"/>
                      <w:divBdr>
                        <w:top w:val="none" w:sz="0" w:space="0" w:color="auto"/>
                        <w:left w:val="none" w:sz="0" w:space="0" w:color="auto"/>
                        <w:bottom w:val="none" w:sz="0" w:space="0" w:color="auto"/>
                        <w:right w:val="none" w:sz="0" w:space="0" w:color="auto"/>
                      </w:divBdr>
                    </w:div>
                  </w:divsChild>
                </w:div>
                <w:div w:id="929586458">
                  <w:marLeft w:val="0"/>
                  <w:marRight w:val="0"/>
                  <w:marTop w:val="0"/>
                  <w:marBottom w:val="0"/>
                  <w:divBdr>
                    <w:top w:val="none" w:sz="0" w:space="0" w:color="auto"/>
                    <w:left w:val="none" w:sz="0" w:space="0" w:color="auto"/>
                    <w:bottom w:val="none" w:sz="0" w:space="0" w:color="auto"/>
                    <w:right w:val="none" w:sz="0" w:space="0" w:color="auto"/>
                  </w:divBdr>
                  <w:divsChild>
                    <w:div w:id="1428455051">
                      <w:marLeft w:val="0"/>
                      <w:marRight w:val="0"/>
                      <w:marTop w:val="0"/>
                      <w:marBottom w:val="0"/>
                      <w:divBdr>
                        <w:top w:val="none" w:sz="0" w:space="0" w:color="auto"/>
                        <w:left w:val="none" w:sz="0" w:space="0" w:color="auto"/>
                        <w:bottom w:val="none" w:sz="0" w:space="0" w:color="auto"/>
                        <w:right w:val="none" w:sz="0" w:space="0" w:color="auto"/>
                      </w:divBdr>
                    </w:div>
                  </w:divsChild>
                </w:div>
                <w:div w:id="118381659">
                  <w:marLeft w:val="0"/>
                  <w:marRight w:val="0"/>
                  <w:marTop w:val="0"/>
                  <w:marBottom w:val="0"/>
                  <w:divBdr>
                    <w:top w:val="none" w:sz="0" w:space="0" w:color="auto"/>
                    <w:left w:val="none" w:sz="0" w:space="0" w:color="auto"/>
                    <w:bottom w:val="none" w:sz="0" w:space="0" w:color="auto"/>
                    <w:right w:val="none" w:sz="0" w:space="0" w:color="auto"/>
                  </w:divBdr>
                  <w:divsChild>
                    <w:div w:id="1199583312">
                      <w:marLeft w:val="0"/>
                      <w:marRight w:val="0"/>
                      <w:marTop w:val="0"/>
                      <w:marBottom w:val="0"/>
                      <w:divBdr>
                        <w:top w:val="none" w:sz="0" w:space="0" w:color="auto"/>
                        <w:left w:val="none" w:sz="0" w:space="0" w:color="auto"/>
                        <w:bottom w:val="none" w:sz="0" w:space="0" w:color="auto"/>
                        <w:right w:val="none" w:sz="0" w:space="0" w:color="auto"/>
                      </w:divBdr>
                    </w:div>
                  </w:divsChild>
                </w:div>
                <w:div w:id="427849766">
                  <w:marLeft w:val="0"/>
                  <w:marRight w:val="0"/>
                  <w:marTop w:val="0"/>
                  <w:marBottom w:val="0"/>
                  <w:divBdr>
                    <w:top w:val="none" w:sz="0" w:space="0" w:color="auto"/>
                    <w:left w:val="none" w:sz="0" w:space="0" w:color="auto"/>
                    <w:bottom w:val="none" w:sz="0" w:space="0" w:color="auto"/>
                    <w:right w:val="none" w:sz="0" w:space="0" w:color="auto"/>
                  </w:divBdr>
                  <w:divsChild>
                    <w:div w:id="975451761">
                      <w:marLeft w:val="0"/>
                      <w:marRight w:val="0"/>
                      <w:marTop w:val="0"/>
                      <w:marBottom w:val="0"/>
                      <w:divBdr>
                        <w:top w:val="none" w:sz="0" w:space="0" w:color="auto"/>
                        <w:left w:val="none" w:sz="0" w:space="0" w:color="auto"/>
                        <w:bottom w:val="none" w:sz="0" w:space="0" w:color="auto"/>
                        <w:right w:val="none" w:sz="0" w:space="0" w:color="auto"/>
                      </w:divBdr>
                    </w:div>
                  </w:divsChild>
                </w:div>
                <w:div w:id="1316687618">
                  <w:marLeft w:val="0"/>
                  <w:marRight w:val="0"/>
                  <w:marTop w:val="0"/>
                  <w:marBottom w:val="0"/>
                  <w:divBdr>
                    <w:top w:val="none" w:sz="0" w:space="0" w:color="auto"/>
                    <w:left w:val="none" w:sz="0" w:space="0" w:color="auto"/>
                    <w:bottom w:val="none" w:sz="0" w:space="0" w:color="auto"/>
                    <w:right w:val="none" w:sz="0" w:space="0" w:color="auto"/>
                  </w:divBdr>
                  <w:divsChild>
                    <w:div w:id="1760709789">
                      <w:marLeft w:val="0"/>
                      <w:marRight w:val="0"/>
                      <w:marTop w:val="0"/>
                      <w:marBottom w:val="0"/>
                      <w:divBdr>
                        <w:top w:val="none" w:sz="0" w:space="0" w:color="auto"/>
                        <w:left w:val="none" w:sz="0" w:space="0" w:color="auto"/>
                        <w:bottom w:val="none" w:sz="0" w:space="0" w:color="auto"/>
                        <w:right w:val="none" w:sz="0" w:space="0" w:color="auto"/>
                      </w:divBdr>
                    </w:div>
                  </w:divsChild>
                </w:div>
                <w:div w:id="91436658">
                  <w:marLeft w:val="0"/>
                  <w:marRight w:val="0"/>
                  <w:marTop w:val="0"/>
                  <w:marBottom w:val="0"/>
                  <w:divBdr>
                    <w:top w:val="none" w:sz="0" w:space="0" w:color="auto"/>
                    <w:left w:val="none" w:sz="0" w:space="0" w:color="auto"/>
                    <w:bottom w:val="none" w:sz="0" w:space="0" w:color="auto"/>
                    <w:right w:val="none" w:sz="0" w:space="0" w:color="auto"/>
                  </w:divBdr>
                  <w:divsChild>
                    <w:div w:id="1271090708">
                      <w:marLeft w:val="0"/>
                      <w:marRight w:val="0"/>
                      <w:marTop w:val="0"/>
                      <w:marBottom w:val="0"/>
                      <w:divBdr>
                        <w:top w:val="none" w:sz="0" w:space="0" w:color="auto"/>
                        <w:left w:val="none" w:sz="0" w:space="0" w:color="auto"/>
                        <w:bottom w:val="none" w:sz="0" w:space="0" w:color="auto"/>
                        <w:right w:val="none" w:sz="0" w:space="0" w:color="auto"/>
                      </w:divBdr>
                    </w:div>
                  </w:divsChild>
                </w:div>
                <w:div w:id="251159376">
                  <w:marLeft w:val="0"/>
                  <w:marRight w:val="0"/>
                  <w:marTop w:val="0"/>
                  <w:marBottom w:val="0"/>
                  <w:divBdr>
                    <w:top w:val="none" w:sz="0" w:space="0" w:color="auto"/>
                    <w:left w:val="none" w:sz="0" w:space="0" w:color="auto"/>
                    <w:bottom w:val="none" w:sz="0" w:space="0" w:color="auto"/>
                    <w:right w:val="none" w:sz="0" w:space="0" w:color="auto"/>
                  </w:divBdr>
                  <w:divsChild>
                    <w:div w:id="1281374192">
                      <w:marLeft w:val="0"/>
                      <w:marRight w:val="0"/>
                      <w:marTop w:val="0"/>
                      <w:marBottom w:val="0"/>
                      <w:divBdr>
                        <w:top w:val="none" w:sz="0" w:space="0" w:color="auto"/>
                        <w:left w:val="none" w:sz="0" w:space="0" w:color="auto"/>
                        <w:bottom w:val="none" w:sz="0" w:space="0" w:color="auto"/>
                        <w:right w:val="none" w:sz="0" w:space="0" w:color="auto"/>
                      </w:divBdr>
                    </w:div>
                  </w:divsChild>
                </w:div>
                <w:div w:id="1298798031">
                  <w:marLeft w:val="0"/>
                  <w:marRight w:val="0"/>
                  <w:marTop w:val="0"/>
                  <w:marBottom w:val="0"/>
                  <w:divBdr>
                    <w:top w:val="none" w:sz="0" w:space="0" w:color="auto"/>
                    <w:left w:val="none" w:sz="0" w:space="0" w:color="auto"/>
                    <w:bottom w:val="none" w:sz="0" w:space="0" w:color="auto"/>
                    <w:right w:val="none" w:sz="0" w:space="0" w:color="auto"/>
                  </w:divBdr>
                  <w:divsChild>
                    <w:div w:id="739056931">
                      <w:marLeft w:val="0"/>
                      <w:marRight w:val="0"/>
                      <w:marTop w:val="0"/>
                      <w:marBottom w:val="0"/>
                      <w:divBdr>
                        <w:top w:val="none" w:sz="0" w:space="0" w:color="auto"/>
                        <w:left w:val="none" w:sz="0" w:space="0" w:color="auto"/>
                        <w:bottom w:val="none" w:sz="0" w:space="0" w:color="auto"/>
                        <w:right w:val="none" w:sz="0" w:space="0" w:color="auto"/>
                      </w:divBdr>
                    </w:div>
                  </w:divsChild>
                </w:div>
                <w:div w:id="1063525951">
                  <w:marLeft w:val="0"/>
                  <w:marRight w:val="0"/>
                  <w:marTop w:val="0"/>
                  <w:marBottom w:val="0"/>
                  <w:divBdr>
                    <w:top w:val="none" w:sz="0" w:space="0" w:color="auto"/>
                    <w:left w:val="none" w:sz="0" w:space="0" w:color="auto"/>
                    <w:bottom w:val="none" w:sz="0" w:space="0" w:color="auto"/>
                    <w:right w:val="none" w:sz="0" w:space="0" w:color="auto"/>
                  </w:divBdr>
                  <w:divsChild>
                    <w:div w:id="117337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08559">
          <w:marLeft w:val="0"/>
          <w:marRight w:val="0"/>
          <w:marTop w:val="0"/>
          <w:marBottom w:val="0"/>
          <w:divBdr>
            <w:top w:val="none" w:sz="0" w:space="0" w:color="auto"/>
            <w:left w:val="none" w:sz="0" w:space="0" w:color="auto"/>
            <w:bottom w:val="none" w:sz="0" w:space="0" w:color="auto"/>
            <w:right w:val="none" w:sz="0" w:space="0" w:color="auto"/>
          </w:divBdr>
        </w:div>
        <w:div w:id="1058825861">
          <w:marLeft w:val="0"/>
          <w:marRight w:val="0"/>
          <w:marTop w:val="0"/>
          <w:marBottom w:val="0"/>
          <w:divBdr>
            <w:top w:val="none" w:sz="0" w:space="0" w:color="auto"/>
            <w:left w:val="none" w:sz="0" w:space="0" w:color="auto"/>
            <w:bottom w:val="none" w:sz="0" w:space="0" w:color="auto"/>
            <w:right w:val="none" w:sz="0" w:space="0" w:color="auto"/>
          </w:divBdr>
        </w:div>
        <w:div w:id="485049849">
          <w:marLeft w:val="0"/>
          <w:marRight w:val="0"/>
          <w:marTop w:val="0"/>
          <w:marBottom w:val="0"/>
          <w:divBdr>
            <w:top w:val="none" w:sz="0" w:space="0" w:color="auto"/>
            <w:left w:val="none" w:sz="0" w:space="0" w:color="auto"/>
            <w:bottom w:val="none" w:sz="0" w:space="0" w:color="auto"/>
            <w:right w:val="none" w:sz="0" w:space="0" w:color="auto"/>
          </w:divBdr>
        </w:div>
        <w:div w:id="1856000505">
          <w:marLeft w:val="0"/>
          <w:marRight w:val="0"/>
          <w:marTop w:val="0"/>
          <w:marBottom w:val="0"/>
          <w:divBdr>
            <w:top w:val="none" w:sz="0" w:space="0" w:color="auto"/>
            <w:left w:val="none" w:sz="0" w:space="0" w:color="auto"/>
            <w:bottom w:val="none" w:sz="0" w:space="0" w:color="auto"/>
            <w:right w:val="none" w:sz="0" w:space="0" w:color="auto"/>
          </w:divBdr>
        </w:div>
        <w:div w:id="1800152014">
          <w:marLeft w:val="0"/>
          <w:marRight w:val="0"/>
          <w:marTop w:val="0"/>
          <w:marBottom w:val="0"/>
          <w:divBdr>
            <w:top w:val="none" w:sz="0" w:space="0" w:color="auto"/>
            <w:left w:val="none" w:sz="0" w:space="0" w:color="auto"/>
            <w:bottom w:val="none" w:sz="0" w:space="0" w:color="auto"/>
            <w:right w:val="none" w:sz="0" w:space="0" w:color="auto"/>
          </w:divBdr>
        </w:div>
      </w:divsChild>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65171563">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26651344">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614737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fontTable" Target="fontTable.xml"/><Relationship Id="rId21" Type="http://schemas.openxmlformats.org/officeDocument/2006/relationships/chart" Target="charts/chart5.xml"/><Relationship Id="rId34" Type="http://schemas.openxmlformats.org/officeDocument/2006/relationships/chart" Target="charts/chart1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documents/10180/222925584/050124-23_4q.pdf/00300626-4248-48f9-be37-25be1a4e4948?version=1.0" TargetMode="External"/><Relationship Id="rId2" Type="http://schemas.openxmlformats.org/officeDocument/2006/relationships/hyperlink" Target="https://www.czso.cz/csu/czso/metodicka-poznamka-k-indexu-spotrebitelskych-cen-imputovane-najemne" TargetMode="External"/><Relationship Id="rId1" Type="http://schemas.openxmlformats.org/officeDocument/2006/relationships/hyperlink" Target="https://www.czso.cz/csu/czso/aktualizace-metody-propoctu-zahranicni-obchod-se-zboz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1/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1/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1/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1/Makroanal&#253;za%20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Qmakro-2024\Trh%20pr&#225;ce\Grafy-Trh%20pr&#225;ce%20celorok-rok-1q202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Qmakro-2024\Trh%20pr&#225;ce\Grafy-Trh%20pr&#225;ce%20celorok-rok-1q202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Qmakro-2024\Trh%20pr&#225;ce\Grafy-Trh%20pr&#225;ce%20celorok-rok-1q202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1/Makroanal&#253;za%20graf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Qmakro-2024\Rozpo&#269;et\Grafy-st&#225;tn&#237;%20rozpo&#269;et-1q-202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Qmakro-2024\Rozpo&#269;et\Grafy-st&#225;tn&#237;%20rozpo&#269;et-1q-202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1/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1/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Qmakro-2024\Odv&#283;tv&#237;\Odv&#283;tv&#237;_grafy_1q202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Qmakro-2024\Odv&#283;tv&#237;\Odv&#283;tv&#237;_grafy_1q202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Qmakro-2024\Odv&#283;tv&#237;\Odv&#283;tv&#237;_grafy_1q202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Qmakro-2024\Odv&#283;tv&#237;\Odv&#283;tv&#237;_grafy_1q202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Qmakro-2024\Odv&#283;tv&#237;\Odv&#283;tv&#237;_grafy_1q202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czsocz-my.sharepoint.com/personal/karolina_zabojnikova_czso_cz/Documents/Dokumenty/Anal&#253;za/Q/2024Q1/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8E-2"/>
          <c:y val="2.3046636085626956E-2"/>
          <c:w val="0.92008633063154344"/>
          <c:h val="0.74192840256671655"/>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'souhrnná výkonnost 1'!$C$9:$C$29</c:f>
              <c:numCache>
                <c:formatCode>0.0</c:formatCode>
                <c:ptCount val="21"/>
                <c:pt idx="0">
                  <c:v>2.9925598229108195</c:v>
                </c:pt>
                <c:pt idx="1">
                  <c:v>3.0577797411869359</c:v>
                </c:pt>
                <c:pt idx="2">
                  <c:v>3.0222821330284813</c:v>
                </c:pt>
                <c:pt idx="3">
                  <c:v>2.7919398416799637</c:v>
                </c:pt>
                <c:pt idx="4">
                  <c:v>-1.4737630559722414</c:v>
                </c:pt>
                <c:pt idx="5">
                  <c:v>-10.802828827516109</c:v>
                </c:pt>
                <c:pt idx="6">
                  <c:v>-5.2166971565464166</c:v>
                </c:pt>
                <c:pt idx="7">
                  <c:v>-4.5664791785978451</c:v>
                </c:pt>
                <c:pt idx="8">
                  <c:v>-1.9186413648622109</c:v>
                </c:pt>
                <c:pt idx="9">
                  <c:v>9.179288410047473</c:v>
                </c:pt>
                <c:pt idx="10">
                  <c:v>3.8208995035486302</c:v>
                </c:pt>
                <c:pt idx="11">
                  <c:v>3.4133294018282068</c:v>
                </c:pt>
                <c:pt idx="12">
                  <c:v>4.6716662414814767</c:v>
                </c:pt>
                <c:pt idx="13">
                  <c:v>3.3523436073729584</c:v>
                </c:pt>
                <c:pt idx="14">
                  <c:v>1.3389936645339446</c:v>
                </c:pt>
                <c:pt idx="15">
                  <c:v>0.1455764567056122</c:v>
                </c:pt>
                <c:pt idx="16">
                  <c:v>-0.17452805029459739</c:v>
                </c:pt>
                <c:pt idx="17">
                  <c:v>-7.2891404135617718E-2</c:v>
                </c:pt>
                <c:pt idx="18" formatCode="General">
                  <c:v>-0.63335110797339689</c:v>
                </c:pt>
                <c:pt idx="19" formatCode="General">
                  <c:v>0.16973771695587916</c:v>
                </c:pt>
                <c:pt idx="20" formatCode="General">
                  <c:v>0.23325876917698454</c:v>
                </c:pt>
              </c:numCache>
            </c:numRef>
          </c:val>
          <c:extLst>
            <c:ext xmlns:c16="http://schemas.microsoft.com/office/drawing/2014/chart" uri="{C3380CC4-5D6E-409C-BE32-E72D297353CC}">
              <c16:uniqueId val="{00000000-CA52-4C3D-9D4C-65A5ABE63582}"/>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'souhrnná výkonnost 1'!$D$9:$D$29</c:f>
              <c:numCache>
                <c:formatCode>#\ ##0.##########</c:formatCode>
                <c:ptCount val="21"/>
                <c:pt idx="0">
                  <c:v>2.1</c:v>
                </c:pt>
                <c:pt idx="1">
                  <c:v>1.9000000000000001</c:v>
                </c:pt>
                <c:pt idx="2" formatCode="#\ ##0.0">
                  <c:v>2</c:v>
                </c:pt>
                <c:pt idx="3">
                  <c:v>1.4</c:v>
                </c:pt>
                <c:pt idx="4">
                  <c:v>-2.2999999999999998</c:v>
                </c:pt>
                <c:pt idx="5">
                  <c:v>-13.3</c:v>
                </c:pt>
                <c:pt idx="6">
                  <c:v>-3.8</c:v>
                </c:pt>
                <c:pt idx="7">
                  <c:v>-3.7</c:v>
                </c:pt>
                <c:pt idx="8">
                  <c:v>-0.1</c:v>
                </c:pt>
                <c:pt idx="9">
                  <c:v>14.4</c:v>
                </c:pt>
                <c:pt idx="10">
                  <c:v>4.9000000000000004</c:v>
                </c:pt>
                <c:pt idx="11">
                  <c:v>5.5</c:v>
                </c:pt>
                <c:pt idx="12">
                  <c:v>5.6</c:v>
                </c:pt>
                <c:pt idx="13">
                  <c:v>4.2</c:v>
                </c:pt>
                <c:pt idx="14">
                  <c:v>2.6</c:v>
                </c:pt>
                <c:pt idx="15">
                  <c:v>1.8</c:v>
                </c:pt>
                <c:pt idx="16">
                  <c:v>1.2</c:v>
                </c:pt>
                <c:pt idx="17">
                  <c:v>0.6000000000000002</c:v>
                </c:pt>
                <c:pt idx="18">
                  <c:v>0.1</c:v>
                </c:pt>
                <c:pt idx="19">
                  <c:v>0.2</c:v>
                </c:pt>
                <c:pt idx="20">
                  <c:v>0.4</c:v>
                </c:pt>
              </c:numCache>
            </c:numRef>
          </c:val>
          <c:extLst>
            <c:ext xmlns:c16="http://schemas.microsoft.com/office/drawing/2014/chart" uri="{C3380CC4-5D6E-409C-BE32-E72D297353CC}">
              <c16:uniqueId val="{00000001-CA52-4C3D-9D4C-65A5ABE63582}"/>
            </c:ext>
          </c:extLst>
        </c:ser>
        <c:dLbls>
          <c:showLegendKey val="0"/>
          <c:showVal val="0"/>
          <c:showCatName val="0"/>
          <c:showSerName val="0"/>
          <c:showPercent val="0"/>
          <c:showBubbleSize val="0"/>
        </c:dLbls>
        <c:gapWidth val="100"/>
        <c:axId val="142774656"/>
        <c:axId val="142776576"/>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'souhrnná výkonnost 1'!$E$9:$E$29</c:f>
              <c:numCache>
                <c:formatCode>0.0</c:formatCode>
                <c:ptCount val="21"/>
                <c:pt idx="0">
                  <c:v>0.87101711877043897</c:v>
                </c:pt>
                <c:pt idx="1">
                  <c:v>0.65493675873298662</c:v>
                </c:pt>
                <c:pt idx="2">
                  <c:v>0.69787672499455777</c:v>
                </c:pt>
                <c:pt idx="3">
                  <c:v>0.53962669151388853</c:v>
                </c:pt>
                <c:pt idx="4">
                  <c:v>-3.3149705245738503</c:v>
                </c:pt>
                <c:pt idx="5">
                  <c:v>-8.8756873103285372</c:v>
                </c:pt>
                <c:pt idx="6">
                  <c:v>7.0042605595799046</c:v>
                </c:pt>
                <c:pt idx="7">
                  <c:v>1.2293333255930037</c:v>
                </c:pt>
                <c:pt idx="8">
                  <c:v>-0.63240914714887753</c:v>
                </c:pt>
                <c:pt idx="9">
                  <c:v>1.4350510102822791</c:v>
                </c:pt>
                <c:pt idx="10">
                  <c:v>1.7526194188431676</c:v>
                </c:pt>
                <c:pt idx="11">
                  <c:v>0.83193694511574257</c:v>
                </c:pt>
                <c:pt idx="12">
                  <c:v>0.5766990109676019</c:v>
                </c:pt>
                <c:pt idx="13">
                  <c:v>0.15652394087383931</c:v>
                </c:pt>
                <c:pt idx="14">
                  <c:v>-0.22956718032004639</c:v>
                </c:pt>
                <c:pt idx="15">
                  <c:v>-0.3555089165168398</c:v>
                </c:pt>
                <c:pt idx="16">
                  <c:v>0.25521646733737685</c:v>
                </c:pt>
                <c:pt idx="17">
                  <c:v>0.25849764543517029</c:v>
                </c:pt>
                <c:pt idx="18" formatCode="General">
                  <c:v>-0.78914813903696757</c:v>
                </c:pt>
                <c:pt idx="19" formatCode="General">
                  <c:v>0.44982545016654291</c:v>
                </c:pt>
                <c:pt idx="20" formatCode="General">
                  <c:v>0.3187917245538473</c:v>
                </c:pt>
              </c:numCache>
            </c:numRef>
          </c:val>
          <c:smooth val="0"/>
          <c:extLst>
            <c:ext xmlns:c16="http://schemas.microsoft.com/office/drawing/2014/chart" uri="{C3380CC4-5D6E-409C-BE32-E72D297353CC}">
              <c16:uniqueId val="{00000002-CA52-4C3D-9D4C-65A5ABE63582}"/>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1'!$A$9:$B$29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'souhrnná výkonnost 1'!$F$9:$F$29</c:f>
              <c:numCache>
                <c:formatCode>#\ ##0.##########</c:formatCode>
                <c:ptCount val="21"/>
                <c:pt idx="0">
                  <c:v>0.6000000000000002</c:v>
                </c:pt>
                <c:pt idx="1">
                  <c:v>0.4</c:v>
                </c:pt>
                <c:pt idx="2">
                  <c:v>0.2</c:v>
                </c:pt>
                <c:pt idx="3">
                  <c:v>0.1</c:v>
                </c:pt>
                <c:pt idx="4">
                  <c:v>-3.1</c:v>
                </c:pt>
                <c:pt idx="5">
                  <c:v>-10.9</c:v>
                </c:pt>
                <c:pt idx="6">
                  <c:v>11.3</c:v>
                </c:pt>
                <c:pt idx="7">
                  <c:v>0.1</c:v>
                </c:pt>
                <c:pt idx="8">
                  <c:v>0.5</c:v>
                </c:pt>
                <c:pt idx="9">
                  <c:v>2.1</c:v>
                </c:pt>
                <c:pt idx="10" formatCode="#\ ##0.0">
                  <c:v>2</c:v>
                </c:pt>
                <c:pt idx="11">
                  <c:v>0.70000000000000018</c:v>
                </c:pt>
                <c:pt idx="12">
                  <c:v>0.70000000000000018</c:v>
                </c:pt>
                <c:pt idx="13">
                  <c:v>0.70000000000000018</c:v>
                </c:pt>
                <c:pt idx="14">
                  <c:v>0.4</c:v>
                </c:pt>
                <c:pt idx="15">
                  <c:v>-0.1</c:v>
                </c:pt>
                <c:pt idx="16">
                  <c:v>0.1</c:v>
                </c:pt>
                <c:pt idx="17">
                  <c:v>0.1</c:v>
                </c:pt>
                <c:pt idx="18" formatCode="#\ ##0.0">
                  <c:v>0</c:v>
                </c:pt>
                <c:pt idx="19" formatCode="#\ ##0.0">
                  <c:v>0</c:v>
                </c:pt>
                <c:pt idx="20">
                  <c:v>0.3000000000000001</c:v>
                </c:pt>
              </c:numCache>
            </c:numRef>
          </c:val>
          <c:smooth val="0"/>
          <c:extLst>
            <c:ext xmlns:c16="http://schemas.microsoft.com/office/drawing/2014/chart" uri="{C3380CC4-5D6E-409C-BE32-E72D297353CC}">
              <c16:uniqueId val="{00000003-CA52-4C3D-9D4C-65A5ABE63582}"/>
            </c:ext>
          </c:extLst>
        </c:ser>
        <c:dLbls>
          <c:showLegendKey val="0"/>
          <c:showVal val="0"/>
          <c:showCatName val="0"/>
          <c:showSerName val="0"/>
          <c:showPercent val="0"/>
          <c:showBubbleSize val="0"/>
        </c:dLbls>
        <c:marker val="1"/>
        <c:smooth val="0"/>
        <c:axId val="142774656"/>
        <c:axId val="142776576"/>
      </c:lineChart>
      <c:catAx>
        <c:axId val="14277465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42776576"/>
        <c:crosses val="autoZero"/>
        <c:auto val="1"/>
        <c:lblAlgn val="ctr"/>
        <c:lblOffset val="100"/>
        <c:noMultiLvlLbl val="0"/>
      </c:catAx>
      <c:valAx>
        <c:axId val="142776576"/>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42774656"/>
        <c:crosses val="autoZero"/>
        <c:crossBetween val="between"/>
        <c:majorUnit val="3"/>
      </c:valAx>
      <c:spPr>
        <a:ln>
          <a:solidFill>
            <a:schemeClr val="tx1"/>
          </a:solidFill>
        </a:ln>
      </c:spPr>
    </c:plotArea>
    <c:legend>
      <c:legendPos val="b"/>
      <c:layout>
        <c:manualLayout>
          <c:xMode val="edge"/>
          <c:yMode val="edge"/>
          <c:x val="5.8431906450523499E-2"/>
          <c:y val="0.89437255125718007"/>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780592177219003E-2"/>
          <c:y val="2.1811315924220361E-2"/>
          <c:w val="0.9371655705812737"/>
          <c:h val="0.75761119672373434"/>
        </c:manualLayout>
      </c:layout>
      <c:barChart>
        <c:barDir val="col"/>
        <c:grouping val="clustered"/>
        <c:varyColors val="0"/>
        <c:ser>
          <c:idx val="0"/>
          <c:order val="0"/>
          <c:tx>
            <c:strRef>
              <c:f>'Ceny 2'!$C$5</c:f>
              <c:strCache>
                <c:ptCount val="1"/>
                <c:pt idx="0">
                  <c:v>Celkem</c:v>
                </c:pt>
              </c:strCache>
            </c:strRef>
          </c:tx>
          <c:spPr>
            <a:solidFill>
              <a:schemeClr val="bg1">
                <a:lumMod val="65000"/>
              </a:schemeClr>
            </a:solidFill>
            <a:ln w="19050">
              <a:noFill/>
            </a:ln>
          </c:spPr>
          <c:invertIfNegative val="0"/>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2'!$C$10:$C$30</c:f>
              <c:numCache>
                <c:formatCode>0.0</c:formatCode>
                <c:ptCount val="21"/>
                <c:pt idx="0">
                  <c:v>2.7</c:v>
                </c:pt>
                <c:pt idx="1">
                  <c:v>2.8</c:v>
                </c:pt>
                <c:pt idx="2">
                  <c:v>2.8</c:v>
                </c:pt>
                <c:pt idx="3">
                  <c:v>3</c:v>
                </c:pt>
                <c:pt idx="4">
                  <c:v>3.6</c:v>
                </c:pt>
                <c:pt idx="5">
                  <c:v>3.1</c:v>
                </c:pt>
                <c:pt idx="6">
                  <c:v>3.3</c:v>
                </c:pt>
                <c:pt idx="7">
                  <c:v>2.6</c:v>
                </c:pt>
                <c:pt idx="8">
                  <c:v>2.2000000000000002</c:v>
                </c:pt>
                <c:pt idx="9">
                  <c:v>2.9</c:v>
                </c:pt>
                <c:pt idx="10">
                  <c:v>4.0999999999999996</c:v>
                </c:pt>
                <c:pt idx="11">
                  <c:v>6.1</c:v>
                </c:pt>
                <c:pt idx="12">
                  <c:v>11.2</c:v>
                </c:pt>
                <c:pt idx="13">
                  <c:v>15.8</c:v>
                </c:pt>
                <c:pt idx="14">
                  <c:v>17.600000000000001</c:v>
                </c:pt>
                <c:pt idx="15">
                  <c:v>15.7</c:v>
                </c:pt>
                <c:pt idx="16">
                  <c:v>16.399999999999999</c:v>
                </c:pt>
                <c:pt idx="17">
                  <c:v>11.1</c:v>
                </c:pt>
                <c:pt idx="18">
                  <c:v>8</c:v>
                </c:pt>
                <c:pt idx="19">
                  <c:v>7.6</c:v>
                </c:pt>
                <c:pt idx="20">
                  <c:v>2.1</c:v>
                </c:pt>
              </c:numCache>
            </c:numRef>
          </c:val>
          <c:extLst>
            <c:ext xmlns:c16="http://schemas.microsoft.com/office/drawing/2014/chart" uri="{C3380CC4-5D6E-409C-BE32-E72D297353CC}">
              <c16:uniqueId val="{00000000-D482-411D-B9BA-43CB1DCA6FF3}"/>
            </c:ext>
          </c:extLst>
        </c:ser>
        <c:dLbls>
          <c:showLegendKey val="0"/>
          <c:showVal val="0"/>
          <c:showCatName val="0"/>
          <c:showSerName val="0"/>
          <c:showPercent val="0"/>
          <c:showBubbleSize val="0"/>
        </c:dLbls>
        <c:gapWidth val="95"/>
        <c:axId val="119392896"/>
        <c:axId val="119624064"/>
      </c:barChart>
      <c:lineChart>
        <c:grouping val="standard"/>
        <c:varyColors val="0"/>
        <c:ser>
          <c:idx val="1"/>
          <c:order val="1"/>
          <c:tx>
            <c:strRef>
              <c:f>'Ceny 2'!$D$5</c:f>
              <c:strCache>
                <c:ptCount val="1"/>
                <c:pt idx="0">
                  <c:v>Potraviny a nealkoholické nápoje</c:v>
                </c:pt>
              </c:strCache>
            </c:strRef>
          </c:tx>
          <c:spPr>
            <a:ln w="19050">
              <a:solidFill>
                <a:srgbClr val="0071BC"/>
              </a:solidFill>
            </a:ln>
          </c:spPr>
          <c:marker>
            <c:symbol val="none"/>
          </c:marker>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2'!$D$10:$D$30</c:f>
              <c:numCache>
                <c:formatCode>0.0</c:formatCode>
                <c:ptCount val="21"/>
                <c:pt idx="0">
                  <c:v>1</c:v>
                </c:pt>
                <c:pt idx="1">
                  <c:v>2.5</c:v>
                </c:pt>
                <c:pt idx="2">
                  <c:v>3.5</c:v>
                </c:pt>
                <c:pt idx="3">
                  <c:v>4.3</c:v>
                </c:pt>
                <c:pt idx="4">
                  <c:v>6.1</c:v>
                </c:pt>
                <c:pt idx="5">
                  <c:v>6.5</c:v>
                </c:pt>
                <c:pt idx="6">
                  <c:v>4</c:v>
                </c:pt>
                <c:pt idx="7">
                  <c:v>1.7000000000000004</c:v>
                </c:pt>
                <c:pt idx="8">
                  <c:v>0.30000000000000021</c:v>
                </c:pt>
                <c:pt idx="9">
                  <c:v>-0.8</c:v>
                </c:pt>
                <c:pt idx="10">
                  <c:v>1.4</c:v>
                </c:pt>
                <c:pt idx="11">
                  <c:v>2.2999999999999998</c:v>
                </c:pt>
                <c:pt idx="12">
                  <c:v>6.7</c:v>
                </c:pt>
                <c:pt idx="13">
                  <c:v>14.6</c:v>
                </c:pt>
                <c:pt idx="14">
                  <c:v>20</c:v>
                </c:pt>
                <c:pt idx="15">
                  <c:v>25.5</c:v>
                </c:pt>
                <c:pt idx="16">
                  <c:v>24.1</c:v>
                </c:pt>
                <c:pt idx="17">
                  <c:v>14.6</c:v>
                </c:pt>
                <c:pt idx="18">
                  <c:v>7.8</c:v>
                </c:pt>
                <c:pt idx="19">
                  <c:v>1.6</c:v>
                </c:pt>
                <c:pt idx="20">
                  <c:v>-4.9000000000000004</c:v>
                </c:pt>
              </c:numCache>
            </c:numRef>
          </c:val>
          <c:smooth val="0"/>
          <c:extLst>
            <c:ext xmlns:c16="http://schemas.microsoft.com/office/drawing/2014/chart" uri="{C3380CC4-5D6E-409C-BE32-E72D297353CC}">
              <c16:uniqueId val="{00000001-D482-411D-B9BA-43CB1DCA6FF3}"/>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2'!$F$10:$F$30</c:f>
              <c:numCache>
                <c:formatCode>0.0</c:formatCode>
                <c:ptCount val="21"/>
                <c:pt idx="0">
                  <c:v>5.4</c:v>
                </c:pt>
                <c:pt idx="1">
                  <c:v>5.7</c:v>
                </c:pt>
                <c:pt idx="2">
                  <c:v>5.2</c:v>
                </c:pt>
                <c:pt idx="3">
                  <c:v>5</c:v>
                </c:pt>
                <c:pt idx="4">
                  <c:v>4.2</c:v>
                </c:pt>
                <c:pt idx="5">
                  <c:v>3.2</c:v>
                </c:pt>
                <c:pt idx="6">
                  <c:v>2.7</c:v>
                </c:pt>
                <c:pt idx="7">
                  <c:v>1.4</c:v>
                </c:pt>
                <c:pt idx="8">
                  <c:v>0.60000000000000042</c:v>
                </c:pt>
                <c:pt idx="9">
                  <c:v>1.3</c:v>
                </c:pt>
                <c:pt idx="10">
                  <c:v>3.6</c:v>
                </c:pt>
                <c:pt idx="11">
                  <c:v>5.6</c:v>
                </c:pt>
                <c:pt idx="12">
                  <c:v>16</c:v>
                </c:pt>
                <c:pt idx="13">
                  <c:v>21.4</c:v>
                </c:pt>
                <c:pt idx="14">
                  <c:v>23.6</c:v>
                </c:pt>
                <c:pt idx="15">
                  <c:v>14.9</c:v>
                </c:pt>
                <c:pt idx="16">
                  <c:v>22.2</c:v>
                </c:pt>
                <c:pt idx="17">
                  <c:v>16</c:v>
                </c:pt>
                <c:pt idx="18">
                  <c:v>11.6</c:v>
                </c:pt>
                <c:pt idx="19">
                  <c:v>17.8</c:v>
                </c:pt>
                <c:pt idx="20">
                  <c:v>3.4</c:v>
                </c:pt>
              </c:numCache>
            </c:numRef>
          </c:val>
          <c:smooth val="0"/>
          <c:extLst>
            <c:ext xmlns:c16="http://schemas.microsoft.com/office/drawing/2014/chart" uri="{C3380CC4-5D6E-409C-BE32-E72D297353CC}">
              <c16:uniqueId val="{00000002-D482-411D-B9BA-43CB1DCA6FF3}"/>
            </c:ext>
          </c:extLst>
        </c:ser>
        <c:ser>
          <c:idx val="4"/>
          <c:order val="3"/>
          <c:tx>
            <c:strRef>
              <c:f>'Ceny 2'!$G$5</c:f>
              <c:strCache>
                <c:ptCount val="1"/>
                <c:pt idx="0">
                  <c:v>Doprava</c:v>
                </c:pt>
              </c:strCache>
            </c:strRef>
          </c:tx>
          <c:spPr>
            <a:ln w="19050">
              <a:solidFill>
                <a:srgbClr val="FFC000"/>
              </a:solidFill>
            </a:ln>
          </c:spPr>
          <c:marker>
            <c:symbol val="none"/>
          </c:marker>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2'!$G$10:$G$30</c:f>
              <c:numCache>
                <c:formatCode>0.0</c:formatCode>
                <c:ptCount val="21"/>
                <c:pt idx="0">
                  <c:v>0.60000000000000042</c:v>
                </c:pt>
                <c:pt idx="1">
                  <c:v>0.8</c:v>
                </c:pt>
                <c:pt idx="2">
                  <c:v>-0.2</c:v>
                </c:pt>
                <c:pt idx="3">
                  <c:v>0.5</c:v>
                </c:pt>
                <c:pt idx="4" formatCode="General">
                  <c:v>1.7000000000000004</c:v>
                </c:pt>
                <c:pt idx="5">
                  <c:v>-3.4</c:v>
                </c:pt>
                <c:pt idx="6">
                  <c:v>-0.2</c:v>
                </c:pt>
                <c:pt idx="7">
                  <c:v>0.60000000000000042</c:v>
                </c:pt>
                <c:pt idx="8">
                  <c:v>2.4</c:v>
                </c:pt>
                <c:pt idx="9">
                  <c:v>9.1</c:v>
                </c:pt>
                <c:pt idx="10">
                  <c:v>8.8000000000000007</c:v>
                </c:pt>
                <c:pt idx="11">
                  <c:v>13.1</c:v>
                </c:pt>
                <c:pt idx="12">
                  <c:v>17.2</c:v>
                </c:pt>
                <c:pt idx="13">
                  <c:v>22.7</c:v>
                </c:pt>
                <c:pt idx="14">
                  <c:v>19.7</c:v>
                </c:pt>
                <c:pt idx="15">
                  <c:v>13.1</c:v>
                </c:pt>
                <c:pt idx="16">
                  <c:v>4.5</c:v>
                </c:pt>
                <c:pt idx="17">
                  <c:v>-4</c:v>
                </c:pt>
                <c:pt idx="18">
                  <c:v>-2.4</c:v>
                </c:pt>
                <c:pt idx="19">
                  <c:v>-1.6</c:v>
                </c:pt>
                <c:pt idx="20">
                  <c:v>0.2</c:v>
                </c:pt>
              </c:numCache>
            </c:numRef>
          </c:val>
          <c:smooth val="0"/>
          <c:extLst>
            <c:ext xmlns:c16="http://schemas.microsoft.com/office/drawing/2014/chart" uri="{C3380CC4-5D6E-409C-BE32-E72D297353CC}">
              <c16:uniqueId val="{00000003-D482-411D-B9BA-43CB1DCA6FF3}"/>
            </c:ext>
          </c:extLst>
        </c:ser>
        <c:ser>
          <c:idx val="2"/>
          <c:order val="4"/>
          <c:tx>
            <c:strRef>
              <c:f>'Ceny 2'!$E$5</c:f>
              <c:strCache>
                <c:ptCount val="1"/>
                <c:pt idx="0">
                  <c:v>Alkoholické nápoje a tabák</c:v>
                </c:pt>
              </c:strCache>
              <c:extLst xmlns:c15="http://schemas.microsoft.com/office/drawing/2012/chart"/>
            </c:strRef>
          </c:tx>
          <c:spPr>
            <a:ln w="19050">
              <a:solidFill>
                <a:srgbClr val="FF0000"/>
              </a:solidFill>
            </a:ln>
          </c:spPr>
          <c:marker>
            <c:symbol val="none"/>
          </c:marker>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2'!$E$10:$E$30</c:f>
              <c:numCache>
                <c:formatCode>0.0</c:formatCode>
                <c:ptCount val="21"/>
                <c:pt idx="0">
                  <c:v>3.3</c:v>
                </c:pt>
                <c:pt idx="1">
                  <c:v>1.7000000000000004</c:v>
                </c:pt>
                <c:pt idx="2">
                  <c:v>1.9000000000000001</c:v>
                </c:pt>
                <c:pt idx="3">
                  <c:v>1.8</c:v>
                </c:pt>
                <c:pt idx="4" formatCode="General">
                  <c:v>3.5</c:v>
                </c:pt>
                <c:pt idx="5">
                  <c:v>6.6</c:v>
                </c:pt>
                <c:pt idx="6">
                  <c:v>10.3</c:v>
                </c:pt>
                <c:pt idx="7">
                  <c:v>9.9</c:v>
                </c:pt>
                <c:pt idx="8">
                  <c:v>9.9</c:v>
                </c:pt>
                <c:pt idx="9">
                  <c:v>9.8000000000000007</c:v>
                </c:pt>
                <c:pt idx="10">
                  <c:v>6.5</c:v>
                </c:pt>
                <c:pt idx="11">
                  <c:v>7.7</c:v>
                </c:pt>
                <c:pt idx="12">
                  <c:v>7.1</c:v>
                </c:pt>
                <c:pt idx="13">
                  <c:v>5.6</c:v>
                </c:pt>
                <c:pt idx="14">
                  <c:v>6.3</c:v>
                </c:pt>
                <c:pt idx="15">
                  <c:v>6</c:v>
                </c:pt>
                <c:pt idx="16">
                  <c:v>6.8</c:v>
                </c:pt>
                <c:pt idx="17">
                  <c:v>6.5</c:v>
                </c:pt>
                <c:pt idx="18">
                  <c:v>7.2</c:v>
                </c:pt>
                <c:pt idx="19">
                  <c:v>5.9</c:v>
                </c:pt>
                <c:pt idx="20">
                  <c:v>4.7</c:v>
                </c:pt>
              </c:numCache>
            </c:numRef>
          </c:val>
          <c:smooth val="0"/>
          <c:extLst xmlns:c15="http://schemas.microsoft.com/office/drawing/2012/chart">
            <c:ext xmlns:c16="http://schemas.microsoft.com/office/drawing/2014/chart" uri="{C3380CC4-5D6E-409C-BE32-E72D297353CC}">
              <c16:uniqueId val="{00000004-D482-411D-B9BA-43CB1DCA6FF3}"/>
            </c:ext>
          </c:extLst>
        </c:ser>
        <c:ser>
          <c:idx val="5"/>
          <c:order val="5"/>
          <c:tx>
            <c:strRef>
              <c:f>'Ceny 2'!$H$5</c:f>
              <c:strCache>
                <c:ptCount val="1"/>
                <c:pt idx="0">
                  <c:v>Stravování a ubytování</c:v>
                </c:pt>
              </c:strCache>
            </c:strRef>
          </c:tx>
          <c:spPr>
            <a:ln w="19050">
              <a:solidFill>
                <a:srgbClr val="7030A0"/>
              </a:solidFill>
            </a:ln>
          </c:spPr>
          <c:marker>
            <c:symbol val="none"/>
          </c:marker>
          <c:cat>
            <c:multiLvlStrRef>
              <c:f>'Ceny 2'!$A$10:$B$30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2'!$H$10:$H$30</c:f>
              <c:numCache>
                <c:formatCode>0.0</c:formatCode>
                <c:ptCount val="21"/>
                <c:pt idx="0">
                  <c:v>3.8</c:v>
                </c:pt>
                <c:pt idx="1">
                  <c:v>4</c:v>
                </c:pt>
                <c:pt idx="2">
                  <c:v>4.5</c:v>
                </c:pt>
                <c:pt idx="3">
                  <c:v>4.5999999999999996</c:v>
                </c:pt>
                <c:pt idx="4">
                  <c:v>5.5</c:v>
                </c:pt>
                <c:pt idx="5">
                  <c:v>5.0999999999999996</c:v>
                </c:pt>
                <c:pt idx="6">
                  <c:v>4.9000000000000004</c:v>
                </c:pt>
                <c:pt idx="7">
                  <c:v>4.3</c:v>
                </c:pt>
                <c:pt idx="8">
                  <c:v>3</c:v>
                </c:pt>
                <c:pt idx="9">
                  <c:v>2.9</c:v>
                </c:pt>
                <c:pt idx="10">
                  <c:v>4.5999999999999996</c:v>
                </c:pt>
                <c:pt idx="11">
                  <c:v>6.8</c:v>
                </c:pt>
                <c:pt idx="12">
                  <c:v>12.3</c:v>
                </c:pt>
                <c:pt idx="13">
                  <c:v>21.4</c:v>
                </c:pt>
                <c:pt idx="14">
                  <c:v>24.3</c:v>
                </c:pt>
                <c:pt idx="15">
                  <c:v>25.6</c:v>
                </c:pt>
                <c:pt idx="16">
                  <c:v>22.4</c:v>
                </c:pt>
                <c:pt idx="17">
                  <c:v>15.4</c:v>
                </c:pt>
                <c:pt idx="18">
                  <c:v>11.6</c:v>
                </c:pt>
                <c:pt idx="19">
                  <c:v>8.8000000000000007</c:v>
                </c:pt>
                <c:pt idx="20">
                  <c:v>8.6</c:v>
                </c:pt>
              </c:numCache>
            </c:numRef>
          </c:val>
          <c:smooth val="0"/>
          <c:extLst>
            <c:ext xmlns:c16="http://schemas.microsoft.com/office/drawing/2014/chart" uri="{C3380CC4-5D6E-409C-BE32-E72D297353CC}">
              <c16:uniqueId val="{00000005-D482-411D-B9BA-43CB1DCA6FF3}"/>
            </c:ext>
          </c:extLst>
        </c:ser>
        <c:dLbls>
          <c:showLegendKey val="0"/>
          <c:showVal val="0"/>
          <c:showCatName val="0"/>
          <c:showSerName val="0"/>
          <c:showPercent val="0"/>
          <c:showBubbleSize val="0"/>
        </c:dLbls>
        <c:marker val="1"/>
        <c:smooth val="0"/>
        <c:axId val="119392896"/>
        <c:axId val="119624064"/>
        <c:extLst>
          <c:ext xmlns:c15="http://schemas.microsoft.com/office/drawing/2012/chart" uri="{02D57815-91ED-43cb-92C2-25804820EDAC}">
            <c15:filteredLineSeries>
              <c15:ser>
                <c:idx val="6"/>
                <c:order val="6"/>
                <c:tx>
                  <c:strRef>
                    <c:extLst>
                      <c:ext uri="{02D57815-91ED-43cb-92C2-25804820EDAC}">
                        <c15:formulaRef>
                          <c15:sqref>'Ceny 2'!$I$5</c15:sqref>
                        </c15:formulaRef>
                      </c:ext>
                    </c:extLst>
                    <c:strCache>
                      <c:ptCount val="1"/>
                      <c:pt idx="0">
                        <c:v>Rekreace a kultura</c:v>
                      </c:pt>
                    </c:strCache>
                  </c:strRef>
                </c:tx>
                <c:spPr>
                  <a:ln w="19050">
                    <a:solidFill>
                      <a:srgbClr val="FF0000"/>
                    </a:solidFill>
                  </a:ln>
                </c:spPr>
                <c:marker>
                  <c:symbol val="none"/>
                </c:marker>
                <c:cat>
                  <c:multiLvlStrRef>
                    <c:extLst>
                      <c:ext uri="{02D57815-91ED-43cb-92C2-25804820EDAC}">
                        <c15:formulaRef>
                          <c15:sqref>'Ceny 2'!$A$10:$B$30</c15:sqref>
                        </c15:formulaRef>
                      </c:ext>
                    </c:extLst>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extLst>
                      <c:ext uri="{02D57815-91ED-43cb-92C2-25804820EDAC}">
                        <c15:formulaRef>
                          <c15:sqref>'Ceny 2'!$I$10:$I$30</c15:sqref>
                        </c15:formulaRef>
                      </c:ext>
                    </c:extLst>
                    <c:numCache>
                      <c:formatCode>General</c:formatCode>
                      <c:ptCount val="21"/>
                      <c:pt idx="0">
                        <c:v>1.7000000000000028</c:v>
                      </c:pt>
                      <c:pt idx="1">
                        <c:v>1</c:v>
                      </c:pt>
                      <c:pt idx="2">
                        <c:v>1.7000000000000028</c:v>
                      </c:pt>
                      <c:pt idx="3">
                        <c:v>2.0999999999999943</c:v>
                      </c:pt>
                      <c:pt idx="4">
                        <c:v>2.0999999999999943</c:v>
                      </c:pt>
                      <c:pt idx="5">
                        <c:v>2</c:v>
                      </c:pt>
                      <c:pt idx="6">
                        <c:v>2.2000000000000028</c:v>
                      </c:pt>
                      <c:pt idx="7">
                        <c:v>2.5</c:v>
                      </c:pt>
                      <c:pt idx="8">
                        <c:v>1.4000000000000057</c:v>
                      </c:pt>
                      <c:pt idx="9">
                        <c:v>2</c:v>
                      </c:pt>
                      <c:pt idx="10">
                        <c:v>3.0999999999999943</c:v>
                      </c:pt>
                      <c:pt idx="11">
                        <c:v>5.2999999999999972</c:v>
                      </c:pt>
                      <c:pt idx="12">
                        <c:v>8.5</c:v>
                      </c:pt>
                      <c:pt idx="13">
                        <c:v>11.299999999999997</c:v>
                      </c:pt>
                      <c:pt idx="14">
                        <c:v>12.599999999999994</c:v>
                      </c:pt>
                      <c:pt idx="15" formatCode="0.0">
                        <c:v>13.2</c:v>
                      </c:pt>
                      <c:pt idx="16" formatCode="0.0">
                        <c:v>14</c:v>
                      </c:pt>
                      <c:pt idx="17" formatCode="0.0">
                        <c:v>11.7</c:v>
                      </c:pt>
                      <c:pt idx="18" formatCode="0.0">
                        <c:v>9.6999999999999993</c:v>
                      </c:pt>
                      <c:pt idx="19" formatCode="0.0">
                        <c:v>6.9</c:v>
                      </c:pt>
                      <c:pt idx="20" formatCode="0.0">
                        <c:v>4.4000000000000004</c:v>
                      </c:pt>
                    </c:numCache>
                  </c:numRef>
                </c:val>
                <c:smooth val="0"/>
                <c:extLst>
                  <c:ext xmlns:c16="http://schemas.microsoft.com/office/drawing/2014/chart" uri="{C3380CC4-5D6E-409C-BE32-E72D297353CC}">
                    <c16:uniqueId val="{00000006-D482-411D-B9BA-43CB1DCA6FF3}"/>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'Ceny 2'!$J$5</c15:sqref>
                        </c15:formulaRef>
                      </c:ext>
                    </c:extLst>
                    <c:strCache>
                      <c:ptCount val="1"/>
                      <c:pt idx="0">
                        <c:v>Odívání a obuv</c:v>
                      </c:pt>
                    </c:strCache>
                  </c:strRef>
                </c:tx>
                <c:spPr>
                  <a:ln w="19050">
                    <a:solidFill>
                      <a:srgbClr val="E8AFB2"/>
                    </a:solidFill>
                  </a:ln>
                </c:spPr>
                <c:marker>
                  <c:symbol val="none"/>
                </c:marker>
                <c:cat>
                  <c:multiLvlStrRef>
                    <c:extLst xmlns:c15="http://schemas.microsoft.com/office/drawing/2012/chart">
                      <c:ext xmlns:c15="http://schemas.microsoft.com/office/drawing/2012/chart" uri="{02D57815-91ED-43cb-92C2-25804820EDAC}">
                        <c15:formulaRef>
                          <c15:sqref>'Ceny 2'!$A$10:$B$30</c15:sqref>
                        </c15:formulaRef>
                      </c:ext>
                    </c:extLst>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extLst xmlns:c15="http://schemas.microsoft.com/office/drawing/2012/chart">
                      <c:ext xmlns:c15="http://schemas.microsoft.com/office/drawing/2012/chart" uri="{02D57815-91ED-43cb-92C2-25804820EDAC}">
                        <c15:formulaRef>
                          <c15:sqref>'Ceny 2'!$J$6:$J$24</c15:sqref>
                        </c15:formulaRef>
                      </c:ext>
                    </c:extLst>
                    <c:numCache>
                      <c:formatCode>General</c:formatCode>
                      <c:ptCount val="19"/>
                      <c:pt idx="0">
                        <c:v>-0.29999999999999716</c:v>
                      </c:pt>
                      <c:pt idx="1">
                        <c:v>-1</c:v>
                      </c:pt>
                      <c:pt idx="2">
                        <c:v>-1.4000000000000057</c:v>
                      </c:pt>
                      <c:pt idx="3">
                        <c:v>-1.7000000000000028</c:v>
                      </c:pt>
                      <c:pt idx="4">
                        <c:v>-1.0999999999999943</c:v>
                      </c:pt>
                      <c:pt idx="5">
                        <c:v>-1.9000000000000057</c:v>
                      </c:pt>
                      <c:pt idx="6">
                        <c:v>-1.5</c:v>
                      </c:pt>
                      <c:pt idx="7">
                        <c:v>-0.29999999999999716</c:v>
                      </c:pt>
                      <c:pt idx="8">
                        <c:v>3.5</c:v>
                      </c:pt>
                      <c:pt idx="9">
                        <c:v>3.4000000000000057</c:v>
                      </c:pt>
                      <c:pt idx="10">
                        <c:v>4.5</c:v>
                      </c:pt>
                      <c:pt idx="11">
                        <c:v>3.4000000000000057</c:v>
                      </c:pt>
                      <c:pt idx="12">
                        <c:v>2.7000000000000028</c:v>
                      </c:pt>
                      <c:pt idx="13">
                        <c:v>2.9000000000000057</c:v>
                      </c:pt>
                      <c:pt idx="14">
                        <c:v>7.7999999999999972</c:v>
                      </c:pt>
                      <c:pt idx="15">
                        <c:v>12.599999999999994</c:v>
                      </c:pt>
                      <c:pt idx="16">
                        <c:v>16.900000000000006</c:v>
                      </c:pt>
                      <c:pt idx="17">
                        <c:v>20</c:v>
                      </c:pt>
                      <c:pt idx="18">
                        <c:v>19</c:v>
                      </c:pt>
                    </c:numCache>
                  </c:numRef>
                </c:val>
                <c:smooth val="0"/>
                <c:extLst xmlns:c15="http://schemas.microsoft.com/office/drawing/2012/chart">
                  <c:ext xmlns:c16="http://schemas.microsoft.com/office/drawing/2014/chart" uri="{C3380CC4-5D6E-409C-BE32-E72D297353CC}">
                    <c16:uniqueId val="{00000007-D482-411D-B9BA-43CB1DCA6FF3}"/>
                  </c:ext>
                </c:extLst>
              </c15:ser>
            </c15:filteredLineSeries>
          </c:ext>
        </c:extLst>
      </c:lineChart>
      <c:catAx>
        <c:axId val="11939289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9624064"/>
        <c:crosses val="autoZero"/>
        <c:auto val="1"/>
        <c:lblAlgn val="ctr"/>
        <c:lblOffset val="100"/>
        <c:noMultiLvlLbl val="0"/>
      </c:catAx>
      <c:valAx>
        <c:axId val="119624064"/>
        <c:scaling>
          <c:orientation val="minMax"/>
          <c:max val="27"/>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9392896"/>
        <c:crosses val="autoZero"/>
        <c:crossBetween val="between"/>
        <c:majorUnit val="3"/>
      </c:valAx>
      <c:spPr>
        <a:ln>
          <a:solidFill>
            <a:schemeClr val="tx1"/>
          </a:solidFill>
        </a:ln>
      </c:spPr>
    </c:plotArea>
    <c:legend>
      <c:legendPos val="b"/>
      <c:layout>
        <c:manualLayout>
          <c:xMode val="edge"/>
          <c:yMode val="edge"/>
          <c:x val="5.3882134414049376E-2"/>
          <c:y val="0.89376988734317164"/>
          <c:w val="0.92470364741641364"/>
          <c:h val="9.550737793164607E-2"/>
        </c:manualLayout>
      </c:layout>
      <c:overlay val="0"/>
      <c:spPr>
        <a:ln w="6350">
          <a:no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3731847348988E-2"/>
          <c:y val="2.9569886214146503E-2"/>
          <c:w val="0.90493308848362042"/>
          <c:h val="0.73556653157716956"/>
        </c:manualLayout>
      </c:layout>
      <c:barChart>
        <c:barDir val="col"/>
        <c:grouping val="clustered"/>
        <c:varyColors val="0"/>
        <c:ser>
          <c:idx val="0"/>
          <c:order val="0"/>
          <c:tx>
            <c:strRef>
              <c:f>'Ceny 1'!$C$5</c:f>
              <c:strCache>
                <c:ptCount val="1"/>
                <c:pt idx="0">
                  <c:v>Realizované ceny starších bytů, ČR</c:v>
                </c:pt>
              </c:strCache>
            </c:strRef>
          </c:tx>
          <c:spPr>
            <a:solidFill>
              <a:schemeClr val="bg1">
                <a:lumMod val="65000"/>
              </a:schemeClr>
            </a:solidFill>
            <a:ln w="19050">
              <a:noFill/>
            </a:ln>
          </c:spPr>
          <c:invertIfNegative val="0"/>
          <c:cat>
            <c:multiLvlStrRef>
              <c:f>'Ceny 1'!$A$10:$B$30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1'!$C$10:$C$30</c:f>
              <c:numCache>
                <c:formatCode>General</c:formatCode>
                <c:ptCount val="21"/>
                <c:pt idx="0">
                  <c:v>11.3</c:v>
                </c:pt>
                <c:pt idx="1">
                  <c:v>10.600000000000001</c:v>
                </c:pt>
                <c:pt idx="2">
                  <c:v>9.5</c:v>
                </c:pt>
                <c:pt idx="3">
                  <c:v>9.4000000000000057</c:v>
                </c:pt>
                <c:pt idx="4">
                  <c:v>10.600000000000001</c:v>
                </c:pt>
                <c:pt idx="5">
                  <c:v>10.200000000000003</c:v>
                </c:pt>
                <c:pt idx="6">
                  <c:v>11.200000000000003</c:v>
                </c:pt>
                <c:pt idx="7">
                  <c:v>13.3</c:v>
                </c:pt>
                <c:pt idx="8">
                  <c:v>15.200000000000003</c:v>
                </c:pt>
                <c:pt idx="9">
                  <c:v>17.900000000000006</c:v>
                </c:pt>
                <c:pt idx="10">
                  <c:v>21.299999999999986</c:v>
                </c:pt>
                <c:pt idx="11">
                  <c:v>25.200000000000003</c:v>
                </c:pt>
                <c:pt idx="12">
                  <c:v>27.299999999999986</c:v>
                </c:pt>
                <c:pt idx="13">
                  <c:v>27.599999999999987</c:v>
                </c:pt>
                <c:pt idx="14">
                  <c:v>23.400000000000006</c:v>
                </c:pt>
                <c:pt idx="15">
                  <c:v>13.8</c:v>
                </c:pt>
                <c:pt idx="16">
                  <c:v>3.7000000000000042</c:v>
                </c:pt>
                <c:pt idx="17">
                  <c:v>-4.0999999999999943</c:v>
                </c:pt>
                <c:pt idx="18">
                  <c:v>-7</c:v>
                </c:pt>
                <c:pt idx="19">
                  <c:v>-5.5</c:v>
                </c:pt>
                <c:pt idx="20">
                  <c:v>9.9999999999994413E-2</c:v>
                </c:pt>
              </c:numCache>
            </c:numRef>
          </c:val>
          <c:extLst>
            <c:ext xmlns:c16="http://schemas.microsoft.com/office/drawing/2014/chart" uri="{C3380CC4-5D6E-409C-BE32-E72D297353CC}">
              <c16:uniqueId val="{00000000-B7CE-405D-80F5-4410F481A7A1}"/>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invertIfNegative val="0"/>
          <c:cat>
            <c:multiLvlStrRef>
              <c:f>'Ceny 1'!$A$10:$B$30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1'!$D$10:$D$30</c:f>
              <c:numCache>
                <c:formatCode>General</c:formatCode>
                <c:ptCount val="21"/>
                <c:pt idx="0">
                  <c:v>9.4000000000000057</c:v>
                </c:pt>
                <c:pt idx="1">
                  <c:v>8.7000000000000011</c:v>
                </c:pt>
                <c:pt idx="2">
                  <c:v>6.5</c:v>
                </c:pt>
                <c:pt idx="3">
                  <c:v>7.0999999999999943</c:v>
                </c:pt>
                <c:pt idx="4">
                  <c:v>6.2000000000000028</c:v>
                </c:pt>
                <c:pt idx="5">
                  <c:v>8</c:v>
                </c:pt>
                <c:pt idx="6">
                  <c:v>9.4000000000000057</c:v>
                </c:pt>
                <c:pt idx="7">
                  <c:v>10.600000000000001</c:v>
                </c:pt>
                <c:pt idx="8">
                  <c:v>14.3</c:v>
                </c:pt>
                <c:pt idx="9">
                  <c:v>15.8</c:v>
                </c:pt>
                <c:pt idx="10">
                  <c:v>16.599999999999987</c:v>
                </c:pt>
                <c:pt idx="11">
                  <c:v>20</c:v>
                </c:pt>
                <c:pt idx="12">
                  <c:v>19</c:v>
                </c:pt>
                <c:pt idx="13">
                  <c:v>16.700000000000003</c:v>
                </c:pt>
                <c:pt idx="14">
                  <c:v>15.600000000000001</c:v>
                </c:pt>
                <c:pt idx="15">
                  <c:v>8.4000000000000057</c:v>
                </c:pt>
                <c:pt idx="16">
                  <c:v>1.2000000000000028</c:v>
                </c:pt>
                <c:pt idx="17">
                  <c:v>-3.5999999999999943</c:v>
                </c:pt>
                <c:pt idx="18">
                  <c:v>-5.2999999999999972</c:v>
                </c:pt>
                <c:pt idx="19">
                  <c:v>-2.5999999999999943</c:v>
                </c:pt>
                <c:pt idx="20">
                  <c:v>1</c:v>
                </c:pt>
              </c:numCache>
            </c:numRef>
          </c:val>
          <c:extLst>
            <c:ext xmlns:c16="http://schemas.microsoft.com/office/drawing/2014/chart" uri="{C3380CC4-5D6E-409C-BE32-E72D297353CC}">
              <c16:uniqueId val="{00000001-B7CE-405D-80F5-4410F481A7A1}"/>
            </c:ext>
          </c:extLst>
        </c:ser>
        <c:dLbls>
          <c:showLegendKey val="0"/>
          <c:showVal val="0"/>
          <c:showCatName val="0"/>
          <c:showSerName val="0"/>
          <c:showPercent val="0"/>
          <c:showBubbleSize val="0"/>
        </c:dLbls>
        <c:gapWidth val="95"/>
        <c:axId val="114985216"/>
        <c:axId val="114995200"/>
      </c:barChart>
      <c:lineChart>
        <c:grouping val="standard"/>
        <c:varyColors val="0"/>
        <c:ser>
          <c:idx val="2"/>
          <c:order val="2"/>
          <c:tx>
            <c:strRef>
              <c:f>'Ceny 1'!$E$5</c:f>
              <c:strCache>
                <c:ptCount val="1"/>
                <c:pt idx="0">
                  <c:v>Nabídkové ceny bytů, ČR</c:v>
                </c:pt>
              </c:strCache>
            </c:strRef>
          </c:tx>
          <c:spPr>
            <a:ln w="19050">
              <a:solidFill>
                <a:schemeClr val="accent2"/>
              </a:solidFill>
            </a:ln>
          </c:spPr>
          <c:marker>
            <c:symbol val="none"/>
          </c:marker>
          <c:cat>
            <c:multiLvlStrRef>
              <c:f>'Ceny 1'!$A$10:$B$30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1'!$E$10:$E$30</c:f>
              <c:numCache>
                <c:formatCode>0.0</c:formatCode>
                <c:ptCount val="21"/>
                <c:pt idx="0">
                  <c:v>7.4232690935046541</c:v>
                </c:pt>
                <c:pt idx="1">
                  <c:v>5.726256983240237</c:v>
                </c:pt>
                <c:pt idx="2">
                  <c:v>5.1912568306010876</c:v>
                </c:pt>
                <c:pt idx="3">
                  <c:v>5.5144586415601955</c:v>
                </c:pt>
                <c:pt idx="4">
                  <c:v>6.0465116279069626</c:v>
                </c:pt>
                <c:pt idx="5">
                  <c:v>7.1334214002641883</c:v>
                </c:pt>
                <c:pt idx="6">
                  <c:v>7.9870129870129887</c:v>
                </c:pt>
                <c:pt idx="7">
                  <c:v>7.6481835564053489</c:v>
                </c:pt>
                <c:pt idx="8">
                  <c:v>7.6441102756892239</c:v>
                </c:pt>
                <c:pt idx="9">
                  <c:v>7.953144266337854</c:v>
                </c:pt>
                <c:pt idx="10">
                  <c:v>9.320505111244751</c:v>
                </c:pt>
                <c:pt idx="11">
                  <c:v>12.433392539964474</c:v>
                </c:pt>
                <c:pt idx="12">
                  <c:v>16.880093131548293</c:v>
                </c:pt>
                <c:pt idx="13">
                  <c:v>24.67161621930326</c:v>
                </c:pt>
                <c:pt idx="14">
                  <c:v>22.937293729372925</c:v>
                </c:pt>
                <c:pt idx="15">
                  <c:v>18.325434439178494</c:v>
                </c:pt>
                <c:pt idx="16">
                  <c:v>9.8107569721115624</c:v>
                </c:pt>
                <c:pt idx="17" formatCode="General">
                  <c:v>-0.7329363261566757</c:v>
                </c:pt>
                <c:pt idx="18" formatCode="General">
                  <c:v>-3.3109619686800897</c:v>
                </c:pt>
                <c:pt idx="19" formatCode="General">
                  <c:v>-4.1833555852247324</c:v>
                </c:pt>
                <c:pt idx="20" formatCode="General">
                  <c:v>-0.68027210884353906</c:v>
                </c:pt>
              </c:numCache>
            </c:numRef>
          </c:val>
          <c:smooth val="0"/>
          <c:extLst>
            <c:ext xmlns:c16="http://schemas.microsoft.com/office/drawing/2014/chart" uri="{C3380CC4-5D6E-409C-BE32-E72D297353CC}">
              <c16:uniqueId val="{00000002-B7CE-405D-80F5-4410F481A7A1}"/>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1'!$F$10:$F$30</c:f>
              <c:numCache>
                <c:formatCode>0.0</c:formatCode>
                <c:ptCount val="21"/>
                <c:pt idx="0">
                  <c:v>8.3178150217256377</c:v>
                </c:pt>
                <c:pt idx="1">
                  <c:v>4.9397590361445722</c:v>
                </c:pt>
                <c:pt idx="2">
                  <c:v>3.3096926713947976</c:v>
                </c:pt>
                <c:pt idx="3">
                  <c:v>2.9530978575564606</c:v>
                </c:pt>
                <c:pt idx="4">
                  <c:v>3.553008595988528</c:v>
                </c:pt>
                <c:pt idx="5">
                  <c:v>5.2812858783008068</c:v>
                </c:pt>
                <c:pt idx="6">
                  <c:v>6.2356979405034316</c:v>
                </c:pt>
                <c:pt idx="7">
                  <c:v>5.1743532058492718</c:v>
                </c:pt>
                <c:pt idx="8">
                  <c:v>4.7592695074709646</c:v>
                </c:pt>
                <c:pt idx="9">
                  <c:v>4.5256270447110012</c:v>
                </c:pt>
                <c:pt idx="10">
                  <c:v>6.246634356488979</c:v>
                </c:pt>
                <c:pt idx="11">
                  <c:v>9.1443850267379485</c:v>
                </c:pt>
                <c:pt idx="12">
                  <c:v>12.255678816693077</c:v>
                </c:pt>
                <c:pt idx="13">
                  <c:v>19.718309859154925</c:v>
                </c:pt>
                <c:pt idx="14">
                  <c:v>18.499746578813966</c:v>
                </c:pt>
                <c:pt idx="15">
                  <c:v>16.903478686918177</c:v>
                </c:pt>
                <c:pt idx="16">
                  <c:v>10.305882352941191</c:v>
                </c:pt>
                <c:pt idx="17" formatCode="General">
                  <c:v>0.30501089324617703</c:v>
                </c:pt>
                <c:pt idx="18" formatCode="General">
                  <c:v>-1.582549187339608</c:v>
                </c:pt>
                <c:pt idx="19" formatCode="General">
                  <c:v>-3.56244761106454</c:v>
                </c:pt>
                <c:pt idx="20" formatCode="General">
                  <c:v>0.34129692832762282</c:v>
                </c:pt>
              </c:numCache>
            </c:numRef>
          </c:val>
          <c:smooth val="0"/>
          <c:extLst>
            <c:ext xmlns:c16="http://schemas.microsoft.com/office/drawing/2014/chart" uri="{C3380CC4-5D6E-409C-BE32-E72D297353CC}">
              <c16:uniqueId val="{00000003-B7CE-405D-80F5-4410F481A7A1}"/>
            </c:ext>
          </c:extLst>
        </c:ser>
        <c:dLbls>
          <c:showLegendKey val="0"/>
          <c:showVal val="0"/>
          <c:showCatName val="0"/>
          <c:showSerName val="0"/>
          <c:showPercent val="0"/>
          <c:showBubbleSize val="0"/>
        </c:dLbls>
        <c:marker val="1"/>
        <c:smooth val="0"/>
        <c:axId val="114985216"/>
        <c:axId val="114995200"/>
      </c:lineChart>
      <c:catAx>
        <c:axId val="11498521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114995200"/>
        <c:crosses val="autoZero"/>
        <c:auto val="1"/>
        <c:lblAlgn val="ctr"/>
        <c:lblOffset val="100"/>
        <c:noMultiLvlLbl val="0"/>
      </c:catAx>
      <c:valAx>
        <c:axId val="114995200"/>
        <c:scaling>
          <c:orientation val="minMax"/>
          <c:max val="28"/>
          <c:min val="-8"/>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4985216"/>
        <c:crosses val="autoZero"/>
        <c:crossBetween val="between"/>
        <c:majorUnit val="4"/>
      </c:valAx>
      <c:spPr>
        <a:ln>
          <a:solidFill>
            <a:schemeClr val="tx1"/>
          </a:solidFill>
        </a:ln>
      </c:spPr>
    </c:plotArea>
    <c:legend>
      <c:legendPos val="b"/>
      <c:layout>
        <c:manualLayout>
          <c:xMode val="edge"/>
          <c:yMode val="edge"/>
          <c:x val="7.3334810874704504E-2"/>
          <c:y val="0.88817854328492629"/>
          <c:w val="0.89999282337048336"/>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948270126413876E-2"/>
          <c:y val="2.1811315924220472E-2"/>
          <c:w val="0.92972688385431712"/>
          <c:h val="0.71663233141956562"/>
        </c:manualLayout>
      </c:layout>
      <c:barChart>
        <c:barDir val="col"/>
        <c:grouping val="clustered"/>
        <c:varyColors val="0"/>
        <c:ser>
          <c:idx val="0"/>
          <c:order val="0"/>
          <c:tx>
            <c:strRef>
              <c:f>'Ceny 4'!$C$5</c:f>
              <c:strCache>
                <c:ptCount val="1"/>
                <c:pt idx="0">
                  <c:v>Celkem</c:v>
                </c:pt>
              </c:strCache>
            </c:strRef>
          </c:tx>
          <c:spPr>
            <a:solidFill>
              <a:schemeClr val="bg1">
                <a:lumMod val="65000"/>
              </a:schemeClr>
            </a:solidFill>
            <a:ln w="19050">
              <a:noFill/>
            </a:ln>
          </c:spPr>
          <c:invertIfNegative val="0"/>
          <c:cat>
            <c:multiLvlStrRef>
              <c:f>'Ceny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4'!$C$10:$C$30</c:f>
              <c:numCache>
                <c:formatCode>General</c:formatCode>
                <c:ptCount val="21"/>
                <c:pt idx="0">
                  <c:v>3.5</c:v>
                </c:pt>
                <c:pt idx="1">
                  <c:v>3.5</c:v>
                </c:pt>
                <c:pt idx="2">
                  <c:v>2</c:v>
                </c:pt>
                <c:pt idx="3">
                  <c:v>1.2999999999999956</c:v>
                </c:pt>
                <c:pt idx="4">
                  <c:v>1.4000000000000057</c:v>
                </c:pt>
                <c:pt idx="5">
                  <c:v>-0.59999999999999432</c:v>
                </c:pt>
                <c:pt idx="6">
                  <c:v>-0.29999999999999755</c:v>
                </c:pt>
                <c:pt idx="7">
                  <c:v>9.9999999999994413E-2</c:v>
                </c:pt>
                <c:pt idx="8">
                  <c:v>1.5</c:v>
                </c:pt>
                <c:pt idx="9">
                  <c:v>5.2999999999999972</c:v>
                </c:pt>
                <c:pt idx="10">
                  <c:v>9</c:v>
                </c:pt>
                <c:pt idx="11">
                  <c:v>12.8</c:v>
                </c:pt>
                <c:pt idx="12">
                  <c:v>21.799999999999986</c:v>
                </c:pt>
                <c:pt idx="13">
                  <c:v>27.700000000000003</c:v>
                </c:pt>
                <c:pt idx="14">
                  <c:v>25.900000000000006</c:v>
                </c:pt>
                <c:pt idx="15">
                  <c:v>21.799999999999986</c:v>
                </c:pt>
                <c:pt idx="16">
                  <c:v>15</c:v>
                </c:pt>
                <c:pt idx="17">
                  <c:v>3.9000000000000057</c:v>
                </c:pt>
                <c:pt idx="18">
                  <c:v>1.3</c:v>
                </c:pt>
                <c:pt idx="19">
                  <c:v>0.8</c:v>
                </c:pt>
                <c:pt idx="20">
                  <c:v>-0.9</c:v>
                </c:pt>
              </c:numCache>
            </c:numRef>
          </c:val>
          <c:extLst>
            <c:ext xmlns:c16="http://schemas.microsoft.com/office/drawing/2014/chart" uri="{C3380CC4-5D6E-409C-BE32-E72D297353CC}">
              <c16:uniqueId val="{00000000-8E64-402E-80AB-209CC92F7542}"/>
            </c:ext>
          </c:extLst>
        </c:ser>
        <c:dLbls>
          <c:showLegendKey val="0"/>
          <c:showVal val="0"/>
          <c:showCatName val="0"/>
          <c:showSerName val="0"/>
          <c:showPercent val="0"/>
          <c:showBubbleSize val="0"/>
        </c:dLbls>
        <c:gapWidth val="96"/>
        <c:axId val="117908608"/>
        <c:axId val="117910144"/>
      </c:barChart>
      <c:lineChart>
        <c:grouping val="standard"/>
        <c:varyColors val="0"/>
        <c:ser>
          <c:idx val="1"/>
          <c:order val="1"/>
          <c:tx>
            <c:strRef>
              <c:f>'Ceny 4'!$D$5</c:f>
              <c:strCache>
                <c:ptCount val="1"/>
                <c:pt idx="0">
                  <c:v>Těžba a dobývání</c:v>
                </c:pt>
              </c:strCache>
            </c:strRef>
          </c:tx>
          <c:spPr>
            <a:ln w="19050">
              <a:solidFill>
                <a:srgbClr val="7DBB2D"/>
              </a:solidFill>
            </a:ln>
          </c:spPr>
          <c:marker>
            <c:symbol val="none"/>
          </c:marker>
          <c:cat>
            <c:multiLvlStrRef>
              <c:f>'Ceny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4'!$D$10:$D$30</c:f>
              <c:numCache>
                <c:formatCode>General</c:formatCode>
                <c:ptCount val="21"/>
                <c:pt idx="0">
                  <c:v>7.7000000000000028</c:v>
                </c:pt>
                <c:pt idx="1">
                  <c:v>7.7000000000000028</c:v>
                </c:pt>
                <c:pt idx="2">
                  <c:v>6.7000000000000028</c:v>
                </c:pt>
                <c:pt idx="3">
                  <c:v>3.7000000000000042</c:v>
                </c:pt>
                <c:pt idx="4">
                  <c:v>-2.0999999999999943</c:v>
                </c:pt>
                <c:pt idx="5">
                  <c:v>-3.5</c:v>
                </c:pt>
                <c:pt idx="6">
                  <c:v>-3.5999999999999943</c:v>
                </c:pt>
                <c:pt idx="7">
                  <c:v>-2</c:v>
                </c:pt>
                <c:pt idx="8">
                  <c:v>-0.5</c:v>
                </c:pt>
                <c:pt idx="9">
                  <c:v>0.7999999999999976</c:v>
                </c:pt>
                <c:pt idx="10">
                  <c:v>3.2999999999999972</c:v>
                </c:pt>
                <c:pt idx="11">
                  <c:v>13.8</c:v>
                </c:pt>
                <c:pt idx="12">
                  <c:v>25.200000000000003</c:v>
                </c:pt>
                <c:pt idx="13">
                  <c:v>31.900000000000006</c:v>
                </c:pt>
                <c:pt idx="14">
                  <c:v>30.199999999999992</c:v>
                </c:pt>
                <c:pt idx="15">
                  <c:v>23.299999999999986</c:v>
                </c:pt>
                <c:pt idx="16">
                  <c:v>54</c:v>
                </c:pt>
                <c:pt idx="17">
                  <c:v>47.600000000000009</c:v>
                </c:pt>
                <c:pt idx="18">
                  <c:v>44.5</c:v>
                </c:pt>
                <c:pt idx="19">
                  <c:v>40.200000000000003</c:v>
                </c:pt>
                <c:pt idx="20">
                  <c:v>-1.2</c:v>
                </c:pt>
              </c:numCache>
            </c:numRef>
          </c:val>
          <c:smooth val="0"/>
          <c:extLst>
            <c:ext xmlns:c16="http://schemas.microsoft.com/office/drawing/2014/chart" uri="{C3380CC4-5D6E-409C-BE32-E72D297353CC}">
              <c16:uniqueId val="{00000001-8E64-402E-80AB-209CC92F7542}"/>
            </c:ext>
          </c:extLst>
        </c:ser>
        <c:ser>
          <c:idx val="2"/>
          <c:order val="2"/>
          <c:tx>
            <c:strRef>
              <c:f>'Ceny 4'!$E$5</c:f>
              <c:strCache>
                <c:ptCount val="1"/>
                <c:pt idx="0">
                  <c:v>Zpracovatelský průmysl</c:v>
                </c:pt>
              </c:strCache>
            </c:strRef>
          </c:tx>
          <c:spPr>
            <a:ln w="19050">
              <a:solidFill>
                <a:srgbClr val="BD1B21"/>
              </a:solidFill>
            </a:ln>
          </c:spPr>
          <c:marker>
            <c:symbol val="none"/>
          </c:marker>
          <c:cat>
            <c:multiLvlStrRef>
              <c:f>'Ceny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4'!$E$10:$E$30</c:f>
              <c:numCache>
                <c:formatCode>General</c:formatCode>
                <c:ptCount val="21"/>
                <c:pt idx="0">
                  <c:v>2.5999999999999943</c:v>
                </c:pt>
                <c:pt idx="1">
                  <c:v>2.5999999999999943</c:v>
                </c:pt>
                <c:pt idx="2">
                  <c:v>0.7999999999999976</c:v>
                </c:pt>
                <c:pt idx="3">
                  <c:v>-9.9999999999994413E-2</c:v>
                </c:pt>
                <c:pt idx="4">
                  <c:v>0</c:v>
                </c:pt>
                <c:pt idx="5">
                  <c:v>-2.2999999999999972</c:v>
                </c:pt>
                <c:pt idx="6">
                  <c:v>-1.7999999999999956</c:v>
                </c:pt>
                <c:pt idx="7">
                  <c:v>-1.2000000000000028</c:v>
                </c:pt>
                <c:pt idx="8">
                  <c:v>1.7999999999999956</c:v>
                </c:pt>
                <c:pt idx="9">
                  <c:v>6.5</c:v>
                </c:pt>
                <c:pt idx="10">
                  <c:v>11</c:v>
                </c:pt>
                <c:pt idx="11">
                  <c:v>14.5</c:v>
                </c:pt>
                <c:pt idx="12">
                  <c:v>17.5</c:v>
                </c:pt>
                <c:pt idx="13">
                  <c:v>24.200000000000003</c:v>
                </c:pt>
                <c:pt idx="14">
                  <c:v>20.5</c:v>
                </c:pt>
                <c:pt idx="15">
                  <c:v>16</c:v>
                </c:pt>
                <c:pt idx="16">
                  <c:v>10.3</c:v>
                </c:pt>
                <c:pt idx="17">
                  <c:v>-0.90000000000000568</c:v>
                </c:pt>
                <c:pt idx="18">
                  <c:v>-2.4</c:v>
                </c:pt>
                <c:pt idx="19">
                  <c:v>-2.2999999999999998</c:v>
                </c:pt>
                <c:pt idx="20">
                  <c:v>-1.7</c:v>
                </c:pt>
              </c:numCache>
            </c:numRef>
          </c:val>
          <c:smooth val="0"/>
          <c:extLst>
            <c:ext xmlns:c16="http://schemas.microsoft.com/office/drawing/2014/chart" uri="{C3380CC4-5D6E-409C-BE32-E72D297353CC}">
              <c16:uniqueId val="{00000002-8E64-402E-80AB-209CC92F7542}"/>
            </c:ext>
          </c:extLst>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4'!$F$10:$F$30</c:f>
              <c:numCache>
                <c:formatCode>General</c:formatCode>
                <c:ptCount val="21"/>
                <c:pt idx="0">
                  <c:v>7.7000000000000028</c:v>
                </c:pt>
                <c:pt idx="1">
                  <c:v>8.3000000000000025</c:v>
                </c:pt>
                <c:pt idx="2">
                  <c:v>7.7999999999999972</c:v>
                </c:pt>
                <c:pt idx="3">
                  <c:v>8.3000000000000025</c:v>
                </c:pt>
                <c:pt idx="4">
                  <c:v>8.9000000000000057</c:v>
                </c:pt>
                <c:pt idx="5">
                  <c:v>8.2000000000000011</c:v>
                </c:pt>
                <c:pt idx="6">
                  <c:v>7.7999999999999972</c:v>
                </c:pt>
                <c:pt idx="7">
                  <c:v>6.0999999999999943</c:v>
                </c:pt>
                <c:pt idx="8">
                  <c:v>0.29999999999999755</c:v>
                </c:pt>
                <c:pt idx="9">
                  <c:v>9.9999999999994413E-2</c:v>
                </c:pt>
                <c:pt idx="10">
                  <c:v>0.7999999999999976</c:v>
                </c:pt>
                <c:pt idx="11">
                  <c:v>5.5</c:v>
                </c:pt>
                <c:pt idx="12">
                  <c:v>45</c:v>
                </c:pt>
                <c:pt idx="13">
                  <c:v>47.20000000000001</c:v>
                </c:pt>
                <c:pt idx="14">
                  <c:v>56</c:v>
                </c:pt>
                <c:pt idx="15">
                  <c:v>54.300000000000004</c:v>
                </c:pt>
                <c:pt idx="16">
                  <c:v>28.400000000000006</c:v>
                </c:pt>
                <c:pt idx="17">
                  <c:v>18.400000000000006</c:v>
                </c:pt>
                <c:pt idx="18">
                  <c:v>10.5</c:v>
                </c:pt>
                <c:pt idx="19">
                  <c:v>7.1</c:v>
                </c:pt>
                <c:pt idx="20">
                  <c:v>0.8</c:v>
                </c:pt>
              </c:numCache>
            </c:numRef>
          </c:val>
          <c:smooth val="0"/>
          <c:extLst>
            <c:ext xmlns:c16="http://schemas.microsoft.com/office/drawing/2014/chart" uri="{C3380CC4-5D6E-409C-BE32-E72D297353CC}">
              <c16:uniqueId val="{00000003-8E64-402E-80AB-209CC92F7542}"/>
            </c:ext>
          </c:extLst>
        </c:ser>
        <c:ser>
          <c:idx val="4"/>
          <c:order val="4"/>
          <c:tx>
            <c:strRef>
              <c:f>'Ceny 4'!$G$5</c:f>
              <c:strCache>
                <c:ptCount val="1"/>
                <c:pt idx="0">
                  <c:v>Zás. vodou; odpadní vody</c:v>
                </c:pt>
              </c:strCache>
            </c:strRef>
          </c:tx>
          <c:spPr>
            <a:ln w="19050">
              <a:solidFill>
                <a:schemeClr val="accent1"/>
              </a:solidFill>
            </a:ln>
          </c:spPr>
          <c:marker>
            <c:symbol val="none"/>
          </c:marker>
          <c:cat>
            <c:multiLvlStrRef>
              <c:f>'Ceny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'Ceny 4'!$G$10:$G$30</c:f>
              <c:numCache>
                <c:formatCode>General</c:formatCode>
                <c:ptCount val="21"/>
                <c:pt idx="0">
                  <c:v>2.9000000000000057</c:v>
                </c:pt>
                <c:pt idx="1">
                  <c:v>2.9000000000000057</c:v>
                </c:pt>
                <c:pt idx="2">
                  <c:v>2.9000000000000057</c:v>
                </c:pt>
                <c:pt idx="3">
                  <c:v>2.9000000000000057</c:v>
                </c:pt>
                <c:pt idx="4">
                  <c:v>5.4000000000000083</c:v>
                </c:pt>
                <c:pt idx="5">
                  <c:v>6.0999999999999943</c:v>
                </c:pt>
                <c:pt idx="6">
                  <c:v>6.4000000000000083</c:v>
                </c:pt>
                <c:pt idx="7">
                  <c:v>6.4000000000000083</c:v>
                </c:pt>
                <c:pt idx="8">
                  <c:v>6.9000000000000083</c:v>
                </c:pt>
                <c:pt idx="9">
                  <c:v>6.2000000000000028</c:v>
                </c:pt>
                <c:pt idx="10">
                  <c:v>5.9000000000000083</c:v>
                </c:pt>
                <c:pt idx="11">
                  <c:v>5.9000000000000083</c:v>
                </c:pt>
                <c:pt idx="12">
                  <c:v>5.2999999999999972</c:v>
                </c:pt>
                <c:pt idx="13">
                  <c:v>5.2999999999999972</c:v>
                </c:pt>
                <c:pt idx="14">
                  <c:v>5.2999999999999972</c:v>
                </c:pt>
                <c:pt idx="15">
                  <c:v>5.2999999999999972</c:v>
                </c:pt>
                <c:pt idx="16">
                  <c:v>16.299999999999986</c:v>
                </c:pt>
                <c:pt idx="17">
                  <c:v>16.299999999999986</c:v>
                </c:pt>
                <c:pt idx="18">
                  <c:v>16.3</c:v>
                </c:pt>
                <c:pt idx="19">
                  <c:v>16.3</c:v>
                </c:pt>
                <c:pt idx="20">
                  <c:v>9.2000000000000011</c:v>
                </c:pt>
              </c:numCache>
            </c:numRef>
          </c:val>
          <c:smooth val="0"/>
          <c:extLst>
            <c:ext xmlns:c16="http://schemas.microsoft.com/office/drawing/2014/chart" uri="{C3380CC4-5D6E-409C-BE32-E72D297353CC}">
              <c16:uniqueId val="{00000004-8E64-402E-80AB-209CC92F7542}"/>
            </c:ext>
          </c:extLst>
        </c:ser>
        <c:dLbls>
          <c:showLegendKey val="0"/>
          <c:showVal val="0"/>
          <c:showCatName val="0"/>
          <c:showSerName val="0"/>
          <c:showPercent val="0"/>
          <c:showBubbleSize val="0"/>
        </c:dLbls>
        <c:marker val="1"/>
        <c:smooth val="0"/>
        <c:axId val="117908608"/>
        <c:axId val="117910144"/>
      </c:lineChart>
      <c:catAx>
        <c:axId val="117908608"/>
        <c:scaling>
          <c:orientation val="minMax"/>
        </c:scaling>
        <c:delete val="0"/>
        <c:axPos val="b"/>
        <c:numFmt formatCode="General" sourceLinked="0"/>
        <c:majorTickMark val="out"/>
        <c:minorTickMark val="none"/>
        <c:tickLblPos val="low"/>
        <c:spPr>
          <a:ln>
            <a:solidFill>
              <a:schemeClr val="tx1"/>
            </a:solidFill>
          </a:ln>
        </c:spPr>
        <c:crossAx val="117910144"/>
        <c:crosses val="autoZero"/>
        <c:auto val="1"/>
        <c:lblAlgn val="ctr"/>
        <c:lblOffset val="100"/>
        <c:noMultiLvlLbl val="0"/>
      </c:catAx>
      <c:valAx>
        <c:axId val="117910144"/>
        <c:scaling>
          <c:orientation val="minMax"/>
          <c:min val="-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7908608"/>
        <c:crosses val="autoZero"/>
        <c:crossBetween val="between"/>
        <c:majorUnit val="5"/>
      </c:valAx>
      <c:spPr>
        <a:ln>
          <a:solidFill>
            <a:schemeClr val="tx1"/>
          </a:solidFill>
        </a:ln>
      </c:spPr>
    </c:plotArea>
    <c:legend>
      <c:legendPos val="b"/>
      <c:layout>
        <c:manualLayout>
          <c:xMode val="edge"/>
          <c:yMode val="edge"/>
          <c:x val="5.0756819693945479E-2"/>
          <c:y val="0.86223931272106069"/>
          <c:w val="0.92591056042997266"/>
          <c:h val="0.12109402425765239"/>
        </c:manualLayout>
      </c:layout>
      <c:overlay val="0"/>
      <c:spPr>
        <a:ln w="6350">
          <a:no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1923E-2"/>
          <c:y val="1.452205106022466E-2"/>
          <c:w val="0.84495121574960952"/>
          <c:h val="0.67557130739459648"/>
        </c:manualLayout>
      </c:layout>
      <c:barChart>
        <c:barDir val="col"/>
        <c:grouping val="stacked"/>
        <c:varyColors val="0"/>
        <c:ser>
          <c:idx val="0"/>
          <c:order val="0"/>
          <c:tx>
            <c:strRef>
              <c:f>'Trh práce 1-SNÚ'!$AC$7</c:f>
              <c:strCache>
                <c:ptCount val="1"/>
                <c:pt idx="0">
                  <c:v>Zemědělství, lesnictví a rybářství</c:v>
                </c:pt>
              </c:strCache>
            </c:strRef>
          </c:tx>
          <c:spPr>
            <a:solidFill>
              <a:srgbClr val="7DBB2D"/>
            </a:solidFill>
            <a:ln>
              <a:noFill/>
            </a:ln>
          </c:spPr>
          <c:invertIfNegative val="0"/>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1-SNÚ'!$AC$28:$AC$65</c:f>
              <c:numCache>
                <c:formatCode>#\ ##0.0</c:formatCode>
                <c:ptCount val="38"/>
                <c:pt idx="0">
                  <c:v>-5.6828505791380483E-2</c:v>
                </c:pt>
                <c:pt idx="1">
                  <c:v>-5.3414002474862207E-2</c:v>
                </c:pt>
                <c:pt idx="2">
                  <c:v>-6.9742710596297483E-2</c:v>
                </c:pt>
                <c:pt idx="3">
                  <c:v>-0.13971969588082001</c:v>
                </c:pt>
                <c:pt idx="4">
                  <c:v>-0.12487960810120249</c:v>
                </c:pt>
                <c:pt idx="5">
                  <c:v>-3.2190093204688588E-2</c:v>
                </c:pt>
                <c:pt idx="6">
                  <c:v>-4.495117850766725E-2</c:v>
                </c:pt>
                <c:pt idx="7">
                  <c:v>5.8087184963969883E-2</c:v>
                </c:pt>
                <c:pt idx="8">
                  <c:v>9.8469969335167482E-2</c:v>
                </c:pt>
                <c:pt idx="9">
                  <c:v>3.525689638197723E-2</c:v>
                </c:pt>
                <c:pt idx="10">
                  <c:v>1.9943614652896621E-2</c:v>
                </c:pt>
                <c:pt idx="11">
                  <c:v>-9.3018884588644907E-2</c:v>
                </c:pt>
                <c:pt idx="12">
                  <c:v>2.8401707115870724E-2</c:v>
                </c:pt>
                <c:pt idx="13">
                  <c:v>3.0424969757692683E-2</c:v>
                </c:pt>
                <c:pt idx="14">
                  <c:v>1.721394210079398E-2</c:v>
                </c:pt>
                <c:pt idx="15">
                  <c:v>8.3528120512972676E-2</c:v>
                </c:pt>
                <c:pt idx="16">
                  <c:v>-3.1494865390982861E-2</c:v>
                </c:pt>
                <c:pt idx="17">
                  <c:v>-9.3480094872355909E-2</c:v>
                </c:pt>
                <c:pt idx="18">
                  <c:v>-0.12508397994816237</c:v>
                </c:pt>
                <c:pt idx="19">
                  <c:v>-0.13226896814548544</c:v>
                </c:pt>
                <c:pt idx="20">
                  <c:v>-7.8919822387198829E-2</c:v>
                </c:pt>
                <c:pt idx="21">
                  <c:v>-1.5977001932115317E-3</c:v>
                </c:pt>
                <c:pt idx="22">
                  <c:v>9.3748963565408974E-2</c:v>
                </c:pt>
                <c:pt idx="23">
                  <c:v>7.772100709712601E-2</c:v>
                </c:pt>
                <c:pt idx="24">
                  <c:v>4.0304610198826939E-2</c:v>
                </c:pt>
                <c:pt idx="25">
                  <c:v>-4.2078229095876024E-2</c:v>
                </c:pt>
                <c:pt idx="26">
                  <c:v>-6.3204140368347289E-2</c:v>
                </c:pt>
                <c:pt idx="27">
                  <c:v>-1.9871976866903441E-2</c:v>
                </c:pt>
                <c:pt idx="28">
                  <c:v>-6.7858193110616749E-2</c:v>
                </c:pt>
                <c:pt idx="29">
                  <c:v>3.2150994971479802E-2</c:v>
                </c:pt>
                <c:pt idx="30">
                  <c:v>-1.5470823458751911E-2</c:v>
                </c:pt>
                <c:pt idx="31">
                  <c:v>-0.10814649725202051</c:v>
                </c:pt>
                <c:pt idx="32">
                  <c:v>4.5977643278109576E-2</c:v>
                </c:pt>
                <c:pt idx="33">
                  <c:v>2.1780539937939113E-2</c:v>
                </c:pt>
                <c:pt idx="34">
                  <c:v>6.3655276774792968E-3</c:v>
                </c:pt>
                <c:pt idx="35">
                  <c:v>2.6625080127719986E-2</c:v>
                </c:pt>
                <c:pt idx="36">
                  <c:v>5.4941248782696857E-2</c:v>
                </c:pt>
              </c:numCache>
            </c:numRef>
          </c:val>
          <c:extLst>
            <c:ext xmlns:c16="http://schemas.microsoft.com/office/drawing/2014/chart" uri="{C3380CC4-5D6E-409C-BE32-E72D297353CC}">
              <c16:uniqueId val="{00000000-9D0E-4FFE-B28B-6C70590B987C}"/>
            </c:ext>
          </c:extLst>
        </c:ser>
        <c:ser>
          <c:idx val="1"/>
          <c:order val="1"/>
          <c:tx>
            <c:strRef>
              <c:f>'Trh práce 1-SNÚ'!$AD$7</c:f>
              <c:strCache>
                <c:ptCount val="1"/>
                <c:pt idx="0">
                  <c:v>Zpracovatelský průmysl</c:v>
                </c:pt>
              </c:strCache>
            </c:strRef>
          </c:tx>
          <c:spPr>
            <a:solidFill>
              <a:srgbClr val="A6CDE8"/>
            </a:solidFill>
            <a:ln>
              <a:noFill/>
            </a:ln>
          </c:spPr>
          <c:invertIfNegative val="0"/>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1-SNÚ'!$AD$28:$AD$65</c:f>
              <c:numCache>
                <c:formatCode>#\ ##0.0</c:formatCode>
                <c:ptCount val="38"/>
                <c:pt idx="0">
                  <c:v>0.89949329716318993</c:v>
                </c:pt>
                <c:pt idx="1">
                  <c:v>0.93127175953417085</c:v>
                </c:pt>
                <c:pt idx="2">
                  <c:v>0.78437575581487662</c:v>
                </c:pt>
                <c:pt idx="3">
                  <c:v>0.92631003282458291</c:v>
                </c:pt>
                <c:pt idx="4">
                  <c:v>0.87287644021507216</c:v>
                </c:pt>
                <c:pt idx="5">
                  <c:v>0.63654993177204455</c:v>
                </c:pt>
                <c:pt idx="6">
                  <c:v>0.66873314812908025</c:v>
                </c:pt>
                <c:pt idx="7">
                  <c:v>0.5180001099102538</c:v>
                </c:pt>
                <c:pt idx="8">
                  <c:v>0.25448906088853906</c:v>
                </c:pt>
                <c:pt idx="9">
                  <c:v>0.40500765768385588</c:v>
                </c:pt>
                <c:pt idx="10">
                  <c:v>0.49291118462601918</c:v>
                </c:pt>
                <c:pt idx="11">
                  <c:v>0.47964454670419909</c:v>
                </c:pt>
                <c:pt idx="12">
                  <c:v>0.34488863442030787</c:v>
                </c:pt>
                <c:pt idx="13">
                  <c:v>0.29136030152194398</c:v>
                </c:pt>
                <c:pt idx="14">
                  <c:v>9.8868388234755161E-2</c:v>
                </c:pt>
                <c:pt idx="15">
                  <c:v>9.055089068099019E-2</c:v>
                </c:pt>
                <c:pt idx="16">
                  <c:v>0.14484299401542142</c:v>
                </c:pt>
                <c:pt idx="17">
                  <c:v>-1.8858080604667569E-2</c:v>
                </c:pt>
                <c:pt idx="18">
                  <c:v>-0.16365938471305239</c:v>
                </c:pt>
                <c:pt idx="19">
                  <c:v>-0.54941077591471033</c:v>
                </c:pt>
                <c:pt idx="20">
                  <c:v>-0.82546861976528951</c:v>
                </c:pt>
                <c:pt idx="21">
                  <c:v>-1.0955999520322597</c:v>
                </c:pt>
                <c:pt idx="22">
                  <c:v>-1.080397843479032</c:v>
                </c:pt>
                <c:pt idx="23">
                  <c:v>-0.90789746373281621</c:v>
                </c:pt>
                <c:pt idx="24">
                  <c:v>-0.49316165113626681</c:v>
                </c:pt>
                <c:pt idx="25">
                  <c:v>-7.4509620655944658E-2</c:v>
                </c:pt>
                <c:pt idx="26">
                  <c:v>0.18158292508911653</c:v>
                </c:pt>
                <c:pt idx="27">
                  <c:v>0.3223340430198105</c:v>
                </c:pt>
                <c:pt idx="28">
                  <c:v>3.8225465944550785E-2</c:v>
                </c:pt>
                <c:pt idx="29">
                  <c:v>0.35386644203937845</c:v>
                </c:pt>
                <c:pt idx="30">
                  <c:v>0.17343313749973452</c:v>
                </c:pt>
                <c:pt idx="31">
                  <c:v>8.8561203763424454E-2</c:v>
                </c:pt>
                <c:pt idx="32">
                  <c:v>4.8447363211869078E-2</c:v>
                </c:pt>
                <c:pt idx="33">
                  <c:v>-0.20013957101662938</c:v>
                </c:pt>
                <c:pt idx="34">
                  <c:v>-0.41926263708584888</c:v>
                </c:pt>
                <c:pt idx="35">
                  <c:v>-0.33991964367196703</c:v>
                </c:pt>
                <c:pt idx="36">
                  <c:v>-0.38816230502545157</c:v>
                </c:pt>
              </c:numCache>
            </c:numRef>
          </c:val>
          <c:extLst>
            <c:ext xmlns:c16="http://schemas.microsoft.com/office/drawing/2014/chart" uri="{C3380CC4-5D6E-409C-BE32-E72D297353CC}">
              <c16:uniqueId val="{00000001-9D0E-4FFE-B28B-6C70590B987C}"/>
            </c:ext>
          </c:extLst>
        </c:ser>
        <c:ser>
          <c:idx val="2"/>
          <c:order val="2"/>
          <c:tx>
            <c:strRef>
              <c:f>'Trh práce 1-SNÚ'!$AE$7</c:f>
              <c:strCache>
                <c:ptCount val="1"/>
                <c:pt idx="0">
                  <c:v>Stavebnictví</c:v>
                </c:pt>
              </c:strCache>
            </c:strRef>
          </c:tx>
          <c:spPr>
            <a:solidFill>
              <a:srgbClr val="48AEE7"/>
            </a:solidFill>
            <a:ln w="19050">
              <a:noFill/>
            </a:ln>
          </c:spPr>
          <c:invertIfNegative val="0"/>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1-SNÚ'!$AE$28:$AE$65</c:f>
              <c:numCache>
                <c:formatCode>#\ ##0.0</c:formatCode>
                <c:ptCount val="38"/>
                <c:pt idx="0">
                  <c:v>-0.11446239310279097</c:v>
                </c:pt>
                <c:pt idx="1">
                  <c:v>-0.10158864467757592</c:v>
                </c:pt>
                <c:pt idx="2">
                  <c:v>-0.15723882215178694</c:v>
                </c:pt>
                <c:pt idx="3">
                  <c:v>-0.18194332296049914</c:v>
                </c:pt>
                <c:pt idx="4">
                  <c:v>-0.11325522810856539</c:v>
                </c:pt>
                <c:pt idx="5">
                  <c:v>-0.12563587006311638</c:v>
                </c:pt>
                <c:pt idx="6">
                  <c:v>-2.3912252831191489E-2</c:v>
                </c:pt>
                <c:pt idx="7">
                  <c:v>9.7996904835013724E-3</c:v>
                </c:pt>
                <c:pt idx="8">
                  <c:v>-1.3015925682695845E-2</c:v>
                </c:pt>
                <c:pt idx="9">
                  <c:v>1.663061150093266E-2</c:v>
                </c:pt>
                <c:pt idx="10">
                  <c:v>7.5842717437158341E-2</c:v>
                </c:pt>
                <c:pt idx="11">
                  <c:v>-7.0108572985760911E-2</c:v>
                </c:pt>
                <c:pt idx="12">
                  <c:v>0.10624272535850574</c:v>
                </c:pt>
                <c:pt idx="13">
                  <c:v>6.6114358543656077E-2</c:v>
                </c:pt>
                <c:pt idx="14">
                  <c:v>6.2149037714554899E-2</c:v>
                </c:pt>
                <c:pt idx="15">
                  <c:v>0.11396633392024222</c:v>
                </c:pt>
                <c:pt idx="16">
                  <c:v>4.082461644614449E-2</c:v>
                </c:pt>
                <c:pt idx="17">
                  <c:v>7.0404728663714888E-2</c:v>
                </c:pt>
                <c:pt idx="18">
                  <c:v>9.977925270765331E-2</c:v>
                </c:pt>
                <c:pt idx="19">
                  <c:v>0.13486608895157276</c:v>
                </c:pt>
                <c:pt idx="20">
                  <c:v>2.9339864088043205E-2</c:v>
                </c:pt>
                <c:pt idx="21">
                  <c:v>-0.22182322567588586</c:v>
                </c:pt>
                <c:pt idx="22">
                  <c:v>-0.10380928866499864</c:v>
                </c:pt>
                <c:pt idx="23">
                  <c:v>-5.7292436011891962E-2</c:v>
                </c:pt>
                <c:pt idx="24">
                  <c:v>-7.078786710782474E-2</c:v>
                </c:pt>
                <c:pt idx="25">
                  <c:v>0.1427694418966679</c:v>
                </c:pt>
                <c:pt idx="26">
                  <c:v>-1.9848613983292209E-2</c:v>
                </c:pt>
                <c:pt idx="27">
                  <c:v>5.8388099330416922E-2</c:v>
                </c:pt>
                <c:pt idx="28">
                  <c:v>0.23211676197023084</c:v>
                </c:pt>
                <c:pt idx="29">
                  <c:v>0.2775895608839154</c:v>
                </c:pt>
                <c:pt idx="30">
                  <c:v>0.27910704340849279</c:v>
                </c:pt>
                <c:pt idx="31">
                  <c:v>0.25014916598053255</c:v>
                </c:pt>
                <c:pt idx="32">
                  <c:v>0.25347125635952983</c:v>
                </c:pt>
                <c:pt idx="33">
                  <c:v>0.20527838858385108</c:v>
                </c:pt>
                <c:pt idx="34">
                  <c:v>0.15840441353035692</c:v>
                </c:pt>
                <c:pt idx="35">
                  <c:v>2.4678694959762493E-2</c:v>
                </c:pt>
                <c:pt idx="36">
                  <c:v>-9.2747718508748703E-2</c:v>
                </c:pt>
              </c:numCache>
            </c:numRef>
          </c:val>
          <c:extLst>
            <c:ext xmlns:c16="http://schemas.microsoft.com/office/drawing/2014/chart" uri="{C3380CC4-5D6E-409C-BE32-E72D297353CC}">
              <c16:uniqueId val="{00000002-9D0E-4FFE-B28B-6C70590B987C}"/>
            </c:ext>
          </c:extLst>
        </c:ser>
        <c:ser>
          <c:idx val="3"/>
          <c:order val="3"/>
          <c:tx>
            <c:strRef>
              <c:f>'Trh práce 1-SNÚ'!$AF$7</c:f>
              <c:strCache>
                <c:ptCount val="1"/>
                <c:pt idx="0">
                  <c:v>Obchod, doprava, ubytování a pohost.</c:v>
                </c:pt>
              </c:strCache>
            </c:strRef>
          </c:tx>
          <c:spPr>
            <a:solidFill>
              <a:srgbClr val="FDDEB3"/>
            </a:solidFill>
            <a:ln w="19050">
              <a:noFill/>
            </a:ln>
          </c:spPr>
          <c:invertIfNegative val="0"/>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1-SNÚ'!$AF$28:$AF$65</c:f>
              <c:numCache>
                <c:formatCode>#\ ##0.0</c:formatCode>
                <c:ptCount val="38"/>
                <c:pt idx="0">
                  <c:v>0.22921943798120303</c:v>
                </c:pt>
                <c:pt idx="1">
                  <c:v>0.48955640475490941</c:v>
                </c:pt>
                <c:pt idx="2">
                  <c:v>0.32927866250413407</c:v>
                </c:pt>
                <c:pt idx="3">
                  <c:v>0.16612893864836825</c:v>
                </c:pt>
                <c:pt idx="4">
                  <c:v>8.137065994846028E-2</c:v>
                </c:pt>
                <c:pt idx="5">
                  <c:v>0.23250543653835901</c:v>
                </c:pt>
                <c:pt idx="6">
                  <c:v>-6.9229828761272118E-3</c:v>
                </c:pt>
                <c:pt idx="7">
                  <c:v>7.0307975449277485E-2</c:v>
                </c:pt>
                <c:pt idx="8">
                  <c:v>0.16752509340503544</c:v>
                </c:pt>
                <c:pt idx="9">
                  <c:v>4.8846481779882198E-3</c:v>
                </c:pt>
                <c:pt idx="10">
                  <c:v>0.35735158674247353</c:v>
                </c:pt>
                <c:pt idx="11">
                  <c:v>0.18418833710391036</c:v>
                </c:pt>
                <c:pt idx="12">
                  <c:v>0.15244258448001169</c:v>
                </c:pt>
                <c:pt idx="13">
                  <c:v>0.40230652744870238</c:v>
                </c:pt>
                <c:pt idx="14">
                  <c:v>0.21159735322599382</c:v>
                </c:pt>
                <c:pt idx="15">
                  <c:v>0.22968370337309341</c:v>
                </c:pt>
                <c:pt idx="16">
                  <c:v>0.43610558013709622</c:v>
                </c:pt>
                <c:pt idx="17">
                  <c:v>0.11493484477903346</c:v>
                </c:pt>
                <c:pt idx="18">
                  <c:v>-1.6666789714208475E-2</c:v>
                </c:pt>
                <c:pt idx="19">
                  <c:v>-4.3580055512076075E-2</c:v>
                </c:pt>
                <c:pt idx="20">
                  <c:v>-0.11338864767860299</c:v>
                </c:pt>
                <c:pt idx="21">
                  <c:v>-0.5701218677959996</c:v>
                </c:pt>
                <c:pt idx="22">
                  <c:v>-0.41759561915220661</c:v>
                </c:pt>
                <c:pt idx="23">
                  <c:v>-0.99268065558520002</c:v>
                </c:pt>
                <c:pt idx="24">
                  <c:v>-0.85371650200457738</c:v>
                </c:pt>
                <c:pt idx="25">
                  <c:v>-0.15752122069655988</c:v>
                </c:pt>
                <c:pt idx="26">
                  <c:v>0.24002189726109691</c:v>
                </c:pt>
                <c:pt idx="27">
                  <c:v>0.7407978296476736</c:v>
                </c:pt>
                <c:pt idx="28">
                  <c:v>0.53515652322371077</c:v>
                </c:pt>
                <c:pt idx="29">
                  <c:v>0.98687301589970389</c:v>
                </c:pt>
                <c:pt idx="30">
                  <c:v>0.46477551965324987</c:v>
                </c:pt>
                <c:pt idx="31">
                  <c:v>0.261651344983797</c:v>
                </c:pt>
                <c:pt idx="32">
                  <c:v>8.5734563414794948E-2</c:v>
                </c:pt>
                <c:pt idx="33">
                  <c:v>5.146132610021889E-2</c:v>
                </c:pt>
                <c:pt idx="34">
                  <c:v>7.1543394646020983E-2</c:v>
                </c:pt>
                <c:pt idx="35">
                  <c:v>8.380473496752687E-2</c:v>
                </c:pt>
                <c:pt idx="36">
                  <c:v>0.20303338734606377</c:v>
                </c:pt>
              </c:numCache>
            </c:numRef>
          </c:val>
          <c:extLst>
            <c:ext xmlns:c16="http://schemas.microsoft.com/office/drawing/2014/chart" uri="{C3380CC4-5D6E-409C-BE32-E72D297353CC}">
              <c16:uniqueId val="{00000003-9D0E-4FFE-B28B-6C70590B987C}"/>
            </c:ext>
          </c:extLst>
        </c:ser>
        <c:ser>
          <c:idx val="4"/>
          <c:order val="4"/>
          <c:tx>
            <c:strRef>
              <c:f>'Trh práce 1-SNÚ'!$AG$7</c:f>
              <c:strCache>
                <c:ptCount val="1"/>
                <c:pt idx="0">
                  <c:v>Informační a komunikač. čin.</c:v>
                </c:pt>
              </c:strCache>
            </c:strRef>
          </c:tx>
          <c:spPr>
            <a:solidFill>
              <a:srgbClr val="F8A124"/>
            </a:solidFill>
            <a:ln w="19050">
              <a:noFill/>
            </a:ln>
          </c:spPr>
          <c:invertIfNegative val="0"/>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1-SNÚ'!$AG$28:$AG$65</c:f>
              <c:numCache>
                <c:formatCode>#\ ##0.0</c:formatCode>
                <c:ptCount val="38"/>
                <c:pt idx="0">
                  <c:v>1.6421925627927481E-2</c:v>
                </c:pt>
                <c:pt idx="1">
                  <c:v>5.8810347324453387E-2</c:v>
                </c:pt>
                <c:pt idx="2">
                  <c:v>6.8432712948427635E-2</c:v>
                </c:pt>
                <c:pt idx="3">
                  <c:v>9.7009172732417617E-2</c:v>
                </c:pt>
                <c:pt idx="4">
                  <c:v>0.1202414998904507</c:v>
                </c:pt>
                <c:pt idx="5">
                  <c:v>0.11261710858129224</c:v>
                </c:pt>
                <c:pt idx="6">
                  <c:v>0.12964683530975837</c:v>
                </c:pt>
                <c:pt idx="7">
                  <c:v>0.16713276044214689</c:v>
                </c:pt>
                <c:pt idx="8">
                  <c:v>0.12903159219365573</c:v>
                </c:pt>
                <c:pt idx="9">
                  <c:v>0.1338051485332182</c:v>
                </c:pt>
                <c:pt idx="10">
                  <c:v>0.13863661271570693</c:v>
                </c:pt>
                <c:pt idx="11">
                  <c:v>0.12829019627380961</c:v>
                </c:pt>
                <c:pt idx="12">
                  <c:v>0.11921936740282588</c:v>
                </c:pt>
                <c:pt idx="13">
                  <c:v>0.14348820404813328</c:v>
                </c:pt>
                <c:pt idx="14">
                  <c:v>0.12461478215607261</c:v>
                </c:pt>
                <c:pt idx="15">
                  <c:v>0.14222506693054082</c:v>
                </c:pt>
                <c:pt idx="16">
                  <c:v>0.15100100067608449</c:v>
                </c:pt>
                <c:pt idx="17">
                  <c:v>8.7586944683397366E-2</c:v>
                </c:pt>
                <c:pt idx="18">
                  <c:v>0.1334819747653993</c:v>
                </c:pt>
                <c:pt idx="19">
                  <c:v>0.1358423116659177</c:v>
                </c:pt>
                <c:pt idx="20">
                  <c:v>0.12945571610776943</c:v>
                </c:pt>
                <c:pt idx="21">
                  <c:v>8.7230757675342149E-2</c:v>
                </c:pt>
                <c:pt idx="22">
                  <c:v>0.10732855989947056</c:v>
                </c:pt>
                <c:pt idx="23">
                  <c:v>7.317310801389737E-2</c:v>
                </c:pt>
                <c:pt idx="24">
                  <c:v>6.8471510199846153E-2</c:v>
                </c:pt>
                <c:pt idx="25">
                  <c:v>0.13165868738071818</c:v>
                </c:pt>
                <c:pt idx="26">
                  <c:v>0.10412080114108865</c:v>
                </c:pt>
                <c:pt idx="27">
                  <c:v>3.9101703530884151E-2</c:v>
                </c:pt>
                <c:pt idx="28">
                  <c:v>9.9089132084497142E-2</c:v>
                </c:pt>
                <c:pt idx="29">
                  <c:v>0.10416847644449227</c:v>
                </c:pt>
                <c:pt idx="30">
                  <c:v>0.11043415928068227</c:v>
                </c:pt>
                <c:pt idx="31">
                  <c:v>0.19349303709369248</c:v>
                </c:pt>
                <c:pt idx="32">
                  <c:v>0.16942650132046538</c:v>
                </c:pt>
                <c:pt idx="33">
                  <c:v>8.699414650275103E-2</c:v>
                </c:pt>
                <c:pt idx="34">
                  <c:v>3.8761844330010835E-2</c:v>
                </c:pt>
                <c:pt idx="35">
                  <c:v>3.4373896551097786E-2</c:v>
                </c:pt>
                <c:pt idx="36">
                  <c:v>4.8563812299581947E-2</c:v>
                </c:pt>
              </c:numCache>
            </c:numRef>
          </c:val>
          <c:extLst>
            <c:ext xmlns:c16="http://schemas.microsoft.com/office/drawing/2014/chart" uri="{C3380CC4-5D6E-409C-BE32-E72D297353CC}">
              <c16:uniqueId val="{00000004-9D0E-4FFE-B28B-6C70590B987C}"/>
            </c:ext>
          </c:extLst>
        </c:ser>
        <c:ser>
          <c:idx val="5"/>
          <c:order val="5"/>
          <c:tx>
            <c:strRef>
              <c:f>'Trh práce 1-SNÚ'!$AH$7</c:f>
              <c:strCache>
                <c:ptCount val="1"/>
                <c:pt idx="0">
                  <c:v>Profesní, vědec., techn. a admin. čin.</c:v>
                </c:pt>
              </c:strCache>
            </c:strRef>
          </c:tx>
          <c:spPr>
            <a:solidFill>
              <a:srgbClr val="E8C0BE"/>
            </a:solidFill>
            <a:ln w="19050">
              <a:noFill/>
            </a:ln>
          </c:spPr>
          <c:invertIfNegative val="0"/>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1-SNÚ'!$AH$28:$AH$65</c:f>
              <c:numCache>
                <c:formatCode>#\ ##0.0</c:formatCode>
                <c:ptCount val="38"/>
                <c:pt idx="0">
                  <c:v>0.10308883456383168</c:v>
                </c:pt>
                <c:pt idx="1">
                  <c:v>0.12282080877669461</c:v>
                </c:pt>
                <c:pt idx="2">
                  <c:v>0.25097208668743332</c:v>
                </c:pt>
                <c:pt idx="3">
                  <c:v>0.35868659590703411</c:v>
                </c:pt>
                <c:pt idx="4">
                  <c:v>0.23811542989926274</c:v>
                </c:pt>
                <c:pt idx="5">
                  <c:v>0.24004667467079344</c:v>
                </c:pt>
                <c:pt idx="6">
                  <c:v>0.25800163760363776</c:v>
                </c:pt>
                <c:pt idx="7">
                  <c:v>0.26365010416494572</c:v>
                </c:pt>
                <c:pt idx="8">
                  <c:v>0.41654784776603976</c:v>
                </c:pt>
                <c:pt idx="9">
                  <c:v>0.35593309894624658</c:v>
                </c:pt>
                <c:pt idx="10">
                  <c:v>0.30977182035627732</c:v>
                </c:pt>
                <c:pt idx="11">
                  <c:v>0.13772607419921484</c:v>
                </c:pt>
                <c:pt idx="12">
                  <c:v>0.14343992134911879</c:v>
                </c:pt>
                <c:pt idx="13">
                  <c:v>0.13539486233919026</c:v>
                </c:pt>
                <c:pt idx="14">
                  <c:v>0.10628305160717502</c:v>
                </c:pt>
                <c:pt idx="15">
                  <c:v>0.2182460882983914</c:v>
                </c:pt>
                <c:pt idx="16">
                  <c:v>-9.1442689268283559E-3</c:v>
                </c:pt>
                <c:pt idx="17">
                  <c:v>-3.3296298567616171E-2</c:v>
                </c:pt>
                <c:pt idx="18">
                  <c:v>-2.6633640706093933E-2</c:v>
                </c:pt>
                <c:pt idx="19">
                  <c:v>-0.20614876639524751</c:v>
                </c:pt>
                <c:pt idx="20">
                  <c:v>-0.13657008164791523</c:v>
                </c:pt>
                <c:pt idx="21">
                  <c:v>-0.27353729169983632</c:v>
                </c:pt>
                <c:pt idx="22">
                  <c:v>-0.43694239818987962</c:v>
                </c:pt>
                <c:pt idx="23">
                  <c:v>-0.20909243346063169</c:v>
                </c:pt>
                <c:pt idx="24">
                  <c:v>-0.1713918803351494</c:v>
                </c:pt>
                <c:pt idx="25">
                  <c:v>0.10134809862521423</c:v>
                </c:pt>
                <c:pt idx="26">
                  <c:v>0.19100069845358966</c:v>
                </c:pt>
                <c:pt idx="27">
                  <c:v>7.1176434253319584E-2</c:v>
                </c:pt>
                <c:pt idx="28">
                  <c:v>-2.0682741042304916E-3</c:v>
                </c:pt>
                <c:pt idx="29">
                  <c:v>-4.55083229230243E-2</c:v>
                </c:pt>
                <c:pt idx="30">
                  <c:v>1.7441865870564063E-2</c:v>
                </c:pt>
                <c:pt idx="31">
                  <c:v>5.8718716721028366E-2</c:v>
                </c:pt>
                <c:pt idx="32">
                  <c:v>0.17237902364729063</c:v>
                </c:pt>
                <c:pt idx="33">
                  <c:v>0.13830917174696358</c:v>
                </c:pt>
                <c:pt idx="34">
                  <c:v>0.23247934367923692</c:v>
                </c:pt>
                <c:pt idx="35">
                  <c:v>0.21869289953182408</c:v>
                </c:pt>
                <c:pt idx="36">
                  <c:v>0.10154418262339003</c:v>
                </c:pt>
              </c:numCache>
            </c:numRef>
          </c:val>
          <c:extLst>
            <c:ext xmlns:c16="http://schemas.microsoft.com/office/drawing/2014/chart" uri="{C3380CC4-5D6E-409C-BE32-E72D297353CC}">
              <c16:uniqueId val="{00000005-9D0E-4FFE-B28B-6C70590B987C}"/>
            </c:ext>
          </c:extLst>
        </c:ser>
        <c:ser>
          <c:idx val="6"/>
          <c:order val="6"/>
          <c:tx>
            <c:strRef>
              <c:f>'Trh práce 1-SNÚ'!$AI$7</c:f>
              <c:strCache>
                <c:ptCount val="1"/>
                <c:pt idx="0">
                  <c:v>Veř.spr.,obrana, vzděl.,zdrav.a soc.péče</c:v>
                </c:pt>
              </c:strCache>
            </c:strRef>
          </c:tx>
          <c:spPr>
            <a:solidFill>
              <a:srgbClr val="D58D8B"/>
            </a:solidFill>
            <a:ln>
              <a:noFill/>
            </a:ln>
          </c:spPr>
          <c:invertIfNegative val="0"/>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1-SNÚ'!$AI$28:$AI$65</c:f>
              <c:numCache>
                <c:formatCode>#\ ##0.0</c:formatCode>
                <c:ptCount val="38"/>
                <c:pt idx="0">
                  <c:v>0.2031525775646241</c:v>
                </c:pt>
                <c:pt idx="1">
                  <c:v>0.21991576992497472</c:v>
                </c:pt>
                <c:pt idx="2">
                  <c:v>0.13142991326837997</c:v>
                </c:pt>
                <c:pt idx="3">
                  <c:v>0.14149199757097264</c:v>
                </c:pt>
                <c:pt idx="4">
                  <c:v>0.325463233483336</c:v>
                </c:pt>
                <c:pt idx="5">
                  <c:v>0.34066723563476037</c:v>
                </c:pt>
                <c:pt idx="6">
                  <c:v>0.44607921975090492</c:v>
                </c:pt>
                <c:pt idx="7">
                  <c:v>0.55251039247568279</c:v>
                </c:pt>
                <c:pt idx="8">
                  <c:v>0.46255274221280807</c:v>
                </c:pt>
                <c:pt idx="9">
                  <c:v>0.49230411325389473</c:v>
                </c:pt>
                <c:pt idx="10">
                  <c:v>0.52626450589314866</c:v>
                </c:pt>
                <c:pt idx="11">
                  <c:v>0.51878456833877995</c:v>
                </c:pt>
                <c:pt idx="12">
                  <c:v>0.44244887504378938</c:v>
                </c:pt>
                <c:pt idx="13">
                  <c:v>0.45935334574437608</c:v>
                </c:pt>
                <c:pt idx="14">
                  <c:v>0.30172836175807344</c:v>
                </c:pt>
                <c:pt idx="15">
                  <c:v>0.24009677638084359</c:v>
                </c:pt>
                <c:pt idx="16">
                  <c:v>0.20061747000522431</c:v>
                </c:pt>
                <c:pt idx="17">
                  <c:v>0.13283528847799542</c:v>
                </c:pt>
                <c:pt idx="18">
                  <c:v>0.15144076368225956</c:v>
                </c:pt>
                <c:pt idx="19">
                  <c:v>0.17428338345531044</c:v>
                </c:pt>
                <c:pt idx="20">
                  <c:v>0.34198589701119508</c:v>
                </c:pt>
                <c:pt idx="21">
                  <c:v>0.27678778519636987</c:v>
                </c:pt>
                <c:pt idx="22">
                  <c:v>0.37818346642689021</c:v>
                </c:pt>
                <c:pt idx="23">
                  <c:v>0.32123696939097601</c:v>
                </c:pt>
                <c:pt idx="24">
                  <c:v>0.17763677855905952</c:v>
                </c:pt>
                <c:pt idx="25">
                  <c:v>0.30954336863438131</c:v>
                </c:pt>
                <c:pt idx="26">
                  <c:v>0.28418412534868692</c:v>
                </c:pt>
                <c:pt idx="27">
                  <c:v>0.35355873670896537</c:v>
                </c:pt>
                <c:pt idx="28">
                  <c:v>0.44014753187210476</c:v>
                </c:pt>
                <c:pt idx="29">
                  <c:v>0.4145068427816348</c:v>
                </c:pt>
                <c:pt idx="30">
                  <c:v>0.41676390165986388</c:v>
                </c:pt>
                <c:pt idx="31">
                  <c:v>0.50271397537047469</c:v>
                </c:pt>
                <c:pt idx="32">
                  <c:v>0.52222506539187263</c:v>
                </c:pt>
                <c:pt idx="33">
                  <c:v>0.41869476228305313</c:v>
                </c:pt>
                <c:pt idx="34">
                  <c:v>0.26331638121768891</c:v>
                </c:pt>
                <c:pt idx="35">
                  <c:v>0.28573301508100013</c:v>
                </c:pt>
                <c:pt idx="36">
                  <c:v>0.32381983522023183</c:v>
                </c:pt>
              </c:numCache>
            </c:numRef>
          </c:val>
          <c:extLst>
            <c:ext xmlns:c16="http://schemas.microsoft.com/office/drawing/2014/chart" uri="{C3380CC4-5D6E-409C-BE32-E72D297353CC}">
              <c16:uniqueId val="{00000006-9D0E-4FFE-B28B-6C70590B987C}"/>
            </c:ext>
          </c:extLst>
        </c:ser>
        <c:ser>
          <c:idx val="7"/>
          <c:order val="7"/>
          <c:tx>
            <c:strRef>
              <c:f>'Trh práce 1-SNÚ'!$AJ$7</c:f>
              <c:strCache>
                <c:ptCount val="1"/>
                <c:pt idx="0">
                  <c:v>Ostatní odvětví*</c:v>
                </c:pt>
              </c:strCache>
            </c:strRef>
          </c:tx>
          <c:spPr>
            <a:solidFill>
              <a:schemeClr val="bg1">
                <a:lumMod val="85000"/>
              </a:schemeClr>
            </a:solidFill>
            <a:ln>
              <a:noFill/>
            </a:ln>
          </c:spPr>
          <c:invertIfNegative val="0"/>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1-SNÚ'!$AJ$28:$AJ$65</c:f>
              <c:numCache>
                <c:formatCode>#\ ##0.0</c:formatCode>
                <c:ptCount val="38"/>
                <c:pt idx="0">
                  <c:v>-5.8105330152403663E-2</c:v>
                </c:pt>
                <c:pt idx="1">
                  <c:v>7.4822774223603894E-2</c:v>
                </c:pt>
                <c:pt idx="2">
                  <c:v>5.2908263210984297E-2</c:v>
                </c:pt>
                <c:pt idx="3">
                  <c:v>-1.0886996096651559E-2</c:v>
                </c:pt>
                <c:pt idx="4">
                  <c:v>0.13489326432190499</c:v>
                </c:pt>
                <c:pt idx="5">
                  <c:v>7.1998572758000354E-2</c:v>
                </c:pt>
                <c:pt idx="6">
                  <c:v>0.10095213191232859</c:v>
                </c:pt>
                <c:pt idx="7">
                  <c:v>0.17975706759442231</c:v>
                </c:pt>
                <c:pt idx="8">
                  <c:v>-3.4575344434650213E-2</c:v>
                </c:pt>
                <c:pt idx="9">
                  <c:v>7.1083985158272222E-3</c:v>
                </c:pt>
                <c:pt idx="10">
                  <c:v>3.3733199641470868E-2</c:v>
                </c:pt>
                <c:pt idx="11">
                  <c:v>2.2834824579480689E-2</c:v>
                </c:pt>
                <c:pt idx="12">
                  <c:v>0.20382180000527356</c:v>
                </c:pt>
                <c:pt idx="13">
                  <c:v>0.20098465243874819</c:v>
                </c:pt>
                <c:pt idx="14">
                  <c:v>1.3096754650279419E-2</c:v>
                </c:pt>
                <c:pt idx="15">
                  <c:v>1.49769422150825E-2</c:v>
                </c:pt>
                <c:pt idx="16">
                  <c:v>-3.6076273960813747E-2</c:v>
                </c:pt>
                <c:pt idx="17">
                  <c:v>2.1528414284039402E-2</c:v>
                </c:pt>
                <c:pt idx="18">
                  <c:v>0.11899312656423253</c:v>
                </c:pt>
                <c:pt idx="19">
                  <c:v>0.11806769054624172</c:v>
                </c:pt>
                <c:pt idx="20">
                  <c:v>-0.14230569417640501</c:v>
                </c:pt>
                <c:pt idx="21">
                  <c:v>-0.35283464151923138</c:v>
                </c:pt>
                <c:pt idx="22">
                  <c:v>-0.32618669457516397</c:v>
                </c:pt>
                <c:pt idx="23">
                  <c:v>-0.43498990865563242</c:v>
                </c:pt>
                <c:pt idx="24">
                  <c:v>-0.14203900559724536</c:v>
                </c:pt>
                <c:pt idx="25">
                  <c:v>5.2288111624045751E-2</c:v>
                </c:pt>
                <c:pt idx="26">
                  <c:v>-2.6396030127119236E-2</c:v>
                </c:pt>
                <c:pt idx="27">
                  <c:v>9.1180639103177613E-2</c:v>
                </c:pt>
                <c:pt idx="28">
                  <c:v>-1.9140936710060376E-2</c:v>
                </c:pt>
                <c:pt idx="29">
                  <c:v>3.0656468767111159E-2</c:v>
                </c:pt>
                <c:pt idx="30">
                  <c:v>-8.2151560145151459E-2</c:v>
                </c:pt>
                <c:pt idx="31">
                  <c:v>-5.0394037894755966E-2</c:v>
                </c:pt>
                <c:pt idx="32">
                  <c:v>3.0267996180661824E-2</c:v>
                </c:pt>
                <c:pt idx="33">
                  <c:v>0.10467826247251354</c:v>
                </c:pt>
                <c:pt idx="34">
                  <c:v>8.9887854811667361E-2</c:v>
                </c:pt>
                <c:pt idx="35">
                  <c:v>0.10633506139284565</c:v>
                </c:pt>
                <c:pt idx="36">
                  <c:v>3.564400563120261E-2</c:v>
                </c:pt>
              </c:numCache>
            </c:numRef>
          </c:val>
          <c:extLst>
            <c:ext xmlns:c16="http://schemas.microsoft.com/office/drawing/2014/chart" uri="{C3380CC4-5D6E-409C-BE32-E72D297353CC}">
              <c16:uniqueId val="{00000007-9D0E-4FFE-B28B-6C70590B987C}"/>
            </c:ext>
          </c:extLst>
        </c:ser>
        <c:dLbls>
          <c:showLegendKey val="0"/>
          <c:showVal val="0"/>
          <c:showCatName val="0"/>
          <c:showSerName val="0"/>
          <c:showPercent val="0"/>
          <c:showBubbleSize val="0"/>
        </c:dLbls>
        <c:gapWidth val="47"/>
        <c:overlap val="100"/>
        <c:axId val="58258560"/>
        <c:axId val="58260480"/>
      </c:barChart>
      <c:lineChart>
        <c:grouping val="standard"/>
        <c:varyColors val="0"/>
        <c:ser>
          <c:idx val="8"/>
          <c:order val="8"/>
          <c:tx>
            <c:strRef>
              <c:f>'Trh práce 1-SNÚ'!$AK$7</c:f>
              <c:strCache>
                <c:ptCount val="1"/>
                <c:pt idx="0">
                  <c:v>Zaměstnanost celkem</c:v>
                </c:pt>
              </c:strCache>
            </c:strRef>
          </c:tx>
          <c:spPr>
            <a:ln w="19050">
              <a:solidFill>
                <a:schemeClr val="tx1">
                  <a:lumMod val="95000"/>
                  <a:lumOff val="5000"/>
                </a:schemeClr>
              </a:solidFill>
            </a:ln>
          </c:spPr>
          <c:marker>
            <c:symbol val="none"/>
          </c:marker>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1-SNÚ'!$AK$28:$AK$65</c:f>
              <c:numCache>
                <c:formatCode>#\ ##0.0</c:formatCode>
                <c:ptCount val="38"/>
                <c:pt idx="0">
                  <c:v>1.2219798438541989</c:v>
                </c:pt>
                <c:pt idx="1">
                  <c:v>1.7421952173863668</c:v>
                </c:pt>
                <c:pt idx="2">
                  <c:v>1.3904158616861526</c:v>
                </c:pt>
                <c:pt idx="3">
                  <c:v>1.3570767227454039</c:v>
                </c:pt>
                <c:pt idx="4">
                  <c:v>1.5348256915487184</c:v>
                </c:pt>
                <c:pt idx="5">
                  <c:v>1.4765589966874444</c:v>
                </c:pt>
                <c:pt idx="6">
                  <c:v>1.5276265584907236</c:v>
                </c:pt>
                <c:pt idx="7">
                  <c:v>1.8192452854841994</c:v>
                </c:pt>
                <c:pt idx="8">
                  <c:v>1.4810250356838992</c:v>
                </c:pt>
                <c:pt idx="9">
                  <c:v>1.4509305729939399</c:v>
                </c:pt>
                <c:pt idx="10">
                  <c:v>1.9544552420651509</c:v>
                </c:pt>
                <c:pt idx="11">
                  <c:v>1.3083410896249879</c:v>
                </c:pt>
                <c:pt idx="12">
                  <c:v>1.5409056151757028</c:v>
                </c:pt>
                <c:pt idx="13">
                  <c:v>1.729427221842442</c:v>
                </c:pt>
                <c:pt idx="14">
                  <c:v>0.93555167144769769</c:v>
                </c:pt>
                <c:pt idx="15">
                  <c:v>1.1332739223121564</c:v>
                </c:pt>
                <c:pt idx="16">
                  <c:v>0.89667625300134579</c:v>
                </c:pt>
                <c:pt idx="17">
                  <c:v>0.28165574684354056</c:v>
                </c:pt>
                <c:pt idx="18">
                  <c:v>0.17165132263802718</c:v>
                </c:pt>
                <c:pt idx="19">
                  <c:v>-0.36834909134847788</c:v>
                </c:pt>
                <c:pt idx="20">
                  <c:v>-0.79587138844840455</c:v>
                </c:pt>
                <c:pt idx="21">
                  <c:v>-2.1514961360447127</c:v>
                </c:pt>
                <c:pt idx="22">
                  <c:v>-1.7856708541695099</c:v>
                </c:pt>
                <c:pt idx="23">
                  <c:v>-2.1298218129441739</c:v>
                </c:pt>
                <c:pt idx="24">
                  <c:v>-1.4446840072233298</c:v>
                </c:pt>
                <c:pt idx="25">
                  <c:v>0.46349863771264704</c:v>
                </c:pt>
                <c:pt idx="26">
                  <c:v>0.89146166281481953</c:v>
                </c:pt>
                <c:pt idx="27">
                  <c:v>1.6566655087273441</c:v>
                </c:pt>
                <c:pt idx="28">
                  <c:v>1.2556680111701854</c:v>
                </c:pt>
                <c:pt idx="29">
                  <c:v>2.1543034788646906</c:v>
                </c:pt>
                <c:pt idx="30">
                  <c:v>1.3643332437686837</c:v>
                </c:pt>
                <c:pt idx="31">
                  <c:v>1.1967469087661735</c:v>
                </c:pt>
                <c:pt idx="32">
                  <c:v>1.3279294128045915</c:v>
                </c:pt>
                <c:pt idx="33">
                  <c:v>0.82705702661066061</c:v>
                </c:pt>
                <c:pt idx="34">
                  <c:v>0.44149612280661177</c:v>
                </c:pt>
                <c:pt idx="35">
                  <c:v>0.44032373893981047</c:v>
                </c:pt>
                <c:pt idx="36">
                  <c:v>0.28663644836896651</c:v>
                </c:pt>
              </c:numCache>
            </c:numRef>
          </c:val>
          <c:smooth val="0"/>
          <c:extLst>
            <c:ext xmlns:c16="http://schemas.microsoft.com/office/drawing/2014/chart" uri="{C3380CC4-5D6E-409C-BE32-E72D297353CC}">
              <c16:uniqueId val="{00000008-9D0E-4FFE-B28B-6C70590B987C}"/>
            </c:ext>
          </c:extLst>
        </c:ser>
        <c:dLbls>
          <c:showLegendKey val="0"/>
          <c:showVal val="0"/>
          <c:showCatName val="0"/>
          <c:showSerName val="0"/>
          <c:showPercent val="0"/>
          <c:showBubbleSize val="0"/>
        </c:dLbls>
        <c:marker val="1"/>
        <c:smooth val="0"/>
        <c:axId val="58258560"/>
        <c:axId val="58260480"/>
      </c:lineChart>
      <c:lineChart>
        <c:grouping val="standard"/>
        <c:varyColors val="0"/>
        <c:ser>
          <c:idx val="9"/>
          <c:order val="9"/>
          <c:tx>
            <c:strRef>
              <c:f>'Trh práce 1-SNÚ'!$AL$7</c:f>
              <c:strCache>
                <c:ptCount val="1"/>
              </c:strCache>
            </c:strRef>
          </c:tx>
          <c:spPr>
            <a:ln>
              <a:noFill/>
            </a:ln>
          </c:spPr>
          <c:marker>
            <c:symbol val="none"/>
          </c:marker>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1-SNÚ'!$AL$28:$AL$65</c:f>
              <c:numCache>
                <c:formatCode>General</c:formatCode>
                <c:ptCount val="38"/>
              </c:numCache>
            </c:numRef>
          </c:val>
          <c:smooth val="0"/>
          <c:extLst>
            <c:ext xmlns:c16="http://schemas.microsoft.com/office/drawing/2014/chart" uri="{C3380CC4-5D6E-409C-BE32-E72D297353CC}">
              <c16:uniqueId val="{00000009-9D0E-4FFE-B28B-6C70590B987C}"/>
            </c:ext>
          </c:extLst>
        </c:ser>
        <c:ser>
          <c:idx val="10"/>
          <c:order val="10"/>
          <c:tx>
            <c:strRef>
              <c:f>'Trh práce 1-SNÚ'!$AM$7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1-SNÚ'!$AM$28:$AM$65</c:f>
              <c:numCache>
                <c:formatCode>#\ ##0.0</c:formatCode>
                <c:ptCount val="38"/>
                <c:pt idx="0">
                  <c:v>-3</c:v>
                </c:pt>
                <c:pt idx="1">
                  <c:v>4.3</c:v>
                </c:pt>
                <c:pt idx="2">
                  <c:v>5.5</c:v>
                </c:pt>
                <c:pt idx="3">
                  <c:v>7.8</c:v>
                </c:pt>
                <c:pt idx="4">
                  <c:v>8.2000000000000011</c:v>
                </c:pt>
                <c:pt idx="5">
                  <c:v>9.9</c:v>
                </c:pt>
                <c:pt idx="6">
                  <c:v>3.8</c:v>
                </c:pt>
                <c:pt idx="7">
                  <c:v>9.5</c:v>
                </c:pt>
                <c:pt idx="8">
                  <c:v>11.1</c:v>
                </c:pt>
                <c:pt idx="9">
                  <c:v>5.7</c:v>
                </c:pt>
                <c:pt idx="10">
                  <c:v>8.2000000000000011</c:v>
                </c:pt>
                <c:pt idx="11">
                  <c:v>7.3</c:v>
                </c:pt>
                <c:pt idx="12">
                  <c:v>9.8000000000000007</c:v>
                </c:pt>
                <c:pt idx="13">
                  <c:v>9.4</c:v>
                </c:pt>
                <c:pt idx="14">
                  <c:v>6.2</c:v>
                </c:pt>
                <c:pt idx="15">
                  <c:v>6.3</c:v>
                </c:pt>
                <c:pt idx="16">
                  <c:v>2.5</c:v>
                </c:pt>
                <c:pt idx="17">
                  <c:v>2.6</c:v>
                </c:pt>
                <c:pt idx="18">
                  <c:v>0.5</c:v>
                </c:pt>
                <c:pt idx="19">
                  <c:v>-2.8</c:v>
                </c:pt>
                <c:pt idx="20">
                  <c:v>2.9</c:v>
                </c:pt>
                <c:pt idx="21">
                  <c:v>-19</c:v>
                </c:pt>
                <c:pt idx="22">
                  <c:v>-10.9</c:v>
                </c:pt>
                <c:pt idx="23">
                  <c:v>-3.5</c:v>
                </c:pt>
                <c:pt idx="24">
                  <c:v>4.4000000000000004</c:v>
                </c:pt>
                <c:pt idx="25">
                  <c:v>8.6</c:v>
                </c:pt>
                <c:pt idx="26">
                  <c:v>4.7</c:v>
                </c:pt>
                <c:pt idx="27">
                  <c:v>1.8</c:v>
                </c:pt>
                <c:pt idx="28">
                  <c:v>11.2</c:v>
                </c:pt>
                <c:pt idx="29">
                  <c:v>2.2999999999999998</c:v>
                </c:pt>
                <c:pt idx="30">
                  <c:v>2.1</c:v>
                </c:pt>
                <c:pt idx="31">
                  <c:v>-9.9</c:v>
                </c:pt>
                <c:pt idx="32">
                  <c:v>-13.6</c:v>
                </c:pt>
                <c:pt idx="33">
                  <c:v>-5.8</c:v>
                </c:pt>
                <c:pt idx="34">
                  <c:v>-4.3</c:v>
                </c:pt>
                <c:pt idx="35">
                  <c:v>-8.3000000000000007</c:v>
                </c:pt>
                <c:pt idx="36">
                  <c:v>-6</c:v>
                </c:pt>
                <c:pt idx="37">
                  <c:v>-9.6</c:v>
                </c:pt>
              </c:numCache>
            </c:numRef>
          </c:val>
          <c:smooth val="0"/>
          <c:extLst>
            <c:ext xmlns:c16="http://schemas.microsoft.com/office/drawing/2014/chart" uri="{C3380CC4-5D6E-409C-BE32-E72D297353CC}">
              <c16:uniqueId val="{0000000A-9D0E-4FFE-B28B-6C70590B987C}"/>
            </c:ext>
          </c:extLst>
        </c:ser>
        <c:ser>
          <c:idx val="11"/>
          <c:order val="11"/>
          <c:tx>
            <c:strRef>
              <c:f>'Trh práce 1-SNÚ'!$AN$7</c:f>
              <c:strCache>
                <c:ptCount val="1"/>
                <c:pt idx="0">
                  <c:v>Očekávání zaměstnanosti (stavebnictví)</c:v>
                </c:pt>
              </c:strCache>
            </c:strRef>
          </c:tx>
          <c:spPr>
            <a:ln w="15875">
              <a:solidFill>
                <a:srgbClr val="00B0F0"/>
              </a:solidFill>
              <a:prstDash val="sysDot"/>
            </a:ln>
          </c:spPr>
          <c:marker>
            <c:symbol val="none"/>
          </c:marker>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1-SNÚ'!$AN$28:$AN$65</c:f>
              <c:numCache>
                <c:formatCode>#\ ##0.0</c:formatCode>
                <c:ptCount val="38"/>
                <c:pt idx="0">
                  <c:v>-4.2</c:v>
                </c:pt>
                <c:pt idx="1">
                  <c:v>7.4</c:v>
                </c:pt>
                <c:pt idx="2">
                  <c:v>1</c:v>
                </c:pt>
                <c:pt idx="3">
                  <c:v>-0.1</c:v>
                </c:pt>
                <c:pt idx="4">
                  <c:v>-3.5</c:v>
                </c:pt>
                <c:pt idx="5">
                  <c:v>-6.4</c:v>
                </c:pt>
                <c:pt idx="6">
                  <c:v>-4.7</c:v>
                </c:pt>
                <c:pt idx="7">
                  <c:v>-6.9</c:v>
                </c:pt>
                <c:pt idx="8">
                  <c:v>-7.5</c:v>
                </c:pt>
                <c:pt idx="9">
                  <c:v>-12.2</c:v>
                </c:pt>
                <c:pt idx="10">
                  <c:v>-6.2</c:v>
                </c:pt>
                <c:pt idx="11">
                  <c:v>-2.8</c:v>
                </c:pt>
                <c:pt idx="12">
                  <c:v>4.3</c:v>
                </c:pt>
                <c:pt idx="13">
                  <c:v>5.5</c:v>
                </c:pt>
                <c:pt idx="14">
                  <c:v>8.8000000000000007</c:v>
                </c:pt>
                <c:pt idx="15">
                  <c:v>9.6</c:v>
                </c:pt>
                <c:pt idx="16">
                  <c:v>6.4</c:v>
                </c:pt>
                <c:pt idx="17">
                  <c:v>9.6</c:v>
                </c:pt>
                <c:pt idx="18">
                  <c:v>3.8</c:v>
                </c:pt>
                <c:pt idx="19">
                  <c:v>10.7</c:v>
                </c:pt>
                <c:pt idx="20">
                  <c:v>5.7</c:v>
                </c:pt>
                <c:pt idx="21">
                  <c:v>-4.2</c:v>
                </c:pt>
                <c:pt idx="22">
                  <c:v>1.5</c:v>
                </c:pt>
                <c:pt idx="23">
                  <c:v>-1.5</c:v>
                </c:pt>
                <c:pt idx="24">
                  <c:v>3.9</c:v>
                </c:pt>
                <c:pt idx="25">
                  <c:v>4.4000000000000004</c:v>
                </c:pt>
                <c:pt idx="26">
                  <c:v>4.0999999999999996</c:v>
                </c:pt>
                <c:pt idx="27">
                  <c:v>8.3000000000000007</c:v>
                </c:pt>
                <c:pt idx="28">
                  <c:v>9.2000000000000011</c:v>
                </c:pt>
                <c:pt idx="29">
                  <c:v>8.6</c:v>
                </c:pt>
                <c:pt idx="30">
                  <c:v>1.4</c:v>
                </c:pt>
                <c:pt idx="31">
                  <c:v>-1.9000000000000001</c:v>
                </c:pt>
                <c:pt idx="32">
                  <c:v>-12.8</c:v>
                </c:pt>
                <c:pt idx="33">
                  <c:v>-12.5</c:v>
                </c:pt>
                <c:pt idx="34">
                  <c:v>-8.3000000000000007</c:v>
                </c:pt>
                <c:pt idx="35">
                  <c:v>-0.30000000000000021</c:v>
                </c:pt>
                <c:pt idx="36">
                  <c:v>-0.7000000000000004</c:v>
                </c:pt>
                <c:pt idx="37">
                  <c:v>-8.5</c:v>
                </c:pt>
              </c:numCache>
            </c:numRef>
          </c:val>
          <c:smooth val="0"/>
          <c:extLst>
            <c:ext xmlns:c16="http://schemas.microsoft.com/office/drawing/2014/chart" uri="{C3380CC4-5D6E-409C-BE32-E72D297353CC}">
              <c16:uniqueId val="{0000000B-9D0E-4FFE-B28B-6C70590B987C}"/>
            </c:ext>
          </c:extLst>
        </c:ser>
        <c:ser>
          <c:idx val="12"/>
          <c:order val="12"/>
          <c:tx>
            <c:strRef>
              <c:f>'Trh práce 1-SNÚ'!$AO$7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1-SNÚ'!$AO$28:$AO$65</c:f>
              <c:numCache>
                <c:formatCode>#\ ##0.0</c:formatCode>
                <c:ptCount val="38"/>
                <c:pt idx="0">
                  <c:v>11.9</c:v>
                </c:pt>
                <c:pt idx="1">
                  <c:v>3.7</c:v>
                </c:pt>
                <c:pt idx="2">
                  <c:v>0.8</c:v>
                </c:pt>
                <c:pt idx="3">
                  <c:v>2.2999999999999998</c:v>
                </c:pt>
                <c:pt idx="4">
                  <c:v>14.8</c:v>
                </c:pt>
                <c:pt idx="5">
                  <c:v>18.2</c:v>
                </c:pt>
                <c:pt idx="6">
                  <c:v>18.7</c:v>
                </c:pt>
                <c:pt idx="7">
                  <c:v>21.4</c:v>
                </c:pt>
                <c:pt idx="8">
                  <c:v>14.5</c:v>
                </c:pt>
                <c:pt idx="9">
                  <c:v>17.100000000000001</c:v>
                </c:pt>
                <c:pt idx="10">
                  <c:v>18.8</c:v>
                </c:pt>
                <c:pt idx="11">
                  <c:v>15.3</c:v>
                </c:pt>
                <c:pt idx="12">
                  <c:v>29.9</c:v>
                </c:pt>
                <c:pt idx="13">
                  <c:v>32.5</c:v>
                </c:pt>
                <c:pt idx="14">
                  <c:v>27.1</c:v>
                </c:pt>
                <c:pt idx="15">
                  <c:v>15.3</c:v>
                </c:pt>
                <c:pt idx="16">
                  <c:v>11.9</c:v>
                </c:pt>
                <c:pt idx="17">
                  <c:v>15.9</c:v>
                </c:pt>
                <c:pt idx="18">
                  <c:v>13.7</c:v>
                </c:pt>
                <c:pt idx="19">
                  <c:v>13</c:v>
                </c:pt>
                <c:pt idx="20">
                  <c:v>11.4</c:v>
                </c:pt>
                <c:pt idx="21">
                  <c:v>-5.9</c:v>
                </c:pt>
                <c:pt idx="22">
                  <c:v>-3.5</c:v>
                </c:pt>
                <c:pt idx="23">
                  <c:v>0.7000000000000004</c:v>
                </c:pt>
                <c:pt idx="24">
                  <c:v>5.3</c:v>
                </c:pt>
                <c:pt idx="25">
                  <c:v>13.1</c:v>
                </c:pt>
                <c:pt idx="26">
                  <c:v>10.8</c:v>
                </c:pt>
                <c:pt idx="27">
                  <c:v>8.5</c:v>
                </c:pt>
                <c:pt idx="28">
                  <c:v>10.3</c:v>
                </c:pt>
                <c:pt idx="29">
                  <c:v>3.3</c:v>
                </c:pt>
                <c:pt idx="30">
                  <c:v>5.2</c:v>
                </c:pt>
                <c:pt idx="31">
                  <c:v>12.6</c:v>
                </c:pt>
                <c:pt idx="32">
                  <c:v>11.2</c:v>
                </c:pt>
                <c:pt idx="33">
                  <c:v>9.4</c:v>
                </c:pt>
                <c:pt idx="34">
                  <c:v>10.8</c:v>
                </c:pt>
                <c:pt idx="35">
                  <c:v>10.5</c:v>
                </c:pt>
                <c:pt idx="36">
                  <c:v>6.1</c:v>
                </c:pt>
                <c:pt idx="37">
                  <c:v>9.5</c:v>
                </c:pt>
              </c:numCache>
            </c:numRef>
          </c:val>
          <c:smooth val="0"/>
          <c:extLst>
            <c:ext xmlns:c16="http://schemas.microsoft.com/office/drawing/2014/chart" uri="{C3380CC4-5D6E-409C-BE32-E72D297353CC}">
              <c16:uniqueId val="{0000000C-9D0E-4FFE-B28B-6C70590B987C}"/>
            </c:ext>
          </c:extLst>
        </c:ser>
        <c:ser>
          <c:idx val="13"/>
          <c:order val="13"/>
          <c:tx>
            <c:strRef>
              <c:f>'Trh práce 1-SNÚ'!$AP$7</c:f>
              <c:strCache>
                <c:ptCount val="1"/>
                <c:pt idx="0">
                  <c:v>Očekávání zaměstnanosti (vybr. služby)</c:v>
                </c:pt>
              </c:strCache>
            </c:strRef>
          </c:tx>
          <c:spPr>
            <a:ln w="15875">
              <a:solidFill>
                <a:srgbClr val="C00000"/>
              </a:solidFill>
              <a:prstDash val="sysDot"/>
            </a:ln>
          </c:spPr>
          <c:marker>
            <c:symbol val="none"/>
          </c:marker>
          <c:cat>
            <c:multiLvlStrRef>
              <c:f>'Trh práce 1-SNÚ'!$AA$28:$AB$65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1-SNÚ'!$AP$28:$AP$65</c:f>
              <c:numCache>
                <c:formatCode>#\ ##0.0</c:formatCode>
                <c:ptCount val="38"/>
                <c:pt idx="0">
                  <c:v>-16.2</c:v>
                </c:pt>
                <c:pt idx="1">
                  <c:v>-24.6</c:v>
                </c:pt>
                <c:pt idx="2">
                  <c:v>5.2</c:v>
                </c:pt>
                <c:pt idx="3">
                  <c:v>5.2</c:v>
                </c:pt>
                <c:pt idx="4">
                  <c:v>2.8</c:v>
                </c:pt>
                <c:pt idx="5">
                  <c:v>21.8</c:v>
                </c:pt>
                <c:pt idx="6">
                  <c:v>-4.8</c:v>
                </c:pt>
                <c:pt idx="7">
                  <c:v>7.9</c:v>
                </c:pt>
                <c:pt idx="8">
                  <c:v>11.1</c:v>
                </c:pt>
                <c:pt idx="9">
                  <c:v>11</c:v>
                </c:pt>
                <c:pt idx="10">
                  <c:v>19.7</c:v>
                </c:pt>
                <c:pt idx="11">
                  <c:v>3.1</c:v>
                </c:pt>
                <c:pt idx="12">
                  <c:v>15.7</c:v>
                </c:pt>
                <c:pt idx="13">
                  <c:v>10.5</c:v>
                </c:pt>
                <c:pt idx="14">
                  <c:v>9.5</c:v>
                </c:pt>
                <c:pt idx="15">
                  <c:v>-7.6</c:v>
                </c:pt>
                <c:pt idx="16">
                  <c:v>-6.5</c:v>
                </c:pt>
                <c:pt idx="17">
                  <c:v>-1.1000000000000001</c:v>
                </c:pt>
                <c:pt idx="18">
                  <c:v>-4.5999999999999996</c:v>
                </c:pt>
                <c:pt idx="19">
                  <c:v>-15.4</c:v>
                </c:pt>
                <c:pt idx="20">
                  <c:v>-20.5</c:v>
                </c:pt>
                <c:pt idx="21">
                  <c:v>-32.300000000000004</c:v>
                </c:pt>
                <c:pt idx="22">
                  <c:v>-28.6</c:v>
                </c:pt>
                <c:pt idx="23">
                  <c:v>-30.1</c:v>
                </c:pt>
                <c:pt idx="24">
                  <c:v>-27</c:v>
                </c:pt>
                <c:pt idx="25">
                  <c:v>-27.7</c:v>
                </c:pt>
                <c:pt idx="26">
                  <c:v>-12.1</c:v>
                </c:pt>
                <c:pt idx="27">
                  <c:v>-15.8</c:v>
                </c:pt>
                <c:pt idx="28">
                  <c:v>-6.8</c:v>
                </c:pt>
                <c:pt idx="29">
                  <c:v>-3.5</c:v>
                </c:pt>
                <c:pt idx="30">
                  <c:v>-6.1</c:v>
                </c:pt>
                <c:pt idx="31">
                  <c:v>-6.4</c:v>
                </c:pt>
                <c:pt idx="32">
                  <c:v>-10.7</c:v>
                </c:pt>
                <c:pt idx="33">
                  <c:v>-16.7</c:v>
                </c:pt>
                <c:pt idx="34">
                  <c:v>-14.5</c:v>
                </c:pt>
                <c:pt idx="35">
                  <c:v>-15.2</c:v>
                </c:pt>
                <c:pt idx="36">
                  <c:v>-23.7</c:v>
                </c:pt>
                <c:pt idx="37">
                  <c:v>-16</c:v>
                </c:pt>
              </c:numCache>
            </c:numRef>
          </c:val>
          <c:smooth val="0"/>
          <c:extLst>
            <c:ext xmlns:c16="http://schemas.microsoft.com/office/drawing/2014/chart" uri="{C3380CC4-5D6E-409C-BE32-E72D297353CC}">
              <c16:uniqueId val="{0000000D-9D0E-4FFE-B28B-6C70590B987C}"/>
            </c:ext>
          </c:extLst>
        </c:ser>
        <c:dLbls>
          <c:showLegendKey val="0"/>
          <c:showVal val="0"/>
          <c:showCatName val="0"/>
          <c:showSerName val="0"/>
          <c:showPercent val="0"/>
          <c:showBubbleSize val="0"/>
        </c:dLbls>
        <c:marker val="1"/>
        <c:smooth val="0"/>
        <c:axId val="58956416"/>
        <c:axId val="58476416"/>
      </c:lineChart>
      <c:catAx>
        <c:axId val="58258560"/>
        <c:scaling>
          <c:orientation val="minMax"/>
        </c:scaling>
        <c:delete val="0"/>
        <c:axPos val="b"/>
        <c:numFmt formatCode="General" sourceLinked="1"/>
        <c:majorTickMark val="out"/>
        <c:minorTickMark val="none"/>
        <c:tickLblPos val="low"/>
        <c:spPr>
          <a:ln>
            <a:solidFill>
              <a:schemeClr val="tx1"/>
            </a:solidFill>
          </a:ln>
        </c:spPr>
        <c:crossAx val="58260480"/>
        <c:crosses val="autoZero"/>
        <c:auto val="1"/>
        <c:lblAlgn val="ctr"/>
        <c:lblOffset val="10"/>
        <c:noMultiLvlLbl val="0"/>
      </c:catAx>
      <c:valAx>
        <c:axId val="58260480"/>
        <c:scaling>
          <c:orientation val="minMax"/>
          <c:max val="2.5"/>
          <c:min val="-4.5"/>
        </c:scaling>
        <c:delete val="0"/>
        <c:axPos val="l"/>
        <c:majorGridlines>
          <c:spPr>
            <a:ln w="6350">
              <a:solidFill>
                <a:schemeClr val="bg1">
                  <a:lumMod val="75000"/>
                </a:schemeClr>
              </a:solidFill>
            </a:ln>
          </c:spPr>
        </c:majorGridlines>
        <c:title>
          <c:tx>
            <c:rich>
              <a:bodyPr/>
              <a:lstStyle/>
              <a:p>
                <a:pPr>
                  <a:defRPr sz="700" b="0" i="1"/>
                </a:pPr>
                <a:r>
                  <a:rPr lang="cs-CZ" sz="700" b="0" i="1"/>
                  <a:t>Příspěvek k růstu zaměstnanosti</a:t>
                </a:r>
              </a:p>
            </c:rich>
          </c:tx>
          <c:overlay val="0"/>
        </c:title>
        <c:numFmt formatCode="0.0" sourceLinked="0"/>
        <c:majorTickMark val="out"/>
        <c:minorTickMark val="none"/>
        <c:tickLblPos val="nextTo"/>
        <c:spPr>
          <a:ln>
            <a:solidFill>
              <a:schemeClr val="tx1"/>
            </a:solidFill>
          </a:ln>
        </c:spPr>
        <c:crossAx val="58258560"/>
        <c:crosses val="autoZero"/>
        <c:crossBetween val="between"/>
        <c:majorUnit val="0.5"/>
      </c:valAx>
      <c:valAx>
        <c:axId val="58476416"/>
        <c:scaling>
          <c:orientation val="minMax"/>
          <c:max val="100"/>
          <c:min val="-40"/>
        </c:scaling>
        <c:delete val="0"/>
        <c:axPos val="r"/>
        <c:title>
          <c:tx>
            <c:rich>
              <a:bodyPr/>
              <a:lstStyle/>
              <a:p>
                <a:pPr>
                  <a:defRPr sz="700" b="0" i="1"/>
                </a:pPr>
                <a:r>
                  <a:rPr lang="cs-CZ" sz="700" b="0" i="1"/>
                  <a:t>Očekávání vývoje zaměstnanosti</a:t>
                </a:r>
              </a:p>
            </c:rich>
          </c:tx>
          <c:overlay val="0"/>
        </c:title>
        <c:numFmt formatCode="#,##0" sourceLinked="0"/>
        <c:majorTickMark val="out"/>
        <c:minorTickMark val="none"/>
        <c:tickLblPos val="nextTo"/>
        <c:crossAx val="58956416"/>
        <c:crosses val="max"/>
        <c:crossBetween val="between"/>
        <c:majorUnit val="10"/>
      </c:valAx>
      <c:catAx>
        <c:axId val="58956416"/>
        <c:scaling>
          <c:orientation val="minMax"/>
        </c:scaling>
        <c:delete val="1"/>
        <c:axPos val="b"/>
        <c:numFmt formatCode="General" sourceLinked="1"/>
        <c:majorTickMark val="out"/>
        <c:minorTickMark val="none"/>
        <c:tickLblPos val="none"/>
        <c:crossAx val="58476416"/>
        <c:crosses val="autoZero"/>
        <c:auto val="1"/>
        <c:lblAlgn val="ctr"/>
        <c:lblOffset val="100"/>
        <c:noMultiLvlLbl val="0"/>
      </c:catAx>
      <c:spPr>
        <a:ln>
          <a:solidFill>
            <a:schemeClr val="tx1"/>
          </a:solidFill>
        </a:ln>
      </c:spPr>
    </c:plotArea>
    <c:legend>
      <c:legendPos val="b"/>
      <c:layout>
        <c:manualLayout>
          <c:xMode val="edge"/>
          <c:yMode val="edge"/>
          <c:x val="1.5472441370721636E-2"/>
          <c:y val="0.77992823117070786"/>
          <c:w val="0.96005692595618608"/>
          <c:h val="0.21194618315349978"/>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5974E-2"/>
          <c:y val="1.6081916099773243E-2"/>
          <c:w val="0.83584199323559083"/>
          <c:h val="0.75413005601973693"/>
        </c:manualLayout>
      </c:layout>
      <c:barChart>
        <c:barDir val="col"/>
        <c:grouping val="clustered"/>
        <c:varyColors val="0"/>
        <c:ser>
          <c:idx val="0"/>
          <c:order val="0"/>
          <c:tx>
            <c:strRef>
              <c:f>'Trh práce-2b'!$A$32</c:f>
              <c:strCache>
                <c:ptCount val="1"/>
                <c:pt idx="0">
                  <c:v>Míra nezaměstnanosti mužů</c:v>
                </c:pt>
              </c:strCache>
            </c:strRef>
          </c:tx>
          <c:spPr>
            <a:solidFill>
              <a:srgbClr val="BCBCBC"/>
            </a:solidFill>
          </c:spPr>
          <c:invertIfNegative val="0"/>
          <c:cat>
            <c:multiLvlStrRef>
              <c:f>'Trh práce-2b'!$B$30:$AM$31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práce-2b'!$B$32:$AM$32</c:f>
              <c:numCache>
                <c:formatCode>0.0</c:formatCode>
                <c:ptCount val="38"/>
                <c:pt idx="0">
                  <c:v>5.0083968039579609</c:v>
                </c:pt>
                <c:pt idx="1">
                  <c:v>4.323329055208295</c:v>
                </c:pt>
                <c:pt idx="2">
                  <c:v>4.0664252104838381</c:v>
                </c:pt>
                <c:pt idx="3">
                  <c:v>3.7858323860146066</c:v>
                </c:pt>
                <c:pt idx="4">
                  <c:v>3.6398900697951468</c:v>
                </c:pt>
                <c:pt idx="5">
                  <c:v>3.5707906863805712</c:v>
                </c:pt>
                <c:pt idx="6">
                  <c:v>3.3989055067165332</c:v>
                </c:pt>
                <c:pt idx="7">
                  <c:v>3.1511338821598391</c:v>
                </c:pt>
                <c:pt idx="8">
                  <c:v>2.6864087264066829</c:v>
                </c:pt>
                <c:pt idx="9">
                  <c:v>2.492048643755572</c:v>
                </c:pt>
                <c:pt idx="10">
                  <c:v>2.2547631781995112</c:v>
                </c:pt>
                <c:pt idx="11">
                  <c:v>2.0805601118477441</c:v>
                </c:pt>
                <c:pt idx="12">
                  <c:v>1.8894369025599342</c:v>
                </c:pt>
                <c:pt idx="13">
                  <c:v>1.8313006958195368</c:v>
                </c:pt>
                <c:pt idx="14">
                  <c:v>1.8929786470298893</c:v>
                </c:pt>
                <c:pt idx="15">
                  <c:v>1.6776645564474864</c:v>
                </c:pt>
                <c:pt idx="16">
                  <c:v>1.7979485505497295</c:v>
                </c:pt>
                <c:pt idx="17">
                  <c:v>1.677260483353094</c:v>
                </c:pt>
                <c:pt idx="18">
                  <c:v>1.7700255485477359</c:v>
                </c:pt>
                <c:pt idx="19">
                  <c:v>1.8532320491839569</c:v>
                </c:pt>
                <c:pt idx="20">
                  <c:v>1.8376082171763606</c:v>
                </c:pt>
                <c:pt idx="21">
                  <c:v>2.2832940799033126</c:v>
                </c:pt>
                <c:pt idx="22">
                  <c:v>2.5172115968329511</c:v>
                </c:pt>
                <c:pt idx="23">
                  <c:v>2.5611154759861208</c:v>
                </c:pt>
                <c:pt idx="24">
                  <c:v>2.6482166861069363</c:v>
                </c:pt>
                <c:pt idx="25">
                  <c:v>2.5541381420839881</c:v>
                </c:pt>
                <c:pt idx="26">
                  <c:v>2.2860127199468936</c:v>
                </c:pt>
                <c:pt idx="27">
                  <c:v>1.9560237193426129</c:v>
                </c:pt>
                <c:pt idx="28">
                  <c:v>1.9747917419959247</c:v>
                </c:pt>
                <c:pt idx="29">
                  <c:v>1.887886195644267</c:v>
                </c:pt>
                <c:pt idx="30">
                  <c:v>1.9078884386225701</c:v>
                </c:pt>
                <c:pt idx="31">
                  <c:v>2.0937394482412373</c:v>
                </c:pt>
                <c:pt idx="32">
                  <c:v>2.1706505145609438</c:v>
                </c:pt>
                <c:pt idx="33">
                  <c:v>2.2492189603640669</c:v>
                </c:pt>
                <c:pt idx="34">
                  <c:v>2.3301567443715232</c:v>
                </c:pt>
                <c:pt idx="35">
                  <c:v>2.3535548870884382</c:v>
                </c:pt>
                <c:pt idx="36">
                  <c:v>2.4183636652960043</c:v>
                </c:pt>
              </c:numCache>
            </c:numRef>
          </c:val>
          <c:extLst>
            <c:ext xmlns:c16="http://schemas.microsoft.com/office/drawing/2014/chart" uri="{C3380CC4-5D6E-409C-BE32-E72D297353CC}">
              <c16:uniqueId val="{00000000-1A79-4A6D-8C56-E12FE355B8B8}"/>
            </c:ext>
          </c:extLst>
        </c:ser>
        <c:ser>
          <c:idx val="1"/>
          <c:order val="1"/>
          <c:tx>
            <c:strRef>
              <c:f>'Trh práce-2b'!$A$33</c:f>
              <c:strCache>
                <c:ptCount val="1"/>
                <c:pt idx="0">
                  <c:v>Míra nezaměstnanosti žen</c:v>
                </c:pt>
              </c:strCache>
            </c:strRef>
          </c:tx>
          <c:spPr>
            <a:solidFill>
              <a:schemeClr val="bg1">
                <a:lumMod val="95000"/>
              </a:schemeClr>
            </a:solidFill>
            <a:ln>
              <a:solidFill>
                <a:schemeClr val="bg1">
                  <a:lumMod val="65000"/>
                </a:schemeClr>
              </a:solidFill>
            </a:ln>
          </c:spPr>
          <c:invertIfNegative val="0"/>
          <c:cat>
            <c:multiLvlStrRef>
              <c:f>'Trh práce-2b'!$B$30:$AM$31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práce-2b'!$B$33:$AM$33</c:f>
              <c:numCache>
                <c:formatCode>0.0</c:formatCode>
                <c:ptCount val="38"/>
                <c:pt idx="0">
                  <c:v>6.9187828019764162</c:v>
                </c:pt>
                <c:pt idx="1">
                  <c:v>6.1500495195788254</c:v>
                </c:pt>
                <c:pt idx="2">
                  <c:v>5.9826952019752442</c:v>
                </c:pt>
                <c:pt idx="3">
                  <c:v>5.6687065016389431</c:v>
                </c:pt>
                <c:pt idx="4">
                  <c:v>5.0634928565157047</c:v>
                </c:pt>
                <c:pt idx="5">
                  <c:v>4.7962125882146101</c:v>
                </c:pt>
                <c:pt idx="6">
                  <c:v>4.8156598722190385</c:v>
                </c:pt>
                <c:pt idx="7">
                  <c:v>4.3728059103951296</c:v>
                </c:pt>
                <c:pt idx="8">
                  <c:v>4.262041474486522</c:v>
                </c:pt>
                <c:pt idx="9">
                  <c:v>3.8862482186693135</c:v>
                </c:pt>
                <c:pt idx="10">
                  <c:v>3.4163797388678971</c:v>
                </c:pt>
                <c:pt idx="11">
                  <c:v>3.0338579583613092</c:v>
                </c:pt>
                <c:pt idx="12">
                  <c:v>2.9330225129341909</c:v>
                </c:pt>
                <c:pt idx="13">
                  <c:v>2.8832486237221073</c:v>
                </c:pt>
                <c:pt idx="14">
                  <c:v>2.8654322734129853</c:v>
                </c:pt>
                <c:pt idx="15">
                  <c:v>2.688947222603316</c:v>
                </c:pt>
                <c:pt idx="16">
                  <c:v>2.2377120188020503</c:v>
                </c:pt>
                <c:pt idx="17">
                  <c:v>2.4627974792093634</c:v>
                </c:pt>
                <c:pt idx="18">
                  <c:v>2.5738385458337838</c:v>
                </c:pt>
                <c:pt idx="19">
                  <c:v>2.4442887727328455</c:v>
                </c:pt>
                <c:pt idx="20">
                  <c:v>2.035354246554864</c:v>
                </c:pt>
                <c:pt idx="21">
                  <c:v>2.8019218451389247</c:v>
                </c:pt>
                <c:pt idx="22">
                  <c:v>3.3790744418844487</c:v>
                </c:pt>
                <c:pt idx="23">
                  <c:v>3.9072926891446738</c:v>
                </c:pt>
                <c:pt idx="24">
                  <c:v>4.1402426201194018</c:v>
                </c:pt>
                <c:pt idx="25">
                  <c:v>3.895788923826268</c:v>
                </c:pt>
                <c:pt idx="26">
                  <c:v>3.271071546661303</c:v>
                </c:pt>
                <c:pt idx="27">
                  <c:v>2.7467042226646083</c:v>
                </c:pt>
                <c:pt idx="28">
                  <c:v>2.982289992275668</c:v>
                </c:pt>
                <c:pt idx="29">
                  <c:v>3.1994668929693848</c:v>
                </c:pt>
                <c:pt idx="30">
                  <c:v>2.9070087545173755</c:v>
                </c:pt>
                <c:pt idx="31">
                  <c:v>2.8091423991758768</c:v>
                </c:pt>
                <c:pt idx="32">
                  <c:v>3.0127167062236437</c:v>
                </c:pt>
                <c:pt idx="33">
                  <c:v>3.1837132861318018</c:v>
                </c:pt>
                <c:pt idx="34">
                  <c:v>3.2262614957041169</c:v>
                </c:pt>
                <c:pt idx="35">
                  <c:v>3.3120457542982353</c:v>
                </c:pt>
                <c:pt idx="36">
                  <c:v>3.5215978491220556</c:v>
                </c:pt>
              </c:numCache>
            </c:numRef>
          </c:val>
          <c:extLst>
            <c:ext xmlns:c16="http://schemas.microsoft.com/office/drawing/2014/chart" uri="{C3380CC4-5D6E-409C-BE32-E72D297353CC}">
              <c16:uniqueId val="{00000001-1A79-4A6D-8C56-E12FE355B8B8}"/>
            </c:ext>
          </c:extLst>
        </c:ser>
        <c:dLbls>
          <c:showLegendKey val="0"/>
          <c:showVal val="0"/>
          <c:showCatName val="0"/>
          <c:showSerName val="0"/>
          <c:showPercent val="0"/>
          <c:showBubbleSize val="0"/>
        </c:dLbls>
        <c:gapWidth val="68"/>
        <c:axId val="79242368"/>
        <c:axId val="79257984"/>
      </c:barChart>
      <c:lineChart>
        <c:grouping val="standard"/>
        <c:varyColors val="0"/>
        <c:ser>
          <c:idx val="4"/>
          <c:order val="2"/>
          <c:tx>
            <c:strRef>
              <c:f>'Trh práce-2b'!$A$36</c:f>
              <c:strCache>
                <c:ptCount val="1"/>
                <c:pt idx="0">
                  <c:v>Ekon. neaktivní chtějící pracovat</c:v>
                </c:pt>
              </c:strCache>
            </c:strRef>
          </c:tx>
          <c:spPr>
            <a:ln w="19050">
              <a:solidFill>
                <a:schemeClr val="bg2">
                  <a:lumMod val="75000"/>
                </a:schemeClr>
              </a:solidFill>
              <a:prstDash val="sysDash"/>
            </a:ln>
          </c:spPr>
          <c:marker>
            <c:symbol val="none"/>
          </c:marker>
          <c:cat>
            <c:multiLvlStrRef>
              <c:f>'Trh práce-2b'!$B$30:$AM$31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práce-2b'!$B$36:$AM$36</c:f>
              <c:numCache>
                <c:formatCode>0.0</c:formatCode>
                <c:ptCount val="38"/>
                <c:pt idx="0">
                  <c:v>138.5</c:v>
                </c:pt>
                <c:pt idx="1">
                  <c:v>141.4</c:v>
                </c:pt>
                <c:pt idx="2">
                  <c:v>137.1</c:v>
                </c:pt>
                <c:pt idx="3">
                  <c:v>130.4</c:v>
                </c:pt>
                <c:pt idx="4">
                  <c:v>141</c:v>
                </c:pt>
                <c:pt idx="5">
                  <c:v>126.4</c:v>
                </c:pt>
                <c:pt idx="6">
                  <c:v>129.69999999999999</c:v>
                </c:pt>
                <c:pt idx="7">
                  <c:v>127.1</c:v>
                </c:pt>
                <c:pt idx="8">
                  <c:v>133.1</c:v>
                </c:pt>
                <c:pt idx="9">
                  <c:v>120.1</c:v>
                </c:pt>
                <c:pt idx="10">
                  <c:v>121.3</c:v>
                </c:pt>
                <c:pt idx="11">
                  <c:v>119.1</c:v>
                </c:pt>
                <c:pt idx="12">
                  <c:v>113.5</c:v>
                </c:pt>
                <c:pt idx="13">
                  <c:v>108.4</c:v>
                </c:pt>
                <c:pt idx="14">
                  <c:v>110.3</c:v>
                </c:pt>
                <c:pt idx="15">
                  <c:v>101.7</c:v>
                </c:pt>
                <c:pt idx="16">
                  <c:v>104.6</c:v>
                </c:pt>
                <c:pt idx="17">
                  <c:v>104.6</c:v>
                </c:pt>
                <c:pt idx="18">
                  <c:v>97.6</c:v>
                </c:pt>
                <c:pt idx="19">
                  <c:v>99.9</c:v>
                </c:pt>
                <c:pt idx="20">
                  <c:v>93.4</c:v>
                </c:pt>
                <c:pt idx="21">
                  <c:v>109.3</c:v>
                </c:pt>
                <c:pt idx="22">
                  <c:v>98.8</c:v>
                </c:pt>
                <c:pt idx="23">
                  <c:v>95.7</c:v>
                </c:pt>
                <c:pt idx="24">
                  <c:v>108</c:v>
                </c:pt>
                <c:pt idx="25">
                  <c:v>113.7</c:v>
                </c:pt>
                <c:pt idx="26">
                  <c:v>64.599999999999994</c:v>
                </c:pt>
                <c:pt idx="27">
                  <c:v>63.3</c:v>
                </c:pt>
                <c:pt idx="28">
                  <c:v>67</c:v>
                </c:pt>
                <c:pt idx="29">
                  <c:v>54.1</c:v>
                </c:pt>
                <c:pt idx="30">
                  <c:v>53.9</c:v>
                </c:pt>
                <c:pt idx="31">
                  <c:v>46.8</c:v>
                </c:pt>
                <c:pt idx="32">
                  <c:v>74</c:v>
                </c:pt>
                <c:pt idx="33">
                  <c:v>87.4</c:v>
                </c:pt>
                <c:pt idx="34">
                  <c:v>79.400000000000006</c:v>
                </c:pt>
                <c:pt idx="35">
                  <c:v>81.099999999999994</c:v>
                </c:pt>
                <c:pt idx="36">
                  <c:v>78.400000000000006</c:v>
                </c:pt>
              </c:numCache>
            </c:numRef>
          </c:val>
          <c:smooth val="0"/>
          <c:extLst>
            <c:ext xmlns:c16="http://schemas.microsoft.com/office/drawing/2014/chart" uri="{C3380CC4-5D6E-409C-BE32-E72D297353CC}">
              <c16:uniqueId val="{00000002-1A79-4A6D-8C56-E12FE355B8B8}"/>
            </c:ext>
          </c:extLst>
        </c:ser>
        <c:ser>
          <c:idx val="5"/>
          <c:order val="3"/>
          <c:tx>
            <c:strRef>
              <c:f>'Trh práce-2b'!$A$37</c:f>
              <c:strCache>
                <c:ptCount val="1"/>
                <c:pt idx="0">
                  <c:v>Očekávání vývoje nezaměstnanosti</c:v>
                </c:pt>
              </c:strCache>
            </c:strRef>
          </c:tx>
          <c:spPr>
            <a:ln w="19050">
              <a:solidFill>
                <a:schemeClr val="accent6">
                  <a:lumMod val="75000"/>
                </a:schemeClr>
              </a:solidFill>
              <a:prstDash val="dash"/>
            </a:ln>
          </c:spPr>
          <c:marker>
            <c:symbol val="none"/>
          </c:marker>
          <c:cat>
            <c:multiLvlStrRef>
              <c:f>'Trh práce-2b'!$B$30:$AM$31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práce-2b'!$B$37:$AM$37</c:f>
              <c:numCache>
                <c:formatCode>0.0</c:formatCode>
                <c:ptCount val="38"/>
                <c:pt idx="0">
                  <c:v>6</c:v>
                </c:pt>
                <c:pt idx="1">
                  <c:v>9</c:v>
                </c:pt>
                <c:pt idx="2">
                  <c:v>10</c:v>
                </c:pt>
                <c:pt idx="3">
                  <c:v>4</c:v>
                </c:pt>
                <c:pt idx="4">
                  <c:v>2</c:v>
                </c:pt>
                <c:pt idx="5">
                  <c:v>10</c:v>
                </c:pt>
                <c:pt idx="6">
                  <c:v>5</c:v>
                </c:pt>
                <c:pt idx="7">
                  <c:v>4</c:v>
                </c:pt>
                <c:pt idx="8">
                  <c:v>1</c:v>
                </c:pt>
                <c:pt idx="9">
                  <c:v>-3</c:v>
                </c:pt>
                <c:pt idx="10">
                  <c:v>0</c:v>
                </c:pt>
                <c:pt idx="11">
                  <c:v>-1</c:v>
                </c:pt>
                <c:pt idx="12">
                  <c:v>-1</c:v>
                </c:pt>
                <c:pt idx="13">
                  <c:v>-2</c:v>
                </c:pt>
                <c:pt idx="14">
                  <c:v>-2</c:v>
                </c:pt>
                <c:pt idx="15">
                  <c:v>4</c:v>
                </c:pt>
                <c:pt idx="16">
                  <c:v>8</c:v>
                </c:pt>
                <c:pt idx="17">
                  <c:v>8</c:v>
                </c:pt>
                <c:pt idx="18">
                  <c:v>11</c:v>
                </c:pt>
                <c:pt idx="19">
                  <c:v>12</c:v>
                </c:pt>
                <c:pt idx="20">
                  <c:v>18</c:v>
                </c:pt>
                <c:pt idx="21">
                  <c:v>49</c:v>
                </c:pt>
                <c:pt idx="22">
                  <c:v>46</c:v>
                </c:pt>
                <c:pt idx="23">
                  <c:v>60</c:v>
                </c:pt>
                <c:pt idx="24">
                  <c:v>57</c:v>
                </c:pt>
                <c:pt idx="25">
                  <c:v>24</c:v>
                </c:pt>
                <c:pt idx="26">
                  <c:v>16</c:v>
                </c:pt>
                <c:pt idx="27">
                  <c:v>20</c:v>
                </c:pt>
                <c:pt idx="28">
                  <c:v>14</c:v>
                </c:pt>
                <c:pt idx="29">
                  <c:v>20</c:v>
                </c:pt>
                <c:pt idx="30">
                  <c:v>26</c:v>
                </c:pt>
                <c:pt idx="31">
                  <c:v>40</c:v>
                </c:pt>
                <c:pt idx="32">
                  <c:v>35</c:v>
                </c:pt>
                <c:pt idx="33">
                  <c:v>29</c:v>
                </c:pt>
                <c:pt idx="34">
                  <c:v>25</c:v>
                </c:pt>
                <c:pt idx="35">
                  <c:v>17</c:v>
                </c:pt>
                <c:pt idx="36">
                  <c:v>25</c:v>
                </c:pt>
                <c:pt idx="37">
                  <c:v>22</c:v>
                </c:pt>
              </c:numCache>
            </c:numRef>
          </c:val>
          <c:smooth val="0"/>
          <c:extLst>
            <c:ext xmlns:c16="http://schemas.microsoft.com/office/drawing/2014/chart" uri="{C3380CC4-5D6E-409C-BE32-E72D297353CC}">
              <c16:uniqueId val="{00000003-1A79-4A6D-8C56-E12FE355B8B8}"/>
            </c:ext>
          </c:extLst>
        </c:ser>
        <c:ser>
          <c:idx val="6"/>
          <c:order val="4"/>
          <c:tx>
            <c:strRef>
              <c:f>'Trh práce-2b'!$A$38</c:f>
              <c:strCache>
                <c:ptCount val="1"/>
                <c:pt idx="0">
                  <c:v>VPM pro vyučené a SŠ bez mat.</c:v>
                </c:pt>
              </c:strCache>
            </c:strRef>
          </c:tx>
          <c:spPr>
            <a:ln>
              <a:noFill/>
            </a:ln>
          </c:spPr>
          <c:marker>
            <c:symbol val="circle"/>
            <c:size val="4"/>
            <c:spPr>
              <a:solidFill>
                <a:srgbClr val="8EB149"/>
              </a:solidFill>
              <a:ln>
                <a:noFill/>
              </a:ln>
            </c:spPr>
          </c:marker>
          <c:cat>
            <c:multiLvlStrRef>
              <c:f>'Trh práce-2b'!$B$30:$AM$31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práce-2b'!$B$38:$AM$38</c:f>
              <c:numCache>
                <c:formatCode>0.0</c:formatCode>
                <c:ptCount val="38"/>
                <c:pt idx="0">
                  <c:v>31.7</c:v>
                </c:pt>
                <c:pt idx="1">
                  <c:v>39.700000000000003</c:v>
                </c:pt>
                <c:pt idx="2">
                  <c:v>44.4</c:v>
                </c:pt>
                <c:pt idx="3">
                  <c:v>41.2</c:v>
                </c:pt>
                <c:pt idx="4">
                  <c:v>45.3</c:v>
                </c:pt>
                <c:pt idx="5">
                  <c:v>51.4</c:v>
                </c:pt>
                <c:pt idx="6">
                  <c:v>52.8</c:v>
                </c:pt>
                <c:pt idx="7">
                  <c:v>47.2</c:v>
                </c:pt>
                <c:pt idx="8">
                  <c:v>51.5</c:v>
                </c:pt>
                <c:pt idx="9">
                  <c:v>59.1</c:v>
                </c:pt>
                <c:pt idx="10">
                  <c:v>63.1</c:v>
                </c:pt>
                <c:pt idx="11">
                  <c:v>60.9</c:v>
                </c:pt>
                <c:pt idx="12">
                  <c:v>65.3</c:v>
                </c:pt>
                <c:pt idx="13">
                  <c:v>73.3</c:v>
                </c:pt>
                <c:pt idx="14">
                  <c:v>74.2</c:v>
                </c:pt>
                <c:pt idx="15">
                  <c:v>70.400000000000006</c:v>
                </c:pt>
                <c:pt idx="16">
                  <c:v>70.2</c:v>
                </c:pt>
                <c:pt idx="17">
                  <c:v>68</c:v>
                </c:pt>
                <c:pt idx="18">
                  <c:v>65.8</c:v>
                </c:pt>
                <c:pt idx="19">
                  <c:v>59.1</c:v>
                </c:pt>
                <c:pt idx="20">
                  <c:v>57.7</c:v>
                </c:pt>
                <c:pt idx="21">
                  <c:v>54.3</c:v>
                </c:pt>
                <c:pt idx="22">
                  <c:v>49.1</c:v>
                </c:pt>
                <c:pt idx="23">
                  <c:v>46.6</c:v>
                </c:pt>
                <c:pt idx="24">
                  <c:v>47.9</c:v>
                </c:pt>
                <c:pt idx="25">
                  <c:v>53.9</c:v>
                </c:pt>
                <c:pt idx="26">
                  <c:v>55.5</c:v>
                </c:pt>
                <c:pt idx="27">
                  <c:v>48.9</c:v>
                </c:pt>
                <c:pt idx="28">
                  <c:v>53.7</c:v>
                </c:pt>
                <c:pt idx="29">
                  <c:v>51.3</c:v>
                </c:pt>
                <c:pt idx="30">
                  <c:v>48.2</c:v>
                </c:pt>
                <c:pt idx="31">
                  <c:v>43.886999999999993</c:v>
                </c:pt>
                <c:pt idx="32">
                  <c:v>43.122000000000028</c:v>
                </c:pt>
                <c:pt idx="33">
                  <c:v>42.853999999999999</c:v>
                </c:pt>
                <c:pt idx="34">
                  <c:v>41.186</c:v>
                </c:pt>
                <c:pt idx="35">
                  <c:v>38.178000000000011</c:v>
                </c:pt>
                <c:pt idx="36">
                  <c:v>37.22800000000003</c:v>
                </c:pt>
              </c:numCache>
            </c:numRef>
          </c:val>
          <c:smooth val="0"/>
          <c:extLst>
            <c:ext xmlns:c16="http://schemas.microsoft.com/office/drawing/2014/chart" uri="{C3380CC4-5D6E-409C-BE32-E72D297353CC}">
              <c16:uniqueId val="{00000004-1A79-4A6D-8C56-E12FE355B8B8}"/>
            </c:ext>
          </c:extLst>
        </c:ser>
        <c:ser>
          <c:idx val="7"/>
          <c:order val="5"/>
          <c:tx>
            <c:strRef>
              <c:f>'Trh práce-2b'!$A$39</c:f>
              <c:strCache>
                <c:ptCount val="1"/>
                <c:pt idx="0">
                  <c:v>VPM pro SŠ s mat., VOŠ a VŠ</c:v>
                </c:pt>
              </c:strCache>
            </c:strRef>
          </c:tx>
          <c:spPr>
            <a:ln>
              <a:noFill/>
            </a:ln>
          </c:spPr>
          <c:marker>
            <c:symbol val="diamond"/>
            <c:size val="5"/>
            <c:spPr>
              <a:solidFill>
                <a:srgbClr val="00B050"/>
              </a:solidFill>
              <a:ln>
                <a:noFill/>
              </a:ln>
            </c:spPr>
          </c:marker>
          <c:cat>
            <c:multiLvlStrRef>
              <c:f>'Trh práce-2b'!$B$30:$AM$31</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práce-2b'!$B$39:$AM$39</c:f>
              <c:numCache>
                <c:formatCode>0.0</c:formatCode>
                <c:ptCount val="38"/>
                <c:pt idx="0">
                  <c:v>16.600000000000001</c:v>
                </c:pt>
                <c:pt idx="1">
                  <c:v>19.3</c:v>
                </c:pt>
                <c:pt idx="2">
                  <c:v>20</c:v>
                </c:pt>
                <c:pt idx="3">
                  <c:v>19.600000000000001</c:v>
                </c:pt>
                <c:pt idx="4">
                  <c:v>23.4</c:v>
                </c:pt>
                <c:pt idx="5">
                  <c:v>24.8</c:v>
                </c:pt>
                <c:pt idx="6">
                  <c:v>25.2</c:v>
                </c:pt>
                <c:pt idx="7">
                  <c:v>23.5</c:v>
                </c:pt>
                <c:pt idx="8">
                  <c:v>25.9</c:v>
                </c:pt>
                <c:pt idx="9">
                  <c:v>30.3</c:v>
                </c:pt>
                <c:pt idx="10">
                  <c:v>31.4</c:v>
                </c:pt>
                <c:pt idx="11">
                  <c:v>31.8</c:v>
                </c:pt>
                <c:pt idx="12">
                  <c:v>34.300000000000004</c:v>
                </c:pt>
                <c:pt idx="13">
                  <c:v>38</c:v>
                </c:pt>
                <c:pt idx="14">
                  <c:v>37.200000000000003</c:v>
                </c:pt>
                <c:pt idx="15">
                  <c:v>36.6</c:v>
                </c:pt>
                <c:pt idx="16">
                  <c:v>37.300000000000004</c:v>
                </c:pt>
                <c:pt idx="17">
                  <c:v>38.300000000000004</c:v>
                </c:pt>
                <c:pt idx="18">
                  <c:v>38.6</c:v>
                </c:pt>
                <c:pt idx="19">
                  <c:v>36.300000000000004</c:v>
                </c:pt>
                <c:pt idx="20">
                  <c:v>37.700000000000003</c:v>
                </c:pt>
                <c:pt idx="21">
                  <c:v>38.1</c:v>
                </c:pt>
                <c:pt idx="22">
                  <c:v>34.4</c:v>
                </c:pt>
                <c:pt idx="23">
                  <c:v>34.1</c:v>
                </c:pt>
                <c:pt idx="24">
                  <c:v>36.300000000000004</c:v>
                </c:pt>
                <c:pt idx="25">
                  <c:v>39.6</c:v>
                </c:pt>
                <c:pt idx="26">
                  <c:v>40.300000000000004</c:v>
                </c:pt>
                <c:pt idx="27">
                  <c:v>39.200000000000003</c:v>
                </c:pt>
                <c:pt idx="28">
                  <c:v>42.5</c:v>
                </c:pt>
                <c:pt idx="29">
                  <c:v>41</c:v>
                </c:pt>
                <c:pt idx="30">
                  <c:v>38.5</c:v>
                </c:pt>
                <c:pt idx="31">
                  <c:v>36.56</c:v>
                </c:pt>
                <c:pt idx="32">
                  <c:v>37.613</c:v>
                </c:pt>
                <c:pt idx="33">
                  <c:v>38.130000000000003</c:v>
                </c:pt>
                <c:pt idx="34">
                  <c:v>36.289000000000001</c:v>
                </c:pt>
                <c:pt idx="35">
                  <c:v>34.274000000000001</c:v>
                </c:pt>
                <c:pt idx="36">
                  <c:v>35.200000000000003</c:v>
                </c:pt>
              </c:numCache>
            </c:numRef>
          </c:val>
          <c:smooth val="0"/>
          <c:extLst>
            <c:ext xmlns:c16="http://schemas.microsoft.com/office/drawing/2014/chart" uri="{C3380CC4-5D6E-409C-BE32-E72D297353CC}">
              <c16:uniqueId val="{00000005-1A79-4A6D-8C56-E12FE355B8B8}"/>
            </c:ext>
          </c:extLst>
        </c:ser>
        <c:dLbls>
          <c:showLegendKey val="0"/>
          <c:showVal val="0"/>
          <c:showCatName val="0"/>
          <c:showSerName val="0"/>
          <c:showPercent val="0"/>
          <c:showBubbleSize val="0"/>
        </c:dLbls>
        <c:marker val="1"/>
        <c:smooth val="0"/>
        <c:axId val="79306112"/>
        <c:axId val="79303808"/>
      </c:lineChart>
      <c:catAx>
        <c:axId val="79242368"/>
        <c:scaling>
          <c:orientation val="minMax"/>
        </c:scaling>
        <c:delete val="0"/>
        <c:axPos val="b"/>
        <c:numFmt formatCode="General" sourceLinked="0"/>
        <c:majorTickMark val="out"/>
        <c:minorTickMark val="none"/>
        <c:tickLblPos val="low"/>
        <c:spPr>
          <a:ln>
            <a:solidFill>
              <a:schemeClr val="tx1"/>
            </a:solidFill>
          </a:ln>
        </c:spPr>
        <c:crossAx val="79257984"/>
        <c:crossesAt val="-50"/>
        <c:auto val="1"/>
        <c:lblAlgn val="ctr"/>
        <c:lblOffset val="0"/>
        <c:noMultiLvlLbl val="0"/>
      </c:catAx>
      <c:valAx>
        <c:axId val="79257984"/>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Míra nezaměstnanosti</a:t>
                </a:r>
              </a:p>
            </c:rich>
          </c:tx>
          <c:overlay val="0"/>
        </c:title>
        <c:numFmt formatCode="0.0" sourceLinked="0"/>
        <c:majorTickMark val="out"/>
        <c:minorTickMark val="none"/>
        <c:tickLblPos val="nextTo"/>
        <c:spPr>
          <a:ln>
            <a:solidFill>
              <a:schemeClr val="tx1"/>
            </a:solidFill>
          </a:ln>
        </c:spPr>
        <c:crossAx val="79242368"/>
        <c:crosses val="autoZero"/>
        <c:crossBetween val="between"/>
        <c:majorUnit val="0.5"/>
      </c:valAx>
      <c:valAx>
        <c:axId val="79303808"/>
        <c:scaling>
          <c:orientation val="minMax"/>
          <c:max val="142"/>
          <c:min val="-10"/>
        </c:scaling>
        <c:delete val="0"/>
        <c:axPos val="r"/>
        <c:title>
          <c:tx>
            <c:rich>
              <a:bodyPr/>
              <a:lstStyle/>
              <a:p>
                <a:pPr>
                  <a:defRPr sz="700" b="0" i="1"/>
                </a:pPr>
                <a:r>
                  <a:rPr lang="cs-CZ" sz="700" b="0" i="1"/>
                  <a:t>Míra</a:t>
                </a:r>
                <a:r>
                  <a:rPr lang="cs-CZ" sz="700" b="0" i="1" baseline="0"/>
                  <a:t> ekonomické aktivity, e</a:t>
                </a:r>
                <a:r>
                  <a:rPr lang="cs-CZ" sz="700" b="0" i="1"/>
                  <a:t>kon. neaktivní, očekávání nezam.</a:t>
                </a:r>
              </a:p>
            </c:rich>
          </c:tx>
          <c:overlay val="0"/>
        </c:title>
        <c:numFmt formatCode="#,##0" sourceLinked="0"/>
        <c:majorTickMark val="out"/>
        <c:minorTickMark val="none"/>
        <c:tickLblPos val="nextTo"/>
        <c:crossAx val="79306112"/>
        <c:crosses val="max"/>
        <c:crossBetween val="between"/>
        <c:majorUnit val="10"/>
      </c:valAx>
      <c:catAx>
        <c:axId val="79306112"/>
        <c:scaling>
          <c:orientation val="minMax"/>
        </c:scaling>
        <c:delete val="1"/>
        <c:axPos val="b"/>
        <c:numFmt formatCode="General" sourceLinked="1"/>
        <c:majorTickMark val="out"/>
        <c:minorTickMark val="none"/>
        <c:tickLblPos val="none"/>
        <c:crossAx val="79303808"/>
        <c:crosses val="autoZero"/>
        <c:auto val="1"/>
        <c:lblAlgn val="ctr"/>
        <c:lblOffset val="100"/>
        <c:noMultiLvlLbl val="0"/>
      </c:catAx>
      <c:spPr>
        <a:ln>
          <a:solidFill>
            <a:schemeClr val="tx1"/>
          </a:solidFill>
        </a:ln>
      </c:spPr>
    </c:plotArea>
    <c:legend>
      <c:legendPos val="b"/>
      <c:layout>
        <c:manualLayout>
          <c:xMode val="edge"/>
          <c:yMode val="edge"/>
          <c:x val="7.7707750087519983E-2"/>
          <c:y val="0.86344941601778269"/>
          <c:w val="0.87725909810586822"/>
          <c:h val="0.12604380165618714"/>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11162452186125E-2"/>
          <c:y val="2.0203894786331146E-2"/>
          <c:w val="0.94100987714831774"/>
          <c:h val="0.7639520975056695"/>
        </c:manualLayout>
      </c:layout>
      <c:barChart>
        <c:barDir val="col"/>
        <c:grouping val="clustered"/>
        <c:varyColors val="0"/>
        <c:ser>
          <c:idx val="4"/>
          <c:order val="1"/>
          <c:tx>
            <c:strRef>
              <c:f>'Trh práce 3'!$D$8</c:f>
              <c:strCache>
                <c:ptCount val="1"/>
                <c:pt idx="0">
                  <c:v>Průměrná mzda celkem (reálně)</c:v>
                </c:pt>
              </c:strCache>
            </c:strRef>
          </c:tx>
          <c:spPr>
            <a:solidFill>
              <a:srgbClr val="DBDBDB"/>
            </a:solidFill>
            <a:ln w="19050">
              <a:noFill/>
            </a:ln>
          </c:spPr>
          <c:invertIfNegative val="0"/>
          <c:cat>
            <c:multiLvlStrRef>
              <c:f>'Trh práce 3'!$A$29:$B$65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3'!$D$29:$D$65</c:f>
              <c:numCache>
                <c:formatCode>#\ ##0.0</c:formatCode>
                <c:ptCount val="37"/>
                <c:pt idx="0">
                  <c:v>2.2000000000000042</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4.9000000000000083</c:v>
                </c:pt>
                <c:pt idx="10">
                  <c:v>4.0999999999999943</c:v>
                </c:pt>
                <c:pt idx="11">
                  <c:v>5.0999999999999943</c:v>
                </c:pt>
                <c:pt idx="12">
                  <c:v>6.5</c:v>
                </c:pt>
                <c:pt idx="13">
                  <c:v>6.2999999999999972</c:v>
                </c:pt>
                <c:pt idx="14">
                  <c:v>5.9000000000000083</c:v>
                </c:pt>
                <c:pt idx="15">
                  <c:v>4.9000000000000083</c:v>
                </c:pt>
                <c:pt idx="16">
                  <c:v>5.5</c:v>
                </c:pt>
                <c:pt idx="17">
                  <c:v>5.0999999999999943</c:v>
                </c:pt>
                <c:pt idx="18">
                  <c:v>4.7999999999999972</c:v>
                </c:pt>
                <c:pt idx="19">
                  <c:v>4.5</c:v>
                </c:pt>
                <c:pt idx="20">
                  <c:v>1.7999999999999956</c:v>
                </c:pt>
                <c:pt idx="21">
                  <c:v>-2.0999999999999943</c:v>
                </c:pt>
                <c:pt idx="22">
                  <c:v>2</c:v>
                </c:pt>
                <c:pt idx="23">
                  <c:v>4</c:v>
                </c:pt>
                <c:pt idx="24">
                  <c:v>0.7999999999999976</c:v>
                </c:pt>
                <c:pt idx="25">
                  <c:v>8.1000000000000014</c:v>
                </c:pt>
                <c:pt idx="26">
                  <c:v>1.2000000000000028</c:v>
                </c:pt>
                <c:pt idx="27">
                  <c:v>-2.0999999999999943</c:v>
                </c:pt>
                <c:pt idx="28">
                  <c:v>-5.2999999999999972</c:v>
                </c:pt>
                <c:pt idx="29">
                  <c:v>-11.5</c:v>
                </c:pt>
                <c:pt idx="30">
                  <c:v>-11.600000000000001</c:v>
                </c:pt>
                <c:pt idx="31">
                  <c:v>-8.7000000000000011</c:v>
                </c:pt>
                <c:pt idx="32">
                  <c:v>-6.4000000000000083</c:v>
                </c:pt>
                <c:pt idx="33">
                  <c:v>-2.4000000000000057</c:v>
                </c:pt>
                <c:pt idx="34">
                  <c:v>-0.20000000000000284</c:v>
                </c:pt>
                <c:pt idx="35">
                  <c:v>-0.5</c:v>
                </c:pt>
                <c:pt idx="36">
                  <c:v>4.7999999999999972</c:v>
                </c:pt>
              </c:numCache>
            </c:numRef>
          </c:val>
          <c:extLst>
            <c:ext xmlns:c16="http://schemas.microsoft.com/office/drawing/2014/chart" uri="{C3380CC4-5D6E-409C-BE32-E72D297353CC}">
              <c16:uniqueId val="{00000000-7C37-4B06-84BB-0C8A6863BF77}"/>
            </c:ext>
          </c:extLst>
        </c:ser>
        <c:dLbls>
          <c:showLegendKey val="0"/>
          <c:showVal val="0"/>
          <c:showCatName val="0"/>
          <c:showSerName val="0"/>
          <c:showPercent val="0"/>
          <c:showBubbleSize val="0"/>
        </c:dLbls>
        <c:gapWidth val="37"/>
        <c:axId val="79390976"/>
        <c:axId val="79397248"/>
      </c:barChart>
      <c:lineChart>
        <c:grouping val="standard"/>
        <c:varyColors val="0"/>
        <c:ser>
          <c:idx val="0"/>
          <c:order val="0"/>
          <c:tx>
            <c:strRef>
              <c:f>'Trh práce 3'!$C$8</c:f>
              <c:strCache>
                <c:ptCount val="1"/>
                <c:pt idx="0">
                  <c:v>Průměrná mzda celkem (nominálně)</c:v>
                </c:pt>
              </c:strCache>
            </c:strRef>
          </c:tx>
          <c:spPr>
            <a:ln w="19050">
              <a:solidFill>
                <a:schemeClr val="tx1">
                  <a:lumMod val="95000"/>
                  <a:lumOff val="5000"/>
                </a:schemeClr>
              </a:solidFill>
              <a:prstDash val="sysDash"/>
            </a:ln>
          </c:spPr>
          <c:marker>
            <c:symbol val="none"/>
          </c:marker>
          <c:cat>
            <c:multiLvlStrRef>
              <c:f>'Trh práce 3'!$A$29:$B$65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3'!$C$29:$C$65</c:f>
              <c:numCache>
                <c:formatCode>#\ ##0.0</c:formatCode>
                <c:ptCount val="37"/>
                <c:pt idx="0">
                  <c:v>2.2999999999999972</c:v>
                </c:pt>
                <c:pt idx="1">
                  <c:v>3.2999999999999972</c:v>
                </c:pt>
                <c:pt idx="2">
                  <c:v>3.5</c:v>
                </c:pt>
                <c:pt idx="3">
                  <c:v>3.7000000000000042</c:v>
                </c:pt>
                <c:pt idx="4">
                  <c:v>4.7000000000000028</c:v>
                </c:pt>
                <c:pt idx="5">
                  <c:v>4</c:v>
                </c:pt>
                <c:pt idx="6">
                  <c:v>4.7000000000000028</c:v>
                </c:pt>
                <c:pt idx="7">
                  <c:v>4.4000000000000083</c:v>
                </c:pt>
                <c:pt idx="8">
                  <c:v>5.0999999999999943</c:v>
                </c:pt>
                <c:pt idx="9">
                  <c:v>7.2000000000000028</c:v>
                </c:pt>
                <c:pt idx="10">
                  <c:v>6.7000000000000028</c:v>
                </c:pt>
                <c:pt idx="11">
                  <c:v>7.7999999999999972</c:v>
                </c:pt>
                <c:pt idx="12">
                  <c:v>8.5</c:v>
                </c:pt>
                <c:pt idx="13">
                  <c:v>8.7000000000000011</c:v>
                </c:pt>
                <c:pt idx="14">
                  <c:v>8.4000000000000057</c:v>
                </c:pt>
                <c:pt idx="15">
                  <c:v>7.0999999999999943</c:v>
                </c:pt>
                <c:pt idx="16">
                  <c:v>8.3000000000000025</c:v>
                </c:pt>
                <c:pt idx="17">
                  <c:v>8</c:v>
                </c:pt>
                <c:pt idx="18">
                  <c:v>7.7000000000000028</c:v>
                </c:pt>
                <c:pt idx="19">
                  <c:v>7.5999999999999943</c:v>
                </c:pt>
                <c:pt idx="20">
                  <c:v>5.5</c:v>
                </c:pt>
                <c:pt idx="21">
                  <c:v>0.90000000000000568</c:v>
                </c:pt>
                <c:pt idx="22">
                  <c:v>5.4000000000000083</c:v>
                </c:pt>
                <c:pt idx="23">
                  <c:v>6.7000000000000028</c:v>
                </c:pt>
                <c:pt idx="24">
                  <c:v>3</c:v>
                </c:pt>
                <c:pt idx="25">
                  <c:v>11.200000000000003</c:v>
                </c:pt>
                <c:pt idx="26">
                  <c:v>5.2999999999999972</c:v>
                </c:pt>
                <c:pt idx="27">
                  <c:v>3.9000000000000057</c:v>
                </c:pt>
                <c:pt idx="28">
                  <c:v>5.2999999999999972</c:v>
                </c:pt>
                <c:pt idx="29">
                  <c:v>2.5</c:v>
                </c:pt>
                <c:pt idx="30">
                  <c:v>3.9000000000000057</c:v>
                </c:pt>
                <c:pt idx="31">
                  <c:v>5.5999999999999943</c:v>
                </c:pt>
                <c:pt idx="32">
                  <c:v>8.9000000000000057</c:v>
                </c:pt>
                <c:pt idx="33">
                  <c:v>8.4000000000000057</c:v>
                </c:pt>
                <c:pt idx="34">
                  <c:v>7.7999999999999972</c:v>
                </c:pt>
                <c:pt idx="35">
                  <c:v>7.0999999999999943</c:v>
                </c:pt>
                <c:pt idx="36">
                  <c:v>7</c:v>
                </c:pt>
              </c:numCache>
            </c:numRef>
          </c:val>
          <c:smooth val="0"/>
          <c:extLst>
            <c:ext xmlns:c16="http://schemas.microsoft.com/office/drawing/2014/chart" uri="{C3380CC4-5D6E-409C-BE32-E72D297353CC}">
              <c16:uniqueId val="{00000001-7C37-4B06-84BB-0C8A6863BF77}"/>
            </c:ext>
          </c:extLst>
        </c:ser>
        <c:ser>
          <c:idx val="5"/>
          <c:order val="2"/>
          <c:tx>
            <c:strRef>
              <c:f>'Trh práce 3'!$E$8</c:f>
              <c:strCache>
                <c:ptCount val="1"/>
                <c:pt idx="0">
                  <c:v>Prům. mzda v průmyslu (nominálně)</c:v>
                </c:pt>
              </c:strCache>
            </c:strRef>
          </c:tx>
          <c:spPr>
            <a:ln w="9525">
              <a:solidFill>
                <a:srgbClr val="C00000"/>
              </a:solidFill>
              <a:prstDash val="solid"/>
            </a:ln>
          </c:spPr>
          <c:marker>
            <c:symbol val="none"/>
          </c:marker>
          <c:cat>
            <c:multiLvlStrRef>
              <c:f>'Trh práce 3'!$A$29:$B$65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3'!$E$29:$E$65</c:f>
              <c:numCache>
                <c:formatCode>#\ ##0.0</c:formatCode>
                <c:ptCount val="37"/>
                <c:pt idx="0">
                  <c:v>1.6381118189372055</c:v>
                </c:pt>
                <c:pt idx="1">
                  <c:v>2.6920877025738719</c:v>
                </c:pt>
                <c:pt idx="2">
                  <c:v>3.0100597296447633</c:v>
                </c:pt>
                <c:pt idx="3">
                  <c:v>2.9788308269320822</c:v>
                </c:pt>
                <c:pt idx="4">
                  <c:v>4.6482656596722052</c:v>
                </c:pt>
                <c:pt idx="5">
                  <c:v>3.9508373250157827</c:v>
                </c:pt>
                <c:pt idx="6">
                  <c:v>4.6540016784924143</c:v>
                </c:pt>
                <c:pt idx="7">
                  <c:v>3.8977412011906836</c:v>
                </c:pt>
                <c:pt idx="8">
                  <c:v>5.1746586808526489</c:v>
                </c:pt>
                <c:pt idx="9">
                  <c:v>8.0728701553848907</c:v>
                </c:pt>
                <c:pt idx="10">
                  <c:v>6.8272945979441602</c:v>
                </c:pt>
                <c:pt idx="11">
                  <c:v>7.0884454631252503</c:v>
                </c:pt>
                <c:pt idx="12">
                  <c:v>7.9018109790605555</c:v>
                </c:pt>
                <c:pt idx="13">
                  <c:v>8.1936869938853292</c:v>
                </c:pt>
                <c:pt idx="14">
                  <c:v>7.3566042242467775</c:v>
                </c:pt>
                <c:pt idx="15">
                  <c:v>7.6170092222467041</c:v>
                </c:pt>
                <c:pt idx="16">
                  <c:v>7.1985838851373387</c:v>
                </c:pt>
                <c:pt idx="17">
                  <c:v>7.0904869554591556</c:v>
                </c:pt>
                <c:pt idx="18">
                  <c:v>6.7539649747322095</c:v>
                </c:pt>
                <c:pt idx="19">
                  <c:v>5.6242870930946793</c:v>
                </c:pt>
                <c:pt idx="20">
                  <c:v>4.8529141948504808</c:v>
                </c:pt>
                <c:pt idx="21">
                  <c:v>-3.483097988874635</c:v>
                </c:pt>
                <c:pt idx="22">
                  <c:v>2.9564130046445007</c:v>
                </c:pt>
                <c:pt idx="23">
                  <c:v>4.0067563825663104</c:v>
                </c:pt>
                <c:pt idx="24">
                  <c:v>1.8985680538948344</c:v>
                </c:pt>
                <c:pt idx="25">
                  <c:v>10.170242950877807</c:v>
                </c:pt>
                <c:pt idx="26">
                  <c:v>4.7656227408114233</c:v>
                </c:pt>
                <c:pt idx="27">
                  <c:v>3.7112962913660401</c:v>
                </c:pt>
                <c:pt idx="28">
                  <c:v>4.9627933600457901</c:v>
                </c:pt>
                <c:pt idx="29">
                  <c:v>5.8242790073776085</c:v>
                </c:pt>
                <c:pt idx="30">
                  <c:v>5.6391288746584252</c:v>
                </c:pt>
                <c:pt idx="31">
                  <c:v>7.3649082274419078</c:v>
                </c:pt>
                <c:pt idx="32">
                  <c:v>10.686044609259975</c:v>
                </c:pt>
                <c:pt idx="33">
                  <c:v>9.9249607057749696</c:v>
                </c:pt>
                <c:pt idx="34">
                  <c:v>8.8289088628762613</c:v>
                </c:pt>
                <c:pt idx="35">
                  <c:v>7.7850038255547114</c:v>
                </c:pt>
                <c:pt idx="36">
                  <c:v>8.0087699849727638</c:v>
                </c:pt>
              </c:numCache>
            </c:numRef>
          </c:val>
          <c:smooth val="0"/>
          <c:extLst>
            <c:ext xmlns:c16="http://schemas.microsoft.com/office/drawing/2014/chart" uri="{C3380CC4-5D6E-409C-BE32-E72D297353CC}">
              <c16:uniqueId val="{00000002-7C37-4B06-84BB-0C8A6863BF77}"/>
            </c:ext>
          </c:extLst>
        </c:ser>
        <c:ser>
          <c:idx val="1"/>
          <c:order val="3"/>
          <c:tx>
            <c:strRef>
              <c:f>'Trh práce 3'!$F$8</c:f>
              <c:strCache>
                <c:ptCount val="1"/>
                <c:pt idx="0">
                  <c:v>Prům. mzda v obchodu (nominálně)</c:v>
                </c:pt>
              </c:strCache>
            </c:strRef>
          </c:tx>
          <c:spPr>
            <a:ln w="9525">
              <a:solidFill>
                <a:srgbClr val="0070C0"/>
              </a:solidFill>
              <a:prstDash val="solid"/>
            </a:ln>
          </c:spPr>
          <c:marker>
            <c:symbol val="none"/>
          </c:marker>
          <c:cat>
            <c:multiLvlStrRef>
              <c:f>'Trh práce 3'!$A$29:$B$65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3'!$F$29:$F$65</c:f>
              <c:numCache>
                <c:formatCode>#\ ##0.0</c:formatCode>
                <c:ptCount val="37"/>
                <c:pt idx="0">
                  <c:v>3.1055099144049194</c:v>
                </c:pt>
                <c:pt idx="1">
                  <c:v>3.9141414141414117</c:v>
                </c:pt>
                <c:pt idx="2">
                  <c:v>3.949146815340427</c:v>
                </c:pt>
                <c:pt idx="3">
                  <c:v>5.7916298497871423</c:v>
                </c:pt>
                <c:pt idx="4">
                  <c:v>5.644320220266148</c:v>
                </c:pt>
                <c:pt idx="5">
                  <c:v>3.9570676387201189</c:v>
                </c:pt>
                <c:pt idx="6">
                  <c:v>4.9977652269310475</c:v>
                </c:pt>
                <c:pt idx="7">
                  <c:v>4.4950645406226224</c:v>
                </c:pt>
                <c:pt idx="8">
                  <c:v>5.6231243089559149</c:v>
                </c:pt>
                <c:pt idx="9">
                  <c:v>7.9284684614485474</c:v>
                </c:pt>
                <c:pt idx="10">
                  <c:v>7.6932007275260155</c:v>
                </c:pt>
                <c:pt idx="11">
                  <c:v>8.3926754832146457</c:v>
                </c:pt>
                <c:pt idx="12">
                  <c:v>7.2416629280693918</c:v>
                </c:pt>
                <c:pt idx="13">
                  <c:v>7.0392029456356981</c:v>
                </c:pt>
                <c:pt idx="14">
                  <c:v>6.8381903769449055</c:v>
                </c:pt>
                <c:pt idx="15">
                  <c:v>6.6970570490044938</c:v>
                </c:pt>
                <c:pt idx="16">
                  <c:v>9.5345999651385682</c:v>
                </c:pt>
                <c:pt idx="17">
                  <c:v>7.4227708080399255</c:v>
                </c:pt>
                <c:pt idx="18">
                  <c:v>8.1629221041302316</c:v>
                </c:pt>
                <c:pt idx="19">
                  <c:v>6.3018346318170408</c:v>
                </c:pt>
                <c:pt idx="20">
                  <c:v>6.3685550604710466</c:v>
                </c:pt>
                <c:pt idx="21">
                  <c:v>0.91357172008916621</c:v>
                </c:pt>
                <c:pt idx="22">
                  <c:v>4.7389533256631236</c:v>
                </c:pt>
                <c:pt idx="23">
                  <c:v>2.4469531296175813</c:v>
                </c:pt>
                <c:pt idx="24">
                  <c:v>2.2321294994165282</c:v>
                </c:pt>
                <c:pt idx="25">
                  <c:v>9.8898705823792898</c:v>
                </c:pt>
                <c:pt idx="26">
                  <c:v>6.6146127126443588</c:v>
                </c:pt>
                <c:pt idx="27">
                  <c:v>8.7059366526279387</c:v>
                </c:pt>
                <c:pt idx="28">
                  <c:v>6.7609096496619498</c:v>
                </c:pt>
                <c:pt idx="29">
                  <c:v>5.6167369702460048</c:v>
                </c:pt>
                <c:pt idx="30">
                  <c:v>3.4585503049205073</c:v>
                </c:pt>
                <c:pt idx="31">
                  <c:v>5.3444432650461664</c:v>
                </c:pt>
                <c:pt idx="32">
                  <c:v>8.0653562518847774</c:v>
                </c:pt>
                <c:pt idx="33">
                  <c:v>6.8137346878601885</c:v>
                </c:pt>
                <c:pt idx="34">
                  <c:v>6.2713643581944893</c:v>
                </c:pt>
                <c:pt idx="35">
                  <c:v>5.3226862814247653</c:v>
                </c:pt>
                <c:pt idx="36">
                  <c:v>7.318805652096696</c:v>
                </c:pt>
              </c:numCache>
            </c:numRef>
          </c:val>
          <c:smooth val="0"/>
          <c:extLst>
            <c:ext xmlns:c16="http://schemas.microsoft.com/office/drawing/2014/chart" uri="{C3380CC4-5D6E-409C-BE32-E72D297353CC}">
              <c16:uniqueId val="{00000003-7C37-4B06-84BB-0C8A6863BF77}"/>
            </c:ext>
          </c:extLst>
        </c:ser>
        <c:ser>
          <c:idx val="2"/>
          <c:order val="4"/>
          <c:tx>
            <c:strRef>
              <c:f>'Trh práce 3'!$G$8</c:f>
              <c:strCache>
                <c:ptCount val="1"/>
                <c:pt idx="0">
                  <c:v>Prům. mzda ve veř. službách (nominálně)*</c:v>
                </c:pt>
              </c:strCache>
            </c:strRef>
          </c:tx>
          <c:spPr>
            <a:ln w="9525">
              <a:solidFill>
                <a:srgbClr val="00B050"/>
              </a:solidFill>
              <a:prstDash val="solid"/>
            </a:ln>
          </c:spPr>
          <c:marker>
            <c:symbol val="none"/>
          </c:marker>
          <c:cat>
            <c:multiLvlStrRef>
              <c:f>'Trh práce 3'!$A$29:$B$65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3'!$G$29:$G$65</c:f>
              <c:numCache>
                <c:formatCode>#\ ##0.0</c:formatCode>
                <c:ptCount val="37"/>
                <c:pt idx="0">
                  <c:v>3.2925091204842665</c:v>
                </c:pt>
                <c:pt idx="1">
                  <c:v>4.3135889286729521</c:v>
                </c:pt>
                <c:pt idx="2">
                  <c:v>3.8145419077079783</c:v>
                </c:pt>
                <c:pt idx="3">
                  <c:v>3.6381766938736737</c:v>
                </c:pt>
                <c:pt idx="4">
                  <c:v>4.64178325585614</c:v>
                </c:pt>
                <c:pt idx="5">
                  <c:v>3.8061258933532089</c:v>
                </c:pt>
                <c:pt idx="6">
                  <c:v>4.852637470425389</c:v>
                </c:pt>
                <c:pt idx="7">
                  <c:v>6.1351981806606295</c:v>
                </c:pt>
                <c:pt idx="8">
                  <c:v>5.4566112929362163</c:v>
                </c:pt>
                <c:pt idx="9">
                  <c:v>7.3192456135909234</c:v>
                </c:pt>
                <c:pt idx="10">
                  <c:v>7.9981713137873953</c:v>
                </c:pt>
                <c:pt idx="11">
                  <c:v>10.484072576559427</c:v>
                </c:pt>
                <c:pt idx="12">
                  <c:v>12.179699393983407</c:v>
                </c:pt>
                <c:pt idx="13">
                  <c:v>11.892177332541117</c:v>
                </c:pt>
                <c:pt idx="14">
                  <c:v>11.36132632162867</c:v>
                </c:pt>
                <c:pt idx="15">
                  <c:v>6.1282038917470629</c:v>
                </c:pt>
                <c:pt idx="16">
                  <c:v>9.4162908795776108</c:v>
                </c:pt>
                <c:pt idx="17">
                  <c:v>9.3022383570098626</c:v>
                </c:pt>
                <c:pt idx="18">
                  <c:v>8.3925247282538464</c:v>
                </c:pt>
                <c:pt idx="19">
                  <c:v>11.041060141001232</c:v>
                </c:pt>
                <c:pt idx="20">
                  <c:v>5.2296117021426518</c:v>
                </c:pt>
                <c:pt idx="21">
                  <c:v>4.9937922145909539</c:v>
                </c:pt>
                <c:pt idx="22">
                  <c:v>8.8109946466096662</c:v>
                </c:pt>
                <c:pt idx="23">
                  <c:v>13.948630451066606</c:v>
                </c:pt>
                <c:pt idx="24">
                  <c:v>4.5485385483402707</c:v>
                </c:pt>
                <c:pt idx="25">
                  <c:v>17.78568407931499</c:v>
                </c:pt>
                <c:pt idx="26">
                  <c:v>5.4643357321226631</c:v>
                </c:pt>
                <c:pt idx="27">
                  <c:v>-0.40508430459891542</c:v>
                </c:pt>
                <c:pt idx="28">
                  <c:v>2.3050985414715655</c:v>
                </c:pt>
                <c:pt idx="29">
                  <c:v>-7.0315803873919274</c:v>
                </c:pt>
                <c:pt idx="30">
                  <c:v>0.30518367768182514</c:v>
                </c:pt>
                <c:pt idx="31">
                  <c:v>3.4014494016982129</c:v>
                </c:pt>
                <c:pt idx="32">
                  <c:v>7.1236563240183841</c:v>
                </c:pt>
                <c:pt idx="33">
                  <c:v>5.8159573906736464</c:v>
                </c:pt>
                <c:pt idx="34">
                  <c:v>5.5362187961367937</c:v>
                </c:pt>
                <c:pt idx="35">
                  <c:v>4.6740026435620186</c:v>
                </c:pt>
                <c:pt idx="36">
                  <c:v>5.2685952358093857</c:v>
                </c:pt>
              </c:numCache>
            </c:numRef>
          </c:val>
          <c:smooth val="0"/>
          <c:extLst>
            <c:ext xmlns:c16="http://schemas.microsoft.com/office/drawing/2014/chart" uri="{C3380CC4-5D6E-409C-BE32-E72D297353CC}">
              <c16:uniqueId val="{00000004-7C37-4B06-84BB-0C8A6863BF77}"/>
            </c:ext>
          </c:extLst>
        </c:ser>
        <c:ser>
          <c:idx val="3"/>
          <c:order val="5"/>
          <c:tx>
            <c:strRef>
              <c:f>'Trh práce 3'!$H$8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3'!$A$29:$B$65</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'Trh práce 3'!$H$29:$H$65</c:f>
              <c:numCache>
                <c:formatCode>#\ ##0.0</c:formatCode>
                <c:ptCount val="37"/>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4.9000000000000083</c:v>
                </c:pt>
                <c:pt idx="9">
                  <c:v>7.7000000000000028</c:v>
                </c:pt>
                <c:pt idx="10">
                  <c:v>7</c:v>
                </c:pt>
                <c:pt idx="11">
                  <c:v>8.9000000000000057</c:v>
                </c:pt>
                <c:pt idx="12">
                  <c:v>8.7000000000000011</c:v>
                </c:pt>
                <c:pt idx="13">
                  <c:v>9.7000000000000011</c:v>
                </c:pt>
                <c:pt idx="14">
                  <c:v>9.3000000000000025</c:v>
                </c:pt>
                <c:pt idx="15">
                  <c:v>6.7000000000000028</c:v>
                </c:pt>
                <c:pt idx="16">
                  <c:v>7.2000000000000028</c:v>
                </c:pt>
                <c:pt idx="17">
                  <c:v>6.4000000000000083</c:v>
                </c:pt>
                <c:pt idx="18">
                  <c:v>7.2999999999999972</c:v>
                </c:pt>
                <c:pt idx="19">
                  <c:v>6.4000000000000083</c:v>
                </c:pt>
                <c:pt idx="20">
                  <c:v>7</c:v>
                </c:pt>
                <c:pt idx="21">
                  <c:v>1.4000000000000057</c:v>
                </c:pt>
                <c:pt idx="22">
                  <c:v>6.7000000000000028</c:v>
                </c:pt>
                <c:pt idx="23">
                  <c:v>6.7000000000000028</c:v>
                </c:pt>
                <c:pt idx="24">
                  <c:v>2.2999999999999972</c:v>
                </c:pt>
                <c:pt idx="25">
                  <c:v>11.100000000000001</c:v>
                </c:pt>
                <c:pt idx="26">
                  <c:v>4.7000000000000028</c:v>
                </c:pt>
                <c:pt idx="27">
                  <c:v>4.5999999999999943</c:v>
                </c:pt>
                <c:pt idx="28">
                  <c:v>4.2999999999999972</c:v>
                </c:pt>
                <c:pt idx="29">
                  <c:v>3.2000000000000042</c:v>
                </c:pt>
                <c:pt idx="30">
                  <c:v>4.2000000000000028</c:v>
                </c:pt>
                <c:pt idx="31">
                  <c:v>6.2999999999999972</c:v>
                </c:pt>
                <c:pt idx="32">
                  <c:v>9.6000000000000014</c:v>
                </c:pt>
                <c:pt idx="33">
                  <c:v>8.4000000000000057</c:v>
                </c:pt>
                <c:pt idx="34">
                  <c:v>7.7999999999999972</c:v>
                </c:pt>
                <c:pt idx="35">
                  <c:v>7.0999999999999943</c:v>
                </c:pt>
                <c:pt idx="36">
                  <c:v>5.5</c:v>
                </c:pt>
              </c:numCache>
            </c:numRef>
          </c:val>
          <c:smooth val="0"/>
          <c:extLst>
            <c:ext xmlns:c16="http://schemas.microsoft.com/office/drawing/2014/chart" uri="{C3380CC4-5D6E-409C-BE32-E72D297353CC}">
              <c16:uniqueId val="{00000005-7C37-4B06-84BB-0C8A6863BF77}"/>
            </c:ext>
          </c:extLst>
        </c:ser>
        <c:dLbls>
          <c:showLegendKey val="0"/>
          <c:showVal val="0"/>
          <c:showCatName val="0"/>
          <c:showSerName val="0"/>
          <c:showPercent val="0"/>
          <c:showBubbleSize val="0"/>
        </c:dLbls>
        <c:marker val="1"/>
        <c:smooth val="0"/>
        <c:axId val="79390976"/>
        <c:axId val="79397248"/>
      </c:lineChart>
      <c:catAx>
        <c:axId val="79390976"/>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79397248"/>
        <c:crosses val="autoZero"/>
        <c:auto val="1"/>
        <c:lblAlgn val="ctr"/>
        <c:lblOffset val="0"/>
        <c:tickMarkSkip val="4"/>
        <c:noMultiLvlLbl val="0"/>
      </c:catAx>
      <c:valAx>
        <c:axId val="79397248"/>
        <c:scaling>
          <c:orientation val="minMax"/>
          <c:max val="18"/>
          <c:min val="-12"/>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79390976"/>
        <c:crosses val="autoZero"/>
        <c:crossBetween val="between"/>
        <c:majorUnit val="2"/>
      </c:valAx>
      <c:spPr>
        <a:ln>
          <a:solidFill>
            <a:schemeClr val="tx1"/>
          </a:solidFill>
        </a:ln>
      </c:spPr>
    </c:plotArea>
    <c:legend>
      <c:legendPos val="b"/>
      <c:layout>
        <c:manualLayout>
          <c:xMode val="edge"/>
          <c:yMode val="edge"/>
          <c:x val="9.1292133366733495E-3"/>
          <c:y val="0.87578174603174652"/>
          <c:w val="0.97744446685490061"/>
          <c:h val="0.11341893424036273"/>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581433637284726E-2"/>
          <c:y val="2.1711264016309895E-2"/>
          <c:w val="0.93508633063154345"/>
          <c:h val="0.73130361364405039"/>
        </c:manualLayout>
      </c:layout>
      <c:barChart>
        <c:barDir val="col"/>
        <c:grouping val="clustered"/>
        <c:varyColors val="0"/>
        <c:ser>
          <c:idx val="0"/>
          <c:order val="0"/>
          <c:tx>
            <c:strRef>
              <c:f>'Měnové podmínky 1'!$C$5</c:f>
              <c:strCache>
                <c:ptCount val="1"/>
                <c:pt idx="0">
                  <c:v>2T repo sazba</c:v>
                </c:pt>
              </c:strCache>
            </c:strRef>
          </c:tx>
          <c:spPr>
            <a:solidFill>
              <a:schemeClr val="bg1">
                <a:lumMod val="65000"/>
              </a:schemeClr>
            </a:solidFill>
          </c:spPr>
          <c:invertIfNegative val="0"/>
          <c:cat>
            <c:multiLvlStrRef>
              <c:f>'Měnové podmínky 1'!$A$18:$B$80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2019</c:v>
                  </c:pt>
                  <c:pt idx="12">
                    <c:v>2020</c:v>
                  </c:pt>
                  <c:pt idx="24">
                    <c:v>2021</c:v>
                  </c:pt>
                  <c:pt idx="36">
                    <c:v>2022</c:v>
                  </c:pt>
                  <c:pt idx="48">
                    <c:v>2023</c:v>
                  </c:pt>
                  <c:pt idx="60">
                    <c:v>2024</c:v>
                  </c:pt>
                </c:lvl>
              </c:multiLvlStrCache>
            </c:multiLvlStrRef>
          </c:cat>
          <c:val>
            <c:numRef>
              <c:f>'Měnové podmínky 1'!$C$18:$C$80</c:f>
              <c:numCache>
                <c:formatCode>General</c:formatCode>
                <c:ptCount val="63"/>
                <c:pt idx="0">
                  <c:v>1.7500000000000002</c:v>
                </c:pt>
                <c:pt idx="1">
                  <c:v>1.7500000000000002</c:v>
                </c:pt>
                <c:pt idx="2">
                  <c:v>1.7500000000000002</c:v>
                </c:pt>
                <c:pt idx="3">
                  <c:v>1.7500000000000002</c:v>
                </c:pt>
                <c:pt idx="4">
                  <c:v>2</c:v>
                </c:pt>
                <c:pt idx="5">
                  <c:v>2</c:v>
                </c:pt>
                <c:pt idx="6">
                  <c:v>2</c:v>
                </c:pt>
                <c:pt idx="7">
                  <c:v>2</c:v>
                </c:pt>
                <c:pt idx="8">
                  <c:v>2</c:v>
                </c:pt>
                <c:pt idx="9">
                  <c:v>2</c:v>
                </c:pt>
                <c:pt idx="10">
                  <c:v>2</c:v>
                </c:pt>
                <c:pt idx="11">
                  <c:v>2</c:v>
                </c:pt>
                <c:pt idx="12">
                  <c:v>2</c:v>
                </c:pt>
                <c:pt idx="13">
                  <c:v>2.25</c:v>
                </c:pt>
                <c:pt idx="14">
                  <c:v>1</c:v>
                </c:pt>
                <c:pt idx="15">
                  <c:v>1</c:v>
                </c:pt>
                <c:pt idx="16">
                  <c:v>0.25</c:v>
                </c:pt>
                <c:pt idx="17">
                  <c:v>0.25</c:v>
                </c:pt>
                <c:pt idx="18">
                  <c:v>0.25</c:v>
                </c:pt>
                <c:pt idx="19">
                  <c:v>0.25</c:v>
                </c:pt>
                <c:pt idx="20">
                  <c:v>0.25</c:v>
                </c:pt>
                <c:pt idx="21">
                  <c:v>0.25</c:v>
                </c:pt>
                <c:pt idx="22">
                  <c:v>0.25</c:v>
                </c:pt>
                <c:pt idx="23">
                  <c:v>0.25</c:v>
                </c:pt>
                <c:pt idx="24">
                  <c:v>0.25</c:v>
                </c:pt>
                <c:pt idx="25">
                  <c:v>0.25</c:v>
                </c:pt>
                <c:pt idx="26">
                  <c:v>0.25</c:v>
                </c:pt>
                <c:pt idx="27">
                  <c:v>0.25</c:v>
                </c:pt>
                <c:pt idx="28">
                  <c:v>0.25</c:v>
                </c:pt>
                <c:pt idx="29">
                  <c:v>0.5</c:v>
                </c:pt>
                <c:pt idx="30">
                  <c:v>0.5</c:v>
                </c:pt>
                <c:pt idx="31">
                  <c:v>0.75000000000000022</c:v>
                </c:pt>
                <c:pt idx="32">
                  <c:v>0.75000000000000022</c:v>
                </c:pt>
                <c:pt idx="33">
                  <c:v>1.5</c:v>
                </c:pt>
                <c:pt idx="34">
                  <c:v>2.75</c:v>
                </c:pt>
                <c:pt idx="35">
                  <c:v>3.75</c:v>
                </c:pt>
                <c:pt idx="36">
                  <c:v>3.75</c:v>
                </c:pt>
                <c:pt idx="37">
                  <c:v>4.5</c:v>
                </c:pt>
                <c:pt idx="38">
                  <c:v>4.5</c:v>
                </c:pt>
                <c:pt idx="39">
                  <c:v>5</c:v>
                </c:pt>
                <c:pt idx="40">
                  <c:v>5.75</c:v>
                </c:pt>
                <c:pt idx="41">
                  <c:v>7</c:v>
                </c:pt>
                <c:pt idx="42">
                  <c:v>7</c:v>
                </c:pt>
                <c:pt idx="43">
                  <c:v>7</c:v>
                </c:pt>
                <c:pt idx="44">
                  <c:v>7</c:v>
                </c:pt>
                <c:pt idx="45">
                  <c:v>7</c:v>
                </c:pt>
                <c:pt idx="46">
                  <c:v>7</c:v>
                </c:pt>
                <c:pt idx="47">
                  <c:v>7</c:v>
                </c:pt>
                <c:pt idx="48">
                  <c:v>7</c:v>
                </c:pt>
                <c:pt idx="49">
                  <c:v>7</c:v>
                </c:pt>
                <c:pt idx="50">
                  <c:v>7</c:v>
                </c:pt>
                <c:pt idx="51" formatCode="###\ ###\ ###\ ###\ ##0.00;\-###\ ###\ ###\ ###\ ##0.00">
                  <c:v>7</c:v>
                </c:pt>
                <c:pt idx="52" formatCode="###\ ###\ ###\ ###\ ##0.00;\-###\ ###\ ###\ ###\ ##0.00">
                  <c:v>7</c:v>
                </c:pt>
                <c:pt idx="53" formatCode="###\ ###\ ###\ ###\ ##0.00;\-###\ ###\ ###\ ###\ ##0.00">
                  <c:v>7</c:v>
                </c:pt>
                <c:pt idx="54" formatCode="###\ ###\ ###\ ###\ ##0.00;\-###\ ###\ ###\ ###\ ##0.00">
                  <c:v>7</c:v>
                </c:pt>
                <c:pt idx="55" formatCode="###\ ###\ ###\ ###\ ##0.00;\-###\ ###\ ###\ ###\ ##0.00">
                  <c:v>7</c:v>
                </c:pt>
                <c:pt idx="56" formatCode="###\ ###\ ###\ ###\ ##0.00;\-###\ ###\ ###\ ###\ ##0.00">
                  <c:v>7</c:v>
                </c:pt>
                <c:pt idx="57" formatCode="###\ ###\ ###\ ###\ ##0.00;\-###\ ###\ ###\ ###\ ##0.00">
                  <c:v>7</c:v>
                </c:pt>
                <c:pt idx="58" formatCode="###\ ###\ ###\ ###\ ##0.00;\-###\ ###\ ###\ ###\ ##0.00">
                  <c:v>7</c:v>
                </c:pt>
                <c:pt idx="59" formatCode="###\ ###\ ###\ ###\ ##0.00;\-###\ ###\ ###\ ###\ ##0.00">
                  <c:v>6.75</c:v>
                </c:pt>
                <c:pt idx="60" formatCode="###\ ###\ ###\ ###\ ##0.00;\-###\ ###\ ###\ ###\ ##0.00">
                  <c:v>6.75</c:v>
                </c:pt>
                <c:pt idx="61" formatCode="###\ ###\ ###\ ###\ ##0.00;\-###\ ###\ ###\ ###\ ##0.00">
                  <c:v>6.25</c:v>
                </c:pt>
                <c:pt idx="62" formatCode="###\ ###\ ###\ ###\ ##0.00;\-###\ ###\ ###\ ###\ ##0.00">
                  <c:v>5.75</c:v>
                </c:pt>
              </c:numCache>
            </c:numRef>
          </c:val>
          <c:extLst>
            <c:ext xmlns:c16="http://schemas.microsoft.com/office/drawing/2014/chart" uri="{C3380CC4-5D6E-409C-BE32-E72D297353CC}">
              <c16:uniqueId val="{00000000-0870-460E-AAD5-BFF777326DE3}"/>
            </c:ext>
          </c:extLst>
        </c:ser>
        <c:dLbls>
          <c:showLegendKey val="0"/>
          <c:showVal val="0"/>
          <c:showCatName val="0"/>
          <c:showSerName val="0"/>
          <c:showPercent val="0"/>
          <c:showBubbleSize val="0"/>
        </c:dLbls>
        <c:gapWidth val="31"/>
        <c:axId val="76462720"/>
        <c:axId val="76476800"/>
      </c:barChart>
      <c:lineChart>
        <c:grouping val="standard"/>
        <c:varyColors val="0"/>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2019</c:v>
                  </c:pt>
                  <c:pt idx="12">
                    <c:v>2020</c:v>
                  </c:pt>
                  <c:pt idx="24">
                    <c:v>2021</c:v>
                  </c:pt>
                  <c:pt idx="36">
                    <c:v>2022</c:v>
                  </c:pt>
                  <c:pt idx="48">
                    <c:v>2023</c:v>
                  </c:pt>
                  <c:pt idx="60">
                    <c:v>2024</c:v>
                  </c:pt>
                </c:lvl>
              </c:multiLvlStrCache>
            </c:multiLvlStrRef>
          </c:cat>
          <c:val>
            <c:numRef>
              <c:f>'Měnové podmínky 1'!$F$18:$F$80</c:f>
              <c:numCache>
                <c:formatCode>General</c:formatCode>
                <c:ptCount val="63"/>
                <c:pt idx="0">
                  <c:v>1.6600000000000001</c:v>
                </c:pt>
                <c:pt idx="1">
                  <c:v>1.7400000000000002</c:v>
                </c:pt>
                <c:pt idx="2">
                  <c:v>1.7100000000000002</c:v>
                </c:pt>
                <c:pt idx="3">
                  <c:v>1.6300000000000001</c:v>
                </c:pt>
                <c:pt idx="4">
                  <c:v>1.62</c:v>
                </c:pt>
                <c:pt idx="5">
                  <c:v>1.52</c:v>
                </c:pt>
                <c:pt idx="6">
                  <c:v>1.35</c:v>
                </c:pt>
                <c:pt idx="7">
                  <c:v>0.8500000000000002</c:v>
                </c:pt>
                <c:pt idx="8">
                  <c:v>1.07</c:v>
                </c:pt>
                <c:pt idx="9">
                  <c:v>1.1700000000000004</c:v>
                </c:pt>
                <c:pt idx="10">
                  <c:v>1.33</c:v>
                </c:pt>
                <c:pt idx="11">
                  <c:v>1.36</c:v>
                </c:pt>
                <c:pt idx="12">
                  <c:v>1.55</c:v>
                </c:pt>
                <c:pt idx="13">
                  <c:v>1.57</c:v>
                </c:pt>
                <c:pt idx="14">
                  <c:v>1.27</c:v>
                </c:pt>
                <c:pt idx="15">
                  <c:v>0.71000000000000019</c:v>
                </c:pt>
                <c:pt idx="16">
                  <c:v>0.13</c:v>
                </c:pt>
                <c:pt idx="17">
                  <c:v>8.0000000000000029E-2</c:v>
                </c:pt>
                <c:pt idx="18">
                  <c:v>2.0000000000000007E-2</c:v>
                </c:pt>
                <c:pt idx="19">
                  <c:v>4.0000000000000015E-2</c:v>
                </c:pt>
                <c:pt idx="20">
                  <c:v>5.0000000000000017E-2</c:v>
                </c:pt>
                <c:pt idx="21">
                  <c:v>0</c:v>
                </c:pt>
                <c:pt idx="22">
                  <c:v>6.0000000000000019E-2</c:v>
                </c:pt>
                <c:pt idx="23">
                  <c:v>0.16000000000000003</c:v>
                </c:pt>
                <c:pt idx="24">
                  <c:v>0.26</c:v>
                </c:pt>
                <c:pt idx="25">
                  <c:v>0.45</c:v>
                </c:pt>
                <c:pt idx="26">
                  <c:v>0.75000000000000022</c:v>
                </c:pt>
                <c:pt idx="27">
                  <c:v>0.76000000000000023</c:v>
                </c:pt>
                <c:pt idx="28">
                  <c:v>0.76000000000000023</c:v>
                </c:pt>
                <c:pt idx="29">
                  <c:v>0.69000000000000028</c:v>
                </c:pt>
                <c:pt idx="30">
                  <c:v>0.84000000000000019</c:v>
                </c:pt>
                <c:pt idx="31">
                  <c:v>1.24</c:v>
                </c:pt>
                <c:pt idx="32">
                  <c:v>1.6</c:v>
                </c:pt>
                <c:pt idx="33">
                  <c:v>2.29</c:v>
                </c:pt>
                <c:pt idx="34">
                  <c:v>3</c:v>
                </c:pt>
                <c:pt idx="35">
                  <c:v>3.07</c:v>
                </c:pt>
                <c:pt idx="36">
                  <c:v>3.8099999999999992</c:v>
                </c:pt>
                <c:pt idx="37">
                  <c:v>3.77</c:v>
                </c:pt>
                <c:pt idx="38">
                  <c:v>4.54</c:v>
                </c:pt>
                <c:pt idx="39">
                  <c:v>5.13</c:v>
                </c:pt>
                <c:pt idx="40">
                  <c:v>5.6499999999999995</c:v>
                </c:pt>
                <c:pt idx="41">
                  <c:v>6.26</c:v>
                </c:pt>
                <c:pt idx="42">
                  <c:v>6.38</c:v>
                </c:pt>
                <c:pt idx="43">
                  <c:v>5.8599999999999985</c:v>
                </c:pt>
                <c:pt idx="44">
                  <c:v>5.9</c:v>
                </c:pt>
                <c:pt idx="45">
                  <c:v>6.18</c:v>
                </c:pt>
                <c:pt idx="46">
                  <c:v>5.68</c:v>
                </c:pt>
                <c:pt idx="47">
                  <c:v>5.1899999999999995</c:v>
                </c:pt>
                <c:pt idx="48" formatCode="###\ ###\ ###\ ###\ ##0.00;\-###\ ###\ ###\ ###\ ##0.00">
                  <c:v>5.3820143358172787</c:v>
                </c:pt>
                <c:pt idx="49" formatCode="###\ ###\ ###\ ###\ ##0.00;\-###\ ###\ ###\ ###\ ##0.00">
                  <c:v>5.5102623550618519</c:v>
                </c:pt>
                <c:pt idx="50" formatCode="###\ ###\ ###\ ###\ ##0.00;\-###\ ###\ ###\ ###\ ##0.00">
                  <c:v>5.2897725027112017</c:v>
                </c:pt>
                <c:pt idx="51" formatCode="###\ ###\ ###\ ###\ ##0.00;\-###\ ###\ ###\ ###\ ##0.00">
                  <c:v>5.4232360381175866</c:v>
                </c:pt>
                <c:pt idx="52" formatCode="###\ ###\ ###\ ###\ ##0.00;\-###\ ###\ ###\ ###\ ##0.00">
                  <c:v>5.4162815888395794</c:v>
                </c:pt>
                <c:pt idx="53" formatCode="###\ ###\ ###\ ###\ ##0.00;\-###\ ###\ ###\ ###\ ##0.00">
                  <c:v>5.3664752553650814</c:v>
                </c:pt>
                <c:pt idx="54" formatCode="###\ ###\ ###\ ###\ ##0.00;\-###\ ###\ ###\ ###\ ##0.00">
                  <c:v>5.2428078558777917</c:v>
                </c:pt>
                <c:pt idx="55" formatCode="###\ ###\ ###\ ###\ ##0.00;\-###\ ###\ ###\ ###\ ##0.00">
                  <c:v>5.1353490658602521</c:v>
                </c:pt>
                <c:pt idx="56" formatCode="###\ ###\ ###\ ###\ ##0.00;\-###\ ###\ ###\ ###\ ##0.00">
                  <c:v>5.0416686003519722</c:v>
                </c:pt>
                <c:pt idx="57" formatCode="###\ ###\ ###\ ###\ ##0.00;\-###\ ###\ ###\ ###\ ##0.00">
                  <c:v>5.0079198294298566</c:v>
                </c:pt>
                <c:pt idx="58" formatCode="###\ ###\ ###\ ###\ ##0.00;\-###\ ###\ ###\ ###\ ##0.00">
                  <c:v>4.8554647740100689</c:v>
                </c:pt>
                <c:pt idx="59" formatCode="###\ ###\ ###\ ###\ ##0.00;\-###\ ###\ ###\ ###\ ##0.00">
                  <c:v>4.6053753410259031</c:v>
                </c:pt>
                <c:pt idx="60" formatCode="###\ ###\ ###\ ###\ ##0.00;\-###\ ###\ ###\ ###\ ##0.00">
                  <c:v>4.2136537187056122</c:v>
                </c:pt>
                <c:pt idx="61" formatCode="###\ ###\ ###\ ###\ ##0.00;\-###\ ###\ ###\ ###\ ##0.00">
                  <c:v>3.7766020145670578</c:v>
                </c:pt>
                <c:pt idx="62" formatCode="###\ ###\ ###\ ###\ ##0.00;\-###\ ###\ ###\ ###\ ##0.00">
                  <c:v>3.7279261080474879</c:v>
                </c:pt>
              </c:numCache>
            </c:numRef>
          </c:val>
          <c:smooth val="0"/>
          <c:extLst>
            <c:ext xmlns:c16="http://schemas.microsoft.com/office/drawing/2014/chart" uri="{C3380CC4-5D6E-409C-BE32-E72D297353CC}">
              <c16:uniqueId val="{00000001-0870-460E-AAD5-BFF777326DE3}"/>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2019</c:v>
                  </c:pt>
                  <c:pt idx="12">
                    <c:v>2020</c:v>
                  </c:pt>
                  <c:pt idx="24">
                    <c:v>2021</c:v>
                  </c:pt>
                  <c:pt idx="36">
                    <c:v>2022</c:v>
                  </c:pt>
                  <c:pt idx="48">
                    <c:v>2023</c:v>
                  </c:pt>
                  <c:pt idx="60">
                    <c:v>2024</c:v>
                  </c:pt>
                </c:lvl>
              </c:multiLvlStrCache>
            </c:multiLvlStrRef>
          </c:cat>
          <c:val>
            <c:numRef>
              <c:f>'Měnové podmínky 1'!$D$18:$D$80</c:f>
              <c:numCache>
                <c:formatCode>General</c:formatCode>
                <c:ptCount val="63"/>
                <c:pt idx="0">
                  <c:v>2.0099999999999998</c:v>
                </c:pt>
                <c:pt idx="1">
                  <c:v>2.0099999999999998</c:v>
                </c:pt>
                <c:pt idx="2">
                  <c:v>2.0299999999999998</c:v>
                </c:pt>
                <c:pt idx="3">
                  <c:v>2.02</c:v>
                </c:pt>
                <c:pt idx="4">
                  <c:v>2.19</c:v>
                </c:pt>
                <c:pt idx="5">
                  <c:v>2.17</c:v>
                </c:pt>
                <c:pt idx="6">
                  <c:v>2.16</c:v>
                </c:pt>
                <c:pt idx="7">
                  <c:v>2.14</c:v>
                </c:pt>
                <c:pt idx="8">
                  <c:v>2.14</c:v>
                </c:pt>
                <c:pt idx="9">
                  <c:v>2.17</c:v>
                </c:pt>
                <c:pt idx="10">
                  <c:v>2.1800000000000002</c:v>
                </c:pt>
                <c:pt idx="11">
                  <c:v>2.1800000000000002</c:v>
                </c:pt>
                <c:pt idx="12">
                  <c:v>2.17</c:v>
                </c:pt>
                <c:pt idx="13">
                  <c:v>2.34</c:v>
                </c:pt>
                <c:pt idx="14">
                  <c:v>2</c:v>
                </c:pt>
                <c:pt idx="15">
                  <c:v>0.97000000000000008</c:v>
                </c:pt>
                <c:pt idx="16">
                  <c:v>0.46</c:v>
                </c:pt>
                <c:pt idx="17">
                  <c:v>0.34000000000000008</c:v>
                </c:pt>
                <c:pt idx="18">
                  <c:v>0.34000000000000008</c:v>
                </c:pt>
                <c:pt idx="19">
                  <c:v>0.34000000000000008</c:v>
                </c:pt>
                <c:pt idx="20">
                  <c:v>0.34000000000000008</c:v>
                </c:pt>
                <c:pt idx="21">
                  <c:v>0.35000000000000009</c:v>
                </c:pt>
                <c:pt idx="22">
                  <c:v>0.35000000000000009</c:v>
                </c:pt>
                <c:pt idx="23">
                  <c:v>0.35000000000000009</c:v>
                </c:pt>
                <c:pt idx="24">
                  <c:v>0.3600000000000001</c:v>
                </c:pt>
                <c:pt idx="25">
                  <c:v>0.3600000000000001</c:v>
                </c:pt>
                <c:pt idx="26">
                  <c:v>0.3600000000000001</c:v>
                </c:pt>
                <c:pt idx="27">
                  <c:v>0.3600000000000001</c:v>
                </c:pt>
                <c:pt idx="28">
                  <c:v>0.37000000000000011</c:v>
                </c:pt>
                <c:pt idx="29">
                  <c:v>0.48000000000000009</c:v>
                </c:pt>
                <c:pt idx="30">
                  <c:v>0.69000000000000028</c:v>
                </c:pt>
                <c:pt idx="31">
                  <c:v>0.94000000000000017</c:v>
                </c:pt>
                <c:pt idx="32">
                  <c:v>1.1100000000000001</c:v>
                </c:pt>
                <c:pt idx="33">
                  <c:v>2.02</c:v>
                </c:pt>
                <c:pt idx="34">
                  <c:v>2.9699999999999998</c:v>
                </c:pt>
                <c:pt idx="35">
                  <c:v>3.5</c:v>
                </c:pt>
                <c:pt idx="36">
                  <c:v>4.21</c:v>
                </c:pt>
                <c:pt idx="37">
                  <c:v>4.6899999999999995</c:v>
                </c:pt>
                <c:pt idx="38">
                  <c:v>4.8599999999999985</c:v>
                </c:pt>
                <c:pt idx="39">
                  <c:v>5.3599999999999985</c:v>
                </c:pt>
                <c:pt idx="40">
                  <c:v>5.9700000000000015</c:v>
                </c:pt>
                <c:pt idx="41">
                  <c:v>6.64</c:v>
                </c:pt>
                <c:pt idx="42">
                  <c:v>7.3</c:v>
                </c:pt>
                <c:pt idx="43">
                  <c:v>7.2700000000000014</c:v>
                </c:pt>
                <c:pt idx="44">
                  <c:v>7.25</c:v>
                </c:pt>
                <c:pt idx="45">
                  <c:v>7.28</c:v>
                </c:pt>
                <c:pt idx="46">
                  <c:v>7.2700000000000014</c:v>
                </c:pt>
                <c:pt idx="47">
                  <c:v>7.26</c:v>
                </c:pt>
                <c:pt idx="48" formatCode="###\ ###\ ###\ ###\ ##0.00;\-###\ ###\ ###\ ###\ ##0.00">
                  <c:v>7.2161904761904765</c:v>
                </c:pt>
                <c:pt idx="49" formatCode="###\ ###\ ###\ ###\ ##0.00;\-###\ ###\ ###\ ###\ ##0.00">
                  <c:v>7.2010526315789471</c:v>
                </c:pt>
                <c:pt idx="50" formatCode="###\ ###\ ###\ ###\ ##0.00;\-###\ ###\ ###\ ###\ ##0.00">
                  <c:v>7.1931818181818157</c:v>
                </c:pt>
                <c:pt idx="51" formatCode="###\ ###\ ###\ ###\ ##0.00;\-###\ ###\ ###\ ###\ ##0.00">
                  <c:v>7.1788888888888875</c:v>
                </c:pt>
                <c:pt idx="52" formatCode="###\ ###\ ###\ ###\ ##0.00;\-###\ ###\ ###\ ###\ ##0.00">
                  <c:v>7.1790476190476191</c:v>
                </c:pt>
                <c:pt idx="53" formatCode="###\ ###\ ###\ ###\ ##0.00;\-###\ ###\ ###\ ###\ ##0.00">
                  <c:v>7.1472727272727274</c:v>
                </c:pt>
                <c:pt idx="54" formatCode="###\ ###\ ###\ ###\ ##0.00;\-###\ ###\ ###\ ###\ ##0.00">
                  <c:v>7.1121052631578907</c:v>
                </c:pt>
                <c:pt idx="55" formatCode="###\ ###\ ###\ ###\ ##0.00;\-###\ ###\ ###\ ###\ ##0.00">
                  <c:v>7.1030434782608713</c:v>
                </c:pt>
                <c:pt idx="56" formatCode="###\ ###\ ###\ ###\ ##0.00;\-###\ ###\ ###\ ###\ ##0.00">
                  <c:v>7.0895000000000001</c:v>
                </c:pt>
                <c:pt idx="57" formatCode="###\ ###\ ###\ ###\ ##0.00;\-###\ ###\ ###\ ###\ ##0.00">
                  <c:v>7.0472727272727287</c:v>
                </c:pt>
                <c:pt idx="58" formatCode="###\ ###\ ###\ ###\ ##0.00;\-###\ ###\ ###\ ###\ ##0.00">
                  <c:v>7.0623809523809484</c:v>
                </c:pt>
                <c:pt idx="59" formatCode="###\ ###\ ###\ ###\ ##0.00;\-###\ ###\ ###\ ###\ ##0.00">
                  <c:v>6.9663157894736871</c:v>
                </c:pt>
                <c:pt idx="60" formatCode="###\ ###\ ###\ ###\ ##0.00;\-###\ ###\ ###\ ###\ ##0.00">
                  <c:v>6.634090909090907</c:v>
                </c:pt>
                <c:pt idx="61" formatCode="###\ ###\ ###\ ###\ ##0.00;\-###\ ###\ ###\ ###\ ##0.00">
                  <c:v>6.2019047619047623</c:v>
                </c:pt>
                <c:pt idx="62" formatCode="###\ ###\ ###\ ###\ ##0.00;\-###\ ###\ ###\ ###\ ##0.00">
                  <c:v>5.8363157894736872</c:v>
                </c:pt>
              </c:numCache>
            </c:numRef>
          </c:val>
          <c:smooth val="0"/>
          <c:extLst>
            <c:ext xmlns:c16="http://schemas.microsoft.com/office/drawing/2014/chart" uri="{C3380CC4-5D6E-409C-BE32-E72D297353CC}">
              <c16:uniqueId val="{00000002-0870-460E-AAD5-BFF777326DE3}"/>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2019</c:v>
                  </c:pt>
                  <c:pt idx="12">
                    <c:v>2020</c:v>
                  </c:pt>
                  <c:pt idx="24">
                    <c:v>2021</c:v>
                  </c:pt>
                  <c:pt idx="36">
                    <c:v>2022</c:v>
                  </c:pt>
                  <c:pt idx="48">
                    <c:v>2023</c:v>
                  </c:pt>
                  <c:pt idx="60">
                    <c:v>2024</c:v>
                  </c:pt>
                </c:lvl>
              </c:multiLvlStrCache>
            </c:multiLvlStrRef>
          </c:cat>
          <c:val>
            <c:numRef>
              <c:f>'Měnové podmínky 1'!$G$18:$G$80</c:f>
              <c:numCache>
                <c:formatCode>General</c:formatCode>
                <c:ptCount val="63"/>
                <c:pt idx="0">
                  <c:v>1.6</c:v>
                </c:pt>
                <c:pt idx="1">
                  <c:v>1.61</c:v>
                </c:pt>
                <c:pt idx="2">
                  <c:v>1.7000000000000002</c:v>
                </c:pt>
                <c:pt idx="3">
                  <c:v>1.6300000000000001</c:v>
                </c:pt>
                <c:pt idx="4">
                  <c:v>1.57</c:v>
                </c:pt>
                <c:pt idx="5">
                  <c:v>1.43</c:v>
                </c:pt>
                <c:pt idx="6">
                  <c:v>1.31</c:v>
                </c:pt>
                <c:pt idx="7">
                  <c:v>0.89000000000000012</c:v>
                </c:pt>
                <c:pt idx="8">
                  <c:v>1.1299999999999994</c:v>
                </c:pt>
                <c:pt idx="9">
                  <c:v>1.23</c:v>
                </c:pt>
                <c:pt idx="10">
                  <c:v>1.32</c:v>
                </c:pt>
                <c:pt idx="11">
                  <c:v>1.31</c:v>
                </c:pt>
                <c:pt idx="12">
                  <c:v>1.51</c:v>
                </c:pt>
                <c:pt idx="13">
                  <c:v>1.52</c:v>
                </c:pt>
                <c:pt idx="14">
                  <c:v>1.23</c:v>
                </c:pt>
                <c:pt idx="15">
                  <c:v>1.06</c:v>
                </c:pt>
                <c:pt idx="16">
                  <c:v>0.56999999999999995</c:v>
                </c:pt>
                <c:pt idx="17">
                  <c:v>0.52</c:v>
                </c:pt>
                <c:pt idx="18">
                  <c:v>0.52</c:v>
                </c:pt>
                <c:pt idx="19">
                  <c:v>0.58000000000000007</c:v>
                </c:pt>
                <c:pt idx="20">
                  <c:v>0.58000000000000007</c:v>
                </c:pt>
                <c:pt idx="21">
                  <c:v>0.54</c:v>
                </c:pt>
                <c:pt idx="22">
                  <c:v>0.66000000000000025</c:v>
                </c:pt>
                <c:pt idx="23">
                  <c:v>0.8</c:v>
                </c:pt>
                <c:pt idx="24">
                  <c:v>0.82000000000000017</c:v>
                </c:pt>
                <c:pt idx="25">
                  <c:v>1.06</c:v>
                </c:pt>
                <c:pt idx="26">
                  <c:v>1.4</c:v>
                </c:pt>
                <c:pt idx="27">
                  <c:v>1.43</c:v>
                </c:pt>
                <c:pt idx="28">
                  <c:v>1.47</c:v>
                </c:pt>
                <c:pt idx="29">
                  <c:v>1.55</c:v>
                </c:pt>
                <c:pt idx="30">
                  <c:v>1.6300000000000001</c:v>
                </c:pt>
                <c:pt idx="31">
                  <c:v>1.6800000000000004</c:v>
                </c:pt>
                <c:pt idx="32">
                  <c:v>1.87</c:v>
                </c:pt>
                <c:pt idx="33">
                  <c:v>2.3699999999999997</c:v>
                </c:pt>
                <c:pt idx="34">
                  <c:v>2.84</c:v>
                </c:pt>
                <c:pt idx="35">
                  <c:v>2.84</c:v>
                </c:pt>
                <c:pt idx="36">
                  <c:v>3.36</c:v>
                </c:pt>
                <c:pt idx="37">
                  <c:v>3.2</c:v>
                </c:pt>
                <c:pt idx="38">
                  <c:v>3.8499999999999992</c:v>
                </c:pt>
                <c:pt idx="39">
                  <c:v>4.54</c:v>
                </c:pt>
                <c:pt idx="40">
                  <c:v>4.99</c:v>
                </c:pt>
                <c:pt idx="41">
                  <c:v>5.49</c:v>
                </c:pt>
                <c:pt idx="42">
                  <c:v>5.1199999999999983</c:v>
                </c:pt>
                <c:pt idx="43">
                  <c:v>4.67</c:v>
                </c:pt>
                <c:pt idx="44">
                  <c:v>5.0599999999999996</c:v>
                </c:pt>
                <c:pt idx="45">
                  <c:v>5.6899999999999995</c:v>
                </c:pt>
                <c:pt idx="46">
                  <c:v>5.31</c:v>
                </c:pt>
                <c:pt idx="47">
                  <c:v>4.9000000000000004</c:v>
                </c:pt>
                <c:pt idx="48" formatCode="###\ ###\ ###\ ###\ ##0.00;\-###\ ###\ ###\ ###\ ##0.00">
                  <c:v>4.7307064721228889</c:v>
                </c:pt>
                <c:pt idx="49" formatCode="###\ ###\ ###\ ###\ ##0.00;\-###\ ###\ ###\ ###\ ##0.00">
                  <c:v>4.8692742672767633</c:v>
                </c:pt>
                <c:pt idx="50" formatCode="###\ ###\ ###\ ###\ ##0.00;\-###\ ###\ ###\ ###\ ##0.00">
                  <c:v>4.8901662581800371</c:v>
                </c:pt>
                <c:pt idx="51" formatCode="###\ ###\ ###\ ###\ ##0.00;\-###\ ###\ ###\ ###\ ##0.00">
                  <c:v>4.9165403661897455</c:v>
                </c:pt>
                <c:pt idx="52" formatCode="###\ ###\ ###\ ###\ ##0.00;\-###\ ###\ ###\ ###\ ##0.00">
                  <c:v>4.8278684891401031</c:v>
                </c:pt>
                <c:pt idx="53" formatCode="###\ ###\ ###\ ###\ ##0.00;\-###\ ###\ ###\ ###\ ##0.00">
                  <c:v>4.6412520736000777</c:v>
                </c:pt>
                <c:pt idx="54" formatCode="###\ ###\ ###\ ###\ ##0.00;\-###\ ###\ ###\ ###\ ##0.00">
                  <c:v>4.3712476122939821</c:v>
                </c:pt>
                <c:pt idx="55" formatCode="###\ ###\ ###\ ###\ ##0.00;\-###\ ###\ ###\ ###\ ##0.00">
                  <c:v>4.4394883944569496</c:v>
                </c:pt>
                <c:pt idx="56" formatCode="###\ ###\ ###\ ###\ ##0.00;\-###\ ###\ ###\ ###\ ##0.00">
                  <c:v>4.5697569170379646</c:v>
                </c:pt>
                <c:pt idx="57" formatCode="###\ ###\ ###\ ###\ ##0.00;\-###\ ###\ ###\ ###\ ##0.00">
                  <c:v>4.6213398432367487</c:v>
                </c:pt>
                <c:pt idx="58" formatCode="###\ ###\ ###\ ###\ ##0.00;\-###\ ###\ ###\ ###\ ##0.00">
                  <c:v>4.31895253913516</c:v>
                </c:pt>
                <c:pt idx="59" formatCode="###\ ###\ ###\ ###\ ##0.00;\-###\ ###\ ###\ ###\ ##0.00">
                  <c:v>3.9581509254616187</c:v>
                </c:pt>
                <c:pt idx="60" formatCode="###\ ###\ ###\ ###\ ##0.00;\-###\ ###\ ###\ ###\ ##0.00">
                  <c:v>3.7948081133062188</c:v>
                </c:pt>
                <c:pt idx="61" formatCode="###\ ###\ ###\ ###\ ##0.00;\-###\ ###\ ###\ ###\ ##0.00">
                  <c:v>3.5373832658022937</c:v>
                </c:pt>
                <c:pt idx="62" formatCode="###\ ###\ ###\ ###\ ##0.00;\-###\ ###\ ###\ ###\ ##0.00">
                  <c:v>3.5659496523361214</c:v>
                </c:pt>
              </c:numCache>
            </c:numRef>
          </c:val>
          <c:smooth val="0"/>
          <c:extLst>
            <c:ext xmlns:c16="http://schemas.microsoft.com/office/drawing/2014/chart" uri="{C3380CC4-5D6E-409C-BE32-E72D297353CC}">
              <c16:uniqueId val="{00000003-0870-460E-AAD5-BFF777326DE3}"/>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2019</c:v>
                  </c:pt>
                  <c:pt idx="12">
                    <c:v>2020</c:v>
                  </c:pt>
                  <c:pt idx="24">
                    <c:v>2021</c:v>
                  </c:pt>
                  <c:pt idx="36">
                    <c:v>2022</c:v>
                  </c:pt>
                  <c:pt idx="48">
                    <c:v>2023</c:v>
                  </c:pt>
                  <c:pt idx="60">
                    <c:v>2024</c:v>
                  </c:pt>
                </c:lvl>
              </c:multiLvlStrCache>
            </c:multiLvlStrRef>
          </c:cat>
          <c:val>
            <c:numRef>
              <c:f>'Měnové podmínky 1'!$E$18:$E$80</c:f>
              <c:numCache>
                <c:formatCode>General</c:formatCode>
                <c:ptCount val="63"/>
                <c:pt idx="0">
                  <c:v>2.21</c:v>
                </c:pt>
                <c:pt idx="1">
                  <c:v>2.2000000000000002</c:v>
                </c:pt>
                <c:pt idx="2">
                  <c:v>2.2000000000000002</c:v>
                </c:pt>
                <c:pt idx="3">
                  <c:v>2.21</c:v>
                </c:pt>
                <c:pt idx="4">
                  <c:v>2.319999999999999</c:v>
                </c:pt>
                <c:pt idx="5">
                  <c:v>2.29</c:v>
                </c:pt>
                <c:pt idx="6">
                  <c:v>2.2799999999999998</c:v>
                </c:pt>
                <c:pt idx="7">
                  <c:v>2.2200000000000002</c:v>
                </c:pt>
                <c:pt idx="8">
                  <c:v>2.2000000000000002</c:v>
                </c:pt>
                <c:pt idx="9">
                  <c:v>2.2799999999999998</c:v>
                </c:pt>
                <c:pt idx="10">
                  <c:v>2.2799999999999998</c:v>
                </c:pt>
                <c:pt idx="11">
                  <c:v>2.27</c:v>
                </c:pt>
                <c:pt idx="12">
                  <c:v>2.27</c:v>
                </c:pt>
                <c:pt idx="13">
                  <c:v>2.42</c:v>
                </c:pt>
                <c:pt idx="14">
                  <c:v>2.0099999999999998</c:v>
                </c:pt>
                <c:pt idx="15">
                  <c:v>0.92</c:v>
                </c:pt>
                <c:pt idx="16">
                  <c:v>0.51</c:v>
                </c:pt>
                <c:pt idx="17">
                  <c:v>0.4300000000000001</c:v>
                </c:pt>
                <c:pt idx="18">
                  <c:v>0.4300000000000001</c:v>
                </c:pt>
                <c:pt idx="19">
                  <c:v>0.4300000000000001</c:v>
                </c:pt>
                <c:pt idx="20">
                  <c:v>0.44000000000000006</c:v>
                </c:pt>
                <c:pt idx="21">
                  <c:v>0.4300000000000001</c:v>
                </c:pt>
                <c:pt idx="22">
                  <c:v>0.44000000000000006</c:v>
                </c:pt>
                <c:pt idx="23">
                  <c:v>0.4900000000000001</c:v>
                </c:pt>
                <c:pt idx="24">
                  <c:v>0.4900000000000001</c:v>
                </c:pt>
                <c:pt idx="25">
                  <c:v>0.54</c:v>
                </c:pt>
                <c:pt idx="26">
                  <c:v>0.56000000000000005</c:v>
                </c:pt>
                <c:pt idx="27">
                  <c:v>0.56000000000000005</c:v>
                </c:pt>
                <c:pt idx="28">
                  <c:v>0.67000000000000026</c:v>
                </c:pt>
                <c:pt idx="29">
                  <c:v>0.78</c:v>
                </c:pt>
                <c:pt idx="30">
                  <c:v>1</c:v>
                </c:pt>
                <c:pt idx="31">
                  <c:v>1.3</c:v>
                </c:pt>
                <c:pt idx="32">
                  <c:v>1.52</c:v>
                </c:pt>
                <c:pt idx="33">
                  <c:v>2.44</c:v>
                </c:pt>
                <c:pt idx="34">
                  <c:v>3.5</c:v>
                </c:pt>
                <c:pt idx="35">
                  <c:v>3.96</c:v>
                </c:pt>
                <c:pt idx="36">
                  <c:v>4.55</c:v>
                </c:pt>
                <c:pt idx="37">
                  <c:v>4.87</c:v>
                </c:pt>
                <c:pt idx="38">
                  <c:v>5.1199999999999983</c:v>
                </c:pt>
                <c:pt idx="39">
                  <c:v>5.74</c:v>
                </c:pt>
                <c:pt idx="40">
                  <c:v>6.33</c:v>
                </c:pt>
                <c:pt idx="41">
                  <c:v>7.02</c:v>
                </c:pt>
                <c:pt idx="42">
                  <c:v>7.55</c:v>
                </c:pt>
                <c:pt idx="43">
                  <c:v>7.48</c:v>
                </c:pt>
                <c:pt idx="44">
                  <c:v>7.44</c:v>
                </c:pt>
                <c:pt idx="45">
                  <c:v>7.45</c:v>
                </c:pt>
                <c:pt idx="46">
                  <c:v>7.39</c:v>
                </c:pt>
                <c:pt idx="47">
                  <c:v>7.28</c:v>
                </c:pt>
                <c:pt idx="48" formatCode="###\ ###\ ###\ ###\ ##0.00;\-###\ ###\ ###\ ###\ ##0.00">
                  <c:v>7.2480952380952361</c:v>
                </c:pt>
                <c:pt idx="49" formatCode="###\ ###\ ###\ ###\ ##0.00;\-###\ ###\ ###\ ###\ ##0.00">
                  <c:v>7.2326315789473687</c:v>
                </c:pt>
                <c:pt idx="50" formatCode="###\ ###\ ###\ ###\ ##0.00;\-###\ ###\ ###\ ###\ ##0.00">
                  <c:v>7.2263636363636392</c:v>
                </c:pt>
                <c:pt idx="51" formatCode="###\ ###\ ###\ ###\ ##0.00;\-###\ ###\ ###\ ###\ ##0.00">
                  <c:v>7.2088888888888887</c:v>
                </c:pt>
                <c:pt idx="52" formatCode="###\ ###\ ###\ ###\ ##0.00;\-###\ ###\ ###\ ###\ ##0.00">
                  <c:v>7.1961904761904743</c:v>
                </c:pt>
                <c:pt idx="53" formatCode="###\ ###\ ###\ ###\ ##0.00;\-###\ ###\ ###\ ###\ ##0.00">
                  <c:v>7.1377272727272709</c:v>
                </c:pt>
                <c:pt idx="54" formatCode="###\ ###\ ###\ ###\ ##0.00;\-###\ ###\ ###\ ###\ ##0.00">
                  <c:v>7.0289473684210497</c:v>
                </c:pt>
                <c:pt idx="55" formatCode="###\ ###\ ###\ ###\ ##0.00;\-###\ ###\ ###\ ###\ ##0.00">
                  <c:v>6.9473913043478293</c:v>
                </c:pt>
                <c:pt idx="56" formatCode="###\ ###\ ###\ ###\ ##0.00;\-###\ ###\ ###\ ###\ ##0.00">
                  <c:v>6.8469999999999995</c:v>
                </c:pt>
                <c:pt idx="57" formatCode="###\ ###\ ###\ ###\ ##0.00;\-###\ ###\ ###\ ###\ ##0.00">
                  <c:v>6.6090909090909085</c:v>
                </c:pt>
                <c:pt idx="58" formatCode="###\ ###\ ###\ ###\ ##0.00;\-###\ ###\ ###\ ###\ ##0.00">
                  <c:v>6.4771428571428569</c:v>
                </c:pt>
                <c:pt idx="59" formatCode="###\ ###\ ###\ ###\ ##0.00;\-###\ ###\ ###\ ###\ ##0.00">
                  <c:v>6.187368421052633</c:v>
                </c:pt>
                <c:pt idx="60" formatCode="###\ ###\ ###\ ###\ ##0.00;\-###\ ###\ ###\ ###\ ##0.00">
                  <c:v>5.4690909090909088</c:v>
                </c:pt>
                <c:pt idx="61" formatCode="###\ ###\ ###\ ###\ ##0.00;\-###\ ###\ ###\ ###\ ##0.00">
                  <c:v>5.0338095238095253</c:v>
                </c:pt>
                <c:pt idx="62" formatCode="###\ ###\ ###\ ###\ ##0.00;\-###\ ###\ ###\ ###\ ##0.00">
                  <c:v>4.7994736842105299</c:v>
                </c:pt>
              </c:numCache>
            </c:numRef>
          </c:val>
          <c:smooth val="0"/>
          <c:extLst>
            <c:ext xmlns:c16="http://schemas.microsoft.com/office/drawing/2014/chart" uri="{C3380CC4-5D6E-409C-BE32-E72D297353CC}">
              <c16:uniqueId val="{00000004-0870-460E-AAD5-BFF777326DE3}"/>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1'!$A$18:$B$80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2019</c:v>
                  </c:pt>
                  <c:pt idx="12">
                    <c:v>2020</c:v>
                  </c:pt>
                  <c:pt idx="24">
                    <c:v>2021</c:v>
                  </c:pt>
                  <c:pt idx="36">
                    <c:v>2022</c:v>
                  </c:pt>
                  <c:pt idx="48">
                    <c:v>2023</c:v>
                  </c:pt>
                  <c:pt idx="60">
                    <c:v>2024</c:v>
                  </c:pt>
                </c:lvl>
              </c:multiLvlStrCache>
            </c:multiLvlStrRef>
          </c:cat>
          <c:val>
            <c:numRef>
              <c:f>'Měnové podmínky 1'!$H$18:$H$80</c:f>
              <c:numCache>
                <c:formatCode>General</c:formatCode>
                <c:ptCount val="63"/>
                <c:pt idx="0">
                  <c:v>1.85</c:v>
                </c:pt>
                <c:pt idx="1">
                  <c:v>1.7600000000000002</c:v>
                </c:pt>
                <c:pt idx="2">
                  <c:v>1.82</c:v>
                </c:pt>
                <c:pt idx="3">
                  <c:v>1.82</c:v>
                </c:pt>
                <c:pt idx="4">
                  <c:v>1.86</c:v>
                </c:pt>
                <c:pt idx="5">
                  <c:v>1.58</c:v>
                </c:pt>
                <c:pt idx="6">
                  <c:v>1.36</c:v>
                </c:pt>
                <c:pt idx="7">
                  <c:v>0.99</c:v>
                </c:pt>
                <c:pt idx="8">
                  <c:v>1.24</c:v>
                </c:pt>
                <c:pt idx="9">
                  <c:v>1.32</c:v>
                </c:pt>
                <c:pt idx="10">
                  <c:v>1.47</c:v>
                </c:pt>
                <c:pt idx="11">
                  <c:v>1.51</c:v>
                </c:pt>
                <c:pt idx="12">
                  <c:v>1.62</c:v>
                </c:pt>
                <c:pt idx="13">
                  <c:v>1.47</c:v>
                </c:pt>
                <c:pt idx="14">
                  <c:v>1.28</c:v>
                </c:pt>
                <c:pt idx="15">
                  <c:v>1.28</c:v>
                </c:pt>
                <c:pt idx="16">
                  <c:v>0.92</c:v>
                </c:pt>
                <c:pt idx="17">
                  <c:v>0.86000000000000021</c:v>
                </c:pt>
                <c:pt idx="18">
                  <c:v>0.86000000000000021</c:v>
                </c:pt>
                <c:pt idx="19">
                  <c:v>0.95000000000000018</c:v>
                </c:pt>
                <c:pt idx="20">
                  <c:v>0.98</c:v>
                </c:pt>
                <c:pt idx="21">
                  <c:v>0.94000000000000017</c:v>
                </c:pt>
                <c:pt idx="22">
                  <c:v>1.1200000000000001</c:v>
                </c:pt>
                <c:pt idx="23">
                  <c:v>1.26</c:v>
                </c:pt>
                <c:pt idx="24">
                  <c:v>1.28</c:v>
                </c:pt>
                <c:pt idx="25">
                  <c:v>1.49</c:v>
                </c:pt>
                <c:pt idx="26">
                  <c:v>1.87</c:v>
                </c:pt>
                <c:pt idx="27">
                  <c:v>1.86</c:v>
                </c:pt>
                <c:pt idx="28">
                  <c:v>1.7400000000000002</c:v>
                </c:pt>
                <c:pt idx="29">
                  <c:v>1.6700000000000004</c:v>
                </c:pt>
                <c:pt idx="30">
                  <c:v>1.7200000000000002</c:v>
                </c:pt>
                <c:pt idx="31">
                  <c:v>1.7400000000000002</c:v>
                </c:pt>
                <c:pt idx="32">
                  <c:v>1.9000000000000001</c:v>
                </c:pt>
                <c:pt idx="33">
                  <c:v>2.34</c:v>
                </c:pt>
                <c:pt idx="34">
                  <c:v>2.62</c:v>
                </c:pt>
                <c:pt idx="35">
                  <c:v>2.62</c:v>
                </c:pt>
                <c:pt idx="36">
                  <c:v>3.12</c:v>
                </c:pt>
                <c:pt idx="37">
                  <c:v>3.03</c:v>
                </c:pt>
                <c:pt idx="38">
                  <c:v>3.53</c:v>
                </c:pt>
                <c:pt idx="39">
                  <c:v>4.01</c:v>
                </c:pt>
                <c:pt idx="40">
                  <c:v>4.6099999999999985</c:v>
                </c:pt>
                <c:pt idx="41">
                  <c:v>5.1199999999999983</c:v>
                </c:pt>
                <c:pt idx="42">
                  <c:v>4.4000000000000004</c:v>
                </c:pt>
                <c:pt idx="43">
                  <c:v>4.1099999999999985</c:v>
                </c:pt>
                <c:pt idx="44">
                  <c:v>4.72</c:v>
                </c:pt>
                <c:pt idx="45">
                  <c:v>5.52</c:v>
                </c:pt>
                <c:pt idx="46">
                  <c:v>5.1099999999999985</c:v>
                </c:pt>
                <c:pt idx="47">
                  <c:v>4.71</c:v>
                </c:pt>
                <c:pt idx="48" formatCode="###\ ###\ ###\ ###\ ##0.00;\-###\ ###\ ###\ ###\ ##0.00">
                  <c:v>4.4683071740930753</c:v>
                </c:pt>
                <c:pt idx="49" formatCode="###\ ###\ ###\ ###\ ##0.00;\-###\ ###\ ###\ ###\ ##0.00">
                  <c:v>4.6124456250457762</c:v>
                </c:pt>
                <c:pt idx="50" formatCode="###\ ###\ ###\ ###\ ##0.00;\-###\ ###\ ###\ ###\ ##0.00">
                  <c:v>4.6664316498532488</c:v>
                </c:pt>
                <c:pt idx="51" formatCode="###\ ###\ ###\ ###\ ##0.00;\-###\ ###\ ###\ ###\ ##0.00">
                  <c:v>4.6464031535593699</c:v>
                </c:pt>
                <c:pt idx="52" formatCode="###\ ###\ ###\ ###\ ##0.00;\-###\ ###\ ###\ ###\ ##0.00">
                  <c:v>4.4999821517871714</c:v>
                </c:pt>
                <c:pt idx="53" formatCode="###\ ###\ ###\ ###\ ##0.00;\-###\ ###\ ###\ ###\ ##0.00">
                  <c:v>4.3475817201909148</c:v>
                </c:pt>
                <c:pt idx="54" formatCode="###\ ###\ ###\ ###\ ##0.00;\-###\ ###\ ###\ ###\ ##0.00">
                  <c:v>4.1488922058727873</c:v>
                </c:pt>
                <c:pt idx="55" formatCode="###\ ###\ ###\ ###\ ##0.00;\-###\ ###\ ###\ ###\ ##0.00">
                  <c:v>4.2612326220421188</c:v>
                </c:pt>
                <c:pt idx="56" formatCode="###\ ###\ ###\ ###\ ##0.00;\-###\ ###\ ###\ ###\ ##0.00">
                  <c:v>4.4941452526073453</c:v>
                </c:pt>
                <c:pt idx="57" formatCode="###\ ###\ ###\ ###\ ##0.00;\-###\ ###\ ###\ ###\ ##0.00">
                  <c:v>4.7196492538174732</c:v>
                </c:pt>
                <c:pt idx="58" formatCode="###\ ###\ ###\ ###\ ##0.00;\-###\ ###\ ###\ ###\ ##0.00">
                  <c:v>4.4238011822001182</c:v>
                </c:pt>
                <c:pt idx="59" formatCode="###\ ###\ ###\ ###\ ##0.00;\-###\ ###\ ###\ ###\ ##0.00">
                  <c:v>3.9723129766524465</c:v>
                </c:pt>
                <c:pt idx="60" formatCode="###\ ###\ ###\ ###\ ##0.00;\-###\ ###\ ###\ ###\ ##0.00">
                  <c:v>3.8808928950535173</c:v>
                </c:pt>
                <c:pt idx="61" formatCode="###\ ###\ ###\ ###\ ##0.00;\-###\ ###\ ###\ ###\ ##0.00">
                  <c:v>3.7595547903987336</c:v>
                </c:pt>
                <c:pt idx="62" formatCode="###\ ###\ ###\ ###\ ##0.00;\-###\ ###\ ###\ ###\ ##0.00">
                  <c:v>3.8237627295684833</c:v>
                </c:pt>
              </c:numCache>
            </c:numRef>
          </c:val>
          <c:smooth val="0"/>
          <c:extLst>
            <c:ext xmlns:c16="http://schemas.microsoft.com/office/drawing/2014/chart" uri="{C3380CC4-5D6E-409C-BE32-E72D297353CC}">
              <c16:uniqueId val="{00000005-0870-460E-AAD5-BFF777326DE3}"/>
            </c:ext>
          </c:extLst>
        </c:ser>
        <c:dLbls>
          <c:showLegendKey val="0"/>
          <c:showVal val="0"/>
          <c:showCatName val="0"/>
          <c:showSerName val="0"/>
          <c:showPercent val="0"/>
          <c:showBubbleSize val="0"/>
        </c:dLbls>
        <c:marker val="1"/>
        <c:smooth val="0"/>
        <c:axId val="76462720"/>
        <c:axId val="76476800"/>
      </c:lineChart>
      <c:catAx>
        <c:axId val="76462720"/>
        <c:scaling>
          <c:orientation val="minMax"/>
        </c:scaling>
        <c:delete val="0"/>
        <c:axPos val="b"/>
        <c:numFmt formatCode="General" sourceLinked="0"/>
        <c:majorTickMark val="out"/>
        <c:minorTickMark val="none"/>
        <c:tickLblPos val="low"/>
        <c:spPr>
          <a:ln>
            <a:solidFill>
              <a:schemeClr val="tx1"/>
            </a:solidFill>
          </a:ln>
        </c:spPr>
        <c:crossAx val="76476800"/>
        <c:crosses val="autoZero"/>
        <c:auto val="1"/>
        <c:lblAlgn val="ctr"/>
        <c:lblOffset val="100"/>
        <c:noMultiLvlLbl val="0"/>
      </c:catAx>
      <c:valAx>
        <c:axId val="76476800"/>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76462720"/>
        <c:crosses val="autoZero"/>
        <c:crossBetween val="between"/>
        <c:majorUnit val="1"/>
      </c:valAx>
      <c:spPr>
        <a:ln>
          <a:solidFill>
            <a:schemeClr val="tx1"/>
          </a:solidFill>
        </a:ln>
      </c:spPr>
    </c:plotArea>
    <c:legend>
      <c:legendPos val="b"/>
      <c:layout>
        <c:manualLayout>
          <c:xMode val="edge"/>
          <c:yMode val="edge"/>
          <c:x val="4.7501055386693677E-2"/>
          <c:y val="0.87558269120103249"/>
          <c:w val="0.93350515028706516"/>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547146084085555E-2"/>
          <c:y val="1.7107287133586925E-2"/>
          <c:w val="0.83962774835667464"/>
          <c:h val="0.75194595942833975"/>
        </c:manualLayout>
      </c:layout>
      <c:barChart>
        <c:barDir val="col"/>
        <c:grouping val="stacked"/>
        <c:varyColors val="0"/>
        <c:ser>
          <c:idx val="1"/>
          <c:order val="1"/>
          <c:tx>
            <c:strRef>
              <c:f>'G1-SR-příjmy-příspěvky'!$A$35</c:f>
              <c:strCache>
                <c:ptCount val="1"/>
                <c:pt idx="0">
                  <c:v>Ostatní daně a poplatky</c:v>
                </c:pt>
              </c:strCache>
            </c:strRef>
          </c:tx>
          <c:spPr>
            <a:solidFill>
              <a:schemeClr val="bg1">
                <a:lumMod val="75000"/>
              </a:schemeClr>
            </a:solidFill>
            <a:ln w="12700">
              <a:noFill/>
              <a:prstDash val="solid"/>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'G1-SR-příjmy-příspěvky'!$D$35:$U$35</c:f>
              <c:numCache>
                <c:formatCode>0.0</c:formatCode>
                <c:ptCount val="18"/>
                <c:pt idx="0">
                  <c:v>0.27215189873418966</c:v>
                </c:pt>
                <c:pt idx="1">
                  <c:v>0.93122337188070226</c:v>
                </c:pt>
                <c:pt idx="2">
                  <c:v>-0.86039886039885172</c:v>
                </c:pt>
                <c:pt idx="3">
                  <c:v>-0.21800461656836218</c:v>
                </c:pt>
                <c:pt idx="4">
                  <c:v>4.7025628967778087E-2</c:v>
                </c:pt>
                <c:pt idx="5">
                  <c:v>0.15463598688688143</c:v>
                </c:pt>
                <c:pt idx="6">
                  <c:v>0.75112372841257058</c:v>
                </c:pt>
                <c:pt idx="7">
                  <c:v>-5.7922173661211329E-2</c:v>
                </c:pt>
                <c:pt idx="8">
                  <c:v>0.17244682889444102</c:v>
                </c:pt>
                <c:pt idx="9">
                  <c:v>0.17228383762247171</c:v>
                </c:pt>
                <c:pt idx="10">
                  <c:v>0.23509403761505579</c:v>
                </c:pt>
                <c:pt idx="11">
                  <c:v>0.62235845989504279</c:v>
                </c:pt>
                <c:pt idx="12">
                  <c:v>0.80854504446996855</c:v>
                </c:pt>
                <c:pt idx="13">
                  <c:v>0.66381882645426304</c:v>
                </c:pt>
                <c:pt idx="14">
                  <c:v>-1.6059485038147707</c:v>
                </c:pt>
                <c:pt idx="15">
                  <c:v>1.1042137486708441</c:v>
                </c:pt>
                <c:pt idx="16">
                  <c:v>3.3323398513139781</c:v>
                </c:pt>
                <c:pt idx="17">
                  <c:v>2.262465071127941</c:v>
                </c:pt>
              </c:numCache>
            </c:numRef>
          </c:val>
          <c:extLst>
            <c:ext xmlns:c16="http://schemas.microsoft.com/office/drawing/2014/chart" uri="{C3380CC4-5D6E-409C-BE32-E72D297353CC}">
              <c16:uniqueId val="{00000000-3F72-4DA9-9B3C-F738B9FB626C}"/>
            </c:ext>
          </c:extLst>
        </c:ser>
        <c:ser>
          <c:idx val="3"/>
          <c:order val="2"/>
          <c:tx>
            <c:strRef>
              <c:f>'G1-SR-příjmy-příspěvky'!$A$36</c:f>
              <c:strCache>
                <c:ptCount val="1"/>
                <c:pt idx="0">
                  <c:v>Daně z příjmů FO, placená plátci</c:v>
                </c:pt>
              </c:strCache>
            </c:strRef>
          </c:tx>
          <c:spPr>
            <a:solidFill>
              <a:srgbClr val="EA6C75"/>
            </a:solidFill>
            <a:ln w="19050">
              <a:noFill/>
              <a:prstDash val="sysDot"/>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'G1-SR-příjmy-příspěvky'!$D$36:$U$36</c:f>
              <c:numCache>
                <c:formatCode>0.0</c:formatCode>
                <c:ptCount val="18"/>
                <c:pt idx="0">
                  <c:v>1.550632911392402</c:v>
                </c:pt>
                <c:pt idx="1">
                  <c:v>0.22519780888618229</c:v>
                </c:pt>
                <c:pt idx="2">
                  <c:v>-0.76923076923076816</c:v>
                </c:pt>
                <c:pt idx="3">
                  <c:v>-0.31418312387791875</c:v>
                </c:pt>
                <c:pt idx="4">
                  <c:v>0.62896778744415704</c:v>
                </c:pt>
                <c:pt idx="5">
                  <c:v>0.69276922125317031</c:v>
                </c:pt>
                <c:pt idx="6">
                  <c:v>0.79843860894251251</c:v>
                </c:pt>
                <c:pt idx="7">
                  <c:v>0.12637565162445266</c:v>
                </c:pt>
                <c:pt idx="8">
                  <c:v>0.26825062272465938</c:v>
                </c:pt>
                <c:pt idx="9">
                  <c:v>1.4267255303111859</c:v>
                </c:pt>
                <c:pt idx="10">
                  <c:v>1.7907162865146058</c:v>
                </c:pt>
                <c:pt idx="11">
                  <c:v>2.7448794761042179</c:v>
                </c:pt>
                <c:pt idx="12">
                  <c:v>2.353291629431042</c:v>
                </c:pt>
                <c:pt idx="13">
                  <c:v>2.0229026566319881</c:v>
                </c:pt>
                <c:pt idx="14">
                  <c:v>-7.7679840205888198</c:v>
                </c:pt>
                <c:pt idx="15">
                  <c:v>-1.5623633418257477</c:v>
                </c:pt>
                <c:pt idx="16">
                  <c:v>3.5255553646143647</c:v>
                </c:pt>
                <c:pt idx="17">
                  <c:v>1.9762283278804591</c:v>
                </c:pt>
              </c:numCache>
            </c:numRef>
          </c:val>
          <c:extLst>
            <c:ext xmlns:c16="http://schemas.microsoft.com/office/drawing/2014/chart" uri="{C3380CC4-5D6E-409C-BE32-E72D297353CC}">
              <c16:uniqueId val="{00000001-3F72-4DA9-9B3C-F738B9FB626C}"/>
            </c:ext>
          </c:extLst>
        </c:ser>
        <c:ser>
          <c:idx val="4"/>
          <c:order val="3"/>
          <c:tx>
            <c:strRef>
              <c:f>'G1-SR-příjmy-příspěvky'!$A$37</c:f>
              <c:strCache>
                <c:ptCount val="1"/>
                <c:pt idx="0">
                  <c:v>Daně z příjmů FO, ostatní</c:v>
                </c:pt>
              </c:strCache>
            </c:strRef>
          </c:tx>
          <c:spPr>
            <a:solidFill>
              <a:srgbClr val="FFD757"/>
            </a:solidFill>
            <a:ln w="19050">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'G1-SR-příjmy-příspěvky'!$D$37:$U$37</c:f>
              <c:numCache>
                <c:formatCode>0.0</c:formatCode>
                <c:ptCount val="18"/>
                <c:pt idx="0">
                  <c:v>-0.47468354430380055</c:v>
                </c:pt>
                <c:pt idx="1">
                  <c:v>0.9251369446135137</c:v>
                </c:pt>
                <c:pt idx="2">
                  <c:v>-2.0797720797720807</c:v>
                </c:pt>
                <c:pt idx="3">
                  <c:v>0.59630674531931649</c:v>
                </c:pt>
                <c:pt idx="4">
                  <c:v>-0.95814719021867056</c:v>
                </c:pt>
                <c:pt idx="5">
                  <c:v>0.74225273705696659</c:v>
                </c:pt>
                <c:pt idx="6">
                  <c:v>-0.11828720132481825</c:v>
                </c:pt>
                <c:pt idx="7">
                  <c:v>0.67400347533042171</c:v>
                </c:pt>
                <c:pt idx="8">
                  <c:v>-0.50296991760873777</c:v>
                </c:pt>
                <c:pt idx="9">
                  <c:v>0.8344998384839043</c:v>
                </c:pt>
                <c:pt idx="10">
                  <c:v>0.20508203281311971</c:v>
                </c:pt>
                <c:pt idx="11">
                  <c:v>-1.3933398355856219E-2</c:v>
                </c:pt>
                <c:pt idx="12">
                  <c:v>0.77875654283160967</c:v>
                </c:pt>
                <c:pt idx="13">
                  <c:v>-0.74215988803866995</c:v>
                </c:pt>
                <c:pt idx="14">
                  <c:v>0.13268445991520786</c:v>
                </c:pt>
                <c:pt idx="15">
                  <c:v>1.6770686921142253</c:v>
                </c:pt>
                <c:pt idx="16">
                  <c:v>0.88253048526587663</c:v>
                </c:pt>
                <c:pt idx="17">
                  <c:v>0.17560470757554403</c:v>
                </c:pt>
              </c:numCache>
            </c:numRef>
          </c:val>
          <c:extLst>
            <c:ext xmlns:c16="http://schemas.microsoft.com/office/drawing/2014/chart" uri="{C3380CC4-5D6E-409C-BE32-E72D297353CC}">
              <c16:uniqueId val="{00000002-3F72-4DA9-9B3C-F738B9FB626C}"/>
            </c:ext>
          </c:extLst>
        </c:ser>
        <c:ser>
          <c:idx val="2"/>
          <c:order val="4"/>
          <c:tx>
            <c:strRef>
              <c:f>'G1-SR-příjmy-příspěvky'!$A$38</c:f>
              <c:strCache>
                <c:ptCount val="1"/>
                <c:pt idx="0">
                  <c:v>Daně z příjmů PO</c:v>
                </c:pt>
              </c:strCache>
            </c:strRef>
          </c:tx>
          <c:spPr>
            <a:solidFill>
              <a:srgbClr val="F9B073"/>
            </a:solidFill>
            <a:ln>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'G1-SR-příjmy-příspěvky'!$D$38:$U$38</c:f>
              <c:numCache>
                <c:formatCode>0.0</c:formatCode>
                <c:ptCount val="18"/>
                <c:pt idx="0">
                  <c:v>0.3924050632911365</c:v>
                </c:pt>
                <c:pt idx="1">
                  <c:v>3.4449178332318948</c:v>
                </c:pt>
                <c:pt idx="2">
                  <c:v>-2.9230769230769247</c:v>
                </c:pt>
                <c:pt idx="3">
                  <c:v>-6.4119004873054407E-3</c:v>
                </c:pt>
                <c:pt idx="4">
                  <c:v>-1.5871149776628251</c:v>
                </c:pt>
                <c:pt idx="5">
                  <c:v>-0.11752335003401841</c:v>
                </c:pt>
                <c:pt idx="6">
                  <c:v>-8.2801040927371963E-2</c:v>
                </c:pt>
                <c:pt idx="7">
                  <c:v>0.38439260702437994</c:v>
                </c:pt>
                <c:pt idx="8">
                  <c:v>1.0059398352174727</c:v>
                </c:pt>
                <c:pt idx="9">
                  <c:v>2.1104770108754174</c:v>
                </c:pt>
                <c:pt idx="10">
                  <c:v>1.7957182873149216</c:v>
                </c:pt>
                <c:pt idx="11">
                  <c:v>0.20900097533788606</c:v>
                </c:pt>
                <c:pt idx="12">
                  <c:v>0.6298140346397717</c:v>
                </c:pt>
                <c:pt idx="13">
                  <c:v>0.32691017416434592</c:v>
                </c:pt>
                <c:pt idx="14">
                  <c:v>0.10558008367166571</c:v>
                </c:pt>
                <c:pt idx="15">
                  <c:v>1.019178282204771</c:v>
                </c:pt>
                <c:pt idx="16">
                  <c:v>3.8971374921113471</c:v>
                </c:pt>
                <c:pt idx="17">
                  <c:v>2.8011427441386947</c:v>
                </c:pt>
              </c:numCache>
            </c:numRef>
          </c:val>
          <c:extLst>
            <c:ext xmlns:c16="http://schemas.microsoft.com/office/drawing/2014/chart" uri="{C3380CC4-5D6E-409C-BE32-E72D297353CC}">
              <c16:uniqueId val="{00000003-3F72-4DA9-9B3C-F738B9FB626C}"/>
            </c:ext>
          </c:extLst>
        </c:ser>
        <c:ser>
          <c:idx val="5"/>
          <c:order val="5"/>
          <c:tx>
            <c:strRef>
              <c:f>'G1-SR-příjmy-příspěvky'!$A$39</c:f>
              <c:strCache>
                <c:ptCount val="1"/>
                <c:pt idx="0">
                  <c:v>Spotřební daň</c:v>
                </c:pt>
              </c:strCache>
            </c:strRef>
          </c:tx>
          <c:spPr>
            <a:solidFill>
              <a:srgbClr val="00B050"/>
            </a:solidFill>
            <a:ln>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'G1-SR-příjmy-příspěvky'!$D$39:$U$39</c:f>
              <c:numCache>
                <c:formatCode>0.0</c:formatCode>
                <c:ptCount val="18"/>
                <c:pt idx="0">
                  <c:v>0.82278481012658056</c:v>
                </c:pt>
                <c:pt idx="1">
                  <c:v>-0.18867924528301808</c:v>
                </c:pt>
                <c:pt idx="2">
                  <c:v>-2.376068376068377</c:v>
                </c:pt>
                <c:pt idx="3">
                  <c:v>4.9756347781482413</c:v>
                </c:pt>
                <c:pt idx="4">
                  <c:v>-0.74065365624265111</c:v>
                </c:pt>
                <c:pt idx="5">
                  <c:v>1.985526071627387</c:v>
                </c:pt>
                <c:pt idx="6">
                  <c:v>2.1587414241779017</c:v>
                </c:pt>
                <c:pt idx="7">
                  <c:v>2.9592965088726202</c:v>
                </c:pt>
                <c:pt idx="8">
                  <c:v>-6.1841348917417074</c:v>
                </c:pt>
                <c:pt idx="9">
                  <c:v>1.4590287498653982</c:v>
                </c:pt>
                <c:pt idx="10">
                  <c:v>0.42016806722689204</c:v>
                </c:pt>
                <c:pt idx="11">
                  <c:v>0.5805582648274572</c:v>
                </c:pt>
                <c:pt idx="12">
                  <c:v>-0.62130303417166777</c:v>
                </c:pt>
                <c:pt idx="13">
                  <c:v>1.0735727426060964</c:v>
                </c:pt>
                <c:pt idx="14">
                  <c:v>-2.9470384104736067</c:v>
                </c:pt>
                <c:pt idx="15">
                  <c:v>2.0334594164576827</c:v>
                </c:pt>
                <c:pt idx="16">
                  <c:v>-0.53984991589800446</c:v>
                </c:pt>
                <c:pt idx="17">
                  <c:v>1.4072474226355542</c:v>
                </c:pt>
              </c:numCache>
            </c:numRef>
          </c:val>
          <c:extLst>
            <c:ext xmlns:c16="http://schemas.microsoft.com/office/drawing/2014/chart" uri="{C3380CC4-5D6E-409C-BE32-E72D297353CC}">
              <c16:uniqueId val="{00000004-3F72-4DA9-9B3C-F738B9FB626C}"/>
            </c:ext>
          </c:extLst>
        </c:ser>
        <c:ser>
          <c:idx val="6"/>
          <c:order val="6"/>
          <c:tx>
            <c:strRef>
              <c:f>'G1-SR-příjmy-příspěvky'!$A$40</c:f>
              <c:strCache>
                <c:ptCount val="1"/>
                <c:pt idx="0">
                  <c:v>DPH</c:v>
                </c:pt>
              </c:strCache>
            </c:strRef>
          </c:tx>
          <c:spPr>
            <a:solidFill>
              <a:schemeClr val="accent5">
                <a:lumMod val="60000"/>
                <a:lumOff val="40000"/>
              </a:schemeClr>
            </a:solidFill>
            <a:ln w="19050">
              <a:noFill/>
            </a:ln>
          </c:spPr>
          <c:invertIfNegative val="0"/>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'G1-SR-příjmy-příspěvky'!$D$40:$U$40</c:f>
              <c:numCache>
                <c:formatCode>0.0</c:formatCode>
                <c:ptCount val="18"/>
                <c:pt idx="0">
                  <c:v>1.424050632911388</c:v>
                </c:pt>
                <c:pt idx="1">
                  <c:v>1.4790018259281799</c:v>
                </c:pt>
                <c:pt idx="2">
                  <c:v>-2.1253561253561237</c:v>
                </c:pt>
                <c:pt idx="3">
                  <c:v>4.0459092074891005</c:v>
                </c:pt>
                <c:pt idx="4">
                  <c:v>-2.3571596520103482</c:v>
                </c:pt>
                <c:pt idx="5">
                  <c:v>1.1257499845364003</c:v>
                </c:pt>
                <c:pt idx="6">
                  <c:v>8.8123964986988419</c:v>
                </c:pt>
                <c:pt idx="7">
                  <c:v>5.8396082354799592</c:v>
                </c:pt>
                <c:pt idx="8">
                  <c:v>-5.78654914734624</c:v>
                </c:pt>
                <c:pt idx="9">
                  <c:v>1.631312587487886</c:v>
                </c:pt>
                <c:pt idx="10">
                  <c:v>3.2513005202080785</c:v>
                </c:pt>
                <c:pt idx="11">
                  <c:v>4.9974455436347585</c:v>
                </c:pt>
                <c:pt idx="12">
                  <c:v>-6.3832503510790187E-2</c:v>
                </c:pt>
                <c:pt idx="13">
                  <c:v>2.1661942638579452</c:v>
                </c:pt>
                <c:pt idx="14">
                  <c:v>-2.6237556934223591</c:v>
                </c:pt>
                <c:pt idx="15">
                  <c:v>9.6005596283267742</c:v>
                </c:pt>
                <c:pt idx="16">
                  <c:v>4.3409785889223764</c:v>
                </c:pt>
                <c:pt idx="17">
                  <c:v>2.9004845077869397</c:v>
                </c:pt>
              </c:numCache>
            </c:numRef>
          </c:val>
          <c:extLst>
            <c:ext xmlns:c16="http://schemas.microsoft.com/office/drawing/2014/chart" uri="{C3380CC4-5D6E-409C-BE32-E72D297353CC}">
              <c16:uniqueId val="{00000005-3F72-4DA9-9B3C-F738B9FB626C}"/>
            </c:ext>
          </c:extLst>
        </c:ser>
        <c:dLbls>
          <c:showLegendKey val="0"/>
          <c:showVal val="0"/>
          <c:showCatName val="0"/>
          <c:showSerName val="0"/>
          <c:showPercent val="0"/>
          <c:showBubbleSize val="0"/>
        </c:dLbls>
        <c:gapWidth val="49"/>
        <c:overlap val="100"/>
        <c:axId val="84568704"/>
        <c:axId val="84599168"/>
      </c:barChart>
      <c:lineChart>
        <c:grouping val="standard"/>
        <c:varyColors val="0"/>
        <c:ser>
          <c:idx val="0"/>
          <c:order val="0"/>
          <c:tx>
            <c:strRef>
              <c:f>'G1-SR-příjmy-příspěvky'!$A$34</c:f>
              <c:strCache>
                <c:ptCount val="1"/>
                <c:pt idx="0">
                  <c:v>Celk. daňové příjmy (bez pojistného na SZ)</c:v>
                </c:pt>
              </c:strCache>
            </c:strRef>
          </c:tx>
          <c:spPr>
            <a:ln w="19050">
              <a:noFill/>
            </a:ln>
          </c:spPr>
          <c:marker>
            <c:symbol val="circle"/>
            <c:size val="7"/>
            <c:spPr>
              <a:solidFill>
                <a:schemeClr val="bg1"/>
              </a:solidFill>
              <a:ln>
                <a:solidFill>
                  <a:srgbClr val="C00000"/>
                </a:solidFill>
              </a:ln>
            </c:spPr>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'G1-SR-příjmy-příspěvky'!$D$34:$U$34</c:f>
              <c:numCache>
                <c:formatCode>0.0</c:formatCode>
                <c:ptCount val="18"/>
                <c:pt idx="0">
                  <c:v>3.9873417721518947</c:v>
                </c:pt>
                <c:pt idx="1">
                  <c:v>6.8167985392574462</c:v>
                </c:pt>
                <c:pt idx="2">
                  <c:v>-11.133903133903129</c:v>
                </c:pt>
                <c:pt idx="3">
                  <c:v>9.0792510900230781</c:v>
                </c:pt>
                <c:pt idx="4">
                  <c:v>-4.9670820597225553</c:v>
                </c:pt>
                <c:pt idx="5">
                  <c:v>4.5834106513267852</c:v>
                </c:pt>
                <c:pt idx="6">
                  <c:v>12.319612017979644</c:v>
                </c:pt>
                <c:pt idx="7">
                  <c:v>9.9257543046706225</c:v>
                </c:pt>
                <c:pt idx="8">
                  <c:v>-11.027016669860117</c:v>
                </c:pt>
                <c:pt idx="9">
                  <c:v>7.6343275546462603</c:v>
                </c:pt>
                <c:pt idx="10">
                  <c:v>7.6980792316926738</c:v>
                </c:pt>
                <c:pt idx="11">
                  <c:v>9.1403093214434925</c:v>
                </c:pt>
                <c:pt idx="12">
                  <c:v>3.8852717136899457</c:v>
                </c:pt>
                <c:pt idx="13">
                  <c:v>5.5112387756759631</c:v>
                </c:pt>
                <c:pt idx="14">
                  <c:v>-14.706462084712683</c:v>
                </c:pt>
                <c:pt idx="15">
                  <c:v>13.872116425948553</c:v>
                </c:pt>
                <c:pt idx="16">
                  <c:v>15.438691866329934</c:v>
                </c:pt>
                <c:pt idx="17">
                  <c:v>11.523172781145131</c:v>
                </c:pt>
              </c:numCache>
            </c:numRef>
          </c:val>
          <c:smooth val="0"/>
          <c:extLst>
            <c:ext xmlns:c16="http://schemas.microsoft.com/office/drawing/2014/chart" uri="{C3380CC4-5D6E-409C-BE32-E72D297353CC}">
              <c16:uniqueId val="{00000006-3F72-4DA9-9B3C-F738B9FB626C}"/>
            </c:ext>
          </c:extLst>
        </c:ser>
        <c:ser>
          <c:idx val="7"/>
          <c:order val="7"/>
          <c:tx>
            <c:strRef>
              <c:f>'G1-SR-příjmy-příspěvky'!$A$41</c:f>
              <c:strCache>
                <c:ptCount val="1"/>
                <c:pt idx="0">
                  <c:v>Příjmy z pojistného na soc. zabezpečení*</c:v>
                </c:pt>
              </c:strCache>
            </c:strRef>
          </c:tx>
          <c:spPr>
            <a:ln w="6350">
              <a:noFill/>
              <a:prstDash val="dash"/>
            </a:ln>
          </c:spPr>
          <c:marker>
            <c:symbol val="square"/>
            <c:size val="5"/>
            <c:spPr>
              <a:solidFill>
                <a:schemeClr val="bg1"/>
              </a:solidFill>
              <a:ln>
                <a:solidFill>
                  <a:schemeClr val="tx1">
                    <a:lumMod val="95000"/>
                    <a:lumOff val="5000"/>
                  </a:schemeClr>
                </a:solidFill>
              </a:ln>
            </c:spPr>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'G1-SR-příjmy-příspěvky'!$D$41:$U$41</c:f>
              <c:numCache>
                <c:formatCode>0.0</c:formatCode>
                <c:ptCount val="18"/>
                <c:pt idx="0">
                  <c:v>9.7190584662111021</c:v>
                </c:pt>
                <c:pt idx="1">
                  <c:v>9.4579008073817761</c:v>
                </c:pt>
                <c:pt idx="2">
                  <c:v>-4.4573234984194006</c:v>
                </c:pt>
                <c:pt idx="3">
                  <c:v>-5.8564023381493371</c:v>
                </c:pt>
                <c:pt idx="4">
                  <c:v>3.8308341143392663</c:v>
                </c:pt>
                <c:pt idx="5">
                  <c:v>3.6894956560984014</c:v>
                </c:pt>
                <c:pt idx="6">
                  <c:v>-1.0554951033732323</c:v>
                </c:pt>
                <c:pt idx="7">
                  <c:v>2.1513929773781797</c:v>
                </c:pt>
                <c:pt idx="8">
                  <c:v>4.8070686526797743</c:v>
                </c:pt>
                <c:pt idx="9">
                  <c:v>5.4941518644093605</c:v>
                </c:pt>
                <c:pt idx="10">
                  <c:v>7.497565725413823</c:v>
                </c:pt>
                <c:pt idx="11">
                  <c:v>10.144927536231858</c:v>
                </c:pt>
                <c:pt idx="12">
                  <c:v>8.1414473684210691</c:v>
                </c:pt>
                <c:pt idx="13">
                  <c:v>4.6387832699619604</c:v>
                </c:pt>
                <c:pt idx="14">
                  <c:v>2.5436046511627959</c:v>
                </c:pt>
                <c:pt idx="15">
                  <c:v>4.8953928497165133</c:v>
                </c:pt>
                <c:pt idx="16">
                  <c:v>10.800511751899535</c:v>
                </c:pt>
                <c:pt idx="17">
                  <c:v>7.919275112271281</c:v>
                </c:pt>
              </c:numCache>
            </c:numRef>
          </c:val>
          <c:smooth val="0"/>
          <c:extLst>
            <c:ext xmlns:c16="http://schemas.microsoft.com/office/drawing/2014/chart" uri="{C3380CC4-5D6E-409C-BE32-E72D297353CC}">
              <c16:uniqueId val="{00000007-3F72-4DA9-9B3C-F738B9FB626C}"/>
            </c:ext>
          </c:extLst>
        </c:ser>
        <c:dLbls>
          <c:showLegendKey val="0"/>
          <c:showVal val="0"/>
          <c:showCatName val="0"/>
          <c:showSerName val="0"/>
          <c:showPercent val="0"/>
          <c:showBubbleSize val="0"/>
        </c:dLbls>
        <c:marker val="1"/>
        <c:smooth val="0"/>
        <c:axId val="84568704"/>
        <c:axId val="84599168"/>
      </c:lineChart>
      <c:lineChart>
        <c:grouping val="standard"/>
        <c:varyColors val="0"/>
        <c:ser>
          <c:idx val="8"/>
          <c:order val="8"/>
          <c:tx>
            <c:strRef>
              <c:f>'G1-SR-příjmy-příspěvky'!$A$42</c:f>
              <c:strCache>
                <c:ptCount val="1"/>
                <c:pt idx="0">
                  <c:v>Saldo státního rozpočtu (pravá osa)</c:v>
                </c:pt>
              </c:strCache>
            </c:strRef>
          </c:tx>
          <c:spPr>
            <a:ln w="15875">
              <a:solidFill>
                <a:schemeClr val="bg2">
                  <a:lumMod val="50000"/>
                </a:schemeClr>
              </a:solidFill>
            </a:ln>
          </c:spPr>
          <c:marker>
            <c:symbol val="none"/>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'G1-SR-příjmy-příspěvky'!$D$42:$U$42</c:f>
              <c:numCache>
                <c:formatCode>#\ ##0.0</c:formatCode>
                <c:ptCount val="18"/>
                <c:pt idx="0">
                  <c:v>11.263</c:v>
                </c:pt>
                <c:pt idx="1">
                  <c:v>-13.347</c:v>
                </c:pt>
                <c:pt idx="2">
                  <c:v>-2.3459999999999992</c:v>
                </c:pt>
                <c:pt idx="3">
                  <c:v>-45.942</c:v>
                </c:pt>
                <c:pt idx="4">
                  <c:v>-25.202000000000002</c:v>
                </c:pt>
                <c:pt idx="5">
                  <c:v>-22.69</c:v>
                </c:pt>
                <c:pt idx="6">
                  <c:v>13.97</c:v>
                </c:pt>
                <c:pt idx="7">
                  <c:v>43.59</c:v>
                </c:pt>
                <c:pt idx="8">
                  <c:v>19.91</c:v>
                </c:pt>
                <c:pt idx="9">
                  <c:v>43.6</c:v>
                </c:pt>
                <c:pt idx="10">
                  <c:v>4.68</c:v>
                </c:pt>
                <c:pt idx="11">
                  <c:v>16.260000000000002</c:v>
                </c:pt>
                <c:pt idx="12">
                  <c:v>-9.24</c:v>
                </c:pt>
                <c:pt idx="13">
                  <c:v>-44.707715918399998</c:v>
                </c:pt>
                <c:pt idx="14">
                  <c:v>-125.1977047449202</c:v>
                </c:pt>
                <c:pt idx="15">
                  <c:v>-59.140376242370237</c:v>
                </c:pt>
                <c:pt idx="16">
                  <c:v>-166.18531283895999</c:v>
                </c:pt>
                <c:pt idx="17">
                  <c:v>-104.97373262854998</c:v>
                </c:pt>
              </c:numCache>
            </c:numRef>
          </c:val>
          <c:smooth val="0"/>
          <c:extLst>
            <c:ext xmlns:c16="http://schemas.microsoft.com/office/drawing/2014/chart" uri="{C3380CC4-5D6E-409C-BE32-E72D297353CC}">
              <c16:uniqueId val="{00000008-3F72-4DA9-9B3C-F738B9FB626C}"/>
            </c:ext>
          </c:extLst>
        </c:ser>
        <c:ser>
          <c:idx val="9"/>
          <c:order val="9"/>
          <c:tx>
            <c:strRef>
              <c:f>'G1-SR-příjmy-příspěvky'!$A$43</c:f>
              <c:strCache>
                <c:ptCount val="1"/>
                <c:pt idx="0">
                  <c:v>Saldo SR očištěné o vliv EU a FM** (pr. osa)</c:v>
                </c:pt>
              </c:strCache>
            </c:strRef>
          </c:tx>
          <c:spPr>
            <a:ln w="15875">
              <a:solidFill>
                <a:schemeClr val="bg2">
                  <a:lumMod val="50000"/>
                </a:schemeClr>
              </a:solidFill>
              <a:prstDash val="sysDash"/>
            </a:ln>
          </c:spPr>
          <c:marker>
            <c:symbol val="none"/>
          </c:marker>
          <c:cat>
            <c:numRef>
              <c:f>'G1-SR-příjmy-příspěvky'!$D$33:$U$33</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'G1-SR-příjmy-příspěvky'!$D$43:$U$43</c:f>
              <c:numCache>
                <c:formatCode>General</c:formatCode>
                <c:ptCount val="18"/>
                <c:pt idx="6" formatCode="#\ ##0.0">
                  <c:v>-9.4</c:v>
                </c:pt>
                <c:pt idx="7" formatCode="#\ ##0.0">
                  <c:v>11</c:v>
                </c:pt>
                <c:pt idx="8" formatCode="#\ ##0.0">
                  <c:v>-18.100000000000001</c:v>
                </c:pt>
                <c:pt idx="9" formatCode="#\ ##0.0">
                  <c:v>-11.9</c:v>
                </c:pt>
                <c:pt idx="10" formatCode="#\ ##0.0">
                  <c:v>-4.5599999999999996</c:v>
                </c:pt>
                <c:pt idx="11" formatCode="#\ ##0.0">
                  <c:v>-5.26</c:v>
                </c:pt>
                <c:pt idx="12" formatCode="#\ ##0.0">
                  <c:v>-6.1961843930897658</c:v>
                </c:pt>
                <c:pt idx="13" formatCode="#\ ##0.0">
                  <c:v>-41.582504753719945</c:v>
                </c:pt>
                <c:pt idx="14" formatCode="#\ ##0.0">
                  <c:v>-123.9</c:v>
                </c:pt>
                <c:pt idx="15" formatCode="#\ ##0.0">
                  <c:v>-55.306921067390164</c:v>
                </c:pt>
                <c:pt idx="16" formatCode="#\ ##0.0">
                  <c:v>-156.83966401531995</c:v>
                </c:pt>
                <c:pt idx="17" formatCode="#\ ##0.0">
                  <c:v>-99.064572721260063</c:v>
                </c:pt>
              </c:numCache>
            </c:numRef>
          </c:val>
          <c:smooth val="0"/>
          <c:extLst>
            <c:ext xmlns:c16="http://schemas.microsoft.com/office/drawing/2014/chart" uri="{C3380CC4-5D6E-409C-BE32-E72D297353CC}">
              <c16:uniqueId val="{00000009-3F72-4DA9-9B3C-F738B9FB626C}"/>
            </c:ext>
          </c:extLst>
        </c:ser>
        <c:dLbls>
          <c:showLegendKey val="0"/>
          <c:showVal val="0"/>
          <c:showCatName val="0"/>
          <c:showSerName val="0"/>
          <c:showPercent val="0"/>
          <c:showBubbleSize val="0"/>
        </c:dLbls>
        <c:marker val="1"/>
        <c:smooth val="0"/>
        <c:axId val="91619712"/>
        <c:axId val="84601088"/>
      </c:lineChart>
      <c:catAx>
        <c:axId val="84568704"/>
        <c:scaling>
          <c:orientation val="minMax"/>
        </c:scaling>
        <c:delete val="0"/>
        <c:axPos val="b"/>
        <c:numFmt formatCode="General" sourceLinked="1"/>
        <c:majorTickMark val="out"/>
        <c:minorTickMark val="none"/>
        <c:tickLblPos val="low"/>
        <c:spPr>
          <a:ln w="6350">
            <a:solidFill>
              <a:schemeClr val="tx1"/>
            </a:solidFill>
          </a:ln>
        </c:spPr>
        <c:txPr>
          <a:bodyPr rot="-2220000"/>
          <a:lstStyle/>
          <a:p>
            <a:pPr>
              <a:defRPr sz="800" b="0" i="0"/>
            </a:pPr>
            <a:endParaRPr lang="cs-CZ"/>
          </a:p>
        </c:txPr>
        <c:crossAx val="84599168"/>
        <c:crosses val="autoZero"/>
        <c:auto val="1"/>
        <c:lblAlgn val="ctr"/>
        <c:lblOffset val="0"/>
        <c:noMultiLvlLbl val="0"/>
      </c:catAx>
      <c:valAx>
        <c:axId val="84599168"/>
        <c:scaling>
          <c:orientation val="minMax"/>
          <c:max val="20"/>
          <c:min val="-20"/>
        </c:scaling>
        <c:delete val="0"/>
        <c:axPos val="l"/>
        <c:majorGridlines>
          <c:spPr>
            <a:ln w="6350">
              <a:solidFill>
                <a:schemeClr val="bg1">
                  <a:lumMod val="75000"/>
                </a:schemeClr>
              </a:solidFill>
            </a:ln>
          </c:spPr>
        </c:majorGridlines>
        <c:title>
          <c:tx>
            <c:rich>
              <a:bodyPr/>
              <a:lstStyle/>
              <a:p>
                <a:pPr>
                  <a:defRPr b="0"/>
                </a:pPr>
                <a:r>
                  <a:rPr lang="cs-CZ" b="0"/>
                  <a:t>Růst příjmů z pojistného, příspěvek k růstu daň. příjmů</a:t>
                </a:r>
              </a:p>
            </c:rich>
          </c:tx>
          <c:layout>
            <c:manualLayout>
              <c:xMode val="edge"/>
              <c:yMode val="edge"/>
              <c:x val="0"/>
              <c:y val="6.9036877877786132E-2"/>
            </c:manualLayout>
          </c:layout>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84568704"/>
        <c:crosses val="autoZero"/>
        <c:crossBetween val="between"/>
        <c:majorUnit val="4"/>
      </c:valAx>
      <c:valAx>
        <c:axId val="84601088"/>
        <c:scaling>
          <c:orientation val="minMax"/>
          <c:max val="300"/>
          <c:min val="-200"/>
        </c:scaling>
        <c:delete val="0"/>
        <c:axPos val="r"/>
        <c:title>
          <c:tx>
            <c:rich>
              <a:bodyPr/>
              <a:lstStyle/>
              <a:p>
                <a:pPr>
                  <a:defRPr b="0"/>
                </a:pPr>
                <a:r>
                  <a:rPr lang="cs-CZ" b="0"/>
                  <a:t>Saldo státního rozpočtu</a:t>
                </a:r>
              </a:p>
            </c:rich>
          </c:tx>
          <c:layout>
            <c:manualLayout>
              <c:xMode val="edge"/>
              <c:yMode val="edge"/>
              <c:x val="0.97036646544776561"/>
              <c:y val="0.20963215506367219"/>
            </c:manualLayout>
          </c:layout>
          <c:overlay val="0"/>
        </c:title>
        <c:numFmt formatCode="#,##0" sourceLinked="0"/>
        <c:majorTickMark val="out"/>
        <c:minorTickMark val="none"/>
        <c:tickLblPos val="nextTo"/>
        <c:txPr>
          <a:bodyPr/>
          <a:lstStyle/>
          <a:p>
            <a:pPr>
              <a:defRPr sz="800" b="0" i="0"/>
            </a:pPr>
            <a:endParaRPr lang="cs-CZ"/>
          </a:p>
        </c:txPr>
        <c:crossAx val="91619712"/>
        <c:crosses val="max"/>
        <c:crossBetween val="between"/>
        <c:majorUnit val="50"/>
      </c:valAx>
      <c:catAx>
        <c:axId val="91619712"/>
        <c:scaling>
          <c:orientation val="minMax"/>
        </c:scaling>
        <c:delete val="1"/>
        <c:axPos val="b"/>
        <c:numFmt formatCode="General" sourceLinked="1"/>
        <c:majorTickMark val="out"/>
        <c:minorTickMark val="none"/>
        <c:tickLblPos val="none"/>
        <c:crossAx val="84601088"/>
        <c:crosses val="autoZero"/>
        <c:auto val="1"/>
        <c:lblAlgn val="ctr"/>
        <c:lblOffset val="100"/>
        <c:noMultiLvlLbl val="0"/>
      </c:catAx>
      <c:spPr>
        <a:ln w="6350">
          <a:solidFill>
            <a:schemeClr val="tx1"/>
          </a:solidFill>
        </a:ln>
      </c:spPr>
    </c:plotArea>
    <c:legend>
      <c:legendPos val="b"/>
      <c:layout>
        <c:manualLayout>
          <c:xMode val="edge"/>
          <c:yMode val="edge"/>
          <c:x val="1.340471342706971E-2"/>
          <c:y val="0.84262968908968405"/>
          <c:w val="0.97057855178488139"/>
          <c:h val="0.15368252151393277"/>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76336352808833E-2"/>
          <c:y val="1.7698902479006781E-2"/>
          <c:w val="0.83506848789396348"/>
          <c:h val="0.72436410178900057"/>
        </c:manualLayout>
      </c:layout>
      <c:barChart>
        <c:barDir val="col"/>
        <c:grouping val="clustered"/>
        <c:varyColors val="0"/>
        <c:ser>
          <c:idx val="0"/>
          <c:order val="0"/>
          <c:tx>
            <c:strRef>
              <c:f>'G2-St.rozpočet-výdaje-2024'!$B$30</c:f>
              <c:strCache>
                <c:ptCount val="1"/>
                <c:pt idx="0">
                  <c:v>Běžné výdaje (pravá osa)</c:v>
                </c:pt>
              </c:strCache>
            </c:strRef>
          </c:tx>
          <c:spPr>
            <a:solidFill>
              <a:srgbClr val="E0E0E0"/>
            </a:solidFill>
            <a:ln w="6350">
              <a:solidFill>
                <a:schemeClr val="bg1">
                  <a:lumMod val="65000"/>
                </a:schemeClr>
              </a:solidFill>
            </a:ln>
          </c:spPr>
          <c:invertIfNegative val="0"/>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'G2-St.rozpočet-výdaje-2024'!$B$33:$B$50</c:f>
              <c:numCache>
                <c:formatCode>0.0</c:formatCode>
                <c:ptCount val="18"/>
                <c:pt idx="0">
                  <c:v>220.65</c:v>
                </c:pt>
                <c:pt idx="1">
                  <c:v>251.64</c:v>
                </c:pt>
                <c:pt idx="2">
                  <c:v>242.03</c:v>
                </c:pt>
                <c:pt idx="3">
                  <c:v>262.01</c:v>
                </c:pt>
                <c:pt idx="4">
                  <c:v>252.45000000000005</c:v>
                </c:pt>
                <c:pt idx="5">
                  <c:v>258.94</c:v>
                </c:pt>
                <c:pt idx="6">
                  <c:v>261.20999999999987</c:v>
                </c:pt>
                <c:pt idx="7">
                  <c:v>265.72000000000003</c:v>
                </c:pt>
                <c:pt idx="8">
                  <c:v>274.76</c:v>
                </c:pt>
                <c:pt idx="9">
                  <c:v>278.33</c:v>
                </c:pt>
                <c:pt idx="10">
                  <c:v>296.72000000000003</c:v>
                </c:pt>
                <c:pt idx="11">
                  <c:v>317.70999999999987</c:v>
                </c:pt>
                <c:pt idx="12">
                  <c:v>357.12</c:v>
                </c:pt>
                <c:pt idx="13">
                  <c:v>398.64712341415998</c:v>
                </c:pt>
                <c:pt idx="14">
                  <c:v>441.42700809697999</c:v>
                </c:pt>
                <c:pt idx="15">
                  <c:v>399.41500922346</c:v>
                </c:pt>
                <c:pt idx="16">
                  <c:v>532.53804444666036</c:v>
                </c:pt>
                <c:pt idx="17">
                  <c:v>520.46740821746971</c:v>
                </c:pt>
              </c:numCache>
            </c:numRef>
          </c:val>
          <c:extLst>
            <c:ext xmlns:c16="http://schemas.microsoft.com/office/drawing/2014/chart" uri="{C3380CC4-5D6E-409C-BE32-E72D297353CC}">
              <c16:uniqueId val="{00000000-91C6-4900-BBE1-043EEB511248}"/>
            </c:ext>
          </c:extLst>
        </c:ser>
        <c:ser>
          <c:idx val="1"/>
          <c:order val="1"/>
          <c:tx>
            <c:strRef>
              <c:f>'G2-St.rozpočet-výdaje-2024'!$C$30</c:f>
              <c:strCache>
                <c:ptCount val="1"/>
                <c:pt idx="0">
                  <c:v>z toho výdaje na důchody (pr. osa)</c:v>
                </c:pt>
              </c:strCache>
            </c:strRef>
          </c:tx>
          <c:spPr>
            <a:solidFill>
              <a:schemeClr val="bg1">
                <a:lumMod val="75000"/>
              </a:schemeClr>
            </a:solidFill>
            <a:ln w="6350">
              <a:solidFill>
                <a:schemeClr val="bg1">
                  <a:lumMod val="75000"/>
                </a:schemeClr>
              </a:solidFill>
            </a:ln>
          </c:spPr>
          <c:invertIfNegative val="0"/>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'G2-St.rozpočet-výdaje-2024'!$C$33:$C$50</c:f>
              <c:numCache>
                <c:formatCode>0.0</c:formatCode>
                <c:ptCount val="18"/>
                <c:pt idx="0">
                  <c:v>71.86999999999999</c:v>
                </c:pt>
                <c:pt idx="1">
                  <c:v>75.11999999999999</c:v>
                </c:pt>
                <c:pt idx="2">
                  <c:v>82.56</c:v>
                </c:pt>
                <c:pt idx="3">
                  <c:v>86.240000000000023</c:v>
                </c:pt>
                <c:pt idx="4">
                  <c:v>91.83</c:v>
                </c:pt>
                <c:pt idx="5">
                  <c:v>93.1</c:v>
                </c:pt>
                <c:pt idx="6">
                  <c:v>89.169999999999987</c:v>
                </c:pt>
                <c:pt idx="7">
                  <c:v>88.14</c:v>
                </c:pt>
                <c:pt idx="8">
                  <c:v>90.59</c:v>
                </c:pt>
                <c:pt idx="9">
                  <c:v>97.1</c:v>
                </c:pt>
                <c:pt idx="10">
                  <c:v>102.39</c:v>
                </c:pt>
                <c:pt idx="11">
                  <c:v>107.5</c:v>
                </c:pt>
                <c:pt idx="12">
                  <c:v>116.5</c:v>
                </c:pt>
                <c:pt idx="13">
                  <c:v>126.1</c:v>
                </c:pt>
                <c:pt idx="14">
                  <c:v>134.60955542761994</c:v>
                </c:pt>
                <c:pt idx="15">
                  <c:v>141.89044829649006</c:v>
                </c:pt>
                <c:pt idx="16">
                  <c:v>171.36544377853005</c:v>
                </c:pt>
                <c:pt idx="17">
                  <c:v>180.70855371628994</c:v>
                </c:pt>
              </c:numCache>
            </c:numRef>
          </c:val>
          <c:extLst>
            <c:ext xmlns:c16="http://schemas.microsoft.com/office/drawing/2014/chart" uri="{C3380CC4-5D6E-409C-BE32-E72D297353CC}">
              <c16:uniqueId val="{00000001-91C6-4900-BBE1-043EEB511248}"/>
            </c:ext>
          </c:extLst>
        </c:ser>
        <c:dLbls>
          <c:showLegendKey val="0"/>
          <c:showVal val="0"/>
          <c:showCatName val="0"/>
          <c:showSerName val="0"/>
          <c:showPercent val="0"/>
          <c:showBubbleSize val="0"/>
        </c:dLbls>
        <c:gapWidth val="85"/>
        <c:overlap val="100"/>
        <c:axId val="109561344"/>
        <c:axId val="109559168"/>
      </c:barChart>
      <c:lineChart>
        <c:grouping val="standard"/>
        <c:varyColors val="0"/>
        <c:ser>
          <c:idx val="6"/>
          <c:order val="2"/>
          <c:tx>
            <c:strRef>
              <c:f>'G2-St.rozpočet-výdaje-2024'!$D$30</c:f>
              <c:strCache>
                <c:ptCount val="1"/>
                <c:pt idx="0">
                  <c:v>Platy a související výdaje*</c:v>
                </c:pt>
              </c:strCache>
            </c:strRef>
          </c:tx>
          <c:spPr>
            <a:ln w="15875">
              <a:solidFill>
                <a:srgbClr val="D5D000"/>
              </a:solidFill>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'G2-St.rozpočet-výdaje-2024'!$D$33:$D$50</c:f>
              <c:numCache>
                <c:formatCode>0.0</c:formatCode>
                <c:ptCount val="18"/>
                <c:pt idx="0">
                  <c:v>14.850000000000003</c:v>
                </c:pt>
                <c:pt idx="1">
                  <c:v>14.73</c:v>
                </c:pt>
                <c:pt idx="2">
                  <c:v>15.14</c:v>
                </c:pt>
                <c:pt idx="3">
                  <c:v>15.42</c:v>
                </c:pt>
                <c:pt idx="4">
                  <c:v>14.05</c:v>
                </c:pt>
                <c:pt idx="5">
                  <c:v>14.350000000000003</c:v>
                </c:pt>
                <c:pt idx="6">
                  <c:v>14.46</c:v>
                </c:pt>
                <c:pt idx="7">
                  <c:v>14.8</c:v>
                </c:pt>
                <c:pt idx="8">
                  <c:v>15.8</c:v>
                </c:pt>
                <c:pt idx="9">
                  <c:v>16.75</c:v>
                </c:pt>
                <c:pt idx="10">
                  <c:v>17.75</c:v>
                </c:pt>
                <c:pt idx="11">
                  <c:v>20.47</c:v>
                </c:pt>
                <c:pt idx="12">
                  <c:v>22.19</c:v>
                </c:pt>
                <c:pt idx="13">
                  <c:v>23.368913903229984</c:v>
                </c:pt>
                <c:pt idx="14">
                  <c:v>23.533468726860004</c:v>
                </c:pt>
                <c:pt idx="15">
                  <c:v>23.433169218610001</c:v>
                </c:pt>
                <c:pt idx="16">
                  <c:v>26.224629488409985</c:v>
                </c:pt>
                <c:pt idx="17">
                  <c:v>26.195850613250016</c:v>
                </c:pt>
              </c:numCache>
            </c:numRef>
          </c:val>
          <c:smooth val="0"/>
          <c:extLst>
            <c:ext xmlns:c16="http://schemas.microsoft.com/office/drawing/2014/chart" uri="{C3380CC4-5D6E-409C-BE32-E72D297353CC}">
              <c16:uniqueId val="{00000002-91C6-4900-BBE1-043EEB511248}"/>
            </c:ext>
          </c:extLst>
        </c:ser>
        <c:ser>
          <c:idx val="7"/>
          <c:order val="3"/>
          <c:tx>
            <c:strRef>
              <c:f>'G2-St.rozpočet-výdaje-2024'!$E$30</c:f>
              <c:strCache>
                <c:ptCount val="1"/>
                <c:pt idx="0">
                  <c:v>Podpora v nezaměstnanosti</c:v>
                </c:pt>
              </c:strCache>
            </c:strRef>
          </c:tx>
          <c:spPr>
            <a:ln w="15875">
              <a:solidFill>
                <a:srgbClr val="996633"/>
              </a:solidFill>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'G2-St.rozpočet-výdaje-2024'!$E$33:$E$50</c:f>
              <c:numCache>
                <c:formatCode>0.0</c:formatCode>
                <c:ptCount val="18"/>
                <c:pt idx="0">
                  <c:v>2.0099999999999998</c:v>
                </c:pt>
                <c:pt idx="1">
                  <c:v>1.87</c:v>
                </c:pt>
                <c:pt idx="2">
                  <c:v>3.07</c:v>
                </c:pt>
                <c:pt idx="3">
                  <c:v>4.21</c:v>
                </c:pt>
                <c:pt idx="4">
                  <c:v>3.62</c:v>
                </c:pt>
                <c:pt idx="5">
                  <c:v>2.63</c:v>
                </c:pt>
                <c:pt idx="6">
                  <c:v>2.82</c:v>
                </c:pt>
                <c:pt idx="7">
                  <c:v>2.86</c:v>
                </c:pt>
                <c:pt idx="8">
                  <c:v>2.56</c:v>
                </c:pt>
                <c:pt idx="9">
                  <c:v>2.4499999999999997</c:v>
                </c:pt>
                <c:pt idx="10">
                  <c:v>2.42</c:v>
                </c:pt>
                <c:pt idx="11">
                  <c:v>2.21</c:v>
                </c:pt>
                <c:pt idx="12">
                  <c:v>2.3014011896199991</c:v>
                </c:pt>
                <c:pt idx="13">
                  <c:v>2.4618649264499997</c:v>
                </c:pt>
                <c:pt idx="14">
                  <c:v>2.9688356738999997</c:v>
                </c:pt>
                <c:pt idx="15">
                  <c:v>2.7006655894699998</c:v>
                </c:pt>
                <c:pt idx="16">
                  <c:v>2.9152491361499981</c:v>
                </c:pt>
                <c:pt idx="17">
                  <c:v>3.3870899235499992</c:v>
                </c:pt>
              </c:numCache>
            </c:numRef>
          </c:val>
          <c:smooth val="0"/>
          <c:extLst>
            <c:ext xmlns:c16="http://schemas.microsoft.com/office/drawing/2014/chart" uri="{C3380CC4-5D6E-409C-BE32-E72D297353CC}">
              <c16:uniqueId val="{00000003-91C6-4900-BBE1-043EEB511248}"/>
            </c:ext>
          </c:extLst>
        </c:ser>
        <c:ser>
          <c:idx val="2"/>
          <c:order val="4"/>
          <c:tx>
            <c:strRef>
              <c:f>'G2-St.rozpočet-výdaje-2024'!$F$30</c:f>
              <c:strCache>
                <c:ptCount val="1"/>
                <c:pt idx="0">
                  <c:v>Státní sociální podpora**</c:v>
                </c:pt>
              </c:strCache>
            </c:strRef>
          </c:tx>
          <c:spPr>
            <a:ln w="15875">
              <a:solidFill>
                <a:srgbClr val="C00000"/>
              </a:solidFill>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'G2-St.rozpočet-výdaje-2024'!$F$33:$F$50</c:f>
              <c:numCache>
                <c:formatCode>General</c:formatCode>
                <c:ptCount val="18"/>
                <c:pt idx="0">
                  <c:v>11.18</c:v>
                </c:pt>
                <c:pt idx="1">
                  <c:v>11.07</c:v>
                </c:pt>
                <c:pt idx="2">
                  <c:v>10.200000000000001</c:v>
                </c:pt>
                <c:pt idx="3">
                  <c:v>10.3</c:v>
                </c:pt>
                <c:pt idx="4">
                  <c:v>9.3800000000000008</c:v>
                </c:pt>
                <c:pt idx="5">
                  <c:v>8.89</c:v>
                </c:pt>
                <c:pt idx="6">
                  <c:v>9.2200000000000024</c:v>
                </c:pt>
                <c:pt idx="7">
                  <c:v>9.3700000000000028</c:v>
                </c:pt>
                <c:pt idx="8">
                  <c:v>9.33</c:v>
                </c:pt>
                <c:pt idx="9">
                  <c:v>9.3800000000000008</c:v>
                </c:pt>
                <c:pt idx="10">
                  <c:v>9.2900000000000009</c:v>
                </c:pt>
                <c:pt idx="11">
                  <c:v>9.48</c:v>
                </c:pt>
                <c:pt idx="12" formatCode="0.00">
                  <c:v>9.5169305102400052</c:v>
                </c:pt>
                <c:pt idx="13">
                  <c:v>11.83410995721</c:v>
                </c:pt>
                <c:pt idx="14" formatCode="0.00">
                  <c:v>12.157197793090001</c:v>
                </c:pt>
                <c:pt idx="15" formatCode="0.00">
                  <c:v>11.866110551240004</c:v>
                </c:pt>
                <c:pt idx="16" formatCode="0.00">
                  <c:v>14.593402478900003</c:v>
                </c:pt>
                <c:pt idx="17" formatCode="0.00">
                  <c:v>15.160950428290001</c:v>
                </c:pt>
              </c:numCache>
            </c:numRef>
          </c:val>
          <c:smooth val="0"/>
          <c:extLst>
            <c:ext xmlns:c16="http://schemas.microsoft.com/office/drawing/2014/chart" uri="{C3380CC4-5D6E-409C-BE32-E72D297353CC}">
              <c16:uniqueId val="{00000004-91C6-4900-BBE1-043EEB511248}"/>
            </c:ext>
          </c:extLst>
        </c:ser>
        <c:ser>
          <c:idx val="3"/>
          <c:order val="5"/>
          <c:tx>
            <c:strRef>
              <c:f>'G2-St.rozpočet-výdaje-2024'!$G$30</c:f>
              <c:strCache>
                <c:ptCount val="1"/>
                <c:pt idx="0">
                  <c:v>Dávky nemocenského pojištění</c:v>
                </c:pt>
              </c:strCache>
            </c:strRef>
          </c:tx>
          <c:spPr>
            <a:ln w="15875">
              <a:solidFill>
                <a:srgbClr val="7030A0"/>
              </a:solidFill>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'G2-St.rozpočet-výdaje-2024'!$G$33:$G$50</c:f>
              <c:numCache>
                <c:formatCode>0.00</c:formatCode>
                <c:ptCount val="18"/>
                <c:pt idx="0">
                  <c:v>9.6080000000000005</c:v>
                </c:pt>
                <c:pt idx="1">
                  <c:v>9.09</c:v>
                </c:pt>
                <c:pt idx="2">
                  <c:v>7.2700000000000014</c:v>
                </c:pt>
                <c:pt idx="3">
                  <c:v>6.07</c:v>
                </c:pt>
                <c:pt idx="4">
                  <c:v>6.07</c:v>
                </c:pt>
                <c:pt idx="5">
                  <c:v>5.21</c:v>
                </c:pt>
                <c:pt idx="6">
                  <c:v>5.3</c:v>
                </c:pt>
                <c:pt idx="7">
                  <c:v>5.4700000000000015</c:v>
                </c:pt>
                <c:pt idx="8">
                  <c:v>6.21</c:v>
                </c:pt>
                <c:pt idx="9">
                  <c:v>6.67</c:v>
                </c:pt>
                <c:pt idx="10">
                  <c:v>7.4700000000000015</c:v>
                </c:pt>
                <c:pt idx="11">
                  <c:v>8.2900000000000009</c:v>
                </c:pt>
                <c:pt idx="12">
                  <c:v>9.92</c:v>
                </c:pt>
                <c:pt idx="13">
                  <c:v>10.97</c:v>
                </c:pt>
                <c:pt idx="14">
                  <c:v>13.3</c:v>
                </c:pt>
                <c:pt idx="15">
                  <c:v>13.360000000000003</c:v>
                </c:pt>
                <c:pt idx="16">
                  <c:v>12.6</c:v>
                </c:pt>
                <c:pt idx="17">
                  <c:v>12.8</c:v>
                </c:pt>
              </c:numCache>
            </c:numRef>
          </c:val>
          <c:smooth val="0"/>
          <c:extLst>
            <c:ext xmlns:c16="http://schemas.microsoft.com/office/drawing/2014/chart" uri="{C3380CC4-5D6E-409C-BE32-E72D297353CC}">
              <c16:uniqueId val="{00000005-91C6-4900-BBE1-043EEB511248}"/>
            </c:ext>
          </c:extLst>
        </c:ser>
        <c:ser>
          <c:idx val="4"/>
          <c:order val="6"/>
          <c:tx>
            <c:strRef>
              <c:f>'G2-St.rozpočet-výdaje-2024'!$H$30</c:f>
              <c:strCache>
                <c:ptCount val="1"/>
                <c:pt idx="0">
                  <c:v>Dávky sociální péče***</c:v>
                </c:pt>
              </c:strCache>
            </c:strRef>
          </c:tx>
          <c:spPr>
            <a:ln w="15875">
              <a:solidFill>
                <a:srgbClr val="00B050"/>
              </a:solidFill>
              <a:prstDash val="solid"/>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'G2-St.rozpočet-výdaje-2024'!$H$33:$H$50</c:f>
              <c:numCache>
                <c:formatCode>0.00</c:formatCode>
                <c:ptCount val="18"/>
                <c:pt idx="0">
                  <c:v>8.8000000000000007</c:v>
                </c:pt>
                <c:pt idx="1">
                  <c:v>7.8000000000000007</c:v>
                </c:pt>
                <c:pt idx="2">
                  <c:v>7.1</c:v>
                </c:pt>
                <c:pt idx="3">
                  <c:v>7.1999999999999975</c:v>
                </c:pt>
                <c:pt idx="4">
                  <c:v>6.68</c:v>
                </c:pt>
                <c:pt idx="5">
                  <c:v>6.37</c:v>
                </c:pt>
                <c:pt idx="6">
                  <c:v>7.64</c:v>
                </c:pt>
                <c:pt idx="7">
                  <c:v>8.2100000000000009</c:v>
                </c:pt>
                <c:pt idx="8">
                  <c:v>8.44</c:v>
                </c:pt>
                <c:pt idx="9">
                  <c:v>8.34</c:v>
                </c:pt>
                <c:pt idx="10">
                  <c:v>8.8500000000000032</c:v>
                </c:pt>
                <c:pt idx="11">
                  <c:v>8.48</c:v>
                </c:pt>
                <c:pt idx="12">
                  <c:v>8.3800000000000008</c:v>
                </c:pt>
                <c:pt idx="13">
                  <c:v>9.91</c:v>
                </c:pt>
                <c:pt idx="14">
                  <c:v>10.200000000000001</c:v>
                </c:pt>
                <c:pt idx="15">
                  <c:v>11.6</c:v>
                </c:pt>
                <c:pt idx="16">
                  <c:v>13.9</c:v>
                </c:pt>
                <c:pt idx="17">
                  <c:v>13.5</c:v>
                </c:pt>
              </c:numCache>
            </c:numRef>
          </c:val>
          <c:smooth val="0"/>
          <c:extLst>
            <c:ext xmlns:c16="http://schemas.microsoft.com/office/drawing/2014/chart" uri="{C3380CC4-5D6E-409C-BE32-E72D297353CC}">
              <c16:uniqueId val="{00000006-91C6-4900-BBE1-043EEB511248}"/>
            </c:ext>
          </c:extLst>
        </c:ser>
        <c:ser>
          <c:idx val="5"/>
          <c:order val="7"/>
          <c:tx>
            <c:strRef>
              <c:f>'G2-St.rozpočet-výdaje-2024'!$I$30</c:f>
              <c:strCache>
                <c:ptCount val="1"/>
                <c:pt idx="0">
                  <c:v>Neinv. nákupy a souvis.výdaje****</c:v>
                </c:pt>
              </c:strCache>
            </c:strRef>
          </c:tx>
          <c:spPr>
            <a:ln w="15875">
              <a:solidFill>
                <a:srgbClr val="00B0F0"/>
              </a:solidFill>
              <a:prstDash val="solid"/>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'G2-St.rozpočet-výdaje-2024'!$I$33:$I$50</c:f>
              <c:numCache>
                <c:formatCode>General</c:formatCode>
                <c:ptCount val="18"/>
                <c:pt idx="5" formatCode="0.0">
                  <c:v>14.04</c:v>
                </c:pt>
                <c:pt idx="6" formatCode="0.0">
                  <c:v>11.8</c:v>
                </c:pt>
                <c:pt idx="7" formatCode="0.0">
                  <c:v>10.3</c:v>
                </c:pt>
                <c:pt idx="8" formatCode="0.0">
                  <c:v>12.43</c:v>
                </c:pt>
                <c:pt idx="9" formatCode="0.0">
                  <c:v>11.780000000000001</c:v>
                </c:pt>
                <c:pt idx="10" formatCode="0.0">
                  <c:v>14.34</c:v>
                </c:pt>
                <c:pt idx="11" formatCode="0.0">
                  <c:v>15.51</c:v>
                </c:pt>
                <c:pt idx="12" formatCode="0.0">
                  <c:v>13.6</c:v>
                </c:pt>
                <c:pt idx="13" formatCode="0.0">
                  <c:v>18.41289837491999</c:v>
                </c:pt>
                <c:pt idx="14" formatCode="0.0">
                  <c:v>13.877945219840006</c:v>
                </c:pt>
                <c:pt idx="15" formatCode="0.0">
                  <c:v>15.432360398750003</c:v>
                </c:pt>
                <c:pt idx="16" formatCode="0.0">
                  <c:v>15.294108232550002</c:v>
                </c:pt>
                <c:pt idx="17" formatCode="0.0">
                  <c:v>19.290269691899994</c:v>
                </c:pt>
              </c:numCache>
            </c:numRef>
          </c:val>
          <c:smooth val="0"/>
          <c:extLst>
            <c:ext xmlns:c16="http://schemas.microsoft.com/office/drawing/2014/chart" uri="{C3380CC4-5D6E-409C-BE32-E72D297353CC}">
              <c16:uniqueId val="{00000007-91C6-4900-BBE1-043EEB511248}"/>
            </c:ext>
          </c:extLst>
        </c:ser>
        <c:ser>
          <c:idx val="9"/>
          <c:order val="8"/>
          <c:tx>
            <c:strRef>
              <c:f>'G2-St.rozpočet-výdaje-2024'!$J$30</c:f>
              <c:strCache>
                <c:ptCount val="1"/>
                <c:pt idx="0">
                  <c:v>Neinvestič. transfery podnikatelům</c:v>
                </c:pt>
              </c:strCache>
            </c:strRef>
          </c:tx>
          <c:spPr>
            <a:ln w="12700">
              <a:solidFill>
                <a:schemeClr val="accent6">
                  <a:lumMod val="75000"/>
                </a:schemeClr>
              </a:solidFill>
              <a:prstDash val="sysDot"/>
            </a:ln>
          </c:spPr>
          <c:marker>
            <c:symbol val="diamond"/>
            <c:size val="5"/>
            <c:spPr>
              <a:solidFill>
                <a:schemeClr val="accent6">
                  <a:lumMod val="75000"/>
                </a:schemeClr>
              </a:solidFill>
              <a:ln>
                <a:noFill/>
              </a:ln>
            </c:spPr>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'G2-St.rozpočet-výdaje-2024'!$J$33:$J$50</c:f>
              <c:numCache>
                <c:formatCode>General</c:formatCode>
                <c:ptCount val="18"/>
                <c:pt idx="5" formatCode="0.0">
                  <c:v>8.6300000000000008</c:v>
                </c:pt>
                <c:pt idx="6" formatCode="0.0">
                  <c:v>7.9300000000000015</c:v>
                </c:pt>
                <c:pt idx="7" formatCode="0.0">
                  <c:v>9.3800000000000008</c:v>
                </c:pt>
                <c:pt idx="8" formatCode="0.0">
                  <c:v>10.44</c:v>
                </c:pt>
                <c:pt idx="9" formatCode="0.0">
                  <c:v>9.8800000000000008</c:v>
                </c:pt>
                <c:pt idx="10" formatCode="0.0">
                  <c:v>13.31</c:v>
                </c:pt>
                <c:pt idx="11" formatCode="0.0">
                  <c:v>11.74</c:v>
                </c:pt>
                <c:pt idx="12" formatCode="0.0">
                  <c:v>15.29</c:v>
                </c:pt>
                <c:pt idx="13" formatCode="0.0">
                  <c:v>15.09</c:v>
                </c:pt>
                <c:pt idx="14" formatCode="0.0">
                  <c:v>38.603799745230006</c:v>
                </c:pt>
                <c:pt idx="15" formatCode="0.0">
                  <c:v>13.316887891790005</c:v>
                </c:pt>
                <c:pt idx="16" formatCode="0.0">
                  <c:v>44.217813779380002</c:v>
                </c:pt>
                <c:pt idx="17" formatCode="0.0">
                  <c:v>28.32795992501001</c:v>
                </c:pt>
              </c:numCache>
            </c:numRef>
          </c:val>
          <c:smooth val="0"/>
          <c:extLst>
            <c:ext xmlns:c16="http://schemas.microsoft.com/office/drawing/2014/chart" uri="{C3380CC4-5D6E-409C-BE32-E72D297353CC}">
              <c16:uniqueId val="{00000008-91C6-4900-BBE1-043EEB511248}"/>
            </c:ext>
          </c:extLst>
        </c:ser>
        <c:ser>
          <c:idx val="8"/>
          <c:order val="9"/>
          <c:tx>
            <c:strRef>
              <c:f>'G2-St.rozpočet-výdaje-2024'!$K$30</c:f>
              <c:strCache>
                <c:ptCount val="1"/>
                <c:pt idx="0">
                  <c:v>Kapitálové výdaje</c:v>
                </c:pt>
              </c:strCache>
            </c:strRef>
          </c:tx>
          <c:spPr>
            <a:ln w="15875">
              <a:solidFill>
                <a:schemeClr val="tx1">
                  <a:lumMod val="95000"/>
                  <a:lumOff val="5000"/>
                </a:schemeClr>
              </a:solidFill>
              <a:prstDash val="dash"/>
            </a:ln>
          </c:spPr>
          <c:marker>
            <c:symbol val="none"/>
          </c:marker>
          <c:cat>
            <c:numRef>
              <c:f>'G2-St.rozpočet-výdaje-2024'!$A$33:$A$50</c:f>
              <c:numCache>
                <c:formatCode>General</c:formatCode>
                <c:ptCount val="18"/>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pt idx="17">
                  <c:v>2024</c:v>
                </c:pt>
              </c:numCache>
            </c:numRef>
          </c:cat>
          <c:val>
            <c:numRef>
              <c:f>'G2-St.rozpočet-výdaje-2024'!$K$33:$K$50</c:f>
              <c:numCache>
                <c:formatCode>0.0</c:formatCode>
                <c:ptCount val="18"/>
                <c:pt idx="0">
                  <c:v>10.07</c:v>
                </c:pt>
                <c:pt idx="1">
                  <c:v>31.85</c:v>
                </c:pt>
                <c:pt idx="2">
                  <c:v>31.88</c:v>
                </c:pt>
                <c:pt idx="3">
                  <c:v>33.1</c:v>
                </c:pt>
                <c:pt idx="4">
                  <c:v>26.12</c:v>
                </c:pt>
                <c:pt idx="5">
                  <c:v>22.19</c:v>
                </c:pt>
                <c:pt idx="6">
                  <c:v>17.690000000000001</c:v>
                </c:pt>
                <c:pt idx="7">
                  <c:v>14.93</c:v>
                </c:pt>
                <c:pt idx="8">
                  <c:v>19.779999999999994</c:v>
                </c:pt>
                <c:pt idx="9">
                  <c:v>20.02</c:v>
                </c:pt>
                <c:pt idx="10">
                  <c:v>6.2700000000000014</c:v>
                </c:pt>
                <c:pt idx="11">
                  <c:v>11.73</c:v>
                </c:pt>
                <c:pt idx="12">
                  <c:v>16.43</c:v>
                </c:pt>
                <c:pt idx="13">
                  <c:v>23.367157547710001</c:v>
                </c:pt>
                <c:pt idx="14">
                  <c:v>23.477695399889999</c:v>
                </c:pt>
                <c:pt idx="15">
                  <c:v>15.967599178880004</c:v>
                </c:pt>
                <c:pt idx="16">
                  <c:v>36.131603101170001</c:v>
                </c:pt>
                <c:pt idx="17">
                  <c:v>33.577472576440002</c:v>
                </c:pt>
              </c:numCache>
            </c:numRef>
          </c:val>
          <c:smooth val="0"/>
          <c:extLst>
            <c:ext xmlns:c16="http://schemas.microsoft.com/office/drawing/2014/chart" uri="{C3380CC4-5D6E-409C-BE32-E72D297353CC}">
              <c16:uniqueId val="{00000009-91C6-4900-BBE1-043EEB511248}"/>
            </c:ext>
          </c:extLst>
        </c:ser>
        <c:dLbls>
          <c:showLegendKey val="0"/>
          <c:showVal val="0"/>
          <c:showCatName val="0"/>
          <c:showSerName val="0"/>
          <c:showPercent val="0"/>
          <c:showBubbleSize val="0"/>
        </c:dLbls>
        <c:marker val="1"/>
        <c:smooth val="0"/>
        <c:axId val="109555712"/>
        <c:axId val="109557248"/>
      </c:lineChart>
      <c:catAx>
        <c:axId val="109555712"/>
        <c:scaling>
          <c:orientation val="minMax"/>
        </c:scaling>
        <c:delete val="0"/>
        <c:axPos val="b"/>
        <c:numFmt formatCode="General" sourceLinked="1"/>
        <c:majorTickMark val="out"/>
        <c:minorTickMark val="none"/>
        <c:tickLblPos val="low"/>
        <c:spPr>
          <a:ln w="6350">
            <a:solidFill>
              <a:schemeClr val="bg1">
                <a:lumMod val="50000"/>
              </a:schemeClr>
            </a:solidFill>
          </a:ln>
        </c:spPr>
        <c:crossAx val="109557248"/>
        <c:crosses val="autoZero"/>
        <c:auto val="1"/>
        <c:lblAlgn val="ctr"/>
        <c:lblOffset val="0"/>
        <c:noMultiLvlLbl val="0"/>
      </c:catAx>
      <c:valAx>
        <c:axId val="109557248"/>
        <c:scaling>
          <c:orientation val="minMax"/>
          <c:max val="45"/>
          <c:min val="0"/>
        </c:scaling>
        <c:delete val="0"/>
        <c:axPos val="l"/>
        <c:majorGridlines>
          <c:spPr>
            <a:ln w="6350">
              <a:solidFill>
                <a:schemeClr val="bg1">
                  <a:lumMod val="75000"/>
                </a:schemeClr>
              </a:solidFill>
            </a:ln>
          </c:spPr>
        </c:majorGridlines>
        <c:title>
          <c:tx>
            <c:rich>
              <a:bodyPr/>
              <a:lstStyle/>
              <a:p>
                <a:pPr>
                  <a:defRPr sz="700" b="0" i="1"/>
                </a:pPr>
                <a:r>
                  <a:rPr lang="cs-CZ" sz="700" b="0" i="1"/>
                  <a:t>Vybrané</a:t>
                </a:r>
                <a:r>
                  <a:rPr lang="cs-CZ" sz="700" b="0" i="1" baseline="0"/>
                  <a:t> </a:t>
                </a:r>
                <a:r>
                  <a:rPr lang="cs-CZ" sz="700" b="0" i="1"/>
                  <a:t>výdaje</a:t>
                </a:r>
              </a:p>
            </c:rich>
          </c:tx>
          <c:overlay val="0"/>
        </c:title>
        <c:numFmt formatCode="0" sourceLinked="0"/>
        <c:majorTickMark val="out"/>
        <c:minorTickMark val="none"/>
        <c:tickLblPos val="nextTo"/>
        <c:spPr>
          <a:ln w="6350">
            <a:solidFill>
              <a:schemeClr val="tx1"/>
            </a:solidFill>
          </a:ln>
        </c:spPr>
        <c:crossAx val="109555712"/>
        <c:crosses val="autoZero"/>
        <c:crossBetween val="between"/>
        <c:majorUnit val="5"/>
      </c:valAx>
      <c:valAx>
        <c:axId val="109559168"/>
        <c:scaling>
          <c:orientation val="minMax"/>
          <c:max val="540"/>
          <c:min val="0"/>
        </c:scaling>
        <c:delete val="0"/>
        <c:axPos val="r"/>
        <c:title>
          <c:tx>
            <c:rich>
              <a:bodyPr/>
              <a:lstStyle/>
              <a:p>
                <a:pPr>
                  <a:defRPr sz="700" b="0" i="1"/>
                </a:pPr>
                <a:r>
                  <a:rPr lang="cs-CZ" sz="700" b="0" i="1"/>
                  <a:t>Běžné výdaje celkem, důchody</a:t>
                </a:r>
              </a:p>
            </c:rich>
          </c:tx>
          <c:layout>
            <c:manualLayout>
              <c:xMode val="edge"/>
              <c:yMode val="edge"/>
              <c:x val="0.96904913646362545"/>
              <c:y val="0.25018610067154745"/>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109561344"/>
        <c:crosses val="max"/>
        <c:crossBetween val="between"/>
        <c:majorUnit val="60"/>
        <c:minorUnit val="10"/>
      </c:valAx>
      <c:catAx>
        <c:axId val="109561344"/>
        <c:scaling>
          <c:orientation val="minMax"/>
        </c:scaling>
        <c:delete val="1"/>
        <c:axPos val="b"/>
        <c:numFmt formatCode="General" sourceLinked="1"/>
        <c:majorTickMark val="out"/>
        <c:minorTickMark val="none"/>
        <c:tickLblPos val="none"/>
        <c:crossAx val="109559168"/>
        <c:crosses val="autoZero"/>
        <c:auto val="1"/>
        <c:lblAlgn val="ctr"/>
        <c:lblOffset val="100"/>
        <c:noMultiLvlLbl val="0"/>
      </c:catAx>
      <c:spPr>
        <a:ln w="6350">
          <a:solidFill>
            <a:schemeClr val="tx1"/>
          </a:solidFill>
        </a:ln>
      </c:spPr>
    </c:plotArea>
    <c:legend>
      <c:legendPos val="b"/>
      <c:layout>
        <c:manualLayout>
          <c:xMode val="edge"/>
          <c:yMode val="edge"/>
          <c:x val="6.8616098225395772E-2"/>
          <c:y val="0.82695584929121102"/>
          <c:w val="0.85495724737605294"/>
          <c:h val="0.16585489978301932"/>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72E-2"/>
          <c:y val="2.8458510079622041E-2"/>
          <c:w val="0.93688386524822698"/>
          <c:h val="0.674766689181583"/>
        </c:manualLayout>
      </c:layout>
      <c:barChart>
        <c:barDir val="col"/>
        <c:grouping val="stacked"/>
        <c:varyColors val="0"/>
        <c:ser>
          <c:idx val="1"/>
          <c:order val="1"/>
          <c:tx>
            <c:strRef>
              <c:f>'souhrnná výkonnost 3'!$F$5</c:f>
              <c:strCache>
                <c:ptCount val="1"/>
                <c:pt idx="0">
                  <c:v>Bilance zahraničního obchodu</c:v>
                </c:pt>
              </c:strCache>
            </c:strRef>
          </c:tx>
          <c:spPr>
            <a:solidFill>
              <a:srgbClr val="7DBB2D"/>
            </a:solidFill>
            <a:ln>
              <a:noFill/>
            </a:ln>
          </c:spPr>
          <c:invertIfNegative val="0"/>
          <c:cat>
            <c:multiLvlStrRef>
              <c:f>'souhrnná výkonnost 3'!$A$10:$B$30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'souhrnná výkonnost 3'!$F$10:$F$30</c:f>
              <c:numCache>
                <c:formatCode>#\ ##0.0</c:formatCode>
                <c:ptCount val="21"/>
                <c:pt idx="0">
                  <c:v>-0.10063574701283923</c:v>
                </c:pt>
                <c:pt idx="1">
                  <c:v>1.3529610725744314</c:v>
                </c:pt>
                <c:pt idx="2">
                  <c:v>1.4268251487477539</c:v>
                </c:pt>
                <c:pt idx="3">
                  <c:v>-1.1473798908006598</c:v>
                </c:pt>
                <c:pt idx="4">
                  <c:v>-2.0624772509655722</c:v>
                </c:pt>
                <c:pt idx="5">
                  <c:v>-9.0642749602481327</c:v>
                </c:pt>
                <c:pt idx="6">
                  <c:v>-1.0204260219992571</c:v>
                </c:pt>
                <c:pt idx="7">
                  <c:v>2.0095740720498352</c:v>
                </c:pt>
                <c:pt idx="8">
                  <c:v>-0.28507028363562337</c:v>
                </c:pt>
                <c:pt idx="9">
                  <c:v>4.4273326570028857</c:v>
                </c:pt>
                <c:pt idx="10">
                  <c:v>-5.8942461279131582</c:v>
                </c:pt>
                <c:pt idx="11">
                  <c:v>-6.442294612432077</c:v>
                </c:pt>
                <c:pt idx="12">
                  <c:v>-1.8223902794079421</c:v>
                </c:pt>
                <c:pt idx="13">
                  <c:v>0.41945594502810535</c:v>
                </c:pt>
                <c:pt idx="14">
                  <c:v>4.1644433977782347</c:v>
                </c:pt>
                <c:pt idx="15">
                  <c:v>2.8946322892501062</c:v>
                </c:pt>
                <c:pt idx="16">
                  <c:v>2.9664016699153355</c:v>
                </c:pt>
                <c:pt idx="17">
                  <c:v>2.3903758072472909</c:v>
                </c:pt>
                <c:pt idx="18">
                  <c:v>0.27595257347252322</c:v>
                </c:pt>
                <c:pt idx="19">
                  <c:v>3.2602281343552373</c:v>
                </c:pt>
                <c:pt idx="20">
                  <c:v>2.114773961664155</c:v>
                </c:pt>
              </c:numCache>
            </c:numRef>
          </c:val>
          <c:extLst>
            <c:ext xmlns:c16="http://schemas.microsoft.com/office/drawing/2014/chart" uri="{C3380CC4-5D6E-409C-BE32-E72D297353CC}">
              <c16:uniqueId val="{00000000-BB37-4A99-8930-61D4F50AA8BE}"/>
            </c:ext>
          </c:extLst>
        </c:ser>
        <c:ser>
          <c:idx val="2"/>
          <c:order val="2"/>
          <c:tx>
            <c:strRef>
              <c:f>'souhrnná výkonnost 3'!$H$5</c:f>
              <c:strCache>
                <c:ptCount val="1"/>
                <c:pt idx="0">
                  <c:v>Změna zásob</c:v>
                </c:pt>
              </c:strCache>
            </c:strRef>
          </c:tx>
          <c:spPr>
            <a:solidFill>
              <a:srgbClr val="E8AFB2"/>
            </a:solidFill>
            <a:ln>
              <a:noFill/>
            </a:ln>
          </c:spPr>
          <c:invertIfNegative val="0"/>
          <c:cat>
            <c:multiLvlStrRef>
              <c:f>'souhrnná výkonnost 3'!$A$10:$B$30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'souhrnná výkonnost 3'!$H$10:$H$30</c:f>
              <c:numCache>
                <c:formatCode>#\ ##0.0</c:formatCode>
                <c:ptCount val="21"/>
                <c:pt idx="0">
                  <c:v>2.9922981882277922E-2</c:v>
                </c:pt>
                <c:pt idx="1">
                  <c:v>-1.2537553229299498</c:v>
                </c:pt>
                <c:pt idx="2">
                  <c:v>-0.57463433558824872</c:v>
                </c:pt>
                <c:pt idx="3">
                  <c:v>1.8085807340728097</c:v>
                </c:pt>
                <c:pt idx="4">
                  <c:v>0.91584880445412908</c:v>
                </c:pt>
                <c:pt idx="5">
                  <c:v>0.66860369572466505</c:v>
                </c:pt>
                <c:pt idx="6">
                  <c:v>-1.5736478906912501</c:v>
                </c:pt>
                <c:pt idx="7">
                  <c:v>-2.0771500306216089</c:v>
                </c:pt>
                <c:pt idx="8">
                  <c:v>2.4159623458993353</c:v>
                </c:pt>
                <c:pt idx="9">
                  <c:v>4.4035123965182708</c:v>
                </c:pt>
                <c:pt idx="10">
                  <c:v>6.5480200971506584</c:v>
                </c:pt>
                <c:pt idx="11">
                  <c:v>5.6378094597142576</c:v>
                </c:pt>
                <c:pt idx="12">
                  <c:v>1.66367360988091</c:v>
                </c:pt>
                <c:pt idx="13">
                  <c:v>1.6515628174459902</c:v>
                </c:pt>
                <c:pt idx="14">
                  <c:v>-5.5502917501831096E-2</c:v>
                </c:pt>
                <c:pt idx="15">
                  <c:v>6.5762458860385592E-2</c:v>
                </c:pt>
                <c:pt idx="16">
                  <c:v>-1.2616451655868002</c:v>
                </c:pt>
                <c:pt idx="17">
                  <c:v>-2.8528368774620554</c:v>
                </c:pt>
                <c:pt idx="18">
                  <c:v>-2.5754704023920887</c:v>
                </c:pt>
                <c:pt idx="19">
                  <c:v>-6.4408780291043231</c:v>
                </c:pt>
                <c:pt idx="20">
                  <c:v>-3.4020366369121477</c:v>
                </c:pt>
              </c:numCache>
            </c:numRef>
          </c:val>
          <c:extLst>
            <c:ext xmlns:c16="http://schemas.microsoft.com/office/drawing/2014/chart" uri="{C3380CC4-5D6E-409C-BE32-E72D297353CC}">
              <c16:uniqueId val="{00000001-BB37-4A99-8930-61D4F50AA8BE}"/>
            </c:ext>
          </c:extLst>
        </c:ser>
        <c:ser>
          <c:idx val="3"/>
          <c:order val="3"/>
          <c:tx>
            <c:strRef>
              <c:f>'souhrnná výkonnost 3'!$G$5</c:f>
              <c:strCache>
                <c:ptCount val="1"/>
                <c:pt idx="0">
                  <c:v>Tvorba hrubého fixního kapitálu</c:v>
                </c:pt>
              </c:strCache>
            </c:strRef>
          </c:tx>
          <c:spPr>
            <a:solidFill>
              <a:srgbClr val="BD1B21"/>
            </a:solidFill>
            <a:ln>
              <a:noFill/>
            </a:ln>
          </c:spPr>
          <c:invertIfNegative val="0"/>
          <c:cat>
            <c:multiLvlStrRef>
              <c:f>'souhrnná výkonnost 3'!$A$10:$B$30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'souhrnná výkonnost 3'!$G$10:$G$30</c:f>
              <c:numCache>
                <c:formatCode>#\ ##0.0</c:formatCode>
                <c:ptCount val="21"/>
                <c:pt idx="0">
                  <c:v>1.6664742572861313</c:v>
                </c:pt>
                <c:pt idx="1">
                  <c:v>1.1031620490038367</c:v>
                </c:pt>
                <c:pt idx="2">
                  <c:v>0.60351051109238796</c:v>
                </c:pt>
                <c:pt idx="3">
                  <c:v>0.61015699901503451</c:v>
                </c:pt>
                <c:pt idx="4">
                  <c:v>-0.18505385313730394</c:v>
                </c:pt>
                <c:pt idx="5">
                  <c:v>0.26545371936590556</c:v>
                </c:pt>
                <c:pt idx="6">
                  <c:v>-1.1365453004257857</c:v>
                </c:pt>
                <c:pt idx="7">
                  <c:v>-1.5484962788918575</c:v>
                </c:pt>
                <c:pt idx="8">
                  <c:v>-1.1386301164844839</c:v>
                </c:pt>
                <c:pt idx="9">
                  <c:v>-1.6478950671691954</c:v>
                </c:pt>
                <c:pt idx="10">
                  <c:v>0.35561087195381591</c:v>
                </c:pt>
                <c:pt idx="11">
                  <c:v>0.78646457641002898</c:v>
                </c:pt>
                <c:pt idx="12">
                  <c:v>1.2338325442745059</c:v>
                </c:pt>
                <c:pt idx="13">
                  <c:v>0.96635851731017153</c:v>
                </c:pt>
                <c:pt idx="14">
                  <c:v>8.5689625638113137E-2</c:v>
                </c:pt>
                <c:pt idx="15">
                  <c:v>5.5976859249671732E-2</c:v>
                </c:pt>
                <c:pt idx="16">
                  <c:v>0.14741911011969738</c:v>
                </c:pt>
                <c:pt idx="17">
                  <c:v>1.4308653621511438</c:v>
                </c:pt>
                <c:pt idx="18">
                  <c:v>1.6303384399622385</c:v>
                </c:pt>
                <c:pt idx="19">
                  <c:v>2.1832206256074622</c:v>
                </c:pt>
                <c:pt idx="20">
                  <c:v>-0.41291092242655325</c:v>
                </c:pt>
              </c:numCache>
            </c:numRef>
          </c:val>
          <c:extLst>
            <c:ext xmlns:c16="http://schemas.microsoft.com/office/drawing/2014/chart" uri="{C3380CC4-5D6E-409C-BE32-E72D297353CC}">
              <c16:uniqueId val="{00000002-BB37-4A99-8930-61D4F50AA8BE}"/>
            </c:ext>
          </c:extLst>
        </c:ser>
        <c:ser>
          <c:idx val="5"/>
          <c:order val="4"/>
          <c:tx>
            <c:strRef>
              <c:f>'souhrnná výkonnost 3'!$D$5</c:f>
              <c:strCache>
                <c:ptCount val="1"/>
                <c:pt idx="0">
                  <c:v>Výdaje na konečnou spotřebu domácností (vč. nezisk. inst.)</c:v>
                </c:pt>
              </c:strCache>
            </c:strRef>
          </c:tx>
          <c:spPr>
            <a:solidFill>
              <a:srgbClr val="0071BC"/>
            </a:solidFill>
            <a:ln>
              <a:noFill/>
            </a:ln>
          </c:spPr>
          <c:invertIfNegative val="0"/>
          <c:cat>
            <c:multiLvlStrRef>
              <c:f>'souhrnná výkonnost 3'!$A$10:$B$30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'souhrnná výkonnost 3'!$D$10:$D$30</c:f>
              <c:numCache>
                <c:formatCode>#\ ##0.0</c:formatCode>
                <c:ptCount val="21"/>
                <c:pt idx="0">
                  <c:v>0.89975778114159266</c:v>
                </c:pt>
                <c:pt idx="1">
                  <c:v>1.2410325032352096</c:v>
                </c:pt>
                <c:pt idx="2">
                  <c:v>0.94788645941574889</c:v>
                </c:pt>
                <c:pt idx="3">
                  <c:v>1.3125840520821432</c:v>
                </c:pt>
                <c:pt idx="4">
                  <c:v>-1.0446704916645397</c:v>
                </c:pt>
                <c:pt idx="5">
                  <c:v>-3.3401453756905828</c:v>
                </c:pt>
                <c:pt idx="6">
                  <c:v>-1.8238505965980329</c:v>
                </c:pt>
                <c:pt idx="7">
                  <c:v>-4.3451439574225974</c:v>
                </c:pt>
                <c:pt idx="8">
                  <c:v>-2.8838668819945754</c:v>
                </c:pt>
                <c:pt idx="9">
                  <c:v>1.9930858902923905</c:v>
                </c:pt>
                <c:pt idx="10">
                  <c:v>1.7335129439561139</c:v>
                </c:pt>
                <c:pt idx="11">
                  <c:v>3.2860285615183655</c:v>
                </c:pt>
                <c:pt idx="12">
                  <c:v>3.1431953453358585</c:v>
                </c:pt>
                <c:pt idx="13">
                  <c:v>-0.17331027307381178</c:v>
                </c:pt>
                <c:pt idx="14">
                  <c:v>-2.5959848207229488</c:v>
                </c:pt>
                <c:pt idx="15">
                  <c:v>-2.8794774139667449</c:v>
                </c:pt>
                <c:pt idx="16">
                  <c:v>-2.6527671485963777</c:v>
                </c:pt>
                <c:pt idx="17">
                  <c:v>-1.7309941273993767</c:v>
                </c:pt>
                <c:pt idx="18">
                  <c:v>-0.68427362432101668</c:v>
                </c:pt>
                <c:pt idx="19">
                  <c:v>0.35888053158271438</c:v>
                </c:pt>
                <c:pt idx="20">
                  <c:v>1.2163294271508243</c:v>
                </c:pt>
              </c:numCache>
            </c:numRef>
          </c:val>
          <c:extLst>
            <c:ext xmlns:c16="http://schemas.microsoft.com/office/drawing/2014/chart" uri="{C3380CC4-5D6E-409C-BE32-E72D297353CC}">
              <c16:uniqueId val="{00000003-BB37-4A99-8930-61D4F50AA8BE}"/>
            </c:ext>
          </c:extLst>
        </c:ser>
        <c:ser>
          <c:idx val="4"/>
          <c:order val="5"/>
          <c:tx>
            <c:strRef>
              <c:f>'souhrnná výkonnost 3'!$E$5</c:f>
              <c:strCache>
                <c:ptCount val="1"/>
                <c:pt idx="0">
                  <c:v>Výdaje na konečnou spotřebu vládních institucí</c:v>
                </c:pt>
              </c:strCache>
            </c:strRef>
          </c:tx>
          <c:spPr>
            <a:solidFill>
              <a:srgbClr val="A6CDE8"/>
            </a:solidFill>
            <a:ln>
              <a:noFill/>
            </a:ln>
          </c:spPr>
          <c:invertIfNegative val="0"/>
          <c:cat>
            <c:multiLvlStrRef>
              <c:f>'souhrnná výkonnost 3'!$A$10:$B$30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'souhrnná výkonnost 3'!$E$10:$E$30</c:f>
              <c:numCache>
                <c:formatCode>#\ ##0.0</c:formatCode>
                <c:ptCount val="21"/>
                <c:pt idx="0">
                  <c:v>0.42281243223978315</c:v>
                </c:pt>
                <c:pt idx="1">
                  <c:v>0.54406400829840962</c:v>
                </c:pt>
                <c:pt idx="2">
                  <c:v>0.56781285164264683</c:v>
                </c:pt>
                <c:pt idx="3">
                  <c:v>0.18039196202538715</c:v>
                </c:pt>
                <c:pt idx="4">
                  <c:v>0.86345208967516851</c:v>
                </c:pt>
                <c:pt idx="5">
                  <c:v>0.63518061172427243</c:v>
                </c:pt>
                <c:pt idx="6">
                  <c:v>0.30945908783825082</c:v>
                </c:pt>
                <c:pt idx="7">
                  <c:v>1.3407546216216213</c:v>
                </c:pt>
                <c:pt idx="8">
                  <c:v>-8.5095004004240485E-2</c:v>
                </c:pt>
                <c:pt idx="9">
                  <c:v>-5.3280721089043984E-2</c:v>
                </c:pt>
                <c:pt idx="10">
                  <c:v>0.99915273207784439</c:v>
                </c:pt>
                <c:pt idx="11">
                  <c:v>6.858536278325067E-2</c:v>
                </c:pt>
                <c:pt idx="12">
                  <c:v>0.33474456586805579</c:v>
                </c:pt>
                <c:pt idx="13">
                  <c:v>0.33166297678408879</c:v>
                </c:pt>
                <c:pt idx="14">
                  <c:v>-0.3964114496966355</c:v>
                </c:pt>
                <c:pt idx="15">
                  <c:v>-0.10453692828037314</c:v>
                </c:pt>
                <c:pt idx="16">
                  <c:v>0.6094029891580155</c:v>
                </c:pt>
                <c:pt idx="17">
                  <c:v>0.71279437267448587</c:v>
                </c:pt>
                <c:pt idx="18">
                  <c:v>0.75031849900769143</c:v>
                </c:pt>
                <c:pt idx="19">
                  <c:v>0.80362172490372163</c:v>
                </c:pt>
                <c:pt idx="20">
                  <c:v>0.72849337631032252</c:v>
                </c:pt>
              </c:numCache>
            </c:numRef>
          </c:val>
          <c:extLst>
            <c:ext xmlns:c16="http://schemas.microsoft.com/office/drawing/2014/chart" uri="{C3380CC4-5D6E-409C-BE32-E72D297353CC}">
              <c16:uniqueId val="{00000004-BB37-4A99-8930-61D4F50AA8BE}"/>
            </c:ext>
          </c:extLst>
        </c:ser>
        <c:dLbls>
          <c:showLegendKey val="0"/>
          <c:showVal val="0"/>
          <c:showCatName val="0"/>
          <c:showSerName val="0"/>
          <c:showPercent val="0"/>
          <c:showBubbleSize val="0"/>
        </c:dLbls>
        <c:gapWidth val="90"/>
        <c:overlap val="100"/>
        <c:axId val="81914496"/>
        <c:axId val="81928576"/>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'souhrnná výkonnost 3'!$C$10:$C$30</c:f>
              <c:numCache>
                <c:formatCode>#\ ##0.0</c:formatCode>
                <c:ptCount val="21"/>
                <c:pt idx="0">
                  <c:v>2.9925808638806188</c:v>
                </c:pt>
                <c:pt idx="1">
                  <c:v>3.0577465249692599</c:v>
                </c:pt>
                <c:pt idx="2">
                  <c:v>3.0222812889930282</c:v>
                </c:pt>
                <c:pt idx="3">
                  <c:v>2.7919056462255591</c:v>
                </c:pt>
                <c:pt idx="4">
                  <c:v>-1.4738194413261563</c:v>
                </c:pt>
                <c:pt idx="5">
                  <c:v>-10.802865399708741</c:v>
                </c:pt>
                <c:pt idx="6">
                  <c:v>-5.2167494638705882</c:v>
                </c:pt>
                <c:pt idx="7">
                  <c:v>-4.5664750245340713</c:v>
                </c:pt>
                <c:pt idx="8">
                  <c:v>-1.9186323159540564</c:v>
                </c:pt>
                <c:pt idx="9">
                  <c:v>9.1792931219514671</c:v>
                </c:pt>
                <c:pt idx="10">
                  <c:v>3.8209037046074186</c:v>
                </c:pt>
                <c:pt idx="11">
                  <c:v>3.4133373401856786</c:v>
                </c:pt>
                <c:pt idx="12">
                  <c:v>4.6717018578752887</c:v>
                </c:pt>
                <c:pt idx="13">
                  <c:v>3.3523790889560274</c:v>
                </c:pt>
                <c:pt idx="14">
                  <c:v>1.3390063821799454</c:v>
                </c:pt>
                <c:pt idx="15">
                  <c:v>0.14560017314614981</c:v>
                </c:pt>
                <c:pt idx="16">
                  <c:v>-0.17456103917992047</c:v>
                </c:pt>
                <c:pt idx="17">
                  <c:v>-7.2870527853069716E-2</c:v>
                </c:pt>
                <c:pt idx="18">
                  <c:v>-0.63332409688631253</c:v>
                </c:pt>
                <c:pt idx="19">
                  <c:v>0.16972065612222317</c:v>
                </c:pt>
                <c:pt idx="20">
                  <c:v>0.23328067245131479</c:v>
                </c:pt>
              </c:numCache>
            </c:numRef>
          </c:val>
          <c:smooth val="0"/>
          <c:extLst>
            <c:ext xmlns:c16="http://schemas.microsoft.com/office/drawing/2014/chart" uri="{C3380CC4-5D6E-409C-BE32-E72D297353CC}">
              <c16:uniqueId val="{00000005-BB37-4A99-8930-61D4F50AA8BE}"/>
            </c:ext>
          </c:extLst>
        </c:ser>
        <c:dLbls>
          <c:showLegendKey val="0"/>
          <c:showVal val="0"/>
          <c:showCatName val="0"/>
          <c:showSerName val="0"/>
          <c:showPercent val="0"/>
          <c:showBubbleSize val="0"/>
        </c:dLbls>
        <c:marker val="1"/>
        <c:smooth val="0"/>
        <c:axId val="81914496"/>
        <c:axId val="81928576"/>
      </c:lineChart>
      <c:catAx>
        <c:axId val="81914496"/>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81928576"/>
        <c:crosses val="autoZero"/>
        <c:auto val="1"/>
        <c:lblAlgn val="ctr"/>
        <c:lblOffset val="100"/>
        <c:noMultiLvlLbl val="0"/>
      </c:catAx>
      <c:valAx>
        <c:axId val="81928576"/>
        <c:scaling>
          <c:orientation val="minMax"/>
          <c:max val="12"/>
          <c:min val="-14"/>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81914496"/>
        <c:crosses val="autoZero"/>
        <c:crossBetween val="between"/>
        <c:majorUnit val="2"/>
      </c:valAx>
      <c:spPr>
        <a:ln>
          <a:solidFill>
            <a:schemeClr val="tx1"/>
          </a:solidFill>
        </a:ln>
      </c:spPr>
    </c:plotArea>
    <c:legend>
      <c:legendPos val="b"/>
      <c:layout>
        <c:manualLayout>
          <c:xMode val="edge"/>
          <c:yMode val="edge"/>
          <c:x val="4.7571766295170556E-2"/>
          <c:y val="0.81445992344928542"/>
          <c:w val="0.94432624113475172"/>
          <c:h val="0.17481734774287974"/>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75E-2"/>
          <c:y val="2.9499886988623544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4'!$C$10:$C$30</c:f>
              <c:numCache>
                <c:formatCode>#\ ##0.0</c:formatCode>
                <c:ptCount val="21"/>
                <c:pt idx="0">
                  <c:v>7.3815312527439711E-2</c:v>
                </c:pt>
                <c:pt idx="1">
                  <c:v>8.6198359198018534E-2</c:v>
                </c:pt>
                <c:pt idx="2">
                  <c:v>0.10932770534860803</c:v>
                </c:pt>
                <c:pt idx="3">
                  <c:v>0.13255154938774669</c:v>
                </c:pt>
                <c:pt idx="4">
                  <c:v>0.21545052259669259</c:v>
                </c:pt>
                <c:pt idx="5">
                  <c:v>0.23619938628539741</c:v>
                </c:pt>
                <c:pt idx="6">
                  <c:v>0.24181149955858292</c:v>
                </c:pt>
                <c:pt idx="7">
                  <c:v>0.21681429221385648</c:v>
                </c:pt>
                <c:pt idx="8">
                  <c:v>-0.19657363835640351</c:v>
                </c:pt>
                <c:pt idx="9">
                  <c:v>-0.34178536991297304</c:v>
                </c:pt>
                <c:pt idx="10">
                  <c:v>-0.37570182006417735</c:v>
                </c:pt>
                <c:pt idx="11">
                  <c:v>-0.37221295215760836</c:v>
                </c:pt>
                <c:pt idx="12">
                  <c:v>-0.16024994199083403</c:v>
                </c:pt>
                <c:pt idx="13">
                  <c:v>-0.1348895007486515</c:v>
                </c:pt>
                <c:pt idx="14">
                  <c:v>-0.14283428657456573</c:v>
                </c:pt>
                <c:pt idx="15">
                  <c:v>-0.23201691445676575</c:v>
                </c:pt>
                <c:pt idx="16">
                  <c:v>-4.7793204605234466E-2</c:v>
                </c:pt>
                <c:pt idx="17">
                  <c:v>9.5926827664336587E-4</c:v>
                </c:pt>
                <c:pt idx="18">
                  <c:v>7.338388766002543E-3</c:v>
                </c:pt>
                <c:pt idx="19">
                  <c:v>4.5760391381960933E-2</c:v>
                </c:pt>
                <c:pt idx="20">
                  <c:v>-1.0050705230215791E-2</c:v>
                </c:pt>
              </c:numCache>
            </c:numRef>
          </c:val>
          <c:extLst>
            <c:ext xmlns:c16="http://schemas.microsoft.com/office/drawing/2014/chart" uri="{C3380CC4-5D6E-409C-BE32-E72D297353CC}">
              <c16:uniqueId val="{00000000-FB7A-45BE-954A-4BB3E480BFBE}"/>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4'!$D$10:$D$30</c:f>
              <c:numCache>
                <c:formatCode>#\ ##0.0</c:formatCode>
                <c:ptCount val="21"/>
                <c:pt idx="0">
                  <c:v>0.79394406110374971</c:v>
                </c:pt>
                <c:pt idx="1">
                  <c:v>1.3559231668786855</c:v>
                </c:pt>
                <c:pt idx="2">
                  <c:v>1.3631060989469754</c:v>
                </c:pt>
                <c:pt idx="3">
                  <c:v>0.99560862159706953</c:v>
                </c:pt>
                <c:pt idx="4">
                  <c:v>-1.1680575231725148</c:v>
                </c:pt>
                <c:pt idx="5">
                  <c:v>-5.8896682937773646</c:v>
                </c:pt>
                <c:pt idx="6">
                  <c:v>-2.5137505183360016</c:v>
                </c:pt>
                <c:pt idx="7">
                  <c:v>-1.8978845716379917</c:v>
                </c:pt>
                <c:pt idx="8">
                  <c:v>0.17537901886028953</c:v>
                </c:pt>
                <c:pt idx="9">
                  <c:v>4.9740222929440314</c:v>
                </c:pt>
                <c:pt idx="10">
                  <c:v>0.20509799209873475</c:v>
                </c:pt>
                <c:pt idx="11">
                  <c:v>-0.48173040936348782</c:v>
                </c:pt>
                <c:pt idx="12">
                  <c:v>0.85159758765533644</c:v>
                </c:pt>
                <c:pt idx="13">
                  <c:v>1.2307885998185149</c:v>
                </c:pt>
                <c:pt idx="14">
                  <c:v>2.1461150458361149</c:v>
                </c:pt>
                <c:pt idx="15">
                  <c:v>2.7410411788756215</c:v>
                </c:pt>
                <c:pt idx="16">
                  <c:v>0.95275650370504783</c:v>
                </c:pt>
                <c:pt idx="17">
                  <c:v>0.63400828085218652</c:v>
                </c:pt>
                <c:pt idx="18">
                  <c:v>3.2263387061711696E-2</c:v>
                </c:pt>
                <c:pt idx="19">
                  <c:v>0.2287246375306948</c:v>
                </c:pt>
                <c:pt idx="20">
                  <c:v>-0.10000123775869012</c:v>
                </c:pt>
              </c:numCache>
            </c:numRef>
          </c:val>
          <c:extLst>
            <c:ext xmlns:c16="http://schemas.microsoft.com/office/drawing/2014/chart" uri="{C3380CC4-5D6E-409C-BE32-E72D297353CC}">
              <c16:uniqueId val="{00000001-FB7A-45BE-954A-4BB3E480BFBE}"/>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4'!$E$10:$E$30</c:f>
              <c:numCache>
                <c:formatCode>General</c:formatCode>
                <c:ptCount val="21"/>
                <c:pt idx="0">
                  <c:v>-0.22319978862492373</c:v>
                </c:pt>
                <c:pt idx="1">
                  <c:v>-0.42608130827198065</c:v>
                </c:pt>
                <c:pt idx="2">
                  <c:v>-0.6332241662231014</c:v>
                </c:pt>
                <c:pt idx="3">
                  <c:v>-0.47005936665406056</c:v>
                </c:pt>
                <c:pt idx="4">
                  <c:v>-0.39879519059346102</c:v>
                </c:pt>
                <c:pt idx="5">
                  <c:v>-0.29594961815162701</c:v>
                </c:pt>
                <c:pt idx="6">
                  <c:v>3.6558427102720184E-2</c:v>
                </c:pt>
                <c:pt idx="7">
                  <c:v>0.49474509851361503</c:v>
                </c:pt>
                <c:pt idx="8">
                  <c:v>0.10268524637411167</c:v>
                </c:pt>
                <c:pt idx="9">
                  <c:v>0.15208374901925303</c:v>
                </c:pt>
                <c:pt idx="10">
                  <c:v>-8.3157118283756229E-2</c:v>
                </c:pt>
                <c:pt idx="11">
                  <c:v>-0.23038326613496624</c:v>
                </c:pt>
                <c:pt idx="12">
                  <c:v>-1.0092291186249662</c:v>
                </c:pt>
                <c:pt idx="13">
                  <c:v>-1.070606669046922</c:v>
                </c:pt>
                <c:pt idx="14">
                  <c:v>-1.1188599277095892</c:v>
                </c:pt>
                <c:pt idx="15">
                  <c:v>-1.7296091090525767</c:v>
                </c:pt>
                <c:pt idx="16">
                  <c:v>-0.45742131367380484</c:v>
                </c:pt>
                <c:pt idx="17">
                  <c:v>-0.56083307111069081</c:v>
                </c:pt>
                <c:pt idx="18">
                  <c:v>-0.36973044744887446</c:v>
                </c:pt>
                <c:pt idx="19">
                  <c:v>-0.30010666575866279</c:v>
                </c:pt>
                <c:pt idx="20">
                  <c:v>-0.30954141428273024</c:v>
                </c:pt>
              </c:numCache>
            </c:numRef>
          </c:val>
          <c:extLst>
            <c:ext xmlns:c16="http://schemas.microsoft.com/office/drawing/2014/chart" uri="{C3380CC4-5D6E-409C-BE32-E72D297353CC}">
              <c16:uniqueId val="{00000002-FB7A-45BE-954A-4BB3E480BFBE}"/>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4'!$F$10:$F$30</c:f>
              <c:numCache>
                <c:formatCode>#\ ##0.0</c:formatCode>
                <c:ptCount val="21"/>
                <c:pt idx="0">
                  <c:v>-0.15414075128507621</c:v>
                </c:pt>
                <c:pt idx="1">
                  <c:v>-4.3532590886408505E-2</c:v>
                </c:pt>
                <c:pt idx="2">
                  <c:v>-0.10941238277351643</c:v>
                </c:pt>
                <c:pt idx="3">
                  <c:v>-9.8598207180954342E-2</c:v>
                </c:pt>
                <c:pt idx="4">
                  <c:v>-0.3387537202870835</c:v>
                </c:pt>
                <c:pt idx="5">
                  <c:v>-0.70304287917967101</c:v>
                </c:pt>
                <c:pt idx="6">
                  <c:v>-0.6319415303218574</c:v>
                </c:pt>
                <c:pt idx="7">
                  <c:v>-0.61557506939559192</c:v>
                </c:pt>
                <c:pt idx="8">
                  <c:v>-0.50618553672420052</c:v>
                </c:pt>
                <c:pt idx="9">
                  <c:v>-8.0324212744330645E-2</c:v>
                </c:pt>
                <c:pt idx="10">
                  <c:v>-5.5314929764280858E-3</c:v>
                </c:pt>
                <c:pt idx="11">
                  <c:v>-4.5147882953895054E-2</c:v>
                </c:pt>
                <c:pt idx="12">
                  <c:v>-7.8468253982660843E-2</c:v>
                </c:pt>
                <c:pt idx="13">
                  <c:v>-0.27249270071163328</c:v>
                </c:pt>
                <c:pt idx="14">
                  <c:v>-0.4979668111830588</c:v>
                </c:pt>
                <c:pt idx="15">
                  <c:v>-0.50184742807966842</c:v>
                </c:pt>
                <c:pt idx="16">
                  <c:v>-0.20648680946514253</c:v>
                </c:pt>
                <c:pt idx="17">
                  <c:v>-9.4080911030092848E-2</c:v>
                </c:pt>
                <c:pt idx="18">
                  <c:v>4.8105915091616665E-2</c:v>
                </c:pt>
                <c:pt idx="19">
                  <c:v>-6.0933117708330112E-2</c:v>
                </c:pt>
                <c:pt idx="20">
                  <c:v>-0.23160910194688183</c:v>
                </c:pt>
              </c:numCache>
            </c:numRef>
          </c:val>
          <c:extLst>
            <c:ext xmlns:c16="http://schemas.microsoft.com/office/drawing/2014/chart" uri="{C3380CC4-5D6E-409C-BE32-E72D297353CC}">
              <c16:uniqueId val="{00000003-FB7A-45BE-954A-4BB3E480BFBE}"/>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4'!$G$10:$G$30</c:f>
              <c:numCache>
                <c:formatCode>General</c:formatCode>
                <c:ptCount val="21"/>
                <c:pt idx="0">
                  <c:v>2.4822220084523607</c:v>
                </c:pt>
                <c:pt idx="1">
                  <c:v>2.1921234953504332</c:v>
                </c:pt>
                <c:pt idx="2">
                  <c:v>2.1636986023312033</c:v>
                </c:pt>
                <c:pt idx="3">
                  <c:v>2.1557420268059597</c:v>
                </c:pt>
                <c:pt idx="4">
                  <c:v>0.58107492482466538</c:v>
                </c:pt>
                <c:pt idx="5">
                  <c:v>-4.340075475656417</c:v>
                </c:pt>
                <c:pt idx="6">
                  <c:v>-1.9966606979356536</c:v>
                </c:pt>
                <c:pt idx="7">
                  <c:v>-2.3417286799070345</c:v>
                </c:pt>
                <c:pt idx="8">
                  <c:v>-1.4413683522936223</c:v>
                </c:pt>
                <c:pt idx="9">
                  <c:v>4.6756952859719902</c:v>
                </c:pt>
                <c:pt idx="10">
                  <c:v>3.758749287293734</c:v>
                </c:pt>
                <c:pt idx="11">
                  <c:v>4.1104404660252234</c:v>
                </c:pt>
                <c:pt idx="12">
                  <c:v>4.4139152173834848</c:v>
                </c:pt>
                <c:pt idx="13">
                  <c:v>3.4505548666596657</c:v>
                </c:pt>
                <c:pt idx="14">
                  <c:v>1.0064324877757442</c:v>
                </c:pt>
                <c:pt idx="15">
                  <c:v>0.54868681977957845</c:v>
                </c:pt>
                <c:pt idx="16">
                  <c:v>0.81169488295623793</c:v>
                </c:pt>
                <c:pt idx="17">
                  <c:v>0.44220446410719083</c:v>
                </c:pt>
                <c:pt idx="18">
                  <c:v>0.34611988522088094</c:v>
                </c:pt>
                <c:pt idx="19">
                  <c:v>-2.7866513898269954E-2</c:v>
                </c:pt>
                <c:pt idx="20">
                  <c:v>-7.8432775197590635E-2</c:v>
                </c:pt>
              </c:numCache>
            </c:numRef>
          </c:val>
          <c:extLst>
            <c:ext xmlns:c16="http://schemas.microsoft.com/office/drawing/2014/chart" uri="{C3380CC4-5D6E-409C-BE32-E72D297353CC}">
              <c16:uniqueId val="{00000004-FB7A-45BE-954A-4BB3E480BFBE}"/>
            </c:ext>
          </c:extLst>
        </c:ser>
        <c:dLbls>
          <c:showLegendKey val="0"/>
          <c:showVal val="0"/>
          <c:showCatName val="0"/>
          <c:showSerName val="0"/>
          <c:showPercent val="0"/>
          <c:showBubbleSize val="0"/>
        </c:dLbls>
        <c:gapWidth val="70"/>
        <c:overlap val="100"/>
        <c:axId val="82154240"/>
        <c:axId val="82155776"/>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4'!$A$10:$B$30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'souhrnná výkonnost 4'!$H$10:$H$30</c:f>
              <c:numCache>
                <c:formatCode>#\ ##0.0</c:formatCode>
                <c:ptCount val="21"/>
                <c:pt idx="0">
                  <c:v>2.9726357886500532</c:v>
                </c:pt>
                <c:pt idx="1">
                  <c:v>3.1648414337946056</c:v>
                </c:pt>
                <c:pt idx="2">
                  <c:v>2.8935535187896448</c:v>
                </c:pt>
                <c:pt idx="3">
                  <c:v>2.7150260301270781</c:v>
                </c:pt>
                <c:pt idx="4">
                  <c:v>-1.1091532796304051</c:v>
                </c:pt>
                <c:pt idx="5">
                  <c:v>-10.992463627261648</c:v>
                </c:pt>
                <c:pt idx="6">
                  <c:v>-4.8638909795719876</c:v>
                </c:pt>
                <c:pt idx="7">
                  <c:v>-4.1436644792680095</c:v>
                </c:pt>
                <c:pt idx="8">
                  <c:v>-1.8659927600573805</c:v>
                </c:pt>
                <c:pt idx="9">
                  <c:v>9.3795330142279685</c:v>
                </c:pt>
                <c:pt idx="10">
                  <c:v>3.4995046714904281</c:v>
                </c:pt>
                <c:pt idx="11">
                  <c:v>2.9809101848340589</c:v>
                </c:pt>
                <c:pt idx="12">
                  <c:v>4.0174034994919054</c:v>
                </c:pt>
                <c:pt idx="13">
                  <c:v>3.2033033043370418</c:v>
                </c:pt>
                <c:pt idx="14">
                  <c:v>1.3928723627336272</c:v>
                </c:pt>
                <c:pt idx="15">
                  <c:v>0.82683172544186334</c:v>
                </c:pt>
                <c:pt idx="16">
                  <c:v>1.0530268877326132</c:v>
                </c:pt>
                <c:pt idx="17">
                  <c:v>0.42244477614430331</c:v>
                </c:pt>
                <c:pt idx="18">
                  <c:v>6.4129453098345834E-2</c:v>
                </c:pt>
                <c:pt idx="19">
                  <c:v>-0.1150584277178552</c:v>
                </c:pt>
                <c:pt idx="20">
                  <c:v>-0.72968595197282582</c:v>
                </c:pt>
              </c:numCache>
            </c:numRef>
          </c:val>
          <c:smooth val="0"/>
          <c:extLst>
            <c:ext xmlns:c16="http://schemas.microsoft.com/office/drawing/2014/chart" uri="{C3380CC4-5D6E-409C-BE32-E72D297353CC}">
              <c16:uniqueId val="{00000005-FB7A-45BE-954A-4BB3E480BFBE}"/>
            </c:ext>
          </c:extLst>
        </c:ser>
        <c:dLbls>
          <c:showLegendKey val="0"/>
          <c:showVal val="0"/>
          <c:showCatName val="0"/>
          <c:showSerName val="0"/>
          <c:showPercent val="0"/>
          <c:showBubbleSize val="0"/>
        </c:dLbls>
        <c:marker val="1"/>
        <c:smooth val="0"/>
        <c:axId val="82154240"/>
        <c:axId val="82155776"/>
      </c:lineChart>
      <c:catAx>
        <c:axId val="82154240"/>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82155776"/>
        <c:crosses val="autoZero"/>
        <c:auto val="1"/>
        <c:lblAlgn val="ctr"/>
        <c:lblOffset val="100"/>
        <c:noMultiLvlLbl val="0"/>
      </c:catAx>
      <c:valAx>
        <c:axId val="82155776"/>
        <c:scaling>
          <c:orientation val="minMax"/>
          <c:max val="10"/>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82154240"/>
        <c:crosses val="autoZero"/>
        <c:crossBetween val="between"/>
        <c:majorUnit val="2"/>
      </c:valAx>
      <c:spPr>
        <a:ln>
          <a:solidFill>
            <a:schemeClr val="tx1"/>
          </a:solidFill>
        </a:ln>
      </c:spPr>
    </c:plotArea>
    <c:legend>
      <c:legendPos val="b"/>
      <c:layout>
        <c:manualLayout>
          <c:xMode val="edge"/>
          <c:yMode val="edge"/>
          <c:x val="5.4144292468760548E-2"/>
          <c:y val="0.79016604750647301"/>
          <c:w val="0.92386482607227283"/>
          <c:h val="0.1946248452099493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10992424025109E-2"/>
          <c:y val="1.5804777005479883E-2"/>
          <c:w val="0.84419102795189604"/>
          <c:h val="0.69135712481071787"/>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IPP'!$R$27:$BB$27</c:f>
              <c:numCache>
                <c:formatCode>0.0</c:formatCode>
                <c:ptCount val="37"/>
                <c:pt idx="0">
                  <c:v>1.5407194734870255</c:v>
                </c:pt>
                <c:pt idx="1">
                  <c:v>2.1725345808437702</c:v>
                </c:pt>
                <c:pt idx="2">
                  <c:v>2.3822280390891448</c:v>
                </c:pt>
                <c:pt idx="3">
                  <c:v>2.8679001700331122</c:v>
                </c:pt>
                <c:pt idx="4">
                  <c:v>3.3256782968034493</c:v>
                </c:pt>
                <c:pt idx="5">
                  <c:v>2.7078368205204262</c:v>
                </c:pt>
                <c:pt idx="6">
                  <c:v>1.4770884945722993</c:v>
                </c:pt>
                <c:pt idx="7">
                  <c:v>1.0297006290395898</c:v>
                </c:pt>
                <c:pt idx="8">
                  <c:v>1.7408920839398758</c:v>
                </c:pt>
                <c:pt idx="9">
                  <c:v>2.1378802528812955</c:v>
                </c:pt>
                <c:pt idx="10">
                  <c:v>1.5935135243788123</c:v>
                </c:pt>
                <c:pt idx="11">
                  <c:v>1.6791873092801741</c:v>
                </c:pt>
                <c:pt idx="12">
                  <c:v>0.75268647024158208</c:v>
                </c:pt>
                <c:pt idx="13">
                  <c:v>0.54211789515047693</c:v>
                </c:pt>
                <c:pt idx="14">
                  <c:v>0.2412757664797934</c:v>
                </c:pt>
                <c:pt idx="15">
                  <c:v>0.97863378627142228</c:v>
                </c:pt>
                <c:pt idx="16">
                  <c:v>-0.22605165522344217</c:v>
                </c:pt>
                <c:pt idx="17">
                  <c:v>0.44759183220264487</c:v>
                </c:pt>
                <c:pt idx="18">
                  <c:v>0.76878503294695499</c:v>
                </c:pt>
                <c:pt idx="19">
                  <c:v>-1.0091759236462892</c:v>
                </c:pt>
                <c:pt idx="20">
                  <c:v>-1.5334709251303915</c:v>
                </c:pt>
                <c:pt idx="21">
                  <c:v>-9.3844961095672357</c:v>
                </c:pt>
                <c:pt idx="22">
                  <c:v>-0.1831246423410012</c:v>
                </c:pt>
                <c:pt idx="23">
                  <c:v>2.063311660585506</c:v>
                </c:pt>
                <c:pt idx="24">
                  <c:v>1.8975892085619599</c:v>
                </c:pt>
                <c:pt idx="25">
                  <c:v>10.942229614625036</c:v>
                </c:pt>
                <c:pt idx="26">
                  <c:v>-3.7731049892010882</c:v>
                </c:pt>
                <c:pt idx="27">
                  <c:v>-3.2535308042579607</c:v>
                </c:pt>
                <c:pt idx="28">
                  <c:v>-1.9125458057863218</c:v>
                </c:pt>
                <c:pt idx="29">
                  <c:v>9.5447744662069345E-2</c:v>
                </c:pt>
                <c:pt idx="30">
                  <c:v>5.6019908887957355</c:v>
                </c:pt>
                <c:pt idx="31">
                  <c:v>4.0134216834581737</c:v>
                </c:pt>
                <c:pt idx="32">
                  <c:v>5.2536005580152167</c:v>
                </c:pt>
                <c:pt idx="33">
                  <c:v>5.1114636387030394</c:v>
                </c:pt>
                <c:pt idx="34">
                  <c:v>1.3618952455796292</c:v>
                </c:pt>
                <c:pt idx="35">
                  <c:v>3.1901430933724066</c:v>
                </c:pt>
                <c:pt idx="36">
                  <c:v>0.47657471319902822</c:v>
                </c:pt>
              </c:numCache>
            </c:numRef>
          </c:val>
          <c:extLst>
            <c:ext xmlns:c16="http://schemas.microsoft.com/office/drawing/2014/chart" uri="{C3380CC4-5D6E-409C-BE32-E72D297353CC}">
              <c16:uniqueId val="{00000000-207E-4ED3-BFDF-E63E95A10C26}"/>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IPP'!$R$28:$BB$28</c:f>
              <c:numCache>
                <c:formatCode>0.0</c:formatCode>
                <c:ptCount val="37"/>
                <c:pt idx="0">
                  <c:v>1.032221461887816</c:v>
                </c:pt>
                <c:pt idx="1">
                  <c:v>1.2386415260436181</c:v>
                </c:pt>
                <c:pt idx="2">
                  <c:v>1.420477668288558</c:v>
                </c:pt>
                <c:pt idx="3">
                  <c:v>0.62919278136008572</c:v>
                </c:pt>
                <c:pt idx="4">
                  <c:v>0.8176750577912526</c:v>
                </c:pt>
                <c:pt idx="5">
                  <c:v>0.14129582168796428</c:v>
                </c:pt>
                <c:pt idx="6">
                  <c:v>0.27952572878212995</c:v>
                </c:pt>
                <c:pt idx="7">
                  <c:v>0.42980054252763089</c:v>
                </c:pt>
                <c:pt idx="8">
                  <c:v>0.79334952879496856</c:v>
                </c:pt>
                <c:pt idx="9">
                  <c:v>1.468356537050969</c:v>
                </c:pt>
                <c:pt idx="10">
                  <c:v>0.87390949425966191</c:v>
                </c:pt>
                <c:pt idx="11">
                  <c:v>1.6443688242107866</c:v>
                </c:pt>
                <c:pt idx="12">
                  <c:v>1.0040337375607471</c:v>
                </c:pt>
                <c:pt idx="13">
                  <c:v>0.32539256502015046</c:v>
                </c:pt>
                <c:pt idx="14">
                  <c:v>0.43133954445298106</c:v>
                </c:pt>
                <c:pt idx="15">
                  <c:v>-5.9899261699036185E-2</c:v>
                </c:pt>
                <c:pt idx="16">
                  <c:v>0.52608733581744827</c:v>
                </c:pt>
                <c:pt idx="17">
                  <c:v>0.44070570288166677</c:v>
                </c:pt>
                <c:pt idx="18">
                  <c:v>0.16703875787161093</c:v>
                </c:pt>
                <c:pt idx="19">
                  <c:v>0.41508771908448361</c:v>
                </c:pt>
                <c:pt idx="20">
                  <c:v>-0.55255281731107375</c:v>
                </c:pt>
                <c:pt idx="21">
                  <c:v>-4.0630399723550275</c:v>
                </c:pt>
                <c:pt idx="22">
                  <c:v>-0.43874587338548965</c:v>
                </c:pt>
                <c:pt idx="23">
                  <c:v>0.53060699318837923</c:v>
                </c:pt>
                <c:pt idx="24">
                  <c:v>0.71145935426482565</c:v>
                </c:pt>
                <c:pt idx="25">
                  <c:v>5.4849453443420373</c:v>
                </c:pt>
                <c:pt idx="26">
                  <c:v>0.6200954402047254</c:v>
                </c:pt>
                <c:pt idx="27">
                  <c:v>-0.42285126031126696</c:v>
                </c:pt>
                <c:pt idx="28">
                  <c:v>9.1493416828334312E-2</c:v>
                </c:pt>
                <c:pt idx="29">
                  <c:v>0.14020266448373039</c:v>
                </c:pt>
                <c:pt idx="30">
                  <c:v>0.54193889354627212</c:v>
                </c:pt>
                <c:pt idx="31">
                  <c:v>0.61065791996017993</c:v>
                </c:pt>
                <c:pt idx="32">
                  <c:v>0.25271742983599177</c:v>
                </c:pt>
                <c:pt idx="33">
                  <c:v>0.12055652014943052</c:v>
                </c:pt>
                <c:pt idx="34">
                  <c:v>-0.42571706492848188</c:v>
                </c:pt>
                <c:pt idx="35">
                  <c:v>2.1622941519747804E-2</c:v>
                </c:pt>
                <c:pt idx="36">
                  <c:v>0.16388221186793037</c:v>
                </c:pt>
              </c:numCache>
            </c:numRef>
          </c:val>
          <c:extLst>
            <c:ext xmlns:c16="http://schemas.microsoft.com/office/drawing/2014/chart" uri="{C3380CC4-5D6E-409C-BE32-E72D297353CC}">
              <c16:uniqueId val="{00000001-207E-4ED3-BFDF-E63E95A10C26}"/>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IPP'!$R$29:$BB$29</c:f>
              <c:numCache>
                <c:formatCode>0.0</c:formatCode>
                <c:ptCount val="37"/>
                <c:pt idx="0">
                  <c:v>0.27346966717109678</c:v>
                </c:pt>
                <c:pt idx="1">
                  <c:v>0.29320995735524713</c:v>
                </c:pt>
                <c:pt idx="2">
                  <c:v>0.38410423993096565</c:v>
                </c:pt>
                <c:pt idx="3">
                  <c:v>2.0725807050325215E-2</c:v>
                </c:pt>
                <c:pt idx="4">
                  <c:v>0.372528476032083</c:v>
                </c:pt>
                <c:pt idx="5">
                  <c:v>-9.2809853017947946E-2</c:v>
                </c:pt>
                <c:pt idx="6">
                  <c:v>0.20293953400612458</c:v>
                </c:pt>
                <c:pt idx="7">
                  <c:v>0.32005157357499653</c:v>
                </c:pt>
                <c:pt idx="8">
                  <c:v>0.3345178851347933</c:v>
                </c:pt>
                <c:pt idx="9">
                  <c:v>1.1003694908923236</c:v>
                </c:pt>
                <c:pt idx="10">
                  <c:v>0.85805445400541891</c:v>
                </c:pt>
                <c:pt idx="11">
                  <c:v>0.80055944660911216</c:v>
                </c:pt>
                <c:pt idx="12">
                  <c:v>0.48868169907415365</c:v>
                </c:pt>
                <c:pt idx="13">
                  <c:v>0.13868742792561017</c:v>
                </c:pt>
                <c:pt idx="14">
                  <c:v>0.18638853797251198</c:v>
                </c:pt>
                <c:pt idx="15">
                  <c:v>-0.2007167755198552</c:v>
                </c:pt>
                <c:pt idx="16">
                  <c:v>0.20262845642032357</c:v>
                </c:pt>
                <c:pt idx="17">
                  <c:v>-9.1482438382697023E-3</c:v>
                </c:pt>
                <c:pt idx="18">
                  <c:v>-0.32679366071086502</c:v>
                </c:pt>
                <c:pt idx="19">
                  <c:v>-0.14957125605699451</c:v>
                </c:pt>
                <c:pt idx="20">
                  <c:v>-0.70724520963209925</c:v>
                </c:pt>
                <c:pt idx="21">
                  <c:v>-2.1308377913469632</c:v>
                </c:pt>
                <c:pt idx="22">
                  <c:v>-0.80170960293340698</c:v>
                </c:pt>
                <c:pt idx="23">
                  <c:v>-0.54797142039304891</c:v>
                </c:pt>
                <c:pt idx="24">
                  <c:v>7.0850055204653054E-2</c:v>
                </c:pt>
                <c:pt idx="25">
                  <c:v>2.0598150661116326</c:v>
                </c:pt>
                <c:pt idx="26">
                  <c:v>0.54732740156649295</c:v>
                </c:pt>
                <c:pt idx="27">
                  <c:v>0.28187017007306125</c:v>
                </c:pt>
                <c:pt idx="28">
                  <c:v>0.35832508124582979</c:v>
                </c:pt>
                <c:pt idx="29">
                  <c:v>9.1653825182652679E-2</c:v>
                </c:pt>
                <c:pt idx="30">
                  <c:v>0.48964765301851315</c:v>
                </c:pt>
                <c:pt idx="31">
                  <c:v>0.65392427024919231</c:v>
                </c:pt>
                <c:pt idx="32">
                  <c:v>0.47439541914594863</c:v>
                </c:pt>
                <c:pt idx="33">
                  <c:v>0.39139167102075106</c:v>
                </c:pt>
                <c:pt idx="34">
                  <c:v>-0.58039125250365575</c:v>
                </c:pt>
                <c:pt idx="35">
                  <c:v>-0.75561598264437591</c:v>
                </c:pt>
                <c:pt idx="36">
                  <c:v>-1.0737197103041776</c:v>
                </c:pt>
              </c:numCache>
            </c:numRef>
          </c:val>
          <c:extLst>
            <c:ext xmlns:c16="http://schemas.microsoft.com/office/drawing/2014/chart" uri="{C3380CC4-5D6E-409C-BE32-E72D297353CC}">
              <c16:uniqueId val="{00000002-207E-4ED3-BFDF-E63E95A10C26}"/>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IPP'!$R$30:$BB$30</c:f>
              <c:numCache>
                <c:formatCode>0.0</c:formatCode>
                <c:ptCount val="37"/>
                <c:pt idx="0">
                  <c:v>0.69488451852266253</c:v>
                </c:pt>
                <c:pt idx="1">
                  <c:v>0.78494764780669868</c:v>
                </c:pt>
                <c:pt idx="2">
                  <c:v>0.99085589155838893</c:v>
                </c:pt>
                <c:pt idx="3">
                  <c:v>0.60110426817331475</c:v>
                </c:pt>
                <c:pt idx="4">
                  <c:v>0.81011316513160248</c:v>
                </c:pt>
                <c:pt idx="5">
                  <c:v>0.36137817304287084</c:v>
                </c:pt>
                <c:pt idx="6">
                  <c:v>0.23174116441034237</c:v>
                </c:pt>
                <c:pt idx="7">
                  <c:v>0.25113007311661406</c:v>
                </c:pt>
                <c:pt idx="8">
                  <c:v>0.3867636142374955</c:v>
                </c:pt>
                <c:pt idx="9">
                  <c:v>0.9516635576529936</c:v>
                </c:pt>
                <c:pt idx="10">
                  <c:v>0.86091550298549147</c:v>
                </c:pt>
                <c:pt idx="11">
                  <c:v>0.96020285266505634</c:v>
                </c:pt>
                <c:pt idx="12">
                  <c:v>0.67147421279246455</c:v>
                </c:pt>
                <c:pt idx="13">
                  <c:v>0.46338675111775551</c:v>
                </c:pt>
                <c:pt idx="14">
                  <c:v>0.40465307945227347</c:v>
                </c:pt>
                <c:pt idx="15">
                  <c:v>0.13991647838864771</c:v>
                </c:pt>
                <c:pt idx="16">
                  <c:v>0.23284119938910916</c:v>
                </c:pt>
                <c:pt idx="17">
                  <c:v>-2.3018109664658176E-3</c:v>
                </c:pt>
                <c:pt idx="18">
                  <c:v>-0.27902616348258946</c:v>
                </c:pt>
                <c:pt idx="19">
                  <c:v>-0.28921256974210474</c:v>
                </c:pt>
                <c:pt idx="20">
                  <c:v>-0.59705730498174459</c:v>
                </c:pt>
                <c:pt idx="21">
                  <c:v>-2.0768472147616701</c:v>
                </c:pt>
                <c:pt idx="22">
                  <c:v>-0.62165835195312158</c:v>
                </c:pt>
                <c:pt idx="23">
                  <c:v>4.6612538102893238E-2</c:v>
                </c:pt>
                <c:pt idx="24">
                  <c:v>0.4319844451866508</c:v>
                </c:pt>
                <c:pt idx="25">
                  <c:v>2.9892153039365739</c:v>
                </c:pt>
                <c:pt idx="26">
                  <c:v>0.80117841210531193</c:v>
                </c:pt>
                <c:pt idx="27">
                  <c:v>1.7463387937825803E-2</c:v>
                </c:pt>
                <c:pt idx="28">
                  <c:v>0.22598481032929496</c:v>
                </c:pt>
                <c:pt idx="29">
                  <c:v>-0.40391403937362497</c:v>
                </c:pt>
                <c:pt idx="30">
                  <c:v>-0.31530952555716074</c:v>
                </c:pt>
                <c:pt idx="31">
                  <c:v>-0.21505799769140807</c:v>
                </c:pt>
                <c:pt idx="32">
                  <c:v>-0.35405207260318489</c:v>
                </c:pt>
                <c:pt idx="33">
                  <c:v>-9.6885897827817993E-2</c:v>
                </c:pt>
                <c:pt idx="34">
                  <c:v>-0.20936242560906071</c:v>
                </c:pt>
                <c:pt idx="35">
                  <c:v>-0.27619740847507079</c:v>
                </c:pt>
                <c:pt idx="36">
                  <c:v>-0.12374498067741994</c:v>
                </c:pt>
              </c:numCache>
            </c:numRef>
          </c:val>
          <c:extLst>
            <c:ext xmlns:c16="http://schemas.microsoft.com/office/drawing/2014/chart" uri="{C3380CC4-5D6E-409C-BE32-E72D297353CC}">
              <c16:uniqueId val="{00000003-207E-4ED3-BFDF-E63E95A10C26}"/>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IPP'!$R$31:$BB$31</c:f>
              <c:numCache>
                <c:formatCode>0.0</c:formatCode>
                <c:ptCount val="37"/>
                <c:pt idx="0">
                  <c:v>0.10274789516452391</c:v>
                </c:pt>
                <c:pt idx="1">
                  <c:v>1.662402365188002E-2</c:v>
                </c:pt>
                <c:pt idx="2">
                  <c:v>3.1029768728409974E-2</c:v>
                </c:pt>
                <c:pt idx="3">
                  <c:v>-6.717825999350098E-2</c:v>
                </c:pt>
                <c:pt idx="4">
                  <c:v>-9.0690116406333E-3</c:v>
                </c:pt>
                <c:pt idx="5">
                  <c:v>6.8577664711048647E-2</c:v>
                </c:pt>
                <c:pt idx="6">
                  <c:v>4.7878835623817097E-2</c:v>
                </c:pt>
                <c:pt idx="7">
                  <c:v>0.16200567329703569</c:v>
                </c:pt>
                <c:pt idx="8">
                  <c:v>0.15179600191335671</c:v>
                </c:pt>
                <c:pt idx="9">
                  <c:v>0.35040742405813124</c:v>
                </c:pt>
                <c:pt idx="10">
                  <c:v>0.22701547985990303</c:v>
                </c:pt>
                <c:pt idx="11">
                  <c:v>0.2348330670563378</c:v>
                </c:pt>
                <c:pt idx="12">
                  <c:v>0.38575845909308681</c:v>
                </c:pt>
                <c:pt idx="13">
                  <c:v>0.15854795634304461</c:v>
                </c:pt>
                <c:pt idx="14">
                  <c:v>0.63604123808561286</c:v>
                </c:pt>
                <c:pt idx="15">
                  <c:v>0.31697220129361126</c:v>
                </c:pt>
                <c:pt idx="16">
                  <c:v>-0.10335857004416713</c:v>
                </c:pt>
                <c:pt idx="17">
                  <c:v>-3.5698176267711802E-2</c:v>
                </c:pt>
                <c:pt idx="18">
                  <c:v>-0.60934912550064069</c:v>
                </c:pt>
                <c:pt idx="19">
                  <c:v>-0.36411768299392072</c:v>
                </c:pt>
                <c:pt idx="20">
                  <c:v>-0.10137007799813925</c:v>
                </c:pt>
                <c:pt idx="21">
                  <c:v>-0.31920945262277456</c:v>
                </c:pt>
                <c:pt idx="22">
                  <c:v>3.1049160053994822E-2</c:v>
                </c:pt>
                <c:pt idx="23">
                  <c:v>2.2349038466741196E-2</c:v>
                </c:pt>
                <c:pt idx="24">
                  <c:v>0.12974311148891404</c:v>
                </c:pt>
                <c:pt idx="25">
                  <c:v>0.21647002151163339</c:v>
                </c:pt>
                <c:pt idx="26">
                  <c:v>0.19205806664585173</c:v>
                </c:pt>
                <c:pt idx="27">
                  <c:v>-0.23628033126313622</c:v>
                </c:pt>
                <c:pt idx="28">
                  <c:v>2.5262432705383888E-2</c:v>
                </c:pt>
                <c:pt idx="29">
                  <c:v>-1.8781509562062017E-2</c:v>
                </c:pt>
                <c:pt idx="30">
                  <c:v>5.9957016296618391E-2</c:v>
                </c:pt>
                <c:pt idx="31">
                  <c:v>0.43275534414748684</c:v>
                </c:pt>
                <c:pt idx="32">
                  <c:v>0.14797572480386773</c:v>
                </c:pt>
                <c:pt idx="33">
                  <c:v>8.3419533160410703E-2</c:v>
                </c:pt>
                <c:pt idx="34">
                  <c:v>-7.2085015188834881E-2</c:v>
                </c:pt>
                <c:pt idx="35">
                  <c:v>-6.5736974006284837E-2</c:v>
                </c:pt>
                <c:pt idx="36">
                  <c:v>-7.713948223146988E-2</c:v>
                </c:pt>
              </c:numCache>
            </c:numRef>
          </c:val>
          <c:extLst>
            <c:ext xmlns:c16="http://schemas.microsoft.com/office/drawing/2014/chart" uri="{C3380CC4-5D6E-409C-BE32-E72D297353CC}">
              <c16:uniqueId val="{00000004-207E-4ED3-BFDF-E63E95A10C26}"/>
            </c:ext>
          </c:extLst>
        </c:ser>
        <c:ser>
          <c:idx val="5"/>
          <c:order val="5"/>
          <c:tx>
            <c:strRef>
              <c:f>'GRAF příspěvky IPP'!$A$32</c:f>
              <c:strCache>
                <c:ptCount val="1"/>
                <c:pt idx="0">
                  <c:v>Chemický a farmaceutický pr. (20, 21)</c:v>
                </c:pt>
              </c:strCache>
            </c:strRef>
          </c:tx>
          <c:spPr>
            <a:solidFill>
              <a:srgbClr val="F8A124"/>
            </a:solidFill>
            <a:ln>
              <a:noFill/>
            </a:ln>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IPP'!$R$32:$BB$32</c:f>
              <c:numCache>
                <c:formatCode>0.0</c:formatCode>
                <c:ptCount val="37"/>
                <c:pt idx="0">
                  <c:v>7.7157547125760104E-2</c:v>
                </c:pt>
                <c:pt idx="1">
                  <c:v>0.23593755110737852</c:v>
                </c:pt>
                <c:pt idx="2">
                  <c:v>-0.16353071050900625</c:v>
                </c:pt>
                <c:pt idx="3">
                  <c:v>-0.33446774192767026</c:v>
                </c:pt>
                <c:pt idx="4">
                  <c:v>-0.41480189964943365</c:v>
                </c:pt>
                <c:pt idx="5">
                  <c:v>-0.43289982593467752</c:v>
                </c:pt>
                <c:pt idx="6">
                  <c:v>-0.10551739291405744</c:v>
                </c:pt>
                <c:pt idx="7">
                  <c:v>0.2371774762583484</c:v>
                </c:pt>
                <c:pt idx="8">
                  <c:v>0.51439307947726942</c:v>
                </c:pt>
                <c:pt idx="9">
                  <c:v>0.83289717197907565</c:v>
                </c:pt>
                <c:pt idx="10">
                  <c:v>0.65310318202327955</c:v>
                </c:pt>
                <c:pt idx="11">
                  <c:v>0.50440121167449603</c:v>
                </c:pt>
                <c:pt idx="12">
                  <c:v>0.40911320927322647</c:v>
                </c:pt>
                <c:pt idx="13">
                  <c:v>7.7633111380155342E-2</c:v>
                </c:pt>
                <c:pt idx="14">
                  <c:v>-5.3190732776962672E-2</c:v>
                </c:pt>
                <c:pt idx="15">
                  <c:v>-7.1103221110709894E-2</c:v>
                </c:pt>
                <c:pt idx="16">
                  <c:v>9.3101613350728946E-2</c:v>
                </c:pt>
                <c:pt idx="17">
                  <c:v>6.1474211824515332E-2</c:v>
                </c:pt>
                <c:pt idx="18">
                  <c:v>0.22296841421878966</c:v>
                </c:pt>
                <c:pt idx="19">
                  <c:v>3.2130190492489406E-2</c:v>
                </c:pt>
                <c:pt idx="20">
                  <c:v>-3.621647961695014E-2</c:v>
                </c:pt>
                <c:pt idx="21">
                  <c:v>-0.57135666895590287</c:v>
                </c:pt>
                <c:pt idx="22">
                  <c:v>-0.22076865898667292</c:v>
                </c:pt>
                <c:pt idx="23">
                  <c:v>0.42176753383241739</c:v>
                </c:pt>
                <c:pt idx="24">
                  <c:v>0.28428412011687426</c:v>
                </c:pt>
                <c:pt idx="25">
                  <c:v>0.82249631111331634</c:v>
                </c:pt>
                <c:pt idx="26">
                  <c:v>0.32027597160186988</c:v>
                </c:pt>
                <c:pt idx="27">
                  <c:v>8.7321622360171866E-2</c:v>
                </c:pt>
                <c:pt idx="28">
                  <c:v>0.24814976114220252</c:v>
                </c:pt>
                <c:pt idx="29">
                  <c:v>0.15906491022417341</c:v>
                </c:pt>
                <c:pt idx="30">
                  <c:v>-9.9156705361591671E-2</c:v>
                </c:pt>
                <c:pt idx="31">
                  <c:v>-0.29033612507975698</c:v>
                </c:pt>
                <c:pt idx="32">
                  <c:v>-0.60093194811787243</c:v>
                </c:pt>
                <c:pt idx="33">
                  <c:v>-0.17634605689268532</c:v>
                </c:pt>
                <c:pt idx="34">
                  <c:v>-7.3142262120512405E-2</c:v>
                </c:pt>
                <c:pt idx="35">
                  <c:v>-0.1259526950379603</c:v>
                </c:pt>
                <c:pt idx="36">
                  <c:v>0.29458874621208692</c:v>
                </c:pt>
              </c:numCache>
            </c:numRef>
          </c:val>
          <c:extLst>
            <c:ext xmlns:c16="http://schemas.microsoft.com/office/drawing/2014/chart" uri="{C3380CC4-5D6E-409C-BE32-E72D297353CC}">
              <c16:uniqueId val="{00000005-207E-4ED3-BFDF-E63E95A10C26}"/>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IPP'!$R$33:$BB$33</c:f>
              <c:numCache>
                <c:formatCode>0.0</c:formatCode>
                <c:ptCount val="37"/>
                <c:pt idx="0">
                  <c:v>0.98443956746970951</c:v>
                </c:pt>
                <c:pt idx="1">
                  <c:v>0.89749369767930187</c:v>
                </c:pt>
                <c:pt idx="2">
                  <c:v>1.0110169889951346</c:v>
                </c:pt>
                <c:pt idx="3">
                  <c:v>-0.20272196687510721</c:v>
                </c:pt>
                <c:pt idx="4">
                  <c:v>-0.44835386658683196</c:v>
                </c:pt>
                <c:pt idx="5">
                  <c:v>-1.152802202071034</c:v>
                </c:pt>
                <c:pt idx="6">
                  <c:v>-0.37213437720535197</c:v>
                </c:pt>
                <c:pt idx="7">
                  <c:v>0.44554477386112845</c:v>
                </c:pt>
                <c:pt idx="8">
                  <c:v>-0.13802711444318688</c:v>
                </c:pt>
                <c:pt idx="9">
                  <c:v>1.4520150527939979</c:v>
                </c:pt>
                <c:pt idx="10">
                  <c:v>0.65687676657012073</c:v>
                </c:pt>
                <c:pt idx="11">
                  <c:v>0.76186639439852788</c:v>
                </c:pt>
                <c:pt idx="12">
                  <c:v>1.176883894072402</c:v>
                </c:pt>
                <c:pt idx="13">
                  <c:v>0.73260991135089992</c:v>
                </c:pt>
                <c:pt idx="14">
                  <c:v>1.1309843102453638</c:v>
                </c:pt>
                <c:pt idx="15">
                  <c:v>0.15993804771029119</c:v>
                </c:pt>
                <c:pt idx="16">
                  <c:v>-0.32185268974320186</c:v>
                </c:pt>
                <c:pt idx="17">
                  <c:v>-0.30512916964802866</c:v>
                </c:pt>
                <c:pt idx="18">
                  <c:v>-0.97407463154620055</c:v>
                </c:pt>
                <c:pt idx="19">
                  <c:v>-3.9701171551173579E-2</c:v>
                </c:pt>
                <c:pt idx="20">
                  <c:v>0.31377104389497601</c:v>
                </c:pt>
                <c:pt idx="21">
                  <c:v>-1.6010940767108719</c:v>
                </c:pt>
                <c:pt idx="22">
                  <c:v>-5.0886354263985399E-3</c:v>
                </c:pt>
                <c:pt idx="23">
                  <c:v>-0.12175513984550239</c:v>
                </c:pt>
                <c:pt idx="24">
                  <c:v>-3.1638995156202418E-3</c:v>
                </c:pt>
                <c:pt idx="25">
                  <c:v>3.2167948172937182</c:v>
                </c:pt>
                <c:pt idx="26">
                  <c:v>1.5234912910635305</c:v>
                </c:pt>
                <c:pt idx="27">
                  <c:v>1.1688525155242717</c:v>
                </c:pt>
                <c:pt idx="28">
                  <c:v>1.6920805243412145</c:v>
                </c:pt>
                <c:pt idx="29">
                  <c:v>0.27354297809238481</c:v>
                </c:pt>
                <c:pt idx="30">
                  <c:v>-1.6648320957606075</c:v>
                </c:pt>
                <c:pt idx="31">
                  <c:v>-1.5228438332672201</c:v>
                </c:pt>
                <c:pt idx="32">
                  <c:v>-3.3940030825327261</c:v>
                </c:pt>
                <c:pt idx="33">
                  <c:v>-3.5344501144492479</c:v>
                </c:pt>
                <c:pt idx="34">
                  <c:v>-1.8218492123826791</c:v>
                </c:pt>
                <c:pt idx="35">
                  <c:v>-1.6413975162711503</c:v>
                </c:pt>
                <c:pt idx="36">
                  <c:v>0.21142498860045189</c:v>
                </c:pt>
              </c:numCache>
            </c:numRef>
          </c:val>
          <c:extLst>
            <c:ext xmlns:c16="http://schemas.microsoft.com/office/drawing/2014/chart" uri="{C3380CC4-5D6E-409C-BE32-E72D297353CC}">
              <c16:uniqueId val="{00000006-207E-4ED3-BFDF-E63E95A10C26}"/>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IPP'!$R$34:$BB$34</c:f>
              <c:numCache>
                <c:formatCode>0.0</c:formatCode>
                <c:ptCount val="37"/>
                <c:pt idx="0">
                  <c:v>0.14402037647140781</c:v>
                </c:pt>
                <c:pt idx="1">
                  <c:v>-0.33675824148789973</c:v>
                </c:pt>
                <c:pt idx="2">
                  <c:v>-0.39689357548159232</c:v>
                </c:pt>
                <c:pt idx="3">
                  <c:v>-1.1136308902205638</c:v>
                </c:pt>
                <c:pt idx="4">
                  <c:v>-0.66026658968149066</c:v>
                </c:pt>
                <c:pt idx="5">
                  <c:v>6.6763502761356674E-2</c:v>
                </c:pt>
                <c:pt idx="6">
                  <c:v>-0.46574952767530176</c:v>
                </c:pt>
                <c:pt idx="7">
                  <c:v>0.47124206252466228</c:v>
                </c:pt>
                <c:pt idx="8">
                  <c:v>0.68579685044543426</c:v>
                </c:pt>
                <c:pt idx="9">
                  <c:v>-0.21786071250878586</c:v>
                </c:pt>
                <c:pt idx="10">
                  <c:v>0.74762012671732325</c:v>
                </c:pt>
                <c:pt idx="11">
                  <c:v>0.67922569430551683</c:v>
                </c:pt>
                <c:pt idx="12">
                  <c:v>-0.54241645010765405</c:v>
                </c:pt>
                <c:pt idx="13">
                  <c:v>-1.863152788088867E-3</c:v>
                </c:pt>
                <c:pt idx="14">
                  <c:v>0.78670127678843205</c:v>
                </c:pt>
                <c:pt idx="15">
                  <c:v>0.32960713526562896</c:v>
                </c:pt>
                <c:pt idx="16">
                  <c:v>6.8904910133199104E-2</c:v>
                </c:pt>
                <c:pt idx="17">
                  <c:v>0.12170682001164364</c:v>
                </c:pt>
                <c:pt idx="18">
                  <c:v>-0.51098167239705861</c:v>
                </c:pt>
                <c:pt idx="19">
                  <c:v>-0.36784640528649576</c:v>
                </c:pt>
                <c:pt idx="20">
                  <c:v>-1.0379724863245818</c:v>
                </c:pt>
                <c:pt idx="21">
                  <c:v>-1.6383292853795699</c:v>
                </c:pt>
                <c:pt idx="22">
                  <c:v>-0.82494325172790051</c:v>
                </c:pt>
                <c:pt idx="23">
                  <c:v>-0.74239007583737793</c:v>
                </c:pt>
                <c:pt idx="24">
                  <c:v>0.59158556249174721</c:v>
                </c:pt>
                <c:pt idx="25">
                  <c:v>0.52574532126604923</c:v>
                </c:pt>
                <c:pt idx="26">
                  <c:v>0.31417492451330681</c:v>
                </c:pt>
                <c:pt idx="27">
                  <c:v>0.81673244983703652</c:v>
                </c:pt>
                <c:pt idx="28">
                  <c:v>-0.20930722480594041</c:v>
                </c:pt>
                <c:pt idx="29">
                  <c:v>0.2426199257906809</c:v>
                </c:pt>
                <c:pt idx="30">
                  <c:v>0.41437274042222205</c:v>
                </c:pt>
                <c:pt idx="31">
                  <c:v>-1.2875007654766373</c:v>
                </c:pt>
                <c:pt idx="32">
                  <c:v>-1.3048253110472499</c:v>
                </c:pt>
                <c:pt idx="33">
                  <c:v>-1.5779992607638804</c:v>
                </c:pt>
                <c:pt idx="34">
                  <c:v>-1.6272504326464061</c:v>
                </c:pt>
                <c:pt idx="35">
                  <c:v>-1.1082452978573198</c:v>
                </c:pt>
                <c:pt idx="36">
                  <c:v>-0.77433108176642651</c:v>
                </c:pt>
              </c:numCache>
            </c:numRef>
          </c:val>
          <c:extLst>
            <c:ext xmlns:c16="http://schemas.microsoft.com/office/drawing/2014/chart" uri="{C3380CC4-5D6E-409C-BE32-E72D297353CC}">
              <c16:uniqueId val="{00000007-207E-4ED3-BFDF-E63E95A10C26}"/>
            </c:ext>
          </c:extLst>
        </c:ser>
        <c:dLbls>
          <c:showLegendKey val="0"/>
          <c:showVal val="0"/>
          <c:showCatName val="0"/>
          <c:showSerName val="0"/>
          <c:showPercent val="0"/>
          <c:showBubbleSize val="0"/>
        </c:dLbls>
        <c:gapWidth val="15"/>
        <c:overlap val="100"/>
        <c:axId val="81684352"/>
        <c:axId val="81685888"/>
      </c:barChart>
      <c:lineChart>
        <c:grouping val="standard"/>
        <c:varyColors val="0"/>
        <c:ser>
          <c:idx val="8"/>
          <c:order val="8"/>
          <c:tx>
            <c:strRef>
              <c:f>'GRAF příspěvky IPP'!$A$35</c:f>
              <c:strCache>
                <c:ptCount val="1"/>
                <c:pt idx="0">
                  <c:v>Průmysl celkem (NACE B až D)</c:v>
                </c:pt>
              </c:strCache>
            </c:strRef>
          </c:tx>
          <c:spPr>
            <a:ln w="19050">
              <a:noFill/>
            </a:ln>
          </c:spPr>
          <c:marker>
            <c:symbol val="circle"/>
            <c:size val="4"/>
            <c:spPr>
              <a:solidFill>
                <a:srgbClr val="FFFF00"/>
              </a:solidFill>
              <a:ln>
                <a:solidFill>
                  <a:schemeClr val="tx1">
                    <a:lumMod val="95000"/>
                    <a:lumOff val="5000"/>
                  </a:schemeClr>
                </a:solidFill>
              </a:ln>
            </c:spPr>
          </c:marker>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IPP'!$R$35:$BB$35</c:f>
              <c:numCache>
                <c:formatCode>0.0</c:formatCode>
                <c:ptCount val="37"/>
                <c:pt idx="0">
                  <c:v>4.8496605073000012</c:v>
                </c:pt>
                <c:pt idx="1">
                  <c:v>5.3026307429999946</c:v>
                </c:pt>
                <c:pt idx="2">
                  <c:v>5.6592883106000054</c:v>
                </c:pt>
                <c:pt idx="3">
                  <c:v>2.4009241675999986</c:v>
                </c:pt>
                <c:pt idx="4">
                  <c:v>3.7935036282000012</c:v>
                </c:pt>
                <c:pt idx="5">
                  <c:v>1.6673401017000069</c:v>
                </c:pt>
                <c:pt idx="6">
                  <c:v>1.295772459600002</c:v>
                </c:pt>
                <c:pt idx="7">
                  <c:v>3.3466528042000019</c:v>
                </c:pt>
                <c:pt idx="8">
                  <c:v>4.4694819295000059</c:v>
                </c:pt>
                <c:pt idx="9">
                  <c:v>8.0757287748</c:v>
                </c:pt>
                <c:pt idx="10">
                  <c:v>6.4710085308000096</c:v>
                </c:pt>
                <c:pt idx="11">
                  <c:v>7.2646448001999993</c:v>
                </c:pt>
                <c:pt idx="12">
                  <c:v>4.3462152320000058</c:v>
                </c:pt>
                <c:pt idx="13">
                  <c:v>2.4365124654999994</c:v>
                </c:pt>
                <c:pt idx="14">
                  <c:v>3.7641930207000081</c:v>
                </c:pt>
                <c:pt idx="15">
                  <c:v>1.5933483905999983</c:v>
                </c:pt>
                <c:pt idx="16">
                  <c:v>0.47230060009999902</c:v>
                </c:pt>
                <c:pt idx="17">
                  <c:v>0.71920116619999463</c:v>
                </c:pt>
                <c:pt idx="18">
                  <c:v>-1.5414330485999972</c:v>
                </c:pt>
                <c:pt idx="19">
                  <c:v>-1.7724070997000045</c:v>
                </c:pt>
                <c:pt idx="20">
                  <c:v>-4.2521142570999944</c:v>
                </c:pt>
                <c:pt idx="21">
                  <c:v>-21.785210571699977</c:v>
                </c:pt>
                <c:pt idx="22">
                  <c:v>-3.0649898566999978</c:v>
                </c:pt>
                <c:pt idx="23">
                  <c:v>1.6725311281000055</c:v>
                </c:pt>
                <c:pt idx="24">
                  <c:v>4.1143319577999984</c:v>
                </c:pt>
                <c:pt idx="25">
                  <c:v>26.257711800199989</c:v>
                </c:pt>
                <c:pt idx="26">
                  <c:v>0.54549651850000203</c:v>
                </c:pt>
                <c:pt idx="27">
                  <c:v>-1.540422250099992</c:v>
                </c:pt>
                <c:pt idx="28">
                  <c:v>0.51944299599999466</c:v>
                </c:pt>
                <c:pt idx="29">
                  <c:v>0.5798364995000046</c:v>
                </c:pt>
                <c:pt idx="30">
                  <c:v>5.0286088654000025</c:v>
                </c:pt>
                <c:pt idx="31">
                  <c:v>2.3950204963000039</c:v>
                </c:pt>
                <c:pt idx="32">
                  <c:v>0.47487671749999594</c:v>
                </c:pt>
                <c:pt idx="33">
                  <c:v>0.32115003309999707</c:v>
                </c:pt>
                <c:pt idx="34">
                  <c:v>-3.4479024198000001</c:v>
                </c:pt>
                <c:pt idx="35">
                  <c:v>-0.76137983940000786</c:v>
                </c:pt>
                <c:pt idx="36">
                  <c:v>-0.90246459509999921</c:v>
                </c:pt>
              </c:numCache>
            </c:numRef>
          </c:val>
          <c:smooth val="0"/>
          <c:extLst>
            <c:ext xmlns:c16="http://schemas.microsoft.com/office/drawing/2014/chart" uri="{C3380CC4-5D6E-409C-BE32-E72D297353CC}">
              <c16:uniqueId val="{00000008-207E-4ED3-BFDF-E63E95A10C26}"/>
            </c:ext>
          </c:extLst>
        </c:ser>
        <c:dLbls>
          <c:showLegendKey val="0"/>
          <c:showVal val="0"/>
          <c:showCatName val="0"/>
          <c:showSerName val="0"/>
          <c:showPercent val="0"/>
          <c:showBubbleSize val="0"/>
        </c:dLbls>
        <c:marker val="1"/>
        <c:smooth val="0"/>
        <c:axId val="81684352"/>
        <c:axId val="81685888"/>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IPP'!$R$36:$BB$36</c:f>
              <c:numCache>
                <c:formatCode>General</c:formatCode>
                <c:ptCount val="37"/>
              </c:numCache>
            </c:numRef>
          </c:val>
          <c:smooth val="0"/>
          <c:extLst>
            <c:ext xmlns:c16="http://schemas.microsoft.com/office/drawing/2014/chart" uri="{C3380CC4-5D6E-409C-BE32-E72D297353CC}">
              <c16:uniqueId val="{00000009-207E-4ED3-BFDF-E63E95A10C26}"/>
            </c:ext>
          </c:extLst>
        </c:ser>
        <c:ser>
          <c:idx val="10"/>
          <c:order val="10"/>
          <c:tx>
            <c:strRef>
              <c:f>'GRAF příspěvky IPP'!$A$37</c:f>
              <c:strCache>
                <c:ptCount val="1"/>
                <c:pt idx="0">
                  <c:v>Produkce, prům. v ČR celkem (2021=100)</c:v>
                </c:pt>
              </c:strCache>
            </c:strRef>
          </c:tx>
          <c:spPr>
            <a:ln w="15875">
              <a:solidFill>
                <a:schemeClr val="tx1">
                  <a:lumMod val="95000"/>
                  <a:lumOff val="5000"/>
                </a:schemeClr>
              </a:solidFill>
            </a:ln>
          </c:spPr>
          <c:marker>
            <c:symbol val="none"/>
          </c:marker>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IPP'!$R$37:$BB$37</c:f>
              <c:numCache>
                <c:formatCode>#\ ##0.##########</c:formatCode>
                <c:ptCount val="37"/>
                <c:pt idx="0">
                  <c:v>88.4</c:v>
                </c:pt>
                <c:pt idx="1">
                  <c:v>89.9</c:v>
                </c:pt>
                <c:pt idx="2">
                  <c:v>90.9</c:v>
                </c:pt>
                <c:pt idx="3">
                  <c:v>90.1</c:v>
                </c:pt>
                <c:pt idx="4">
                  <c:v>91.8</c:v>
                </c:pt>
                <c:pt idx="5">
                  <c:v>91.3</c:v>
                </c:pt>
                <c:pt idx="6" formatCode="#\ ##0.0">
                  <c:v>92</c:v>
                </c:pt>
                <c:pt idx="7">
                  <c:v>93.1</c:v>
                </c:pt>
                <c:pt idx="8">
                  <c:v>95.6</c:v>
                </c:pt>
                <c:pt idx="9">
                  <c:v>98.6</c:v>
                </c:pt>
                <c:pt idx="10">
                  <c:v>98.2</c:v>
                </c:pt>
                <c:pt idx="11">
                  <c:v>100.1</c:v>
                </c:pt>
                <c:pt idx="12">
                  <c:v>100.1</c:v>
                </c:pt>
                <c:pt idx="13">
                  <c:v>101.1</c:v>
                </c:pt>
                <c:pt idx="14">
                  <c:v>102</c:v>
                </c:pt>
                <c:pt idx="15">
                  <c:v>101.3</c:v>
                </c:pt>
                <c:pt idx="16">
                  <c:v>100.6</c:v>
                </c:pt>
                <c:pt idx="17" formatCode="#\ ##0.0">
                  <c:v>102.2</c:v>
                </c:pt>
                <c:pt idx="18">
                  <c:v>100.1</c:v>
                </c:pt>
                <c:pt idx="19" formatCode="#\ ##0.0">
                  <c:v>99.4</c:v>
                </c:pt>
                <c:pt idx="20">
                  <c:v>96.7</c:v>
                </c:pt>
                <c:pt idx="21">
                  <c:v>80.2</c:v>
                </c:pt>
                <c:pt idx="22">
                  <c:v>97</c:v>
                </c:pt>
                <c:pt idx="23">
                  <c:v>101.1</c:v>
                </c:pt>
                <c:pt idx="24">
                  <c:v>99.7</c:v>
                </c:pt>
                <c:pt idx="25">
                  <c:v>100.7</c:v>
                </c:pt>
                <c:pt idx="26">
                  <c:v>98.4</c:v>
                </c:pt>
                <c:pt idx="27">
                  <c:v>99</c:v>
                </c:pt>
                <c:pt idx="28">
                  <c:v>100.8</c:v>
                </c:pt>
                <c:pt idx="29">
                  <c:v>101.4</c:v>
                </c:pt>
                <c:pt idx="30">
                  <c:v>102.8</c:v>
                </c:pt>
                <c:pt idx="31">
                  <c:v>101.8</c:v>
                </c:pt>
                <c:pt idx="32" formatCode="General">
                  <c:v>101.5</c:v>
                </c:pt>
                <c:pt idx="33" formatCode="General">
                  <c:v>101.6</c:v>
                </c:pt>
                <c:pt idx="34" formatCode="General">
                  <c:v>99.2</c:v>
                </c:pt>
                <c:pt idx="35" formatCode="General">
                  <c:v>101.2</c:v>
                </c:pt>
                <c:pt idx="36" formatCode="General">
                  <c:v>100.5</c:v>
                </c:pt>
              </c:numCache>
            </c:numRef>
          </c:val>
          <c:smooth val="0"/>
          <c:extLst>
            <c:ext xmlns:c16="http://schemas.microsoft.com/office/drawing/2014/chart" uri="{C3380CC4-5D6E-409C-BE32-E72D297353CC}">
              <c16:uniqueId val="{0000000A-207E-4ED3-BFDF-E63E95A10C26}"/>
            </c:ext>
          </c:extLst>
        </c:ser>
        <c:ser>
          <c:idx val="11"/>
          <c:order val="11"/>
          <c:tx>
            <c:strRef>
              <c:f>'GRAF příspěvky IPP'!$A$38</c:f>
              <c:strCache>
                <c:ptCount val="1"/>
                <c:pt idx="0">
                  <c:v>Produkce, prům. v EU27 celkem (2021=100)</c:v>
                </c:pt>
              </c:strCache>
            </c:strRef>
          </c:tx>
          <c:spPr>
            <a:ln w="15875">
              <a:solidFill>
                <a:schemeClr val="tx1">
                  <a:lumMod val="50000"/>
                  <a:lumOff val="50000"/>
                </a:schemeClr>
              </a:solidFill>
              <a:prstDash val="sysDash"/>
            </a:ln>
          </c:spPr>
          <c:marker>
            <c:symbol val="none"/>
          </c:marker>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IPP'!$R$38:$BB$38</c:f>
              <c:numCache>
                <c:formatCode>#\ ##0.##########</c:formatCode>
                <c:ptCount val="37"/>
                <c:pt idx="0">
                  <c:v>92.9</c:v>
                </c:pt>
                <c:pt idx="1">
                  <c:v>93.8</c:v>
                </c:pt>
                <c:pt idx="2">
                  <c:v>94.1</c:v>
                </c:pt>
                <c:pt idx="3">
                  <c:v>93.9</c:v>
                </c:pt>
                <c:pt idx="4">
                  <c:v>95</c:v>
                </c:pt>
                <c:pt idx="5">
                  <c:v>94.9</c:v>
                </c:pt>
                <c:pt idx="6">
                  <c:v>95</c:v>
                </c:pt>
                <c:pt idx="7">
                  <c:v>96.1</c:v>
                </c:pt>
                <c:pt idx="8">
                  <c:v>96.3</c:v>
                </c:pt>
                <c:pt idx="9">
                  <c:v>97.5</c:v>
                </c:pt>
                <c:pt idx="10">
                  <c:v>98.8</c:v>
                </c:pt>
                <c:pt idx="11">
                  <c:v>100.6</c:v>
                </c:pt>
                <c:pt idx="12" formatCode="#\ ##0.0">
                  <c:v>99.2</c:v>
                </c:pt>
                <c:pt idx="13">
                  <c:v>99.8</c:v>
                </c:pt>
                <c:pt idx="14" formatCode="#\ ##0.0">
                  <c:v>99.5</c:v>
                </c:pt>
                <c:pt idx="15">
                  <c:v>99.2</c:v>
                </c:pt>
                <c:pt idx="16">
                  <c:v>99.6</c:v>
                </c:pt>
                <c:pt idx="17">
                  <c:v>99.4</c:v>
                </c:pt>
                <c:pt idx="18">
                  <c:v>98.7</c:v>
                </c:pt>
                <c:pt idx="19">
                  <c:v>97.9</c:v>
                </c:pt>
                <c:pt idx="20" formatCode="#\ ##0.0">
                  <c:v>95.2</c:v>
                </c:pt>
                <c:pt idx="21">
                  <c:v>80.400000000000006</c:v>
                </c:pt>
                <c:pt idx="22">
                  <c:v>93.5</c:v>
                </c:pt>
                <c:pt idx="23">
                  <c:v>98</c:v>
                </c:pt>
                <c:pt idx="24">
                  <c:v>99.6</c:v>
                </c:pt>
                <c:pt idx="25" formatCode="#\ ##0.0">
                  <c:v>99.5</c:v>
                </c:pt>
                <c:pt idx="26">
                  <c:v>99.7</c:v>
                </c:pt>
                <c:pt idx="27" formatCode="#\ ##0.0">
                  <c:v>101.1</c:v>
                </c:pt>
                <c:pt idx="28">
                  <c:v>102</c:v>
                </c:pt>
                <c:pt idx="29">
                  <c:v>102.1</c:v>
                </c:pt>
                <c:pt idx="30">
                  <c:v>104</c:v>
                </c:pt>
                <c:pt idx="31" formatCode="#\ ##0.0">
                  <c:v>102.7</c:v>
                </c:pt>
                <c:pt idx="32" formatCode="General">
                  <c:v>102.8</c:v>
                </c:pt>
                <c:pt idx="33" formatCode="General">
                  <c:v>101</c:v>
                </c:pt>
                <c:pt idx="34" formatCode="General">
                  <c:v>99.7</c:v>
                </c:pt>
                <c:pt idx="35" formatCode="General">
                  <c:v>99.9</c:v>
                </c:pt>
                <c:pt idx="36" formatCode="General">
                  <c:v>98.9</c:v>
                </c:pt>
              </c:numCache>
            </c:numRef>
          </c:val>
          <c:smooth val="0"/>
          <c:extLst>
            <c:ext xmlns:c16="http://schemas.microsoft.com/office/drawing/2014/chart" uri="{C3380CC4-5D6E-409C-BE32-E72D297353CC}">
              <c16:uniqueId val="{0000000B-207E-4ED3-BFDF-E63E95A10C26}"/>
            </c:ext>
          </c:extLst>
        </c:ser>
        <c:ser>
          <c:idx val="12"/>
          <c:order val="12"/>
          <c:tx>
            <c:strRef>
              <c:f>'GRAF příspěvky IPP'!$A$39</c:f>
              <c:strCache>
                <c:ptCount val="1"/>
                <c:pt idx="0">
                  <c:v>Produkce, prům. v Německu (2021=100)</c:v>
                </c:pt>
              </c:strCache>
            </c:strRef>
          </c:tx>
          <c:spPr>
            <a:ln w="15875">
              <a:solidFill>
                <a:srgbClr val="996633"/>
              </a:solidFill>
              <a:prstDash val="dash"/>
            </a:ln>
          </c:spPr>
          <c:marker>
            <c:symbol val="none"/>
          </c:marker>
          <c:cat>
            <c:multiLvlStrRef>
              <c:f>'GRAF příspěvky IPP'!$R$25:$BB$26</c:f>
              <c:multiLvlStrCache>
                <c:ptCount val="37"/>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'GRAF příspěvky IPP'!$R$39:$BB$39</c:f>
              <c:numCache>
                <c:formatCode>#\ ##0.##########</c:formatCode>
                <c:ptCount val="37"/>
                <c:pt idx="0">
                  <c:v>102.7</c:v>
                </c:pt>
                <c:pt idx="1">
                  <c:v>104</c:v>
                </c:pt>
                <c:pt idx="2">
                  <c:v>103.8</c:v>
                </c:pt>
                <c:pt idx="3">
                  <c:v>103.3</c:v>
                </c:pt>
                <c:pt idx="4">
                  <c:v>104.4</c:v>
                </c:pt>
                <c:pt idx="5">
                  <c:v>104</c:v>
                </c:pt>
                <c:pt idx="6">
                  <c:v>104.4</c:v>
                </c:pt>
                <c:pt idx="7">
                  <c:v>104.5</c:v>
                </c:pt>
                <c:pt idx="8" formatCode="#\ ##0.0">
                  <c:v>105</c:v>
                </c:pt>
                <c:pt idx="9">
                  <c:v>107</c:v>
                </c:pt>
                <c:pt idx="10">
                  <c:v>108.8</c:v>
                </c:pt>
                <c:pt idx="11">
                  <c:v>109.6</c:v>
                </c:pt>
                <c:pt idx="12">
                  <c:v>109</c:v>
                </c:pt>
                <c:pt idx="13" formatCode="#\ ##0.0">
                  <c:v>109.8</c:v>
                </c:pt>
                <c:pt idx="14">
                  <c:v>108.8</c:v>
                </c:pt>
                <c:pt idx="15">
                  <c:v>107.2</c:v>
                </c:pt>
                <c:pt idx="16">
                  <c:v>107</c:v>
                </c:pt>
                <c:pt idx="17" formatCode="#\ ##0.0">
                  <c:v>105.8</c:v>
                </c:pt>
                <c:pt idx="18">
                  <c:v>104.6</c:v>
                </c:pt>
                <c:pt idx="19">
                  <c:v>102.9</c:v>
                </c:pt>
                <c:pt idx="20" formatCode="#\ ##0.0">
                  <c:v>101.3</c:v>
                </c:pt>
                <c:pt idx="21">
                  <c:v>82.9</c:v>
                </c:pt>
                <c:pt idx="22">
                  <c:v>94.8</c:v>
                </c:pt>
                <c:pt idx="23">
                  <c:v>100.9</c:v>
                </c:pt>
                <c:pt idx="24">
                  <c:v>100.8</c:v>
                </c:pt>
                <c:pt idx="25">
                  <c:v>99.9</c:v>
                </c:pt>
                <c:pt idx="26">
                  <c:v>96.9</c:v>
                </c:pt>
                <c:pt idx="27">
                  <c:v>99.9</c:v>
                </c:pt>
                <c:pt idx="28">
                  <c:v>99.4</c:v>
                </c:pt>
                <c:pt idx="29" formatCode="#\ ##0.0">
                  <c:v>98.8</c:v>
                </c:pt>
                <c:pt idx="30">
                  <c:v>99.2</c:v>
                </c:pt>
                <c:pt idx="31">
                  <c:v>99</c:v>
                </c:pt>
                <c:pt idx="32" formatCode="General">
                  <c:v>100.1</c:v>
                </c:pt>
                <c:pt idx="33" formatCode="General">
                  <c:v>98.3</c:v>
                </c:pt>
                <c:pt idx="34" formatCode="General">
                  <c:v>95.8</c:v>
                </c:pt>
                <c:pt idx="35" formatCode="General">
                  <c:v>94.5</c:v>
                </c:pt>
                <c:pt idx="36" formatCode="General">
                  <c:v>94.6</c:v>
                </c:pt>
              </c:numCache>
            </c:numRef>
          </c:val>
          <c:smooth val="0"/>
          <c:extLst>
            <c:ext xmlns:c16="http://schemas.microsoft.com/office/drawing/2014/chart" uri="{C3380CC4-5D6E-409C-BE32-E72D297353CC}">
              <c16:uniqueId val="{0000000C-207E-4ED3-BFDF-E63E95A10C26}"/>
            </c:ext>
          </c:extLst>
        </c:ser>
        <c:dLbls>
          <c:showLegendKey val="0"/>
          <c:showVal val="0"/>
          <c:showCatName val="0"/>
          <c:showSerName val="0"/>
          <c:showPercent val="0"/>
          <c:showBubbleSize val="0"/>
        </c:dLbls>
        <c:marker val="1"/>
        <c:smooth val="0"/>
        <c:axId val="82184832"/>
        <c:axId val="82182912"/>
      </c:lineChart>
      <c:catAx>
        <c:axId val="81684352"/>
        <c:scaling>
          <c:orientation val="minMax"/>
        </c:scaling>
        <c:delete val="0"/>
        <c:axPos val="b"/>
        <c:numFmt formatCode="General" sourceLinked="1"/>
        <c:majorTickMark val="none"/>
        <c:minorTickMark val="none"/>
        <c:tickLblPos val="low"/>
        <c:txPr>
          <a:bodyPr/>
          <a:lstStyle/>
          <a:p>
            <a:pPr>
              <a:defRPr sz="800">
                <a:latin typeface="Arial" pitchFamily="34" charset="0"/>
                <a:cs typeface="Arial" pitchFamily="34" charset="0"/>
              </a:defRPr>
            </a:pPr>
            <a:endParaRPr lang="cs-CZ"/>
          </a:p>
        </c:txPr>
        <c:crossAx val="81685888"/>
        <c:crosses val="autoZero"/>
        <c:auto val="1"/>
        <c:lblAlgn val="ctr"/>
        <c:lblOffset val="0"/>
        <c:noMultiLvlLbl val="0"/>
      </c:catAx>
      <c:valAx>
        <c:axId val="81685888"/>
        <c:scaling>
          <c:orientation val="minMax"/>
          <c:max val="30"/>
          <c:min val="-25"/>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u="none" strike="noStrike" baseline="0">
                    <a:effectLst/>
                  </a:rPr>
                  <a:t>Prům. produkce (příspěvky  k meziroč. změně)</a:t>
                </a:r>
                <a:endParaRPr lang="cs-CZ" sz="700" b="0" i="1">
                  <a:latin typeface="Arial" panose="020B0604020202020204" pitchFamily="34" charset="0"/>
                  <a:cs typeface="Arial" panose="020B0604020202020204" pitchFamily="34" charset="0"/>
                </a:endParaRPr>
              </a:p>
            </c:rich>
          </c:tx>
          <c:layout>
            <c:manualLayout>
              <c:xMode val="edge"/>
              <c:yMode val="edge"/>
              <c:x val="0"/>
              <c:y val="0.11651980043186923"/>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81684352"/>
        <c:crosses val="autoZero"/>
        <c:crossBetween val="between"/>
        <c:majorUnit val="5"/>
      </c:valAx>
      <c:valAx>
        <c:axId val="82182912"/>
        <c:scaling>
          <c:orientation val="minMax"/>
          <c:max val="118"/>
          <c:min val="52"/>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Produkce</a:t>
                </a:r>
                <a:r>
                  <a:rPr lang="cs-CZ" sz="700" b="0" i="1" baseline="0">
                    <a:latin typeface="Arial" panose="020B0604020202020204" pitchFamily="34" charset="0"/>
                    <a:cs typeface="Arial" panose="020B0604020202020204" pitchFamily="34" charset="0"/>
                  </a:rPr>
                  <a:t> </a:t>
                </a:r>
                <a:r>
                  <a:rPr lang="cs-CZ" sz="700" b="0" i="1">
                    <a:latin typeface="Arial" panose="020B0604020202020204" pitchFamily="34" charset="0"/>
                    <a:cs typeface="Arial" panose="020B0604020202020204" pitchFamily="34" charset="0"/>
                  </a:rPr>
                  <a:t>v průmyslu (báze 2015=100)</a:t>
                </a:r>
              </a:p>
            </c:rich>
          </c:tx>
          <c:layout>
            <c:manualLayout>
              <c:xMode val="edge"/>
              <c:yMode val="edge"/>
              <c:x val="0.97040158454025238"/>
              <c:y val="0.16649922312229445"/>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82184832"/>
        <c:crosses val="max"/>
        <c:crossBetween val="between"/>
        <c:majorUnit val="6"/>
      </c:valAx>
      <c:catAx>
        <c:axId val="82184832"/>
        <c:scaling>
          <c:orientation val="minMax"/>
        </c:scaling>
        <c:delete val="1"/>
        <c:axPos val="b"/>
        <c:numFmt formatCode="General" sourceLinked="1"/>
        <c:majorTickMark val="out"/>
        <c:minorTickMark val="none"/>
        <c:tickLblPos val="none"/>
        <c:crossAx val="82182912"/>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576650680252295E-3"/>
          <c:y val="0.78956533796177808"/>
          <c:w val="0.9886658953822488"/>
          <c:h val="0.20327688625655532"/>
        </c:manualLayout>
      </c:layout>
      <c:overlay val="0"/>
      <c:spPr>
        <a:ln w="6350">
          <a:solidFill>
            <a:prstClr val="black">
              <a:lumMod val="95000"/>
              <a:lumOff val="5000"/>
            </a:prstClr>
          </a:solidFill>
        </a:ln>
      </c:spPr>
      <c:txPr>
        <a:bodyPr/>
        <a:lstStyle/>
        <a:p>
          <a:pPr>
            <a:defRPr sz="72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62E-2"/>
          <c:w val="0.84974974879787546"/>
          <c:h val="0.75063602214308589"/>
        </c:manualLayout>
      </c:layout>
      <c:barChart>
        <c:barDir val="col"/>
        <c:grouping val="clustered"/>
        <c:varyColors val="0"/>
        <c:ser>
          <c:idx val="0"/>
          <c:order val="0"/>
          <c:tx>
            <c:strRef>
              <c:f>'výkonnost odvětví 2'!$A$36</c:f>
              <c:strCache>
                <c:ptCount val="1"/>
                <c:pt idx="0">
                  <c:v>Průmyslové zakázky celkem</c:v>
                </c:pt>
              </c:strCache>
            </c:strRef>
          </c:tx>
          <c:spPr>
            <a:solidFill>
              <a:schemeClr val="bg1">
                <a:lumMod val="75000"/>
              </a:schemeClr>
            </a:solidFill>
            <a:ln>
              <a:noFill/>
            </a:ln>
          </c:spPr>
          <c:invertIfNegative val="0"/>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2'!$R$36:$BC$36</c:f>
              <c:numCache>
                <c:formatCode>##0.0</c:formatCode>
                <c:ptCount val="38"/>
                <c:pt idx="0">
                  <c:v>8.5341163004000009</c:v>
                </c:pt>
                <c:pt idx="1">
                  <c:v>6.3710040105000019</c:v>
                </c:pt>
                <c:pt idx="2">
                  <c:v>6.0473469386000005</c:v>
                </c:pt>
                <c:pt idx="3">
                  <c:v>5.2688430824999983</c:v>
                </c:pt>
                <c:pt idx="4">
                  <c:v>2.4833916857000009</c:v>
                </c:pt>
                <c:pt idx="5">
                  <c:v>7.1316561812000039</c:v>
                </c:pt>
                <c:pt idx="6">
                  <c:v>1.9491446858999939</c:v>
                </c:pt>
                <c:pt idx="7">
                  <c:v>6.4416747929000078</c:v>
                </c:pt>
                <c:pt idx="8">
                  <c:v>7.34419555489999</c:v>
                </c:pt>
                <c:pt idx="9">
                  <c:v>8.3762247843000051</c:v>
                </c:pt>
                <c:pt idx="10">
                  <c:v>8.1209134774999949</c:v>
                </c:pt>
                <c:pt idx="11">
                  <c:v>7.2572871451999958</c:v>
                </c:pt>
                <c:pt idx="12">
                  <c:v>3.2993551214999997</c:v>
                </c:pt>
                <c:pt idx="13">
                  <c:v>2.9773571834000023</c:v>
                </c:pt>
                <c:pt idx="14">
                  <c:v>3.5300064828000037</c:v>
                </c:pt>
                <c:pt idx="15">
                  <c:v>2.4324207204000028</c:v>
                </c:pt>
                <c:pt idx="16">
                  <c:v>3.2234606388999953</c:v>
                </c:pt>
                <c:pt idx="17">
                  <c:v>2.1291359181000051</c:v>
                </c:pt>
                <c:pt idx="18">
                  <c:v>-1.149624227000003</c:v>
                </c:pt>
                <c:pt idx="19">
                  <c:v>-2.8233445845000062</c:v>
                </c:pt>
                <c:pt idx="20">
                  <c:v>-4.1421474552000035</c:v>
                </c:pt>
                <c:pt idx="21">
                  <c:v>-27.261303375299985</c:v>
                </c:pt>
                <c:pt idx="22">
                  <c:v>-0.61408028729999864</c:v>
                </c:pt>
                <c:pt idx="23">
                  <c:v>6.5219093458999975</c:v>
                </c:pt>
                <c:pt idx="24">
                  <c:v>10.321733701400007</c:v>
                </c:pt>
                <c:pt idx="25">
                  <c:v>46.912637157599974</c:v>
                </c:pt>
                <c:pt idx="26">
                  <c:v>7.4975011299000016</c:v>
                </c:pt>
                <c:pt idx="27">
                  <c:v>4.1099155708999913</c:v>
                </c:pt>
                <c:pt idx="28">
                  <c:v>6.79189157019999</c:v>
                </c:pt>
                <c:pt idx="29">
                  <c:v>10.070500372600003</c:v>
                </c:pt>
                <c:pt idx="30">
                  <c:v>15.293514770300007</c:v>
                </c:pt>
                <c:pt idx="31">
                  <c:v>12.520125284100001</c:v>
                </c:pt>
                <c:pt idx="32">
                  <c:v>2.8254892014000035</c:v>
                </c:pt>
                <c:pt idx="33">
                  <c:v>-2.2489452181000051</c:v>
                </c:pt>
                <c:pt idx="34">
                  <c:v>-4.7806997394000099</c:v>
                </c:pt>
                <c:pt idx="35">
                  <c:v>-1.0469720180000053</c:v>
                </c:pt>
                <c:pt idx="36">
                  <c:v>4.121089730299996</c:v>
                </c:pt>
              </c:numCache>
            </c:numRef>
          </c:val>
          <c:extLst>
            <c:ext xmlns:c16="http://schemas.microsoft.com/office/drawing/2014/chart" uri="{C3380CC4-5D6E-409C-BE32-E72D297353CC}">
              <c16:uniqueId val="{00000000-7D66-47AE-A710-51EF9E521606}"/>
            </c:ext>
          </c:extLst>
        </c:ser>
        <c:dLbls>
          <c:showLegendKey val="0"/>
          <c:showVal val="0"/>
          <c:showCatName val="0"/>
          <c:showSerName val="0"/>
          <c:showPercent val="0"/>
          <c:showBubbleSize val="0"/>
        </c:dLbls>
        <c:gapWidth val="30"/>
        <c:axId val="51253248"/>
        <c:axId val="51255168"/>
      </c:barChart>
      <c:lineChart>
        <c:grouping val="standard"/>
        <c:varyColors val="0"/>
        <c:ser>
          <c:idx val="1"/>
          <c:order val="1"/>
          <c:tx>
            <c:strRef>
              <c:f>'výkonnost odvětví 2'!$A$37</c:f>
              <c:strCache>
                <c:ptCount val="1"/>
                <c:pt idx="0">
                  <c:v>z toho: zakázky z tuzemska</c:v>
                </c:pt>
              </c:strCache>
            </c:strRef>
          </c:tx>
          <c:spPr>
            <a:ln w="15875">
              <a:noFill/>
              <a:prstDash val="sysDot"/>
            </a:ln>
          </c:spPr>
          <c:marker>
            <c:symbol val="diamond"/>
            <c:size val="5"/>
            <c:spPr>
              <a:solidFill>
                <a:srgbClr val="984807"/>
              </a:solidFill>
              <a:ln>
                <a:noFill/>
              </a:ln>
            </c:spPr>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2'!$R$37:$BC$37</c:f>
              <c:numCache>
                <c:formatCode>#\ ##0.0</c:formatCode>
                <c:ptCount val="38"/>
                <c:pt idx="0">
                  <c:v>4.363250875399995</c:v>
                </c:pt>
                <c:pt idx="1">
                  <c:v>9.9207675197000036</c:v>
                </c:pt>
                <c:pt idx="2">
                  <c:v>-2.8142131774000063</c:v>
                </c:pt>
                <c:pt idx="3">
                  <c:v>-0.26578169440000465</c:v>
                </c:pt>
                <c:pt idx="4">
                  <c:v>1.7666970267000019</c:v>
                </c:pt>
                <c:pt idx="5">
                  <c:v>1.7586378578999975</c:v>
                </c:pt>
                <c:pt idx="6">
                  <c:v>0.20173230330000541</c:v>
                </c:pt>
                <c:pt idx="7">
                  <c:v>2.9064722939999967</c:v>
                </c:pt>
                <c:pt idx="8">
                  <c:v>12.341459895900009</c:v>
                </c:pt>
                <c:pt idx="9">
                  <c:v>15.691073458799998</c:v>
                </c:pt>
                <c:pt idx="10">
                  <c:v>15.834685004400002</c:v>
                </c:pt>
                <c:pt idx="11">
                  <c:v>15.4452270577</c:v>
                </c:pt>
                <c:pt idx="12">
                  <c:v>2.1530605192999985</c:v>
                </c:pt>
                <c:pt idx="13">
                  <c:v>2.4403062317999957</c:v>
                </c:pt>
                <c:pt idx="14">
                  <c:v>4.7510172912000002</c:v>
                </c:pt>
                <c:pt idx="15">
                  <c:v>3.3084884759999937</c:v>
                </c:pt>
                <c:pt idx="16">
                  <c:v>7.6964313707999938</c:v>
                </c:pt>
                <c:pt idx="17">
                  <c:v>5.96561260759999</c:v>
                </c:pt>
                <c:pt idx="18">
                  <c:v>0.28507150430000672</c:v>
                </c:pt>
                <c:pt idx="19">
                  <c:v>-0.8467415363000026</c:v>
                </c:pt>
                <c:pt idx="20">
                  <c:v>0.84542569580000304</c:v>
                </c:pt>
                <c:pt idx="21">
                  <c:v>-25.680778364399988</c:v>
                </c:pt>
                <c:pt idx="22">
                  <c:v>-3.3799831941999927</c:v>
                </c:pt>
                <c:pt idx="23">
                  <c:v>5.5662240000999894</c:v>
                </c:pt>
                <c:pt idx="24">
                  <c:v>2.1967372043999962</c:v>
                </c:pt>
                <c:pt idx="25">
                  <c:v>42.216758304400038</c:v>
                </c:pt>
                <c:pt idx="26">
                  <c:v>9.2728430040999967</c:v>
                </c:pt>
                <c:pt idx="27">
                  <c:v>5.7562043806999981</c:v>
                </c:pt>
                <c:pt idx="28">
                  <c:v>8.7466987816999957</c:v>
                </c:pt>
                <c:pt idx="29">
                  <c:v>15.459663343500004</c:v>
                </c:pt>
                <c:pt idx="30">
                  <c:v>26.23165552670001</c:v>
                </c:pt>
                <c:pt idx="31">
                  <c:v>19.27590338169999</c:v>
                </c:pt>
                <c:pt idx="32">
                  <c:v>11.99925725420001</c:v>
                </c:pt>
                <c:pt idx="33">
                  <c:v>2.3244422682000021</c:v>
                </c:pt>
                <c:pt idx="34">
                  <c:v>-6.792992597299996</c:v>
                </c:pt>
                <c:pt idx="35">
                  <c:v>-0.66720078020000562</c:v>
                </c:pt>
                <c:pt idx="36">
                  <c:v>3.3819679486000087</c:v>
                </c:pt>
              </c:numCache>
            </c:numRef>
          </c:val>
          <c:smooth val="0"/>
          <c:extLst>
            <c:ext xmlns:c16="http://schemas.microsoft.com/office/drawing/2014/chart" uri="{C3380CC4-5D6E-409C-BE32-E72D297353CC}">
              <c16:uniqueId val="{00000001-7D66-47AE-A710-51EF9E521606}"/>
            </c:ext>
          </c:extLst>
        </c:ser>
        <c:dLbls>
          <c:showLegendKey val="0"/>
          <c:showVal val="0"/>
          <c:showCatName val="0"/>
          <c:showSerName val="0"/>
          <c:showPercent val="0"/>
          <c:showBubbleSize val="0"/>
        </c:dLbls>
        <c:marker val="1"/>
        <c:smooth val="0"/>
        <c:axId val="51253248"/>
        <c:axId val="51255168"/>
      </c:lineChart>
      <c:lineChart>
        <c:grouping val="standard"/>
        <c:varyColors val="0"/>
        <c:ser>
          <c:idx val="2"/>
          <c:order val="2"/>
          <c:tx>
            <c:strRef>
              <c:f>'výkonnost odvětví 2'!$A$38</c:f>
              <c:strCache>
                <c:ptCount val="1"/>
                <c:pt idx="0">
                  <c:v>Využití výrob. kapacit v průmyslu celkem</c:v>
                </c:pt>
              </c:strCache>
            </c:strRef>
          </c:tx>
          <c:spPr>
            <a:ln w="15875">
              <a:solidFill>
                <a:schemeClr val="accent6">
                  <a:lumMod val="75000"/>
                </a:schemeClr>
              </a:solidFill>
            </a:ln>
          </c:spPr>
          <c:marker>
            <c:symbol val="none"/>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2'!$R$38:$BC$38</c:f>
              <c:numCache>
                <c:formatCode>##0.0</c:formatCode>
                <c:ptCount val="38"/>
                <c:pt idx="0">
                  <c:v>85.6</c:v>
                </c:pt>
                <c:pt idx="1">
                  <c:v>85.1</c:v>
                </c:pt>
                <c:pt idx="2">
                  <c:v>84.9</c:v>
                </c:pt>
                <c:pt idx="3">
                  <c:v>84.3</c:v>
                </c:pt>
                <c:pt idx="4">
                  <c:v>84</c:v>
                </c:pt>
                <c:pt idx="5">
                  <c:v>85.2</c:v>
                </c:pt>
                <c:pt idx="6">
                  <c:v>84</c:v>
                </c:pt>
                <c:pt idx="7">
                  <c:v>84.8</c:v>
                </c:pt>
                <c:pt idx="8">
                  <c:v>84.7</c:v>
                </c:pt>
                <c:pt idx="9">
                  <c:v>83.7</c:v>
                </c:pt>
                <c:pt idx="10">
                  <c:v>83.8</c:v>
                </c:pt>
                <c:pt idx="11">
                  <c:v>84.4</c:v>
                </c:pt>
                <c:pt idx="12">
                  <c:v>85.33</c:v>
                </c:pt>
                <c:pt idx="13">
                  <c:v>84.89</c:v>
                </c:pt>
                <c:pt idx="14">
                  <c:v>85.13</c:v>
                </c:pt>
                <c:pt idx="15">
                  <c:v>84.76</c:v>
                </c:pt>
                <c:pt idx="16">
                  <c:v>84.93</c:v>
                </c:pt>
                <c:pt idx="17">
                  <c:v>85.19</c:v>
                </c:pt>
                <c:pt idx="18">
                  <c:v>83.6</c:v>
                </c:pt>
                <c:pt idx="19">
                  <c:v>83.7</c:v>
                </c:pt>
                <c:pt idx="20">
                  <c:v>84.2</c:v>
                </c:pt>
                <c:pt idx="21">
                  <c:v>70.400000000000006</c:v>
                </c:pt>
                <c:pt idx="22">
                  <c:v>76.3</c:v>
                </c:pt>
                <c:pt idx="23">
                  <c:v>82.7</c:v>
                </c:pt>
                <c:pt idx="24">
                  <c:v>85.8</c:v>
                </c:pt>
                <c:pt idx="25">
                  <c:v>84.4</c:v>
                </c:pt>
                <c:pt idx="26">
                  <c:v>86.410000000000025</c:v>
                </c:pt>
                <c:pt idx="27">
                  <c:v>77.599999999999994</c:v>
                </c:pt>
                <c:pt idx="28">
                  <c:v>83.6</c:v>
                </c:pt>
                <c:pt idx="29">
                  <c:v>82.169999999999987</c:v>
                </c:pt>
                <c:pt idx="30">
                  <c:v>83.5</c:v>
                </c:pt>
                <c:pt idx="31">
                  <c:v>81.099999999999994</c:v>
                </c:pt>
                <c:pt idx="32">
                  <c:v>81.400000000000006</c:v>
                </c:pt>
                <c:pt idx="33">
                  <c:v>83.7</c:v>
                </c:pt>
                <c:pt idx="34">
                  <c:v>83.5</c:v>
                </c:pt>
                <c:pt idx="35">
                  <c:v>83.6</c:v>
                </c:pt>
                <c:pt idx="36">
                  <c:v>83.1</c:v>
                </c:pt>
                <c:pt idx="37">
                  <c:v>83</c:v>
                </c:pt>
              </c:numCache>
            </c:numRef>
          </c:val>
          <c:smooth val="0"/>
          <c:extLst>
            <c:ext xmlns:c16="http://schemas.microsoft.com/office/drawing/2014/chart" uri="{C3380CC4-5D6E-409C-BE32-E72D297353CC}">
              <c16:uniqueId val="{00000002-7D66-47AE-A710-51EF9E521606}"/>
            </c:ext>
          </c:extLst>
        </c:ser>
        <c:ser>
          <c:idx val="3"/>
          <c:order val="3"/>
          <c:tx>
            <c:strRef>
              <c:f>'výkonnost odvětví 2'!$A$39</c:f>
              <c:strCache>
                <c:ptCount val="1"/>
                <c:pt idx="0">
                  <c:v>Využití výrob. kapacit v automobil. prům.</c:v>
                </c:pt>
              </c:strCache>
            </c:strRef>
          </c:tx>
          <c:spPr>
            <a:ln w="15875">
              <a:solidFill>
                <a:schemeClr val="accent6">
                  <a:lumMod val="75000"/>
                </a:schemeClr>
              </a:solidFill>
              <a:prstDash val="sysDash"/>
            </a:ln>
          </c:spPr>
          <c:marker>
            <c:symbol val="none"/>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2'!$R$39:$BC$39</c:f>
              <c:numCache>
                <c:formatCode>##0.0</c:formatCode>
                <c:ptCount val="38"/>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pt idx="31">
                  <c:v>74.099999999999994</c:v>
                </c:pt>
                <c:pt idx="32">
                  <c:v>79.400000000000006</c:v>
                </c:pt>
                <c:pt idx="33">
                  <c:v>92.7</c:v>
                </c:pt>
                <c:pt idx="34">
                  <c:v>92.2</c:v>
                </c:pt>
                <c:pt idx="35">
                  <c:v>92.2</c:v>
                </c:pt>
                <c:pt idx="36">
                  <c:v>92.7</c:v>
                </c:pt>
                <c:pt idx="37">
                  <c:v>93.5</c:v>
                </c:pt>
              </c:numCache>
            </c:numRef>
          </c:val>
          <c:smooth val="0"/>
          <c:extLst>
            <c:ext xmlns:c16="http://schemas.microsoft.com/office/drawing/2014/chart" uri="{C3380CC4-5D6E-409C-BE32-E72D297353CC}">
              <c16:uniqueId val="{00000003-7D66-47AE-A710-51EF9E521606}"/>
            </c:ext>
          </c:extLst>
        </c:ser>
        <c:ser>
          <c:idx val="4"/>
          <c:order val="4"/>
          <c:tx>
            <c:strRef>
              <c:f>'výkonnost odvětví 2'!$A$40</c:f>
              <c:strCache>
                <c:ptCount val="1"/>
                <c:pt idx="0">
                  <c:v>Bariéra růstu: nedostatečná poptávka</c:v>
                </c:pt>
              </c:strCache>
            </c:strRef>
          </c:tx>
          <c:spPr>
            <a:ln w="15875">
              <a:solidFill>
                <a:srgbClr val="00B050"/>
              </a:solidFill>
              <a:prstDash val="solid"/>
            </a:ln>
          </c:spPr>
          <c:marker>
            <c:symbol val="none"/>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2'!$R$40:$BC$40</c:f>
              <c:numCache>
                <c:formatCode>#\ ##0.0</c:formatCode>
                <c:ptCount val="38"/>
                <c:pt idx="0">
                  <c:v>45.3</c:v>
                </c:pt>
                <c:pt idx="1">
                  <c:v>49.6</c:v>
                </c:pt>
                <c:pt idx="2">
                  <c:v>49.7</c:v>
                </c:pt>
                <c:pt idx="3">
                  <c:v>46.4</c:v>
                </c:pt>
                <c:pt idx="4">
                  <c:v>45.9</c:v>
                </c:pt>
                <c:pt idx="5">
                  <c:v>44.6</c:v>
                </c:pt>
                <c:pt idx="6">
                  <c:v>43.8</c:v>
                </c:pt>
                <c:pt idx="7">
                  <c:v>42.9</c:v>
                </c:pt>
                <c:pt idx="8">
                  <c:v>42.7</c:v>
                </c:pt>
                <c:pt idx="9">
                  <c:v>41</c:v>
                </c:pt>
                <c:pt idx="10">
                  <c:v>41.2</c:v>
                </c:pt>
                <c:pt idx="11">
                  <c:v>35.800000000000004</c:v>
                </c:pt>
                <c:pt idx="12">
                  <c:v>35.4</c:v>
                </c:pt>
                <c:pt idx="13">
                  <c:v>36.300000000000004</c:v>
                </c:pt>
                <c:pt idx="14">
                  <c:v>32.4</c:v>
                </c:pt>
                <c:pt idx="15">
                  <c:v>32.9</c:v>
                </c:pt>
                <c:pt idx="16">
                  <c:v>33.800000000000004</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pt idx="31">
                  <c:v>29.4</c:v>
                </c:pt>
                <c:pt idx="32">
                  <c:v>42.5</c:v>
                </c:pt>
                <c:pt idx="33">
                  <c:v>42</c:v>
                </c:pt>
                <c:pt idx="34">
                  <c:v>44.3</c:v>
                </c:pt>
                <c:pt idx="35">
                  <c:v>46.2</c:v>
                </c:pt>
                <c:pt idx="36">
                  <c:v>47.5</c:v>
                </c:pt>
                <c:pt idx="37">
                  <c:v>49.8</c:v>
                </c:pt>
              </c:numCache>
            </c:numRef>
          </c:val>
          <c:smooth val="0"/>
          <c:extLst>
            <c:ext xmlns:c16="http://schemas.microsoft.com/office/drawing/2014/chart" uri="{C3380CC4-5D6E-409C-BE32-E72D297353CC}">
              <c16:uniqueId val="{00000004-7D66-47AE-A710-51EF9E521606}"/>
            </c:ext>
          </c:extLst>
        </c:ser>
        <c:ser>
          <c:idx val="5"/>
          <c:order val="5"/>
          <c:tx>
            <c:strRef>
              <c:f>'výkonnost odvětví 2'!$A$41</c:f>
              <c:strCache>
                <c:ptCount val="1"/>
                <c:pt idx="0">
                  <c:v>Bariéra růstu: nedostatek pracovníků</c:v>
                </c:pt>
              </c:strCache>
            </c:strRef>
          </c:tx>
          <c:spPr>
            <a:ln w="15875">
              <a:solidFill>
                <a:srgbClr val="6FE772"/>
              </a:solidFill>
              <a:prstDash val="solid"/>
            </a:ln>
          </c:spPr>
          <c:marker>
            <c:symbol val="none"/>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2'!$R$41:$BC$41</c:f>
              <c:numCache>
                <c:formatCode>#\ ##0.0</c:formatCode>
                <c:ptCount val="38"/>
                <c:pt idx="0">
                  <c:v>6.1</c:v>
                </c:pt>
                <c:pt idx="1">
                  <c:v>6.9</c:v>
                </c:pt>
                <c:pt idx="2">
                  <c:v>8.7000000000000011</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pt idx="31">
                  <c:v>24.9</c:v>
                </c:pt>
                <c:pt idx="32">
                  <c:v>16.600000000000001</c:v>
                </c:pt>
                <c:pt idx="33">
                  <c:v>20.6</c:v>
                </c:pt>
                <c:pt idx="34">
                  <c:v>18.899999999999999</c:v>
                </c:pt>
                <c:pt idx="35">
                  <c:v>22.5</c:v>
                </c:pt>
                <c:pt idx="36">
                  <c:v>14.6</c:v>
                </c:pt>
                <c:pt idx="37">
                  <c:v>11.8</c:v>
                </c:pt>
              </c:numCache>
            </c:numRef>
          </c:val>
          <c:smooth val="0"/>
          <c:extLst>
            <c:ext xmlns:c16="http://schemas.microsoft.com/office/drawing/2014/chart" uri="{C3380CC4-5D6E-409C-BE32-E72D297353CC}">
              <c16:uniqueId val="{00000005-7D66-47AE-A710-51EF9E521606}"/>
            </c:ext>
          </c:extLst>
        </c:ser>
        <c:ser>
          <c:idx val="6"/>
          <c:order val="6"/>
          <c:tx>
            <c:strRef>
              <c:f>'výkonnost odvětví 2'!$A$42</c:f>
              <c:strCache>
                <c:ptCount val="1"/>
                <c:pt idx="0">
                  <c:v>Bariéra růstu: nedost. materiálu a zařízení</c:v>
                </c:pt>
              </c:strCache>
            </c:strRef>
          </c:tx>
          <c:spPr>
            <a:ln w="15875">
              <a:solidFill>
                <a:schemeClr val="accent3">
                  <a:lumMod val="75000"/>
                </a:schemeClr>
              </a:solidFill>
              <a:prstDash val="dash"/>
            </a:ln>
          </c:spPr>
          <c:marker>
            <c:symbol val="none"/>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2'!$R$42:$BC$42</c:f>
              <c:numCache>
                <c:formatCode>#\ ##0.0</c:formatCode>
                <c:ptCount val="38"/>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10.200000000000001</c:v>
                </c:pt>
                <c:pt idx="22">
                  <c:v>6.7</c:v>
                </c:pt>
                <c:pt idx="23">
                  <c:v>10.9</c:v>
                </c:pt>
                <c:pt idx="24">
                  <c:v>23.1</c:v>
                </c:pt>
                <c:pt idx="25">
                  <c:v>32.1</c:v>
                </c:pt>
                <c:pt idx="26">
                  <c:v>45.9</c:v>
                </c:pt>
                <c:pt idx="27">
                  <c:v>41.2</c:v>
                </c:pt>
                <c:pt idx="28">
                  <c:v>39.300000000000004</c:v>
                </c:pt>
                <c:pt idx="29">
                  <c:v>47.8</c:v>
                </c:pt>
                <c:pt idx="30">
                  <c:v>53.4</c:v>
                </c:pt>
                <c:pt idx="31">
                  <c:v>46.4</c:v>
                </c:pt>
                <c:pt idx="32">
                  <c:v>37.4</c:v>
                </c:pt>
                <c:pt idx="33">
                  <c:v>32.5</c:v>
                </c:pt>
                <c:pt idx="34">
                  <c:v>20.6</c:v>
                </c:pt>
                <c:pt idx="35">
                  <c:v>17.100000000000001</c:v>
                </c:pt>
                <c:pt idx="36">
                  <c:v>32.700000000000003</c:v>
                </c:pt>
                <c:pt idx="37">
                  <c:v>28.1</c:v>
                </c:pt>
              </c:numCache>
            </c:numRef>
          </c:val>
          <c:smooth val="0"/>
          <c:extLst>
            <c:ext xmlns:c16="http://schemas.microsoft.com/office/drawing/2014/chart" uri="{C3380CC4-5D6E-409C-BE32-E72D297353CC}">
              <c16:uniqueId val="{00000006-7D66-47AE-A710-51EF9E521606}"/>
            </c:ext>
          </c:extLst>
        </c:ser>
        <c:ser>
          <c:idx val="7"/>
          <c:order val="7"/>
          <c:tx>
            <c:strRef>
              <c:f>'výkonnost odvětví 2'!$A$43</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2'!$R$34:$BC$35</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2'!$R$43:$BC$43</c:f>
              <c:numCache>
                <c:formatCode>#\ ##0.0</c:formatCode>
                <c:ptCount val="38"/>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0.30000000000000021</c:v>
                </c:pt>
                <c:pt idx="17">
                  <c:v>-2</c:v>
                </c:pt>
                <c:pt idx="18">
                  <c:v>-3</c:v>
                </c:pt>
                <c:pt idx="19">
                  <c:v>-6.7</c:v>
                </c:pt>
                <c:pt idx="20">
                  <c:v>-5</c:v>
                </c:pt>
                <c:pt idx="21">
                  <c:v>-25</c:v>
                </c:pt>
                <c:pt idx="22">
                  <c:v>-6.3</c:v>
                </c:pt>
                <c:pt idx="23">
                  <c:v>-10</c:v>
                </c:pt>
                <c:pt idx="24">
                  <c:v>-1.3</c:v>
                </c:pt>
                <c:pt idx="25">
                  <c:v>5.3</c:v>
                </c:pt>
                <c:pt idx="26">
                  <c:v>-1.3</c:v>
                </c:pt>
                <c:pt idx="27">
                  <c:v>-5.3</c:v>
                </c:pt>
                <c:pt idx="28">
                  <c:v>-0.30000000000000021</c:v>
                </c:pt>
                <c:pt idx="29">
                  <c:v>8.3000000000000007</c:v>
                </c:pt>
                <c:pt idx="30">
                  <c:v>-1.7</c:v>
                </c:pt>
                <c:pt idx="31">
                  <c:v>-8.3000000000000007</c:v>
                </c:pt>
                <c:pt idx="32">
                  <c:v>-10.1</c:v>
                </c:pt>
                <c:pt idx="33">
                  <c:v>-7</c:v>
                </c:pt>
                <c:pt idx="34">
                  <c:v>-7</c:v>
                </c:pt>
                <c:pt idx="35">
                  <c:v>-6</c:v>
                </c:pt>
                <c:pt idx="36">
                  <c:v>-14</c:v>
                </c:pt>
                <c:pt idx="37">
                  <c:v>-8.7000000000000011</c:v>
                </c:pt>
              </c:numCache>
            </c:numRef>
          </c:val>
          <c:smooth val="0"/>
          <c:extLst>
            <c:ext xmlns:c16="http://schemas.microsoft.com/office/drawing/2014/chart" uri="{C3380CC4-5D6E-409C-BE32-E72D297353CC}">
              <c16:uniqueId val="{00000007-7D66-47AE-A710-51EF9E521606}"/>
            </c:ext>
          </c:extLst>
        </c:ser>
        <c:dLbls>
          <c:showLegendKey val="0"/>
          <c:showVal val="0"/>
          <c:showCatName val="0"/>
          <c:showSerName val="0"/>
          <c:showPercent val="0"/>
          <c:showBubbleSize val="0"/>
        </c:dLbls>
        <c:marker val="1"/>
        <c:smooth val="0"/>
        <c:axId val="51263360"/>
        <c:axId val="51261440"/>
      </c:lineChart>
      <c:catAx>
        <c:axId val="51253248"/>
        <c:scaling>
          <c:orientation val="minMax"/>
        </c:scaling>
        <c:delete val="0"/>
        <c:axPos val="b"/>
        <c:numFmt formatCode="General" sourceLinked="1"/>
        <c:majorTickMark val="out"/>
        <c:minorTickMark val="none"/>
        <c:tickLblPos val="low"/>
        <c:crossAx val="51255168"/>
        <c:crosses val="autoZero"/>
        <c:auto val="1"/>
        <c:lblAlgn val="ctr"/>
        <c:lblOffset val="0"/>
        <c:noMultiLvlLbl val="0"/>
      </c:catAx>
      <c:valAx>
        <c:axId val="51255168"/>
        <c:scaling>
          <c:orientation val="minMax"/>
          <c:max val="90"/>
          <c:min val="-40"/>
        </c:scaling>
        <c:delete val="0"/>
        <c:axPos val="l"/>
        <c:majorGridlines>
          <c:spPr>
            <a:ln>
              <a:solidFill>
                <a:srgbClr val="BEBEBE"/>
              </a:solidFill>
            </a:ln>
          </c:spPr>
        </c:majorGridlines>
        <c:title>
          <c:tx>
            <c:rich>
              <a:bodyPr/>
              <a:lstStyle/>
              <a:p>
                <a:pPr>
                  <a:defRPr sz="700" b="0" i="1"/>
                </a:pPr>
                <a:r>
                  <a:rPr lang="cs-CZ" sz="700" b="0" i="1"/>
                  <a:t>Zakázky</a:t>
                </a:r>
              </a:p>
            </c:rich>
          </c:tx>
          <c:layout/>
          <c:overlay val="0"/>
        </c:title>
        <c:numFmt formatCode="0" sourceLinked="0"/>
        <c:majorTickMark val="out"/>
        <c:minorTickMark val="none"/>
        <c:tickLblPos val="nextTo"/>
        <c:crossAx val="51253248"/>
        <c:crosses val="autoZero"/>
        <c:crossBetween val="between"/>
        <c:majorUnit val="10"/>
      </c:valAx>
      <c:valAx>
        <c:axId val="51261440"/>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a:t>Využití výrob.</a:t>
                </a:r>
                <a:r>
                  <a:rPr lang="cs-CZ" sz="700" b="0" i="1" baseline="0"/>
                  <a:t> </a:t>
                </a:r>
                <a:r>
                  <a:rPr lang="cs-CZ" sz="700" b="0" i="1"/>
                  <a:t>kapacit, bariéry růstu, </a:t>
                </a:r>
                <a:r>
                  <a:rPr lang="cs-CZ" sz="700" b="0" i="1" baseline="0">
                    <a:effectLst/>
                  </a:rPr>
                  <a:t>saldo důvěry</a:t>
                </a:r>
                <a:endParaRPr lang="cs-CZ" sz="700" i="1">
                  <a:effectLst/>
                </a:endParaRPr>
              </a:p>
            </c:rich>
          </c:tx>
          <c:layout/>
          <c:overlay val="0"/>
        </c:title>
        <c:numFmt formatCode="#,##0" sourceLinked="0"/>
        <c:majorTickMark val="out"/>
        <c:minorTickMark val="none"/>
        <c:tickLblPos val="nextTo"/>
        <c:crossAx val="51263360"/>
        <c:crosses val="max"/>
        <c:crossBetween val="between"/>
        <c:majorUnit val="10"/>
      </c:valAx>
      <c:catAx>
        <c:axId val="51263360"/>
        <c:scaling>
          <c:orientation val="minMax"/>
        </c:scaling>
        <c:delete val="1"/>
        <c:axPos val="b"/>
        <c:numFmt formatCode="General" sourceLinked="1"/>
        <c:majorTickMark val="out"/>
        <c:minorTickMark val="none"/>
        <c:tickLblPos val="none"/>
        <c:crossAx val="51261440"/>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0624233317307999E-3"/>
          <c:y val="0.85586448957034"/>
          <c:w val="0.98943298357870757"/>
          <c:h val="0.14063307954958187"/>
        </c:manualLayout>
      </c:layout>
      <c:overlay val="0"/>
      <c:spPr>
        <a:ln w="6350">
          <a:solidFill>
            <a:prstClr val="black">
              <a:lumMod val="95000"/>
              <a:lumOff val="5000"/>
            </a:prstClr>
          </a:solidFill>
        </a:ln>
      </c:spPr>
      <c:txPr>
        <a:bodyPr/>
        <a:lstStyle/>
        <a:p>
          <a:pPr>
            <a:defRPr sz="78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299E-2"/>
          <c:y val="1.5663550999370293E-2"/>
          <c:w val="0.85237839893753009"/>
          <c:h val="0.75413191483370401"/>
        </c:manualLayout>
      </c:layout>
      <c:barChart>
        <c:barDir val="col"/>
        <c:grouping val="stacked"/>
        <c:varyColors val="0"/>
        <c:ser>
          <c:idx val="1"/>
          <c:order val="1"/>
          <c:tx>
            <c:strRef>
              <c:f>'výkonnost odvětví 3'!$Y$10</c:f>
              <c:strCache>
                <c:ptCount val="1"/>
                <c:pt idx="0">
                  <c:v>Pozemní stavitelství (příspěvek v p. b.)</c:v>
                </c:pt>
              </c:strCache>
            </c:strRef>
          </c:tx>
          <c:spPr>
            <a:solidFill>
              <a:schemeClr val="accent5">
                <a:lumMod val="60000"/>
                <a:lumOff val="40000"/>
              </a:schemeClr>
            </a:solidFill>
            <a:ln>
              <a:noFill/>
            </a:ln>
          </c:spPr>
          <c:invertIfNegative val="0"/>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3'!$Y$31:$Y$68</c:f>
              <c:numCache>
                <c:formatCode>0.0</c:formatCode>
                <c:ptCount val="38"/>
                <c:pt idx="0">
                  <c:v>5.7487165794114397</c:v>
                </c:pt>
                <c:pt idx="1">
                  <c:v>4.7489923277143404</c:v>
                </c:pt>
                <c:pt idx="2">
                  <c:v>0.72860376801438365</c:v>
                </c:pt>
                <c:pt idx="3">
                  <c:v>-1.5997494872130953</c:v>
                </c:pt>
                <c:pt idx="4">
                  <c:v>-4.5800585311347017</c:v>
                </c:pt>
                <c:pt idx="5">
                  <c:v>-4.8364432126044239</c:v>
                </c:pt>
                <c:pt idx="6">
                  <c:v>0.76734536322152425</c:v>
                </c:pt>
                <c:pt idx="7">
                  <c:v>3.5913890122868475</c:v>
                </c:pt>
                <c:pt idx="8">
                  <c:v>1.8184391409963199</c:v>
                </c:pt>
                <c:pt idx="9">
                  <c:v>9.5161866462127662</c:v>
                </c:pt>
                <c:pt idx="10">
                  <c:v>3.2650480956647066</c:v>
                </c:pt>
                <c:pt idx="11">
                  <c:v>2.30805126241866</c:v>
                </c:pt>
                <c:pt idx="12">
                  <c:v>13.039459362857244</c:v>
                </c:pt>
                <c:pt idx="13">
                  <c:v>5.6850806062932717</c:v>
                </c:pt>
                <c:pt idx="14">
                  <c:v>7.0360284655916923</c:v>
                </c:pt>
                <c:pt idx="15">
                  <c:v>2.3869078764089542</c:v>
                </c:pt>
                <c:pt idx="16">
                  <c:v>2.4727635166988842</c:v>
                </c:pt>
                <c:pt idx="17">
                  <c:v>2.9341574628565152</c:v>
                </c:pt>
                <c:pt idx="18">
                  <c:v>-0.6753550303781074</c:v>
                </c:pt>
                <c:pt idx="19">
                  <c:v>1.7116954805541662</c:v>
                </c:pt>
                <c:pt idx="20">
                  <c:v>-0.69584807703082363</c:v>
                </c:pt>
                <c:pt idx="21">
                  <c:v>-7.7523651483361782</c:v>
                </c:pt>
                <c:pt idx="22">
                  <c:v>-7.074621981571819</c:v>
                </c:pt>
                <c:pt idx="23">
                  <c:v>-7.741231463634846</c:v>
                </c:pt>
                <c:pt idx="24">
                  <c:v>-5.0608468514412257</c:v>
                </c:pt>
                <c:pt idx="25">
                  <c:v>2.4768230363731649</c:v>
                </c:pt>
                <c:pt idx="26">
                  <c:v>2.6990968150530947</c:v>
                </c:pt>
                <c:pt idx="27">
                  <c:v>5.3969249017667451</c:v>
                </c:pt>
                <c:pt idx="28">
                  <c:v>7.2737310053510891</c:v>
                </c:pt>
                <c:pt idx="29">
                  <c:v>3.5237961194829945</c:v>
                </c:pt>
                <c:pt idx="30">
                  <c:v>-0.75999685147790641</c:v>
                </c:pt>
                <c:pt idx="31">
                  <c:v>-1.4553574090888401</c:v>
                </c:pt>
                <c:pt idx="32">
                  <c:v>2.0915814833108701</c:v>
                </c:pt>
                <c:pt idx="33">
                  <c:v>-1.8181576741136856</c:v>
                </c:pt>
                <c:pt idx="34">
                  <c:v>-0.45758129589428354</c:v>
                </c:pt>
                <c:pt idx="35">
                  <c:v>-2.3431263743753616</c:v>
                </c:pt>
                <c:pt idx="36">
                  <c:v>-5.6136225493462417</c:v>
                </c:pt>
              </c:numCache>
            </c:numRef>
          </c:val>
          <c:extLst>
            <c:ext xmlns:c16="http://schemas.microsoft.com/office/drawing/2014/chart" uri="{C3380CC4-5D6E-409C-BE32-E72D297353CC}">
              <c16:uniqueId val="{00000000-AB72-456C-9B3B-EF831BC714C4}"/>
            </c:ext>
          </c:extLst>
        </c:ser>
        <c:ser>
          <c:idx val="2"/>
          <c:order val="2"/>
          <c:tx>
            <c:strRef>
              <c:f>'výkonnost odvětví 3'!$Z$10</c:f>
              <c:strCache>
                <c:ptCount val="1"/>
                <c:pt idx="0">
                  <c:v>Inženýrské stavitelství (příspěvek v p. b.)</c:v>
                </c:pt>
              </c:strCache>
            </c:strRef>
          </c:tx>
          <c:spPr>
            <a:solidFill>
              <a:schemeClr val="accent2">
                <a:lumMod val="60000"/>
                <a:lumOff val="40000"/>
              </a:schemeClr>
            </a:solidFill>
            <a:ln>
              <a:noFill/>
            </a:ln>
          </c:spPr>
          <c:invertIfNegative val="0"/>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3'!$Z$31:$Z$68</c:f>
              <c:numCache>
                <c:formatCode>0.0</c:formatCode>
                <c:ptCount val="38"/>
                <c:pt idx="0">
                  <c:v>3.8654453061663481</c:v>
                </c:pt>
                <c:pt idx="1">
                  <c:v>8.4074328223660544</c:v>
                </c:pt>
                <c:pt idx="2">
                  <c:v>8.536513170572011</c:v>
                </c:pt>
                <c:pt idx="3">
                  <c:v>3.3830353457973699</c:v>
                </c:pt>
                <c:pt idx="4">
                  <c:v>-1.4655710356774874</c:v>
                </c:pt>
                <c:pt idx="5">
                  <c:v>-6.4494987337786842</c:v>
                </c:pt>
                <c:pt idx="6">
                  <c:v>-8.0288007564184181</c:v>
                </c:pt>
                <c:pt idx="7">
                  <c:v>-6.8710829128275535</c:v>
                </c:pt>
                <c:pt idx="8">
                  <c:v>-4.1473356084740605</c:v>
                </c:pt>
                <c:pt idx="9">
                  <c:v>-1.1362269417632556</c:v>
                </c:pt>
                <c:pt idx="10">
                  <c:v>-1.699769491744973</c:v>
                </c:pt>
                <c:pt idx="11">
                  <c:v>0.18912136047288941</c:v>
                </c:pt>
                <c:pt idx="12">
                  <c:v>2.3138551611840659</c:v>
                </c:pt>
                <c:pt idx="13">
                  <c:v>1.4433818342413161</c:v>
                </c:pt>
                <c:pt idx="14">
                  <c:v>5.805340800033207</c:v>
                </c:pt>
                <c:pt idx="15">
                  <c:v>2.0257219814852485</c:v>
                </c:pt>
                <c:pt idx="16">
                  <c:v>2.8832113797347176</c:v>
                </c:pt>
                <c:pt idx="17">
                  <c:v>2.2916559515195787</c:v>
                </c:pt>
                <c:pt idx="18">
                  <c:v>0.12751036500530571</c:v>
                </c:pt>
                <c:pt idx="19">
                  <c:v>0.80716183036284461</c:v>
                </c:pt>
                <c:pt idx="20">
                  <c:v>2.6239699221333552</c:v>
                </c:pt>
                <c:pt idx="21">
                  <c:v>0.26317252359280224</c:v>
                </c:pt>
                <c:pt idx="22">
                  <c:v>-3.3347591135837229</c:v>
                </c:pt>
                <c:pt idx="23">
                  <c:v>-0.42839192125115338</c:v>
                </c:pt>
                <c:pt idx="24">
                  <c:v>-0.4019516923439973</c:v>
                </c:pt>
                <c:pt idx="25">
                  <c:v>1.8460547318025109</c:v>
                </c:pt>
                <c:pt idx="26">
                  <c:v>0.52867626749141472</c:v>
                </c:pt>
                <c:pt idx="27">
                  <c:v>-1.0607060377737123</c:v>
                </c:pt>
                <c:pt idx="28">
                  <c:v>5.3445506219243502</c:v>
                </c:pt>
                <c:pt idx="29">
                  <c:v>1.3465758507403545</c:v>
                </c:pt>
                <c:pt idx="30">
                  <c:v>0.66633125241468127</c:v>
                </c:pt>
                <c:pt idx="31">
                  <c:v>1.4288913609261344</c:v>
                </c:pt>
                <c:pt idx="32">
                  <c:v>-3.8469190303451586</c:v>
                </c:pt>
                <c:pt idx="33">
                  <c:v>-2.3406735163185726</c:v>
                </c:pt>
                <c:pt idx="34">
                  <c:v>-0.11725795568868536</c:v>
                </c:pt>
                <c:pt idx="35">
                  <c:v>-0.57306872896483141</c:v>
                </c:pt>
                <c:pt idx="36">
                  <c:v>1.2680052606833481</c:v>
                </c:pt>
              </c:numCache>
            </c:numRef>
          </c:val>
          <c:extLst>
            <c:ext xmlns:c16="http://schemas.microsoft.com/office/drawing/2014/chart" uri="{C3380CC4-5D6E-409C-BE32-E72D297353CC}">
              <c16:uniqueId val="{00000001-AB72-456C-9B3B-EF831BC714C4}"/>
            </c:ext>
          </c:extLst>
        </c:ser>
        <c:dLbls>
          <c:showLegendKey val="0"/>
          <c:showVal val="0"/>
          <c:showCatName val="0"/>
          <c:showSerName val="0"/>
          <c:showPercent val="0"/>
          <c:showBubbleSize val="0"/>
        </c:dLbls>
        <c:gapWidth val="30"/>
        <c:overlap val="100"/>
        <c:axId val="51301376"/>
        <c:axId val="51315840"/>
      </c:barChart>
      <c:lineChart>
        <c:grouping val="standard"/>
        <c:varyColors val="0"/>
        <c:ser>
          <c:idx val="0"/>
          <c:order val="0"/>
          <c:tx>
            <c:strRef>
              <c:f>'výkonnost odvětví 3'!$X$10</c:f>
              <c:strCache>
                <c:ptCount val="1"/>
                <c:pt idx="0">
                  <c:v>Celková stavební produkce</c:v>
                </c:pt>
              </c:strCache>
            </c:strRef>
          </c:tx>
          <c:spPr>
            <a:ln>
              <a:noFill/>
            </a:ln>
          </c:spPr>
          <c:marker>
            <c:symbol val="dash"/>
            <c:size val="5"/>
            <c:spPr>
              <a:solidFill>
                <a:schemeClr val="bg1"/>
              </a:solidFill>
              <a:ln>
                <a:solidFill>
                  <a:schemeClr val="tx1">
                    <a:lumMod val="95000"/>
                    <a:lumOff val="5000"/>
                  </a:schemeClr>
                </a:solidFill>
              </a:ln>
            </c:spPr>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3'!$X$31:$X$68</c:f>
              <c:numCache>
                <c:formatCode>0.0</c:formatCode>
                <c:ptCount val="38"/>
                <c:pt idx="0">
                  <c:v>9.6141618855777917</c:v>
                </c:pt>
                <c:pt idx="1">
                  <c:v>13.156425150080382</c:v>
                </c:pt>
                <c:pt idx="2">
                  <c:v>9.2651169385864094</c:v>
                </c:pt>
                <c:pt idx="3">
                  <c:v>1.7832858585842644</c:v>
                </c:pt>
                <c:pt idx="4">
                  <c:v>-6.0456295668121705</c:v>
                </c:pt>
                <c:pt idx="5">
                  <c:v>-11.28594194638309</c:v>
                </c:pt>
                <c:pt idx="6">
                  <c:v>-7.2614553931968828</c:v>
                </c:pt>
                <c:pt idx="7">
                  <c:v>-3.2796939005406931</c:v>
                </c:pt>
                <c:pt idx="8">
                  <c:v>-2.3288964674777475</c:v>
                </c:pt>
                <c:pt idx="9">
                  <c:v>8.3799597044495204</c:v>
                </c:pt>
                <c:pt idx="10">
                  <c:v>1.5652786039197224</c:v>
                </c:pt>
                <c:pt idx="11">
                  <c:v>2.4971726228915552</c:v>
                </c:pt>
                <c:pt idx="12">
                  <c:v>15.353314524041306</c:v>
                </c:pt>
                <c:pt idx="13">
                  <c:v>7.1284624405345784</c:v>
                </c:pt>
                <c:pt idx="14">
                  <c:v>12.84136926562492</c:v>
                </c:pt>
                <c:pt idx="15">
                  <c:v>4.4126298578941894</c:v>
                </c:pt>
                <c:pt idx="16">
                  <c:v>5.3559748964336045</c:v>
                </c:pt>
                <c:pt idx="17">
                  <c:v>5.2258134143760895</c:v>
                </c:pt>
                <c:pt idx="18">
                  <c:v>-0.5478446653727933</c:v>
                </c:pt>
                <c:pt idx="19">
                  <c:v>2.5188573109170278</c:v>
                </c:pt>
                <c:pt idx="20">
                  <c:v>1.9281218451025097</c:v>
                </c:pt>
                <c:pt idx="21">
                  <c:v>-7.4891926247433593</c:v>
                </c:pt>
                <c:pt idx="22">
                  <c:v>-10.409381095155553</c:v>
                </c:pt>
                <c:pt idx="23">
                  <c:v>-8.1696233848860107</c:v>
                </c:pt>
                <c:pt idx="24">
                  <c:v>-5.462798543785226</c:v>
                </c:pt>
                <c:pt idx="25">
                  <c:v>4.3228777681756831</c:v>
                </c:pt>
                <c:pt idx="26">
                  <c:v>3.2277730825444899</c:v>
                </c:pt>
                <c:pt idx="27">
                  <c:v>4.3362188639930537</c:v>
                </c:pt>
                <c:pt idx="28">
                  <c:v>12.618281627275413</c:v>
                </c:pt>
                <c:pt idx="29">
                  <c:v>4.8703719702233474</c:v>
                </c:pt>
                <c:pt idx="30">
                  <c:v>-9.3665599063214797E-2</c:v>
                </c:pt>
                <c:pt idx="31">
                  <c:v>-2.6466048162703284E-2</c:v>
                </c:pt>
                <c:pt idx="32">
                  <c:v>-1.755337547034272</c:v>
                </c:pt>
                <c:pt idx="33">
                  <c:v>-4.1588311904322808</c:v>
                </c:pt>
                <c:pt idx="34">
                  <c:v>-0.57483925158297255</c:v>
                </c:pt>
                <c:pt idx="35">
                  <c:v>-2.9161951033402129</c:v>
                </c:pt>
                <c:pt idx="36">
                  <c:v>-4.3456172886628925</c:v>
                </c:pt>
              </c:numCache>
            </c:numRef>
          </c:val>
          <c:smooth val="0"/>
          <c:extLst>
            <c:ext xmlns:c16="http://schemas.microsoft.com/office/drawing/2014/chart" uri="{C3380CC4-5D6E-409C-BE32-E72D297353CC}">
              <c16:uniqueId val="{00000002-AB72-456C-9B3B-EF831BC714C4}"/>
            </c:ext>
          </c:extLst>
        </c:ser>
        <c:ser>
          <c:idx val="3"/>
          <c:order val="3"/>
          <c:tx>
            <c:strRef>
              <c:f>'výkonnost odvětví 3'!$AA$10</c:f>
              <c:strCache>
                <c:ptCount val="1"/>
                <c:pt idx="0">
                  <c:v>Nové stavební zakázky v tuzemsku</c:v>
                </c:pt>
              </c:strCache>
            </c:strRef>
          </c:tx>
          <c:spPr>
            <a:ln w="9525">
              <a:solidFill>
                <a:srgbClr val="984807"/>
              </a:solidFill>
              <a:prstDash val="sysDot"/>
            </a:ln>
          </c:spPr>
          <c:marker>
            <c:symbol val="diamond"/>
            <c:size val="4"/>
            <c:spPr>
              <a:solidFill>
                <a:srgbClr val="996633"/>
              </a:solidFill>
              <a:ln>
                <a:solidFill>
                  <a:srgbClr val="984807"/>
                </a:solidFill>
              </a:ln>
            </c:spPr>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3'!$AA$31:$AA$68</c:f>
              <c:numCache>
                <c:formatCode>0.0</c:formatCode>
                <c:ptCount val="38"/>
                <c:pt idx="0">
                  <c:v>-3.1547956675580053</c:v>
                </c:pt>
                <c:pt idx="1">
                  <c:v>9.7504961091663276</c:v>
                </c:pt>
                <c:pt idx="2">
                  <c:v>-1.0976060227612559</c:v>
                </c:pt>
                <c:pt idx="3">
                  <c:v>-2.3987783410040464</c:v>
                </c:pt>
                <c:pt idx="4">
                  <c:v>-6.6406358945753805</c:v>
                </c:pt>
                <c:pt idx="5">
                  <c:v>-0.49977652269311085</c:v>
                </c:pt>
                <c:pt idx="6">
                  <c:v>-7.0322087253454839</c:v>
                </c:pt>
                <c:pt idx="7">
                  <c:v>10.122126124559955</c:v>
                </c:pt>
                <c:pt idx="8">
                  <c:v>16.177217458847451</c:v>
                </c:pt>
                <c:pt idx="9">
                  <c:v>9.5350878984013079</c:v>
                </c:pt>
                <c:pt idx="10">
                  <c:v>-1.2817324431350698</c:v>
                </c:pt>
                <c:pt idx="11">
                  <c:v>15.620806693503823</c:v>
                </c:pt>
                <c:pt idx="12">
                  <c:v>30.106973873688574</c:v>
                </c:pt>
                <c:pt idx="13">
                  <c:v>32.836878110611956</c:v>
                </c:pt>
                <c:pt idx="14">
                  <c:v>5.2768249907951237</c:v>
                </c:pt>
                <c:pt idx="15">
                  <c:v>1.894456581103229</c:v>
                </c:pt>
                <c:pt idx="16">
                  <c:v>14.157245632065782</c:v>
                </c:pt>
                <c:pt idx="17">
                  <c:v>-9.3849543241233224</c:v>
                </c:pt>
                <c:pt idx="18">
                  <c:v>17.407871000993993</c:v>
                </c:pt>
                <c:pt idx="19">
                  <c:v>5.8323004254463804</c:v>
                </c:pt>
                <c:pt idx="20">
                  <c:v>-12.441635069859252</c:v>
                </c:pt>
                <c:pt idx="21">
                  <c:v>7.4973457220286726</c:v>
                </c:pt>
                <c:pt idx="22">
                  <c:v>2.0599736606932861</c:v>
                </c:pt>
                <c:pt idx="23">
                  <c:v>7.5507850088630155</c:v>
                </c:pt>
                <c:pt idx="24">
                  <c:v>28.856340981154403</c:v>
                </c:pt>
                <c:pt idx="25">
                  <c:v>22.047871359987191</c:v>
                </c:pt>
                <c:pt idx="26">
                  <c:v>10.015015612184266</c:v>
                </c:pt>
                <c:pt idx="27">
                  <c:v>1.0053213537781134</c:v>
                </c:pt>
                <c:pt idx="28">
                  <c:v>13.067478460417863</c:v>
                </c:pt>
                <c:pt idx="29">
                  <c:v>17.619163607261132</c:v>
                </c:pt>
                <c:pt idx="30">
                  <c:v>12.421954480552532</c:v>
                </c:pt>
                <c:pt idx="31">
                  <c:v>13.031852753748723</c:v>
                </c:pt>
                <c:pt idx="32">
                  <c:v>-10.144501025957545</c:v>
                </c:pt>
                <c:pt idx="33">
                  <c:v>-18.697561390531927</c:v>
                </c:pt>
                <c:pt idx="34">
                  <c:v>27.51481685466289</c:v>
                </c:pt>
                <c:pt idx="35">
                  <c:v>9.3063425617587541</c:v>
                </c:pt>
                <c:pt idx="36">
                  <c:v>30.591327492018308</c:v>
                </c:pt>
              </c:numCache>
            </c:numRef>
          </c:val>
          <c:smooth val="0"/>
          <c:extLst>
            <c:ext xmlns:c16="http://schemas.microsoft.com/office/drawing/2014/chart" uri="{C3380CC4-5D6E-409C-BE32-E72D297353CC}">
              <c16:uniqueId val="{00000003-AB72-456C-9B3B-EF831BC714C4}"/>
            </c:ext>
          </c:extLst>
        </c:ser>
        <c:dLbls>
          <c:showLegendKey val="0"/>
          <c:showVal val="0"/>
          <c:showCatName val="0"/>
          <c:showSerName val="0"/>
          <c:showPercent val="0"/>
          <c:showBubbleSize val="0"/>
        </c:dLbls>
        <c:marker val="1"/>
        <c:smooth val="0"/>
        <c:axId val="51301376"/>
        <c:axId val="51315840"/>
      </c:lineChart>
      <c:lineChart>
        <c:grouping val="standard"/>
        <c:varyColors val="0"/>
        <c:ser>
          <c:idx val="4"/>
          <c:order val="4"/>
          <c:tx>
            <c:strRef>
              <c:f>'výkonnost odvětví 3'!$AB$10</c:f>
              <c:strCache>
                <c:ptCount val="1"/>
                <c:pt idx="0">
                  <c:v>Bariéra růstu: nedostatečná poptávka</c:v>
                </c:pt>
              </c:strCache>
            </c:strRef>
          </c:tx>
          <c:spPr>
            <a:ln w="15875">
              <a:solidFill>
                <a:srgbClr val="00B050"/>
              </a:solidFill>
              <a:prstDash val="solid"/>
            </a:ln>
          </c:spPr>
          <c:marker>
            <c:symbol val="none"/>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3'!$AB$31:$AB$68</c:f>
              <c:numCache>
                <c:formatCode>#\ ##0.0</c:formatCode>
                <c:ptCount val="38"/>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c:v>19.5</c:v>
                </c:pt>
                <c:pt idx="28">
                  <c:v>21.3</c:v>
                </c:pt>
                <c:pt idx="29">
                  <c:v>21.1</c:v>
                </c:pt>
                <c:pt idx="30">
                  <c:v>19.3</c:v>
                </c:pt>
                <c:pt idx="31">
                  <c:v>20.6</c:v>
                </c:pt>
                <c:pt idx="32">
                  <c:v>31.9</c:v>
                </c:pt>
                <c:pt idx="33">
                  <c:v>32.300000000000004</c:v>
                </c:pt>
                <c:pt idx="34">
                  <c:v>36.300000000000004</c:v>
                </c:pt>
                <c:pt idx="35">
                  <c:v>29.2</c:v>
                </c:pt>
                <c:pt idx="36">
                  <c:v>20.5</c:v>
                </c:pt>
                <c:pt idx="37">
                  <c:v>22.3</c:v>
                </c:pt>
              </c:numCache>
            </c:numRef>
          </c:val>
          <c:smooth val="0"/>
          <c:extLst>
            <c:ext xmlns:c16="http://schemas.microsoft.com/office/drawing/2014/chart" uri="{C3380CC4-5D6E-409C-BE32-E72D297353CC}">
              <c16:uniqueId val="{00000004-AB72-456C-9B3B-EF831BC714C4}"/>
            </c:ext>
          </c:extLst>
        </c:ser>
        <c:ser>
          <c:idx val="5"/>
          <c:order val="5"/>
          <c:tx>
            <c:strRef>
              <c:f>'výkonnost odvětví 3'!$AC$10</c:f>
              <c:strCache>
                <c:ptCount val="1"/>
                <c:pt idx="0">
                  <c:v>Bariéra růstu: nedostatek pracovníků</c:v>
                </c:pt>
              </c:strCache>
            </c:strRef>
          </c:tx>
          <c:spPr>
            <a:ln w="15875">
              <a:solidFill>
                <a:schemeClr val="accent3">
                  <a:lumMod val="75000"/>
                </a:schemeClr>
              </a:solidFill>
              <a:prstDash val="dash"/>
            </a:ln>
          </c:spPr>
          <c:marker>
            <c:symbol val="none"/>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3'!$AC$31:$AC$68</c:f>
              <c:numCache>
                <c:formatCode>#\ ##0.0</c:formatCode>
                <c:ptCount val="38"/>
                <c:pt idx="0">
                  <c:v>8.3000000000000007</c:v>
                </c:pt>
                <c:pt idx="1">
                  <c:v>8.1</c:v>
                </c:pt>
                <c:pt idx="2">
                  <c:v>6.1</c:v>
                </c:pt>
                <c:pt idx="3">
                  <c:v>6</c:v>
                </c:pt>
                <c:pt idx="4">
                  <c:v>6.5</c:v>
                </c:pt>
                <c:pt idx="5">
                  <c:v>7.2</c:v>
                </c:pt>
                <c:pt idx="6">
                  <c:v>7.1</c:v>
                </c:pt>
                <c:pt idx="7">
                  <c:v>10.4</c:v>
                </c:pt>
                <c:pt idx="8">
                  <c:v>13.9</c:v>
                </c:pt>
                <c:pt idx="9">
                  <c:v>14.9</c:v>
                </c:pt>
                <c:pt idx="10">
                  <c:v>21.7</c:v>
                </c:pt>
                <c:pt idx="11">
                  <c:v>21.3</c:v>
                </c:pt>
                <c:pt idx="12">
                  <c:v>27</c:v>
                </c:pt>
                <c:pt idx="13">
                  <c:v>30.1</c:v>
                </c:pt>
                <c:pt idx="14">
                  <c:v>28.5</c:v>
                </c:pt>
                <c:pt idx="15">
                  <c:v>38.4</c:v>
                </c:pt>
                <c:pt idx="16">
                  <c:v>36.4</c:v>
                </c:pt>
                <c:pt idx="17">
                  <c:v>43.4</c:v>
                </c:pt>
                <c:pt idx="18">
                  <c:v>50.4</c:v>
                </c:pt>
                <c:pt idx="19">
                  <c:v>46.4</c:v>
                </c:pt>
                <c:pt idx="20">
                  <c:v>51.8</c:v>
                </c:pt>
                <c:pt idx="21">
                  <c:v>46</c:v>
                </c:pt>
                <c:pt idx="22">
                  <c:v>35.9</c:v>
                </c:pt>
                <c:pt idx="23" formatCode="0.0">
                  <c:v>32.1</c:v>
                </c:pt>
                <c:pt idx="24">
                  <c:v>47.9</c:v>
                </c:pt>
                <c:pt idx="25">
                  <c:v>31.7</c:v>
                </c:pt>
                <c:pt idx="26">
                  <c:v>41.4</c:v>
                </c:pt>
                <c:pt idx="27">
                  <c:v>42.5</c:v>
                </c:pt>
                <c:pt idx="28">
                  <c:v>57.2</c:v>
                </c:pt>
                <c:pt idx="29">
                  <c:v>44.3</c:v>
                </c:pt>
                <c:pt idx="30">
                  <c:v>39.4</c:v>
                </c:pt>
                <c:pt idx="31">
                  <c:v>47.3</c:v>
                </c:pt>
                <c:pt idx="32">
                  <c:v>39.5</c:v>
                </c:pt>
                <c:pt idx="33">
                  <c:v>35.5</c:v>
                </c:pt>
                <c:pt idx="34">
                  <c:v>30.3</c:v>
                </c:pt>
                <c:pt idx="35">
                  <c:v>30.9</c:v>
                </c:pt>
                <c:pt idx="36">
                  <c:v>54.4</c:v>
                </c:pt>
                <c:pt idx="37">
                  <c:v>46.8</c:v>
                </c:pt>
              </c:numCache>
            </c:numRef>
          </c:val>
          <c:smooth val="0"/>
          <c:extLst>
            <c:ext xmlns:c16="http://schemas.microsoft.com/office/drawing/2014/chart" uri="{C3380CC4-5D6E-409C-BE32-E72D297353CC}">
              <c16:uniqueId val="{00000005-AB72-456C-9B3B-EF831BC714C4}"/>
            </c:ext>
          </c:extLst>
        </c:ser>
        <c:ser>
          <c:idx val="6"/>
          <c:order val="6"/>
          <c:tx>
            <c:strRef>
              <c:f>'výkonnost odvětví 3'!$AD$10</c:f>
              <c:strCache>
                <c:ptCount val="1"/>
                <c:pt idx="0">
                  <c:v>Bariéra růstu: nedost. materiálu a vybavení</c:v>
                </c:pt>
              </c:strCache>
            </c:strRef>
          </c:tx>
          <c:spPr>
            <a:ln w="15875">
              <a:solidFill>
                <a:srgbClr val="37DD3B"/>
              </a:solidFill>
              <a:prstDash val="sysDash"/>
            </a:ln>
          </c:spPr>
          <c:marker>
            <c:symbol val="none"/>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3'!$AD$31:$AD$68</c:f>
              <c:numCache>
                <c:formatCode>#\ ##0.0</c:formatCode>
                <c:ptCount val="38"/>
                <c:pt idx="0">
                  <c:v>0.1</c:v>
                </c:pt>
                <c:pt idx="1">
                  <c:v>0.4</c:v>
                </c:pt>
                <c:pt idx="2">
                  <c:v>4</c:v>
                </c:pt>
                <c:pt idx="3">
                  <c:v>0.5</c:v>
                </c:pt>
                <c:pt idx="4">
                  <c:v>0.4</c:v>
                </c:pt>
                <c:pt idx="5">
                  <c:v>0.5</c:v>
                </c:pt>
                <c:pt idx="6">
                  <c:v>0.5</c:v>
                </c:pt>
                <c:pt idx="7">
                  <c:v>1.5</c:v>
                </c:pt>
                <c:pt idx="8">
                  <c:v>0.30000000000000021</c:v>
                </c:pt>
                <c:pt idx="9">
                  <c:v>0.30000000000000021</c:v>
                </c:pt>
                <c:pt idx="10">
                  <c:v>3.3</c:v>
                </c:pt>
                <c:pt idx="11">
                  <c:v>4.2</c:v>
                </c:pt>
                <c:pt idx="12">
                  <c:v>5.5</c:v>
                </c:pt>
                <c:pt idx="13">
                  <c:v>1.2</c:v>
                </c:pt>
                <c:pt idx="14">
                  <c:v>6.8</c:v>
                </c:pt>
                <c:pt idx="15">
                  <c:v>3.5</c:v>
                </c:pt>
                <c:pt idx="16">
                  <c:v>4.3</c:v>
                </c:pt>
                <c:pt idx="17">
                  <c:v>5.7</c:v>
                </c:pt>
                <c:pt idx="18">
                  <c:v>5.3</c:v>
                </c:pt>
                <c:pt idx="19">
                  <c:v>4</c:v>
                </c:pt>
                <c:pt idx="20">
                  <c:v>1.9000000000000001</c:v>
                </c:pt>
                <c:pt idx="21">
                  <c:v>3.4</c:v>
                </c:pt>
                <c:pt idx="22">
                  <c:v>1.3</c:v>
                </c:pt>
                <c:pt idx="23">
                  <c:v>0.8</c:v>
                </c:pt>
                <c:pt idx="24">
                  <c:v>1.3</c:v>
                </c:pt>
                <c:pt idx="25">
                  <c:v>4.3</c:v>
                </c:pt>
                <c:pt idx="26">
                  <c:v>16.3</c:v>
                </c:pt>
                <c:pt idx="27">
                  <c:v>22.8</c:v>
                </c:pt>
                <c:pt idx="28">
                  <c:v>24.7</c:v>
                </c:pt>
                <c:pt idx="29">
                  <c:v>41.3</c:v>
                </c:pt>
                <c:pt idx="30">
                  <c:v>38.6</c:v>
                </c:pt>
                <c:pt idx="31">
                  <c:v>23.4</c:v>
                </c:pt>
                <c:pt idx="32">
                  <c:v>19.5</c:v>
                </c:pt>
                <c:pt idx="33">
                  <c:v>17</c:v>
                </c:pt>
                <c:pt idx="34">
                  <c:v>13</c:v>
                </c:pt>
                <c:pt idx="35">
                  <c:v>13.9</c:v>
                </c:pt>
                <c:pt idx="36">
                  <c:v>22.5</c:v>
                </c:pt>
                <c:pt idx="37">
                  <c:v>22.2</c:v>
                </c:pt>
              </c:numCache>
            </c:numRef>
          </c:val>
          <c:smooth val="0"/>
          <c:extLst>
            <c:ext xmlns:c16="http://schemas.microsoft.com/office/drawing/2014/chart" uri="{C3380CC4-5D6E-409C-BE32-E72D297353CC}">
              <c16:uniqueId val="{00000006-AB72-456C-9B3B-EF831BC714C4}"/>
            </c:ext>
          </c:extLst>
        </c:ser>
        <c:ser>
          <c:idx val="7"/>
          <c:order val="7"/>
          <c:tx>
            <c:strRef>
              <c:f>'výkonnost odvětví 3'!$AE$10</c:f>
              <c:strCache>
                <c:ptCount val="1"/>
                <c:pt idx="0">
                  <c:v>Saldo indikátoru důvěry ve stavebnictví</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3'!$V$31:$W$68</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3'!$AE$31:$AE$68</c:f>
              <c:numCache>
                <c:formatCode>0.0</c:formatCode>
                <c:ptCount val="38"/>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pt idx="31">
                  <c:v>-4.5</c:v>
                </c:pt>
                <c:pt idx="32">
                  <c:v>-11.5</c:v>
                </c:pt>
                <c:pt idx="33">
                  <c:v>-15.5</c:v>
                </c:pt>
                <c:pt idx="34">
                  <c:v>-16.5</c:v>
                </c:pt>
                <c:pt idx="35">
                  <c:v>-11</c:v>
                </c:pt>
                <c:pt idx="36">
                  <c:v>-7</c:v>
                </c:pt>
                <c:pt idx="37">
                  <c:v>-14</c:v>
                </c:pt>
              </c:numCache>
            </c:numRef>
          </c:val>
          <c:smooth val="0"/>
          <c:extLst>
            <c:ext xmlns:c16="http://schemas.microsoft.com/office/drawing/2014/chart" uri="{C3380CC4-5D6E-409C-BE32-E72D297353CC}">
              <c16:uniqueId val="{00000007-AB72-456C-9B3B-EF831BC714C4}"/>
            </c:ext>
          </c:extLst>
        </c:ser>
        <c:dLbls>
          <c:showLegendKey val="0"/>
          <c:showVal val="0"/>
          <c:showCatName val="0"/>
          <c:showSerName val="0"/>
          <c:showPercent val="0"/>
          <c:showBubbleSize val="0"/>
        </c:dLbls>
        <c:marker val="1"/>
        <c:smooth val="0"/>
        <c:axId val="51319936"/>
        <c:axId val="51317760"/>
      </c:lineChart>
      <c:catAx>
        <c:axId val="51301376"/>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51315840"/>
        <c:crosses val="autoZero"/>
        <c:auto val="1"/>
        <c:lblAlgn val="ctr"/>
        <c:lblOffset val="0"/>
        <c:noMultiLvlLbl val="0"/>
      </c:catAx>
      <c:valAx>
        <c:axId val="51315840"/>
        <c:scaling>
          <c:orientation val="minMax"/>
          <c:max val="80"/>
          <c:min val="-2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Zakázky, příspěvky k změně stavební produkce</a:t>
                </a:r>
              </a:p>
            </c:rich>
          </c:tx>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51301376"/>
        <c:crosses val="autoZero"/>
        <c:crossBetween val="between"/>
        <c:majorUnit val="10"/>
      </c:valAx>
      <c:valAx>
        <c:axId val="51317760"/>
        <c:scaling>
          <c:orientation val="minMax"/>
          <c:max val="100"/>
          <c:min val="-10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 důvěry, bariéry růstu</a:t>
                </a:r>
              </a:p>
            </c:rich>
          </c:tx>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51319936"/>
        <c:crosses val="max"/>
        <c:crossBetween val="between"/>
        <c:majorUnit val="20"/>
      </c:valAx>
      <c:catAx>
        <c:axId val="51319936"/>
        <c:scaling>
          <c:orientation val="minMax"/>
        </c:scaling>
        <c:delete val="1"/>
        <c:axPos val="b"/>
        <c:numFmt formatCode="General" sourceLinked="1"/>
        <c:majorTickMark val="out"/>
        <c:minorTickMark val="none"/>
        <c:tickLblPos val="none"/>
        <c:crossAx val="51317760"/>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8499319708759499E-2"/>
          <c:y val="0.85936703322638652"/>
          <c:w val="0.96925714241885441"/>
          <c:h val="0.13362821778942569"/>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385677352723435E-2"/>
          <c:y val="1.5803328678987455E-2"/>
          <c:w val="0.83979584077702996"/>
          <c:h val="0.69902590308489432"/>
        </c:manualLayout>
      </c:layout>
      <c:barChart>
        <c:barDir val="col"/>
        <c:grouping val="stacked"/>
        <c:varyColors val="0"/>
        <c:ser>
          <c:idx val="0"/>
          <c:order val="1"/>
          <c:tx>
            <c:strRef>
              <c:f>'Služby-příspěvkyk růstu-4'!$D$33</c:f>
              <c:strCache>
                <c:ptCount val="1"/>
                <c:pt idx="0">
                  <c:v>Doprava a skladování (p. b.)</c:v>
                </c:pt>
              </c:strCache>
            </c:strRef>
          </c:tx>
          <c:spPr>
            <a:solidFill>
              <a:srgbClr val="92D050"/>
            </a:solidFill>
            <a:ln>
              <a:noFill/>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růstu-4'!$D$46:$D$83</c:f>
              <c:numCache>
                <c:formatCode>0.0</c:formatCode>
                <c:ptCount val="38"/>
                <c:pt idx="0">
                  <c:v>0.28583707131499864</c:v>
                </c:pt>
                <c:pt idx="1">
                  <c:v>9.9073319502600551E-2</c:v>
                </c:pt>
                <c:pt idx="2">
                  <c:v>0.31769782750540138</c:v>
                </c:pt>
                <c:pt idx="3">
                  <c:v>0.12210619116400009</c:v>
                </c:pt>
                <c:pt idx="4">
                  <c:v>0.28220883268199926</c:v>
                </c:pt>
                <c:pt idx="5">
                  <c:v>6.1181950046598127E-2</c:v>
                </c:pt>
                <c:pt idx="6">
                  <c:v>0.16591602609100148</c:v>
                </c:pt>
                <c:pt idx="7">
                  <c:v>0.78068825847900136</c:v>
                </c:pt>
                <c:pt idx="8">
                  <c:v>1.5613141921709988</c:v>
                </c:pt>
                <c:pt idx="9">
                  <c:v>1.122930781783998</c:v>
                </c:pt>
                <c:pt idx="10">
                  <c:v>1.0641446548009998</c:v>
                </c:pt>
                <c:pt idx="11">
                  <c:v>0.59189353382399879</c:v>
                </c:pt>
                <c:pt idx="12">
                  <c:v>1.6915596254819993</c:v>
                </c:pt>
                <c:pt idx="13">
                  <c:v>1.8149616493690008</c:v>
                </c:pt>
                <c:pt idx="14">
                  <c:v>1.4972066301569984</c:v>
                </c:pt>
                <c:pt idx="15">
                  <c:v>0.48435757114800193</c:v>
                </c:pt>
                <c:pt idx="16">
                  <c:v>8.7680447270998052E-2</c:v>
                </c:pt>
                <c:pt idx="17">
                  <c:v>-0.13218522120399967</c:v>
                </c:pt>
                <c:pt idx="18">
                  <c:v>-0.30882816758200105</c:v>
                </c:pt>
                <c:pt idx="19">
                  <c:v>-7.2429796977600117E-2</c:v>
                </c:pt>
                <c:pt idx="20">
                  <c:v>-1.5388901719333996</c:v>
                </c:pt>
                <c:pt idx="21">
                  <c:v>-6.3630415493666987</c:v>
                </c:pt>
                <c:pt idx="22">
                  <c:v>-3.9404740003479741</c:v>
                </c:pt>
                <c:pt idx="23">
                  <c:v>-1.3606128435167992</c:v>
                </c:pt>
                <c:pt idx="24">
                  <c:v>0.40899428206630034</c:v>
                </c:pt>
                <c:pt idx="25">
                  <c:v>6.4857042983519992</c:v>
                </c:pt>
                <c:pt idx="26">
                  <c:v>3.6844418834935992</c:v>
                </c:pt>
                <c:pt idx="27">
                  <c:v>3.3217790689831346</c:v>
                </c:pt>
                <c:pt idx="28">
                  <c:v>3.9514408665104899</c:v>
                </c:pt>
                <c:pt idx="29">
                  <c:v>4.0151538723392397</c:v>
                </c:pt>
                <c:pt idx="30">
                  <c:v>3.2323731249468759</c:v>
                </c:pt>
                <c:pt idx="31">
                  <c:v>0.68736316295880218</c:v>
                </c:pt>
                <c:pt idx="32">
                  <c:v>-1.2129729416320014</c:v>
                </c:pt>
                <c:pt idx="33">
                  <c:v>-3.099026668853849</c:v>
                </c:pt>
                <c:pt idx="34">
                  <c:v>-3.4692285655333293</c:v>
                </c:pt>
                <c:pt idx="35">
                  <c:v>-2.6080977613502347</c:v>
                </c:pt>
                <c:pt idx="36">
                  <c:v>0.12301447772012634</c:v>
                </c:pt>
              </c:numCache>
            </c:numRef>
          </c:val>
          <c:extLst>
            <c:ext xmlns:c16="http://schemas.microsoft.com/office/drawing/2014/chart" uri="{C3380CC4-5D6E-409C-BE32-E72D297353CC}">
              <c16:uniqueId val="{00000000-D41C-4E7E-8BB2-805FE0CE34D4}"/>
            </c:ext>
          </c:extLst>
        </c:ser>
        <c:ser>
          <c:idx val="1"/>
          <c:order val="2"/>
          <c:tx>
            <c:strRef>
              <c:f>'Služby-příspěvkyk růstu-4'!$E$33</c:f>
              <c:strCache>
                <c:ptCount val="1"/>
                <c:pt idx="0">
                  <c:v>Ubytování, stravování a pohostinství (p. b.)</c:v>
                </c:pt>
              </c:strCache>
            </c:strRef>
          </c:tx>
          <c:spPr>
            <a:solidFill>
              <a:srgbClr val="00B0F0"/>
            </a:solidFill>
            <a:ln>
              <a:noFill/>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růstu-4'!$E$46:$E$83</c:f>
              <c:numCache>
                <c:formatCode>0.0</c:formatCode>
                <c:ptCount val="38"/>
                <c:pt idx="0">
                  <c:v>0.22716240604080018</c:v>
                </c:pt>
                <c:pt idx="1">
                  <c:v>0.65001523589900034</c:v>
                </c:pt>
                <c:pt idx="2">
                  <c:v>0.65043885271950042</c:v>
                </c:pt>
                <c:pt idx="3">
                  <c:v>0.40286531384040036</c:v>
                </c:pt>
                <c:pt idx="4">
                  <c:v>0.47082926396040031</c:v>
                </c:pt>
                <c:pt idx="5">
                  <c:v>0.17677577920749962</c:v>
                </c:pt>
                <c:pt idx="6">
                  <c:v>0.57113528170200001</c:v>
                </c:pt>
                <c:pt idx="7">
                  <c:v>0.60157631975219972</c:v>
                </c:pt>
                <c:pt idx="8">
                  <c:v>0.9154231899449996</c:v>
                </c:pt>
                <c:pt idx="9">
                  <c:v>1.2344281014258005</c:v>
                </c:pt>
                <c:pt idx="10">
                  <c:v>0.55621615324820017</c:v>
                </c:pt>
                <c:pt idx="11">
                  <c:v>0.45646654612940007</c:v>
                </c:pt>
                <c:pt idx="12">
                  <c:v>0.20372087178279991</c:v>
                </c:pt>
                <c:pt idx="13">
                  <c:v>5.3418687620000245E-2</c:v>
                </c:pt>
                <c:pt idx="14">
                  <c:v>6.3072083089999523E-2</c:v>
                </c:pt>
                <c:pt idx="15">
                  <c:v>-3.690856285000052E-2</c:v>
                </c:pt>
                <c:pt idx="16">
                  <c:v>-0.36352759744700047</c:v>
                </c:pt>
                <c:pt idx="17">
                  <c:v>-0.66972254409340026</c:v>
                </c:pt>
                <c:pt idx="18">
                  <c:v>0.55939150605359955</c:v>
                </c:pt>
                <c:pt idx="19">
                  <c:v>0.81136645955399955</c:v>
                </c:pt>
                <c:pt idx="20">
                  <c:v>-1.02121923221554</c:v>
                </c:pt>
                <c:pt idx="21">
                  <c:v>-4.7572576440565006</c:v>
                </c:pt>
                <c:pt idx="22">
                  <c:v>-1.8794605145432095</c:v>
                </c:pt>
                <c:pt idx="23">
                  <c:v>-4.4951618716172961</c:v>
                </c:pt>
                <c:pt idx="24">
                  <c:v>-3.6369333050125001</c:v>
                </c:pt>
                <c:pt idx="25">
                  <c:v>1.4031540944905208</c:v>
                </c:pt>
                <c:pt idx="26">
                  <c:v>0.65992665946500029</c:v>
                </c:pt>
                <c:pt idx="27">
                  <c:v>2.8955262444650116</c:v>
                </c:pt>
                <c:pt idx="28">
                  <c:v>2.8318183263071997</c:v>
                </c:pt>
                <c:pt idx="29">
                  <c:v>2.4351378857488077</c:v>
                </c:pt>
                <c:pt idx="30">
                  <c:v>-0.45787271333559287</c:v>
                </c:pt>
                <c:pt idx="31">
                  <c:v>0.56724882175460012</c:v>
                </c:pt>
                <c:pt idx="32">
                  <c:v>0.47232775791700016</c:v>
                </c:pt>
                <c:pt idx="33">
                  <c:v>-2.9380545797294239E-2</c:v>
                </c:pt>
                <c:pt idx="34">
                  <c:v>0.13034872931637551</c:v>
                </c:pt>
                <c:pt idx="35">
                  <c:v>7.6431753799216448E-2</c:v>
                </c:pt>
                <c:pt idx="36">
                  <c:v>0.15978861624508284</c:v>
                </c:pt>
              </c:numCache>
            </c:numRef>
          </c:val>
          <c:extLst>
            <c:ext xmlns:c16="http://schemas.microsoft.com/office/drawing/2014/chart" uri="{C3380CC4-5D6E-409C-BE32-E72D297353CC}">
              <c16:uniqueId val="{00000001-D41C-4E7E-8BB2-805FE0CE34D4}"/>
            </c:ext>
          </c:extLst>
        </c:ser>
        <c:ser>
          <c:idx val="2"/>
          <c:order val="3"/>
          <c:tx>
            <c:strRef>
              <c:f>'Služby-příspěvkyk růstu-4'!$F$33</c:f>
              <c:strCache>
                <c:ptCount val="1"/>
                <c:pt idx="0">
                  <c:v>Informační a komunikační činnosti (p. b.)</c:v>
                </c:pt>
              </c:strCache>
            </c:strRef>
          </c:tx>
          <c:spPr>
            <a:solidFill>
              <a:srgbClr val="E6E100"/>
            </a:solidFill>
            <a:ln>
              <a:noFill/>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růstu-4'!$F$46:$F$83</c:f>
              <c:numCache>
                <c:formatCode>0.0</c:formatCode>
                <c:ptCount val="38"/>
                <c:pt idx="0">
                  <c:v>1.3475600006119992</c:v>
                </c:pt>
                <c:pt idx="1">
                  <c:v>0.66866302459200067</c:v>
                </c:pt>
                <c:pt idx="2">
                  <c:v>0.76957802431699907</c:v>
                </c:pt>
                <c:pt idx="3">
                  <c:v>1.4886414789369995</c:v>
                </c:pt>
                <c:pt idx="4">
                  <c:v>0.31877743705500039</c:v>
                </c:pt>
                <c:pt idx="5">
                  <c:v>0.20661529177999968</c:v>
                </c:pt>
                <c:pt idx="6">
                  <c:v>0.33414735394100048</c:v>
                </c:pt>
                <c:pt idx="7">
                  <c:v>-1.5907952160003447E-3</c:v>
                </c:pt>
                <c:pt idx="8">
                  <c:v>0.81368973776000075</c:v>
                </c:pt>
                <c:pt idx="9">
                  <c:v>0.85417546131300082</c:v>
                </c:pt>
                <c:pt idx="10">
                  <c:v>0.70502890964199894</c:v>
                </c:pt>
                <c:pt idx="11">
                  <c:v>0.57956639880599936</c:v>
                </c:pt>
                <c:pt idx="12">
                  <c:v>1.4478889516160005</c:v>
                </c:pt>
                <c:pt idx="13">
                  <c:v>0.80994689822300014</c:v>
                </c:pt>
                <c:pt idx="14">
                  <c:v>1.4688126825399994</c:v>
                </c:pt>
                <c:pt idx="15">
                  <c:v>1.086122449493</c:v>
                </c:pt>
                <c:pt idx="16">
                  <c:v>0.58941772132699954</c:v>
                </c:pt>
                <c:pt idx="17">
                  <c:v>1.4226829106699992</c:v>
                </c:pt>
                <c:pt idx="18">
                  <c:v>1.6743952337219994</c:v>
                </c:pt>
                <c:pt idx="19">
                  <c:v>0.80346819102189926</c:v>
                </c:pt>
                <c:pt idx="20">
                  <c:v>0.70778641415200061</c:v>
                </c:pt>
                <c:pt idx="21">
                  <c:v>-0.1282918788954005</c:v>
                </c:pt>
                <c:pt idx="22">
                  <c:v>-0.45078576191000025</c:v>
                </c:pt>
                <c:pt idx="23">
                  <c:v>-0.76558883395124844</c:v>
                </c:pt>
                <c:pt idx="24">
                  <c:v>0.73366723394700006</c:v>
                </c:pt>
                <c:pt idx="25">
                  <c:v>1.7207045513606583</c:v>
                </c:pt>
                <c:pt idx="26">
                  <c:v>1.7361457132958011</c:v>
                </c:pt>
                <c:pt idx="27">
                  <c:v>2.1189808181123286</c:v>
                </c:pt>
                <c:pt idx="28">
                  <c:v>1.7513568138013991</c:v>
                </c:pt>
                <c:pt idx="29">
                  <c:v>0.98399950600799913</c:v>
                </c:pt>
                <c:pt idx="30">
                  <c:v>0.77268922490967784</c:v>
                </c:pt>
                <c:pt idx="31">
                  <c:v>0.37460811931764648</c:v>
                </c:pt>
                <c:pt idx="32">
                  <c:v>0.58485544392239908</c:v>
                </c:pt>
                <c:pt idx="33">
                  <c:v>-1.1415645740895557E-2</c:v>
                </c:pt>
                <c:pt idx="34">
                  <c:v>-0.79502750900049046</c:v>
                </c:pt>
                <c:pt idx="35">
                  <c:v>-0.7938046823104834</c:v>
                </c:pt>
                <c:pt idx="36">
                  <c:v>0.10083125511494737</c:v>
                </c:pt>
              </c:numCache>
            </c:numRef>
          </c:val>
          <c:extLst>
            <c:ext xmlns:c16="http://schemas.microsoft.com/office/drawing/2014/chart" uri="{C3380CC4-5D6E-409C-BE32-E72D297353CC}">
              <c16:uniqueId val="{00000002-D41C-4E7E-8BB2-805FE0CE34D4}"/>
            </c:ext>
          </c:extLst>
        </c:ser>
        <c:ser>
          <c:idx val="4"/>
          <c:order val="4"/>
          <c:tx>
            <c:strRef>
              <c:f>'Služby-příspěvkyk růstu-4'!$G$33</c:f>
              <c:strCache>
                <c:ptCount val="1"/>
                <c:pt idx="0">
                  <c:v>Činnosti v oblasti nemovitostí (p. b.)</c:v>
                </c:pt>
              </c:strCache>
            </c:strRef>
          </c:tx>
          <c:spPr>
            <a:solidFill>
              <a:schemeClr val="accent5">
                <a:lumMod val="60000"/>
                <a:lumOff val="40000"/>
              </a:schemeClr>
            </a:solidFill>
            <a:ln>
              <a:noFill/>
              <a:prstDash val="sysDash"/>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růstu-4'!$G$46:$G$83</c:f>
              <c:numCache>
                <c:formatCode>0.0</c:formatCode>
                <c:ptCount val="38"/>
                <c:pt idx="0">
                  <c:v>4.746770298419966E-2</c:v>
                </c:pt>
                <c:pt idx="1">
                  <c:v>-7.1736494634002381E-3</c:v>
                </c:pt>
                <c:pt idx="2">
                  <c:v>0.12594742008660062</c:v>
                </c:pt>
                <c:pt idx="3">
                  <c:v>2.5503553016999546E-2</c:v>
                </c:pt>
                <c:pt idx="4">
                  <c:v>0.25581412202700016</c:v>
                </c:pt>
                <c:pt idx="5">
                  <c:v>-5.8871280300053285E-4</c:v>
                </c:pt>
                <c:pt idx="6">
                  <c:v>0.14820611830979977</c:v>
                </c:pt>
                <c:pt idx="7">
                  <c:v>-6.673245353100031E-2</c:v>
                </c:pt>
                <c:pt idx="8">
                  <c:v>0.21337518275449996</c:v>
                </c:pt>
                <c:pt idx="9">
                  <c:v>0.44510148149939993</c:v>
                </c:pt>
                <c:pt idx="10">
                  <c:v>-2.3161044655499695E-2</c:v>
                </c:pt>
                <c:pt idx="11">
                  <c:v>0.13973557355700003</c:v>
                </c:pt>
                <c:pt idx="12">
                  <c:v>2.4776891451000493E-2</c:v>
                </c:pt>
                <c:pt idx="13">
                  <c:v>-0.24771466350479987</c:v>
                </c:pt>
                <c:pt idx="14">
                  <c:v>-0.12634060942140016</c:v>
                </c:pt>
                <c:pt idx="15">
                  <c:v>-0.22296155792339972</c:v>
                </c:pt>
                <c:pt idx="16">
                  <c:v>-0.59230274151539974</c:v>
                </c:pt>
                <c:pt idx="17">
                  <c:v>-0.14941666489739952</c:v>
                </c:pt>
                <c:pt idx="18">
                  <c:v>0.15857003378880019</c:v>
                </c:pt>
                <c:pt idx="19">
                  <c:v>0.41231320665960003</c:v>
                </c:pt>
                <c:pt idx="20">
                  <c:v>0.43752910629419994</c:v>
                </c:pt>
                <c:pt idx="21">
                  <c:v>-0.31303453713669938</c:v>
                </c:pt>
                <c:pt idx="22">
                  <c:v>-0.26031344919999999</c:v>
                </c:pt>
                <c:pt idx="23">
                  <c:v>-0.23208025015669992</c:v>
                </c:pt>
                <c:pt idx="24">
                  <c:v>-0.20717928801940017</c:v>
                </c:pt>
                <c:pt idx="25">
                  <c:v>0.47457604296674993</c:v>
                </c:pt>
                <c:pt idx="26">
                  <c:v>-4.0996780129997036E-3</c:v>
                </c:pt>
                <c:pt idx="27">
                  <c:v>0.24096930540479963</c:v>
                </c:pt>
                <c:pt idx="28">
                  <c:v>0.94475021021679939</c:v>
                </c:pt>
                <c:pt idx="29">
                  <c:v>0.4723015234319996</c:v>
                </c:pt>
                <c:pt idx="30">
                  <c:v>0.21987990588947368</c:v>
                </c:pt>
                <c:pt idx="31">
                  <c:v>0.34935607946666636</c:v>
                </c:pt>
                <c:pt idx="32">
                  <c:v>0.14370495810719947</c:v>
                </c:pt>
                <c:pt idx="33">
                  <c:v>-0.15312531256454071</c:v>
                </c:pt>
                <c:pt idx="34">
                  <c:v>-0.26269128038412337</c:v>
                </c:pt>
                <c:pt idx="35">
                  <c:v>-0.20581433335534355</c:v>
                </c:pt>
                <c:pt idx="36">
                  <c:v>-7.6998825414431121E-2</c:v>
                </c:pt>
              </c:numCache>
            </c:numRef>
          </c:val>
          <c:extLst>
            <c:ext xmlns:c16="http://schemas.microsoft.com/office/drawing/2014/chart" uri="{C3380CC4-5D6E-409C-BE32-E72D297353CC}">
              <c16:uniqueId val="{00000003-D41C-4E7E-8BB2-805FE0CE34D4}"/>
            </c:ext>
          </c:extLst>
        </c:ser>
        <c:ser>
          <c:idx val="5"/>
          <c:order val="5"/>
          <c:tx>
            <c:strRef>
              <c:f>'Služby-příspěvkyk růstu-4'!$H$33</c:f>
              <c:strCache>
                <c:ptCount val="1"/>
                <c:pt idx="0">
                  <c:v>Profesní, vědecké a technické činnosti (p. b.)</c:v>
                </c:pt>
              </c:strCache>
            </c:strRef>
          </c:tx>
          <c:spPr>
            <a:solidFill>
              <a:schemeClr val="accent6">
                <a:lumMod val="60000"/>
                <a:lumOff val="40000"/>
              </a:schemeClr>
            </a:solidFill>
            <a:ln>
              <a:noFill/>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růstu-4'!$H$46:$H$83</c:f>
              <c:numCache>
                <c:formatCode>0.0</c:formatCode>
                <c:ptCount val="38"/>
                <c:pt idx="0">
                  <c:v>1.0880520996029996</c:v>
                </c:pt>
                <c:pt idx="1">
                  <c:v>0.74361697973999985</c:v>
                </c:pt>
                <c:pt idx="2">
                  <c:v>1.1124163133600007</c:v>
                </c:pt>
                <c:pt idx="3">
                  <c:v>-4.565689538760101E-2</c:v>
                </c:pt>
                <c:pt idx="4">
                  <c:v>-0.42777544952319951</c:v>
                </c:pt>
                <c:pt idx="5">
                  <c:v>-1.3881659651599989</c:v>
                </c:pt>
                <c:pt idx="6">
                  <c:v>3.2450629870800683E-2</c:v>
                </c:pt>
                <c:pt idx="7">
                  <c:v>-0.31316142237530059</c:v>
                </c:pt>
                <c:pt idx="8">
                  <c:v>0.97301367041999931</c:v>
                </c:pt>
                <c:pt idx="9">
                  <c:v>0.61036630698759931</c:v>
                </c:pt>
                <c:pt idx="10">
                  <c:v>0.29822562376110068</c:v>
                </c:pt>
                <c:pt idx="11">
                  <c:v>0.39661775964799895</c:v>
                </c:pt>
                <c:pt idx="12">
                  <c:v>1.0432277278803002</c:v>
                </c:pt>
                <c:pt idx="13">
                  <c:v>0.5277616084097011</c:v>
                </c:pt>
                <c:pt idx="14">
                  <c:v>0.33063617776669868</c:v>
                </c:pt>
                <c:pt idx="15">
                  <c:v>-0.3275368981885991</c:v>
                </c:pt>
                <c:pt idx="16">
                  <c:v>-0.22084952351709861</c:v>
                </c:pt>
                <c:pt idx="17">
                  <c:v>0.93052352491439916</c:v>
                </c:pt>
                <c:pt idx="18">
                  <c:v>-1.1995249704883002</c:v>
                </c:pt>
                <c:pt idx="19">
                  <c:v>0.1316248734900006</c:v>
                </c:pt>
                <c:pt idx="20">
                  <c:v>-1.2601566612770994</c:v>
                </c:pt>
                <c:pt idx="21">
                  <c:v>-3.4366386991859987</c:v>
                </c:pt>
                <c:pt idx="22">
                  <c:v>-1.7291196666688515</c:v>
                </c:pt>
                <c:pt idx="23">
                  <c:v>-1.6772597720676004</c:v>
                </c:pt>
                <c:pt idx="24">
                  <c:v>-1.8346424682827585</c:v>
                </c:pt>
                <c:pt idx="25">
                  <c:v>2.6510046263427998</c:v>
                </c:pt>
                <c:pt idx="26">
                  <c:v>1.7508962010128015</c:v>
                </c:pt>
                <c:pt idx="27">
                  <c:v>2.2400850079907202</c:v>
                </c:pt>
                <c:pt idx="28">
                  <c:v>2.2876079414759998</c:v>
                </c:pt>
                <c:pt idx="29">
                  <c:v>1.3872455323777775</c:v>
                </c:pt>
                <c:pt idx="30">
                  <c:v>0.99227591104347768</c:v>
                </c:pt>
                <c:pt idx="31">
                  <c:v>0.14393939496428487</c:v>
                </c:pt>
                <c:pt idx="32">
                  <c:v>0.81900948593429967</c:v>
                </c:pt>
                <c:pt idx="33">
                  <c:v>0.78508139570585855</c:v>
                </c:pt>
                <c:pt idx="34">
                  <c:v>0.13004879090092139</c:v>
                </c:pt>
                <c:pt idx="35">
                  <c:v>0.82734148939788288</c:v>
                </c:pt>
                <c:pt idx="36">
                  <c:v>0.36102471036532224</c:v>
                </c:pt>
              </c:numCache>
            </c:numRef>
          </c:val>
          <c:extLst>
            <c:ext xmlns:c16="http://schemas.microsoft.com/office/drawing/2014/chart" uri="{C3380CC4-5D6E-409C-BE32-E72D297353CC}">
              <c16:uniqueId val="{00000004-D41C-4E7E-8BB2-805FE0CE34D4}"/>
            </c:ext>
          </c:extLst>
        </c:ser>
        <c:ser>
          <c:idx val="6"/>
          <c:order val="6"/>
          <c:tx>
            <c:strRef>
              <c:f>'Služby-příspěvkyk růstu-4'!$I$33</c:f>
              <c:strCache>
                <c:ptCount val="1"/>
                <c:pt idx="0">
                  <c:v>Administr. a podpůrné čin. (příspěvek v p. b.)</c:v>
                </c:pt>
              </c:strCache>
            </c:strRef>
          </c:tx>
          <c:spPr>
            <a:solidFill>
              <a:schemeClr val="accent1">
                <a:lumMod val="20000"/>
                <a:lumOff val="80000"/>
              </a:schemeClr>
            </a:solidFill>
            <a:ln>
              <a:noFill/>
            </a:ln>
          </c:spPr>
          <c:invertIfNegative val="0"/>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růstu-4'!$I$46:$I$83</c:f>
              <c:numCache>
                <c:formatCode>0.0</c:formatCode>
                <c:ptCount val="38"/>
                <c:pt idx="0">
                  <c:v>0.43712925900860061</c:v>
                </c:pt>
                <c:pt idx="1">
                  <c:v>0.52715289377499985</c:v>
                </c:pt>
                <c:pt idx="2">
                  <c:v>0.30410241097500013</c:v>
                </c:pt>
                <c:pt idx="3">
                  <c:v>0.36652377459450047</c:v>
                </c:pt>
                <c:pt idx="4">
                  <c:v>0.38200556495039989</c:v>
                </c:pt>
                <c:pt idx="5">
                  <c:v>5.5683904032899467E-2</c:v>
                </c:pt>
                <c:pt idx="6">
                  <c:v>0.25322776738810082</c:v>
                </c:pt>
                <c:pt idx="7">
                  <c:v>0.50752865690419957</c:v>
                </c:pt>
                <c:pt idx="8">
                  <c:v>1.2867283782210006</c:v>
                </c:pt>
                <c:pt idx="9">
                  <c:v>1.1106873038032994</c:v>
                </c:pt>
                <c:pt idx="10">
                  <c:v>0.67802933227800077</c:v>
                </c:pt>
                <c:pt idx="11">
                  <c:v>0.27967830350980011</c:v>
                </c:pt>
                <c:pt idx="12">
                  <c:v>0.54732406709499937</c:v>
                </c:pt>
                <c:pt idx="13">
                  <c:v>0.38206091352559962</c:v>
                </c:pt>
                <c:pt idx="14">
                  <c:v>0.39483194314119968</c:v>
                </c:pt>
                <c:pt idx="15">
                  <c:v>-3.3562302980400686E-2</c:v>
                </c:pt>
                <c:pt idx="16">
                  <c:v>-1.2004885543983994</c:v>
                </c:pt>
                <c:pt idx="17">
                  <c:v>0.45312965092039981</c:v>
                </c:pt>
                <c:pt idx="18">
                  <c:v>-0.39654158277710005</c:v>
                </c:pt>
                <c:pt idx="19">
                  <c:v>1.3094816479706997</c:v>
                </c:pt>
                <c:pt idx="20">
                  <c:v>-1.1435941660679998</c:v>
                </c:pt>
                <c:pt idx="21">
                  <c:v>-5.2829127749359994</c:v>
                </c:pt>
                <c:pt idx="22">
                  <c:v>-4.9399258629473684</c:v>
                </c:pt>
                <c:pt idx="23">
                  <c:v>-2.9775292557339998</c:v>
                </c:pt>
                <c:pt idx="24">
                  <c:v>-1.3823007427793008</c:v>
                </c:pt>
                <c:pt idx="25">
                  <c:v>2.2520526033025252</c:v>
                </c:pt>
                <c:pt idx="26">
                  <c:v>2.1161672980700006</c:v>
                </c:pt>
                <c:pt idx="27">
                  <c:v>1.4333424903022896</c:v>
                </c:pt>
                <c:pt idx="28">
                  <c:v>1.7137920826735484</c:v>
                </c:pt>
                <c:pt idx="29">
                  <c:v>3.1129083870827094</c:v>
                </c:pt>
                <c:pt idx="30">
                  <c:v>2.2148815412970997</c:v>
                </c:pt>
                <c:pt idx="31">
                  <c:v>0.75709334776319981</c:v>
                </c:pt>
                <c:pt idx="32">
                  <c:v>0.44529605054279975</c:v>
                </c:pt>
                <c:pt idx="33">
                  <c:v>0.17025495003951477</c:v>
                </c:pt>
                <c:pt idx="34">
                  <c:v>-0.14281883952654037</c:v>
                </c:pt>
                <c:pt idx="35">
                  <c:v>-4.456522643089033E-2</c:v>
                </c:pt>
                <c:pt idx="36">
                  <c:v>0.31595667469514804</c:v>
                </c:pt>
              </c:numCache>
            </c:numRef>
          </c:val>
          <c:extLst>
            <c:ext xmlns:c16="http://schemas.microsoft.com/office/drawing/2014/chart" uri="{C3380CC4-5D6E-409C-BE32-E72D297353CC}">
              <c16:uniqueId val="{00000005-D41C-4E7E-8BB2-805FE0CE34D4}"/>
            </c:ext>
          </c:extLst>
        </c:ser>
        <c:dLbls>
          <c:showLegendKey val="0"/>
          <c:showVal val="0"/>
          <c:showCatName val="0"/>
          <c:showSerName val="0"/>
          <c:showPercent val="0"/>
          <c:showBubbleSize val="0"/>
        </c:dLbls>
        <c:gapWidth val="20"/>
        <c:overlap val="100"/>
        <c:axId val="156100864"/>
        <c:axId val="156573696"/>
      </c:barChart>
      <c:lineChart>
        <c:grouping val="standard"/>
        <c:varyColors val="0"/>
        <c:ser>
          <c:idx val="3"/>
          <c:order val="0"/>
          <c:tx>
            <c:strRef>
              <c:f>'Služby-příspěvkyk růstu-4'!$C$33</c:f>
              <c:strCache>
                <c:ptCount val="1"/>
                <c:pt idx="0">
                  <c:v>Služby celkem (meziroční růst v %)</c:v>
                </c:pt>
              </c:strCache>
            </c:strRef>
          </c:tx>
          <c:spPr>
            <a:ln>
              <a:noFill/>
            </a:ln>
          </c:spPr>
          <c:marker>
            <c:symbol val="dot"/>
            <c:size val="7"/>
            <c:spPr>
              <a:solidFill>
                <a:schemeClr val="tx1">
                  <a:lumMod val="95000"/>
                  <a:lumOff val="5000"/>
                </a:schemeClr>
              </a:solidFill>
              <a:ln>
                <a:noFill/>
              </a:ln>
            </c:spPr>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růstu-4'!$C$46:$C$83</c:f>
              <c:numCache>
                <c:formatCode>0.0</c:formatCode>
                <c:ptCount val="38"/>
                <c:pt idx="0">
                  <c:v>3.4824690008999966</c:v>
                </c:pt>
                <c:pt idx="1">
                  <c:v>2.7934385740000067</c:v>
                </c:pt>
                <c:pt idx="2">
                  <c:v>3.3397363911000042</c:v>
                </c:pt>
                <c:pt idx="3">
                  <c:v>2.4240605071999966</c:v>
                </c:pt>
                <c:pt idx="4">
                  <c:v>1.3060861837000033</c:v>
                </c:pt>
                <c:pt idx="5">
                  <c:v>-1.1913006246000037</c:v>
                </c:pt>
                <c:pt idx="6">
                  <c:v>1.5541405019999956</c:v>
                </c:pt>
                <c:pt idx="7">
                  <c:v>1.2878413721000044</c:v>
                </c:pt>
                <c:pt idx="8">
                  <c:v>5.6991785797000034</c:v>
                </c:pt>
                <c:pt idx="9">
                  <c:v>5.5722364333000058</c:v>
                </c:pt>
                <c:pt idx="10">
                  <c:v>3.3112064832999977</c:v>
                </c:pt>
                <c:pt idx="11">
                  <c:v>2.4385054390999983</c:v>
                </c:pt>
                <c:pt idx="12">
                  <c:v>4.8776432854999996</c:v>
                </c:pt>
                <c:pt idx="13">
                  <c:v>3.1428894752999952</c:v>
                </c:pt>
                <c:pt idx="14">
                  <c:v>3.5062767616000059</c:v>
                </c:pt>
                <c:pt idx="15">
                  <c:v>0.9447540274999966</c:v>
                </c:pt>
                <c:pt idx="16">
                  <c:v>-2.0638978244000015</c:v>
                </c:pt>
                <c:pt idx="17">
                  <c:v>2.0119271263999963</c:v>
                </c:pt>
                <c:pt idx="18">
                  <c:v>0.46201626920000649</c:v>
                </c:pt>
                <c:pt idx="19">
                  <c:v>3.6792793010999958</c:v>
                </c:pt>
                <c:pt idx="20">
                  <c:v>-3.7161332750000042</c:v>
                </c:pt>
                <c:pt idx="21">
                  <c:v>-20.482789201800003</c:v>
                </c:pt>
                <c:pt idx="22">
                  <c:v>-13.818107271499997</c:v>
                </c:pt>
                <c:pt idx="23">
                  <c:v>-12.693117899800001</c:v>
                </c:pt>
                <c:pt idx="24">
                  <c:v>-6.3677912030999977</c:v>
                </c:pt>
                <c:pt idx="25">
                  <c:v>14.475301331099999</c:v>
                </c:pt>
                <c:pt idx="26">
                  <c:v>9.8368982478999953</c:v>
                </c:pt>
                <c:pt idx="27">
                  <c:v>12.467820546200002</c:v>
                </c:pt>
                <c:pt idx="28">
                  <c:v>13.604038667400005</c:v>
                </c:pt>
                <c:pt idx="29">
                  <c:v>12.575268646699996</c:v>
                </c:pt>
                <c:pt idx="30">
                  <c:v>6.8787438821999984</c:v>
                </c:pt>
                <c:pt idx="31">
                  <c:v>3.1436581667999945</c:v>
                </c:pt>
                <c:pt idx="32">
                  <c:v>1.5945393015000064</c:v>
                </c:pt>
                <c:pt idx="33">
                  <c:v>-1.6640251329999955</c:v>
                </c:pt>
                <c:pt idx="34">
                  <c:v>-3.8422928604999953</c:v>
                </c:pt>
                <c:pt idx="35">
                  <c:v>-2.196745511900005</c:v>
                </c:pt>
                <c:pt idx="36">
                  <c:v>0.98371253290000027</c:v>
                </c:pt>
              </c:numCache>
            </c:numRef>
          </c:val>
          <c:smooth val="0"/>
          <c:extLst>
            <c:ext xmlns:c16="http://schemas.microsoft.com/office/drawing/2014/chart" uri="{C3380CC4-5D6E-409C-BE32-E72D297353CC}">
              <c16:uniqueId val="{00000006-D41C-4E7E-8BB2-805FE0CE34D4}"/>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7"/>
          <c:order val="7"/>
          <c:tx>
            <c:strRef>
              <c:f>'Služby-příspěvkyk růstu-4'!$J$33</c:f>
              <c:strCache>
                <c:ptCount val="1"/>
                <c:pt idx="0">
                  <c:v>Saldo indikátoru důvěry ve službách</c:v>
                </c:pt>
              </c:strCache>
            </c:strRef>
          </c:tx>
          <c:spPr>
            <a:ln w="3175">
              <a:solidFill>
                <a:schemeClr val="bg1">
                  <a:lumMod val="50000"/>
                </a:schemeClr>
              </a:solidFill>
              <a:prstDash val="sysDash"/>
            </a:ln>
          </c:spPr>
          <c:marker>
            <c:symbol val="diamond"/>
            <c:size val="5"/>
            <c:spPr>
              <a:solidFill>
                <a:srgbClr val="FFFF00"/>
              </a:solidFill>
              <a:ln w="6350">
                <a:solidFill>
                  <a:schemeClr val="tx1">
                    <a:lumMod val="85000"/>
                    <a:lumOff val="15000"/>
                  </a:schemeClr>
                </a:solidFill>
              </a:ln>
            </c:spPr>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růstu-4'!$J$46:$J$83</c:f>
              <c:numCache>
                <c:formatCode>#\ ##0.0</c:formatCode>
                <c:ptCount val="38"/>
                <c:pt idx="0">
                  <c:v>29.7</c:v>
                </c:pt>
                <c:pt idx="1">
                  <c:v>28.7</c:v>
                </c:pt>
                <c:pt idx="2">
                  <c:v>31.3</c:v>
                </c:pt>
                <c:pt idx="3">
                  <c:v>32.700000000000003</c:v>
                </c:pt>
                <c:pt idx="4">
                  <c:v>32.299999999999997</c:v>
                </c:pt>
                <c:pt idx="5">
                  <c:v>33</c:v>
                </c:pt>
                <c:pt idx="6">
                  <c:v>33</c:v>
                </c:pt>
                <c:pt idx="7">
                  <c:v>37.700000000000003</c:v>
                </c:pt>
                <c:pt idx="8">
                  <c:v>35.299999999999997</c:v>
                </c:pt>
                <c:pt idx="9">
                  <c:v>37.700000000000003</c:v>
                </c:pt>
                <c:pt idx="10">
                  <c:v>37.299999999999997</c:v>
                </c:pt>
                <c:pt idx="11">
                  <c:v>35.700000000000003</c:v>
                </c:pt>
                <c:pt idx="12">
                  <c:v>38.299999999999997</c:v>
                </c:pt>
                <c:pt idx="13">
                  <c:v>37</c:v>
                </c:pt>
                <c:pt idx="14">
                  <c:v>38.299999999999997</c:v>
                </c:pt>
                <c:pt idx="15">
                  <c:v>40.700000000000003</c:v>
                </c:pt>
                <c:pt idx="16">
                  <c:v>39.299999999999997</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pt idx="31">
                  <c:v>21.3</c:v>
                </c:pt>
                <c:pt idx="32">
                  <c:v>24</c:v>
                </c:pt>
                <c:pt idx="33" formatCode="0.0">
                  <c:v>28</c:v>
                </c:pt>
                <c:pt idx="34" formatCode="0.0">
                  <c:v>25.7</c:v>
                </c:pt>
                <c:pt idx="35" formatCode="0.0">
                  <c:v>22.7</c:v>
                </c:pt>
                <c:pt idx="36" formatCode="0.0">
                  <c:v>21.3</c:v>
                </c:pt>
                <c:pt idx="37" formatCode="0.0">
                  <c:v>30.1</c:v>
                </c:pt>
              </c:numCache>
            </c:numRef>
          </c:val>
          <c:smooth val="0"/>
          <c:extLst>
            <c:ext xmlns:c16="http://schemas.microsoft.com/office/drawing/2014/chart" uri="{C3380CC4-5D6E-409C-BE32-E72D297353CC}">
              <c16:uniqueId val="{00000007-D41C-4E7E-8BB2-805FE0CE34D4}"/>
            </c:ext>
          </c:extLst>
        </c:ser>
        <c:ser>
          <c:idx val="8"/>
          <c:order val="8"/>
          <c:tx>
            <c:strRef>
              <c:f>'Služby-příspěvkyk růstu-4'!$K$33</c:f>
              <c:strCache>
                <c:ptCount val="1"/>
                <c:pt idx="0">
                  <c:v>Bariéra růstu: nedostatečná poptávka</c:v>
                </c:pt>
              </c:strCache>
            </c:strRef>
          </c:tx>
          <c:spPr>
            <a:ln w="15875">
              <a:solidFill>
                <a:srgbClr val="CA945E"/>
              </a:solidFill>
              <a:prstDash val="solid"/>
            </a:ln>
          </c:spPr>
          <c:marker>
            <c:symbol val="none"/>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růstu-4'!$K$46:$K$83</c:f>
              <c:numCache>
                <c:formatCode>#\ ##0.0</c:formatCode>
                <c:ptCount val="38"/>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34.799999999999997</c:v>
                </c:pt>
                <c:pt idx="25">
                  <c:v>36.799999999999997</c:v>
                </c:pt>
                <c:pt idx="26">
                  <c:v>28.9</c:v>
                </c:pt>
                <c:pt idx="27">
                  <c:v>26.3</c:v>
                </c:pt>
                <c:pt idx="28">
                  <c:v>31.6</c:v>
                </c:pt>
                <c:pt idx="29">
                  <c:v>15</c:v>
                </c:pt>
                <c:pt idx="30">
                  <c:v>30.2</c:v>
                </c:pt>
                <c:pt idx="31">
                  <c:v>17.600000000000001</c:v>
                </c:pt>
                <c:pt idx="32">
                  <c:v>25.4</c:v>
                </c:pt>
                <c:pt idx="33">
                  <c:v>19.100000000000001</c:v>
                </c:pt>
                <c:pt idx="34">
                  <c:v>26</c:v>
                </c:pt>
                <c:pt idx="35">
                  <c:v>23</c:v>
                </c:pt>
                <c:pt idx="36">
                  <c:v>18.5</c:v>
                </c:pt>
                <c:pt idx="37">
                  <c:v>19.2</c:v>
                </c:pt>
              </c:numCache>
            </c:numRef>
          </c:val>
          <c:smooth val="0"/>
          <c:extLst>
            <c:ext xmlns:c16="http://schemas.microsoft.com/office/drawing/2014/chart" uri="{C3380CC4-5D6E-409C-BE32-E72D297353CC}">
              <c16:uniqueId val="{00000008-D41C-4E7E-8BB2-805FE0CE34D4}"/>
            </c:ext>
          </c:extLst>
        </c:ser>
        <c:ser>
          <c:idx val="9"/>
          <c:order val="9"/>
          <c:tx>
            <c:strRef>
              <c:f>'Služby-příspěvkyk růstu-4'!$L$33</c:f>
              <c:strCache>
                <c:ptCount val="1"/>
                <c:pt idx="0">
                  <c:v>Bariéra růstu: nedostatek pracovníků</c:v>
                </c:pt>
              </c:strCache>
            </c:strRef>
          </c:tx>
          <c:spPr>
            <a:ln w="15875">
              <a:solidFill>
                <a:srgbClr val="CA945E"/>
              </a:solidFill>
              <a:prstDash val="sysDash"/>
            </a:ln>
          </c:spPr>
          <c:marker>
            <c:symbol val="none"/>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růstu-4'!$L$46:$L$83</c:f>
              <c:numCache>
                <c:formatCode>#\ ##0.0</c:formatCode>
                <c:ptCount val="38"/>
                <c:pt idx="0">
                  <c:v>1.3</c:v>
                </c:pt>
                <c:pt idx="1">
                  <c:v>6</c:v>
                </c:pt>
                <c:pt idx="2">
                  <c:v>7.2</c:v>
                </c:pt>
                <c:pt idx="3">
                  <c:v>5.6</c:v>
                </c:pt>
                <c:pt idx="4">
                  <c:v>7.5</c:v>
                </c:pt>
                <c:pt idx="5">
                  <c:v>4.5</c:v>
                </c:pt>
                <c:pt idx="6">
                  <c:v>7.9</c:v>
                </c:pt>
                <c:pt idx="7">
                  <c:v>9.5</c:v>
                </c:pt>
                <c:pt idx="8">
                  <c:v>9.4</c:v>
                </c:pt>
                <c:pt idx="9">
                  <c:v>9.6999999999999993</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pt idx="31">
                  <c:v>6.6</c:v>
                </c:pt>
                <c:pt idx="32">
                  <c:v>9.3000000000000007</c:v>
                </c:pt>
                <c:pt idx="33">
                  <c:v>9.6999999999999993</c:v>
                </c:pt>
                <c:pt idx="34">
                  <c:v>9.1999999999999993</c:v>
                </c:pt>
                <c:pt idx="35">
                  <c:v>12.3</c:v>
                </c:pt>
                <c:pt idx="36">
                  <c:v>8.3000000000000007</c:v>
                </c:pt>
                <c:pt idx="37">
                  <c:v>8.1</c:v>
                </c:pt>
              </c:numCache>
            </c:numRef>
          </c:val>
          <c:smooth val="0"/>
          <c:extLst>
            <c:ext xmlns:c16="http://schemas.microsoft.com/office/drawing/2014/chart" uri="{C3380CC4-5D6E-409C-BE32-E72D297353CC}">
              <c16:uniqueId val="{00000009-D41C-4E7E-8BB2-805FE0CE34D4}"/>
            </c:ext>
          </c:extLst>
        </c:ser>
        <c:ser>
          <c:idx val="10"/>
          <c:order val="10"/>
          <c:tx>
            <c:strRef>
              <c:f>'Služby-příspěvkyk růstu-4'!$M$33</c:f>
              <c:strCache>
                <c:ptCount val="1"/>
                <c:pt idx="0">
                  <c:v>Tržby celkem (báze 2021=100, stálé ceny)</c:v>
                </c:pt>
              </c:strCache>
            </c:strRef>
          </c:tx>
          <c:spPr>
            <a:ln w="15875">
              <a:solidFill>
                <a:schemeClr val="tx1"/>
              </a:solidFill>
            </a:ln>
          </c:spPr>
          <c:marker>
            <c:symbol val="none"/>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růstu-4'!$M$46:$M$83</c:f>
              <c:numCache>
                <c:formatCode>0.0</c:formatCode>
                <c:ptCount val="38"/>
                <c:pt idx="0">
                  <c:v>96.573148776699995</c:v>
                </c:pt>
                <c:pt idx="1">
                  <c:v>97.567742240000001</c:v>
                </c:pt>
                <c:pt idx="2">
                  <c:v>97.872994153299999</c:v>
                </c:pt>
                <c:pt idx="3">
                  <c:v>98.145121336700001</c:v>
                </c:pt>
                <c:pt idx="4">
                  <c:v>97.141074036700005</c:v>
                </c:pt>
                <c:pt idx="5">
                  <c:v>97.220842383299996</c:v>
                </c:pt>
                <c:pt idx="6">
                  <c:v>99.043083436700002</c:v>
                </c:pt>
                <c:pt idx="7">
                  <c:v>100.26520352</c:v>
                </c:pt>
                <c:pt idx="8">
                  <c:v>101.4620500267</c:v>
                </c:pt>
                <c:pt idx="9">
                  <c:v>102.45930216329999</c:v>
                </c:pt>
                <c:pt idx="10">
                  <c:v>102.1784036567</c:v>
                </c:pt>
                <c:pt idx="11">
                  <c:v>103.2635152233</c:v>
                </c:pt>
                <c:pt idx="12">
                  <c:v>106.70430386</c:v>
                </c:pt>
                <c:pt idx="13">
                  <c:v>105.25291280330001</c:v>
                </c:pt>
                <c:pt idx="14">
                  <c:v>105.36498890670001</c:v>
                </c:pt>
                <c:pt idx="15">
                  <c:v>103.79346463</c:v>
                </c:pt>
                <c:pt idx="16">
                  <c:v>104.82319352330001</c:v>
                </c:pt>
                <c:pt idx="17">
                  <c:v>107.08876361</c:v>
                </c:pt>
                <c:pt idx="18">
                  <c:v>106.1526654733</c:v>
                </c:pt>
                <c:pt idx="19">
                  <c:v>106.10865794670001</c:v>
                </c:pt>
                <c:pt idx="20">
                  <c:v>100.92295789329999</c:v>
                </c:pt>
                <c:pt idx="21">
                  <c:v>86.568180609999999</c:v>
                </c:pt>
                <c:pt idx="22">
                  <c:v>93.956559496699995</c:v>
                </c:pt>
                <c:pt idx="23">
                  <c:v>92.2317662767</c:v>
                </c:pt>
                <c:pt idx="24">
                  <c:v>92.965516813299999</c:v>
                </c:pt>
                <c:pt idx="25">
                  <c:v>97.901801783300002</c:v>
                </c:pt>
                <c:pt idx="26">
                  <c:v>102.3585583033</c:v>
                </c:pt>
                <c:pt idx="27">
                  <c:v>104.46537254330001</c:v>
                </c:pt>
                <c:pt idx="28">
                  <c:v>106.45325914</c:v>
                </c:pt>
                <c:pt idx="29">
                  <c:v>108.90396645</c:v>
                </c:pt>
                <c:pt idx="30">
                  <c:v>109.44214839670001</c:v>
                </c:pt>
                <c:pt idx="31">
                  <c:v>108.8630989567</c:v>
                </c:pt>
                <c:pt idx="32">
                  <c:v>108.12874866670001</c:v>
                </c:pt>
                <c:pt idx="33">
                  <c:v>106.6843638</c:v>
                </c:pt>
                <c:pt idx="34">
                  <c:v>105.7650493733</c:v>
                </c:pt>
                <c:pt idx="35">
                  <c:v>106.41110612670001</c:v>
                </c:pt>
                <c:pt idx="36">
                  <c:v>108.78868739329999</c:v>
                </c:pt>
              </c:numCache>
            </c:numRef>
          </c:val>
          <c:smooth val="0"/>
          <c:extLst>
            <c:ext xmlns:c16="http://schemas.microsoft.com/office/drawing/2014/chart" uri="{C3380CC4-5D6E-409C-BE32-E72D297353CC}">
              <c16:uniqueId val="{0000000A-D41C-4E7E-8BB2-805FE0CE34D4}"/>
            </c:ext>
          </c:extLst>
        </c:ser>
        <c:ser>
          <c:idx val="11"/>
          <c:order val="11"/>
          <c:tx>
            <c:strRef>
              <c:f>'Služby-příspěvkyk růstu-4'!$N$33</c:f>
              <c:strCache>
                <c:ptCount val="1"/>
                <c:pt idx="0">
                  <c:v>Tržby celkem (báze 2021=100, běžné ceny)</c:v>
                </c:pt>
              </c:strCache>
            </c:strRef>
          </c:tx>
          <c:spPr>
            <a:ln w="15875">
              <a:solidFill>
                <a:schemeClr val="bg2">
                  <a:lumMod val="25000"/>
                </a:schemeClr>
              </a:solidFill>
              <a:prstDash val="sysDash"/>
            </a:ln>
          </c:spPr>
          <c:marker>
            <c:symbol val="none"/>
          </c:marker>
          <c:cat>
            <c:multiLvlStrRef>
              <c:f>'Služby-příspěvkyk růstu-4'!$A$46:$B$83</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'Služby-příspěvkyk růstu-4'!$N$46:$N$83</c:f>
              <c:numCache>
                <c:formatCode>0.0</c:formatCode>
                <c:ptCount val="38"/>
                <c:pt idx="0">
                  <c:v>87.052195600000005</c:v>
                </c:pt>
                <c:pt idx="1">
                  <c:v>87.976303153299995</c:v>
                </c:pt>
                <c:pt idx="2">
                  <c:v>88.373010003299996</c:v>
                </c:pt>
                <c:pt idx="3">
                  <c:v>88.620892873299994</c:v>
                </c:pt>
                <c:pt idx="4">
                  <c:v>87.738386106700005</c:v>
                </c:pt>
                <c:pt idx="5">
                  <c:v>88.030049489999996</c:v>
                </c:pt>
                <c:pt idx="6">
                  <c:v>89.823697393299994</c:v>
                </c:pt>
                <c:pt idx="7">
                  <c:v>91.207866260000003</c:v>
                </c:pt>
                <c:pt idx="8">
                  <c:v>92.834550640000003</c:v>
                </c:pt>
                <c:pt idx="9">
                  <c:v>94.103815076700002</c:v>
                </c:pt>
                <c:pt idx="10">
                  <c:v>94.369418403300003</c:v>
                </c:pt>
                <c:pt idx="11">
                  <c:v>95.836186386700007</c:v>
                </c:pt>
                <c:pt idx="12">
                  <c:v>99.311500843299996</c:v>
                </c:pt>
                <c:pt idx="13">
                  <c:v>98.708597956700004</c:v>
                </c:pt>
                <c:pt idx="14">
                  <c:v>99.642436860000004</c:v>
                </c:pt>
                <c:pt idx="15">
                  <c:v>98.769212440000004</c:v>
                </c:pt>
                <c:pt idx="16">
                  <c:v>99.79161551</c:v>
                </c:pt>
                <c:pt idx="17">
                  <c:v>103.22613569329999</c:v>
                </c:pt>
                <c:pt idx="18">
                  <c:v>102.99220393</c:v>
                </c:pt>
                <c:pt idx="19">
                  <c:v>103.49625471</c:v>
                </c:pt>
                <c:pt idx="20">
                  <c:v>98.534612966699996</c:v>
                </c:pt>
                <c:pt idx="21">
                  <c:v>84.950969126700002</c:v>
                </c:pt>
                <c:pt idx="22">
                  <c:v>92.709010469999996</c:v>
                </c:pt>
                <c:pt idx="23">
                  <c:v>91.428986266699994</c:v>
                </c:pt>
                <c:pt idx="24">
                  <c:v>92.179819323299995</c:v>
                </c:pt>
                <c:pt idx="25">
                  <c:v>97.209715376700004</c:v>
                </c:pt>
                <c:pt idx="26">
                  <c:v>102.40711671</c:v>
                </c:pt>
                <c:pt idx="27">
                  <c:v>105.9785980667</c:v>
                </c:pt>
                <c:pt idx="28">
                  <c:v>109.98012144</c:v>
                </c:pt>
                <c:pt idx="29">
                  <c:v>115.0236642533</c:v>
                </c:pt>
                <c:pt idx="30">
                  <c:v>118.0350817133</c:v>
                </c:pt>
                <c:pt idx="31">
                  <c:v>119.4196692133</c:v>
                </c:pt>
                <c:pt idx="32">
                  <c:v>120.91119458670001</c:v>
                </c:pt>
                <c:pt idx="33">
                  <c:v>121.2804678633</c:v>
                </c:pt>
                <c:pt idx="34">
                  <c:v>121.58539103</c:v>
                </c:pt>
                <c:pt idx="35">
                  <c:v>123.72364791</c:v>
                </c:pt>
                <c:pt idx="36">
                  <c:v>127.27845815000001</c:v>
                </c:pt>
              </c:numCache>
            </c:numRef>
          </c:val>
          <c:smooth val="0"/>
          <c:extLst>
            <c:ext xmlns:c16="http://schemas.microsoft.com/office/drawing/2014/chart" uri="{C3380CC4-5D6E-409C-BE32-E72D297353CC}">
              <c16:uniqueId val="{0000000B-D41C-4E7E-8BB2-805FE0CE34D4}"/>
            </c:ext>
          </c:extLst>
        </c:ser>
        <c:dLbls>
          <c:showLegendKey val="0"/>
          <c:showVal val="0"/>
          <c:showCatName val="0"/>
          <c:showSerName val="0"/>
          <c:showPercent val="0"/>
          <c:showBubbleSize val="0"/>
        </c:dLbls>
        <c:marker val="1"/>
        <c:smooth val="0"/>
        <c:axId val="156576768"/>
        <c:axId val="156575232"/>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5"/>
          <c:min val="-30"/>
        </c:scaling>
        <c:delete val="0"/>
        <c:axPos val="l"/>
        <c:majorGridlines>
          <c:spPr>
            <a:ln w="6350">
              <a:solidFill>
                <a:schemeClr val="bg1">
                  <a:lumMod val="75000"/>
                </a:schemeClr>
              </a:solidFill>
            </a:ln>
          </c:spPr>
        </c:majorGridlines>
        <c:title>
          <c:tx>
            <c:rich>
              <a:bodyPr/>
              <a:lstStyle/>
              <a:p>
                <a:pPr>
                  <a:defRPr sz="700" b="0" i="1"/>
                </a:pPr>
                <a:r>
                  <a:rPr lang="cs-CZ" sz="700" b="0" i="1"/>
                  <a:t>Tržby (příspěvky k</a:t>
                </a:r>
                <a:r>
                  <a:rPr lang="cs-CZ" sz="700" b="0" i="1" baseline="0"/>
                  <a:t> meziroční změně)</a:t>
                </a:r>
                <a:endParaRPr lang="cs-CZ" sz="700" b="0" i="1"/>
              </a:p>
            </c:rich>
          </c:tx>
          <c:layout>
            <c:manualLayout>
              <c:xMode val="edge"/>
              <c:yMode val="edge"/>
              <c:x val="0"/>
              <c:y val="0.1364926551121953"/>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5"/>
      </c:valAx>
      <c:valAx>
        <c:axId val="156575232"/>
        <c:scaling>
          <c:orientation val="minMax"/>
          <c:max val="15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cs-CZ" sz="700" b="0" i="1" baseline="0">
                    <a:effectLst/>
                  </a:rPr>
                  <a:t>Tržby (báze 2015=100)</a:t>
                </a:r>
                <a:r>
                  <a:rPr lang="cs-CZ" sz="700" b="0" i="1"/>
                  <a:t>, Saldo důvěry, bariéry růstu</a:t>
                </a:r>
              </a:p>
            </c:rich>
          </c:tx>
          <c:layout>
            <c:manualLayout>
              <c:xMode val="edge"/>
              <c:yMode val="edge"/>
              <c:x val="0.97059962406015032"/>
              <c:y val="7.2968499427262329E-2"/>
            </c:manualLayout>
          </c:layout>
          <c:overlay val="0"/>
        </c:title>
        <c:numFmt formatCode="0" sourceLinked="0"/>
        <c:majorTickMark val="out"/>
        <c:minorTickMark val="none"/>
        <c:tickLblPos val="nextTo"/>
        <c:txPr>
          <a:bodyPr/>
          <a:lstStyle/>
          <a:p>
            <a:pPr>
              <a:defRPr sz="800"/>
            </a:pPr>
            <a:endParaRPr lang="cs-CZ"/>
          </a:p>
        </c:txPr>
        <c:crossAx val="156576768"/>
        <c:crosses val="max"/>
        <c:crossBetween val="between"/>
        <c:majorUnit val="20"/>
      </c:valAx>
      <c:catAx>
        <c:axId val="156576768"/>
        <c:scaling>
          <c:orientation val="minMax"/>
        </c:scaling>
        <c:delete val="1"/>
        <c:axPos val="b"/>
        <c:numFmt formatCode="General" sourceLinked="1"/>
        <c:majorTickMark val="out"/>
        <c:minorTickMark val="none"/>
        <c:tickLblPos val="none"/>
        <c:crossAx val="156575232"/>
        <c:crosses val="autoZero"/>
        <c:auto val="1"/>
        <c:lblAlgn val="ctr"/>
        <c:lblOffset val="100"/>
        <c:noMultiLvlLbl val="0"/>
      </c:catAx>
      <c:spPr>
        <a:ln>
          <a:solidFill>
            <a:schemeClr val="tx1">
              <a:lumMod val="75000"/>
              <a:lumOff val="25000"/>
            </a:schemeClr>
          </a:solidFill>
        </a:ln>
      </c:spPr>
    </c:plotArea>
    <c:legend>
      <c:legendPos val="r"/>
      <c:layout>
        <c:manualLayout>
          <c:xMode val="edge"/>
          <c:yMode val="edge"/>
          <c:x val="2.7894149438737266E-3"/>
          <c:y val="0.80683901693256121"/>
          <c:w val="0.99229354112783008"/>
          <c:h val="0.18952404020147029"/>
        </c:manualLayout>
      </c:layout>
      <c:overlay val="0"/>
      <c:spPr>
        <a:ln w="6350">
          <a:solidFill>
            <a:schemeClr val="tx1"/>
          </a:solidFill>
        </a:ln>
      </c:spPr>
      <c:txPr>
        <a:bodyPr/>
        <a:lstStyle/>
        <a:p>
          <a:pPr>
            <a:defRPr sz="72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61666861125732E-2"/>
          <c:y val="1.5803328678987455E-2"/>
          <c:w val="0.85082109029523101"/>
          <c:h val="0.73450542783153383"/>
        </c:manualLayout>
      </c:layout>
      <c:barChart>
        <c:barDir val="col"/>
        <c:grouping val="stacked"/>
        <c:varyColors val="0"/>
        <c:ser>
          <c:idx val="0"/>
          <c:order val="1"/>
          <c:tx>
            <c:strRef>
              <c:f>'výkonnost odvětví 5a'!$E$66</c:f>
              <c:strCache>
                <c:ptCount val="1"/>
                <c:pt idx="0">
                  <c:v>Maloobchod s potravinami (příspěvek)</c:v>
                </c:pt>
              </c:strCache>
            </c:strRef>
          </c:tx>
          <c:spPr>
            <a:solidFill>
              <a:srgbClr val="92D050"/>
            </a:solidFill>
            <a:ln w="15875">
              <a:noFill/>
            </a:ln>
          </c:spPr>
          <c:invertIfNegative val="0"/>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5a'!$E$67:$E$104</c:f>
              <c:numCache>
                <c:formatCode>#\ ##0.0</c:formatCode>
                <c:ptCount val="38"/>
                <c:pt idx="0">
                  <c:v>1.7523817972228575</c:v>
                </c:pt>
                <c:pt idx="1">
                  <c:v>1.1495538604575486</c:v>
                </c:pt>
                <c:pt idx="2">
                  <c:v>1.851654245012579</c:v>
                </c:pt>
                <c:pt idx="3">
                  <c:v>1.4230053336458297</c:v>
                </c:pt>
                <c:pt idx="4">
                  <c:v>1.7335386338403211</c:v>
                </c:pt>
                <c:pt idx="5">
                  <c:v>1.4057978539692639</c:v>
                </c:pt>
                <c:pt idx="6">
                  <c:v>1.0226992305466713</c:v>
                </c:pt>
                <c:pt idx="7">
                  <c:v>-4.5727948098357493E-2</c:v>
                </c:pt>
                <c:pt idx="8">
                  <c:v>0.76530947894932633</c:v>
                </c:pt>
                <c:pt idx="9">
                  <c:v>1.3628557482991555</c:v>
                </c:pt>
                <c:pt idx="10">
                  <c:v>1.1031113273196382</c:v>
                </c:pt>
                <c:pt idx="11">
                  <c:v>0.92620191285996878</c:v>
                </c:pt>
                <c:pt idx="12">
                  <c:v>1.4716867951941146</c:v>
                </c:pt>
                <c:pt idx="13">
                  <c:v>0.53065594307662001</c:v>
                </c:pt>
                <c:pt idx="14">
                  <c:v>0.93178458575098189</c:v>
                </c:pt>
                <c:pt idx="15">
                  <c:v>0.38805043936963324</c:v>
                </c:pt>
                <c:pt idx="16">
                  <c:v>-0.29388750825225862</c:v>
                </c:pt>
                <c:pt idx="17">
                  <c:v>1.4252855332899248</c:v>
                </c:pt>
                <c:pt idx="18">
                  <c:v>0.13007735319413302</c:v>
                </c:pt>
                <c:pt idx="19">
                  <c:v>1.4154025710079869</c:v>
                </c:pt>
                <c:pt idx="20">
                  <c:v>0.68707923703683382</c:v>
                </c:pt>
                <c:pt idx="21">
                  <c:v>-1.8614966729136802</c:v>
                </c:pt>
                <c:pt idx="22">
                  <c:v>-0.64766112448952962</c:v>
                </c:pt>
                <c:pt idx="23">
                  <c:v>-0.28286695735560252</c:v>
                </c:pt>
                <c:pt idx="24">
                  <c:v>-0.59945776684894103</c:v>
                </c:pt>
                <c:pt idx="25">
                  <c:v>0.49925741114778438</c:v>
                </c:pt>
                <c:pt idx="26">
                  <c:v>-0.28684739324213138</c:v>
                </c:pt>
                <c:pt idx="27">
                  <c:v>3.3890766152356569E-4</c:v>
                </c:pt>
                <c:pt idx="28">
                  <c:v>-5.5003462314557681E-2</c:v>
                </c:pt>
                <c:pt idx="29">
                  <c:v>-1.116425585335286</c:v>
                </c:pt>
                <c:pt idx="30">
                  <c:v>-2.2894596242379706</c:v>
                </c:pt>
                <c:pt idx="31">
                  <c:v>-3.2452244496380844</c:v>
                </c:pt>
                <c:pt idx="32">
                  <c:v>-3.1064671268122637</c:v>
                </c:pt>
                <c:pt idx="33">
                  <c:v>-2.8489038239817259</c:v>
                </c:pt>
                <c:pt idx="34">
                  <c:v>-1.6942722868569733</c:v>
                </c:pt>
                <c:pt idx="35">
                  <c:v>-0.73091498083813977</c:v>
                </c:pt>
                <c:pt idx="36">
                  <c:v>0.90476481936768205</c:v>
                </c:pt>
              </c:numCache>
            </c:numRef>
          </c:val>
          <c:extLst>
            <c:ext xmlns:c16="http://schemas.microsoft.com/office/drawing/2014/chart" uri="{C3380CC4-5D6E-409C-BE32-E72D297353CC}">
              <c16:uniqueId val="{00000000-4731-4577-B0BC-FB9D123D86ED}"/>
            </c:ext>
          </c:extLst>
        </c:ser>
        <c:ser>
          <c:idx val="1"/>
          <c:order val="2"/>
          <c:tx>
            <c:strRef>
              <c:f>'výkonnost odvětví 5a'!$F$66</c:f>
              <c:strCache>
                <c:ptCount val="1"/>
                <c:pt idx="0">
                  <c:v>Mal. s nepotravinářským zbož. (příspěvek)</c:v>
                </c:pt>
              </c:strCache>
            </c:strRef>
          </c:tx>
          <c:spPr>
            <a:solidFill>
              <a:schemeClr val="accent1">
                <a:lumMod val="40000"/>
                <a:lumOff val="60000"/>
              </a:schemeClr>
            </a:solidFill>
            <a:ln w="15875">
              <a:noFill/>
            </a:ln>
          </c:spPr>
          <c:invertIfNegative val="0"/>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5a'!$F$67:$F$104</c:f>
              <c:numCache>
                <c:formatCode>#\ ##0.0</c:formatCode>
                <c:ptCount val="38"/>
                <c:pt idx="0">
                  <c:v>3.196375922725744</c:v>
                </c:pt>
                <c:pt idx="1">
                  <c:v>3.8741896087490026</c:v>
                </c:pt>
                <c:pt idx="2">
                  <c:v>2.6728850705219784</c:v>
                </c:pt>
                <c:pt idx="3">
                  <c:v>3.6626826182851304</c:v>
                </c:pt>
                <c:pt idx="4">
                  <c:v>2.7862532923580798</c:v>
                </c:pt>
                <c:pt idx="5">
                  <c:v>2.5540667218407971</c:v>
                </c:pt>
                <c:pt idx="6">
                  <c:v>3.2508787600372759</c:v>
                </c:pt>
                <c:pt idx="7">
                  <c:v>3.4435667776451586</c:v>
                </c:pt>
                <c:pt idx="8">
                  <c:v>4.1783561564843161</c:v>
                </c:pt>
                <c:pt idx="9">
                  <c:v>4.4153226755500015</c:v>
                </c:pt>
                <c:pt idx="10">
                  <c:v>4.0607561596078439</c:v>
                </c:pt>
                <c:pt idx="11">
                  <c:v>4.5695527698288956</c:v>
                </c:pt>
                <c:pt idx="12">
                  <c:v>3.963036260303999</c:v>
                </c:pt>
                <c:pt idx="13">
                  <c:v>3.3542121185564358</c:v>
                </c:pt>
                <c:pt idx="14">
                  <c:v>2.577047135089233</c:v>
                </c:pt>
                <c:pt idx="15">
                  <c:v>3.7162196737466258</c:v>
                </c:pt>
                <c:pt idx="16">
                  <c:v>1.303288764236783</c:v>
                </c:pt>
                <c:pt idx="17">
                  <c:v>2.4531469805048736</c:v>
                </c:pt>
                <c:pt idx="18">
                  <c:v>4.2934983663490245</c:v>
                </c:pt>
                <c:pt idx="19">
                  <c:v>5.6709230985066315</c:v>
                </c:pt>
                <c:pt idx="20">
                  <c:v>-5.7511622856734265E-2</c:v>
                </c:pt>
                <c:pt idx="21">
                  <c:v>-0.33300612932107432</c:v>
                </c:pt>
                <c:pt idx="22">
                  <c:v>1.4198268570219985</c:v>
                </c:pt>
                <c:pt idx="23">
                  <c:v>-1.8469460892868841</c:v>
                </c:pt>
                <c:pt idx="24">
                  <c:v>0.2146176354562036</c:v>
                </c:pt>
                <c:pt idx="25">
                  <c:v>5.5786519962374692</c:v>
                </c:pt>
                <c:pt idx="26">
                  <c:v>3.6251923460234301</c:v>
                </c:pt>
                <c:pt idx="27">
                  <c:v>5.6711329572658684</c:v>
                </c:pt>
                <c:pt idx="28">
                  <c:v>5.9928697694660826</c:v>
                </c:pt>
                <c:pt idx="29">
                  <c:v>-0.95182988043777472</c:v>
                </c:pt>
                <c:pt idx="30">
                  <c:v>-3.9413217379342238</c:v>
                </c:pt>
                <c:pt idx="31">
                  <c:v>-5.6405125530778859</c:v>
                </c:pt>
                <c:pt idx="32">
                  <c:v>-4.7806870874709402</c:v>
                </c:pt>
                <c:pt idx="33">
                  <c:v>-4.4945139551000004</c:v>
                </c:pt>
                <c:pt idx="34">
                  <c:v>-2.4599463056921138</c:v>
                </c:pt>
                <c:pt idx="35">
                  <c:v>0.45421290321217583</c:v>
                </c:pt>
                <c:pt idx="36">
                  <c:v>2.5302484619571892</c:v>
                </c:pt>
              </c:numCache>
            </c:numRef>
          </c:val>
          <c:extLst>
            <c:ext xmlns:c16="http://schemas.microsoft.com/office/drawing/2014/chart" uri="{C3380CC4-5D6E-409C-BE32-E72D297353CC}">
              <c16:uniqueId val="{00000001-4731-4577-B0BC-FB9D123D86ED}"/>
            </c:ext>
          </c:extLst>
        </c:ser>
        <c:ser>
          <c:idx val="4"/>
          <c:order val="3"/>
          <c:tx>
            <c:strRef>
              <c:f>'výkonnost odvětví 5a'!$G$66</c:f>
              <c:strCache>
                <c:ptCount val="1"/>
                <c:pt idx="0">
                  <c:v>Maloobchodní prodej PHM (příspěvek)</c:v>
                </c:pt>
              </c:strCache>
            </c:strRef>
          </c:tx>
          <c:spPr>
            <a:solidFill>
              <a:schemeClr val="accent6">
                <a:lumMod val="40000"/>
                <a:lumOff val="60000"/>
              </a:schemeClr>
            </a:solidFill>
            <a:ln w="15875">
              <a:noFill/>
            </a:ln>
          </c:spPr>
          <c:invertIfNegative val="0"/>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5a'!$G$67:$G$104</c:f>
              <c:numCache>
                <c:formatCode>#\ ##0.0</c:formatCode>
                <c:ptCount val="38"/>
                <c:pt idx="0">
                  <c:v>0.75440023430656378</c:v>
                </c:pt>
                <c:pt idx="1">
                  <c:v>0.588112843666875</c:v>
                </c:pt>
                <c:pt idx="2">
                  <c:v>0.78402402568450724</c:v>
                </c:pt>
                <c:pt idx="3">
                  <c:v>0.94331728244946667</c:v>
                </c:pt>
                <c:pt idx="4">
                  <c:v>0.6744248436917698</c:v>
                </c:pt>
                <c:pt idx="5">
                  <c:v>0.72348584188138532</c:v>
                </c:pt>
                <c:pt idx="6">
                  <c:v>0.62302098548854723</c:v>
                </c:pt>
                <c:pt idx="7">
                  <c:v>0.62533415443375595</c:v>
                </c:pt>
                <c:pt idx="8">
                  <c:v>0.54805568528260806</c:v>
                </c:pt>
                <c:pt idx="9">
                  <c:v>0.75356148860252614</c:v>
                </c:pt>
                <c:pt idx="10">
                  <c:v>0.84316485479481218</c:v>
                </c:pt>
                <c:pt idx="11">
                  <c:v>0.68534345825768528</c:v>
                </c:pt>
                <c:pt idx="12">
                  <c:v>0.66536323714663226</c:v>
                </c:pt>
                <c:pt idx="13">
                  <c:v>0.59516252422904425</c:v>
                </c:pt>
                <c:pt idx="14">
                  <c:v>0.3739332000264744</c:v>
                </c:pt>
                <c:pt idx="15">
                  <c:v>0.43257407692417521</c:v>
                </c:pt>
                <c:pt idx="16">
                  <c:v>0.17809135629917194</c:v>
                </c:pt>
                <c:pt idx="17">
                  <c:v>0.36908315571938399</c:v>
                </c:pt>
                <c:pt idx="18">
                  <c:v>0.27107333589466731</c:v>
                </c:pt>
                <c:pt idx="19">
                  <c:v>0.19660561540526125</c:v>
                </c:pt>
                <c:pt idx="20">
                  <c:v>-0.75718611502805722</c:v>
                </c:pt>
                <c:pt idx="21">
                  <c:v>-1.9736345702533769</c:v>
                </c:pt>
                <c:pt idx="22">
                  <c:v>8.4968496843834063E-2</c:v>
                </c:pt>
                <c:pt idx="23">
                  <c:v>-1.074545645994486</c:v>
                </c:pt>
                <c:pt idx="24">
                  <c:v>-0.67687282723007414</c:v>
                </c:pt>
                <c:pt idx="25">
                  <c:v>1.0678330249398988</c:v>
                </c:pt>
                <c:pt idx="26">
                  <c:v>0.3697522229450006</c:v>
                </c:pt>
                <c:pt idx="27">
                  <c:v>0.92363853266310525</c:v>
                </c:pt>
                <c:pt idx="28">
                  <c:v>1.2441898033622012</c:v>
                </c:pt>
                <c:pt idx="29">
                  <c:v>-0.71068466577624623</c:v>
                </c:pt>
                <c:pt idx="30">
                  <c:v>-1.4490112919395852</c:v>
                </c:pt>
                <c:pt idx="31">
                  <c:v>-0.43088561144311688</c:v>
                </c:pt>
                <c:pt idx="32">
                  <c:v>9.5306477727004887E-2</c:v>
                </c:pt>
                <c:pt idx="33">
                  <c:v>1.0462666694705238</c:v>
                </c:pt>
                <c:pt idx="34">
                  <c:v>1.0244863666798656</c:v>
                </c:pt>
                <c:pt idx="35">
                  <c:v>0.21076859333444284</c:v>
                </c:pt>
                <c:pt idx="36">
                  <c:v>0.48425973078510315</c:v>
                </c:pt>
              </c:numCache>
            </c:numRef>
          </c:val>
          <c:extLst>
            <c:ext xmlns:c16="http://schemas.microsoft.com/office/drawing/2014/chart" uri="{C3380CC4-5D6E-409C-BE32-E72D297353CC}">
              <c16:uniqueId val="{00000002-4731-4577-B0BC-FB9D123D86ED}"/>
            </c:ext>
          </c:extLst>
        </c:ser>
        <c:dLbls>
          <c:showLegendKey val="0"/>
          <c:showVal val="0"/>
          <c:showCatName val="0"/>
          <c:showSerName val="0"/>
          <c:showPercent val="0"/>
          <c:showBubbleSize val="0"/>
        </c:dLbls>
        <c:gapWidth val="31"/>
        <c:overlap val="100"/>
        <c:axId val="156100864"/>
        <c:axId val="156573696"/>
      </c:barChart>
      <c:lineChart>
        <c:grouping val="standard"/>
        <c:varyColors val="0"/>
        <c:ser>
          <c:idx val="3"/>
          <c:order val="0"/>
          <c:tx>
            <c:strRef>
              <c:f>'výkonnost odvětví 5a'!$D$66</c:f>
              <c:strCache>
                <c:ptCount val="1"/>
                <c:pt idx="0">
                  <c:v>Maloobchod celkem (meziroční růst)</c:v>
                </c:pt>
              </c:strCache>
            </c:strRef>
          </c:tx>
          <c:spPr>
            <a:ln>
              <a:noFill/>
            </a:ln>
          </c:spPr>
          <c:marker>
            <c:symbol val="dash"/>
            <c:size val="7"/>
            <c:spPr>
              <a:solidFill>
                <a:schemeClr val="tx1">
                  <a:lumMod val="85000"/>
                  <a:lumOff val="15000"/>
                </a:schemeClr>
              </a:solidFill>
              <a:ln w="6350">
                <a:noFill/>
              </a:ln>
            </c:spPr>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5a'!$D$67:$D$104</c:f>
              <c:numCache>
                <c:formatCode>#\ ##0.0</c:formatCode>
                <c:ptCount val="38"/>
                <c:pt idx="0">
                  <c:v>5.5650157121000063</c:v>
                </c:pt>
                <c:pt idx="1">
                  <c:v>5.3140316102000043</c:v>
                </c:pt>
                <c:pt idx="2">
                  <c:v>5.261668949500006</c:v>
                </c:pt>
                <c:pt idx="3">
                  <c:v>5.8260167462999988</c:v>
                </c:pt>
                <c:pt idx="4">
                  <c:v>5.1163484119999936</c:v>
                </c:pt>
                <c:pt idx="5">
                  <c:v>4.584747701699996</c:v>
                </c:pt>
                <c:pt idx="6">
                  <c:v>4.6478731618999944</c:v>
                </c:pt>
                <c:pt idx="7">
                  <c:v>3.5966109598000031</c:v>
                </c:pt>
                <c:pt idx="8">
                  <c:v>5.068305469799995</c:v>
                </c:pt>
                <c:pt idx="9">
                  <c:v>6.2034114922000043</c:v>
                </c:pt>
                <c:pt idx="10">
                  <c:v>5.6856724027999945</c:v>
                </c:pt>
                <c:pt idx="11">
                  <c:v>5.8244576314999961</c:v>
                </c:pt>
                <c:pt idx="12">
                  <c:v>5.9658330699000004</c:v>
                </c:pt>
                <c:pt idx="13">
                  <c:v>4.3854129643000022</c:v>
                </c:pt>
                <c:pt idx="14">
                  <c:v>3.8380531616000013</c:v>
                </c:pt>
                <c:pt idx="15">
                  <c:v>4.3570454750999943</c:v>
                </c:pt>
                <c:pt idx="16">
                  <c:v>1.1052891966999994</c:v>
                </c:pt>
                <c:pt idx="17">
                  <c:v>4.2167027101999963</c:v>
                </c:pt>
                <c:pt idx="18">
                  <c:v>4.5117376484000005</c:v>
                </c:pt>
                <c:pt idx="19">
                  <c:v>7.2113533302999997</c:v>
                </c:pt>
                <c:pt idx="20">
                  <c:v>-0.15887647600000321</c:v>
                </c:pt>
                <c:pt idx="21">
                  <c:v>-4.2817243594000018</c:v>
                </c:pt>
                <c:pt idx="22">
                  <c:v>0.81643935670000189</c:v>
                </c:pt>
                <c:pt idx="23">
                  <c:v>-3.1393056612999999</c:v>
                </c:pt>
                <c:pt idx="24">
                  <c:v>-1.1339262445000031</c:v>
                </c:pt>
                <c:pt idx="25">
                  <c:v>6.9765334139000004</c:v>
                </c:pt>
                <c:pt idx="26">
                  <c:v>3.5929001594000027</c:v>
                </c:pt>
                <c:pt idx="27">
                  <c:v>6.495331760900001</c:v>
                </c:pt>
                <c:pt idx="28">
                  <c:v>6.7858739243999935</c:v>
                </c:pt>
                <c:pt idx="29">
                  <c:v>-2.8204491440999959</c:v>
                </c:pt>
                <c:pt idx="30">
                  <c:v>-7.6590317472000038</c:v>
                </c:pt>
                <c:pt idx="31">
                  <c:v>-9.3175796111000011</c:v>
                </c:pt>
                <c:pt idx="32">
                  <c:v>-7.7721477110000023</c:v>
                </c:pt>
                <c:pt idx="33">
                  <c:v>-6.2830403553000025</c:v>
                </c:pt>
                <c:pt idx="34">
                  <c:v>-3.1476536481000039</c:v>
                </c:pt>
                <c:pt idx="35">
                  <c:v>-0.12905701249999879</c:v>
                </c:pt>
                <c:pt idx="36">
                  <c:v>3.9186090920999987</c:v>
                </c:pt>
              </c:numCache>
            </c:numRef>
          </c:val>
          <c:smooth val="0"/>
          <c:extLst>
            <c:ext xmlns:c16="http://schemas.microsoft.com/office/drawing/2014/chart" uri="{C3380CC4-5D6E-409C-BE32-E72D297353CC}">
              <c16:uniqueId val="{00000003-4731-4577-B0BC-FB9D123D86ED}"/>
            </c:ext>
          </c:extLst>
        </c:ser>
        <c:dLbls>
          <c:showLegendKey val="0"/>
          <c:showVal val="0"/>
          <c:showCatName val="0"/>
          <c:showSerName val="0"/>
          <c:showPercent val="0"/>
          <c:showBubbleSize val="0"/>
        </c:dLbls>
        <c:marker val="1"/>
        <c:smooth val="0"/>
        <c:axId val="156100864"/>
        <c:axId val="156573696"/>
      </c:lineChart>
      <c:lineChart>
        <c:grouping val="standard"/>
        <c:varyColors val="0"/>
        <c:ser>
          <c:idx val="5"/>
          <c:order val="4"/>
          <c:tx>
            <c:strRef>
              <c:f>'výkonnost odvětví 5a'!$H$66</c:f>
              <c:strCache>
                <c:ptCount val="1"/>
                <c:pt idx="0">
                  <c:v>Maloobchod, bez motor. segm. (2021=100)</c:v>
                </c:pt>
              </c:strCache>
            </c:strRef>
          </c:tx>
          <c:spPr>
            <a:ln w="15875">
              <a:solidFill>
                <a:schemeClr val="tx1">
                  <a:lumMod val="95000"/>
                  <a:lumOff val="5000"/>
                </a:schemeClr>
              </a:solidFill>
              <a:prstDash val="solid"/>
            </a:ln>
          </c:spPr>
          <c:marker>
            <c:symbol val="none"/>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5a'!$H$67:$H$104</c:f>
              <c:numCache>
                <c:formatCode>#\ ##0.0</c:formatCode>
                <c:ptCount val="38"/>
                <c:pt idx="0">
                  <c:v>79.387619700000002</c:v>
                </c:pt>
                <c:pt idx="1">
                  <c:v>80.3062253433</c:v>
                </c:pt>
                <c:pt idx="2">
                  <c:v>81.199263806700003</c:v>
                </c:pt>
                <c:pt idx="3">
                  <c:v>82.829916143299997</c:v>
                </c:pt>
                <c:pt idx="4">
                  <c:v>83.359185409999995</c:v>
                </c:pt>
                <c:pt idx="5">
                  <c:v>84.084432476700002</c:v>
                </c:pt>
                <c:pt idx="6">
                  <c:v>85.181352770000004</c:v>
                </c:pt>
                <c:pt idx="7">
                  <c:v>85.88258064</c:v>
                </c:pt>
                <c:pt idx="8">
                  <c:v>87.4984558867</c:v>
                </c:pt>
                <c:pt idx="9">
                  <c:v>89.139402750000002</c:v>
                </c:pt>
                <c:pt idx="10">
                  <c:v>90.153519266700002</c:v>
                </c:pt>
                <c:pt idx="11">
                  <c:v>90.503926663300007</c:v>
                </c:pt>
                <c:pt idx="12">
                  <c:v>93.105140056699994</c:v>
                </c:pt>
                <c:pt idx="13">
                  <c:v>93.1742804167</c:v>
                </c:pt>
                <c:pt idx="14">
                  <c:v>93.514300739999996</c:v>
                </c:pt>
                <c:pt idx="15">
                  <c:v>93.457195813300004</c:v>
                </c:pt>
                <c:pt idx="16">
                  <c:v>95.080488453300006</c:v>
                </c:pt>
                <c:pt idx="17">
                  <c:v>97.775211506700003</c:v>
                </c:pt>
                <c:pt idx="18">
                  <c:v>97.432309173299998</c:v>
                </c:pt>
                <c:pt idx="19">
                  <c:v>98.591741543300003</c:v>
                </c:pt>
                <c:pt idx="20">
                  <c:v>95.1745252467</c:v>
                </c:pt>
                <c:pt idx="21">
                  <c:v>94.2238113433</c:v>
                </c:pt>
                <c:pt idx="22">
                  <c:v>98.2489351567</c:v>
                </c:pt>
                <c:pt idx="23">
                  <c:v>95.276546670000002</c:v>
                </c:pt>
                <c:pt idx="24">
                  <c:v>93.078117289999994</c:v>
                </c:pt>
                <c:pt idx="25">
                  <c:v>100.65937383000001</c:v>
                </c:pt>
                <c:pt idx="26">
                  <c:v>102.0859871167</c:v>
                </c:pt>
                <c:pt idx="27">
                  <c:v>101.6194483533</c:v>
                </c:pt>
                <c:pt idx="28">
                  <c:v>99.634230506700007</c:v>
                </c:pt>
                <c:pt idx="29">
                  <c:v>97.767691463299997</c:v>
                </c:pt>
                <c:pt idx="30">
                  <c:v>94.968120616700006</c:v>
                </c:pt>
                <c:pt idx="31">
                  <c:v>92.894128953299997</c:v>
                </c:pt>
                <c:pt idx="32">
                  <c:v>91.684236766699996</c:v>
                </c:pt>
                <c:pt idx="33">
                  <c:v>91.275800286700004</c:v>
                </c:pt>
                <c:pt idx="34">
                  <c:v>91.951664473299999</c:v>
                </c:pt>
                <c:pt idx="35">
                  <c:v>92.958103829999999</c:v>
                </c:pt>
                <c:pt idx="36">
                  <c:v>94.801145559999995</c:v>
                </c:pt>
              </c:numCache>
            </c:numRef>
          </c:val>
          <c:smooth val="0"/>
          <c:extLst>
            <c:ext xmlns:c16="http://schemas.microsoft.com/office/drawing/2014/chart" uri="{C3380CC4-5D6E-409C-BE32-E72D297353CC}">
              <c16:uniqueId val="{00000004-4731-4577-B0BC-FB9D123D86ED}"/>
            </c:ext>
          </c:extLst>
        </c:ser>
        <c:ser>
          <c:idx val="2"/>
          <c:order val="5"/>
          <c:tx>
            <c:strRef>
              <c:f>'výkonnost odvětví 5a'!$I$66</c:f>
              <c:strCache>
                <c:ptCount val="1"/>
                <c:pt idx="0">
                  <c:v>z toho: maloobchod.prodej PHM (2021=100)</c:v>
                </c:pt>
              </c:strCache>
            </c:strRef>
          </c:tx>
          <c:spPr>
            <a:ln w="15875">
              <a:solidFill>
                <a:schemeClr val="bg2">
                  <a:lumMod val="50000"/>
                </a:schemeClr>
              </a:solidFill>
              <a:prstDash val="sysDash"/>
            </a:ln>
          </c:spPr>
          <c:marker>
            <c:symbol val="none"/>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5a'!$I$67:$I$104</c:f>
              <c:numCache>
                <c:formatCode>#\ ##0.0</c:formatCode>
                <c:ptCount val="38"/>
                <c:pt idx="0">
                  <c:v>86.524761636700006</c:v>
                </c:pt>
                <c:pt idx="1">
                  <c:v>87.411957833299994</c:v>
                </c:pt>
                <c:pt idx="2">
                  <c:v>89.056815003300002</c:v>
                </c:pt>
                <c:pt idx="3">
                  <c:v>90.635829810000004</c:v>
                </c:pt>
                <c:pt idx="4">
                  <c:v>91.354174043300006</c:v>
                </c:pt>
                <c:pt idx="5">
                  <c:v>92.452717846699997</c:v>
                </c:pt>
                <c:pt idx="6">
                  <c:v>93.451031206699994</c:v>
                </c:pt>
                <c:pt idx="7">
                  <c:v>94.790568546700001</c:v>
                </c:pt>
                <c:pt idx="8">
                  <c:v>96.066324203299999</c:v>
                </c:pt>
                <c:pt idx="9">
                  <c:v>97.673183713300006</c:v>
                </c:pt>
                <c:pt idx="10">
                  <c:v>99.237647573299995</c:v>
                </c:pt>
                <c:pt idx="11">
                  <c:v>100.2896053067</c:v>
                </c:pt>
                <c:pt idx="12">
                  <c:v>101.9259088133</c:v>
                </c:pt>
                <c:pt idx="13">
                  <c:v>102.3498273733</c:v>
                </c:pt>
                <c:pt idx="14">
                  <c:v>102.00124114330001</c:v>
                </c:pt>
                <c:pt idx="15">
                  <c:v>101.92222832669999</c:v>
                </c:pt>
                <c:pt idx="16">
                  <c:v>105.52141971330001</c:v>
                </c:pt>
                <c:pt idx="17">
                  <c:v>106.7492027433</c:v>
                </c:pt>
                <c:pt idx="18">
                  <c:v>102.2677534367</c:v>
                </c:pt>
                <c:pt idx="19">
                  <c:v>102.38734820329999</c:v>
                </c:pt>
                <c:pt idx="20">
                  <c:v>101.74032914999999</c:v>
                </c:pt>
                <c:pt idx="21">
                  <c:v>89.521872973300006</c:v>
                </c:pt>
                <c:pt idx="22">
                  <c:v>98.536132409999993</c:v>
                </c:pt>
                <c:pt idx="23">
                  <c:v>92.227044199999995</c:v>
                </c:pt>
                <c:pt idx="24">
                  <c:v>96.291948540000007</c:v>
                </c:pt>
                <c:pt idx="25">
                  <c:v>101.0403542367</c:v>
                </c:pt>
                <c:pt idx="26">
                  <c:v>102.22383717</c:v>
                </c:pt>
                <c:pt idx="27">
                  <c:v>100.14874372</c:v>
                </c:pt>
                <c:pt idx="28">
                  <c:v>100.5907196533</c:v>
                </c:pt>
                <c:pt idx="29">
                  <c:v>95.990315050000007</c:v>
                </c:pt>
                <c:pt idx="30">
                  <c:v>95.306460000000001</c:v>
                </c:pt>
                <c:pt idx="31">
                  <c:v>98.045303706699997</c:v>
                </c:pt>
                <c:pt idx="32">
                  <c:v>99.152312223300001</c:v>
                </c:pt>
                <c:pt idx="33">
                  <c:v>101.7100422133</c:v>
                </c:pt>
                <c:pt idx="34">
                  <c:v>102.7160497433</c:v>
                </c:pt>
                <c:pt idx="35">
                  <c:v>102.71945150000001</c:v>
                </c:pt>
                <c:pt idx="36">
                  <c:v>104.1724694933</c:v>
                </c:pt>
              </c:numCache>
            </c:numRef>
          </c:val>
          <c:smooth val="0"/>
          <c:extLst>
            <c:ext xmlns:c16="http://schemas.microsoft.com/office/drawing/2014/chart" uri="{C3380CC4-5D6E-409C-BE32-E72D297353CC}">
              <c16:uniqueId val="{00000005-4731-4577-B0BC-FB9D123D86ED}"/>
            </c:ext>
          </c:extLst>
        </c:ser>
        <c:ser>
          <c:idx val="6"/>
          <c:order val="6"/>
          <c:tx>
            <c:strRef>
              <c:f>'výkonnost odvětví 5a'!$J$66</c:f>
              <c:strCache>
                <c:ptCount val="1"/>
                <c:pt idx="0">
                  <c:v>Obchod a opravy motor. vozidel (2021=100)</c:v>
                </c:pt>
              </c:strCache>
            </c:strRef>
          </c:tx>
          <c:spPr>
            <a:ln w="15875">
              <a:solidFill>
                <a:srgbClr val="984807"/>
              </a:solidFill>
              <a:prstDash val="solid"/>
            </a:ln>
          </c:spPr>
          <c:marker>
            <c:symbol val="none"/>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5a'!$J$67:$J$104</c:f>
              <c:numCache>
                <c:formatCode>#\ ##0.0</c:formatCode>
                <c:ptCount val="38"/>
                <c:pt idx="0">
                  <c:v>94.876410473299998</c:v>
                </c:pt>
                <c:pt idx="1">
                  <c:v>97.695799643300006</c:v>
                </c:pt>
                <c:pt idx="2">
                  <c:v>100.06974644669999</c:v>
                </c:pt>
                <c:pt idx="3">
                  <c:v>102.95079615</c:v>
                </c:pt>
                <c:pt idx="4">
                  <c:v>104.2505530033</c:v>
                </c:pt>
                <c:pt idx="5">
                  <c:v>105.7391903267</c:v>
                </c:pt>
                <c:pt idx="6">
                  <c:v>107.83085998670001</c:v>
                </c:pt>
                <c:pt idx="7">
                  <c:v>108.3916669833</c:v>
                </c:pt>
                <c:pt idx="8">
                  <c:v>109.6607583333</c:v>
                </c:pt>
                <c:pt idx="9">
                  <c:v>110.11505321999999</c:v>
                </c:pt>
                <c:pt idx="10">
                  <c:v>109.31164355999999</c:v>
                </c:pt>
                <c:pt idx="11">
                  <c:v>110.27179532</c:v>
                </c:pt>
                <c:pt idx="12">
                  <c:v>108.78251946669999</c:v>
                </c:pt>
                <c:pt idx="13">
                  <c:v>108.49123695</c:v>
                </c:pt>
                <c:pt idx="14">
                  <c:v>108.3772654867</c:v>
                </c:pt>
                <c:pt idx="15">
                  <c:v>106.77434101</c:v>
                </c:pt>
                <c:pt idx="16">
                  <c:v>108.7007365533</c:v>
                </c:pt>
                <c:pt idx="17">
                  <c:v>109.26996463</c:v>
                </c:pt>
                <c:pt idx="18">
                  <c:v>107.48895487670001</c:v>
                </c:pt>
                <c:pt idx="19">
                  <c:v>107.35668517000001</c:v>
                </c:pt>
                <c:pt idx="20">
                  <c:v>95.100964756699994</c:v>
                </c:pt>
                <c:pt idx="21">
                  <c:v>78.817161313300005</c:v>
                </c:pt>
                <c:pt idx="22">
                  <c:v>99.582288770000005</c:v>
                </c:pt>
                <c:pt idx="23">
                  <c:v>99.444996476699998</c:v>
                </c:pt>
                <c:pt idx="24">
                  <c:v>101.45432369</c:v>
                </c:pt>
                <c:pt idx="25">
                  <c:v>101.19891653329999</c:v>
                </c:pt>
                <c:pt idx="26">
                  <c:v>98.559322496700005</c:v>
                </c:pt>
                <c:pt idx="27">
                  <c:v>97.3288163733</c:v>
                </c:pt>
                <c:pt idx="28">
                  <c:v>96.620149133300004</c:v>
                </c:pt>
                <c:pt idx="29">
                  <c:v>95.515683080000002</c:v>
                </c:pt>
                <c:pt idx="30">
                  <c:v>95.5204723433</c:v>
                </c:pt>
                <c:pt idx="31">
                  <c:v>96.048567383299996</c:v>
                </c:pt>
                <c:pt idx="32">
                  <c:v>98.8085311233</c:v>
                </c:pt>
                <c:pt idx="33">
                  <c:v>99.602834843300002</c:v>
                </c:pt>
                <c:pt idx="34">
                  <c:v>100.6889673167</c:v>
                </c:pt>
                <c:pt idx="35">
                  <c:v>101.7250949667</c:v>
                </c:pt>
                <c:pt idx="36">
                  <c:v>101.8176305433</c:v>
                </c:pt>
              </c:numCache>
            </c:numRef>
          </c:val>
          <c:smooth val="0"/>
          <c:extLst>
            <c:ext xmlns:c16="http://schemas.microsoft.com/office/drawing/2014/chart" uri="{C3380CC4-5D6E-409C-BE32-E72D297353CC}">
              <c16:uniqueId val="{00000006-4731-4577-B0BC-FB9D123D86ED}"/>
            </c:ext>
          </c:extLst>
        </c:ser>
        <c:ser>
          <c:idx val="7"/>
          <c:order val="7"/>
          <c:tx>
            <c:strRef>
              <c:f>'výkonnost odvětví 5a'!$K$66</c:f>
              <c:strCache>
                <c:ptCount val="1"/>
              </c:strCache>
            </c:strRef>
          </c:tx>
          <c:spPr>
            <a:ln w="3175">
              <a:noFill/>
              <a:prstDash val="sysDash"/>
            </a:ln>
          </c:spPr>
          <c:marker>
            <c:symbol val="none"/>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5a'!$K$67:$K$104</c:f>
              <c:numCache>
                <c:formatCode>General</c:formatCode>
                <c:ptCount val="38"/>
              </c:numCache>
            </c:numRef>
          </c:val>
          <c:smooth val="0"/>
          <c:extLst>
            <c:ext xmlns:c16="http://schemas.microsoft.com/office/drawing/2014/chart" uri="{C3380CC4-5D6E-409C-BE32-E72D297353CC}">
              <c16:uniqueId val="{00000007-4731-4577-B0BC-FB9D123D86ED}"/>
            </c:ext>
          </c:extLst>
        </c:ser>
        <c:ser>
          <c:idx val="8"/>
          <c:order val="8"/>
          <c:tx>
            <c:strRef>
              <c:f>'výkonnost odvětví 5a'!$L$66</c:f>
              <c:strCache>
                <c:ptCount val="1"/>
                <c:pt idx="0">
                  <c:v>Saldo indikátoru důvěry spotřebitelů</c:v>
                </c:pt>
              </c:strCache>
            </c:strRef>
          </c:tx>
          <c:spPr>
            <a:ln w="12700">
              <a:solidFill>
                <a:schemeClr val="bg1">
                  <a:lumMod val="50000"/>
                </a:schemeClr>
              </a:solidFill>
              <a:prstDash val="sysDot"/>
            </a:ln>
          </c:spPr>
          <c:marker>
            <c:symbol val="circle"/>
            <c:size val="5"/>
            <c:spPr>
              <a:solidFill>
                <a:srgbClr val="FFFF00"/>
              </a:solidFill>
              <a:ln>
                <a:solidFill>
                  <a:schemeClr val="bg1">
                    <a:lumMod val="50000"/>
                  </a:schemeClr>
                </a:solidFill>
              </a:ln>
            </c:spPr>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5a'!$L$67:$L$104</c:f>
              <c:numCache>
                <c:formatCode>0.0</c:formatCode>
                <c:ptCount val="38"/>
                <c:pt idx="0">
                  <c:v>-1.75</c:v>
                </c:pt>
                <c:pt idx="1">
                  <c:v>0.25</c:v>
                </c:pt>
                <c:pt idx="2">
                  <c:v>-3.75</c:v>
                </c:pt>
                <c:pt idx="3">
                  <c:v>-0.25</c:v>
                </c:pt>
                <c:pt idx="4">
                  <c:v>-1.5</c:v>
                </c:pt>
                <c:pt idx="5">
                  <c:v>0</c:v>
                </c:pt>
                <c:pt idx="6">
                  <c:v>-2.25</c:v>
                </c:pt>
                <c:pt idx="7">
                  <c:v>0.75</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pt idx="31">
                  <c:v>-30.8</c:v>
                </c:pt>
                <c:pt idx="32">
                  <c:v>-21</c:v>
                </c:pt>
                <c:pt idx="33">
                  <c:v>-20.3</c:v>
                </c:pt>
                <c:pt idx="34">
                  <c:v>-18</c:v>
                </c:pt>
                <c:pt idx="35">
                  <c:v>-18.3</c:v>
                </c:pt>
                <c:pt idx="36">
                  <c:v>-15.8</c:v>
                </c:pt>
                <c:pt idx="37">
                  <c:v>-9</c:v>
                </c:pt>
              </c:numCache>
            </c:numRef>
          </c:val>
          <c:smooth val="0"/>
          <c:extLst>
            <c:ext xmlns:c16="http://schemas.microsoft.com/office/drawing/2014/chart" uri="{C3380CC4-5D6E-409C-BE32-E72D297353CC}">
              <c16:uniqueId val="{00000008-4731-4577-B0BC-FB9D123D86ED}"/>
            </c:ext>
          </c:extLst>
        </c:ser>
        <c:ser>
          <c:idx val="9"/>
          <c:order val="9"/>
          <c:tx>
            <c:strRef>
              <c:f>'výkonnost odvětví 5a'!$M$66</c:f>
              <c:strCache>
                <c:ptCount val="1"/>
                <c:pt idx="0">
                  <c:v>Saldo indikátoru důvěry obchodníků</c:v>
                </c:pt>
              </c:strCache>
            </c:strRef>
          </c:tx>
          <c:spPr>
            <a:ln w="6350">
              <a:solidFill>
                <a:schemeClr val="bg1">
                  <a:lumMod val="50000"/>
                </a:schemeClr>
              </a:solidFill>
              <a:prstDash val="sysDash"/>
            </a:ln>
          </c:spPr>
          <c:marker>
            <c:symbol val="triangle"/>
            <c:size val="5"/>
            <c:spPr>
              <a:solidFill>
                <a:schemeClr val="accent6">
                  <a:lumMod val="40000"/>
                  <a:lumOff val="60000"/>
                </a:schemeClr>
              </a:solidFill>
              <a:ln>
                <a:solidFill>
                  <a:schemeClr val="bg1">
                    <a:lumMod val="50000"/>
                  </a:schemeClr>
                </a:solidFill>
              </a:ln>
            </c:spPr>
          </c:marker>
          <c:cat>
            <c:multiLvlStrRef>
              <c:f>'výkonnost odvětví 5a'!$B$67:$C$104</c:f>
              <c:multiLvlStrCache>
                <c:ptCount val="38"/>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pt idx="34">
                    <c:v>3</c:v>
                  </c:pt>
                  <c:pt idx="35">
                    <c:v>4</c:v>
                  </c:pt>
                  <c:pt idx="36">
                    <c:v>1</c:v>
                  </c:pt>
                  <c:pt idx="37">
                    <c:v>2</c:v>
                  </c:pt>
                </c:lvl>
                <c:lvl>
                  <c:pt idx="0">
                    <c:v>2015</c:v>
                  </c:pt>
                  <c:pt idx="4">
                    <c:v>2016</c:v>
                  </c:pt>
                  <c:pt idx="8">
                    <c:v>2017</c:v>
                  </c:pt>
                  <c:pt idx="12">
                    <c:v>2018</c:v>
                  </c:pt>
                  <c:pt idx="16">
                    <c:v>2019</c:v>
                  </c:pt>
                  <c:pt idx="20">
                    <c:v>2020</c:v>
                  </c:pt>
                  <c:pt idx="24">
                    <c:v>2021</c:v>
                  </c:pt>
                  <c:pt idx="28">
                    <c:v>2022</c:v>
                  </c:pt>
                  <c:pt idx="32">
                    <c:v>2023</c:v>
                  </c:pt>
                  <c:pt idx="36">
                    <c:v>2024</c:v>
                  </c:pt>
                </c:lvl>
              </c:multiLvlStrCache>
            </c:multiLvlStrRef>
          </c:cat>
          <c:val>
            <c:numRef>
              <c:f>'výkonnost odvětví 5a'!$M$67:$M$104</c:f>
              <c:numCache>
                <c:formatCode>0.0</c:formatCode>
                <c:ptCount val="38"/>
                <c:pt idx="0">
                  <c:v>20</c:v>
                </c:pt>
                <c:pt idx="1">
                  <c:v>20.7</c:v>
                </c:pt>
                <c:pt idx="2">
                  <c:v>17.600000000000001</c:v>
                </c:pt>
                <c:pt idx="3">
                  <c:v>19.7</c:v>
                </c:pt>
                <c:pt idx="4">
                  <c:v>22.7</c:v>
                </c:pt>
                <c:pt idx="5">
                  <c:v>17.7</c:v>
                </c:pt>
                <c:pt idx="6">
                  <c:v>17.7</c:v>
                </c:pt>
                <c:pt idx="7">
                  <c:v>21</c:v>
                </c:pt>
                <c:pt idx="8">
                  <c:v>24.3</c:v>
                </c:pt>
                <c:pt idx="9">
                  <c:v>17.3</c:v>
                </c:pt>
                <c:pt idx="10">
                  <c:v>22.7</c:v>
                </c:pt>
                <c:pt idx="11">
                  <c:v>21.7</c:v>
                </c:pt>
                <c:pt idx="12">
                  <c:v>23.3</c:v>
                </c:pt>
                <c:pt idx="13">
                  <c:v>17.3</c:v>
                </c:pt>
                <c:pt idx="14">
                  <c:v>15.6</c:v>
                </c:pt>
                <c:pt idx="15">
                  <c:v>15</c:v>
                </c:pt>
                <c:pt idx="16">
                  <c:v>12.7</c:v>
                </c:pt>
                <c:pt idx="17">
                  <c:v>12.3</c:v>
                </c:pt>
                <c:pt idx="18">
                  <c:v>14.7</c:v>
                </c:pt>
                <c:pt idx="19">
                  <c:v>14.7</c:v>
                </c:pt>
                <c:pt idx="20">
                  <c:v>18.7</c:v>
                </c:pt>
                <c:pt idx="21">
                  <c:v>-1</c:v>
                </c:pt>
                <c:pt idx="22">
                  <c:v>12</c:v>
                </c:pt>
                <c:pt idx="23">
                  <c:v>7</c:v>
                </c:pt>
                <c:pt idx="24">
                  <c:v>1.3</c:v>
                </c:pt>
                <c:pt idx="25">
                  <c:v>15</c:v>
                </c:pt>
                <c:pt idx="26">
                  <c:v>18.3</c:v>
                </c:pt>
                <c:pt idx="27">
                  <c:v>21.3</c:v>
                </c:pt>
                <c:pt idx="28">
                  <c:v>19.7</c:v>
                </c:pt>
                <c:pt idx="29">
                  <c:v>19.600000000000001</c:v>
                </c:pt>
                <c:pt idx="30">
                  <c:v>10.3</c:v>
                </c:pt>
                <c:pt idx="31">
                  <c:v>14.7</c:v>
                </c:pt>
                <c:pt idx="32">
                  <c:v>9.3000000000000007</c:v>
                </c:pt>
                <c:pt idx="33">
                  <c:v>13.3</c:v>
                </c:pt>
                <c:pt idx="34">
                  <c:v>5.7</c:v>
                </c:pt>
                <c:pt idx="35">
                  <c:v>3.3</c:v>
                </c:pt>
                <c:pt idx="36">
                  <c:v>1.7</c:v>
                </c:pt>
                <c:pt idx="37">
                  <c:v>11.3</c:v>
                </c:pt>
              </c:numCache>
            </c:numRef>
          </c:val>
          <c:smooth val="0"/>
          <c:extLst>
            <c:ext xmlns:c16="http://schemas.microsoft.com/office/drawing/2014/chart" uri="{C3380CC4-5D6E-409C-BE32-E72D297353CC}">
              <c16:uniqueId val="{00000009-4731-4577-B0BC-FB9D123D86ED}"/>
            </c:ext>
          </c:extLst>
        </c:ser>
        <c:dLbls>
          <c:showLegendKey val="0"/>
          <c:showVal val="0"/>
          <c:showCatName val="0"/>
          <c:showSerName val="0"/>
          <c:showPercent val="0"/>
          <c:showBubbleSize val="0"/>
        </c:dLbls>
        <c:marker val="1"/>
        <c:smooth val="0"/>
        <c:axId val="1875570767"/>
        <c:axId val="1875563695"/>
      </c:lineChart>
      <c:catAx>
        <c:axId val="156100864"/>
        <c:scaling>
          <c:orientation val="minMax"/>
        </c:scaling>
        <c:delete val="0"/>
        <c:axPos val="b"/>
        <c:numFmt formatCode="General" sourceLinked="0"/>
        <c:majorTickMark val="out"/>
        <c:minorTickMark val="none"/>
        <c:tickLblPos val="low"/>
        <c:txPr>
          <a:bodyPr/>
          <a:lstStyle/>
          <a:p>
            <a:pPr>
              <a:defRPr sz="800"/>
            </a:pPr>
            <a:endParaRPr lang="cs-CZ"/>
          </a:p>
        </c:txPr>
        <c:crossAx val="156573696"/>
        <c:crosses val="autoZero"/>
        <c:auto val="1"/>
        <c:lblAlgn val="ctr"/>
        <c:lblOffset val="0"/>
        <c:noMultiLvlLbl val="0"/>
      </c:catAx>
      <c:valAx>
        <c:axId val="156573696"/>
        <c:scaling>
          <c:orientation val="minMax"/>
          <c:max val="12"/>
          <c:min val="-10"/>
        </c:scaling>
        <c:delete val="0"/>
        <c:axPos val="l"/>
        <c:majorGridlines>
          <c:spPr>
            <a:ln w="6350">
              <a:solidFill>
                <a:schemeClr val="bg1">
                  <a:lumMod val="75000"/>
                </a:schemeClr>
              </a:solidFill>
            </a:ln>
          </c:spPr>
        </c:majorGridlines>
        <c:title>
          <c:tx>
            <c:rich>
              <a:bodyPr/>
              <a:lstStyle/>
              <a:p>
                <a:pPr>
                  <a:defRPr sz="750" b="0" i="1"/>
                </a:pPr>
                <a:r>
                  <a:rPr lang="cs-CZ" sz="750" b="0" i="1"/>
                  <a:t>Tržby</a:t>
                </a:r>
                <a:r>
                  <a:rPr lang="cs-CZ" sz="750" b="0" i="1" baseline="0"/>
                  <a:t> (příspěvky k meziroč. změně)</a:t>
                </a:r>
                <a:endParaRPr lang="cs-CZ" sz="750" b="0" i="1"/>
              </a:p>
            </c:rich>
          </c:tx>
          <c:layout>
            <c:manualLayout>
              <c:xMode val="edge"/>
              <c:yMode val="edge"/>
              <c:x val="2.6086947381477195E-3"/>
              <c:y val="0.16393316671713359"/>
            </c:manualLayout>
          </c:layout>
          <c:overlay val="0"/>
        </c:title>
        <c:numFmt formatCode="0" sourceLinked="0"/>
        <c:majorTickMark val="out"/>
        <c:minorTickMark val="none"/>
        <c:tickLblPos val="nextTo"/>
        <c:txPr>
          <a:bodyPr/>
          <a:lstStyle/>
          <a:p>
            <a:pPr>
              <a:defRPr sz="800"/>
            </a:pPr>
            <a:endParaRPr lang="cs-CZ"/>
          </a:p>
        </c:txPr>
        <c:crossAx val="156100864"/>
        <c:crosses val="autoZero"/>
        <c:crossBetween val="between"/>
        <c:majorUnit val="2"/>
      </c:valAx>
      <c:valAx>
        <c:axId val="1875563695"/>
        <c:scaling>
          <c:orientation val="minMax"/>
          <c:max val="125"/>
          <c:min val="-40"/>
        </c:scaling>
        <c:delete val="0"/>
        <c:axPos val="r"/>
        <c:title>
          <c:tx>
            <c:rich>
              <a:bodyPr/>
              <a:lstStyle/>
              <a:p>
                <a:pPr>
                  <a:defRPr sz="750" b="0" i="1"/>
                </a:pPr>
                <a:r>
                  <a:rPr lang="cs-CZ" sz="750" b="0" i="1">
                    <a:latin typeface="Arial" panose="020B0604020202020204" pitchFamily="34" charset="0"/>
                    <a:cs typeface="Arial" panose="020B0604020202020204" pitchFamily="34" charset="0"/>
                  </a:rPr>
                  <a:t>Tržby</a:t>
                </a:r>
                <a:r>
                  <a:rPr lang="cs-CZ" sz="750" b="0" i="1" baseline="0">
                    <a:latin typeface="Arial" panose="020B0604020202020204" pitchFamily="34" charset="0"/>
                    <a:cs typeface="Arial" panose="020B0604020202020204" pitchFamily="34" charset="0"/>
                  </a:rPr>
                  <a:t> (rok 2015=100), </a:t>
                </a:r>
                <a:r>
                  <a:rPr lang="cs-CZ" sz="750" b="0" i="1" u="none" strike="noStrike" baseline="0">
                    <a:effectLst/>
                    <a:latin typeface="Arial" panose="020B0604020202020204" pitchFamily="34" charset="0"/>
                    <a:cs typeface="Arial" panose="020B0604020202020204" pitchFamily="34" charset="0"/>
                  </a:rPr>
                  <a:t>Saldo důvěry</a:t>
                </a:r>
                <a:endParaRPr lang="cs-CZ" sz="750" b="0" i="1">
                  <a:latin typeface="Arial" panose="020B0604020202020204" pitchFamily="34" charset="0"/>
                  <a:cs typeface="Arial" panose="020B0604020202020204" pitchFamily="34" charset="0"/>
                </a:endParaRPr>
              </a:p>
            </c:rich>
          </c:tx>
          <c:layout>
            <c:manualLayout>
              <c:xMode val="edge"/>
              <c:yMode val="edge"/>
              <c:x val="0.96896265019335537"/>
              <c:y val="0.1743397117509615"/>
            </c:manualLayout>
          </c:layout>
          <c:overlay val="0"/>
        </c:title>
        <c:numFmt formatCode="#,##0" sourceLinked="0"/>
        <c:majorTickMark val="out"/>
        <c:minorTickMark val="none"/>
        <c:tickLblPos val="nextTo"/>
        <c:txPr>
          <a:bodyPr/>
          <a:lstStyle/>
          <a:p>
            <a:pPr>
              <a:defRPr sz="800"/>
            </a:pPr>
            <a:endParaRPr lang="cs-CZ"/>
          </a:p>
        </c:txPr>
        <c:crossAx val="1875570767"/>
        <c:crosses val="max"/>
        <c:crossBetween val="between"/>
        <c:majorUnit val="15"/>
      </c:valAx>
      <c:catAx>
        <c:axId val="1875570767"/>
        <c:scaling>
          <c:orientation val="minMax"/>
        </c:scaling>
        <c:delete val="1"/>
        <c:axPos val="b"/>
        <c:numFmt formatCode="General" sourceLinked="1"/>
        <c:majorTickMark val="out"/>
        <c:minorTickMark val="none"/>
        <c:tickLblPos val="nextTo"/>
        <c:crossAx val="1875563695"/>
        <c:crosses val="autoZero"/>
        <c:auto val="1"/>
        <c:lblAlgn val="ctr"/>
        <c:lblOffset val="100"/>
        <c:noMultiLvlLbl val="0"/>
      </c:catAx>
      <c:spPr>
        <a:ln>
          <a:solidFill>
            <a:schemeClr val="tx1"/>
          </a:solidFill>
        </a:ln>
      </c:spPr>
    </c:plotArea>
    <c:legend>
      <c:legendPos val="r"/>
      <c:layout>
        <c:manualLayout>
          <c:xMode val="edge"/>
          <c:yMode val="edge"/>
          <c:x val="5.1385534144624996E-3"/>
          <c:y val="0.837216076019483"/>
          <c:w val="0.98691543107779145"/>
          <c:h val="0.15565653623547093"/>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'Vnější vztahy'!$E$6</c:f>
              <c:strCache>
                <c:ptCount val="1"/>
                <c:pt idx="0">
                  <c:v>Bilance</c:v>
                </c:pt>
              </c:strCache>
            </c:strRef>
          </c:tx>
          <c:spPr>
            <a:solidFill>
              <a:srgbClr val="A6A6A6"/>
            </a:solidFill>
            <a:ln>
              <a:noFill/>
            </a:ln>
            <a:effectLst/>
          </c:spPr>
          <c:invertIfNegative val="0"/>
          <c:cat>
            <c:multiLvlStrRef>
              <c:f>'Vnější vztahy'!$A$7:$B$27</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'Vnější vztahy'!$E$7:$E$27</c:f>
              <c:numCache>
                <c:formatCode>0.0</c:formatCode>
                <c:ptCount val="21"/>
                <c:pt idx="0">
                  <c:v>48.244762451999996</c:v>
                </c:pt>
                <c:pt idx="1">
                  <c:v>56.993667721000001</c:v>
                </c:pt>
                <c:pt idx="2">
                  <c:v>27.532477373999992</c:v>
                </c:pt>
                <c:pt idx="3">
                  <c:v>12.923809864000004</c:v>
                </c:pt>
                <c:pt idx="4">
                  <c:v>36.182428658999996</c:v>
                </c:pt>
                <c:pt idx="5">
                  <c:v>9.2911503559999993</c:v>
                </c:pt>
                <c:pt idx="6">
                  <c:v>55.286836668000007</c:v>
                </c:pt>
                <c:pt idx="7">
                  <c:v>78.879761297999934</c:v>
                </c:pt>
                <c:pt idx="8">
                  <c:v>60.916821217999995</c:v>
                </c:pt>
                <c:pt idx="9">
                  <c:v>13.848192235000004</c:v>
                </c:pt>
                <c:pt idx="10">
                  <c:v>-54.700282055000002</c:v>
                </c:pt>
                <c:pt idx="11">
                  <c:v>-29.26937423499999</c:v>
                </c:pt>
                <c:pt idx="12">
                  <c:v>-12.635912592</c:v>
                </c:pt>
                <c:pt idx="13">
                  <c:v>-73.22520009599998</c:v>
                </c:pt>
                <c:pt idx="14">
                  <c:v>-64.314002961000028</c:v>
                </c:pt>
                <c:pt idx="15">
                  <c:v>-54.639469009000003</c:v>
                </c:pt>
                <c:pt idx="16">
                  <c:v>40.212027973000005</c:v>
                </c:pt>
                <c:pt idx="17">
                  <c:v>36.314758450999982</c:v>
                </c:pt>
                <c:pt idx="18">
                  <c:v>-1.3837754039999999</c:v>
                </c:pt>
                <c:pt idx="19">
                  <c:v>48.810897032999982</c:v>
                </c:pt>
                <c:pt idx="20">
                  <c:v>84.518450325999979</c:v>
                </c:pt>
              </c:numCache>
            </c:numRef>
          </c:val>
          <c:extLst>
            <c:ext xmlns:c16="http://schemas.microsoft.com/office/drawing/2014/chart" uri="{C3380CC4-5D6E-409C-BE32-E72D297353CC}">
              <c16:uniqueId val="{00000000-5CC2-4716-8B50-FD68046ADF0A}"/>
            </c:ext>
          </c:extLst>
        </c:ser>
        <c:dLbls>
          <c:showLegendKey val="0"/>
          <c:showVal val="0"/>
          <c:showCatName val="0"/>
          <c:showSerName val="0"/>
          <c:showPercent val="0"/>
          <c:showBubbleSize val="0"/>
        </c:dLbls>
        <c:gapWidth val="90"/>
        <c:axId val="117494528"/>
        <c:axId val="117463296"/>
      </c:barChart>
      <c:lineChart>
        <c:grouping val="standard"/>
        <c:varyColors val="0"/>
        <c:ser>
          <c:idx val="0"/>
          <c:order val="0"/>
          <c:tx>
            <c:strRef>
              <c:f>'Vnější vztahy'!$C$6</c:f>
              <c:strCache>
                <c:ptCount val="1"/>
                <c:pt idx="0">
                  <c:v>Vývoz</c:v>
                </c:pt>
              </c:strCache>
            </c:strRef>
          </c:tx>
          <c:spPr>
            <a:ln w="28575" cap="rnd">
              <a:noFill/>
              <a:round/>
            </a:ln>
            <a:effectLst/>
          </c:spPr>
          <c:marker>
            <c:symbol val="dash"/>
            <c:size val="9"/>
            <c:spPr>
              <a:solidFill>
                <a:srgbClr val="0071BC"/>
              </a:solidFill>
              <a:ln w="9525">
                <a:noFill/>
              </a:ln>
              <a:effectLst/>
            </c:spPr>
          </c:marker>
          <c:cat>
            <c:multiLvlStrRef>
              <c:f>'Vnější vztahy'!$A$7:$B$27</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'Vnější vztahy'!$C$7:$C$27</c:f>
              <c:numCache>
                <c:formatCode>0.0</c:formatCode>
                <c:ptCount val="21"/>
                <c:pt idx="0">
                  <c:v>3.7143750821000054</c:v>
                </c:pt>
                <c:pt idx="1">
                  <c:v>3.3683840658000017</c:v>
                </c:pt>
                <c:pt idx="2">
                  <c:v>4.8286280231999967</c:v>
                </c:pt>
                <c:pt idx="3">
                  <c:v>-3.1636168855000051</c:v>
                </c:pt>
                <c:pt idx="4">
                  <c:v>-6.4135636115999972</c:v>
                </c:pt>
                <c:pt idx="5">
                  <c:v>-25.037497579399989</c:v>
                </c:pt>
                <c:pt idx="6">
                  <c:v>-3.5785611728999962</c:v>
                </c:pt>
                <c:pt idx="7">
                  <c:v>7.411852265899995</c:v>
                </c:pt>
                <c:pt idx="8">
                  <c:v>10.9623133044</c:v>
                </c:pt>
                <c:pt idx="9">
                  <c:v>41.981094956099994</c:v>
                </c:pt>
                <c:pt idx="10">
                  <c:v>3.4515742189000074</c:v>
                </c:pt>
                <c:pt idx="11">
                  <c:v>2.7491985255000069</c:v>
                </c:pt>
                <c:pt idx="12">
                  <c:v>8.0064988441999994</c:v>
                </c:pt>
                <c:pt idx="13">
                  <c:v>11.287163968300003</c:v>
                </c:pt>
                <c:pt idx="14">
                  <c:v>22.470879917399991</c:v>
                </c:pt>
                <c:pt idx="15">
                  <c:v>13.234980039600003</c:v>
                </c:pt>
                <c:pt idx="16">
                  <c:v>10.9200996187</c:v>
                </c:pt>
                <c:pt idx="17">
                  <c:v>1.0319438756000068</c:v>
                </c:pt>
                <c:pt idx="18">
                  <c:v>-6.6842177709999895</c:v>
                </c:pt>
                <c:pt idx="19">
                  <c:v>-0.82268469539999978</c:v>
                </c:pt>
                <c:pt idx="20">
                  <c:v>0.45028876060000311</c:v>
                </c:pt>
              </c:numCache>
            </c:numRef>
          </c:val>
          <c:smooth val="0"/>
          <c:extLst>
            <c:ext xmlns:c16="http://schemas.microsoft.com/office/drawing/2014/chart" uri="{C3380CC4-5D6E-409C-BE32-E72D297353CC}">
              <c16:uniqueId val="{00000001-5CC2-4716-8B50-FD68046ADF0A}"/>
            </c:ext>
          </c:extLst>
        </c:ser>
        <c:ser>
          <c:idx val="1"/>
          <c:order val="1"/>
          <c:tx>
            <c:strRef>
              <c:f>'Vnější vztahy'!$D$6</c:f>
              <c:strCache>
                <c:ptCount val="1"/>
                <c:pt idx="0">
                  <c:v>Dovoz</c:v>
                </c:pt>
              </c:strCache>
            </c:strRef>
          </c:tx>
          <c:spPr>
            <a:ln w="28575" cap="rnd">
              <a:noFill/>
              <a:round/>
            </a:ln>
            <a:effectLst/>
          </c:spPr>
          <c:marker>
            <c:symbol val="dash"/>
            <c:size val="9"/>
            <c:spPr>
              <a:solidFill>
                <a:srgbClr val="BD1B21"/>
              </a:solidFill>
              <a:ln w="9525">
                <a:noFill/>
              </a:ln>
              <a:effectLst/>
            </c:spPr>
          </c:marker>
          <c:cat>
            <c:multiLvlStrRef>
              <c:f>'Vnější vztahy'!$A$7:$B$27</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2019</c:v>
                  </c:pt>
                  <c:pt idx="4">
                    <c:v>2020</c:v>
                  </c:pt>
                  <c:pt idx="8">
                    <c:v>2021</c:v>
                  </c:pt>
                  <c:pt idx="12">
                    <c:v>2022</c:v>
                  </c:pt>
                  <c:pt idx="16">
                    <c:v>2023</c:v>
                  </c:pt>
                  <c:pt idx="20">
                    <c:v>2024</c:v>
                  </c:pt>
                </c:lvl>
              </c:multiLvlStrCache>
            </c:multiLvlStrRef>
          </c:cat>
          <c:val>
            <c:numRef>
              <c:f>'Vnější vztahy'!$D$7:$D$27</c:f>
              <c:numCache>
                <c:formatCode>0.0</c:formatCode>
                <c:ptCount val="21"/>
                <c:pt idx="0">
                  <c:v>4.8123766788999909</c:v>
                </c:pt>
                <c:pt idx="1">
                  <c:v>1.0619237693999957</c:v>
                </c:pt>
                <c:pt idx="2">
                  <c:v>1.0984183013000011</c:v>
                </c:pt>
                <c:pt idx="3">
                  <c:v>-3.3198043863000057</c:v>
                </c:pt>
                <c:pt idx="4">
                  <c:v>-5.3981676209999971</c:v>
                </c:pt>
                <c:pt idx="5">
                  <c:v>-21.285728278399983</c:v>
                </c:pt>
                <c:pt idx="6">
                  <c:v>-6.8912364523999941</c:v>
                </c:pt>
                <c:pt idx="7">
                  <c:v>0.2231493654000048</c:v>
                </c:pt>
                <c:pt idx="8">
                  <c:v>8.4767312925000091</c:v>
                </c:pt>
                <c:pt idx="9">
                  <c:v>41.8874993166</c:v>
                </c:pt>
                <c:pt idx="10">
                  <c:v>17.303793961099991</c:v>
                </c:pt>
                <c:pt idx="11">
                  <c:v>14.923030300799997</c:v>
                </c:pt>
                <c:pt idx="12">
                  <c:v>16.659765110900004</c:v>
                </c:pt>
                <c:pt idx="13">
                  <c:v>20.193090002000005</c:v>
                </c:pt>
                <c:pt idx="14">
                  <c:v>22.18826718079999</c:v>
                </c:pt>
                <c:pt idx="15">
                  <c:v>15.299118063299998</c:v>
                </c:pt>
                <c:pt idx="16">
                  <c:v>5.7915036552000032</c:v>
                </c:pt>
                <c:pt idx="17">
                  <c:v>-8.1883629171999956</c:v>
                </c:pt>
                <c:pt idx="18">
                  <c:v>-11.748238206899998</c:v>
                </c:pt>
                <c:pt idx="19">
                  <c:v>-9.4007606554999974</c:v>
                </c:pt>
                <c:pt idx="20">
                  <c:v>-3.4944108404999952</c:v>
                </c:pt>
              </c:numCache>
            </c:numRef>
          </c:val>
          <c:smooth val="0"/>
          <c:extLst>
            <c:ext xmlns:c16="http://schemas.microsoft.com/office/drawing/2014/chart" uri="{C3380CC4-5D6E-409C-BE32-E72D297353CC}">
              <c16:uniqueId val="{00000002-5CC2-4716-8B50-FD68046ADF0A}"/>
            </c:ext>
          </c:extLst>
        </c:ser>
        <c:dLbls>
          <c:showLegendKey val="0"/>
          <c:showVal val="0"/>
          <c:showCatName val="0"/>
          <c:showSerName val="0"/>
          <c:showPercent val="0"/>
          <c:showBubbleSize val="0"/>
        </c:dLbls>
        <c:marker val="1"/>
        <c:smooth val="0"/>
        <c:axId val="116994432"/>
        <c:axId val="117461760"/>
      </c:lineChart>
      <c:catAx>
        <c:axId val="1169944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17461760"/>
        <c:crosses val="autoZero"/>
        <c:auto val="1"/>
        <c:lblAlgn val="ctr"/>
        <c:lblOffset val="100"/>
        <c:noMultiLvlLbl val="0"/>
      </c:catAx>
      <c:valAx>
        <c:axId val="117461760"/>
        <c:scaling>
          <c:orientation val="minMax"/>
          <c:min val="-4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16994432"/>
        <c:crosses val="autoZero"/>
        <c:crossBetween val="between"/>
      </c:valAx>
      <c:valAx>
        <c:axId val="117463296"/>
        <c:scaling>
          <c:orientation val="minMax"/>
          <c:min val="-8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crossAx val="117494528"/>
        <c:crosses val="max"/>
        <c:crossBetween val="between"/>
      </c:valAx>
      <c:catAx>
        <c:axId val="117494528"/>
        <c:scaling>
          <c:orientation val="minMax"/>
        </c:scaling>
        <c:delete val="1"/>
        <c:axPos val="b"/>
        <c:numFmt formatCode="General" sourceLinked="1"/>
        <c:majorTickMark val="out"/>
        <c:minorTickMark val="none"/>
        <c:tickLblPos val="none"/>
        <c:crossAx val="117463296"/>
        <c:crosses val="autoZero"/>
        <c:auto val="1"/>
        <c:lblAlgn val="ctr"/>
        <c:lblOffset val="100"/>
        <c:noMultiLvlLbl val="0"/>
      </c:catAx>
      <c:spPr>
        <a:noFill/>
        <a:ln>
          <a:noFill/>
        </a:ln>
        <a:effectLst/>
      </c:spPr>
    </c:plotArea>
    <c:legend>
      <c:legendPos val="b"/>
      <c:layout>
        <c:manualLayout>
          <c:xMode val="edge"/>
          <c:yMode val="edge"/>
          <c:x val="6.7334595959595983E-2"/>
          <c:y val="0.92418699885452449"/>
          <c:w val="0.85464057239057301"/>
          <c:h val="5.399169530355098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mn-cs"/>
            </a:defRPr>
          </a:pPr>
          <a:endParaRPr lang="cs-CZ"/>
        </a:p>
      </c:txPr>
    </c:legend>
    <c:plotVisOnly val="1"/>
    <c:dispBlanksAs val="gap"/>
    <c:showDLblsOverMax val="0"/>
  </c:chart>
  <c:spPr>
    <a:solidFill>
      <a:schemeClr val="bg1"/>
    </a:solidFill>
    <a:ln w="9525" cap="flat" cmpd="sng" algn="ctr">
      <a:noFill/>
      <a:round/>
    </a:ln>
    <a:effectLst/>
  </c:spPr>
  <c:txPr>
    <a:bodyPr/>
    <a:lstStyle/>
    <a:p>
      <a:pPr>
        <a:defRPr sz="800" baseline="0">
          <a:latin typeface="Arial" panose="020B0604020202020204" pitchFamily="34" charset="0"/>
        </a:defRPr>
      </a:pPr>
      <a:endParaRPr lang="cs-CZ"/>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0204C7C21F48A488F44995C5F8FB06D" ma:contentTypeVersion="11" ma:contentTypeDescription="Vytvoří nový dokument" ma:contentTypeScope="" ma:versionID="9a58d24f60b264923fe9c7150327a53c">
  <xsd:schema xmlns:xsd="http://www.w3.org/2001/XMLSchema" xmlns:xs="http://www.w3.org/2001/XMLSchema" xmlns:p="http://schemas.microsoft.com/office/2006/metadata/properties" xmlns:ns3="b8c0c86d-151e-4fca-b0d5-747e6692fa1d" targetNamespace="http://schemas.microsoft.com/office/2006/metadata/properties" ma:root="true" ma:fieldsID="91c8efd7c542b57fe84d8bfb95d003d1" ns3:_="">
    <xsd:import namespace="b8c0c86d-151e-4fca-b0d5-747e6692fa1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0c86d-151e-4fca-b0d5-747e6692f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1E238702-393C-4E0B-95FC-639749005827}">
  <ds:schemaRefs>
    <ds:schemaRef ds:uri="http://purl.org/dc/dcmitype/"/>
    <ds:schemaRef ds:uri="http://schemas.microsoft.com/office/2006/documentManagement/types"/>
    <ds:schemaRef ds:uri="b8c0c86d-151e-4fca-b0d5-747e6692fa1d"/>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B628BEE-D3B6-471C-BFAD-E9D2E34E1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0c86d-151e-4fca-b0d5-747e6692f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ED758C-6CB4-4D39-9C16-1D16FEBE9C7A}">
  <ds:schemaRefs>
    <ds:schemaRef ds:uri="http://schemas.openxmlformats.org/officeDocument/2006/bibliography"/>
  </ds:schemaRefs>
</ds:datastoreItem>
</file>

<file path=customXml/itemProps5.xml><?xml version="1.0" encoding="utf-8"?>
<ds:datastoreItem xmlns:ds="http://schemas.openxmlformats.org/officeDocument/2006/customXml" ds:itemID="{75CB170D-6767-4B4B-A8DF-6F115966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1</TotalTime>
  <Pages>43</Pages>
  <Words>16597</Words>
  <Characters>97926</Characters>
  <Application>Microsoft Office Word</Application>
  <DocSecurity>0</DocSecurity>
  <Lines>816</Lines>
  <Paragraphs>228</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Karolína Súkupová</dc:creator>
  <cp:keywords/>
  <dc:description/>
  <cp:lastModifiedBy>Zábojníková Karolína</cp:lastModifiedBy>
  <cp:revision>3</cp:revision>
  <cp:lastPrinted>2023-06-09T17:23:00Z</cp:lastPrinted>
  <dcterms:created xsi:type="dcterms:W3CDTF">2024-06-14T09:49:00Z</dcterms:created>
  <dcterms:modified xsi:type="dcterms:W3CDTF">2024-06-14T09:55:00Z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0x01010070204C7C21F48A488F44995C5F8FB06D</vt:lpwstr>
  </property>
</Properties>
</file>