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4F1D" w14:textId="4330B7DF" w:rsidR="00A668A3" w:rsidRPr="009110F7" w:rsidRDefault="00A668A3" w:rsidP="00A668A3">
      <w:pPr>
        <w:pStyle w:val="Nadpis1"/>
      </w:pPr>
      <w:bookmarkStart w:id="0" w:name="_Toc145318531"/>
      <w:bookmarkStart w:id="1" w:name="_Toc153531174"/>
      <w:bookmarkStart w:id="2" w:name="_Toc169258114"/>
      <w:bookmarkStart w:id="3" w:name="_Toc137233026"/>
      <w:bookmarkStart w:id="4" w:name="_Toc130286019"/>
      <w:bookmarkStart w:id="5" w:name="_Toc114134050"/>
      <w:bookmarkStart w:id="6" w:name="_Toc145318534"/>
      <w:bookmarkStart w:id="7" w:name="_Toc153531177"/>
      <w:bookmarkStart w:id="8" w:name="_Toc121993822"/>
      <w:bookmarkStart w:id="9" w:name="_Toc137233031"/>
      <w:r>
        <w:t>2. S</w:t>
      </w:r>
      <w:bookmarkStart w:id="10" w:name="_GoBack"/>
      <w:bookmarkEnd w:id="10"/>
      <w:r>
        <w:t>ouhrnná výkonnost</w:t>
      </w:r>
      <w:bookmarkEnd w:id="0"/>
      <w:bookmarkEnd w:id="1"/>
      <w:bookmarkEnd w:id="2"/>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A668A3" w:rsidRPr="009110F7" w14:paraId="25928BAB" w14:textId="77777777" w:rsidTr="007E7FCE">
        <w:trPr>
          <w:trHeight w:val="145"/>
        </w:trPr>
        <w:tc>
          <w:tcPr>
            <w:tcW w:w="1806" w:type="dxa"/>
            <w:shd w:val="clear" w:color="auto" w:fill="auto"/>
            <w:tcMar>
              <w:left w:w="0" w:type="dxa"/>
            </w:tcMar>
          </w:tcPr>
          <w:p w14:paraId="7761013F" w14:textId="77777777" w:rsidR="00A668A3" w:rsidRDefault="00A668A3" w:rsidP="007E7FCE">
            <w:pPr>
              <w:pStyle w:val="Marginlie"/>
            </w:pPr>
            <w:r>
              <w:t>Česká ekonomika pokračovala ve slabém růstu.</w:t>
            </w:r>
          </w:p>
        </w:tc>
        <w:tc>
          <w:tcPr>
            <w:tcW w:w="223" w:type="dxa"/>
            <w:shd w:val="clear" w:color="auto" w:fill="auto"/>
            <w:tcMar>
              <w:left w:w="0" w:type="dxa"/>
            </w:tcMar>
          </w:tcPr>
          <w:p w14:paraId="5F79B583" w14:textId="77777777" w:rsidR="00A668A3" w:rsidRDefault="00A668A3" w:rsidP="007E7FCE">
            <w:pPr>
              <w:pStyle w:val="Textpoznpodarou"/>
              <w:jc w:val="both"/>
              <w:rPr>
                <w:spacing w:val="-4"/>
              </w:rPr>
            </w:pPr>
          </w:p>
        </w:tc>
        <w:tc>
          <w:tcPr>
            <w:tcW w:w="7610" w:type="dxa"/>
            <w:shd w:val="clear" w:color="auto" w:fill="auto"/>
            <w:tcMar>
              <w:left w:w="0" w:type="dxa"/>
            </w:tcMar>
          </w:tcPr>
          <w:p w14:paraId="5B354485" w14:textId="77777777" w:rsidR="00A668A3" w:rsidRPr="00014ED0" w:rsidRDefault="00A668A3" w:rsidP="007E7FCE">
            <w:pPr>
              <w:rPr>
                <w:spacing w:val="-2"/>
              </w:rPr>
            </w:pPr>
            <w:r>
              <w:rPr>
                <w:spacing w:val="-2"/>
              </w:rPr>
              <w:t>Nevýrazný růst české ekonomiky pokračoval i ve 2. čtvrtletí 2024. Hrubý domácí produkt (HDP) se zvýšil reálně mezičtvrtletně o 0,3 % a meziročně o 0,6 %</w:t>
            </w:r>
            <w:r w:rsidRPr="00014ED0">
              <w:rPr>
                <w:rStyle w:val="Znakapoznpodarou"/>
                <w:rFonts w:cs="Arial"/>
                <w:spacing w:val="-2"/>
              </w:rPr>
              <w:footnoteReference w:id="1"/>
            </w:r>
            <w:r>
              <w:rPr>
                <w:spacing w:val="-2"/>
              </w:rPr>
              <w:t xml:space="preserve">. Mezičtvrtletní růst HDP byl mírně podpořen investiční aktivitou, výdaji na spotřebu i zahraniční poptávkou. U spotřeby dominoval zejména sektor vládních institucí, v případě domácností přírůstek spotřeby zmírnil. Vývoj zásob naopak výrazně brzdil mezičtvrtletní dynamiku HDP. Velký podíl na meziročním růstu české ekonomiky měla domácí spotřeba. Vliv růstu výdajů na tvorbu hrubého fixního kapitálu a zahraniční poptávky byl slabší, ale rovněž pozitivní. Naproti tomu ale pokračoval meziroční propad u tvorby zásob.     </w:t>
            </w:r>
          </w:p>
        </w:tc>
      </w:tr>
      <w:tr w:rsidR="00A668A3" w:rsidRPr="009110F7" w14:paraId="71EDFFBD" w14:textId="77777777" w:rsidTr="007E7FCE">
        <w:trPr>
          <w:trHeight w:val="170"/>
        </w:trPr>
        <w:tc>
          <w:tcPr>
            <w:tcW w:w="1806" w:type="dxa"/>
            <w:vMerge w:val="restart"/>
            <w:shd w:val="clear" w:color="auto" w:fill="auto"/>
            <w:tcMar>
              <w:left w:w="0" w:type="dxa"/>
            </w:tcMar>
          </w:tcPr>
          <w:p w14:paraId="0204E170" w14:textId="77777777" w:rsidR="00A668A3" w:rsidRDefault="00A668A3" w:rsidP="007E7FCE">
            <w:pPr>
              <w:pStyle w:val="Marginlie"/>
            </w:pPr>
          </w:p>
        </w:tc>
        <w:tc>
          <w:tcPr>
            <w:tcW w:w="223" w:type="dxa"/>
            <w:vMerge w:val="restart"/>
            <w:shd w:val="clear" w:color="auto" w:fill="auto"/>
            <w:tcMar>
              <w:left w:w="0" w:type="dxa"/>
            </w:tcMar>
          </w:tcPr>
          <w:p w14:paraId="10492FA7" w14:textId="77777777" w:rsidR="00A668A3" w:rsidRDefault="00A668A3" w:rsidP="007E7FCE">
            <w:pPr>
              <w:pStyle w:val="Textpoznpodarou"/>
              <w:jc w:val="both"/>
              <w:rPr>
                <w:spacing w:val="-4"/>
              </w:rPr>
            </w:pPr>
          </w:p>
        </w:tc>
        <w:tc>
          <w:tcPr>
            <w:tcW w:w="7610" w:type="dxa"/>
            <w:shd w:val="clear" w:color="auto" w:fill="auto"/>
            <w:tcMar>
              <w:left w:w="0" w:type="dxa"/>
            </w:tcMar>
          </w:tcPr>
          <w:p w14:paraId="62B5C25B" w14:textId="77777777" w:rsidR="00A668A3" w:rsidRPr="00D721B4" w:rsidRDefault="00A668A3" w:rsidP="007E7FCE">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w:t>
            </w:r>
            <w:r>
              <w:rPr>
                <w:rFonts w:cs="Arial"/>
                <w:bCs/>
                <w:szCs w:val="20"/>
                <w:lang w:eastAsia="en-US"/>
              </w:rPr>
              <w:t> %</w:t>
            </w:r>
            <w:r w:rsidRPr="00D721B4">
              <w:rPr>
                <w:rFonts w:cs="Arial"/>
                <w:bCs/>
                <w:szCs w:val="20"/>
                <w:lang w:eastAsia="en-US"/>
              </w:rPr>
              <w:t>)</w:t>
            </w:r>
          </w:p>
        </w:tc>
      </w:tr>
      <w:tr w:rsidR="00A668A3" w:rsidRPr="009110F7" w14:paraId="4FD4B003" w14:textId="77777777" w:rsidTr="007E7FCE">
        <w:tblPrEx>
          <w:tblCellMar>
            <w:left w:w="70" w:type="dxa"/>
            <w:right w:w="70" w:type="dxa"/>
          </w:tblCellMar>
        </w:tblPrEx>
        <w:trPr>
          <w:trHeight w:val="170"/>
        </w:trPr>
        <w:tc>
          <w:tcPr>
            <w:tcW w:w="1806" w:type="dxa"/>
            <w:vMerge/>
          </w:tcPr>
          <w:p w14:paraId="5278D7F7" w14:textId="77777777" w:rsidR="00A668A3" w:rsidRPr="009110F7" w:rsidRDefault="00A668A3" w:rsidP="007E7FCE">
            <w:pPr>
              <w:pStyle w:val="Marginlie"/>
            </w:pPr>
          </w:p>
        </w:tc>
        <w:tc>
          <w:tcPr>
            <w:tcW w:w="223" w:type="dxa"/>
            <w:vMerge/>
          </w:tcPr>
          <w:p w14:paraId="01020490" w14:textId="77777777" w:rsidR="00A668A3" w:rsidRPr="009110F7" w:rsidRDefault="00A668A3" w:rsidP="007E7FCE">
            <w:pPr>
              <w:pStyle w:val="Textpoznpodarou"/>
              <w:jc w:val="both"/>
              <w:rPr>
                <w:spacing w:val="-4"/>
              </w:rPr>
            </w:pPr>
          </w:p>
        </w:tc>
        <w:tc>
          <w:tcPr>
            <w:tcW w:w="7610" w:type="dxa"/>
            <w:shd w:val="clear" w:color="auto" w:fill="auto"/>
          </w:tcPr>
          <w:p w14:paraId="4575B605" w14:textId="77777777" w:rsidR="00A668A3" w:rsidRPr="009110F7" w:rsidRDefault="00A668A3" w:rsidP="007E7FCE">
            <w:pPr>
              <w:spacing w:after="0"/>
            </w:pPr>
            <w:r>
              <w:rPr>
                <w:noProof/>
              </w:rPr>
              <w:drawing>
                <wp:inline distT="0" distB="0" distL="0" distR="0" wp14:anchorId="16A0F00B" wp14:editId="3725874D">
                  <wp:extent cx="4737600" cy="3553200"/>
                  <wp:effectExtent l="0" t="0" r="6350" b="0"/>
                  <wp:docPr id="10" name="Graf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668A3" w:rsidRPr="009110F7" w14:paraId="4068F651" w14:textId="77777777" w:rsidTr="007E7FCE">
        <w:trPr>
          <w:trHeight w:val="170"/>
        </w:trPr>
        <w:tc>
          <w:tcPr>
            <w:tcW w:w="1806" w:type="dxa"/>
            <w:vMerge/>
            <w:tcMar>
              <w:left w:w="0" w:type="dxa"/>
            </w:tcMar>
          </w:tcPr>
          <w:p w14:paraId="2D71525C" w14:textId="77777777" w:rsidR="00A668A3" w:rsidRPr="009110F7" w:rsidRDefault="00A668A3" w:rsidP="007E7FCE">
            <w:pPr>
              <w:pStyle w:val="Marginlie"/>
            </w:pPr>
          </w:p>
        </w:tc>
        <w:tc>
          <w:tcPr>
            <w:tcW w:w="223" w:type="dxa"/>
            <w:vMerge/>
            <w:tcMar>
              <w:left w:w="0" w:type="dxa"/>
            </w:tcMar>
          </w:tcPr>
          <w:p w14:paraId="6F716325" w14:textId="77777777" w:rsidR="00A668A3" w:rsidRPr="009110F7" w:rsidRDefault="00A668A3" w:rsidP="007E7FCE">
            <w:pPr>
              <w:pStyle w:val="Textpoznpodarou"/>
              <w:jc w:val="both"/>
              <w:rPr>
                <w:spacing w:val="-4"/>
              </w:rPr>
            </w:pPr>
          </w:p>
        </w:tc>
        <w:tc>
          <w:tcPr>
            <w:tcW w:w="7610" w:type="dxa"/>
            <w:shd w:val="clear" w:color="auto" w:fill="auto"/>
            <w:tcMar>
              <w:left w:w="0" w:type="dxa"/>
            </w:tcMar>
          </w:tcPr>
          <w:p w14:paraId="6BF56678" w14:textId="77777777" w:rsidR="00A668A3" w:rsidRPr="009110F7" w:rsidRDefault="00A668A3" w:rsidP="007E7FCE">
            <w:pPr>
              <w:spacing w:after="220"/>
              <w:rPr>
                <w:sz w:val="14"/>
                <w:szCs w:val="14"/>
              </w:rPr>
            </w:pPr>
            <w:r>
              <w:rPr>
                <w:sz w:val="14"/>
                <w:szCs w:val="14"/>
              </w:rPr>
              <w:t xml:space="preserve">Zdroj: ČSÚ, </w:t>
            </w:r>
            <w:proofErr w:type="spellStart"/>
            <w:r>
              <w:rPr>
                <w:sz w:val="14"/>
                <w:szCs w:val="14"/>
              </w:rPr>
              <w:t>Eurostat</w:t>
            </w:r>
            <w:proofErr w:type="spellEnd"/>
          </w:p>
        </w:tc>
      </w:tr>
      <w:tr w:rsidR="00A668A3" w:rsidRPr="009110F7" w14:paraId="1538BA90" w14:textId="77777777" w:rsidTr="007E7FCE">
        <w:trPr>
          <w:trHeight w:val="145"/>
        </w:trPr>
        <w:tc>
          <w:tcPr>
            <w:tcW w:w="1806" w:type="dxa"/>
            <w:shd w:val="clear" w:color="auto" w:fill="auto"/>
            <w:tcMar>
              <w:left w:w="0" w:type="dxa"/>
            </w:tcMar>
          </w:tcPr>
          <w:p w14:paraId="15BE4A7C" w14:textId="77777777" w:rsidR="00A668A3" w:rsidRDefault="00A668A3" w:rsidP="007E7FCE">
            <w:pPr>
              <w:pStyle w:val="Marginlie"/>
            </w:pPr>
            <w:r>
              <w:t>Středoevropské ekonomiky vesměs setrvávaly v pásmu slabého růstu a stagnace.</w:t>
            </w:r>
          </w:p>
        </w:tc>
        <w:tc>
          <w:tcPr>
            <w:tcW w:w="223" w:type="dxa"/>
            <w:shd w:val="clear" w:color="auto" w:fill="auto"/>
            <w:tcMar>
              <w:left w:w="0" w:type="dxa"/>
            </w:tcMar>
          </w:tcPr>
          <w:p w14:paraId="403C2E58" w14:textId="77777777" w:rsidR="00A668A3" w:rsidRDefault="00A668A3" w:rsidP="007E7FCE">
            <w:pPr>
              <w:pStyle w:val="Textpoznpodarou"/>
              <w:jc w:val="both"/>
              <w:rPr>
                <w:spacing w:val="-4"/>
              </w:rPr>
            </w:pPr>
          </w:p>
        </w:tc>
        <w:tc>
          <w:tcPr>
            <w:tcW w:w="7610" w:type="dxa"/>
            <w:shd w:val="clear" w:color="auto" w:fill="auto"/>
            <w:tcMar>
              <w:left w:w="0" w:type="dxa"/>
            </w:tcMar>
          </w:tcPr>
          <w:p w14:paraId="5FCAC1C1" w14:textId="77777777" w:rsidR="00A668A3" w:rsidRDefault="00A668A3" w:rsidP="007E7FCE">
            <w:pPr>
              <w:rPr>
                <w:b/>
              </w:rPr>
            </w:pPr>
            <w:r>
              <w:t>Hrubý domácí produkt v EU se ve 2. kvartálu mezičtvrtletně zvýšil o 0,2 % a meziročně byl vyšší o 0,8 %. Mezičtvrtletně ve 2. čtvrtletí rostl HDP ve většině zemí EU. Výjimkami byly Irsko (−1,0 %), Lotyšsko (−0,9 %), Rakousko (−0,4 %), Švédsko (−0,3 %), Maďarsko (−0,2 %) a Německo (−0,1 %). Naopak výrazné oživení růstu bylo zaznamenáno v Polsku (1,5 %), Nizozemsku (1,0 %) a shodně o 0,8 % ve Španělsku a Chorvatsku. V rámci střední Evropy byl hospodářský výkon spíše slabý. Pokles byl zaznamenán v Maďarsku a Německu a propadalo se také Rakousko, které spolu s Německem zažívá období poklesů a stagnace. V Česku pokračoval mírný růst a trochu lépe se dařilo Slovensku, které jako jediná středoevropská ekonomika nezažilo pokles v období od začátku roku 2022. Výjimkou v regionu bylo silně rostoucí Polsko. Mezičtvrtletní růst byl slabý také v dalších velkých ekonomikách – ve Francii a Itálii (shodně o 0,2 %). Meziročně zaostával HDP v Irsku (−4,1 %), Estonsku (−1,3 %), Finsku (−1,3 %), Rakousku (−0,6 %) a v Lotyšsku (−0,1 %). Nejvýraznější meziroční nárůst HDP mělo ve 2. čtvrtletí Polsko (4,0 %), Kypr (3,7 %) a Chorvatsko (3,0 %).</w:t>
            </w:r>
          </w:p>
          <w:p w14:paraId="0077F683" w14:textId="77777777" w:rsidR="00A668A3" w:rsidRDefault="00A668A3" w:rsidP="007E7FCE"/>
        </w:tc>
      </w:tr>
      <w:tr w:rsidR="00A668A3" w:rsidRPr="009110F7" w14:paraId="7C5865A0" w14:textId="77777777" w:rsidTr="007E7FCE">
        <w:trPr>
          <w:trHeight w:val="145"/>
        </w:trPr>
        <w:tc>
          <w:tcPr>
            <w:tcW w:w="1806" w:type="dxa"/>
            <w:shd w:val="clear" w:color="auto" w:fill="auto"/>
            <w:tcMar>
              <w:left w:w="0" w:type="dxa"/>
            </w:tcMar>
          </w:tcPr>
          <w:p w14:paraId="3C59D7EB" w14:textId="77777777" w:rsidR="00A668A3" w:rsidRDefault="00A668A3" w:rsidP="007E7FCE">
            <w:pPr>
              <w:pStyle w:val="Marginlie"/>
            </w:pPr>
            <w:r>
              <w:lastRenderedPageBreak/>
              <w:t>Mzdy reálně mezičtvrtletně rostly.</w:t>
            </w:r>
          </w:p>
        </w:tc>
        <w:tc>
          <w:tcPr>
            <w:tcW w:w="223" w:type="dxa"/>
            <w:shd w:val="clear" w:color="auto" w:fill="auto"/>
            <w:tcMar>
              <w:left w:w="0" w:type="dxa"/>
            </w:tcMar>
          </w:tcPr>
          <w:p w14:paraId="5DBD1ACA" w14:textId="77777777" w:rsidR="00A668A3" w:rsidRDefault="00A668A3" w:rsidP="007E7FCE">
            <w:pPr>
              <w:pStyle w:val="Textpoznpodarou"/>
              <w:jc w:val="both"/>
              <w:rPr>
                <w:spacing w:val="-4"/>
              </w:rPr>
            </w:pPr>
          </w:p>
        </w:tc>
        <w:tc>
          <w:tcPr>
            <w:tcW w:w="7610" w:type="dxa"/>
            <w:shd w:val="clear" w:color="auto" w:fill="auto"/>
            <w:tcMar>
              <w:left w:w="0" w:type="dxa"/>
            </w:tcMar>
          </w:tcPr>
          <w:p w14:paraId="3AB99365" w14:textId="77777777" w:rsidR="00A668A3" w:rsidRPr="00014ED0" w:rsidRDefault="00A668A3" w:rsidP="007E7FCE">
            <w:r>
              <w:t>Objem vyplacených mezd a platů v Česku ve 2. čtvrtletí mezičtvrtletně vzrostl o 0,9 % při současném nárůstu zaměstnanosti o 0,5 %</w:t>
            </w:r>
            <w:r w:rsidRPr="00014ED0">
              <w:rPr>
                <w:rStyle w:val="Znakapoznpodarou"/>
                <w:spacing w:val="-2"/>
              </w:rPr>
              <w:footnoteReference w:id="2"/>
            </w:r>
            <w:r>
              <w:t xml:space="preserve">. Cenový růst oslabil, takže se mzdy </w:t>
            </w:r>
            <w:r>
              <w:br/>
              <w:t>a platy reálně mezičtvrtletně zvýšily o 0,5 %</w:t>
            </w:r>
            <w:r>
              <w:rPr>
                <w:rStyle w:val="Znakapoznpodarou"/>
                <w:spacing w:val="-2"/>
              </w:rPr>
              <w:footnoteReference w:id="3"/>
            </w:r>
            <w:r>
              <w:t>. Ve 2. čtvrtletí nejvíce vzrostl objem mezd a platů v činnostech v oblasti nemovitostí (7,0 % při navýšení zaměstnanosti o 2,5 %), v peněžnictví a pojišťovnictví (2,8 % při poklesu zaměstnanosti o 1,2 %) a v ostatních činnostech</w:t>
            </w:r>
            <w:r>
              <w:rPr>
                <w:rStyle w:val="Znakapoznpodarou"/>
                <w:spacing w:val="-2"/>
              </w:rPr>
              <w:footnoteReference w:id="4"/>
            </w:r>
            <w:r>
              <w:t xml:space="preserve"> (2,5 %, zaměstnanost ale vzrostla o 3,0 %). Mezičtvrtletně se zvyšovaly také vyplacené mzdy a platy v profesních, vědeckých, technických a administrativních činnostech (1,9 %, zaměstnanost −0,6 %), v informačních a komunikačních činnostech (1,3 %, zaměstnanost −3,3 %), ve zpracovatelském průmyslu (1,0 %, zaměstnanost −0,1 %) a ve veřejné správě a obraně, vzdělávání, zdravotní a sociální péči (0,5 %, zaměstnanost o 0,3 %). Mezičtvrtletně klesly mzdy a platy shodně o 0,2 % ve stavebnictví (zaměstnanost +0,8 %) a v uskupení obchod, doprava, ubytování a pohostinství (zaměstnanost +1,4 %).</w:t>
            </w:r>
          </w:p>
        </w:tc>
      </w:tr>
      <w:tr w:rsidR="00A668A3" w:rsidRPr="009110F7" w14:paraId="3FADAAD8" w14:textId="77777777" w:rsidTr="007E7FCE">
        <w:trPr>
          <w:trHeight w:val="145"/>
        </w:trPr>
        <w:tc>
          <w:tcPr>
            <w:tcW w:w="1806" w:type="dxa"/>
            <w:shd w:val="clear" w:color="auto" w:fill="auto"/>
            <w:tcMar>
              <w:left w:w="0" w:type="dxa"/>
            </w:tcMar>
          </w:tcPr>
          <w:p w14:paraId="663FA674" w14:textId="77777777" w:rsidR="00A668A3" w:rsidRDefault="00A668A3" w:rsidP="007E7FCE">
            <w:pPr>
              <w:pStyle w:val="Marginlie"/>
            </w:pPr>
            <w:r>
              <w:t xml:space="preserve">Meziročně rostly mzdy </w:t>
            </w:r>
            <w:r>
              <w:br/>
              <w:t>a platy ve všech sekcích klasifikace ekonomických činností.</w:t>
            </w:r>
          </w:p>
        </w:tc>
        <w:tc>
          <w:tcPr>
            <w:tcW w:w="223" w:type="dxa"/>
            <w:shd w:val="clear" w:color="auto" w:fill="auto"/>
            <w:tcMar>
              <w:left w:w="0" w:type="dxa"/>
            </w:tcMar>
          </w:tcPr>
          <w:p w14:paraId="32E1AFBF" w14:textId="77777777" w:rsidR="00A668A3" w:rsidRDefault="00A668A3" w:rsidP="007E7FCE">
            <w:pPr>
              <w:pStyle w:val="Textpoznpodarou"/>
              <w:jc w:val="both"/>
              <w:rPr>
                <w:spacing w:val="-4"/>
              </w:rPr>
            </w:pPr>
          </w:p>
        </w:tc>
        <w:tc>
          <w:tcPr>
            <w:tcW w:w="7610" w:type="dxa"/>
            <w:shd w:val="clear" w:color="auto" w:fill="auto"/>
            <w:tcMar>
              <w:left w:w="0" w:type="dxa"/>
            </w:tcMar>
          </w:tcPr>
          <w:p w14:paraId="171FF2AE" w14:textId="3650E88A" w:rsidR="00A668A3" w:rsidRDefault="00A668A3" w:rsidP="007E7FCE">
            <w:r>
              <w:t>Meziročně se ve 2. čtvrtletí zvýšil objem vyplacených mezd a platů o 5,7 % a přírůstek tak mírně zpomalil a byl nejnižší za více než tři roky. Zaměstnanost byla meziročně vyšší o 0,2 %. Reálně se objem mezd a platů meziročně zvýšil o 2,3 %. Meziročně nominálně vyšší byly ve 2. čtvrtletí mzdy a platy ve všech sekcích. Nejvíce se ale zvyšovaly výdělky v činnostech v oblasti nemovitostí (17,8 % při navýšení zaměstnanosti o 2,7 %), v profesních, vědeckých, technických a administrativních činnostech (7,8 %, zaměstnanost +0,8 %) a v ostatních činnostech (7,2 %, zaměstnanost vzrostla o 2,9 %). Přírůstek nad průměrem celé ekonomiky byl zaznamenán rovněž v peněžnictví a pojišťovnictví (6,9 % při poklesu zaměstnanosti o 0,9 %), v informačních a komunikačních činnostech (6,6 %, zaměstnanost +0,4 %) a v uskupení obchod, doprava, ubytování a pohostinství (6,0 %, zaměstnanost +1,7 %). Podprůměrně meziročně rostl objem vyplacených mezd a platů ve zpracovatelském průmyslu (5,1 %, zaměstnanost −2,6 %), ve stavebnictví (4,8 %, zaměstnanost −0,8 %), ve veřejné správě a obraně, vzdělávání, zdravotní a sociální péči (4,3 %, zaměstnanost o 1,4 %) a v zemědělství, lesnictví a rybářství (2,1 % při navýšení zaměstnanosti o 1,6 %).</w:t>
            </w:r>
          </w:p>
        </w:tc>
      </w:tr>
      <w:tr w:rsidR="00A668A3" w:rsidRPr="009110F7" w14:paraId="6836BF9A" w14:textId="77777777" w:rsidTr="007E7FCE">
        <w:trPr>
          <w:trHeight w:val="145"/>
        </w:trPr>
        <w:tc>
          <w:tcPr>
            <w:tcW w:w="1806" w:type="dxa"/>
            <w:shd w:val="clear" w:color="auto" w:fill="auto"/>
            <w:tcMar>
              <w:left w:w="0" w:type="dxa"/>
            </w:tcMar>
          </w:tcPr>
          <w:p w14:paraId="047FEBB3" w14:textId="77777777" w:rsidR="00A668A3" w:rsidRDefault="00A668A3" w:rsidP="007E7FCE">
            <w:pPr>
              <w:pStyle w:val="Marginlie"/>
            </w:pPr>
            <w:r>
              <w:t>Růst spotřeby pokračoval.</w:t>
            </w:r>
          </w:p>
        </w:tc>
        <w:tc>
          <w:tcPr>
            <w:tcW w:w="223" w:type="dxa"/>
            <w:shd w:val="clear" w:color="auto" w:fill="auto"/>
            <w:tcMar>
              <w:left w:w="0" w:type="dxa"/>
            </w:tcMar>
          </w:tcPr>
          <w:p w14:paraId="3A81F397" w14:textId="77777777" w:rsidR="00A668A3" w:rsidRDefault="00A668A3" w:rsidP="007E7FCE">
            <w:pPr>
              <w:pStyle w:val="Textpoznpodarou"/>
              <w:jc w:val="both"/>
              <w:rPr>
                <w:spacing w:val="-4"/>
              </w:rPr>
            </w:pPr>
          </w:p>
        </w:tc>
        <w:tc>
          <w:tcPr>
            <w:tcW w:w="7610" w:type="dxa"/>
            <w:shd w:val="clear" w:color="auto" w:fill="auto"/>
            <w:tcMar>
              <w:left w:w="0" w:type="dxa"/>
            </w:tcMar>
          </w:tcPr>
          <w:p w14:paraId="266ABF39" w14:textId="77777777" w:rsidR="00A668A3" w:rsidRDefault="00A668A3" w:rsidP="007E7FCE">
            <w:r>
              <w:rPr>
                <w:spacing w:val="-2"/>
              </w:rPr>
              <w:t xml:space="preserve">Mezičtvrtletní přírůstek spotřeby ve 2. čtvrtletí jen drobně oslabil na 0,6 %. Zásluhu na tom má zejména posílení výdajů sektoru vládních institucí (1,5 %), protože </w:t>
            </w:r>
            <w:r>
              <w:rPr>
                <w:spacing w:val="-2"/>
              </w:rPr>
              <w:br/>
              <w:t>u domácností růst spotřeby po dvou solidních navýšeních opět zpomalil (0,2 %). Celkově spotřeba k mezičtvrtletnímu růstu HDP přispěla 0,4 p. b.</w:t>
            </w:r>
            <w:r w:rsidRPr="00014ED0">
              <w:rPr>
                <w:rStyle w:val="Znakapoznpodarou"/>
                <w:spacing w:val="-2"/>
              </w:rPr>
              <w:footnoteReference w:id="5"/>
            </w:r>
            <w:r>
              <w:rPr>
                <w:spacing w:val="-2"/>
              </w:rPr>
              <w:t xml:space="preserve"> a spotřeba vládních institucí z toho tvořila 0,3 p. b. Pohled na spotřebu v členění podle trvanlivosti</w:t>
            </w:r>
            <w:r>
              <w:rPr>
                <w:rStyle w:val="Znakapoznpodarou"/>
              </w:rPr>
              <w:footnoteReference w:id="6"/>
            </w:r>
            <w:r>
              <w:rPr>
                <w:spacing w:val="-2"/>
              </w:rPr>
              <w:t xml:space="preserve"> ukazuje, že reálně mezičtvrtletně rostla střednědobá (2,9 %) i dlouhodobá (3,6 %) spotřeba, ale růst krátkodobé spotřeby zaznamenaný v předchozím kvartálu se neudržel (−3,0 %). Naproti tomu došlo k výraznému oživení u služeb (2,2 %). Meziroční růst spotřeby ve </w:t>
            </w:r>
            <w:r>
              <w:rPr>
                <w:spacing w:val="-2"/>
              </w:rPr>
              <w:br/>
              <w:t xml:space="preserve">2. čtvrtletí dosáhl 2,0 %. A podobně jako v případě mezičtvrtletní dynamiky u domácností došlo ke zvolnění přírůstku na 1,0 %, zatímco vládní spotřeba meziročně rostla o 4,3 %, což bylo nejvíce od konce roku 2020. I tak byl ale příspěvek spotřeby domácností k růstu HDP (1,2 p. b.) výraznější než příspěvek spotřeby vládních institucí (0,8 p. b.). Meziročně rostla spotřeba služeb (2,2 %) a zejména vlivem nízké srovnávací základny byl zaznamenán i meziroční přírůstek u krátkodobé spotřeby (1,5 %). Střednědobá (−0,5 %) i dlouhodobá (−1,8 %) spotřeba však za úrovní loňského roku zaostávaly. </w:t>
            </w:r>
          </w:p>
        </w:tc>
      </w:tr>
      <w:tr w:rsidR="00A668A3" w:rsidRPr="009110F7" w14:paraId="583D5EE1" w14:textId="77777777" w:rsidTr="007E7FCE">
        <w:trPr>
          <w:trHeight w:val="145"/>
        </w:trPr>
        <w:tc>
          <w:tcPr>
            <w:tcW w:w="1806" w:type="dxa"/>
            <w:shd w:val="clear" w:color="auto" w:fill="auto"/>
            <w:tcMar>
              <w:left w:w="0" w:type="dxa"/>
            </w:tcMar>
          </w:tcPr>
          <w:p w14:paraId="1761653E" w14:textId="77777777" w:rsidR="00A668A3" w:rsidRDefault="00A668A3" w:rsidP="007E7FCE">
            <w:pPr>
              <w:pStyle w:val="Marginlie"/>
            </w:pPr>
            <w:r>
              <w:t xml:space="preserve">Investiční aktivita se zvyšovala. Zásoby ale </w:t>
            </w:r>
            <w:r>
              <w:lastRenderedPageBreak/>
              <w:t xml:space="preserve">výrazně působily ve směru mezičtvrtletního </w:t>
            </w:r>
            <w:r>
              <w:br/>
              <w:t>i meziročního poklesu HDP.</w:t>
            </w:r>
          </w:p>
        </w:tc>
        <w:tc>
          <w:tcPr>
            <w:tcW w:w="223" w:type="dxa"/>
            <w:shd w:val="clear" w:color="auto" w:fill="auto"/>
            <w:tcMar>
              <w:left w:w="0" w:type="dxa"/>
            </w:tcMar>
          </w:tcPr>
          <w:p w14:paraId="0E75BD64" w14:textId="77777777" w:rsidR="00A668A3" w:rsidRDefault="00A668A3" w:rsidP="007E7FCE">
            <w:pPr>
              <w:pStyle w:val="Textpoznpodarou"/>
              <w:jc w:val="both"/>
              <w:rPr>
                <w:spacing w:val="-4"/>
              </w:rPr>
            </w:pPr>
          </w:p>
        </w:tc>
        <w:tc>
          <w:tcPr>
            <w:tcW w:w="7610" w:type="dxa"/>
            <w:shd w:val="clear" w:color="auto" w:fill="auto"/>
            <w:tcMar>
              <w:left w:w="0" w:type="dxa"/>
            </w:tcMar>
          </w:tcPr>
          <w:p w14:paraId="55EF4BD7" w14:textId="77777777" w:rsidR="00A668A3" w:rsidRDefault="00A668A3" w:rsidP="007E7FCE">
            <w:pPr>
              <w:rPr>
                <w:spacing w:val="-2"/>
              </w:rPr>
            </w:pPr>
            <w:r>
              <w:t xml:space="preserve">Výdaje na tvorbu hrubého kapitálu reálně mezičtvrtletně klesly o 0,3 %. Bylo to zejména kvůli vývoji tvorby zásob. Naopak výdaje na tvorbu hrubého fixního kapitálu (investiční </w:t>
            </w:r>
            <w:r>
              <w:lastRenderedPageBreak/>
              <w:t>aktivita) mezičtvrtletně vzrostly o 1,9 %. Mezičtvrtletně rostly investice do produktů duševního vlastnictví (4,4 %), obydlí (4,3 %), ICT a ostatních strojů a zařízení (0,9 %) a do dopravních prostředků a zařízení (0,3 %). Pokles byl zaznamenán u investic do ostatních budov a staveb (−0,7 %). Změna zásob měla klíčový vliv také na meziroční pokles kapitálových výdajů (−7,2 %)</w:t>
            </w:r>
            <w:r>
              <w:rPr>
                <w:rStyle w:val="Znakapoznpodarou"/>
              </w:rPr>
              <w:footnoteReference w:id="7"/>
            </w:r>
            <w:r>
              <w:t>. Investiční aktivita měla jen mírný meziroční přírůstek (0,7 %). Výrazně meziročně rostly investice do dopravních prostředků a zařízení (8,7 %). Mírnější byly přírůstky u investic do ostatních budov a staveb (2,0 %), obydlí (1,1 %) a produktů duševního vlastnictví (0,8 %). Propad byl naopak zaznamenán u investic do ICT a ostatních strojů a zařízení (−3,8 %).</w:t>
            </w:r>
          </w:p>
        </w:tc>
      </w:tr>
      <w:tr w:rsidR="00A668A3" w:rsidRPr="009110F7" w14:paraId="6E113CE6" w14:textId="77777777" w:rsidTr="007E7FCE">
        <w:trPr>
          <w:trHeight w:val="154"/>
        </w:trPr>
        <w:tc>
          <w:tcPr>
            <w:tcW w:w="1806" w:type="dxa"/>
            <w:vMerge w:val="restart"/>
            <w:shd w:val="clear" w:color="auto" w:fill="auto"/>
            <w:tcMar>
              <w:left w:w="0" w:type="dxa"/>
            </w:tcMar>
          </w:tcPr>
          <w:p w14:paraId="456DCD88" w14:textId="77777777" w:rsidR="00A668A3" w:rsidRDefault="00A668A3" w:rsidP="007E7FCE">
            <w:pPr>
              <w:pStyle w:val="Marginlie"/>
            </w:pPr>
          </w:p>
        </w:tc>
        <w:tc>
          <w:tcPr>
            <w:tcW w:w="223" w:type="dxa"/>
            <w:vMerge w:val="restart"/>
            <w:shd w:val="clear" w:color="auto" w:fill="auto"/>
            <w:tcMar>
              <w:left w:w="0" w:type="dxa"/>
            </w:tcMar>
          </w:tcPr>
          <w:p w14:paraId="2072B48C" w14:textId="77777777" w:rsidR="00A668A3" w:rsidRDefault="00A668A3" w:rsidP="007E7FCE">
            <w:pPr>
              <w:pStyle w:val="Textpoznpodarou"/>
              <w:jc w:val="both"/>
              <w:rPr>
                <w:spacing w:val="-4"/>
              </w:rPr>
            </w:pPr>
          </w:p>
        </w:tc>
        <w:tc>
          <w:tcPr>
            <w:tcW w:w="7610" w:type="dxa"/>
            <w:shd w:val="clear" w:color="auto" w:fill="auto"/>
            <w:tcMar>
              <w:left w:w="0" w:type="dxa"/>
            </w:tcMar>
          </w:tcPr>
          <w:p w14:paraId="6B85260A" w14:textId="77777777" w:rsidR="00A668A3" w:rsidRDefault="00A668A3" w:rsidP="007E7FCE">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w:t>
            </w:r>
            <w:r>
              <w:rPr>
                <w:rFonts w:cs="Arial"/>
                <w:bCs/>
                <w:szCs w:val="20"/>
                <w:lang w:eastAsia="en-US"/>
              </w:rPr>
              <w:t> %</w:t>
            </w:r>
            <w:r w:rsidRPr="00D721B4">
              <w:rPr>
                <w:rFonts w:cs="Arial"/>
                <w:bCs/>
                <w:szCs w:val="20"/>
                <w:lang w:eastAsia="en-US"/>
              </w:rPr>
              <w:t>)</w:t>
            </w:r>
          </w:p>
        </w:tc>
      </w:tr>
      <w:tr w:rsidR="00A668A3" w:rsidRPr="009110F7" w14:paraId="401A8D1C" w14:textId="77777777" w:rsidTr="007E7FCE">
        <w:tblPrEx>
          <w:tblCellMar>
            <w:left w:w="70" w:type="dxa"/>
            <w:right w:w="70" w:type="dxa"/>
          </w:tblCellMar>
        </w:tblPrEx>
        <w:trPr>
          <w:trHeight w:val="154"/>
        </w:trPr>
        <w:tc>
          <w:tcPr>
            <w:tcW w:w="1806" w:type="dxa"/>
            <w:vMerge/>
          </w:tcPr>
          <w:p w14:paraId="265A39B8" w14:textId="77777777" w:rsidR="00A668A3" w:rsidRDefault="00A668A3" w:rsidP="007E7FCE">
            <w:pPr>
              <w:pStyle w:val="Marginlie"/>
            </w:pPr>
          </w:p>
        </w:tc>
        <w:tc>
          <w:tcPr>
            <w:tcW w:w="223" w:type="dxa"/>
            <w:vMerge/>
          </w:tcPr>
          <w:p w14:paraId="6E650C8D" w14:textId="77777777" w:rsidR="00A668A3" w:rsidRDefault="00A668A3" w:rsidP="007E7FCE">
            <w:pPr>
              <w:pStyle w:val="Textpoznpodarou"/>
              <w:jc w:val="both"/>
              <w:rPr>
                <w:spacing w:val="-4"/>
              </w:rPr>
            </w:pPr>
          </w:p>
        </w:tc>
        <w:tc>
          <w:tcPr>
            <w:tcW w:w="7610" w:type="dxa"/>
            <w:shd w:val="clear" w:color="auto" w:fill="auto"/>
          </w:tcPr>
          <w:p w14:paraId="359F6CB8" w14:textId="77777777" w:rsidR="00A668A3" w:rsidRDefault="00A668A3" w:rsidP="007E7FCE">
            <w:pPr>
              <w:spacing w:after="0"/>
            </w:pPr>
            <w:r>
              <w:rPr>
                <w:noProof/>
              </w:rPr>
              <w:drawing>
                <wp:inline distT="0" distB="0" distL="0" distR="0" wp14:anchorId="35C45C61" wp14:editId="4918D30C">
                  <wp:extent cx="4737600" cy="3553200"/>
                  <wp:effectExtent l="0" t="0" r="6350" b="0"/>
                  <wp:docPr id="16" name="Graf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668A3" w:rsidRPr="009110F7" w14:paraId="4CDC7572" w14:textId="77777777" w:rsidTr="007E7FCE">
        <w:trPr>
          <w:trHeight w:val="154"/>
        </w:trPr>
        <w:tc>
          <w:tcPr>
            <w:tcW w:w="1806" w:type="dxa"/>
            <w:vMerge/>
            <w:tcMar>
              <w:left w:w="0" w:type="dxa"/>
            </w:tcMar>
          </w:tcPr>
          <w:p w14:paraId="55A442D6" w14:textId="77777777" w:rsidR="00A668A3" w:rsidRDefault="00A668A3" w:rsidP="007E7FCE">
            <w:pPr>
              <w:pStyle w:val="Marginlie"/>
            </w:pPr>
          </w:p>
        </w:tc>
        <w:tc>
          <w:tcPr>
            <w:tcW w:w="223" w:type="dxa"/>
            <w:vMerge/>
            <w:tcMar>
              <w:left w:w="0" w:type="dxa"/>
            </w:tcMar>
          </w:tcPr>
          <w:p w14:paraId="19A4F984" w14:textId="77777777" w:rsidR="00A668A3" w:rsidRDefault="00A668A3" w:rsidP="007E7FCE">
            <w:pPr>
              <w:pStyle w:val="Textpoznpodarou"/>
              <w:jc w:val="both"/>
              <w:rPr>
                <w:spacing w:val="-4"/>
              </w:rPr>
            </w:pPr>
          </w:p>
        </w:tc>
        <w:tc>
          <w:tcPr>
            <w:tcW w:w="7610" w:type="dxa"/>
            <w:shd w:val="clear" w:color="auto" w:fill="auto"/>
            <w:tcMar>
              <w:left w:w="0" w:type="dxa"/>
            </w:tcMar>
          </w:tcPr>
          <w:p w14:paraId="6904F466" w14:textId="77777777" w:rsidR="00A668A3" w:rsidRDefault="00A668A3" w:rsidP="007E7FCE">
            <w:pPr>
              <w:spacing w:after="0"/>
              <w:rPr>
                <w:sz w:val="14"/>
                <w:szCs w:val="14"/>
              </w:rPr>
            </w:pPr>
            <w:r>
              <w:rPr>
                <w:sz w:val="14"/>
                <w:szCs w:val="14"/>
              </w:rPr>
              <w:t>Zdroj: ČSÚ</w:t>
            </w:r>
          </w:p>
          <w:p w14:paraId="7E20D6C6" w14:textId="77777777" w:rsidR="00A668A3" w:rsidRDefault="00A668A3" w:rsidP="007E7FCE">
            <w:r>
              <w:rPr>
                <w:sz w:val="14"/>
                <w:szCs w:val="14"/>
              </w:rPr>
              <w:t>* po vyloučení dovozu pro konečné užití</w:t>
            </w:r>
          </w:p>
        </w:tc>
      </w:tr>
      <w:tr w:rsidR="00A668A3" w:rsidRPr="009110F7" w14:paraId="03B24B95" w14:textId="77777777" w:rsidTr="007E7FCE">
        <w:trPr>
          <w:trHeight w:val="145"/>
        </w:trPr>
        <w:tc>
          <w:tcPr>
            <w:tcW w:w="1806" w:type="dxa"/>
            <w:shd w:val="clear" w:color="auto" w:fill="auto"/>
            <w:tcMar>
              <w:left w:w="0" w:type="dxa"/>
            </w:tcMar>
          </w:tcPr>
          <w:p w14:paraId="409278A5" w14:textId="77777777" w:rsidR="00A668A3" w:rsidRDefault="00A668A3" w:rsidP="007E7FCE">
            <w:pPr>
              <w:pStyle w:val="Marginlie"/>
            </w:pPr>
            <w:r>
              <w:t xml:space="preserve">Bilance zahraničního obchodu se zbožím </w:t>
            </w:r>
            <w:r>
              <w:br/>
              <w:t>a službami dosáhla výrazného přebytku.</w:t>
            </w:r>
          </w:p>
        </w:tc>
        <w:tc>
          <w:tcPr>
            <w:tcW w:w="223" w:type="dxa"/>
            <w:shd w:val="clear" w:color="auto" w:fill="auto"/>
            <w:tcMar>
              <w:left w:w="0" w:type="dxa"/>
            </w:tcMar>
          </w:tcPr>
          <w:p w14:paraId="4E2B30CD" w14:textId="77777777" w:rsidR="00A668A3" w:rsidRDefault="00A668A3" w:rsidP="007E7FCE">
            <w:pPr>
              <w:pStyle w:val="Textpoznpodarou"/>
              <w:jc w:val="both"/>
              <w:rPr>
                <w:spacing w:val="-4"/>
              </w:rPr>
            </w:pPr>
          </w:p>
        </w:tc>
        <w:tc>
          <w:tcPr>
            <w:tcW w:w="7610" w:type="dxa"/>
            <w:shd w:val="clear" w:color="auto" w:fill="auto"/>
            <w:tcMar>
              <w:left w:w="0" w:type="dxa"/>
            </w:tcMar>
          </w:tcPr>
          <w:p w14:paraId="69FC00A9" w14:textId="77777777" w:rsidR="00A668A3" w:rsidRDefault="00A668A3" w:rsidP="007E7FCE">
            <w:r>
              <w:t>Vývoz zboží a služeb se ve 2. čtvrtletí reálně mezičtvrtletně zvýšil o 0,6 %</w:t>
            </w:r>
            <w:r w:rsidRPr="009110F7">
              <w:rPr>
                <w:rStyle w:val="Znakapoznpodarou"/>
              </w:rPr>
              <w:footnoteReference w:id="8"/>
            </w:r>
            <w:r>
              <w:t xml:space="preserve">. Výrazněji vzrostl export služeb (2,1 %), zatímco u zboží zůstala dynamika nízká (0,3 %). Mezičtvrtletní růst dovozu zboží a služeb byl jen mírně vyšší než přírůstek u vývozu (0,7 %). Meziročně export zboží a služeb vzrostl o 0,4 %. Opět za tím stály zejména služby (6,8 %), zatímco vývoz zboží meziročně zaostal o 0,8 %. U dovozu byl počtvrté v řadě zaznamenán meziroční pokles (−1,5 %). U dovozu i vývozu již více než rok trvá nepoměr mezi silným reálným růstem zahraničního obchodu se službami a naopak poklesem nebo jen nízkým reálným navýšením u obchodu se zbožím. Bilance zahraničního obchodu se zbožím a službami v běžných cenách dosáhla ve 2. čtvrtletí přebytku 143,0 mld. korun a došlo tak k meziročnímu zlepšení o 45,4 mld. Přebytek obchodu se zbožím z toho tvořil 114,9 mld. (meziroční zvýšení o 35,3 mld.) a se službami 28,0 mld. (+10,0 mld.).     </w:t>
            </w:r>
          </w:p>
        </w:tc>
      </w:tr>
      <w:tr w:rsidR="00A668A3" w:rsidRPr="009110F7" w14:paraId="36F31920" w14:textId="77777777" w:rsidTr="007E7FCE">
        <w:trPr>
          <w:trHeight w:val="145"/>
        </w:trPr>
        <w:tc>
          <w:tcPr>
            <w:tcW w:w="1806" w:type="dxa"/>
            <w:shd w:val="clear" w:color="auto" w:fill="auto"/>
            <w:tcMar>
              <w:left w:w="0" w:type="dxa"/>
            </w:tcMar>
          </w:tcPr>
          <w:p w14:paraId="6A0A5417" w14:textId="77777777" w:rsidR="00A668A3" w:rsidRDefault="00A668A3" w:rsidP="007E7FCE">
            <w:pPr>
              <w:pStyle w:val="Marginlie"/>
            </w:pPr>
            <w:r>
              <w:lastRenderedPageBreak/>
              <w:t>Hrubá přidaná hodnota mezičtvrtletně mírně rostla.</w:t>
            </w:r>
          </w:p>
        </w:tc>
        <w:tc>
          <w:tcPr>
            <w:tcW w:w="223" w:type="dxa"/>
            <w:shd w:val="clear" w:color="auto" w:fill="auto"/>
            <w:tcMar>
              <w:left w:w="0" w:type="dxa"/>
            </w:tcMar>
          </w:tcPr>
          <w:p w14:paraId="2948E2B4" w14:textId="77777777" w:rsidR="00A668A3" w:rsidRDefault="00A668A3" w:rsidP="007E7FCE">
            <w:pPr>
              <w:pStyle w:val="Textpoznpodarou"/>
              <w:jc w:val="both"/>
              <w:rPr>
                <w:spacing w:val="-4"/>
              </w:rPr>
            </w:pPr>
          </w:p>
        </w:tc>
        <w:tc>
          <w:tcPr>
            <w:tcW w:w="7610" w:type="dxa"/>
            <w:shd w:val="clear" w:color="auto" w:fill="auto"/>
            <w:tcMar>
              <w:left w:w="0" w:type="dxa"/>
            </w:tcMar>
          </w:tcPr>
          <w:p w14:paraId="6C2DDFE4" w14:textId="77777777" w:rsidR="00A668A3" w:rsidRDefault="00A668A3" w:rsidP="007E7FCE">
            <w:r>
              <w:t xml:space="preserve">Hrubá přidaná hodnota (HPH) se ve 2. čtvrtletí mezičtvrtletně zvýšila o 0,5 %. K mezičtvrtletnímu růstu HPH přispívala zejména odvětví služeb, která podpořila oživená domácí spotřební poptávka. Rostla zejména HPH v peněžnictví a pojišťovnictví (3,4 %), v profesních, vědeckých, technických a administrativních činnostech (2,4 %) a v obchodě, dopravě, ubytování a pohostinství (2,3 %). Mírný mezičtvrtletní nárůst byl zaznamenán u ostatních činností (0,3 %), činností v oblasti nemovitostí (0,3 %) a v informačních a komunikačních činnostech (0,1 %). V průmyslu HPH mezičtvrtletně klesla o 0,6 % a řadu mezičtvrtletních poklesů trvající od konce roku 2022 přerušil jen 4. kvartál 2023. Ve zpracovatelském průmyslu HPH ve 2. čtvrtletí klesala ještě výrazněji než v průmyslu jako celku (−1,7 %). Ani 2. čtvrtletí nepřineslo obrat v dlouhodobě utlumeném stavebnictví (−0,3 %). </w:t>
            </w:r>
          </w:p>
        </w:tc>
      </w:tr>
      <w:tr w:rsidR="00A668A3" w:rsidRPr="009110F7" w14:paraId="20176348" w14:textId="77777777" w:rsidTr="007E7FCE">
        <w:trPr>
          <w:trHeight w:val="170"/>
        </w:trPr>
        <w:tc>
          <w:tcPr>
            <w:tcW w:w="1806" w:type="dxa"/>
            <w:vMerge w:val="restart"/>
            <w:shd w:val="clear" w:color="auto" w:fill="auto"/>
            <w:tcMar>
              <w:left w:w="0" w:type="dxa"/>
            </w:tcMar>
          </w:tcPr>
          <w:p w14:paraId="2717BEA9" w14:textId="77777777" w:rsidR="00A668A3" w:rsidRDefault="00A668A3" w:rsidP="007E7FCE">
            <w:pPr>
              <w:pStyle w:val="Marginlie"/>
            </w:pPr>
          </w:p>
        </w:tc>
        <w:tc>
          <w:tcPr>
            <w:tcW w:w="223" w:type="dxa"/>
            <w:vMerge w:val="restart"/>
            <w:shd w:val="clear" w:color="auto" w:fill="auto"/>
            <w:tcMar>
              <w:left w:w="0" w:type="dxa"/>
            </w:tcMar>
          </w:tcPr>
          <w:p w14:paraId="54FA31A9" w14:textId="77777777" w:rsidR="00A668A3" w:rsidRDefault="00A668A3" w:rsidP="007E7FCE">
            <w:pPr>
              <w:pStyle w:val="Textpoznpodarou"/>
              <w:jc w:val="both"/>
              <w:rPr>
                <w:spacing w:val="-4"/>
              </w:rPr>
            </w:pPr>
          </w:p>
        </w:tc>
        <w:tc>
          <w:tcPr>
            <w:tcW w:w="7610" w:type="dxa"/>
            <w:shd w:val="clear" w:color="auto" w:fill="auto"/>
            <w:tcMar>
              <w:left w:w="0" w:type="dxa"/>
            </w:tcMar>
          </w:tcPr>
          <w:p w14:paraId="1D4FF930" w14:textId="77777777" w:rsidR="00A668A3" w:rsidRDefault="00A668A3" w:rsidP="007E7FCE">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w:t>
            </w:r>
            <w:r>
              <w:rPr>
                <w:rFonts w:cs="Arial"/>
                <w:bCs/>
                <w:szCs w:val="20"/>
                <w:lang w:eastAsia="en-US"/>
              </w:rPr>
              <w:t> %</w:t>
            </w:r>
            <w:r w:rsidRPr="00D721B4">
              <w:rPr>
                <w:rFonts w:cs="Arial"/>
                <w:bCs/>
                <w:szCs w:val="20"/>
                <w:lang w:eastAsia="en-US"/>
              </w:rPr>
              <w:t>)</w:t>
            </w:r>
          </w:p>
        </w:tc>
      </w:tr>
      <w:tr w:rsidR="00A668A3" w:rsidRPr="009110F7" w14:paraId="175B05DD" w14:textId="77777777" w:rsidTr="007E7FCE">
        <w:tblPrEx>
          <w:tblCellMar>
            <w:left w:w="70" w:type="dxa"/>
            <w:right w:w="70" w:type="dxa"/>
          </w:tblCellMar>
        </w:tblPrEx>
        <w:trPr>
          <w:trHeight w:val="170"/>
        </w:trPr>
        <w:tc>
          <w:tcPr>
            <w:tcW w:w="1806" w:type="dxa"/>
            <w:vMerge/>
          </w:tcPr>
          <w:p w14:paraId="3C488784" w14:textId="77777777" w:rsidR="00A668A3" w:rsidRDefault="00A668A3" w:rsidP="007E7FCE">
            <w:pPr>
              <w:pStyle w:val="Marginlie"/>
            </w:pPr>
          </w:p>
        </w:tc>
        <w:tc>
          <w:tcPr>
            <w:tcW w:w="223" w:type="dxa"/>
            <w:vMerge/>
          </w:tcPr>
          <w:p w14:paraId="45839BEF" w14:textId="77777777" w:rsidR="00A668A3" w:rsidRDefault="00A668A3" w:rsidP="007E7FCE">
            <w:pPr>
              <w:pStyle w:val="Textpoznpodarou"/>
              <w:jc w:val="both"/>
              <w:rPr>
                <w:spacing w:val="-4"/>
              </w:rPr>
            </w:pPr>
          </w:p>
        </w:tc>
        <w:tc>
          <w:tcPr>
            <w:tcW w:w="7610" w:type="dxa"/>
            <w:shd w:val="clear" w:color="auto" w:fill="auto"/>
          </w:tcPr>
          <w:p w14:paraId="6501F684" w14:textId="77777777" w:rsidR="00A668A3" w:rsidRDefault="00A668A3" w:rsidP="007E7FCE">
            <w:pPr>
              <w:spacing w:after="0"/>
            </w:pPr>
            <w:r>
              <w:rPr>
                <w:noProof/>
              </w:rPr>
              <w:drawing>
                <wp:inline distT="0" distB="0" distL="0" distR="0" wp14:anchorId="58655D15" wp14:editId="43B0D3C8">
                  <wp:extent cx="4737600" cy="3486525"/>
                  <wp:effectExtent l="0" t="0" r="6350" b="0"/>
                  <wp:docPr id="34" name="Graf 3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668A3" w:rsidRPr="009110F7" w14:paraId="4E4DF551" w14:textId="77777777" w:rsidTr="007E7FCE">
        <w:trPr>
          <w:trHeight w:val="170"/>
        </w:trPr>
        <w:tc>
          <w:tcPr>
            <w:tcW w:w="1806" w:type="dxa"/>
            <w:vMerge/>
            <w:tcMar>
              <w:left w:w="0" w:type="dxa"/>
            </w:tcMar>
          </w:tcPr>
          <w:p w14:paraId="19FCB5F2" w14:textId="77777777" w:rsidR="00A668A3" w:rsidRDefault="00A668A3" w:rsidP="007E7FCE">
            <w:pPr>
              <w:pStyle w:val="Marginlie"/>
            </w:pPr>
          </w:p>
        </w:tc>
        <w:tc>
          <w:tcPr>
            <w:tcW w:w="223" w:type="dxa"/>
            <w:vMerge/>
            <w:tcMar>
              <w:left w:w="0" w:type="dxa"/>
            </w:tcMar>
          </w:tcPr>
          <w:p w14:paraId="0EDCC368" w14:textId="77777777" w:rsidR="00A668A3" w:rsidRDefault="00A668A3" w:rsidP="007E7FCE">
            <w:pPr>
              <w:pStyle w:val="Textpoznpodarou"/>
              <w:jc w:val="both"/>
              <w:rPr>
                <w:spacing w:val="-4"/>
              </w:rPr>
            </w:pPr>
          </w:p>
        </w:tc>
        <w:tc>
          <w:tcPr>
            <w:tcW w:w="7610" w:type="dxa"/>
            <w:shd w:val="clear" w:color="auto" w:fill="auto"/>
            <w:tcMar>
              <w:left w:w="0" w:type="dxa"/>
            </w:tcMar>
          </w:tcPr>
          <w:p w14:paraId="464132FD" w14:textId="77777777" w:rsidR="00A668A3" w:rsidRDefault="00A668A3" w:rsidP="007E7FCE">
            <w:r w:rsidRPr="00A85DE1">
              <w:rPr>
                <w:sz w:val="14"/>
                <w:szCs w:val="14"/>
              </w:rPr>
              <w:t>Zdroj: ČSÚ</w:t>
            </w:r>
          </w:p>
        </w:tc>
      </w:tr>
      <w:tr w:rsidR="00A668A3" w:rsidRPr="009110F7" w14:paraId="1E10A0CB" w14:textId="77777777" w:rsidTr="007E7FCE">
        <w:trPr>
          <w:trHeight w:val="145"/>
        </w:trPr>
        <w:tc>
          <w:tcPr>
            <w:tcW w:w="1806" w:type="dxa"/>
            <w:shd w:val="clear" w:color="auto" w:fill="auto"/>
            <w:tcMar>
              <w:left w:w="0" w:type="dxa"/>
            </w:tcMar>
          </w:tcPr>
          <w:p w14:paraId="1FC9035D" w14:textId="77777777" w:rsidR="00A668A3" w:rsidRDefault="00A668A3" w:rsidP="007E7FCE">
            <w:pPr>
              <w:pStyle w:val="Marginlie"/>
            </w:pPr>
            <w:r>
              <w:t>Zatímco u služeb HPH většinou rostla, průmyslu se nedařilo.</w:t>
            </w:r>
          </w:p>
        </w:tc>
        <w:tc>
          <w:tcPr>
            <w:tcW w:w="223" w:type="dxa"/>
            <w:shd w:val="clear" w:color="auto" w:fill="auto"/>
            <w:tcMar>
              <w:left w:w="0" w:type="dxa"/>
            </w:tcMar>
          </w:tcPr>
          <w:p w14:paraId="7D92BF94" w14:textId="77777777" w:rsidR="00A668A3" w:rsidRDefault="00A668A3" w:rsidP="007E7FCE">
            <w:pPr>
              <w:pStyle w:val="Textpoznpodarou"/>
              <w:jc w:val="both"/>
              <w:rPr>
                <w:spacing w:val="-4"/>
              </w:rPr>
            </w:pPr>
          </w:p>
        </w:tc>
        <w:tc>
          <w:tcPr>
            <w:tcW w:w="7610" w:type="dxa"/>
            <w:shd w:val="clear" w:color="auto" w:fill="auto"/>
            <w:tcMar>
              <w:left w:w="0" w:type="dxa"/>
            </w:tcMar>
          </w:tcPr>
          <w:p w14:paraId="01CC84D5" w14:textId="77777777" w:rsidR="00A668A3" w:rsidRDefault="00A668A3" w:rsidP="007E7FCE">
            <w:pPr>
              <w:spacing w:after="0"/>
            </w:pPr>
            <w:r>
              <w:t xml:space="preserve">V meziročním srovnání HPH v zásadě stagnovala (přírůstek o 0,1 %). Podobně jako </w:t>
            </w:r>
            <w:r>
              <w:br/>
              <w:t xml:space="preserve">u mezičtvrtletní dynamiky, také k meziročnímu růstu HPH přispívaly především služby. Meziročně silně rostla HPH v peněžnictví a pojišťovnictví (7,3 %) a mírnější přírůstky byly zaznamenány rovněž v uskupení obchod, doprava, ubytování a pohostinství (2,3 %), v informačních a komunikačních činnostech (1,1 %), v činnostech v oblasti nemovitostí (0,9 %) a ve veřejné správě a obraně, vzdělávání, ve zdravotní a sociální péči (0,7 %). Meziročně stagnovaly ostatní činnosti a profesní, vědecké, technické a administrativní činnosti (−0,1 %). Meziročně klesala HPH v průmyslu jako celku (−2,5 %), z toho ve zpracovatelském průmyslu propad dosáhl 3,0 %. Pokles HPH ve stavebnictví o 2,4 % prodloužil nepřetržitou řadu meziročních propadů na šest let.  </w:t>
            </w:r>
          </w:p>
        </w:tc>
      </w:tr>
      <w:bookmarkEnd w:id="3"/>
      <w:bookmarkEnd w:id="4"/>
      <w:bookmarkEnd w:id="5"/>
      <w:bookmarkEnd w:id="6"/>
    </w:tbl>
    <w:p w14:paraId="7EF5552D" w14:textId="77777777" w:rsidR="00A668A3" w:rsidRDefault="00A668A3" w:rsidP="00A668A3">
      <w:pPr>
        <w:pStyle w:val="Nadpis11"/>
        <w:rPr>
          <w:sz w:val="2"/>
          <w:szCs w:val="2"/>
        </w:rPr>
      </w:pPr>
    </w:p>
    <w:p w14:paraId="30F12504" w14:textId="77777777" w:rsidR="00D42211" w:rsidRDefault="00D42211" w:rsidP="00D42211">
      <w:pPr>
        <w:pStyle w:val="Nadpis1"/>
        <w:rPr>
          <w:szCs w:val="32"/>
        </w:rPr>
      </w:pPr>
      <w:bookmarkStart w:id="11" w:name="_Toc161914424"/>
      <w:bookmarkStart w:id="12" w:name="_Toc161914425"/>
      <w:bookmarkStart w:id="13" w:name="_Toc153531176"/>
      <w:bookmarkStart w:id="14" w:name="_Toc169258116"/>
    </w:p>
    <w:p w14:paraId="7B1C0C4D" w14:textId="6B673EA9" w:rsidR="00D42211" w:rsidRDefault="00D42211" w:rsidP="00D42211">
      <w:pPr>
        <w:rPr>
          <w:rFonts w:eastAsia="MS Gothic"/>
          <w:color w:val="86BF5E"/>
          <w:sz w:val="32"/>
        </w:rPr>
      </w:pPr>
    </w:p>
    <w:bookmarkEnd w:id="11"/>
    <w:bookmarkEnd w:id="12"/>
    <w:bookmarkEnd w:id="13"/>
    <w:bookmarkEnd w:id="14"/>
    <w:bookmarkEnd w:id="7"/>
    <w:bookmarkEnd w:id="8"/>
    <w:bookmarkEnd w:id="9"/>
    <w:sectPr w:rsidR="00D42211" w:rsidSect="001615E4">
      <w:headerReference w:type="even" r:id="rId14"/>
      <w:headerReference w:type="default" r:id="rId15"/>
      <w:footerReference w:type="even" r:id="rId16"/>
      <w:footerReference w:type="default" r:id="rId17"/>
      <w:pgSz w:w="11906" w:h="16838" w:code="9"/>
      <w:pgMar w:top="1134" w:right="1134" w:bottom="1418" w:left="1134" w:header="680" w:footer="68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2984" w14:textId="77777777" w:rsidR="00D42211" w:rsidRDefault="00D42211" w:rsidP="00E71A58">
      <w:r>
        <w:separator/>
      </w:r>
    </w:p>
  </w:endnote>
  <w:endnote w:type="continuationSeparator" w:id="0">
    <w:p w14:paraId="21432985" w14:textId="77777777" w:rsidR="00D42211" w:rsidRDefault="00D4221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8" w14:textId="487C4D4B" w:rsidR="00D42211" w:rsidRPr="00932443" w:rsidRDefault="00D42211" w:rsidP="00A418BC">
    <w:pPr>
      <w:pStyle w:val="Zpat"/>
      <w:rPr>
        <w:szCs w:val="16"/>
      </w:rPr>
    </w:pPr>
    <w:r>
      <w:rPr>
        <w:szCs w:val="16"/>
        <w:lang w:eastAsia="cs-CZ"/>
      </w:rPr>
      <w:drawing>
        <wp:anchor distT="0" distB="0" distL="114300" distR="114300" simplePos="0" relativeHeight="251658240" behindDoc="0" locked="0" layoutInCell="1" allowOverlap="1" wp14:anchorId="2143298A" wp14:editId="2143298B">
          <wp:simplePos x="0" y="0"/>
          <wp:positionH relativeFrom="column">
            <wp:align>right</wp:align>
          </wp:positionH>
          <wp:positionV relativeFrom="paragraph">
            <wp:posOffset>-64770</wp:posOffset>
          </wp:positionV>
          <wp:extent cx="428625" cy="201295"/>
          <wp:effectExtent l="0" t="0" r="3175" b="1905"/>
          <wp:wrapNone/>
          <wp:docPr id="21"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4108D9">
      <w:rPr>
        <w:szCs w:val="16"/>
      </w:rPr>
      <w:t>8</w:t>
    </w:r>
    <w:r w:rsidRPr="00932443">
      <w:rPr>
        <w:szCs w:val="16"/>
      </w:rPr>
      <w:fldChar w:fldCharType="end"/>
    </w:r>
    <w:r w:rsidRPr="00932443">
      <w:rPr>
        <w:szCs w:val="16"/>
      </w:rPr>
      <w:tab/>
    </w:r>
    <w:r>
      <w:rPr>
        <w:szCs w:val="16"/>
      </w:rPr>
      <w:t>1. pololetí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9" w14:textId="2A918C4D" w:rsidR="00D42211" w:rsidRPr="00932443" w:rsidRDefault="00D42211" w:rsidP="00A418BC">
    <w:pPr>
      <w:pStyle w:val="Zpat"/>
      <w:rPr>
        <w:szCs w:val="16"/>
      </w:rPr>
    </w:pPr>
    <w:r>
      <w:rPr>
        <w:szCs w:val="16"/>
        <w:lang w:eastAsia="cs-CZ"/>
      </w:rPr>
      <w:drawing>
        <wp:anchor distT="0" distB="0" distL="114300" distR="114300" simplePos="0" relativeHeight="251657216" behindDoc="0" locked="0" layoutInCell="1" allowOverlap="1" wp14:anchorId="2143298C" wp14:editId="2143298D">
          <wp:simplePos x="0" y="0"/>
          <wp:positionH relativeFrom="column">
            <wp:align>left</wp:align>
          </wp:positionH>
          <wp:positionV relativeFrom="paragraph">
            <wp:posOffset>-122555</wp:posOffset>
          </wp:positionV>
          <wp:extent cx="510540" cy="272415"/>
          <wp:effectExtent l="0" t="0" r="0" b="6985"/>
          <wp:wrapNone/>
          <wp:docPr id="22"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1. pololetí 2024</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4108D9">
      <w:rPr>
        <w:rStyle w:val="ZpatChar"/>
        <w:szCs w:val="16"/>
      </w:rPr>
      <w:t>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2982" w14:textId="77777777" w:rsidR="00D42211" w:rsidRDefault="00D42211" w:rsidP="00EA4302">
      <w:pPr>
        <w:spacing w:after="0"/>
      </w:pPr>
      <w:r>
        <w:separator/>
      </w:r>
    </w:p>
  </w:footnote>
  <w:footnote w:type="continuationSeparator" w:id="0">
    <w:p w14:paraId="21432983" w14:textId="77777777" w:rsidR="00D42211" w:rsidRDefault="00D42211" w:rsidP="00E71A58">
      <w:r>
        <w:continuationSeparator/>
      </w:r>
    </w:p>
  </w:footnote>
  <w:footnote w:id="1">
    <w:p w14:paraId="71B981BC" w14:textId="77777777" w:rsidR="00D42211" w:rsidRPr="000348AF" w:rsidRDefault="00D42211" w:rsidP="00A668A3">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w:t>
      </w:r>
      <w:r>
        <w:rPr>
          <w:sz w:val="16"/>
          <w:szCs w:val="16"/>
        </w:rPr>
        <w:t xml:space="preserve"> 31. 5. </w:t>
      </w:r>
      <w:r w:rsidRPr="000348AF">
        <w:rPr>
          <w:sz w:val="16"/>
          <w:szCs w:val="16"/>
        </w:rPr>
        <w:t>202</w:t>
      </w:r>
      <w:r>
        <w:rPr>
          <w:sz w:val="16"/>
          <w:szCs w:val="16"/>
        </w:rPr>
        <w:t>4</w:t>
      </w:r>
      <w:r w:rsidRPr="000348AF">
        <w:rPr>
          <w:sz w:val="16"/>
          <w:szCs w:val="16"/>
        </w:rPr>
        <w:t>.</w:t>
      </w:r>
    </w:p>
  </w:footnote>
  <w:footnote w:id="2">
    <w:p w14:paraId="74B30094" w14:textId="77777777" w:rsidR="00D42211" w:rsidRDefault="00D42211" w:rsidP="00A668A3">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3">
    <w:p w14:paraId="122A3491" w14:textId="77777777" w:rsidR="00D42211" w:rsidRPr="005F75B1" w:rsidRDefault="00D42211" w:rsidP="00A668A3">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4">
    <w:p w14:paraId="782F4975" w14:textId="77777777" w:rsidR="00D42211" w:rsidRPr="0053191D" w:rsidRDefault="00D42211" w:rsidP="00A668A3">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5">
    <w:p w14:paraId="492202D7" w14:textId="77777777" w:rsidR="00D42211" w:rsidRPr="009C6EA8" w:rsidRDefault="00D42211" w:rsidP="00A668A3">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6">
    <w:p w14:paraId="38D3DD54" w14:textId="77777777" w:rsidR="00D42211" w:rsidRPr="00954992" w:rsidRDefault="00D42211" w:rsidP="00A668A3">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7">
    <w:p w14:paraId="32DEB695" w14:textId="77777777" w:rsidR="00D42211" w:rsidRPr="004831F6" w:rsidRDefault="00D42211" w:rsidP="00A668A3">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w:t>
      </w:r>
      <w:r>
        <w:rPr>
          <w:sz w:val="16"/>
          <w:szCs w:val="16"/>
        </w:rPr>
        <w:t xml:space="preserve">ve 2. čtvrtletí 2024 dosáhla 8,1 mld. korun, zatímco v roce 2023 to bylo </w:t>
      </w:r>
      <w:r>
        <w:rPr>
          <w:sz w:val="16"/>
          <w:szCs w:val="16"/>
        </w:rPr>
        <w:br/>
        <w:t xml:space="preserve">35,2 mld. </w:t>
      </w:r>
    </w:p>
  </w:footnote>
  <w:footnote w:id="8">
    <w:p w14:paraId="250F4E84" w14:textId="77777777" w:rsidR="00D42211" w:rsidRPr="00167B30" w:rsidRDefault="00D42211" w:rsidP="00A668A3">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1635" w14:textId="77777777" w:rsidR="004108D9" w:rsidRDefault="004108D9" w:rsidP="004108D9">
    <w:pPr>
      <w:pStyle w:val="Zhlav"/>
    </w:pPr>
    <w:r>
      <w:t>Vývoj ekonomiky České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AC31" w14:textId="77777777" w:rsidR="004108D9" w:rsidRDefault="004108D9" w:rsidP="004108D9">
    <w:pPr>
      <w:pStyle w:val="Zhlav"/>
    </w:pPr>
    <w:r>
      <w:t>Vývoj ekonomiky 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B048D2"/>
    <w:multiLevelType w:val="hybridMultilevel"/>
    <w:tmpl w:val="D2A0F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7747AF"/>
    <w:multiLevelType w:val="hybridMultilevel"/>
    <w:tmpl w:val="76204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5"/>
  </w:num>
  <w:num w:numId="21">
    <w:abstractNumId w:val="19"/>
  </w:num>
  <w:num w:numId="22">
    <w:abstractNumId w:val="15"/>
  </w:num>
  <w:num w:numId="23">
    <w:abstractNumId w:val="13"/>
  </w:num>
  <w:num w:numId="24">
    <w:abstractNumId w:val="14"/>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2"/>
    <w:rsid w:val="0000209D"/>
    <w:rsid w:val="00004D5A"/>
    <w:rsid w:val="000056D5"/>
    <w:rsid w:val="00006ABD"/>
    <w:rsid w:val="0000767A"/>
    <w:rsid w:val="00010256"/>
    <w:rsid w:val="00010702"/>
    <w:rsid w:val="00011912"/>
    <w:rsid w:val="0002195D"/>
    <w:rsid w:val="000234D6"/>
    <w:rsid w:val="00023D29"/>
    <w:rsid w:val="00026389"/>
    <w:rsid w:val="00031AE0"/>
    <w:rsid w:val="000322EF"/>
    <w:rsid w:val="00033FCD"/>
    <w:rsid w:val="00040D10"/>
    <w:rsid w:val="00041CEC"/>
    <w:rsid w:val="0004694F"/>
    <w:rsid w:val="000522E4"/>
    <w:rsid w:val="000610E1"/>
    <w:rsid w:val="00062EC5"/>
    <w:rsid w:val="00062F22"/>
    <w:rsid w:val="000712B3"/>
    <w:rsid w:val="0008263E"/>
    <w:rsid w:val="00082C19"/>
    <w:rsid w:val="00085395"/>
    <w:rsid w:val="00087634"/>
    <w:rsid w:val="00087F2B"/>
    <w:rsid w:val="00095135"/>
    <w:rsid w:val="000974D1"/>
    <w:rsid w:val="0009799E"/>
    <w:rsid w:val="000A1183"/>
    <w:rsid w:val="000A256D"/>
    <w:rsid w:val="000A3A2C"/>
    <w:rsid w:val="000A57D4"/>
    <w:rsid w:val="000B7C8D"/>
    <w:rsid w:val="000C3408"/>
    <w:rsid w:val="000C6AFD"/>
    <w:rsid w:val="000D5637"/>
    <w:rsid w:val="000E6FBD"/>
    <w:rsid w:val="00100F5C"/>
    <w:rsid w:val="00101CDA"/>
    <w:rsid w:val="00104C4C"/>
    <w:rsid w:val="00117623"/>
    <w:rsid w:val="0012192F"/>
    <w:rsid w:val="00125D69"/>
    <w:rsid w:val="001405FA"/>
    <w:rsid w:val="001425C3"/>
    <w:rsid w:val="001476BD"/>
    <w:rsid w:val="001612F4"/>
    <w:rsid w:val="001615E4"/>
    <w:rsid w:val="0016256B"/>
    <w:rsid w:val="00163793"/>
    <w:rsid w:val="001706D6"/>
    <w:rsid w:val="001714F2"/>
    <w:rsid w:val="00175B9F"/>
    <w:rsid w:val="00181BBC"/>
    <w:rsid w:val="00184B08"/>
    <w:rsid w:val="00185010"/>
    <w:rsid w:val="0019143B"/>
    <w:rsid w:val="001A0487"/>
    <w:rsid w:val="001A552F"/>
    <w:rsid w:val="001B2CA9"/>
    <w:rsid w:val="001B3110"/>
    <w:rsid w:val="001B4729"/>
    <w:rsid w:val="001B6310"/>
    <w:rsid w:val="001B6C09"/>
    <w:rsid w:val="001C05CD"/>
    <w:rsid w:val="001D48D4"/>
    <w:rsid w:val="001D68B2"/>
    <w:rsid w:val="001E504C"/>
    <w:rsid w:val="001E6062"/>
    <w:rsid w:val="001F4597"/>
    <w:rsid w:val="00203DA4"/>
    <w:rsid w:val="002118B9"/>
    <w:rsid w:val="00214CF7"/>
    <w:rsid w:val="00217C5B"/>
    <w:rsid w:val="0022139E"/>
    <w:rsid w:val="00222729"/>
    <w:rsid w:val="002252E0"/>
    <w:rsid w:val="002255F6"/>
    <w:rsid w:val="00227850"/>
    <w:rsid w:val="00227A53"/>
    <w:rsid w:val="00230C6E"/>
    <w:rsid w:val="00236443"/>
    <w:rsid w:val="00241B06"/>
    <w:rsid w:val="002436BA"/>
    <w:rsid w:val="00244A15"/>
    <w:rsid w:val="00247319"/>
    <w:rsid w:val="0024799E"/>
    <w:rsid w:val="00253C0F"/>
    <w:rsid w:val="002558C1"/>
    <w:rsid w:val="00271465"/>
    <w:rsid w:val="00285412"/>
    <w:rsid w:val="00291640"/>
    <w:rsid w:val="002A16D4"/>
    <w:rsid w:val="002A230C"/>
    <w:rsid w:val="002B2299"/>
    <w:rsid w:val="002B4845"/>
    <w:rsid w:val="002C43BD"/>
    <w:rsid w:val="002D0E59"/>
    <w:rsid w:val="002E02A1"/>
    <w:rsid w:val="002E42AC"/>
    <w:rsid w:val="002E4E4C"/>
    <w:rsid w:val="00302ADD"/>
    <w:rsid w:val="00304771"/>
    <w:rsid w:val="0030495D"/>
    <w:rsid w:val="003052D4"/>
    <w:rsid w:val="00306C5B"/>
    <w:rsid w:val="003103E0"/>
    <w:rsid w:val="00314F9F"/>
    <w:rsid w:val="003209D6"/>
    <w:rsid w:val="00321924"/>
    <w:rsid w:val="0032656E"/>
    <w:rsid w:val="00332190"/>
    <w:rsid w:val="0034335E"/>
    <w:rsid w:val="00344668"/>
    <w:rsid w:val="003462D9"/>
    <w:rsid w:val="00360C86"/>
    <w:rsid w:val="00360FBC"/>
    <w:rsid w:val="00362E90"/>
    <w:rsid w:val="00364FA0"/>
    <w:rsid w:val="003657F3"/>
    <w:rsid w:val="003818DC"/>
    <w:rsid w:val="00384327"/>
    <w:rsid w:val="00385D98"/>
    <w:rsid w:val="003A2B4D"/>
    <w:rsid w:val="003A2D12"/>
    <w:rsid w:val="003A478C"/>
    <w:rsid w:val="003A5525"/>
    <w:rsid w:val="003A6B38"/>
    <w:rsid w:val="003B461F"/>
    <w:rsid w:val="003B5A32"/>
    <w:rsid w:val="003C3490"/>
    <w:rsid w:val="003C7E62"/>
    <w:rsid w:val="003D6920"/>
    <w:rsid w:val="003E48F2"/>
    <w:rsid w:val="003E4C91"/>
    <w:rsid w:val="003F313C"/>
    <w:rsid w:val="003F37FC"/>
    <w:rsid w:val="003F4B2C"/>
    <w:rsid w:val="003F551C"/>
    <w:rsid w:val="003F72ED"/>
    <w:rsid w:val="003F7D23"/>
    <w:rsid w:val="00407C13"/>
    <w:rsid w:val="0041041D"/>
    <w:rsid w:val="00410638"/>
    <w:rsid w:val="004108D9"/>
    <w:rsid w:val="0041501E"/>
    <w:rsid w:val="004159C3"/>
    <w:rsid w:val="00432A58"/>
    <w:rsid w:val="00434617"/>
    <w:rsid w:val="00440900"/>
    <w:rsid w:val="00441BF6"/>
    <w:rsid w:val="004441A0"/>
    <w:rsid w:val="004455BA"/>
    <w:rsid w:val="0045078A"/>
    <w:rsid w:val="0045086D"/>
    <w:rsid w:val="00451504"/>
    <w:rsid w:val="00460FB3"/>
    <w:rsid w:val="0046627E"/>
    <w:rsid w:val="00476240"/>
    <w:rsid w:val="00476439"/>
    <w:rsid w:val="0047735C"/>
    <w:rsid w:val="004776BC"/>
    <w:rsid w:val="0048139F"/>
    <w:rsid w:val="00481E40"/>
    <w:rsid w:val="00484ECE"/>
    <w:rsid w:val="004915CB"/>
    <w:rsid w:val="004924DC"/>
    <w:rsid w:val="004A14E4"/>
    <w:rsid w:val="004A3212"/>
    <w:rsid w:val="004A5494"/>
    <w:rsid w:val="004A61C5"/>
    <w:rsid w:val="004A77DF"/>
    <w:rsid w:val="004B1417"/>
    <w:rsid w:val="004B55B7"/>
    <w:rsid w:val="004B6468"/>
    <w:rsid w:val="004B7125"/>
    <w:rsid w:val="004C384C"/>
    <w:rsid w:val="004C3867"/>
    <w:rsid w:val="004C4CD0"/>
    <w:rsid w:val="004C70DC"/>
    <w:rsid w:val="004D0211"/>
    <w:rsid w:val="004D0794"/>
    <w:rsid w:val="004F06F5"/>
    <w:rsid w:val="004F33A0"/>
    <w:rsid w:val="0050689D"/>
    <w:rsid w:val="005108C0"/>
    <w:rsid w:val="00511873"/>
    <w:rsid w:val="00512A2F"/>
    <w:rsid w:val="00513B7E"/>
    <w:rsid w:val="00515C74"/>
    <w:rsid w:val="0052007E"/>
    <w:rsid w:val="0052337A"/>
    <w:rsid w:val="00525137"/>
    <w:rsid w:val="005251DD"/>
    <w:rsid w:val="00532CE7"/>
    <w:rsid w:val="0053324C"/>
    <w:rsid w:val="00534A28"/>
    <w:rsid w:val="00541508"/>
    <w:rsid w:val="00543498"/>
    <w:rsid w:val="0055599F"/>
    <w:rsid w:val="00556D68"/>
    <w:rsid w:val="00563EB8"/>
    <w:rsid w:val="005647BF"/>
    <w:rsid w:val="00564AF1"/>
    <w:rsid w:val="0057364B"/>
    <w:rsid w:val="00574773"/>
    <w:rsid w:val="00583FFD"/>
    <w:rsid w:val="005911BE"/>
    <w:rsid w:val="00593152"/>
    <w:rsid w:val="005A10F2"/>
    <w:rsid w:val="005A21E0"/>
    <w:rsid w:val="005A28FF"/>
    <w:rsid w:val="005A3DF8"/>
    <w:rsid w:val="005A5549"/>
    <w:rsid w:val="005A7038"/>
    <w:rsid w:val="005B121D"/>
    <w:rsid w:val="005C06ED"/>
    <w:rsid w:val="005C2609"/>
    <w:rsid w:val="005D5802"/>
    <w:rsid w:val="005D7119"/>
    <w:rsid w:val="005D7890"/>
    <w:rsid w:val="005E7C78"/>
    <w:rsid w:val="005F18C5"/>
    <w:rsid w:val="005F3EB1"/>
    <w:rsid w:val="005F46D8"/>
    <w:rsid w:val="005F5469"/>
    <w:rsid w:val="00604307"/>
    <w:rsid w:val="0060487F"/>
    <w:rsid w:val="00604EAD"/>
    <w:rsid w:val="006104FB"/>
    <w:rsid w:val="00612A2F"/>
    <w:rsid w:val="00616E05"/>
    <w:rsid w:val="00624093"/>
    <w:rsid w:val="00625F8F"/>
    <w:rsid w:val="006350D5"/>
    <w:rsid w:val="006404A7"/>
    <w:rsid w:val="006451E4"/>
    <w:rsid w:val="00645B33"/>
    <w:rsid w:val="006516CB"/>
    <w:rsid w:val="00656FC8"/>
    <w:rsid w:val="00657E87"/>
    <w:rsid w:val="00664803"/>
    <w:rsid w:val="00665BA4"/>
    <w:rsid w:val="00667AF2"/>
    <w:rsid w:val="006710C9"/>
    <w:rsid w:val="006741AC"/>
    <w:rsid w:val="00674D89"/>
    <w:rsid w:val="00675E37"/>
    <w:rsid w:val="0068174E"/>
    <w:rsid w:val="00681DCE"/>
    <w:rsid w:val="0068260E"/>
    <w:rsid w:val="00695BEF"/>
    <w:rsid w:val="006977F6"/>
    <w:rsid w:val="00697A13"/>
    <w:rsid w:val="006A109C"/>
    <w:rsid w:val="006B0F92"/>
    <w:rsid w:val="006B344A"/>
    <w:rsid w:val="006B78D8"/>
    <w:rsid w:val="006C113F"/>
    <w:rsid w:val="006C123E"/>
    <w:rsid w:val="006C1752"/>
    <w:rsid w:val="006C56D4"/>
    <w:rsid w:val="006C6924"/>
    <w:rsid w:val="006C7CA6"/>
    <w:rsid w:val="006D3E8A"/>
    <w:rsid w:val="006D61F6"/>
    <w:rsid w:val="006E279A"/>
    <w:rsid w:val="006E313B"/>
    <w:rsid w:val="006E7227"/>
    <w:rsid w:val="006F438E"/>
    <w:rsid w:val="006F5416"/>
    <w:rsid w:val="006F7076"/>
    <w:rsid w:val="00705242"/>
    <w:rsid w:val="00706AD4"/>
    <w:rsid w:val="00707150"/>
    <w:rsid w:val="007140BE"/>
    <w:rsid w:val="007211F5"/>
    <w:rsid w:val="00723946"/>
    <w:rsid w:val="007240E2"/>
    <w:rsid w:val="00725BB5"/>
    <w:rsid w:val="00730AE8"/>
    <w:rsid w:val="00730F1B"/>
    <w:rsid w:val="00741493"/>
    <w:rsid w:val="00752180"/>
    <w:rsid w:val="00753CAB"/>
    <w:rsid w:val="00755202"/>
    <w:rsid w:val="00755D3A"/>
    <w:rsid w:val="007578D3"/>
    <w:rsid w:val="007609C6"/>
    <w:rsid w:val="00760EA4"/>
    <w:rsid w:val="0076175D"/>
    <w:rsid w:val="00763B85"/>
    <w:rsid w:val="0076521E"/>
    <w:rsid w:val="007661E9"/>
    <w:rsid w:val="00776169"/>
    <w:rsid w:val="00776527"/>
    <w:rsid w:val="00780EF1"/>
    <w:rsid w:val="00790764"/>
    <w:rsid w:val="0079453C"/>
    <w:rsid w:val="00794677"/>
    <w:rsid w:val="00797445"/>
    <w:rsid w:val="007A516D"/>
    <w:rsid w:val="007B6689"/>
    <w:rsid w:val="007C6BBD"/>
    <w:rsid w:val="007D40DF"/>
    <w:rsid w:val="007E29B4"/>
    <w:rsid w:val="007E435A"/>
    <w:rsid w:val="007E7E61"/>
    <w:rsid w:val="007E7FCE"/>
    <w:rsid w:val="007F0845"/>
    <w:rsid w:val="007F708D"/>
    <w:rsid w:val="00800216"/>
    <w:rsid w:val="00801E13"/>
    <w:rsid w:val="00807C82"/>
    <w:rsid w:val="00814B15"/>
    <w:rsid w:val="00816905"/>
    <w:rsid w:val="00821777"/>
    <w:rsid w:val="00821FF6"/>
    <w:rsid w:val="00822574"/>
    <w:rsid w:val="00825C4D"/>
    <w:rsid w:val="0083143E"/>
    <w:rsid w:val="00831CDE"/>
    <w:rsid w:val="00834304"/>
    <w:rsid w:val="00834FAA"/>
    <w:rsid w:val="00836086"/>
    <w:rsid w:val="00846121"/>
    <w:rsid w:val="0084708F"/>
    <w:rsid w:val="008477C8"/>
    <w:rsid w:val="0085114D"/>
    <w:rsid w:val="00852217"/>
    <w:rsid w:val="00855408"/>
    <w:rsid w:val="00856D65"/>
    <w:rsid w:val="00861B41"/>
    <w:rsid w:val="00861BE3"/>
    <w:rsid w:val="00863434"/>
    <w:rsid w:val="00865E4C"/>
    <w:rsid w:val="008701E4"/>
    <w:rsid w:val="00871069"/>
    <w:rsid w:val="00875A32"/>
    <w:rsid w:val="00876086"/>
    <w:rsid w:val="008825B0"/>
    <w:rsid w:val="00884AD6"/>
    <w:rsid w:val="008873D4"/>
    <w:rsid w:val="0089126C"/>
    <w:rsid w:val="0089296D"/>
    <w:rsid w:val="00893E85"/>
    <w:rsid w:val="00894031"/>
    <w:rsid w:val="00895508"/>
    <w:rsid w:val="008A6CB4"/>
    <w:rsid w:val="008B5CF6"/>
    <w:rsid w:val="008B7C02"/>
    <w:rsid w:val="008B7D2B"/>
    <w:rsid w:val="008C0049"/>
    <w:rsid w:val="008C0E88"/>
    <w:rsid w:val="008C53CB"/>
    <w:rsid w:val="008D1E6A"/>
    <w:rsid w:val="008D2A16"/>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31A3"/>
    <w:rsid w:val="00924AC8"/>
    <w:rsid w:val="0092597A"/>
    <w:rsid w:val="00930FB1"/>
    <w:rsid w:val="0093139F"/>
    <w:rsid w:val="00932443"/>
    <w:rsid w:val="00937AE2"/>
    <w:rsid w:val="0094427A"/>
    <w:rsid w:val="00945245"/>
    <w:rsid w:val="0095759C"/>
    <w:rsid w:val="009721DB"/>
    <w:rsid w:val="00974923"/>
    <w:rsid w:val="00980D3D"/>
    <w:rsid w:val="00987A30"/>
    <w:rsid w:val="00992CF3"/>
    <w:rsid w:val="00994868"/>
    <w:rsid w:val="009968D6"/>
    <w:rsid w:val="009A1CAB"/>
    <w:rsid w:val="009A60D1"/>
    <w:rsid w:val="009B6FD3"/>
    <w:rsid w:val="009C1750"/>
    <w:rsid w:val="009C2E29"/>
    <w:rsid w:val="009C554B"/>
    <w:rsid w:val="009C719E"/>
    <w:rsid w:val="009C7A10"/>
    <w:rsid w:val="009D3ACD"/>
    <w:rsid w:val="009E5273"/>
    <w:rsid w:val="009E5DDB"/>
    <w:rsid w:val="009F4CA7"/>
    <w:rsid w:val="00A10D66"/>
    <w:rsid w:val="00A14114"/>
    <w:rsid w:val="00A16413"/>
    <w:rsid w:val="00A16E1D"/>
    <w:rsid w:val="00A17D5B"/>
    <w:rsid w:val="00A23E43"/>
    <w:rsid w:val="00A25216"/>
    <w:rsid w:val="00A30F65"/>
    <w:rsid w:val="00A33A89"/>
    <w:rsid w:val="00A40EAC"/>
    <w:rsid w:val="00A418BC"/>
    <w:rsid w:val="00A46DE0"/>
    <w:rsid w:val="00A50D73"/>
    <w:rsid w:val="00A52CAD"/>
    <w:rsid w:val="00A53FC7"/>
    <w:rsid w:val="00A62CE1"/>
    <w:rsid w:val="00A668A3"/>
    <w:rsid w:val="00A6741E"/>
    <w:rsid w:val="00A75E40"/>
    <w:rsid w:val="00A77D1D"/>
    <w:rsid w:val="00A84A6A"/>
    <w:rsid w:val="00A857C0"/>
    <w:rsid w:val="00A90FED"/>
    <w:rsid w:val="00AA2996"/>
    <w:rsid w:val="00AA52BF"/>
    <w:rsid w:val="00AA559A"/>
    <w:rsid w:val="00AB2AF1"/>
    <w:rsid w:val="00AC45BD"/>
    <w:rsid w:val="00AD168E"/>
    <w:rsid w:val="00AD306C"/>
    <w:rsid w:val="00AD68C4"/>
    <w:rsid w:val="00AE09B3"/>
    <w:rsid w:val="00AE0ED3"/>
    <w:rsid w:val="00AE1A83"/>
    <w:rsid w:val="00AE31A7"/>
    <w:rsid w:val="00AF6128"/>
    <w:rsid w:val="00B00913"/>
    <w:rsid w:val="00B01593"/>
    <w:rsid w:val="00B023F2"/>
    <w:rsid w:val="00B04705"/>
    <w:rsid w:val="00B10A4D"/>
    <w:rsid w:val="00B14BC1"/>
    <w:rsid w:val="00B17E71"/>
    <w:rsid w:val="00B17FDE"/>
    <w:rsid w:val="00B2379C"/>
    <w:rsid w:val="00B25189"/>
    <w:rsid w:val="00B2687D"/>
    <w:rsid w:val="00B32DDB"/>
    <w:rsid w:val="00B34528"/>
    <w:rsid w:val="00B34CC9"/>
    <w:rsid w:val="00B402FC"/>
    <w:rsid w:val="00B439DA"/>
    <w:rsid w:val="00B46604"/>
    <w:rsid w:val="00B530CD"/>
    <w:rsid w:val="00B55F5E"/>
    <w:rsid w:val="00B5752E"/>
    <w:rsid w:val="00B63A11"/>
    <w:rsid w:val="00B63B6A"/>
    <w:rsid w:val="00B64C24"/>
    <w:rsid w:val="00B6608F"/>
    <w:rsid w:val="00B679FB"/>
    <w:rsid w:val="00B76D1E"/>
    <w:rsid w:val="00B80EC6"/>
    <w:rsid w:val="00B84CF6"/>
    <w:rsid w:val="00B92D1D"/>
    <w:rsid w:val="00B938C5"/>
    <w:rsid w:val="00B95940"/>
    <w:rsid w:val="00BA6C2B"/>
    <w:rsid w:val="00BB46F3"/>
    <w:rsid w:val="00BB4CB1"/>
    <w:rsid w:val="00BB4F98"/>
    <w:rsid w:val="00BC5C12"/>
    <w:rsid w:val="00BC7154"/>
    <w:rsid w:val="00BC731E"/>
    <w:rsid w:val="00BD366B"/>
    <w:rsid w:val="00BD6D50"/>
    <w:rsid w:val="00BE18B9"/>
    <w:rsid w:val="00BE2495"/>
    <w:rsid w:val="00BF1578"/>
    <w:rsid w:val="00C21F94"/>
    <w:rsid w:val="00C27913"/>
    <w:rsid w:val="00C32964"/>
    <w:rsid w:val="00C33B68"/>
    <w:rsid w:val="00C36A79"/>
    <w:rsid w:val="00C401D2"/>
    <w:rsid w:val="00C405D4"/>
    <w:rsid w:val="00C4431F"/>
    <w:rsid w:val="00C4513B"/>
    <w:rsid w:val="00C5390B"/>
    <w:rsid w:val="00C54697"/>
    <w:rsid w:val="00C65535"/>
    <w:rsid w:val="00C71E85"/>
    <w:rsid w:val="00C72884"/>
    <w:rsid w:val="00C73885"/>
    <w:rsid w:val="00C747B1"/>
    <w:rsid w:val="00C82191"/>
    <w:rsid w:val="00C83134"/>
    <w:rsid w:val="00C85545"/>
    <w:rsid w:val="00C90CF4"/>
    <w:rsid w:val="00C92EB6"/>
    <w:rsid w:val="00C93389"/>
    <w:rsid w:val="00CA0914"/>
    <w:rsid w:val="00CA6AB4"/>
    <w:rsid w:val="00CB4930"/>
    <w:rsid w:val="00CC2E7D"/>
    <w:rsid w:val="00CD10A5"/>
    <w:rsid w:val="00CD2076"/>
    <w:rsid w:val="00CD29B5"/>
    <w:rsid w:val="00CD6331"/>
    <w:rsid w:val="00CE670B"/>
    <w:rsid w:val="00CF4908"/>
    <w:rsid w:val="00CF51EC"/>
    <w:rsid w:val="00CF73AE"/>
    <w:rsid w:val="00D040DD"/>
    <w:rsid w:val="00D075BE"/>
    <w:rsid w:val="00D13986"/>
    <w:rsid w:val="00D21D83"/>
    <w:rsid w:val="00D235B7"/>
    <w:rsid w:val="00D23C02"/>
    <w:rsid w:val="00D25F28"/>
    <w:rsid w:val="00D26071"/>
    <w:rsid w:val="00D27973"/>
    <w:rsid w:val="00D35E1A"/>
    <w:rsid w:val="00D42211"/>
    <w:rsid w:val="00D50F46"/>
    <w:rsid w:val="00D57677"/>
    <w:rsid w:val="00D66223"/>
    <w:rsid w:val="00D71625"/>
    <w:rsid w:val="00D8084C"/>
    <w:rsid w:val="00D915EA"/>
    <w:rsid w:val="00DA7C0C"/>
    <w:rsid w:val="00DB08A9"/>
    <w:rsid w:val="00DB2EC8"/>
    <w:rsid w:val="00DC5B3B"/>
    <w:rsid w:val="00DD129F"/>
    <w:rsid w:val="00DE02BD"/>
    <w:rsid w:val="00DF42FF"/>
    <w:rsid w:val="00E01C0E"/>
    <w:rsid w:val="00E03F9A"/>
    <w:rsid w:val="00E04694"/>
    <w:rsid w:val="00E063CE"/>
    <w:rsid w:val="00E12B1E"/>
    <w:rsid w:val="00E17262"/>
    <w:rsid w:val="00E253A2"/>
    <w:rsid w:val="00E3309D"/>
    <w:rsid w:val="00E43C1C"/>
    <w:rsid w:val="00E47EBA"/>
    <w:rsid w:val="00E50156"/>
    <w:rsid w:val="00E51643"/>
    <w:rsid w:val="00E53470"/>
    <w:rsid w:val="00E539F6"/>
    <w:rsid w:val="00E6519D"/>
    <w:rsid w:val="00E67696"/>
    <w:rsid w:val="00E71A58"/>
    <w:rsid w:val="00E72A7A"/>
    <w:rsid w:val="00E75C94"/>
    <w:rsid w:val="00E93820"/>
    <w:rsid w:val="00E94A86"/>
    <w:rsid w:val="00E96143"/>
    <w:rsid w:val="00EA0987"/>
    <w:rsid w:val="00EA0C68"/>
    <w:rsid w:val="00EA32BC"/>
    <w:rsid w:val="00EA4302"/>
    <w:rsid w:val="00EB4511"/>
    <w:rsid w:val="00EC03D7"/>
    <w:rsid w:val="00ED62C6"/>
    <w:rsid w:val="00ED64C1"/>
    <w:rsid w:val="00EE3446"/>
    <w:rsid w:val="00EE3E78"/>
    <w:rsid w:val="00EE4B1B"/>
    <w:rsid w:val="00EE7F19"/>
    <w:rsid w:val="00EF150D"/>
    <w:rsid w:val="00EF1F5A"/>
    <w:rsid w:val="00EF47BF"/>
    <w:rsid w:val="00F04811"/>
    <w:rsid w:val="00F0488C"/>
    <w:rsid w:val="00F10F11"/>
    <w:rsid w:val="00F15AAA"/>
    <w:rsid w:val="00F15BEF"/>
    <w:rsid w:val="00F24407"/>
    <w:rsid w:val="00F24931"/>
    <w:rsid w:val="00F24FAA"/>
    <w:rsid w:val="00F3364D"/>
    <w:rsid w:val="00F437CC"/>
    <w:rsid w:val="00F44537"/>
    <w:rsid w:val="00F44B6A"/>
    <w:rsid w:val="00F47067"/>
    <w:rsid w:val="00F50FC3"/>
    <w:rsid w:val="00F525EB"/>
    <w:rsid w:val="00F63DDE"/>
    <w:rsid w:val="00F63FB7"/>
    <w:rsid w:val="00F6421B"/>
    <w:rsid w:val="00F649D2"/>
    <w:rsid w:val="00F6602B"/>
    <w:rsid w:val="00F73A0C"/>
    <w:rsid w:val="00F756DB"/>
    <w:rsid w:val="00F84E7D"/>
    <w:rsid w:val="00F85066"/>
    <w:rsid w:val="00F87A4D"/>
    <w:rsid w:val="00F9785E"/>
    <w:rsid w:val="00FA5D4D"/>
    <w:rsid w:val="00FB0EE2"/>
    <w:rsid w:val="00FB542E"/>
    <w:rsid w:val="00FC0E5F"/>
    <w:rsid w:val="00FC1A95"/>
    <w:rsid w:val="00FC56DE"/>
    <w:rsid w:val="00FC684B"/>
    <w:rsid w:val="00FD3265"/>
    <w:rsid w:val="00FD5F92"/>
    <w:rsid w:val="00FE2F78"/>
    <w:rsid w:val="00FF7B96"/>
    <w:rsid w:val="11D0C0D9"/>
    <w:rsid w:val="7BDB84E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1432897"/>
  <w15:docId w15:val="{3A7C6927-7F52-4209-ABA9-A0ACA86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EA0987"/>
    <w:pPr>
      <w:keepNext/>
      <w:keepLines/>
      <w:spacing w:after="100" w:line="276" w:lineRule="auto"/>
      <w:contextualSpacing/>
      <w:outlineLvl w:val="0"/>
    </w:pPr>
    <w:rPr>
      <w:rFonts w:ascii="Arial" w:eastAsia="MS Gothic" w:hAnsi="Arial"/>
      <w:b/>
      <w:bCs/>
      <w:color w:val="86BF5E"/>
      <w:sz w:val="32"/>
      <w:szCs w:val="28"/>
      <w:lang w:eastAsia="cs-CZ"/>
    </w:rPr>
  </w:style>
  <w:style w:type="paragraph" w:styleId="Nadpis2">
    <w:name w:val="heading 2"/>
    <w:next w:val="Normln"/>
    <w:link w:val="Nadpis2Char"/>
    <w:uiPriority w:val="9"/>
    <w:qFormat/>
    <w:rsid w:val="00EA0987"/>
    <w:pPr>
      <w:keepNext/>
      <w:keepLines/>
      <w:spacing w:line="276" w:lineRule="auto"/>
      <w:outlineLvl w:val="1"/>
    </w:pPr>
    <w:rPr>
      <w:rFonts w:ascii="Arial" w:eastAsia="MS Gothic" w:hAnsi="Arial"/>
      <w:b/>
      <w:bCs/>
      <w:color w:val="86BF5E"/>
      <w:sz w:val="28"/>
      <w:szCs w:val="26"/>
      <w:lang w:eastAsia="cs-CZ"/>
    </w:rPr>
  </w:style>
  <w:style w:type="paragraph" w:styleId="Nadpis3">
    <w:name w:val="heading 3"/>
    <w:next w:val="Normln"/>
    <w:link w:val="Nadpis3Char"/>
    <w:uiPriority w:val="9"/>
    <w:qFormat/>
    <w:rsid w:val="00EA0987"/>
    <w:pPr>
      <w:keepNext/>
      <w:keepLines/>
      <w:spacing w:line="276" w:lineRule="auto"/>
      <w:outlineLvl w:val="2"/>
    </w:pPr>
    <w:rPr>
      <w:rFonts w:ascii="Arial" w:eastAsia="MS Gothic" w:hAnsi="Arial"/>
      <w:b/>
      <w:bCs/>
      <w:color w:val="86BF5E"/>
      <w:sz w:val="24"/>
      <w:szCs w:val="24"/>
      <w:lang w:eastAsia="cs-CZ"/>
    </w:rPr>
  </w:style>
  <w:style w:type="paragraph" w:styleId="Nadpis4">
    <w:name w:val="heading 4"/>
    <w:next w:val="Normln"/>
    <w:link w:val="Nadpis4Char"/>
    <w:uiPriority w:val="9"/>
    <w:qFormat/>
    <w:rsid w:val="0041041D"/>
    <w:pPr>
      <w:keepNext/>
      <w:keepLines/>
      <w:spacing w:line="276" w:lineRule="auto"/>
      <w:outlineLvl w:val="3"/>
    </w:pPr>
    <w:rPr>
      <w:rFonts w:ascii="Arial" w:eastAsia="MS Gothic" w:hAnsi="Arial"/>
      <w:b/>
      <w:bCs/>
      <w:iCs/>
      <w:color w:val="86BF5E"/>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A0987"/>
    <w:rPr>
      <w:rFonts w:ascii="Arial" w:eastAsia="MS Gothic" w:hAnsi="Arial"/>
      <w:b/>
      <w:bCs/>
      <w:color w:val="86BF5E"/>
      <w:sz w:val="32"/>
      <w:szCs w:val="28"/>
      <w:lang w:eastAsia="cs-CZ"/>
    </w:rPr>
  </w:style>
  <w:style w:type="character" w:customStyle="1" w:styleId="Nadpis2Char">
    <w:name w:val="Nadpis 2 Char"/>
    <w:link w:val="Nadpis2"/>
    <w:uiPriority w:val="9"/>
    <w:rsid w:val="00EA0987"/>
    <w:rPr>
      <w:rFonts w:ascii="Arial" w:eastAsia="MS Gothic" w:hAnsi="Arial"/>
      <w:b/>
      <w:bCs/>
      <w:color w:val="86BF5E"/>
      <w:sz w:val="28"/>
      <w:szCs w:val="26"/>
      <w:lang w:eastAsia="cs-CZ"/>
    </w:rPr>
  </w:style>
  <w:style w:type="character" w:customStyle="1" w:styleId="Nadpis3Char">
    <w:name w:val="Nadpis 3 Char"/>
    <w:link w:val="Nadpis3"/>
    <w:uiPriority w:val="9"/>
    <w:rsid w:val="00EA0987"/>
    <w:rPr>
      <w:rFonts w:ascii="Arial" w:eastAsia="MS Gothic" w:hAnsi="Arial"/>
      <w:b/>
      <w:bCs/>
      <w:color w:val="86BF5E"/>
      <w:sz w:val="24"/>
      <w:szCs w:val="24"/>
      <w:lang w:eastAsia="cs-CZ"/>
    </w:rPr>
  </w:style>
  <w:style w:type="character" w:customStyle="1" w:styleId="Nadpis4Char">
    <w:name w:val="Nadpis 4 Char"/>
    <w:link w:val="Nadpis4"/>
    <w:uiPriority w:val="9"/>
    <w:rsid w:val="0041041D"/>
    <w:rPr>
      <w:rFonts w:ascii="Arial" w:eastAsia="MS Gothic" w:hAnsi="Arial"/>
      <w:b/>
      <w:bCs/>
      <w:iCs/>
      <w:color w:val="86BF5E"/>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0A57D4"/>
    <w:pPr>
      <w:spacing w:after="80" w:line="288" w:lineRule="auto"/>
    </w:pPr>
    <w:rPr>
      <w:rFonts w:ascii="Arial" w:eastAsia="Times New Roman" w:hAnsi="Arial"/>
      <w:b/>
      <w:color w:val="86BF5E"/>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EA0987"/>
    <w:pPr>
      <w:shd w:val="clear" w:color="auto" w:fill="F0F6E9"/>
      <w:spacing w:before="240" w:after="240" w:line="276" w:lineRule="auto"/>
      <w:contextualSpacing/>
      <w:jc w:val="both"/>
    </w:pPr>
    <w:rPr>
      <w:rFonts w:ascii="Arial" w:hAnsi="Arial" w:cs="Arial"/>
      <w:lang w:eastAsia="cs-CZ"/>
    </w:rPr>
  </w:style>
  <w:style w:type="paragraph" w:customStyle="1" w:styleId="A-Box2">
    <w:name w:val="A-Box 2"/>
    <w:next w:val="Normln"/>
    <w:qFormat/>
    <w:rsid w:val="00EA0987"/>
    <w:pPr>
      <w:spacing w:before="240" w:after="240" w:line="276" w:lineRule="auto"/>
      <w:contextualSpacing/>
      <w:jc w:val="both"/>
    </w:pPr>
    <w:rPr>
      <w:rFonts w:ascii="Arial" w:hAnsi="Arial" w:cs="Arial"/>
      <w:color w:val="86BF5E"/>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0A57D4"/>
    <w:pPr>
      <w:spacing w:after="40"/>
      <w:contextualSpacing/>
    </w:pPr>
    <w:rPr>
      <w:b/>
      <w:caps/>
      <w:sz w:val="24"/>
    </w:rPr>
  </w:style>
  <w:style w:type="paragraph" w:customStyle="1" w:styleId="TLKontakty">
    <w:name w:val="TL Kontakty"/>
    <w:qFormat/>
    <w:rsid w:val="000A57D4"/>
    <w:pPr>
      <w:spacing w:after="160" w:line="259" w:lineRule="auto"/>
      <w:contextualSpacing/>
    </w:pPr>
    <w:rPr>
      <w:rFonts w:ascii="Arial" w:eastAsia="Times New Roman" w:hAnsi="Arial"/>
      <w:b/>
      <w:color w:val="86BF5E"/>
      <w:lang w:eastAsia="cs-CZ"/>
    </w:rPr>
  </w:style>
  <w:style w:type="paragraph" w:styleId="Nzev">
    <w:name w:val="Title"/>
    <w:link w:val="NzevChar"/>
    <w:uiPriority w:val="10"/>
    <w:qFormat/>
    <w:rsid w:val="001E6062"/>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1E6062"/>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1E6062"/>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1E6062"/>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EA0987"/>
    <w:pPr>
      <w:shd w:val="clear" w:color="auto" w:fill="F0F6E9"/>
      <w:spacing w:before="240" w:after="240" w:line="276" w:lineRule="auto"/>
      <w:ind w:left="709"/>
      <w:contextualSpacing/>
      <w:jc w:val="both"/>
    </w:pPr>
    <w:rPr>
      <w:rFonts w:ascii="Arial" w:hAnsi="Arial" w:cs="Arial"/>
      <w:lang w:eastAsia="cs-CZ"/>
    </w:rPr>
  </w:style>
  <w:style w:type="paragraph" w:customStyle="1" w:styleId="Box2">
    <w:name w:val="Box 2"/>
    <w:next w:val="Normln"/>
    <w:qFormat/>
    <w:rsid w:val="00EA0987"/>
    <w:pPr>
      <w:spacing w:before="240" w:after="240" w:line="276" w:lineRule="auto"/>
      <w:ind w:left="709"/>
      <w:contextualSpacing/>
      <w:jc w:val="both"/>
    </w:pPr>
    <w:rPr>
      <w:rFonts w:ascii="Arial" w:hAnsi="Arial" w:cs="Arial"/>
      <w:b/>
      <w:color w:val="86BF5E"/>
      <w:lang w:eastAsia="cs-CZ"/>
    </w:rPr>
  </w:style>
  <w:style w:type="character" w:styleId="Zdraznnintenzivn">
    <w:name w:val="Intense Emphasis"/>
    <w:basedOn w:val="Standardnpsmoodstavce"/>
    <w:uiPriority w:val="21"/>
    <w:qFormat/>
    <w:rsid w:val="001E6062"/>
    <w:rPr>
      <w:i/>
      <w:iCs/>
      <w:color w:val="000000" w:themeColor="text1"/>
    </w:rPr>
  </w:style>
  <w:style w:type="character" w:styleId="Odkazintenzivn">
    <w:name w:val="Intense Reference"/>
    <w:basedOn w:val="Standardnpsmoodstavce"/>
    <w:uiPriority w:val="32"/>
    <w:qFormat/>
    <w:rsid w:val="001E6062"/>
    <w:rPr>
      <w:b/>
      <w:bCs/>
      <w:smallCaps/>
      <w:color w:val="000000" w:themeColor="text1"/>
      <w:spacing w:val="5"/>
    </w:rPr>
  </w:style>
  <w:style w:type="character" w:styleId="Znakapoznpodarou">
    <w:name w:val="footnote reference"/>
    <w:basedOn w:val="Standardnpsmoodstavce"/>
    <w:rsid w:val="00E063CE"/>
    <w:rPr>
      <w:rFonts w:cs="Times New Roman"/>
      <w:vertAlign w:val="superscript"/>
    </w:rPr>
  </w:style>
  <w:style w:type="paragraph" w:customStyle="1" w:styleId="Nadpis11">
    <w:name w:val="Nadpis 11"/>
    <w:basedOn w:val="Normln"/>
    <w:uiPriority w:val="9"/>
    <w:qFormat/>
    <w:rsid w:val="008A6CB4"/>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8A6CB4"/>
    <w:pPr>
      <w:spacing w:after="0" w:line="240" w:lineRule="auto"/>
      <w:jc w:val="left"/>
    </w:pPr>
    <w:rPr>
      <w:rFonts w:eastAsia="Calibri"/>
      <w:szCs w:val="20"/>
    </w:rPr>
  </w:style>
  <w:style w:type="character" w:styleId="Zdraznn">
    <w:name w:val="Emphasis"/>
    <w:basedOn w:val="Standardnpsmoodstavce"/>
    <w:uiPriority w:val="20"/>
    <w:qFormat/>
    <w:rsid w:val="00C4431F"/>
    <w:rPr>
      <w:i/>
      <w:iCs/>
    </w:rPr>
  </w:style>
  <w:style w:type="character" w:customStyle="1" w:styleId="normaltextrun">
    <w:name w:val="normaltextrun"/>
    <w:basedOn w:val="Standardnpsmoodstavce"/>
    <w:rsid w:val="00C4431F"/>
  </w:style>
  <w:style w:type="paragraph" w:customStyle="1" w:styleId="paragraph">
    <w:name w:val="paragraph"/>
    <w:basedOn w:val="Normln"/>
    <w:rsid w:val="00C4431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C4431F"/>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12676334">
      <w:bodyDiv w:val="1"/>
      <w:marLeft w:val="0"/>
      <w:marRight w:val="0"/>
      <w:marTop w:val="0"/>
      <w:marBottom w:val="0"/>
      <w:divBdr>
        <w:top w:val="none" w:sz="0" w:space="0" w:color="auto"/>
        <w:left w:val="none" w:sz="0" w:space="0" w:color="auto"/>
        <w:bottom w:val="none" w:sz="0" w:space="0" w:color="auto"/>
        <w:right w:val="none" w:sz="0" w:space="0" w:color="auto"/>
      </w:divBdr>
    </w:div>
    <w:div w:id="243729605">
      <w:bodyDiv w:val="1"/>
      <w:marLeft w:val="0"/>
      <w:marRight w:val="0"/>
      <w:marTop w:val="0"/>
      <w:marBottom w:val="0"/>
      <w:divBdr>
        <w:top w:val="none" w:sz="0" w:space="0" w:color="auto"/>
        <w:left w:val="none" w:sz="0" w:space="0" w:color="auto"/>
        <w:bottom w:val="none" w:sz="0" w:space="0" w:color="auto"/>
        <w:right w:val="none" w:sz="0" w:space="0" w:color="auto"/>
      </w:divBdr>
    </w:div>
    <w:div w:id="25501563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8745877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3518353">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76136441">
      <w:bodyDiv w:val="1"/>
      <w:marLeft w:val="0"/>
      <w:marRight w:val="0"/>
      <w:marTop w:val="0"/>
      <w:marBottom w:val="0"/>
      <w:divBdr>
        <w:top w:val="none" w:sz="0" w:space="0" w:color="auto"/>
        <w:left w:val="none" w:sz="0" w:space="0" w:color="auto"/>
        <w:bottom w:val="none" w:sz="0" w:space="0" w:color="auto"/>
        <w:right w:val="none" w:sz="0" w:space="0" w:color="auto"/>
      </w:divBdr>
    </w:div>
    <w:div w:id="128300063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5696265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2/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2/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2/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1'!$C$9:$C$30</c:f>
              <c:numCache>
                <c:formatCode>0.0</c:formatCode>
                <c:ptCount val="22"/>
                <c:pt idx="0">
                  <c:v>3.4189856936099829</c:v>
                </c:pt>
                <c:pt idx="1">
                  <c:v>3.6131741333642537</c:v>
                </c:pt>
                <c:pt idx="2">
                  <c:v>3.6825803056472921</c:v>
                </c:pt>
                <c:pt idx="3">
                  <c:v>3.3199919158713271</c:v>
                </c:pt>
                <c:pt idx="4">
                  <c:v>-1.5501786832516729</c:v>
                </c:pt>
                <c:pt idx="5">
                  <c:v>-10.594932915034789</c:v>
                </c:pt>
                <c:pt idx="6">
                  <c:v>-4.7011751782364399</c:v>
                </c:pt>
                <c:pt idx="7">
                  <c:v>-4.4366398308301314</c:v>
                </c:pt>
                <c:pt idx="8">
                  <c:v>-1.2288638498452684</c:v>
                </c:pt>
                <c:pt idx="9">
                  <c:v>9.7404575003667162</c:v>
                </c:pt>
                <c:pt idx="10">
                  <c:v>3.9736849039729805</c:v>
                </c:pt>
                <c:pt idx="11">
                  <c:v>3.9029603596385698</c:v>
                </c:pt>
                <c:pt idx="12">
                  <c:v>4.8437098358771209</c:v>
                </c:pt>
                <c:pt idx="13">
                  <c:v>3.6483773841026448</c:v>
                </c:pt>
                <c:pt idx="14">
                  <c:v>2.0520198238941418</c:v>
                </c:pt>
                <c:pt idx="15">
                  <c:v>0.95157210327245423</c:v>
                </c:pt>
                <c:pt idx="16">
                  <c:v>0.28194122653326303</c:v>
                </c:pt>
                <c:pt idx="17">
                  <c:v>0.17520468854441162</c:v>
                </c:pt>
                <c:pt idx="18" formatCode="General">
                  <c:v>-0.36641834862845712</c:v>
                </c:pt>
                <c:pt idx="19" formatCode="General">
                  <c:v>4.80414775099689E-2</c:v>
                </c:pt>
                <c:pt idx="20" formatCode="General">
                  <c:v>0.40552379101710301</c:v>
                </c:pt>
                <c:pt idx="21" formatCode="General">
                  <c:v>0.59788490150663165</c:v>
                </c:pt>
              </c:numCache>
            </c:numRef>
          </c:val>
          <c:extLst>
            <c:ext xmlns:c16="http://schemas.microsoft.com/office/drawing/2014/chart" uri="{C3380CC4-5D6E-409C-BE32-E72D297353CC}">
              <c16:uniqueId val="{00000000-7B1E-42FF-9439-67EDE5EA3A91}"/>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1'!$D$9:$D$30</c:f>
              <c:numCache>
                <c:formatCode>#\ ##0.0</c:formatCode>
                <c:ptCount val="22"/>
                <c:pt idx="0" formatCode="#\ ##0.##########">
                  <c:v>2</c:v>
                </c:pt>
                <c:pt idx="1">
                  <c:v>2</c:v>
                </c:pt>
                <c:pt idx="2" formatCode="#\ ##0.##########">
                  <c:v>2.1</c:v>
                </c:pt>
                <c:pt idx="3" formatCode="#\ ##0.##########">
                  <c:v>1.4</c:v>
                </c:pt>
                <c:pt idx="4" formatCode="#\ ##0.##########">
                  <c:v>-2.2999999999999998</c:v>
                </c:pt>
                <c:pt idx="5" formatCode="#\ ##0.##########">
                  <c:v>-13.2</c:v>
                </c:pt>
                <c:pt idx="6" formatCode="#\ ##0.##########">
                  <c:v>-4</c:v>
                </c:pt>
                <c:pt idx="7" formatCode="#\ ##0.##########">
                  <c:v>-3.7</c:v>
                </c:pt>
                <c:pt idx="8" formatCode="#\ ##0.##########">
                  <c:v>0</c:v>
                </c:pt>
                <c:pt idx="9" formatCode="#\ ##0.##########">
                  <c:v>14.6</c:v>
                </c:pt>
                <c:pt idx="10" formatCode="#\ ##0.##########">
                  <c:v>5.2</c:v>
                </c:pt>
                <c:pt idx="11" formatCode="#\ ##0.##########">
                  <c:v>5.8</c:v>
                </c:pt>
                <c:pt idx="12" formatCode="#\ ##0.##########">
                  <c:v>5.5</c:v>
                </c:pt>
                <c:pt idx="13" formatCode="#\ ##0.##########">
                  <c:v>4</c:v>
                </c:pt>
                <c:pt idx="14" formatCode="#\ ##0.##########">
                  <c:v>2.6</c:v>
                </c:pt>
                <c:pt idx="15" formatCode="#\ ##0.##########">
                  <c:v>1.5</c:v>
                </c:pt>
                <c:pt idx="16" formatCode="#\ ##0.##########">
                  <c:v>1.2</c:v>
                </c:pt>
                <c:pt idx="17" formatCode="#\ ##0.##########">
                  <c:v>0.5</c:v>
                </c:pt>
                <c:pt idx="18" formatCode="#\ ##0.##########">
                  <c:v>0.1</c:v>
                </c:pt>
                <c:pt idx="19" formatCode="#\ ##0.##########">
                  <c:v>0.4</c:v>
                </c:pt>
                <c:pt idx="20" formatCode="#\ ##0.##########">
                  <c:v>0.7</c:v>
                </c:pt>
                <c:pt idx="21" formatCode="#\ ##0.##########">
                  <c:v>0.8</c:v>
                </c:pt>
              </c:numCache>
            </c:numRef>
          </c:val>
          <c:extLst>
            <c:ext xmlns:c16="http://schemas.microsoft.com/office/drawing/2014/chart" uri="{C3380CC4-5D6E-409C-BE32-E72D297353CC}">
              <c16:uniqueId val="{00000001-7B1E-42FF-9439-67EDE5EA3A91}"/>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1'!$E$9:$E$30</c:f>
              <c:numCache>
                <c:formatCode>0.0</c:formatCode>
                <c:ptCount val="22"/>
                <c:pt idx="0">
                  <c:v>1.3072240756125382</c:v>
                </c:pt>
                <c:pt idx="1">
                  <c:v>0.49696583288741181</c:v>
                </c:pt>
                <c:pt idx="2">
                  <c:v>0.73496507853789694</c:v>
                </c:pt>
                <c:pt idx="3">
                  <c:v>0.74204395610576057</c:v>
                </c:pt>
                <c:pt idx="4">
                  <c:v>-3.4680711506351827</c:v>
                </c:pt>
                <c:pt idx="5">
                  <c:v>-8.7358630828085069</c:v>
                </c:pt>
                <c:pt idx="6">
                  <c:v>7.3756119585801656</c:v>
                </c:pt>
                <c:pt idx="7">
                  <c:v>1.0216888693163071</c:v>
                </c:pt>
                <c:pt idx="8">
                  <c:v>-0.22778321796964462</c:v>
                </c:pt>
                <c:pt idx="9">
                  <c:v>1.3997462117176838</c:v>
                </c:pt>
                <c:pt idx="10">
                  <c:v>1.7331100894615759</c:v>
                </c:pt>
                <c:pt idx="11">
                  <c:v>0.95297231935684579</c:v>
                </c:pt>
                <c:pt idx="12">
                  <c:v>0.67556602593998605</c:v>
                </c:pt>
                <c:pt idx="13">
                  <c:v>0.24367869523720742</c:v>
                </c:pt>
                <c:pt idx="14">
                  <c:v>0.16625083402912821</c:v>
                </c:pt>
                <c:pt idx="15">
                  <c:v>-0.13562414811659096</c:v>
                </c:pt>
                <c:pt idx="16">
                  <c:v>7.7659497292046353E-3</c:v>
                </c:pt>
                <c:pt idx="17">
                  <c:v>0.13698288252822977</c:v>
                </c:pt>
                <c:pt idx="18" formatCode="General">
                  <c:v>-0.37532379182387388</c:v>
                </c:pt>
                <c:pt idx="19" formatCode="General">
                  <c:v>0.27979574512603733</c:v>
                </c:pt>
                <c:pt idx="20" formatCode="General">
                  <c:v>0.36510435448376199</c:v>
                </c:pt>
                <c:pt idx="21" formatCode="General">
                  <c:v>0.32882951109067449</c:v>
                </c:pt>
              </c:numCache>
            </c:numRef>
          </c:val>
          <c:smooth val="0"/>
          <c:extLst>
            <c:ext xmlns:c16="http://schemas.microsoft.com/office/drawing/2014/chart" uri="{C3380CC4-5D6E-409C-BE32-E72D297353CC}">
              <c16:uniqueId val="{00000002-7B1E-42FF-9439-67EDE5EA3A91}"/>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1'!$F$9:$F$30</c:f>
              <c:numCache>
                <c:formatCode>#\ ##0.##########</c:formatCode>
                <c:ptCount val="22"/>
                <c:pt idx="0">
                  <c:v>0.7</c:v>
                </c:pt>
                <c:pt idx="1">
                  <c:v>0.4</c:v>
                </c:pt>
                <c:pt idx="2">
                  <c:v>0.3</c:v>
                </c:pt>
                <c:pt idx="3" formatCode="#\ ##0.0">
                  <c:v>0</c:v>
                </c:pt>
                <c:pt idx="4">
                  <c:v>-3.1</c:v>
                </c:pt>
                <c:pt idx="5">
                  <c:v>-10.7</c:v>
                </c:pt>
                <c:pt idx="6">
                  <c:v>10.8</c:v>
                </c:pt>
                <c:pt idx="7">
                  <c:v>0.4</c:v>
                </c:pt>
                <c:pt idx="8">
                  <c:v>0.7</c:v>
                </c:pt>
                <c:pt idx="9">
                  <c:v>2.2999999999999998</c:v>
                </c:pt>
                <c:pt idx="10">
                  <c:v>1.8</c:v>
                </c:pt>
                <c:pt idx="11">
                  <c:v>0.9</c:v>
                </c:pt>
                <c:pt idx="12">
                  <c:v>0.4</c:v>
                </c:pt>
                <c:pt idx="13">
                  <c:v>0.8</c:v>
                </c:pt>
                <c:pt idx="14">
                  <c:v>0.5</c:v>
                </c:pt>
                <c:pt idx="15">
                  <c:v>-0.2</c:v>
                </c:pt>
                <c:pt idx="16">
                  <c:v>0.1</c:v>
                </c:pt>
                <c:pt idx="17">
                  <c:v>0.1</c:v>
                </c:pt>
                <c:pt idx="18">
                  <c:v>0.2</c:v>
                </c:pt>
                <c:pt idx="19">
                  <c:v>0.1</c:v>
                </c:pt>
                <c:pt idx="20">
                  <c:v>0.3</c:v>
                </c:pt>
                <c:pt idx="21">
                  <c:v>0.2</c:v>
                </c:pt>
              </c:numCache>
            </c:numRef>
          </c:val>
          <c:smooth val="0"/>
          <c:extLst>
            <c:ext xmlns:c16="http://schemas.microsoft.com/office/drawing/2014/chart" uri="{C3380CC4-5D6E-409C-BE32-E72D297353CC}">
              <c16:uniqueId val="{00000003-7B1E-42FF-9439-67EDE5EA3A91}"/>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72E-2"/>
          <c:y val="2.8458510079622041E-2"/>
          <c:w val="0.93688386524822698"/>
          <c:h val="0.674766689181583"/>
        </c:manualLayout>
      </c:layout>
      <c:barChart>
        <c:barDir val="col"/>
        <c:grouping val="stacked"/>
        <c:varyColors val="0"/>
        <c:ser>
          <c:idx val="1"/>
          <c:order val="1"/>
          <c:tx>
            <c:strRef>
              <c:f>'souhrnná výkonnost 3'!$F$5</c:f>
              <c:strCache>
                <c:ptCount val="1"/>
                <c:pt idx="0">
                  <c:v>Bilance zahraničního obchodu</c:v>
                </c:pt>
              </c:strCache>
            </c:strRef>
          </c:tx>
          <c:spPr>
            <a:solidFill>
              <a:srgbClr val="7DBB2D"/>
            </a:solidFill>
            <a:ln>
              <a:noFill/>
            </a:ln>
          </c:spPr>
          <c:invertIfNegative val="0"/>
          <c:cat>
            <c:multiLvlStrRef>
              <c:f>'souhrnná výkonnost 3'!$A$10:$B$31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3'!$F$10:$F$31</c:f>
              <c:numCache>
                <c:formatCode>#\ ##0.0</c:formatCode>
                <c:ptCount val="22"/>
                <c:pt idx="0">
                  <c:v>-6.5470917658757233E-2</c:v>
                </c:pt>
                <c:pt idx="1">
                  <c:v>1.4494397815262756</c:v>
                </c:pt>
                <c:pt idx="2">
                  <c:v>1.5195209307104758</c:v>
                </c:pt>
                <c:pt idx="3">
                  <c:v>-1.1386552968129167</c:v>
                </c:pt>
                <c:pt idx="4">
                  <c:v>-1.5054961152095407</c:v>
                </c:pt>
                <c:pt idx="5">
                  <c:v>-8.5652935026312527</c:v>
                </c:pt>
                <c:pt idx="6">
                  <c:v>-0.91701615307186901</c:v>
                </c:pt>
                <c:pt idx="7">
                  <c:v>1.6441945082634004</c:v>
                </c:pt>
                <c:pt idx="8">
                  <c:v>0.90880127021110435</c:v>
                </c:pt>
                <c:pt idx="9">
                  <c:v>6.1241413511473954</c:v>
                </c:pt>
                <c:pt idx="10">
                  <c:v>-3.6522086207896325</c:v>
                </c:pt>
                <c:pt idx="11">
                  <c:v>-3.5019135769376746</c:v>
                </c:pt>
                <c:pt idx="12">
                  <c:v>-1.6832006565895616</c:v>
                </c:pt>
                <c:pt idx="13">
                  <c:v>-0.38063781264152324</c:v>
                </c:pt>
                <c:pt idx="14">
                  <c:v>3.4082391189390329</c:v>
                </c:pt>
                <c:pt idx="15">
                  <c:v>1.4700226511684522</c:v>
                </c:pt>
                <c:pt idx="16">
                  <c:v>0.99148226513822213</c:v>
                </c:pt>
                <c:pt idx="17">
                  <c:v>1.5486267337540118</c:v>
                </c:pt>
                <c:pt idx="18">
                  <c:v>-0.56176321449408673</c:v>
                </c:pt>
                <c:pt idx="19">
                  <c:v>1.6209759868613789</c:v>
                </c:pt>
                <c:pt idx="20">
                  <c:v>0.69612604798797073</c:v>
                </c:pt>
                <c:pt idx="21">
                  <c:v>0.25076561158815475</c:v>
                </c:pt>
              </c:numCache>
            </c:numRef>
          </c:val>
          <c:extLst>
            <c:ext xmlns:c16="http://schemas.microsoft.com/office/drawing/2014/chart" uri="{C3380CC4-5D6E-409C-BE32-E72D297353CC}">
              <c16:uniqueId val="{00000000-FF98-4D47-93DB-6C37A136F13B}"/>
            </c:ext>
          </c:extLst>
        </c:ser>
        <c:ser>
          <c:idx val="2"/>
          <c:order val="2"/>
          <c:tx>
            <c:strRef>
              <c:f>'souhrnná výkonnost 3'!$H$5</c:f>
              <c:strCache>
                <c:ptCount val="1"/>
                <c:pt idx="0">
                  <c:v>Změna zásob</c:v>
                </c:pt>
              </c:strCache>
            </c:strRef>
          </c:tx>
          <c:spPr>
            <a:solidFill>
              <a:srgbClr val="E8AFB2"/>
            </a:solidFill>
            <a:ln>
              <a:noFill/>
            </a:ln>
          </c:spPr>
          <c:invertIfNegative val="0"/>
          <c:cat>
            <c:multiLvlStrRef>
              <c:f>'souhrnná výkonnost 3'!$A$10:$B$31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3'!$H$10:$H$31</c:f>
              <c:numCache>
                <c:formatCode>#\ ##0.0</c:formatCode>
                <c:ptCount val="22"/>
                <c:pt idx="0">
                  <c:v>-3.4866839032703018E-2</c:v>
                </c:pt>
                <c:pt idx="1">
                  <c:v>-1.2132673218827679</c:v>
                </c:pt>
                <c:pt idx="2">
                  <c:v>-0.61640554015347904</c:v>
                </c:pt>
                <c:pt idx="3">
                  <c:v>1.8990615757299063</c:v>
                </c:pt>
                <c:pt idx="4">
                  <c:v>-0.40340689033643334</c:v>
                </c:pt>
                <c:pt idx="5">
                  <c:v>0.49746610716149775</c:v>
                </c:pt>
                <c:pt idx="6">
                  <c:v>-1.2095977156527358</c:v>
                </c:pt>
                <c:pt idx="7">
                  <c:v>-2.2124027001017974</c:v>
                </c:pt>
                <c:pt idx="8">
                  <c:v>0.41264966656715685</c:v>
                </c:pt>
                <c:pt idx="9">
                  <c:v>0.57206005966288764</c:v>
                </c:pt>
                <c:pt idx="10">
                  <c:v>2.5716584196045451</c:v>
                </c:pt>
                <c:pt idx="11">
                  <c:v>1.3737502139548177</c:v>
                </c:pt>
                <c:pt idx="12">
                  <c:v>0.60915917645428064</c:v>
                </c:pt>
                <c:pt idx="13">
                  <c:v>1.6317613698141713</c:v>
                </c:pt>
                <c:pt idx="14">
                  <c:v>-0.7854278742999391</c:v>
                </c:pt>
                <c:pt idx="15">
                  <c:v>1.1886488133455297</c:v>
                </c:pt>
                <c:pt idx="16">
                  <c:v>0.43754644515722213</c:v>
                </c:pt>
                <c:pt idx="17">
                  <c:v>-1.3395842037813757</c:v>
                </c:pt>
                <c:pt idx="18">
                  <c:v>-0.1743829959855602</c:v>
                </c:pt>
                <c:pt idx="19">
                  <c:v>-3.4468378946903475</c:v>
                </c:pt>
                <c:pt idx="20">
                  <c:v>-2.7750590345431041</c:v>
                </c:pt>
                <c:pt idx="21">
                  <c:v>-2.1215853051269069</c:v>
                </c:pt>
              </c:numCache>
            </c:numRef>
          </c:val>
          <c:extLst>
            <c:ext xmlns:c16="http://schemas.microsoft.com/office/drawing/2014/chart" uri="{C3380CC4-5D6E-409C-BE32-E72D297353CC}">
              <c16:uniqueId val="{00000001-FF98-4D47-93DB-6C37A136F13B}"/>
            </c:ext>
          </c:extLst>
        </c:ser>
        <c:ser>
          <c:idx val="3"/>
          <c:order val="3"/>
          <c:tx>
            <c:strRef>
              <c:f>'souhrnná výkonnost 3'!$G$5</c:f>
              <c:strCache>
                <c:ptCount val="1"/>
                <c:pt idx="0">
                  <c:v>Tvorba hrubého fixního kapitálu</c:v>
                </c:pt>
              </c:strCache>
            </c:strRef>
          </c:tx>
          <c:spPr>
            <a:solidFill>
              <a:srgbClr val="BD1B21"/>
            </a:solidFill>
            <a:ln>
              <a:noFill/>
            </a:ln>
          </c:spPr>
          <c:invertIfNegative val="0"/>
          <c:cat>
            <c:multiLvlStrRef>
              <c:f>'souhrnná výkonnost 3'!$A$10:$B$31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3'!$G$10:$G$31</c:f>
              <c:numCache>
                <c:formatCode>#\ ##0.0</c:formatCode>
                <c:ptCount val="22"/>
                <c:pt idx="0">
                  <c:v>1.8598270900589082</c:v>
                </c:pt>
                <c:pt idx="1">
                  <c:v>1.4526192483422518</c:v>
                </c:pt>
                <c:pt idx="2">
                  <c:v>1.0268088605058701</c:v>
                </c:pt>
                <c:pt idx="3">
                  <c:v>0.94075204306872073</c:v>
                </c:pt>
                <c:pt idx="4">
                  <c:v>-0.26111659305967005</c:v>
                </c:pt>
                <c:pt idx="5">
                  <c:v>0.14044234588323487</c:v>
                </c:pt>
                <c:pt idx="6">
                  <c:v>-1.1114194663634265</c:v>
                </c:pt>
                <c:pt idx="7">
                  <c:v>-1.2151629007980278</c:v>
                </c:pt>
                <c:pt idx="8">
                  <c:v>0.15781509790362799</c:v>
                </c:pt>
                <c:pt idx="9">
                  <c:v>7.3809702465127386E-2</c:v>
                </c:pt>
                <c:pt idx="10">
                  <c:v>1.9668146761327152</c:v>
                </c:pt>
                <c:pt idx="11">
                  <c:v>2.0385637566612256</c:v>
                </c:pt>
                <c:pt idx="12">
                  <c:v>2.1230773688868037</c:v>
                </c:pt>
                <c:pt idx="13">
                  <c:v>1.491294141336414</c:v>
                </c:pt>
                <c:pt idx="14">
                  <c:v>0.94577481141240172</c:v>
                </c:pt>
                <c:pt idx="15">
                  <c:v>0.73322343987834782</c:v>
                </c:pt>
                <c:pt idx="16">
                  <c:v>0.48881397191410297</c:v>
                </c:pt>
                <c:pt idx="17">
                  <c:v>0.90164501226850025</c:v>
                </c:pt>
                <c:pt idx="18">
                  <c:v>0.75955977787894569</c:v>
                </c:pt>
                <c:pt idx="19">
                  <c:v>0.85240290842308564</c:v>
                </c:pt>
                <c:pt idx="20">
                  <c:v>0.28189570227017335</c:v>
                </c:pt>
                <c:pt idx="21">
                  <c:v>0.3904116856916714</c:v>
                </c:pt>
              </c:numCache>
            </c:numRef>
          </c:val>
          <c:extLst>
            <c:ext xmlns:c16="http://schemas.microsoft.com/office/drawing/2014/chart" uri="{C3380CC4-5D6E-409C-BE32-E72D297353CC}">
              <c16:uniqueId val="{00000002-FF98-4D47-93DB-6C37A136F13B}"/>
            </c:ext>
          </c:extLst>
        </c:ser>
        <c:ser>
          <c:idx val="5"/>
          <c:order val="4"/>
          <c:tx>
            <c:strRef>
              <c:f>'souhrnná výkonnost 3'!$D$5</c:f>
              <c:strCache>
                <c:ptCount val="1"/>
                <c:pt idx="0">
                  <c:v>Výdaje na konečnou spotřebu domácností (vč. nezisk. inst.)</c:v>
                </c:pt>
              </c:strCache>
            </c:strRef>
          </c:tx>
          <c:spPr>
            <a:solidFill>
              <a:srgbClr val="0071BC"/>
            </a:solidFill>
            <a:ln>
              <a:noFill/>
            </a:ln>
          </c:spPr>
          <c:invertIfNegative val="0"/>
          <c:cat>
            <c:multiLvlStrRef>
              <c:f>'souhrnná výkonnost 3'!$A$10:$B$31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3'!$D$10:$D$31</c:f>
              <c:numCache>
                <c:formatCode>#\ ##0.0</c:formatCode>
                <c:ptCount val="22"/>
                <c:pt idx="0">
                  <c:v>1.0610692201073992</c:v>
                </c:pt>
                <c:pt idx="1">
                  <c:v>1.3164628896440984</c:v>
                </c:pt>
                <c:pt idx="2">
                  <c:v>1.1800657067488651</c:v>
                </c:pt>
                <c:pt idx="3">
                  <c:v>1.3325646204971666</c:v>
                </c:pt>
                <c:pt idx="4">
                  <c:v>-0.23982287166550567</c:v>
                </c:pt>
                <c:pt idx="5">
                  <c:v>-3.2567035122644712</c:v>
                </c:pt>
                <c:pt idx="6">
                  <c:v>-1.7740710022653541</c:v>
                </c:pt>
                <c:pt idx="7">
                  <c:v>-4.0888509658039061</c:v>
                </c:pt>
                <c:pt idx="8">
                  <c:v>-2.6303429796363247</c:v>
                </c:pt>
                <c:pt idx="9">
                  <c:v>3.0130078291252413</c:v>
                </c:pt>
                <c:pt idx="10">
                  <c:v>1.9847068901687128</c:v>
                </c:pt>
                <c:pt idx="11">
                  <c:v>3.7365176773416033</c:v>
                </c:pt>
                <c:pt idx="12">
                  <c:v>3.2910440059520569</c:v>
                </c:pt>
                <c:pt idx="13">
                  <c:v>0.17808535886856292</c:v>
                </c:pt>
                <c:pt idx="14">
                  <c:v>-1.2688125161868617</c:v>
                </c:pt>
                <c:pt idx="15">
                  <c:v>-2.1014518367129482</c:v>
                </c:pt>
                <c:pt idx="16">
                  <c:v>-2.3008050226579631</c:v>
                </c:pt>
                <c:pt idx="17">
                  <c:v>-1.4637608387691794</c:v>
                </c:pt>
                <c:pt idx="18">
                  <c:v>-1.0832185050335068</c:v>
                </c:pt>
                <c:pt idx="19">
                  <c:v>0.19677657995487863</c:v>
                </c:pt>
                <c:pt idx="20">
                  <c:v>1.5774431462536993</c:v>
                </c:pt>
                <c:pt idx="21">
                  <c:v>1.1764624308243887</c:v>
                </c:pt>
              </c:numCache>
            </c:numRef>
          </c:val>
          <c:extLst>
            <c:ext xmlns:c16="http://schemas.microsoft.com/office/drawing/2014/chart" uri="{C3380CC4-5D6E-409C-BE32-E72D297353CC}">
              <c16:uniqueId val="{00000003-FF98-4D47-93DB-6C37A136F13B}"/>
            </c:ext>
          </c:extLst>
        </c:ser>
        <c:ser>
          <c:idx val="4"/>
          <c:order val="5"/>
          <c:tx>
            <c:strRef>
              <c:f>'souhrnná výkonnost 3'!$E$5</c:f>
              <c:strCache>
                <c:ptCount val="1"/>
                <c:pt idx="0">
                  <c:v>Výdaje na konečnou spotřebu vládních institucí</c:v>
                </c:pt>
              </c:strCache>
            </c:strRef>
          </c:tx>
          <c:spPr>
            <a:solidFill>
              <a:srgbClr val="A6CDE8"/>
            </a:solidFill>
            <a:ln>
              <a:noFill/>
            </a:ln>
          </c:spPr>
          <c:invertIfNegative val="0"/>
          <c:cat>
            <c:multiLvlStrRef>
              <c:f>'souhrnná výkonnost 3'!$A$10:$B$31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3'!$E$10:$E$31</c:f>
              <c:numCache>
                <c:formatCode>#\ ##0.0</c:formatCode>
                <c:ptCount val="22"/>
                <c:pt idx="0">
                  <c:v>0.5237387061012525</c:v>
                </c:pt>
                <c:pt idx="1">
                  <c:v>0.54525241929613355</c:v>
                </c:pt>
                <c:pt idx="2">
                  <c:v>0.5339085366840679</c:v>
                </c:pt>
                <c:pt idx="3">
                  <c:v>0.27804053199918471</c:v>
                </c:pt>
                <c:pt idx="4">
                  <c:v>0.85273575497086651</c:v>
                </c:pt>
                <c:pt idx="5">
                  <c:v>0.57219907272847104</c:v>
                </c:pt>
                <c:pt idx="6">
                  <c:v>0.31382004358461818</c:v>
                </c:pt>
                <c:pt idx="7">
                  <c:v>1.4192241054465726</c:v>
                </c:pt>
                <c:pt idx="8">
                  <c:v>-0.12340214907979793</c:v>
                </c:pt>
                <c:pt idx="9">
                  <c:v>-7.2907474861005697E-2</c:v>
                </c:pt>
                <c:pt idx="10">
                  <c:v>1.0007140837254218</c:v>
                </c:pt>
                <c:pt idx="11">
                  <c:v>8.8247719969204733E-2</c:v>
                </c:pt>
                <c:pt idx="12">
                  <c:v>0.3718169761837895</c:v>
                </c:pt>
                <c:pt idx="13">
                  <c:v>0.57371034145730837</c:v>
                </c:pt>
                <c:pt idx="14">
                  <c:v>-0.32873762938072332</c:v>
                </c:pt>
                <c:pt idx="15">
                  <c:v>-0.30389432882498235</c:v>
                </c:pt>
                <c:pt idx="16">
                  <c:v>0.62053959222904465</c:v>
                </c:pt>
                <c:pt idx="17">
                  <c:v>0.55825256660682321</c:v>
                </c:pt>
                <c:pt idx="18">
                  <c:v>0.71530175534262508</c:v>
                </c:pt>
                <c:pt idx="19">
                  <c:v>0.74432066621940163</c:v>
                </c:pt>
                <c:pt idx="20">
                  <c:v>0.64383243200948315</c:v>
                </c:pt>
                <c:pt idx="21">
                  <c:v>0.84131512461671953</c:v>
                </c:pt>
              </c:numCache>
            </c:numRef>
          </c:val>
          <c:extLst>
            <c:ext xmlns:c16="http://schemas.microsoft.com/office/drawing/2014/chart" uri="{C3380CC4-5D6E-409C-BE32-E72D297353CC}">
              <c16:uniqueId val="{00000004-FF98-4D47-93DB-6C37A136F13B}"/>
            </c:ext>
          </c:extLst>
        </c:ser>
        <c:dLbls>
          <c:showLegendKey val="0"/>
          <c:showVal val="0"/>
          <c:showCatName val="0"/>
          <c:showSerName val="0"/>
          <c:showPercent val="0"/>
          <c:showBubbleSize val="0"/>
        </c:dLbls>
        <c:gapWidth val="90"/>
        <c:overlap val="100"/>
        <c:axId val="91325568"/>
        <c:axId val="91327104"/>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3'!$C$10:$C$31</c:f>
              <c:numCache>
                <c:formatCode>#\ ##0.0</c:formatCode>
                <c:ptCount val="22"/>
                <c:pt idx="0">
                  <c:v>3.4189743822717418</c:v>
                </c:pt>
                <c:pt idx="1">
                  <c:v>3.6132085037347386</c:v>
                </c:pt>
                <c:pt idx="2">
                  <c:v>3.68258658026825</c:v>
                </c:pt>
                <c:pt idx="3">
                  <c:v>3.3200025771466808</c:v>
                </c:pt>
                <c:pt idx="4">
                  <c:v>-1.5502005609675256</c:v>
                </c:pt>
                <c:pt idx="5">
                  <c:v>-10.59491049724622</c:v>
                </c:pt>
                <c:pt idx="6">
                  <c:v>-4.7011561026820647</c:v>
                </c:pt>
                <c:pt idx="7">
                  <c:v>-4.4366371482296945</c:v>
                </c:pt>
                <c:pt idx="8">
                  <c:v>-1.2288405930294737</c:v>
                </c:pt>
                <c:pt idx="9">
                  <c:v>9.7404194240672251</c:v>
                </c:pt>
                <c:pt idx="10">
                  <c:v>3.973691757539016</c:v>
                </c:pt>
                <c:pt idx="11">
                  <c:v>3.9029621018868275</c:v>
                </c:pt>
                <c:pt idx="12">
                  <c:v>4.8436882638427221</c:v>
                </c:pt>
                <c:pt idx="13">
                  <c:v>3.6483483455527912</c:v>
                </c:pt>
                <c:pt idx="14">
                  <c:v>2.0520278440471884</c:v>
                </c:pt>
                <c:pt idx="15">
                  <c:v>0.95155160469528277</c:v>
                </c:pt>
                <c:pt idx="16">
                  <c:v>0.28193578758093452</c:v>
                </c:pt>
                <c:pt idx="17">
                  <c:v>0.17520415357661542</c:v>
                </c:pt>
                <c:pt idx="18">
                  <c:v>-0.36641485385997918</c:v>
                </c:pt>
                <c:pt idx="19">
                  <c:v>4.8036623275507416E-2</c:v>
                </c:pt>
                <c:pt idx="20">
                  <c:v>0.40555411620755433</c:v>
                </c:pt>
                <c:pt idx="21">
                  <c:v>0.59789277379722661</c:v>
                </c:pt>
              </c:numCache>
            </c:numRef>
          </c:val>
          <c:smooth val="0"/>
          <c:extLst>
            <c:ext xmlns:c16="http://schemas.microsoft.com/office/drawing/2014/chart" uri="{C3380CC4-5D6E-409C-BE32-E72D297353CC}">
              <c16:uniqueId val="{00000005-FF98-4D47-93DB-6C37A136F13B}"/>
            </c:ext>
          </c:extLst>
        </c:ser>
        <c:dLbls>
          <c:showLegendKey val="0"/>
          <c:showVal val="0"/>
          <c:showCatName val="0"/>
          <c:showSerName val="0"/>
          <c:showPercent val="0"/>
          <c:showBubbleSize val="0"/>
        </c:dLbls>
        <c:marker val="1"/>
        <c:smooth val="0"/>
        <c:axId val="91325568"/>
        <c:axId val="91327104"/>
      </c:lineChart>
      <c:catAx>
        <c:axId val="91325568"/>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91327104"/>
        <c:crosses val="autoZero"/>
        <c:auto val="1"/>
        <c:lblAlgn val="ctr"/>
        <c:lblOffset val="100"/>
        <c:noMultiLvlLbl val="0"/>
      </c:catAx>
      <c:valAx>
        <c:axId val="91327104"/>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91325568"/>
        <c:crosses val="autoZero"/>
        <c:crossBetween val="between"/>
        <c:majorUnit val="2"/>
      </c:valAx>
      <c:spPr>
        <a:ln>
          <a:solidFill>
            <a:schemeClr val="tx1"/>
          </a:solidFill>
        </a:ln>
      </c:spPr>
    </c:plotArea>
    <c:legend>
      <c:legendPos val="b"/>
      <c:layout>
        <c:manualLayout>
          <c:xMode val="edge"/>
          <c:yMode val="edge"/>
          <c:x val="4.7571766295170556E-2"/>
          <c:y val="0.81445992344928542"/>
          <c:w val="0.94432624113475172"/>
          <c:h val="0.1748173477428797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75E-2"/>
          <c:y val="2.94998869886235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4'!$C$10:$C$31</c:f>
              <c:numCache>
                <c:formatCode>#\ ##0.0</c:formatCode>
                <c:ptCount val="22"/>
                <c:pt idx="0">
                  <c:v>6.9952669722001024E-2</c:v>
                </c:pt>
                <c:pt idx="1">
                  <c:v>8.1743347593034532E-2</c:v>
                </c:pt>
                <c:pt idx="2">
                  <c:v>0.11063000390967299</c:v>
                </c:pt>
                <c:pt idx="3">
                  <c:v>0.14033996982585203</c:v>
                </c:pt>
                <c:pt idx="4">
                  <c:v>0.15822035579434854</c:v>
                </c:pt>
                <c:pt idx="5">
                  <c:v>0.16572640891485885</c:v>
                </c:pt>
                <c:pt idx="6">
                  <c:v>0.14884192396827553</c:v>
                </c:pt>
                <c:pt idx="7">
                  <c:v>0.10349029376913051</c:v>
                </c:pt>
                <c:pt idx="8">
                  <c:v>-0.20943707470562345</c:v>
                </c:pt>
                <c:pt idx="9">
                  <c:v>-0.3444917944346661</c:v>
                </c:pt>
                <c:pt idx="10">
                  <c:v>-0.32209602561974915</c:v>
                </c:pt>
                <c:pt idx="11">
                  <c:v>-0.29333634112949253</c:v>
                </c:pt>
                <c:pt idx="12">
                  <c:v>1.4650416130809454E-3</c:v>
                </c:pt>
                <c:pt idx="13">
                  <c:v>7.8507188492409397E-2</c:v>
                </c:pt>
                <c:pt idx="14">
                  <c:v>3.9960777137645544E-2</c:v>
                </c:pt>
                <c:pt idx="15">
                  <c:v>-2.0459404335135867E-2</c:v>
                </c:pt>
                <c:pt idx="16">
                  <c:v>-3.2655587870534281E-3</c:v>
                </c:pt>
                <c:pt idx="17">
                  <c:v>-3.3619257921654842E-2</c:v>
                </c:pt>
                <c:pt idx="18">
                  <c:v>-3.1390438780173682E-2</c:v>
                </c:pt>
                <c:pt idx="19">
                  <c:v>-1.8726041672651388E-2</c:v>
                </c:pt>
                <c:pt idx="20">
                  <c:v>2.5899734689125448E-3</c:v>
                </c:pt>
                <c:pt idx="21">
                  <c:v>-3.4539946634848231E-2</c:v>
                </c:pt>
              </c:numCache>
            </c:numRef>
          </c:val>
          <c:extLst>
            <c:ext xmlns:c16="http://schemas.microsoft.com/office/drawing/2014/chart" uri="{C3380CC4-5D6E-409C-BE32-E72D297353CC}">
              <c16:uniqueId val="{00000000-5724-4294-98FB-ED3D9EE27021}"/>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4'!$D$10:$D$31</c:f>
              <c:numCache>
                <c:formatCode>#\ ##0.0</c:formatCode>
                <c:ptCount val="22"/>
                <c:pt idx="0">
                  <c:v>0.79286837781479091</c:v>
                </c:pt>
                <c:pt idx="1">
                  <c:v>1.3034853573072023</c:v>
                </c:pt>
                <c:pt idx="2">
                  <c:v>1.2859805485632667</c:v>
                </c:pt>
                <c:pt idx="3">
                  <c:v>0.76399660901596278</c:v>
                </c:pt>
                <c:pt idx="4">
                  <c:v>-1.0060293651845578</c:v>
                </c:pt>
                <c:pt idx="5">
                  <c:v>-5.8707476654845037</c:v>
                </c:pt>
                <c:pt idx="6">
                  <c:v>-2.1566635032660475</c:v>
                </c:pt>
                <c:pt idx="7">
                  <c:v>-1.5364269842490534</c:v>
                </c:pt>
                <c:pt idx="8">
                  <c:v>-0.81082301657390932</c:v>
                </c:pt>
                <c:pt idx="9">
                  <c:v>3.9743747095561077</c:v>
                </c:pt>
                <c:pt idx="10">
                  <c:v>-0.74888372469617803</c:v>
                </c:pt>
                <c:pt idx="11">
                  <c:v>-0.87291327125667473</c:v>
                </c:pt>
                <c:pt idx="12">
                  <c:v>0.64528350075532692</c:v>
                </c:pt>
                <c:pt idx="13">
                  <c:v>1.5767749269534403</c:v>
                </c:pt>
                <c:pt idx="14">
                  <c:v>2.2578630988104651</c:v>
                </c:pt>
                <c:pt idx="15">
                  <c:v>2.6492927635274892</c:v>
                </c:pt>
                <c:pt idx="16">
                  <c:v>1.5080733306136302</c:v>
                </c:pt>
                <c:pt idx="17">
                  <c:v>0.73424780372392695</c:v>
                </c:pt>
                <c:pt idx="18">
                  <c:v>0.18208075989036032</c:v>
                </c:pt>
                <c:pt idx="19">
                  <c:v>0.32030491527239713</c:v>
                </c:pt>
                <c:pt idx="20">
                  <c:v>-0.40635422888252737</c:v>
                </c:pt>
                <c:pt idx="21">
                  <c:v>-0.65443528808704077</c:v>
                </c:pt>
              </c:numCache>
            </c:numRef>
          </c:val>
          <c:extLst>
            <c:ext xmlns:c16="http://schemas.microsoft.com/office/drawing/2014/chart" uri="{C3380CC4-5D6E-409C-BE32-E72D297353CC}">
              <c16:uniqueId val="{00000001-5724-4294-98FB-ED3D9EE27021}"/>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4'!$E$10:$E$31</c:f>
              <c:numCache>
                <c:formatCode>General</c:formatCode>
                <c:ptCount val="22"/>
                <c:pt idx="0">
                  <c:v>4.5459612013585299E-3</c:v>
                </c:pt>
                <c:pt idx="1">
                  <c:v>-5.4299843239147494E-2</c:v>
                </c:pt>
                <c:pt idx="2">
                  <c:v>-0.26283098752928502</c:v>
                </c:pt>
                <c:pt idx="3">
                  <c:v>-9.8219621966424864E-2</c:v>
                </c:pt>
                <c:pt idx="4">
                  <c:v>-0.1762069639626114</c:v>
                </c:pt>
                <c:pt idx="5">
                  <c:v>-0.24771149792454145</c:v>
                </c:pt>
                <c:pt idx="6">
                  <c:v>-6.0935554321396974E-2</c:v>
                </c:pt>
                <c:pt idx="7">
                  <c:v>6.5525594099085982E-2</c:v>
                </c:pt>
                <c:pt idx="8">
                  <c:v>0.38896231887529864</c:v>
                </c:pt>
                <c:pt idx="9">
                  <c:v>0.46371609807310366</c:v>
                </c:pt>
                <c:pt idx="10">
                  <c:v>0.33807449475314644</c:v>
                </c:pt>
                <c:pt idx="11">
                  <c:v>-5.8765796805848848E-2</c:v>
                </c:pt>
                <c:pt idx="12">
                  <c:v>-0.43983407410669095</c:v>
                </c:pt>
                <c:pt idx="13">
                  <c:v>-0.35269776369716477</c:v>
                </c:pt>
                <c:pt idx="14">
                  <c:v>-0.58798697249592147</c:v>
                </c:pt>
                <c:pt idx="15">
                  <c:v>-0.9136993825126597</c:v>
                </c:pt>
                <c:pt idx="16">
                  <c:v>-1.0565359725214909</c:v>
                </c:pt>
                <c:pt idx="17">
                  <c:v>-1.1922043462900702</c:v>
                </c:pt>
                <c:pt idx="18">
                  <c:v>-1.1433067648135009</c:v>
                </c:pt>
                <c:pt idx="19">
                  <c:v>-0.88617705016962645</c:v>
                </c:pt>
                <c:pt idx="20">
                  <c:v>-0.36173671865889367</c:v>
                </c:pt>
                <c:pt idx="21">
                  <c:v>-5.170335420471197E-2</c:v>
                </c:pt>
              </c:numCache>
            </c:numRef>
          </c:val>
          <c:extLst>
            <c:ext xmlns:c16="http://schemas.microsoft.com/office/drawing/2014/chart" uri="{C3380CC4-5D6E-409C-BE32-E72D297353CC}">
              <c16:uniqueId val="{00000002-5724-4294-98FB-ED3D9EE27021}"/>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4'!$F$10:$F$31</c:f>
              <c:numCache>
                <c:formatCode>#\ ##0.0</c:formatCode>
                <c:ptCount val="22"/>
                <c:pt idx="0">
                  <c:v>-0.15836437304914172</c:v>
                </c:pt>
                <c:pt idx="1">
                  <c:v>-0.12253502255257114</c:v>
                </c:pt>
                <c:pt idx="2">
                  <c:v>-7.1242684146133967E-2</c:v>
                </c:pt>
                <c:pt idx="3">
                  <c:v>-0.10866493986218724</c:v>
                </c:pt>
                <c:pt idx="4">
                  <c:v>-0.30004627661730132</c:v>
                </c:pt>
                <c:pt idx="5">
                  <c:v>-0.48068129994946146</c:v>
                </c:pt>
                <c:pt idx="6">
                  <c:v>-0.45523791005942654</c:v>
                </c:pt>
                <c:pt idx="7">
                  <c:v>-0.43581518565318833</c:v>
                </c:pt>
                <c:pt idx="8">
                  <c:v>-0.33836863825135838</c:v>
                </c:pt>
                <c:pt idx="9">
                  <c:v>-6.7143304167931683E-2</c:v>
                </c:pt>
                <c:pt idx="10">
                  <c:v>-5.8092008458518377E-2</c:v>
                </c:pt>
                <c:pt idx="11">
                  <c:v>-0.10853391292600845</c:v>
                </c:pt>
                <c:pt idx="12">
                  <c:v>-9.0417570306820225E-2</c:v>
                </c:pt>
                <c:pt idx="13">
                  <c:v>-0.27691175914342508</c:v>
                </c:pt>
                <c:pt idx="14">
                  <c:v>-0.42875648302719638</c:v>
                </c:pt>
                <c:pt idx="15">
                  <c:v>-0.37973365169110213</c:v>
                </c:pt>
                <c:pt idx="16">
                  <c:v>-0.17978597945941829</c:v>
                </c:pt>
                <c:pt idx="17">
                  <c:v>-0.15007885157470846</c:v>
                </c:pt>
                <c:pt idx="18">
                  <c:v>-7.2453853961446782E-2</c:v>
                </c:pt>
                <c:pt idx="19">
                  <c:v>-0.1317557694204412</c:v>
                </c:pt>
                <c:pt idx="20">
                  <c:v>-0.20793222116020088</c:v>
                </c:pt>
                <c:pt idx="21">
                  <c:v>-0.12955672564689352</c:v>
                </c:pt>
              </c:numCache>
            </c:numRef>
          </c:val>
          <c:extLst>
            <c:ext xmlns:c16="http://schemas.microsoft.com/office/drawing/2014/chart" uri="{C3380CC4-5D6E-409C-BE32-E72D297353CC}">
              <c16:uniqueId val="{00000003-5724-4294-98FB-ED3D9EE27021}"/>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4'!$G$10:$G$31</c:f>
              <c:numCache>
                <c:formatCode>General</c:formatCode>
                <c:ptCount val="22"/>
                <c:pt idx="0">
                  <c:v>2.7152016193024755</c:v>
                </c:pt>
                <c:pt idx="1">
                  <c:v>2.556889401017743</c:v>
                </c:pt>
                <c:pt idx="2">
                  <c:v>2.5806630267772648</c:v>
                </c:pt>
                <c:pt idx="3">
                  <c:v>2.6155761339131298</c:v>
                </c:pt>
                <c:pt idx="4">
                  <c:v>0.10690342720016333</c:v>
                </c:pt>
                <c:pt idx="5">
                  <c:v>-4.2921319772752948</c:v>
                </c:pt>
                <c:pt idx="6">
                  <c:v>-1.7505754010952781</c:v>
                </c:pt>
                <c:pt idx="7">
                  <c:v>-2.2464479137063273</c:v>
                </c:pt>
                <c:pt idx="8">
                  <c:v>-0.13953156252945553</c:v>
                </c:pt>
                <c:pt idx="9">
                  <c:v>5.9943506299525042</c:v>
                </c:pt>
                <c:pt idx="10">
                  <c:v>4.4243917423347074</c:v>
                </c:pt>
                <c:pt idx="11">
                  <c:v>4.7971483856259507</c:v>
                </c:pt>
                <c:pt idx="12">
                  <c:v>4.2170828841115204</c:v>
                </c:pt>
                <c:pt idx="13">
                  <c:v>2.6617211255203492</c:v>
                </c:pt>
                <c:pt idx="14">
                  <c:v>0.76760891178908575</c:v>
                </c:pt>
                <c:pt idx="15">
                  <c:v>0.29041678067472693</c:v>
                </c:pt>
                <c:pt idx="16">
                  <c:v>1.258974899585352</c:v>
                </c:pt>
                <c:pt idx="17">
                  <c:v>1.2817734210173399</c:v>
                </c:pt>
                <c:pt idx="18">
                  <c:v>1.3261284382955536</c:v>
                </c:pt>
                <c:pt idx="19">
                  <c:v>0.56483538142502954</c:v>
                </c:pt>
                <c:pt idx="20">
                  <c:v>0.38305051399584877</c:v>
                </c:pt>
                <c:pt idx="21">
                  <c:v>0.95709818011786907</c:v>
                </c:pt>
              </c:numCache>
            </c:numRef>
          </c:val>
          <c:extLst>
            <c:ext xmlns:c16="http://schemas.microsoft.com/office/drawing/2014/chart" uri="{C3380CC4-5D6E-409C-BE32-E72D297353CC}">
              <c16:uniqueId val="{00000004-5724-4294-98FB-ED3D9EE27021}"/>
            </c:ext>
          </c:extLst>
        </c:ser>
        <c:dLbls>
          <c:showLegendKey val="0"/>
          <c:showVal val="0"/>
          <c:showCatName val="0"/>
          <c:showSerName val="0"/>
          <c:showPercent val="0"/>
          <c:showBubbleSize val="0"/>
        </c:dLbls>
        <c:gapWidth val="70"/>
        <c:overlap val="100"/>
        <c:axId val="88478080"/>
        <c:axId val="88479616"/>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2019</c:v>
                  </c:pt>
                  <c:pt idx="4">
                    <c:v>2020</c:v>
                  </c:pt>
                  <c:pt idx="8">
                    <c:v>2021</c:v>
                  </c:pt>
                  <c:pt idx="12">
                    <c:v>2022</c:v>
                  </c:pt>
                  <c:pt idx="16">
                    <c:v>2023</c:v>
                  </c:pt>
                  <c:pt idx="20">
                    <c:v>2024</c:v>
                  </c:pt>
                </c:lvl>
              </c:multiLvlStrCache>
            </c:multiLvlStrRef>
          </c:cat>
          <c:val>
            <c:numRef>
              <c:f>'souhrnná výkonnost 4'!$H$10:$H$31</c:f>
              <c:numCache>
                <c:formatCode>#\ ##0.0</c:formatCode>
                <c:ptCount val="22"/>
                <c:pt idx="0">
                  <c:v>3.4241020823594548</c:v>
                </c:pt>
                <c:pt idx="1">
                  <c:v>3.7654261763610042</c:v>
                </c:pt>
                <c:pt idx="2">
                  <c:v>3.6432533192545407</c:v>
                </c:pt>
                <c:pt idx="3">
                  <c:v>3.3129891367830862</c:v>
                </c:pt>
                <c:pt idx="4">
                  <c:v>-1.2169604796506659</c:v>
                </c:pt>
                <c:pt idx="5">
                  <c:v>-10.725735874372933</c:v>
                </c:pt>
                <c:pt idx="6">
                  <c:v>-4.2745842128591089</c:v>
                </c:pt>
                <c:pt idx="7">
                  <c:v>-4.0497053295080292</c:v>
                </c:pt>
                <c:pt idx="8">
                  <c:v>-1.1092326662295733</c:v>
                </c:pt>
                <c:pt idx="9">
                  <c:v>10.020922752811231</c:v>
                </c:pt>
                <c:pt idx="10">
                  <c:v>3.6334340143173036</c:v>
                </c:pt>
                <c:pt idx="11">
                  <c:v>3.4636121873782448</c:v>
                </c:pt>
                <c:pt idx="12">
                  <c:v>4.3335548202223748</c:v>
                </c:pt>
                <c:pt idx="13">
                  <c:v>3.6873115442208912</c:v>
                </c:pt>
                <c:pt idx="14">
                  <c:v>2.0486348171819646</c:v>
                </c:pt>
                <c:pt idx="15">
                  <c:v>1.6260683441280013</c:v>
                </c:pt>
                <c:pt idx="16">
                  <c:v>1.5274059601490251</c:v>
                </c:pt>
                <c:pt idx="17">
                  <c:v>0.64023838798151189</c:v>
                </c:pt>
                <c:pt idx="18">
                  <c:v>0.26107587152959877</c:v>
                </c:pt>
                <c:pt idx="19">
                  <c:v>-0.15185209829762422</c:v>
                </c:pt>
                <c:pt idx="20">
                  <c:v>-0.59029982486376298</c:v>
                </c:pt>
                <c:pt idx="21">
                  <c:v>8.6784794688583147E-2</c:v>
                </c:pt>
              </c:numCache>
            </c:numRef>
          </c:val>
          <c:smooth val="0"/>
          <c:extLst>
            <c:ext xmlns:c16="http://schemas.microsoft.com/office/drawing/2014/chart" uri="{C3380CC4-5D6E-409C-BE32-E72D297353CC}">
              <c16:uniqueId val="{00000005-5724-4294-98FB-ED3D9EE27021}"/>
            </c:ext>
          </c:extLst>
        </c:ser>
        <c:dLbls>
          <c:showLegendKey val="0"/>
          <c:showVal val="0"/>
          <c:showCatName val="0"/>
          <c:showSerName val="0"/>
          <c:showPercent val="0"/>
          <c:showBubbleSize val="0"/>
        </c:dLbls>
        <c:marker val="1"/>
        <c:smooth val="0"/>
        <c:axId val="88478080"/>
        <c:axId val="88479616"/>
      </c:lineChart>
      <c:catAx>
        <c:axId val="8847808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88479616"/>
        <c:crosses val="autoZero"/>
        <c:auto val="1"/>
        <c:lblAlgn val="ctr"/>
        <c:lblOffset val="100"/>
        <c:noMultiLvlLbl val="0"/>
      </c:catAx>
      <c:valAx>
        <c:axId val="88479616"/>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8478080"/>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3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1df8c39b067b5d25b5f5e865a8e6deb3">
  <xsd:schema xmlns:xsd="http://www.w3.org/2001/XMLSchema" xmlns:xs="http://www.w3.org/2001/XMLSchema" xmlns:p="http://schemas.microsoft.com/office/2006/metadata/properties" xmlns:ns3="b8c0c86d-151e-4fca-b0d5-747e6692fa1d" targetNamespace="http://schemas.microsoft.com/office/2006/metadata/properties" ma:root="true" ma:fieldsID="0a1e36cc980726b26aea9439dfb6e5b7"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242F-3FB6-473C-87F1-89DD6C1DF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8A1E1-1E99-4B4F-B9B5-70567730AA3A}">
  <ds:schemaRefs>
    <ds:schemaRef ds:uri="http://schemas.microsoft.com/sharepoint/v3/contenttype/forms"/>
  </ds:schemaRefs>
</ds:datastoreItem>
</file>

<file path=customXml/itemProps3.xml><?xml version="1.0" encoding="utf-8"?>
<ds:datastoreItem xmlns:ds="http://schemas.openxmlformats.org/officeDocument/2006/customXml" ds:itemID="{1E7681AD-41B0-431A-9D34-CF6700A12FAC}">
  <ds:schemaRef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b8c0c86d-151e-4fca-b0d5-747e6692fa1d"/>
    <ds:schemaRef ds:uri="http://www.w3.org/XML/1998/namespace"/>
  </ds:schemaRefs>
</ds:datastoreItem>
</file>

<file path=customXml/itemProps4.xml><?xml version="1.0" encoding="utf-8"?>
<ds:datastoreItem xmlns:ds="http://schemas.openxmlformats.org/officeDocument/2006/customXml" ds:itemID="{BC643588-AFEB-4537-B2F1-ACCA2964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1440</Words>
  <Characters>8497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dc:creator>
  <cp:keywords/>
  <cp:lastModifiedBy>Zábojníková Karolína</cp:lastModifiedBy>
  <cp:revision>5</cp:revision>
  <cp:lastPrinted>2014-07-17T14:07:00Z</cp:lastPrinted>
  <dcterms:created xsi:type="dcterms:W3CDTF">2024-09-13T09:25:00Z</dcterms:created>
  <dcterms:modified xsi:type="dcterms:W3CDTF">2024-09-13T09:40:00Z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Názevformuláře">
    <vt:lpwstr>Publikace CZ barevné - vícetematické analýzy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2018-04-17T07:00:00Z</vt:filetime>
  </property>
  <property fmtid="{D5CDD505-2E9C-101B-9397-08002B2CF9AE}" pid="8" name="Označení">
    <vt:lpwstr>Form_c444</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