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9" w:rsidRPr="0021283F" w:rsidRDefault="007607E9">
      <w:pPr>
        <w:pStyle w:val="Nadpis3"/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21283F">
        <w:rPr>
          <w:rFonts w:cs="Arial"/>
          <w:color w:val="auto"/>
          <w:sz w:val="22"/>
          <w:szCs w:val="22"/>
        </w:rPr>
        <w:t>Metodick</w:t>
      </w:r>
      <w:r w:rsidR="006973B1" w:rsidRPr="0021283F">
        <w:rPr>
          <w:rFonts w:cs="Arial"/>
          <w:color w:val="auto"/>
          <w:sz w:val="22"/>
          <w:szCs w:val="22"/>
        </w:rPr>
        <w:t>é vysvětlivky</w:t>
      </w:r>
    </w:p>
    <w:p w:rsidR="006973B1" w:rsidRPr="0021283F" w:rsidRDefault="00D64BC8" w:rsidP="006973B1">
      <w:pPr>
        <w:rPr>
          <w:rFonts w:ascii="Arial" w:hAnsi="Arial" w:cs="Arial"/>
          <w:b/>
          <w:bCs/>
          <w:sz w:val="22"/>
          <w:szCs w:val="22"/>
        </w:rPr>
      </w:pPr>
      <w:r w:rsidRPr="0021283F">
        <w:rPr>
          <w:rFonts w:ascii="Arial" w:hAnsi="Arial" w:cs="Arial"/>
          <w:b/>
          <w:bCs/>
          <w:sz w:val="22"/>
          <w:szCs w:val="22"/>
        </w:rPr>
        <w:t>s</w:t>
      </w:r>
      <w:r w:rsidR="006973B1" w:rsidRPr="0021283F">
        <w:rPr>
          <w:rFonts w:ascii="Arial" w:hAnsi="Arial" w:cs="Arial"/>
          <w:b/>
          <w:bCs/>
          <w:sz w:val="22"/>
          <w:szCs w:val="22"/>
        </w:rPr>
        <w:t>tatistiky zahraničního obchodu podle pohybu zboží (pře</w:t>
      </w:r>
      <w:r w:rsidR="00437B60">
        <w:rPr>
          <w:rFonts w:ascii="Arial" w:hAnsi="Arial" w:cs="Arial"/>
          <w:b/>
          <w:bCs/>
          <w:sz w:val="22"/>
          <w:szCs w:val="22"/>
        </w:rPr>
        <w:t>s</w:t>
      </w:r>
      <w:r w:rsidR="006973B1" w:rsidRPr="0021283F">
        <w:rPr>
          <w:rFonts w:ascii="Arial" w:hAnsi="Arial" w:cs="Arial"/>
          <w:b/>
          <w:bCs/>
          <w:sz w:val="22"/>
          <w:szCs w:val="22"/>
        </w:rPr>
        <w:t>hraniční pojetí)</w:t>
      </w: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D47BD4" w:rsidRDefault="00D47BD4" w:rsidP="00D47BD4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Statistika zahraničního obchodu je významným zdrojem informací pro potřeby ekonomické veřejnosti, ministerstev a dalších státních orgánů České republiky (Úřad vlády, Poslanecká sněmovna, Senát, Česká národní banka), vysokých škol, mezinárodních organizací (Eurostat – statistický úřad Evropské unie, Mezinárodní měnový fond, Organizace pro hospodářskou spolupráci a rozvoj) a v neposlední řadě i podnikatelské veřejnosti.</w:t>
      </w:r>
    </w:p>
    <w:p w:rsidR="00D64BC8" w:rsidRPr="005E7773" w:rsidRDefault="00D64BC8" w:rsidP="00D64BC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D64BC8">
        <w:rPr>
          <w:rFonts w:ascii="Arial" w:hAnsi="Arial" w:cs="Arial"/>
          <w:b/>
          <w:sz w:val="18"/>
          <w:szCs w:val="20"/>
        </w:rPr>
        <w:t>Přeshraniční pojetí zahraničního obchodu</w:t>
      </w:r>
      <w:r w:rsidRPr="00D64BC8">
        <w:rPr>
          <w:rFonts w:ascii="Arial" w:hAnsi="Arial" w:cs="Arial"/>
          <w:sz w:val="18"/>
          <w:szCs w:val="20"/>
        </w:rPr>
        <w:t xml:space="preserve"> vypovídá výhradně o fyzickém pohybu z</w:t>
      </w:r>
      <w:r w:rsidR="00C20AA6">
        <w:rPr>
          <w:rFonts w:ascii="Arial" w:hAnsi="Arial" w:cs="Arial"/>
          <w:sz w:val="18"/>
          <w:szCs w:val="20"/>
        </w:rPr>
        <w:t>boží přes hranice bez ohledu na </w:t>
      </w:r>
      <w:r w:rsidRPr="00D64BC8">
        <w:rPr>
          <w:rFonts w:ascii="Arial" w:hAnsi="Arial" w:cs="Arial"/>
          <w:sz w:val="18"/>
          <w:szCs w:val="20"/>
        </w:rPr>
        <w:t>to, zda dochází k obchodu mezi českými a zahraničními subjekty. Tyto údaje jsou mezinárodně srovnatelné a mohou sloužit jako indikátor vývoje hodnoty obchodu.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  <w:szCs w:val="20"/>
        </w:rPr>
        <w:t>Zdrojem informací o zahraničním obchodu jsou data získávaná celními orgány. Od roku 2004</w:t>
      </w:r>
      <w:r w:rsidRPr="005E7773">
        <w:rPr>
          <w:rFonts w:ascii="Arial" w:hAnsi="Arial" w:cs="Arial"/>
          <w:sz w:val="18"/>
        </w:rPr>
        <w:t xml:space="preserve"> zajišťuje jejich sběr a prvotní kontrolu </w:t>
      </w:r>
      <w:r w:rsidRPr="005E7773">
        <w:rPr>
          <w:rFonts w:ascii="Arial" w:hAnsi="Arial" w:cs="Arial"/>
          <w:sz w:val="18"/>
          <w:szCs w:val="20"/>
        </w:rPr>
        <w:t>Celní správa České republiky</w:t>
      </w:r>
      <w:r w:rsidRPr="005E7773">
        <w:rPr>
          <w:rFonts w:ascii="Arial" w:hAnsi="Arial" w:cs="Arial"/>
          <w:sz w:val="18"/>
        </w:rPr>
        <w:t>, další zpracování, kontrolu a následné zveřejnění dat provádí Český statistický úřad.</w:t>
      </w:r>
    </w:p>
    <w:p w:rsidR="00D64BC8" w:rsidRDefault="00D64BC8" w:rsidP="00D64BC8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zahraničního obchodu se zbožím v přeshraničním pojetí je souhrnem vnitrounijního obchodu (tj. obchodu s členskými státy Evropské unie)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 údaji o odeslání nebo přijetí zboží. Údaje o vyváženém a dováženém zboží v rá</w:t>
      </w:r>
      <w:r w:rsidR="00C20AA6">
        <w:rPr>
          <w:rFonts w:ascii="Arial" w:hAnsi="Arial"/>
          <w:sz w:val="18"/>
          <w:szCs w:val="20"/>
        </w:rPr>
        <w:t>mci obchodu se státy mimo EU se </w:t>
      </w:r>
      <w:r>
        <w:rPr>
          <w:rFonts w:ascii="Arial" w:hAnsi="Arial"/>
          <w:sz w:val="18"/>
          <w:szCs w:val="20"/>
        </w:rPr>
        <w:t>uvádějí v celním prohlášení (Jednotný správní doklad).</w:t>
      </w:r>
      <w:r w:rsidRPr="005472B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Součástí zpracování dat za Intrastat jsou i matematicko</w:t>
      </w:r>
      <w:r>
        <w:rPr>
          <w:rFonts w:ascii="Arial" w:hAnsi="Arial"/>
          <w:sz w:val="18"/>
          <w:szCs w:val="20"/>
        </w:rPr>
        <w:noBreakHyphen/>
        <w:t>statistické dopočty, kterými se kompenzuje ztráta informací v důsledku non-response a zavedení statistických prahů.</w:t>
      </w:r>
    </w:p>
    <w:p w:rsidR="00046D4E" w:rsidRDefault="00046D4E" w:rsidP="00046D4E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Pr="00CC7FEA">
        <w:rPr>
          <w:rFonts w:ascii="Arial" w:hAnsi="Arial"/>
          <w:sz w:val="18"/>
          <w:szCs w:val="20"/>
        </w:rPr>
        <w:t>, ve znění pozdějších předpisů. Pravidla provádění Intrastatu stanoví nařízení vlády č. 244/2016 Sb., ze dne 18. května 2016 k provedení některých ustanovení celního zákona v oblasti statistiky</w:t>
      </w:r>
      <w:r>
        <w:rPr>
          <w:rFonts w:ascii="Arial" w:hAnsi="Arial"/>
          <w:sz w:val="18"/>
          <w:szCs w:val="20"/>
        </w:rPr>
        <w:t>, ve </w:t>
      </w:r>
      <w:r w:rsidRPr="00CC7FEA">
        <w:rPr>
          <w:rFonts w:ascii="Arial" w:hAnsi="Arial"/>
          <w:sz w:val="18"/>
          <w:szCs w:val="20"/>
        </w:rPr>
        <w:t>znění pozdějších předpisů.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Roční údaje o zahraničním obchodě v </w:t>
      </w:r>
      <w:proofErr w:type="gramStart"/>
      <w:r w:rsidRPr="005E7773">
        <w:rPr>
          <w:rFonts w:ascii="Arial" w:hAnsi="Arial" w:cs="Arial"/>
          <w:sz w:val="18"/>
        </w:rPr>
        <w:t>EUR</w:t>
      </w:r>
      <w:proofErr w:type="gramEnd"/>
      <w:r w:rsidRPr="005E7773">
        <w:rPr>
          <w:rFonts w:ascii="Arial" w:hAnsi="Arial" w:cs="Arial"/>
          <w:sz w:val="18"/>
        </w:rPr>
        <w:t xml:space="preserve"> a v USD jsou součtem jednotlivých měsíčních hodnot v Kč přepočtených průměrným měsíčním kurzem vykázaným Českou národní bankou.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Údaje za vývoz jsou sestavovány podle země určení, údaje za dovoz podle země původu.</w:t>
      </w:r>
    </w:p>
    <w:p w:rsidR="007607E9" w:rsidRPr="005E7773" w:rsidRDefault="007607E9" w:rsidP="00A00F33">
      <w:pPr>
        <w:pStyle w:val="Nadpis1"/>
        <w:spacing w:after="120"/>
        <w:jc w:val="both"/>
        <w:rPr>
          <w:rFonts w:cs="Arial"/>
          <w:b w:val="0"/>
          <w:bCs w:val="0"/>
        </w:rPr>
      </w:pPr>
      <w:r w:rsidRPr="005E7773">
        <w:rPr>
          <w:rFonts w:cs="Arial"/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5E7773">
        <w:rPr>
          <w:rFonts w:cs="Arial"/>
          <w:b w:val="0"/>
          <w:bCs w:val="0"/>
        </w:rPr>
        <w:tab/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bCs/>
          <w:spacing w:val="-2"/>
          <w:sz w:val="18"/>
        </w:rPr>
        <w:t>Údaje uvedené v této publikaci za rok 20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1</w:t>
      </w:r>
      <w:r w:rsidR="00046D4E">
        <w:rPr>
          <w:rFonts w:ascii="Arial" w:hAnsi="Arial" w:cs="Arial"/>
          <w:b/>
          <w:bCs/>
          <w:spacing w:val="-2"/>
          <w:sz w:val="18"/>
        </w:rPr>
        <w:t>7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 xml:space="preserve"> a 201</w:t>
      </w:r>
      <w:r w:rsidR="00046D4E">
        <w:rPr>
          <w:rFonts w:ascii="Arial" w:hAnsi="Arial" w:cs="Arial"/>
          <w:b/>
          <w:bCs/>
          <w:spacing w:val="-2"/>
          <w:sz w:val="18"/>
        </w:rPr>
        <w:t>8</w:t>
      </w:r>
      <w:r w:rsidRPr="005E7773">
        <w:rPr>
          <w:rFonts w:ascii="Arial" w:hAnsi="Arial" w:cs="Arial"/>
          <w:b/>
          <w:bCs/>
          <w:spacing w:val="-2"/>
          <w:sz w:val="18"/>
        </w:rPr>
        <w:t xml:space="preserve"> jsou definitivní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.</w:t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  <w:r w:rsidRPr="005E7773">
        <w:rPr>
          <w:rFonts w:ascii="Arial" w:eastAsia="Batang" w:hAnsi="Arial" w:cs="Arial"/>
          <w:sz w:val="18"/>
        </w:rPr>
        <w:t>Všechny publikované údaje jsou zpracovávány ze základních jednotek a následně zaokrouhlovány, čímž mohou vznikat rozdíly.</w:t>
      </w:r>
      <w:r w:rsidRPr="005E7773">
        <w:rPr>
          <w:rFonts w:ascii="Arial" w:hAnsi="Arial" w:cs="Arial"/>
          <w:sz w:val="18"/>
        </w:rPr>
        <w:tab/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5E7773" w:rsidRPr="00473E69" w:rsidRDefault="005E7773" w:rsidP="002E4699">
      <w:pPr>
        <w:pStyle w:val="Nadpis4"/>
        <w:spacing w:before="0" w:after="240"/>
        <w:jc w:val="both"/>
        <w:rPr>
          <w:rFonts w:ascii="Arial" w:hAnsi="Arial" w:cs="Arial"/>
          <w:bCs w:val="0"/>
          <w:sz w:val="22"/>
          <w:szCs w:val="22"/>
        </w:rPr>
      </w:pPr>
      <w:r w:rsidRPr="005E7773">
        <w:rPr>
          <w:rFonts w:ascii="Arial" w:hAnsi="Arial" w:cs="Arial"/>
          <w:bCs w:val="0"/>
        </w:rPr>
        <w:br w:type="page"/>
      </w:r>
      <w:r w:rsidRPr="00473E69">
        <w:rPr>
          <w:rFonts w:ascii="Arial" w:hAnsi="Arial" w:cs="Arial"/>
          <w:bCs w:val="0"/>
          <w:sz w:val="22"/>
          <w:szCs w:val="22"/>
        </w:rPr>
        <w:lastRenderedPageBreak/>
        <w:t>Přehled seskupení států, zbožov</w:t>
      </w:r>
      <w:r w:rsidR="00F87E63">
        <w:rPr>
          <w:rFonts w:ascii="Arial" w:hAnsi="Arial" w:cs="Arial"/>
          <w:bCs w:val="0"/>
          <w:sz w:val="22"/>
          <w:szCs w:val="22"/>
        </w:rPr>
        <w:t>é</w:t>
      </w:r>
      <w:r w:rsidRPr="00473E69">
        <w:rPr>
          <w:rFonts w:ascii="Arial" w:hAnsi="Arial" w:cs="Arial"/>
          <w:bCs w:val="0"/>
          <w:sz w:val="22"/>
          <w:szCs w:val="22"/>
        </w:rPr>
        <w:t xml:space="preserve"> nomenklatur</w:t>
      </w:r>
      <w:r w:rsidR="00F87E63">
        <w:rPr>
          <w:rFonts w:ascii="Arial" w:hAnsi="Arial" w:cs="Arial"/>
          <w:bCs w:val="0"/>
          <w:sz w:val="22"/>
          <w:szCs w:val="22"/>
        </w:rPr>
        <w:t>y</w:t>
      </w:r>
      <w:r w:rsidRPr="00473E69">
        <w:rPr>
          <w:rFonts w:ascii="Arial" w:hAnsi="Arial" w:cs="Arial"/>
          <w:bCs w:val="0"/>
          <w:sz w:val="22"/>
          <w:szCs w:val="22"/>
        </w:rPr>
        <w:t xml:space="preserve"> a statistických symbolů</w:t>
      </w:r>
    </w:p>
    <w:p w:rsidR="005E7773" w:rsidRPr="005E7773" w:rsidRDefault="005E7773" w:rsidP="005E7773">
      <w:pPr>
        <w:rPr>
          <w:rFonts w:ascii="Arial" w:hAnsi="Arial" w:cs="Arial"/>
          <w:i/>
          <w:iCs/>
          <w:sz w:val="18"/>
        </w:rPr>
      </w:pPr>
    </w:p>
    <w:p w:rsidR="005E7773" w:rsidRPr="002E4699" w:rsidRDefault="005E7773" w:rsidP="00613B5A">
      <w:pPr>
        <w:tabs>
          <w:tab w:val="left" w:pos="851"/>
          <w:tab w:val="left" w:pos="1134"/>
        </w:tabs>
        <w:ind w:left="993" w:hanging="993"/>
        <w:jc w:val="both"/>
        <w:rPr>
          <w:rFonts w:ascii="Arial" w:hAnsi="Arial" w:cs="Arial"/>
          <w:sz w:val="18"/>
          <w:szCs w:val="18"/>
        </w:rPr>
      </w:pPr>
      <w:r w:rsidRPr="002E4699">
        <w:rPr>
          <w:rFonts w:ascii="Arial" w:hAnsi="Arial" w:cs="Arial"/>
          <w:sz w:val="18"/>
        </w:rPr>
        <w:t>Evropská unie - EU2</w:t>
      </w:r>
      <w:r w:rsidR="006973B1" w:rsidRPr="002E4699">
        <w:rPr>
          <w:rFonts w:ascii="Arial" w:hAnsi="Arial" w:cs="Arial"/>
          <w:sz w:val="18"/>
        </w:rPr>
        <w:t>8</w:t>
      </w:r>
      <w:r w:rsidRPr="002E4699">
        <w:rPr>
          <w:rFonts w:ascii="Arial" w:hAnsi="Arial" w:cs="Arial"/>
          <w:sz w:val="18"/>
        </w:rPr>
        <w:t xml:space="preserve">: </w:t>
      </w:r>
      <w:r w:rsidR="00A00F33" w:rsidRPr="002E4699">
        <w:rPr>
          <w:rFonts w:ascii="Arial" w:hAnsi="Arial" w:cs="Arial"/>
          <w:sz w:val="18"/>
        </w:rPr>
        <w:t xml:space="preserve"> </w:t>
      </w:r>
      <w:r w:rsidRPr="002E4699">
        <w:rPr>
          <w:rFonts w:ascii="Arial" w:hAnsi="Arial" w:cs="Arial"/>
          <w:sz w:val="18"/>
          <w:szCs w:val="18"/>
        </w:rPr>
        <w:t xml:space="preserve">Belgie, Bulharsko, Česká republika, Dánsko, Estonsko, Finsko, Francie, </w:t>
      </w:r>
      <w:r w:rsidR="006973B1" w:rsidRPr="002E4699">
        <w:rPr>
          <w:rFonts w:ascii="Arial" w:hAnsi="Arial" w:cs="Arial"/>
          <w:sz w:val="18"/>
          <w:szCs w:val="18"/>
        </w:rPr>
        <w:t xml:space="preserve">Chorvatsko, </w:t>
      </w:r>
      <w:r w:rsidRPr="002E4699">
        <w:rPr>
          <w:rFonts w:ascii="Arial" w:hAnsi="Arial" w:cs="Arial"/>
          <w:sz w:val="18"/>
          <w:szCs w:val="18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5E7773" w:rsidRPr="002E4699" w:rsidRDefault="005E7773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Eurozóna</w:t>
      </w:r>
      <w:r w:rsidR="006973B1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1</w:t>
      </w:r>
      <w:r w:rsidR="00D64BC8" w:rsidRPr="002E4699">
        <w:rPr>
          <w:rFonts w:cs="Arial"/>
          <w:lang w:val="cs-CZ"/>
        </w:rPr>
        <w:t>9</w:t>
      </w:r>
      <w:r w:rsidRPr="002E4699">
        <w:rPr>
          <w:rFonts w:cs="Arial"/>
          <w:lang w:val="cs-CZ"/>
        </w:rPr>
        <w:t>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 xml:space="preserve">Belgie, Estonsko, Finsko, Francie, Irsko, Itálie, Kypr, </w:t>
      </w:r>
      <w:r w:rsidR="00D64BC8" w:rsidRPr="002E4699">
        <w:rPr>
          <w:rFonts w:cs="Arial"/>
          <w:lang w:val="cs-CZ"/>
        </w:rPr>
        <w:t xml:space="preserve">Litva, </w:t>
      </w:r>
      <w:r w:rsidR="006973B1" w:rsidRPr="002E4699">
        <w:rPr>
          <w:rFonts w:cs="Arial"/>
          <w:lang w:val="cs-CZ"/>
        </w:rPr>
        <w:t xml:space="preserve">Lotyšsko, </w:t>
      </w:r>
      <w:r w:rsidRPr="002E4699">
        <w:rPr>
          <w:rFonts w:cs="Arial"/>
          <w:lang w:val="cs-CZ"/>
        </w:rPr>
        <w:t>Lucembursko, Malta, Německo, Nizozemsko, Portugalsko, Rakousko, Řecko, Slovensko, Slovinsko, Španělsko</w:t>
      </w:r>
    </w:p>
    <w:p w:rsidR="005E7773" w:rsidRPr="002E4699" w:rsidRDefault="005E7773" w:rsidP="00613B5A">
      <w:pPr>
        <w:pStyle w:val="Zkladntext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Sousední státy ČR: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Německo, Polsko, Rakousko, Slovensko</w:t>
      </w: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36602C" w:rsidRPr="002E4699" w:rsidRDefault="0036602C" w:rsidP="002E4699">
      <w:pPr>
        <w:spacing w:after="40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Standardní mezinárodní klasifikace zboží, 4. revize (SITC)</w:t>
      </w:r>
      <w:r w:rsidR="003D2B0D">
        <w:rPr>
          <w:rFonts w:ascii="Arial" w:hAnsi="Arial" w:cs="Arial"/>
          <w:sz w:val="18"/>
        </w:rPr>
        <w:t>: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Potraviny a živá zvířata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 a tabák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Suroviny nepoživatelné, s výjimkou paliv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Minerální paliva, maziva a příbuzné materiály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Živočišné a rostlinné oleje, tuky a vosky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Chemikálie a příbuzné výrobky jinde neuvedené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Tržní výrobky tříděné hlavně podle materiálu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dopravní prostředky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Průmyslové spotřební zboží</w:t>
      </w:r>
    </w:p>
    <w:p w:rsidR="005E7773" w:rsidRDefault="005E7773" w:rsidP="00F87E63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Komodity a předměty obchodu jinde nezatříděné  </w:t>
      </w:r>
    </w:p>
    <w:p w:rsidR="00F87E63" w:rsidRDefault="00F87E63" w:rsidP="00F87E63">
      <w:pPr>
        <w:ind w:left="964"/>
        <w:jc w:val="both"/>
        <w:rPr>
          <w:rFonts w:ascii="Arial" w:hAnsi="Arial" w:cs="Arial"/>
          <w:sz w:val="18"/>
        </w:rPr>
      </w:pPr>
    </w:p>
    <w:p w:rsidR="00F87E63" w:rsidRPr="005E7773" w:rsidRDefault="00F87E63" w:rsidP="00F87E63">
      <w:pPr>
        <w:ind w:left="964"/>
        <w:jc w:val="both"/>
        <w:rPr>
          <w:rFonts w:ascii="Arial" w:hAnsi="Arial" w:cs="Arial"/>
          <w:sz w:val="18"/>
        </w:rPr>
      </w:pPr>
    </w:p>
    <w:p w:rsidR="00F87E63" w:rsidRPr="002E4699" w:rsidRDefault="00F87E63" w:rsidP="00F87E63">
      <w:pPr>
        <w:spacing w:after="4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Statistické symboly:</w:t>
      </w:r>
    </w:p>
    <w:p w:rsidR="00F87E63" w:rsidRPr="002E4699" w:rsidRDefault="00F87E63" w:rsidP="00F87E63">
      <w:pPr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hodnota vývozu (dovozu) je menší než jednotka vyjádřená v tabulce</w:t>
      </w:r>
    </w:p>
    <w:p w:rsidR="00F87E63" w:rsidRPr="002E4699" w:rsidRDefault="00F87E63" w:rsidP="00F87E63">
      <w:pPr>
        <w:tabs>
          <w:tab w:val="left" w:pos="993"/>
        </w:tabs>
        <w:ind w:left="36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 xml:space="preserve">- </w:t>
      </w:r>
      <w:r w:rsidRPr="002E4699">
        <w:rPr>
          <w:rFonts w:ascii="Arial" w:hAnsi="Arial" w:cs="Arial"/>
          <w:sz w:val="18"/>
        </w:rPr>
        <w:tab/>
        <w:t>údaj se v daném období nevyskytoval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. </w:t>
      </w:r>
      <w:r w:rsidRPr="005E7773">
        <w:rPr>
          <w:rFonts w:ascii="Arial" w:hAnsi="Arial" w:cs="Arial"/>
          <w:sz w:val="18"/>
        </w:rPr>
        <w:tab/>
        <w:t>údaj není k dispozici nebo není možný z logických důvodů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* </w:t>
      </w:r>
      <w:r w:rsidRPr="005E7773">
        <w:rPr>
          <w:rFonts w:ascii="Arial" w:hAnsi="Arial" w:cs="Arial"/>
          <w:sz w:val="18"/>
        </w:rPr>
        <w:tab/>
        <w:t xml:space="preserve">individuální údaj 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x </w:t>
      </w:r>
      <w:r w:rsidRPr="005E7773">
        <w:rPr>
          <w:rFonts w:ascii="Arial" w:hAnsi="Arial" w:cs="Arial"/>
          <w:sz w:val="18"/>
        </w:rPr>
        <w:tab/>
        <w:t>znak uváděný u indexů vyjadřuje 100násobek výsledné hodnoty</w:t>
      </w:r>
    </w:p>
    <w:p w:rsidR="005E7773" w:rsidRPr="005E7773" w:rsidRDefault="005E7773" w:rsidP="005E7773">
      <w:pPr>
        <w:rPr>
          <w:rFonts w:ascii="Arial" w:hAnsi="Arial" w:cs="Arial"/>
          <w:sz w:val="18"/>
          <w:shd w:val="clear" w:color="auto" w:fill="EFEFFF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F87E63" w:rsidRDefault="00F87E63" w:rsidP="00613B5A">
      <w:pPr>
        <w:jc w:val="both"/>
        <w:rPr>
          <w:rFonts w:ascii="Arial" w:hAnsi="Arial" w:cs="Arial"/>
          <w:sz w:val="18"/>
        </w:rPr>
      </w:pPr>
    </w:p>
    <w:p w:rsidR="00F87E63" w:rsidRDefault="00F87E63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CB456F" w:rsidRDefault="00CB456F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2E4699" w:rsidRDefault="002E4699" w:rsidP="002E4699">
      <w:pPr>
        <w:jc w:val="both"/>
        <w:rPr>
          <w:rFonts w:ascii="Arial" w:hAnsi="Arial" w:cs="Arial"/>
          <w:sz w:val="18"/>
        </w:rPr>
      </w:pPr>
    </w:p>
    <w:p w:rsidR="00F87E63" w:rsidRDefault="002E4699" w:rsidP="002D505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87E63">
        <w:rPr>
          <w:rFonts w:ascii="Arial" w:hAnsi="Arial" w:cs="Arial"/>
          <w:b/>
          <w:sz w:val="22"/>
          <w:szCs w:val="22"/>
        </w:rPr>
        <w:t>Zdroj dat</w:t>
      </w:r>
    </w:p>
    <w:p w:rsidR="005F7DD5" w:rsidRDefault="005F7DD5" w:rsidP="002D5059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</w:p>
    <w:p w:rsidR="00F87E63" w:rsidRDefault="002D5059" w:rsidP="002D5059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Internetové stránky Českého statistického úřadu:</w:t>
      </w:r>
    </w:p>
    <w:p w:rsidR="005F7DD5" w:rsidRPr="002E4699" w:rsidRDefault="00853983" w:rsidP="005F7DD5">
      <w:pPr>
        <w:ind w:firstLine="993"/>
        <w:jc w:val="both"/>
        <w:rPr>
          <w:rFonts w:ascii="Arial" w:hAnsi="Arial" w:cs="Arial"/>
          <w:sz w:val="18"/>
        </w:rPr>
      </w:pPr>
      <w:hyperlink r:id="rId9" w:history="1">
        <w:r w:rsidR="005F7DD5" w:rsidRPr="002E4699">
          <w:rPr>
            <w:rStyle w:val="Hypertextovodkaz"/>
            <w:rFonts w:ascii="Arial" w:hAnsi="Arial" w:cs="Arial"/>
            <w:color w:val="auto"/>
            <w:sz w:val="18"/>
          </w:rPr>
          <w:t>https://www.czso.cz/csu/czso/zo_se_zbozim_podle_pohybu_zbozi_preshranicni_statistika</w:t>
        </w:r>
      </w:hyperlink>
    </w:p>
    <w:p w:rsidR="005F7DD5" w:rsidRDefault="00853983" w:rsidP="005F7DD5">
      <w:pPr>
        <w:spacing w:after="120"/>
        <w:ind w:firstLine="993"/>
        <w:jc w:val="both"/>
        <w:rPr>
          <w:rStyle w:val="Hypertextovodkaz"/>
          <w:rFonts w:ascii="Arial" w:hAnsi="Arial" w:cs="Arial"/>
          <w:color w:val="auto"/>
          <w:sz w:val="18"/>
        </w:rPr>
      </w:pPr>
      <w:hyperlink r:id="rId10" w:history="1">
        <w:r w:rsidR="005F7DD5" w:rsidRPr="002E4699">
          <w:rPr>
            <w:rStyle w:val="Hypertextovodkaz"/>
            <w:rFonts w:ascii="Arial" w:hAnsi="Arial" w:cs="Arial"/>
            <w:color w:val="auto"/>
            <w:sz w:val="18"/>
          </w:rPr>
          <w:t>http://apl.czso.cz/pll/stazo/STAZO.STAZO</w:t>
        </w:r>
      </w:hyperlink>
    </w:p>
    <w:p w:rsidR="005F7DD5" w:rsidRDefault="005F7DD5" w:rsidP="005F7DD5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Internetové stránky statistického úřadu Evropské unie Eurostatu:</w:t>
      </w:r>
    </w:p>
    <w:p w:rsidR="002E4699" w:rsidRPr="002E4699" w:rsidRDefault="00853983" w:rsidP="00613B5A">
      <w:pPr>
        <w:ind w:firstLine="993"/>
        <w:jc w:val="both"/>
        <w:rPr>
          <w:rFonts w:ascii="Arial" w:hAnsi="Arial" w:cs="Arial"/>
          <w:sz w:val="18"/>
        </w:rPr>
      </w:pPr>
      <w:hyperlink r:id="rId11" w:history="1">
        <w:r w:rsidR="002E4699" w:rsidRPr="002E4699">
          <w:rPr>
            <w:rStyle w:val="Hypertextovodkaz"/>
            <w:rFonts w:ascii="Arial" w:hAnsi="Arial" w:cs="Arial"/>
            <w:color w:val="auto"/>
            <w:sz w:val="18"/>
          </w:rPr>
          <w:t>http://epp.eurostat.ec.europa.eu/newxtweb/</w:t>
        </w:r>
      </w:hyperlink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sectPr w:rsidR="002E4699" w:rsidRPr="002E4699" w:rsidSect="00107143">
      <w:headerReference w:type="even" r:id="rId12"/>
      <w:footnotePr>
        <w:numRestart w:val="eachPage"/>
      </w:footnotePr>
      <w:pgSz w:w="11906" w:h="16838" w:code="9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83" w:rsidRDefault="00853983">
      <w:r>
        <w:separator/>
      </w:r>
    </w:p>
  </w:endnote>
  <w:endnote w:type="continuationSeparator" w:id="0">
    <w:p w:rsidR="00853983" w:rsidRDefault="0085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83" w:rsidRDefault="00853983">
      <w:r>
        <w:separator/>
      </w:r>
    </w:p>
  </w:footnote>
  <w:footnote w:type="continuationSeparator" w:id="0">
    <w:p w:rsidR="00853983" w:rsidRDefault="0085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E9" w:rsidRDefault="004557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3095"/>
    <w:multiLevelType w:val="hybridMultilevel"/>
    <w:tmpl w:val="4530A1B6"/>
    <w:lvl w:ilvl="0" w:tplc="608A1A1C">
      <w:numFmt w:val="decimal"/>
      <w:lvlText w:val="%1"/>
      <w:lvlJc w:val="left"/>
      <w:pPr>
        <w:tabs>
          <w:tab w:val="num" w:pos="964"/>
        </w:tabs>
        <w:ind w:left="964" w:hanging="604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1B1"/>
    <w:rsid w:val="000203CB"/>
    <w:rsid w:val="00046D4E"/>
    <w:rsid w:val="000821B1"/>
    <w:rsid w:val="00093E53"/>
    <w:rsid w:val="000E7E58"/>
    <w:rsid w:val="00107143"/>
    <w:rsid w:val="00143605"/>
    <w:rsid w:val="001710A0"/>
    <w:rsid w:val="0021283F"/>
    <w:rsid w:val="00214CDC"/>
    <w:rsid w:val="00230DA2"/>
    <w:rsid w:val="0026729E"/>
    <w:rsid w:val="00275F15"/>
    <w:rsid w:val="002D5059"/>
    <w:rsid w:val="002E4699"/>
    <w:rsid w:val="00305B50"/>
    <w:rsid w:val="00315A1D"/>
    <w:rsid w:val="0036602C"/>
    <w:rsid w:val="003677DA"/>
    <w:rsid w:val="003C7231"/>
    <w:rsid w:val="003D2B0D"/>
    <w:rsid w:val="00437B60"/>
    <w:rsid w:val="004557B4"/>
    <w:rsid w:val="00473E69"/>
    <w:rsid w:val="005B5B6B"/>
    <w:rsid w:val="005D143B"/>
    <w:rsid w:val="005E7773"/>
    <w:rsid w:val="005F7DD5"/>
    <w:rsid w:val="0061251F"/>
    <w:rsid w:val="00613B5A"/>
    <w:rsid w:val="00657C7F"/>
    <w:rsid w:val="0068675C"/>
    <w:rsid w:val="006973B1"/>
    <w:rsid w:val="006C0525"/>
    <w:rsid w:val="00704649"/>
    <w:rsid w:val="00740CFD"/>
    <w:rsid w:val="007417F3"/>
    <w:rsid w:val="0075696D"/>
    <w:rsid w:val="007607E9"/>
    <w:rsid w:val="007B780D"/>
    <w:rsid w:val="007C21DA"/>
    <w:rsid w:val="00811352"/>
    <w:rsid w:val="008274B7"/>
    <w:rsid w:val="008372AC"/>
    <w:rsid w:val="00853983"/>
    <w:rsid w:val="008803A3"/>
    <w:rsid w:val="008E745C"/>
    <w:rsid w:val="008F1BD2"/>
    <w:rsid w:val="008F5475"/>
    <w:rsid w:val="009021B1"/>
    <w:rsid w:val="00966A00"/>
    <w:rsid w:val="00982C3A"/>
    <w:rsid w:val="009A1F36"/>
    <w:rsid w:val="009B58E5"/>
    <w:rsid w:val="009C1C41"/>
    <w:rsid w:val="00A00F33"/>
    <w:rsid w:val="00A36D7B"/>
    <w:rsid w:val="00A56A74"/>
    <w:rsid w:val="00A67260"/>
    <w:rsid w:val="00A7104E"/>
    <w:rsid w:val="00A7414A"/>
    <w:rsid w:val="00AA0992"/>
    <w:rsid w:val="00AB0ADD"/>
    <w:rsid w:val="00AD06FF"/>
    <w:rsid w:val="00B31C81"/>
    <w:rsid w:val="00B34E88"/>
    <w:rsid w:val="00B84EE1"/>
    <w:rsid w:val="00BA2E2F"/>
    <w:rsid w:val="00BF08BA"/>
    <w:rsid w:val="00C177FE"/>
    <w:rsid w:val="00C20AA6"/>
    <w:rsid w:val="00C54D48"/>
    <w:rsid w:val="00C63596"/>
    <w:rsid w:val="00C90BC4"/>
    <w:rsid w:val="00CB456F"/>
    <w:rsid w:val="00CD162B"/>
    <w:rsid w:val="00D347AF"/>
    <w:rsid w:val="00D47BD4"/>
    <w:rsid w:val="00D64BC8"/>
    <w:rsid w:val="00D946D7"/>
    <w:rsid w:val="00DA451C"/>
    <w:rsid w:val="00E028F3"/>
    <w:rsid w:val="00E916D9"/>
    <w:rsid w:val="00EC08CD"/>
    <w:rsid w:val="00EE41B0"/>
    <w:rsid w:val="00EF797D"/>
    <w:rsid w:val="00F31ABB"/>
    <w:rsid w:val="00F43A37"/>
    <w:rsid w:val="00F75161"/>
    <w:rsid w:val="00F8589B"/>
    <w:rsid w:val="00F87E63"/>
    <w:rsid w:val="00F96E80"/>
    <w:rsid w:val="00FE1A5E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7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character" w:customStyle="1" w:styleId="Nadpis4Char">
    <w:name w:val="Nadpis 4 Char"/>
    <w:link w:val="Nadpis4"/>
    <w:uiPriority w:val="9"/>
    <w:semiHidden/>
    <w:rsid w:val="005E7773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unhideWhenUsed/>
    <w:rsid w:val="002E4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.eurostat.ec.europa.eu/newxtwe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l.czso.cz/pll/stazo/STAZO.STAZ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11D74-255D-476F-895F-04FCD57F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28</cp:revision>
  <cp:lastPrinted>2010-03-24T06:54:00Z</cp:lastPrinted>
  <dcterms:created xsi:type="dcterms:W3CDTF">2014-07-01T12:34:00Z</dcterms:created>
  <dcterms:modified xsi:type="dcterms:W3CDTF">2019-09-24T12:04:00Z</dcterms:modified>
</cp:coreProperties>
</file>