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D6" w:rsidRDefault="005D1303" w:rsidP="006532D6">
      <w:pPr>
        <w:pStyle w:val="Nadpis2"/>
      </w:pPr>
      <w:r>
        <w:t>Základní m</w:t>
      </w:r>
      <w:r w:rsidR="006532D6">
        <w:t>etodi</w:t>
      </w:r>
      <w:r>
        <w:t>cké poznámky</w:t>
      </w:r>
    </w:p>
    <w:p w:rsidR="005D1303" w:rsidRDefault="00704A5B" w:rsidP="002964B2">
      <w:pPr>
        <w:spacing w:before="120"/>
        <w:rPr>
          <w:rFonts w:cs="Arial"/>
        </w:rPr>
      </w:pPr>
      <w:r>
        <w:rPr>
          <w:rFonts w:cs="Arial"/>
        </w:rPr>
        <w:t xml:space="preserve">Podrobné úmrtnostní tabulky za </w:t>
      </w:r>
      <w:r w:rsidR="008B1384">
        <w:rPr>
          <w:rFonts w:cs="Arial"/>
        </w:rPr>
        <w:t xml:space="preserve">okresy a správní obvody obcí s rozšířenou působností (SO ORP) </w:t>
      </w:r>
      <w:r>
        <w:rPr>
          <w:rFonts w:cs="Arial"/>
        </w:rPr>
        <w:t>jsou založeny na III. hlavních souborech demografických událostí. Vstupní pravděpodobnosti úmrtí jsou vypočteny nepřímou metodou, tj. odvozeny z</w:t>
      </w:r>
      <w:r w:rsidR="006956DF">
        <w:rPr>
          <w:rFonts w:cs="Arial"/>
        </w:rPr>
        <w:t xml:space="preserve"> pozorovaných</w:t>
      </w:r>
      <w:r>
        <w:rPr>
          <w:rFonts w:cs="Arial"/>
        </w:rPr>
        <w:t xml:space="preserve"> specifických měr </w:t>
      </w:r>
      <w:r w:rsidR="006956DF">
        <w:rPr>
          <w:rFonts w:cs="Arial"/>
        </w:rPr>
        <w:t xml:space="preserve">úmrtnosti </w:t>
      </w:r>
      <w:r>
        <w:rPr>
          <w:rFonts w:cs="Arial"/>
        </w:rPr>
        <w:t>(</w:t>
      </w:r>
      <w:r w:rsidR="00E037DD">
        <w:rPr>
          <w:rFonts w:cs="Arial"/>
          <w:iCs/>
        </w:rPr>
        <w:t>viz</w:t>
      </w:r>
      <w:r w:rsidR="005D1303">
        <w:rPr>
          <w:rFonts w:cs="Arial"/>
          <w:iCs/>
        </w:rPr>
        <w:t xml:space="preserve"> níže</w:t>
      </w:r>
      <w:r>
        <w:rPr>
          <w:rFonts w:cs="Arial"/>
        </w:rPr>
        <w:t>). Tabulky jsou podrobné, tj.</w:t>
      </w:r>
      <w:r w:rsidR="005D1303">
        <w:rPr>
          <w:rFonts w:cs="Arial"/>
        </w:rPr>
        <w:t> </w:t>
      </w:r>
      <w:r>
        <w:rPr>
          <w:rFonts w:cs="Arial"/>
        </w:rPr>
        <w:t>s</w:t>
      </w:r>
      <w:r w:rsidR="006956DF">
        <w:rPr>
          <w:rFonts w:cs="Arial"/>
        </w:rPr>
        <w:t> </w:t>
      </w:r>
      <w:r>
        <w:rPr>
          <w:rFonts w:cs="Arial"/>
        </w:rPr>
        <w:t xml:space="preserve">jednoletým věkovým intervalem, </w:t>
      </w:r>
      <w:r w:rsidR="006956DF">
        <w:rPr>
          <w:rFonts w:cs="Arial"/>
        </w:rPr>
        <w:t>s nejvyšším věkovým intervalem 105 a více let</w:t>
      </w:r>
      <w:r w:rsidR="005D1303">
        <w:rPr>
          <w:rFonts w:cs="Arial"/>
        </w:rPr>
        <w:t>. Jsou počítány</w:t>
      </w:r>
      <w:r w:rsidR="006956DF">
        <w:rPr>
          <w:rFonts w:cs="Arial"/>
        </w:rPr>
        <w:t xml:space="preserve"> </w:t>
      </w:r>
      <w:r>
        <w:rPr>
          <w:rFonts w:cs="Arial"/>
        </w:rPr>
        <w:t>oddělen</w:t>
      </w:r>
      <w:r w:rsidR="005D1303">
        <w:rPr>
          <w:rFonts w:cs="Arial"/>
        </w:rPr>
        <w:t>ě</w:t>
      </w:r>
      <w:r>
        <w:rPr>
          <w:rFonts w:cs="Arial"/>
        </w:rPr>
        <w:t xml:space="preserve"> pro muže a ženy. </w:t>
      </w:r>
    </w:p>
    <w:p w:rsidR="008263D6" w:rsidRPr="00DF2874" w:rsidRDefault="00704A5B" w:rsidP="008263D6">
      <w:pPr>
        <w:rPr>
          <w:rFonts w:cs="Arial"/>
        </w:rPr>
      </w:pPr>
      <w:r w:rsidRPr="00DF2874">
        <w:rPr>
          <w:rFonts w:cs="Arial"/>
        </w:rPr>
        <w:t xml:space="preserve">S ohledem na vyloučení nahodilých výkyvů jsou tabulky </w:t>
      </w:r>
      <w:r w:rsidR="008263D6" w:rsidRPr="00DF2874">
        <w:rPr>
          <w:rFonts w:cs="Arial"/>
        </w:rPr>
        <w:t>za okresy a SO ORP</w:t>
      </w:r>
      <w:r w:rsidR="006956DF" w:rsidRPr="00DF2874">
        <w:rPr>
          <w:rFonts w:cs="Arial"/>
        </w:rPr>
        <w:t xml:space="preserve"> </w:t>
      </w:r>
      <w:r w:rsidRPr="00DF2874">
        <w:rPr>
          <w:rFonts w:cs="Arial"/>
        </w:rPr>
        <w:t xml:space="preserve">zpracovány za </w:t>
      </w:r>
      <w:r w:rsidR="008263D6" w:rsidRPr="00DF2874">
        <w:rPr>
          <w:rFonts w:cs="Arial"/>
        </w:rPr>
        <w:t>pětil</w:t>
      </w:r>
      <w:r w:rsidRPr="00DF2874">
        <w:rPr>
          <w:rFonts w:cs="Arial"/>
        </w:rPr>
        <w:t>eté kalendářní období.</w:t>
      </w:r>
      <w:r w:rsidR="001A6BC7" w:rsidRPr="00DF2874">
        <w:rPr>
          <w:rFonts w:cs="Arial"/>
        </w:rPr>
        <w:t xml:space="preserve"> </w:t>
      </w:r>
      <w:r w:rsidR="008263D6" w:rsidRPr="00DF2874">
        <w:rPr>
          <w:rFonts w:cs="Arial"/>
        </w:rPr>
        <w:t>Přesto nízké počty zemřelých a použitá (časově i prostorově jednotná) metodika vyrovnávání měr úmrtnosti mohou stát za výkyvy v časové řadě. Kompletní podrobné úmrtnostní tabulky jsou publikovány pouze za okresy, za SO ORP jsou prezentovány jen výsledné naděje dožití ve vybraných věcích.</w:t>
      </w:r>
    </w:p>
    <w:p w:rsidR="00EE4B1B" w:rsidRPr="00C96CCE" w:rsidRDefault="001A6BC7" w:rsidP="00213C0A">
      <w:pPr>
        <w:rPr>
          <w:i/>
        </w:rPr>
      </w:pPr>
      <w:r w:rsidRPr="003527A3">
        <w:rPr>
          <w:rFonts w:cs="Arial"/>
        </w:rPr>
        <w:t>Územní členění odpovídá stavu platnému k 1. 1. každého daného roku.</w:t>
      </w:r>
    </w:p>
    <w:p w:rsidR="002F580C" w:rsidRDefault="002F580C" w:rsidP="002F580C">
      <w:pPr>
        <w:pStyle w:val="Nadpis3"/>
      </w:pPr>
      <w:bookmarkStart w:id="0" w:name="_Toc444112497"/>
      <w:r>
        <w:t>Ukazatele úmrtnostních tabulek</w:t>
      </w:r>
    </w:p>
    <w:p w:rsidR="002F580C" w:rsidRPr="00704A5B" w:rsidRDefault="002F580C" w:rsidP="002F580C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 xml:space="preserve">očet zemřelých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 xml:space="preserve">uvádí absolutní počet zemřelých ve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během daného období.</w:t>
      </w:r>
    </w:p>
    <w:p w:rsidR="002F580C" w:rsidRDefault="002F580C" w:rsidP="002F580C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 xml:space="preserve">očet obyvatel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>
        <w:rPr>
          <w:rFonts w:cs="Arial"/>
        </w:rPr>
        <w:t xml:space="preserve"> uvádí střední stav obyvatel ve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>. V případě tabulek celostátních i tabulek za regiony soudržnosti a kraje je střední stav definován jako bilancovaný počet obyvatel k 1. 7. daného roku, resp. jako součet středních stavů v případě víceletých období.</w:t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 xml:space="preserve">ravděpodobnost úmrtí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</w:rPr>
        <w:t xml:space="preserve"> vyjadřuje</w:t>
      </w:r>
      <w:r>
        <w:rPr>
          <w:rFonts w:cs="Arial"/>
        </w:rPr>
        <w:t xml:space="preserve"> pravděpodobnost, že osoba dožívající se přesného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 let v daném období (tj. před dosažením věku </w:t>
      </w:r>
      <m:oMath>
        <m:r>
          <w:rPr>
            <w:rFonts w:ascii="Cambria Math" w:hAnsi="Cambria Math" w:cs="Arial"/>
          </w:rPr>
          <m:t>x+1</m:t>
        </m:r>
      </m:oMath>
      <w:r>
        <w:rPr>
          <w:rFonts w:cs="Arial"/>
        </w:rPr>
        <w:t>) zemře:</w:t>
      </w:r>
    </w:p>
    <w:p w:rsidR="004F1557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</w:p>
    <w:p w:rsidR="004F1557" w:rsidRPr="008F34AA" w:rsidRDefault="004F1557" w:rsidP="004F1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q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Arial"/>
                <w:szCs w:val="20"/>
              </w:rPr>
              <m:t xml:space="preserve">1 + </m:t>
            </m:r>
            <m:d>
              <m:d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Cs w:val="20"/>
                  </w:rPr>
                  <m:t xml:space="preserve">1 -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 w:cs="Arial"/>
                <w:szCs w:val="20"/>
              </w:rPr>
              <m:t xml:space="preserve"> ∙ </m:t>
            </m:r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den>
        </m:f>
      </m:oMath>
      <w:r w:rsidRPr="008F34AA">
        <w:rPr>
          <w:rFonts w:cs="Arial"/>
          <w:szCs w:val="20"/>
        </w:rPr>
        <w:t xml:space="preserve"> .</w:t>
      </w:r>
    </w:p>
    <w:p w:rsidR="004F1557" w:rsidRPr="00C37FA8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mbria Math" w:hAnsi="Cambria Math" w:cs="Arial"/>
        </w:rPr>
      </w:pP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  <w:r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označuje míru úmrtnosti v daném věku a 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vyčísluje průměrný počet člověkoroků prožitých v daném věkovém intervalu zemřelými jedinci (viz níže).</w:t>
      </w:r>
    </w:p>
    <w:p w:rsidR="004F1557" w:rsidRPr="005D1303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>
        <w:rPr>
          <w:rFonts w:cs="Arial"/>
        </w:rPr>
        <w:t xml:space="preserve"> je hypotetický počet osob, které se dožijí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let ze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=100 000</m:t>
        </m:r>
      </m:oMath>
      <w:r>
        <w:rPr>
          <w:rFonts w:cs="Arial"/>
        </w:rPr>
        <w:t>) při zachování řádu úmrtnosti sledovaného období:</w:t>
      </w:r>
    </w:p>
    <w:p w:rsidR="004F1557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</w:p>
    <w:p w:rsidR="004F1557" w:rsidRPr="00B6244A" w:rsidRDefault="004F1557" w:rsidP="004F1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x+1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∙</m:t>
        </m:r>
        <m:d>
          <m:dPr>
            <m:ctrlPr>
              <w:rPr>
                <w:rFonts w:ascii="Cambria Math" w:hAnsi="Cambria Math" w:cs="Arial"/>
                <w:i/>
                <w:szCs w:val="20"/>
              </w:rPr>
            </m:ctrlPr>
          </m:dPr>
          <m:e>
            <m:r>
              <w:rPr>
                <w:rFonts w:ascii="Cambria Math" w:hAnsi="Cambria Math" w:cs="Arial"/>
                <w:szCs w:val="20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e>
        </m:d>
      </m:oMath>
      <w:r w:rsidRPr="00B6244A">
        <w:rPr>
          <w:rFonts w:cs="Arial"/>
          <w:szCs w:val="20"/>
        </w:rPr>
        <w:t xml:space="preserve"> .</w:t>
      </w:r>
    </w:p>
    <w:p w:rsidR="004F1557" w:rsidRPr="00C37FA8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 w:val="24"/>
        </w:rPr>
      </w:pP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 xml:space="preserve">abulkový počet zemřelých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  <w:i/>
          <w:iCs/>
        </w:rPr>
        <w:t xml:space="preserve"> </w:t>
      </w:r>
      <w:r w:rsidRPr="004F1557">
        <w:rPr>
          <w:rFonts w:cs="Arial"/>
        </w:rPr>
        <w:t>vyjadřuje</w:t>
      </w:r>
      <w:r>
        <w:rPr>
          <w:rFonts w:cs="Arial"/>
        </w:rPr>
        <w:t xml:space="preserve"> hypotetický počet zemřelých osob v dokončeném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let; je počítán jako rozdíl dvou po sobě jdoucích tabulkových počtů dožívajících:</w:t>
      </w:r>
    </w:p>
    <w:p w:rsidR="004F1557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</w:p>
    <w:p w:rsidR="004F1557" w:rsidRPr="00B6244A" w:rsidRDefault="004F1557" w:rsidP="004F1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d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x+1</m:t>
            </m:r>
          </m:sub>
        </m:sSub>
      </m:oMath>
      <w:r w:rsidRPr="00B6244A">
        <w:rPr>
          <w:rFonts w:cs="Arial"/>
          <w:szCs w:val="20"/>
        </w:rPr>
        <w:t xml:space="preserve"> .</w:t>
      </w:r>
    </w:p>
    <w:p w:rsidR="004F1557" w:rsidRPr="00B21224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 xml:space="preserve">abulkový počet žijících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</w:rPr>
        <w:t xml:space="preserve"> je</w:t>
      </w:r>
      <w:r>
        <w:rPr>
          <w:rFonts w:cs="Arial"/>
        </w:rPr>
        <w:t xml:space="preserve"> hypotetický počet člověkoroků prožitých mezi přesnými věky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a </w:t>
      </w:r>
      <m:oMath>
        <m:r>
          <w:rPr>
            <w:rFonts w:ascii="Cambria Math" w:hAnsi="Cambria Math" w:cs="Arial"/>
          </w:rPr>
          <m:t>x+1</m:t>
        </m:r>
      </m:oMath>
      <w:r>
        <w:rPr>
          <w:rFonts w:cs="Arial"/>
        </w:rPr>
        <w:t>:</w:t>
      </w:r>
    </w:p>
    <w:p w:rsidR="004F1557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</w:p>
    <w:p w:rsidR="004F1557" w:rsidRPr="00B6244A" w:rsidRDefault="004F1557" w:rsidP="004F1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-(1-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)∙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</m:oMath>
      <w:r w:rsidRPr="00B6244A">
        <w:rPr>
          <w:rFonts w:cs="Arial"/>
          <w:szCs w:val="20"/>
        </w:rPr>
        <w:t xml:space="preserve"> .</w:t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lastRenderedPageBreak/>
        <w:t>P</w:t>
      </w:r>
      <w:r w:rsidRPr="00213C0A">
        <w:rPr>
          <w:rFonts w:cs="Arial"/>
          <w:b/>
          <w:iCs/>
        </w:rPr>
        <w:t xml:space="preserve">omocný ukazatel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ještě před sebou, a je dán kumulací počtu žijících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</w:rPr>
        <w:t xml:space="preserve"> od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do nejvyššího věku tabulky:</w:t>
      </w:r>
    </w:p>
    <w:p w:rsidR="004F1557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</w:p>
    <w:p w:rsidR="004F1557" w:rsidRPr="00B6244A" w:rsidRDefault="004F1557" w:rsidP="004F1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x</m:t>
            </m:r>
          </m:sub>
          <m:sup>
            <m:r>
              <w:rPr>
                <w:rFonts w:ascii="Cambria Math" w:hAnsi="Cambria Math" w:cs="Arial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x</m:t>
                </m:r>
              </m:sub>
            </m:sSub>
          </m:e>
        </m:nary>
      </m:oMath>
      <w:r w:rsidRPr="00B6244A">
        <w:rPr>
          <w:rFonts w:cs="Arial"/>
        </w:rPr>
        <w:t xml:space="preserve"> .</w:t>
      </w:r>
    </w:p>
    <w:p w:rsidR="004F1557" w:rsidRPr="00B21224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</w:p>
    <w:p w:rsidR="004F1557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 xml:space="preserve">naděje dožití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</w:rPr>
        <w:t xml:space="preserve"> udává</w:t>
      </w:r>
      <w:r>
        <w:rPr>
          <w:rFonts w:cs="Arial"/>
        </w:rPr>
        <w:t xml:space="preserve"> průměrný počet let, který prožije právě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>-letá osoba při zachování úmrtnostních poměrů daného období. Jedná se o souhrnný ukazatel, který odráží úmrtnostní poměry ve všech věkových skupinách.</w:t>
      </w:r>
    </w:p>
    <w:p w:rsidR="004F1557" w:rsidRPr="00B6244A" w:rsidRDefault="004F1557" w:rsidP="004F1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e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den>
        </m:f>
      </m:oMath>
      <w:r w:rsidRPr="00B6244A">
        <w:rPr>
          <w:rFonts w:cs="Arial"/>
          <w:szCs w:val="20"/>
        </w:rPr>
        <w:tab/>
        <w:t>.</w:t>
      </w:r>
    </w:p>
    <w:p w:rsidR="004F1557" w:rsidRPr="00C37FA8" w:rsidRDefault="004F1557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</w:p>
    <w:p w:rsidR="00E037DD" w:rsidRDefault="00E037DD" w:rsidP="00FC405A">
      <w:pPr>
        <w:pStyle w:val="Nadpis2"/>
      </w:pPr>
      <w:r>
        <w:t>P</w:t>
      </w:r>
      <w:r w:rsidR="00C37FA8">
        <w:t>odrobný p</w:t>
      </w:r>
      <w:r>
        <w:t xml:space="preserve">ostup </w:t>
      </w:r>
      <w:r w:rsidR="00C37FA8">
        <w:t>konstrukce</w:t>
      </w:r>
      <w:r>
        <w:t xml:space="preserve"> úmrtnostní tabulky</w:t>
      </w:r>
    </w:p>
    <w:p w:rsidR="00E037DD" w:rsidRDefault="00E037DD" w:rsidP="00FC405A">
      <w:pPr>
        <w:pStyle w:val="Nadpis3"/>
        <w:numPr>
          <w:ilvl w:val="0"/>
          <w:numId w:val="23"/>
        </w:numPr>
        <w:spacing w:before="120" w:after="120"/>
        <w:ind w:left="425" w:hanging="425"/>
      </w:pPr>
      <w:r>
        <w:t>Zpracování vstupních dat</w:t>
      </w:r>
    </w:p>
    <w:p w:rsidR="00865E22" w:rsidRPr="00B6362E" w:rsidRDefault="00865E22" w:rsidP="00865E22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Výpočet pozorovaných měr úmrtnosti</w:t>
      </w:r>
    </w:p>
    <w:p w:rsidR="00E037DD" w:rsidRDefault="00E037D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 empirických dat je</w:t>
      </w:r>
      <w:r w:rsidRPr="002B5138">
        <w:rPr>
          <w:rFonts w:cs="Arial"/>
          <w:color w:val="FF0000"/>
        </w:rPr>
        <w:t xml:space="preserve"> </w:t>
      </w:r>
      <w:r>
        <w:rPr>
          <w:rFonts w:cs="Arial"/>
        </w:rPr>
        <w:t xml:space="preserve">vypočtena tzv. reálná (pozorovaná) </w:t>
      </w:r>
      <w:r w:rsidR="002F580C">
        <w:rPr>
          <w:rFonts w:cs="Arial"/>
        </w:rPr>
        <w:t>míra úmrtnosti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="002F580C" w:rsidRPr="007E18EC">
        <w:rPr>
          <w:rFonts w:cs="Arial"/>
        </w:rPr>
        <w:t>)</w:t>
      </w:r>
      <w:r w:rsidR="002F580C">
        <w:rPr>
          <w:rFonts w:cs="Arial"/>
        </w:rPr>
        <w:t>, jakožto podíl zemřelých a středního stavu obyvatel v daném věku, pohlaví a územní jednotce:</w:t>
      </w:r>
    </w:p>
    <w:p w:rsidR="004F1557" w:rsidRDefault="004F1557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</w:p>
    <w:p w:rsidR="004F1557" w:rsidRDefault="00B11A96" w:rsidP="004F155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4"/>
              </w:rPr>
            </m:ctrlPr>
          </m:sSubSupPr>
          <m:e>
            <m:sPre>
              <m:sPre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r>
                  <w:rPr>
                    <w:rFonts w:ascii="Cambria Math" w:hAnsi="Cambria Math" w:cs="Arial"/>
                    <w:sz w:val="24"/>
                  </w:rPr>
                  <m:t>m</m:t>
                </m:r>
              </m:e>
            </m:sPre>
          </m:e>
          <m:sub>
            <m:r>
              <w:rPr>
                <w:rFonts w:ascii="Cambria Math" w:hAnsi="Cambria Math" w:cs="Arial"/>
                <w:sz w:val="24"/>
              </w:rPr>
              <m:t>x</m:t>
            </m:r>
          </m:sub>
          <m:sup>
            <m:r>
              <w:rPr>
                <w:rFonts w:ascii="Cambria Math" w:hAnsi="Cambria Math" w:cs="Arial"/>
                <w:sz w:val="24"/>
              </w:rPr>
              <m:t>okres</m:t>
            </m:r>
          </m:sup>
        </m:sSubSup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</w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 </m:t>
                        </m:r>
                      </m:sup>
                    </m:sSubSup>
                  </m:e>
                </m:sPre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SubSupPr>
                  <m:e>
                    <m:sPre>
                      <m:sPre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Arial"/>
                            <w:sz w:val="24"/>
                          </w:rPr>
                          <m:t>1.7.(t)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P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="Arial"/>
                        <w:sz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</w:rPr>
                      <m:t xml:space="preserve"> </m:t>
                    </m:r>
                  </m:sup>
                </m:sSubSup>
              </m:e>
            </m:nary>
          </m:den>
        </m:f>
      </m:oMath>
      <w:r w:rsidR="002F580C">
        <w:rPr>
          <w:rFonts w:cs="Arial"/>
          <w:i/>
          <w:sz w:val="24"/>
        </w:rPr>
        <w:t xml:space="preserve"> ,</w:t>
      </w:r>
    </w:p>
    <w:p w:rsidR="004F1557" w:rsidRDefault="004F1557" w:rsidP="004F155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</w:p>
    <w:p w:rsidR="004F1557" w:rsidRDefault="002F580C" w:rsidP="002F580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</w:rPr>
      </w:pPr>
      <w:r>
        <w:rPr>
          <w:rFonts w:cs="Arial"/>
          <w:i/>
          <w:sz w:val="24"/>
        </w:rPr>
        <w:tab/>
      </w:r>
      <m:oMath>
        <m:sSubSup>
          <m:sSubSupPr>
            <m:ctrlPr>
              <w:rPr>
                <w:rFonts w:ascii="Cambria Math" w:hAnsi="Cambria Math" w:cs="Arial"/>
                <w:i/>
                <w:sz w:val="24"/>
              </w:rPr>
            </m:ctrlPr>
          </m:sSubSupPr>
          <m:e>
            <m:sPre>
              <m:sPre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r>
                  <w:rPr>
                    <w:rFonts w:ascii="Cambria Math" w:hAnsi="Cambria Math" w:cs="Arial"/>
                    <w:sz w:val="24"/>
                  </w:rPr>
                  <m:t>m</m:t>
                </m:r>
              </m:e>
            </m:sPre>
          </m:e>
          <m:sub>
            <m:r>
              <w:rPr>
                <w:rFonts w:ascii="Cambria Math" w:hAnsi="Cambria Math" w:cs="Arial"/>
                <w:sz w:val="24"/>
              </w:rPr>
              <m:t>x</m:t>
            </m:r>
          </m:sub>
          <m:sup>
            <m:r>
              <w:rPr>
                <w:rFonts w:ascii="Cambria Math" w:hAnsi="Cambria Math" w:cs="Arial"/>
                <w:sz w:val="24"/>
              </w:rPr>
              <m:t>SO ORP</m:t>
            </m:r>
          </m:sup>
        </m:sSubSup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</w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 </m:t>
                        </m:r>
                      </m:sup>
                    </m:sSubSup>
                  </m:e>
                </m:sPre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fPr>
                      <m:num>
                        <m:sPre>
                          <m:sPre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>1.1.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t</m:t>
                                </m:r>
                              </m:e>
                            </m:d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 xml:space="preserve"> 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 xml:space="preserve"> 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 xml:space="preserve"> </m:t>
                            </m:r>
                            <m:sPre>
                              <m:sPre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</w:rPr>
                                </m:ctrlPr>
                              </m:sPrePr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31.12.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>t</m:t>
                                    </m:r>
                                  </m:e>
                                </m:d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 xml:space="preserve"> 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>x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 xml:space="preserve"> </m:t>
                                    </m:r>
                                  </m:sup>
                                </m:sSubSup>
                              </m:e>
                            </m:sPre>
                          </m:e>
                        </m:sPre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e>
            </m:nary>
          </m:den>
        </m:f>
      </m:oMath>
      <w:r>
        <w:rPr>
          <w:rFonts w:cs="Arial"/>
          <w:i/>
          <w:sz w:val="24"/>
        </w:rPr>
        <w:t xml:space="preserve"> .</w:t>
      </w:r>
      <w:r w:rsidR="00E037DD">
        <w:rPr>
          <w:rFonts w:cs="Arial"/>
        </w:rPr>
        <w:tab/>
      </w:r>
    </w:p>
    <w:p w:rsidR="00E037DD" w:rsidRPr="002F580C" w:rsidRDefault="00E037DD" w:rsidP="002F580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2F580C" w:rsidRPr="00B6362E" w:rsidRDefault="002F580C" w:rsidP="002F580C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Vyrovnání pozorovaných měr úmrtnosti</w:t>
      </w:r>
    </w:p>
    <w:p w:rsidR="004F1557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Pro ošetření možných náhodných fluktuací reálných (pozorovaných) měr úmrtnosti, které jsou obzvláště běžné ve věcích s nízkou úmrtností nebo s nízkými počty žijících, jsou míry úmrtnosti vyhlazeny metodou zobecněných adaptivních modelů v kombinaci s tzv. P-spliny, někdy označováno jako metoda P-GAM (Eilers a Marx, 1996). </w:t>
      </w:r>
      <w:r w:rsidRPr="001D231C">
        <w:t>Prediktorem je věk, predikovanou hodnotou poč</w:t>
      </w:r>
      <w:r>
        <w:t>e</w:t>
      </w:r>
      <w:r w:rsidRPr="001D231C">
        <w:t>t zemřelých</w:t>
      </w:r>
      <w:r>
        <w:t>,</w:t>
      </w:r>
      <w:r w:rsidRPr="001D231C">
        <w:t xml:space="preserve"> počet obyvatel je použit jako offset. U počtů zemřelých se p</w:t>
      </w:r>
      <w:r>
        <w:t>ředpokládá Poissonovo rozdělení</w:t>
      </w:r>
      <w:r w:rsidRPr="001D231C">
        <w:t xml:space="preserve">. </w:t>
      </w:r>
      <w:r>
        <w:t>M</w:t>
      </w:r>
      <w:r w:rsidRPr="001D231C">
        <w:t xml:space="preserve">íra vyhlazení </w:t>
      </w:r>
      <w:r>
        <w:t xml:space="preserve">je </w:t>
      </w:r>
      <w:r w:rsidRPr="001D231C">
        <w:t>„adaptována“ na počty zemřelých v daném věku</w:t>
      </w:r>
      <w:r>
        <w:t xml:space="preserve">, tzn. </w:t>
      </w:r>
      <w:r w:rsidRPr="001D231C">
        <w:t>nižší počty zemřelých jsou vyhlazovány více než vysoké počty zemřelých, kde je tak zachována vý</w:t>
      </w:r>
      <w:r>
        <w:t>znamnost původního jevu/trendu.</w:t>
      </w:r>
    </w:p>
    <w:p w:rsidR="002961AC" w:rsidRPr="00B6362E" w:rsidRDefault="002961A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</w:p>
    <w:p w:rsidR="002F580C" w:rsidRPr="005E0E2D" w:rsidRDefault="002F580C" w:rsidP="002F580C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Modelování úmrtnosti ve vysokém věku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5E0E2D">
        <w:t xml:space="preserve">S ohledem na nízké počty zemřelých ve vysokém věku a nižší spolehlivost údajů o středním stavu nejstarší populace </w:t>
      </w:r>
      <w:r>
        <w:t>jsou</w:t>
      </w:r>
      <w:r w:rsidRPr="005E0E2D">
        <w:t xml:space="preserve"> </w:t>
      </w:r>
      <w:r>
        <w:t xml:space="preserve">vyrovnané pozorované míry </w:t>
      </w:r>
      <w:r w:rsidRPr="005E0E2D">
        <w:t>úmrtnost</w:t>
      </w:r>
      <w:r>
        <w:t>i</w:t>
      </w:r>
      <w:r w:rsidRPr="005E0E2D">
        <w:t xml:space="preserve"> v nejvyšších věcích </w:t>
      </w:r>
      <w:r>
        <w:t xml:space="preserve">nahrazeny </w:t>
      </w:r>
      <w:r w:rsidRPr="005E0E2D">
        <w:t>model</w:t>
      </w:r>
      <w:r>
        <w:t>ovými hodnotami</w:t>
      </w:r>
      <w:r w:rsidRPr="005E0E2D">
        <w:t>.</w:t>
      </w:r>
      <w:r>
        <w:t xml:space="preserve"> Úmrtnostní modely přitom obecně pracují se spojitou definicí míry úmrtnosti, tzv. force of mortality (někdy překládáno jako síla úmrtnosti), značenou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>. V praxi se předpokládá, že při monotónním nárůstu funkce úmrtnosti s věkem přibližně platí následující vztah mezi sílou a mírou úmrtnosti v daném věku (Thatcher a kol., 1998):</w:t>
      </w:r>
    </w:p>
    <w:p w:rsidR="004F1557" w:rsidRDefault="00B11A96" w:rsidP="002961A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r>
              <w:rPr>
                <w:rFonts w:ascii="Cambria Math" w:hAnsi="Cambria Math"/>
                <w:sz w:val="24"/>
              </w:rPr>
              <m:t xml:space="preserve"> ≅ µ</m:t>
            </m:r>
          </m:e>
          <m:sub>
            <m:r>
              <w:rPr>
                <w:rFonts w:ascii="Cambria Math" w:hAnsi="Cambria Math"/>
                <w:sz w:val="24"/>
              </w:rPr>
              <m:t>x+0,5</m:t>
            </m:r>
          </m:sub>
        </m:sSub>
      </m:oMath>
      <w:r w:rsidR="002F580C">
        <w:rPr>
          <w:sz w:val="24"/>
        </w:rPr>
        <w:t xml:space="preserve"> .</w:t>
      </w:r>
    </w:p>
    <w:p w:rsidR="004F1557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lastRenderedPageBreak/>
        <w:t xml:space="preserve">Zde zvolený model je založen na </w:t>
      </w:r>
      <w:r w:rsidRPr="005E0E2D">
        <w:t>logistické křivce, která zohledňuje zpomalení nárůstu úmrtnosti s</w:t>
      </w:r>
      <w:r>
        <w:t> </w:t>
      </w:r>
      <w:r w:rsidRPr="005E0E2D">
        <w:t>věkem</w:t>
      </w:r>
      <w:r>
        <w:t xml:space="preserve">. Konkrétně jde o model, který poprvé použil </w:t>
      </w:r>
      <w:r w:rsidRPr="005E0E2D">
        <w:t>Kannis</w:t>
      </w:r>
      <w:r>
        <w:t>to</w:t>
      </w:r>
      <w:r w:rsidRPr="005E0E2D">
        <w:t xml:space="preserve"> (Thatcher a kol.</w:t>
      </w:r>
      <w:r>
        <w:t>,</w:t>
      </w:r>
      <w:r w:rsidRPr="005E0E2D">
        <w:t xml:space="preserve"> 1998).</w:t>
      </w:r>
      <w:r>
        <w:t xml:space="preserve"> </w:t>
      </w:r>
      <w:r w:rsidRPr="00C6752D">
        <w:t xml:space="preserve">Výpočtový program </w:t>
      </w:r>
      <w:r>
        <w:t xml:space="preserve">tak </w:t>
      </w:r>
      <w:r w:rsidRPr="00C6752D">
        <w:t>model</w:t>
      </w:r>
      <w:r>
        <w:t>uje</w:t>
      </w:r>
      <w:r w:rsidRPr="00C6752D">
        <w:t xml:space="preserve"> věkově specifickou úmrtnost pomocí funkc</w:t>
      </w:r>
      <w:r>
        <w:t>e:</w:t>
      </w:r>
    </w:p>
    <w:p w:rsidR="002F580C" w:rsidRDefault="00B11A96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µ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α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βx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1+ α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βx</m:t>
                </m:r>
              </m:sup>
            </m:sSup>
          </m:den>
        </m:f>
        <m:r>
          <w:rPr>
            <w:rFonts w:ascii="Cambria Math" w:hAnsi="Cambria Math"/>
            <w:sz w:val="24"/>
          </w:rPr>
          <m:t>+c</m:t>
        </m:r>
      </m:oMath>
      <w:r w:rsidR="002F580C">
        <w:rPr>
          <w:sz w:val="24"/>
        </w:rPr>
        <w:t xml:space="preserve"> .</w:t>
      </w:r>
    </w:p>
    <w:p w:rsidR="004F1557" w:rsidRPr="00B21224" w:rsidRDefault="004F1557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</w:p>
    <w:p w:rsidR="004F1557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C6752D">
        <w:t xml:space="preserve">kde </w:t>
      </w:r>
      <m:oMath>
        <m:r>
          <w:rPr>
            <w:rFonts w:ascii="Cambria Math" w:hAnsi="Cambria Math"/>
          </w:rPr>
          <m:t>x</m:t>
        </m:r>
      </m:oMath>
      <w:r w:rsidRPr="00C6752D">
        <w:t xml:space="preserve"> je věk a </w:t>
      </w:r>
      <m:oMath>
        <m:r>
          <w:rPr>
            <w:rFonts w:ascii="Cambria Math" w:hAnsi="Cambria Math"/>
          </w:rPr>
          <m:t>α</m:t>
        </m:r>
      </m:oMath>
      <w:r w:rsidRPr="00C6752D">
        <w:t xml:space="preserve">, </w:t>
      </w:r>
      <m:oMath>
        <m:r>
          <w:rPr>
            <w:rFonts w:ascii="Cambria Math" w:hAnsi="Cambria Math"/>
          </w:rPr>
          <m:t>β</m:t>
        </m:r>
      </m:oMath>
      <w:r w:rsidRPr="00C6752D">
        <w:t xml:space="preserve"> jsou jednotlivé parametry a </w:t>
      </w:r>
      <m:oMath>
        <m:r>
          <w:rPr>
            <w:rFonts w:ascii="Cambria Math" w:hAnsi="Cambria Math"/>
          </w:rPr>
          <m:t>c</m:t>
        </m:r>
      </m:oMath>
      <w:r w:rsidRPr="00C6752D">
        <w:t xml:space="preserve"> je konstanta</w:t>
      </w:r>
      <w:r>
        <w:t>. Parametry funkce jsou odhadnuty metodou maximální věrohodnosti. Výchozí odhad parametrů je založen na předpokladu Poissonova rozdělení počtů zemřelých (</w:t>
      </w:r>
      <m:oMath>
        <m:r>
          <w:rPr>
            <w:rFonts w:ascii="Cambria Math" w:hAnsi="Cambria Math"/>
          </w:rPr>
          <m:t>D</m:t>
        </m:r>
      </m:oMath>
      <w:r>
        <w:t xml:space="preserve">) ve věku </w:t>
      </w:r>
      <m:oMath>
        <m:r>
          <w:rPr>
            <w:rFonts w:ascii="Cambria Math" w:hAnsi="Cambria Math"/>
          </w:rPr>
          <m:t>x</m:t>
        </m:r>
      </m:oMath>
      <w:r>
        <w:t>. Na základě těchto předpokladů je pak maximalizován logaritmus věrohodnostní funkce (</w:t>
      </w:r>
      <m:oMath>
        <m:r>
          <w:rPr>
            <w:rFonts w:ascii="Cambria Math" w:hAnsi="Cambria Math"/>
          </w:rPr>
          <m:t>L</m:t>
        </m:r>
      </m:oMath>
      <w:r>
        <w:t>) ve tvaru: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</w:rPr>
          <m:t>lnL=</m:t>
        </m:r>
      </m:oMath>
      <w:r w:rsidRPr="00C6752D">
        <w:rPr>
          <w:rFonts w:ascii="Times New Roman" w:hAnsi="Times New Roman"/>
          <w:sz w:val="24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ln(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)-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</m:e>
            </m:func>
          </m:e>
        </m:nary>
      </m:oMath>
      <w:r>
        <w:rPr>
          <w:rFonts w:ascii="Times New Roman" w:hAnsi="Times New Roman"/>
          <w:sz w:val="24"/>
        </w:rPr>
        <w:t>.</w:t>
      </w:r>
    </w:p>
    <w:p w:rsidR="004F1557" w:rsidRDefault="004F1557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</w:p>
    <w:p w:rsidR="002F580C" w:rsidRPr="005E0E2D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Při optimalizaci (záporného logaritmu) věrohodnostní funkce program pracuje s vlastními počátečními hodnotami parametrů. Pro odhad parametrů je nastaveno věkové rozpětí 70–90 let.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Při přechodu z vyrovnaných na modelové hodnoty </w:t>
      </w:r>
      <w:r>
        <w:t xml:space="preserve">se </w:t>
      </w:r>
      <w:r w:rsidRPr="006C1EDE">
        <w:t xml:space="preserve">předpokládá, že věk, od kterého modelové hodnoty charakterizují úmrtnost lépe než vyrovnané hodnoty, je vyšší než 75 let. Pro hladký průběh nahrazení vyrovnaných hodnot modelovými hodnotami </w:t>
      </w:r>
      <w:r>
        <w:t xml:space="preserve">se </w:t>
      </w:r>
      <w:r w:rsidRPr="006C1EDE">
        <w:t xml:space="preserve">nejprve hledá věk </w:t>
      </w:r>
      <m:oMath>
        <m:r>
          <w:rPr>
            <w:rFonts w:ascii="Cambria Math" w:hAnsi="Cambria Math"/>
          </w:rPr>
          <m:t>y</m:t>
        </m:r>
      </m:oMath>
      <w:r w:rsidRPr="006C1EDE">
        <w:t xml:space="preserve"> vyšší než 75 let, kde je pozorován nejnižší rozdíl mezi vyrovnanou a modelovou mírou úmrtnosti, tzn. </w:t>
      </w:r>
      <w:r>
        <w:t xml:space="preserve">takový </w:t>
      </w:r>
      <w:r w:rsidRPr="006C1EDE">
        <w:t xml:space="preserve">věk </w:t>
      </w:r>
      <m:oMath>
        <m:r>
          <w:rPr>
            <w:rFonts w:ascii="Cambria Math" w:hAnsi="Cambria Math"/>
          </w:rPr>
          <m:t>y</m:t>
        </m:r>
      </m:oMath>
      <w:r w:rsidRPr="006C1EDE">
        <w:t>, pro který platí:</w:t>
      </w:r>
    </w:p>
    <w:p w:rsidR="004F1557" w:rsidRDefault="004F1557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</w:p>
    <w:p w:rsidR="002F580C" w:rsidRDefault="00B11A96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vyrovn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model</m:t>
                </m:r>
              </m:sup>
            </m:sSubSup>
          </m:e>
        </m:d>
        <m:r>
          <w:rPr>
            <w:rFonts w:ascii="Cambria Math" w:hAnsi="Cambria Math"/>
            <w:sz w:val="24"/>
          </w:rPr>
          <m:t>=min</m:t>
        </m:r>
      </m:oMath>
      <w:r w:rsidR="002F580C" w:rsidRPr="00C0258A">
        <w:rPr>
          <w:rFonts w:cs="Arial"/>
          <w:szCs w:val="20"/>
        </w:rPr>
        <w:t>,    y ≥ 75</w:t>
      </w:r>
      <w:r w:rsidR="002F580C">
        <w:rPr>
          <w:rFonts w:cs="Arial"/>
          <w:szCs w:val="20"/>
        </w:rPr>
        <w:t xml:space="preserve"> .</w:t>
      </w:r>
    </w:p>
    <w:p w:rsidR="004F1557" w:rsidRPr="00C0258A" w:rsidRDefault="004F1557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</w:rPr>
      </w:pPr>
    </w:p>
    <w:p w:rsidR="004F1557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Po nalezení věku </w:t>
      </w:r>
      <m:oMath>
        <m:r>
          <w:rPr>
            <w:rFonts w:ascii="Cambria Math" w:hAnsi="Cambria Math"/>
          </w:rPr>
          <m:t>y</m:t>
        </m:r>
      </m:oMath>
      <w:r w:rsidRPr="006C1EDE">
        <w:t xml:space="preserve"> pak provedeme postupnou graduaci vyrovnaných na modelové hodnoty pro věky </w:t>
      </w:r>
      <w:r>
        <w:br/>
      </w:r>
      <m:oMath>
        <m:r>
          <w:rPr>
            <w:rFonts w:ascii="Cambria Math" w:hAnsi="Cambria Math"/>
          </w:rPr>
          <m:t>x </m:t>
        </m:r>
        <m:r>
          <w:rPr>
            <w:rFonts w:ascii="Cambria Math" w:hAnsi="Cambria Math" w:cs="Cambria Math"/>
          </w:rPr>
          <m:t>∈ </m:t>
        </m:r>
        <m:r>
          <w:rPr>
            <w:rFonts w:ascii="Cambria Math" w:hAnsi="Cambria Math"/>
          </w:rPr>
          <m:t>[(y-4), (y+4)]</m:t>
        </m:r>
      </m:oMath>
      <w:r w:rsidRPr="006C1EDE">
        <w:t xml:space="preserve"> dle vztahu:</w:t>
      </w:r>
    </w:p>
    <w:p w:rsidR="004F1557" w:rsidRDefault="004F1557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</w:p>
    <w:p w:rsidR="002F580C" w:rsidRDefault="00B11A96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grad</m:t>
            </m:r>
          </m:sup>
        </m:sSub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x-y+5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vyrovn</m:t>
            </m:r>
          </m:sup>
        </m:sSubSup>
        <m:r>
          <w:rPr>
            <w:rFonts w:ascii="Cambria Math" w:hAnsi="Cambria Math"/>
            <w:sz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x-y+5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model</m:t>
            </m:r>
          </m:sup>
        </m:sSubSup>
      </m:oMath>
      <w:r w:rsidR="002F580C">
        <w:rPr>
          <w:sz w:val="24"/>
        </w:rPr>
        <w:t xml:space="preserve"> .</w:t>
      </w:r>
    </w:p>
    <w:p w:rsidR="004F1557" w:rsidRPr="00B21224" w:rsidRDefault="004F1557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</w:p>
    <w:p w:rsidR="002F580C" w:rsidRDefault="002F580C" w:rsidP="002F580C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</w:pPr>
      <w:r>
        <w:t>Pro výpočet úmrtnostní tabulky je použita následující kombinace hodnot věkově specifických měr úmrtnosti: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0:</w:t>
      </w:r>
      <w:r>
        <w:tab/>
      </w:r>
      <w:r>
        <w:tab/>
      </w:r>
      <w:r>
        <w:tab/>
        <w:t>reálné (pozorované) hodnoty,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 xml:space="preserve">pro věk 1 až </w:t>
      </w:r>
      <m:oMath>
        <m:r>
          <w:rPr>
            <w:rFonts w:ascii="Cambria Math" w:hAnsi="Cambria Math"/>
          </w:rPr>
          <m:t>(y-5)</m:t>
        </m:r>
      </m:oMath>
      <w:r>
        <w:t>:</w:t>
      </w:r>
      <w:r>
        <w:tab/>
      </w:r>
      <w:r>
        <w:tab/>
        <w:t>vyrovnané hodnoty,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 xml:space="preserve">pro věk </w:t>
      </w:r>
      <m:oMath>
        <m:r>
          <w:rPr>
            <w:rFonts w:ascii="Cambria Math" w:hAnsi="Cambria Math"/>
          </w:rPr>
          <m:t xml:space="preserve">(y-4) </m:t>
        </m:r>
      </m:oMath>
      <w:r>
        <w:t xml:space="preserve">až </w:t>
      </w:r>
      <m:oMath>
        <m:r>
          <w:rPr>
            <w:rFonts w:ascii="Cambria Math" w:hAnsi="Cambria Math"/>
          </w:rPr>
          <m:t>(y+4)</m:t>
        </m:r>
      </m:oMath>
      <w:r>
        <w:t>:</w:t>
      </w:r>
      <w:r>
        <w:tab/>
        <w:t>graduace mezi vyrovnanými a modelovými hodnotami,</w:t>
      </w:r>
    </w:p>
    <w:p w:rsidR="004F1557" w:rsidRDefault="002F580C" w:rsidP="004F15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 xml:space="preserve">pro věk </w:t>
      </w:r>
      <m:oMath>
        <m:r>
          <w:rPr>
            <w:rFonts w:ascii="Cambria Math" w:hAnsi="Cambria Math"/>
          </w:rPr>
          <m:t>(y+5)</m:t>
        </m:r>
      </m:oMath>
      <w:r>
        <w:t xml:space="preserve"> a vyšší:</w:t>
      </w:r>
      <w:r>
        <w:tab/>
      </w:r>
      <w:r>
        <w:tab/>
        <w:t>modelové hodnoty.</w:t>
      </w:r>
    </w:p>
    <w:p w:rsidR="004F1557" w:rsidRPr="00FC405A" w:rsidRDefault="004F1557" w:rsidP="004F15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</w:p>
    <w:p w:rsidR="00704A5B" w:rsidRPr="00F85066" w:rsidRDefault="006532D6" w:rsidP="00FC405A">
      <w:pPr>
        <w:pStyle w:val="Nadpis3"/>
        <w:numPr>
          <w:ilvl w:val="0"/>
          <w:numId w:val="23"/>
        </w:numPr>
        <w:spacing w:before="240" w:after="120"/>
        <w:ind w:left="426" w:hanging="426"/>
        <w:rPr>
          <w:i/>
        </w:rPr>
      </w:pPr>
      <w:r w:rsidRPr="00FC405A">
        <w:t>Př</w:t>
      </w:r>
      <w:r w:rsidR="00856B37" w:rsidRPr="00FC405A">
        <w:t xml:space="preserve">evod reálných </w:t>
      </w:r>
      <w:r w:rsidR="003F65ED" w:rsidRPr="00FC405A">
        <w:t xml:space="preserve">vyrovnaných </w:t>
      </w:r>
      <w:r w:rsidR="00856B37" w:rsidRPr="00FC405A">
        <w:t>dat na tabu</w:t>
      </w:r>
      <w:r w:rsidR="00856B37">
        <w:t>lkové</w:t>
      </w:r>
    </w:p>
    <w:bookmarkEnd w:id="0"/>
    <w:p w:rsidR="004F1557" w:rsidRDefault="002F580C" w:rsidP="004F1557">
      <w:pPr>
        <w:spacing w:after="120"/>
        <w:rPr>
          <w:rFonts w:cs="Arial"/>
          <w:iCs/>
        </w:rPr>
      </w:pPr>
      <w:r w:rsidRPr="004F1557">
        <w:rPr>
          <w:rFonts w:cs="Arial"/>
          <w:iCs/>
        </w:rPr>
        <w:t>Základem pro výpočet úmrtnostní tabulky nepřímou metodou je převod věkově specifických měr úmrtnosti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 na pravděpodobnosti úmrtí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). Za předpokladu rovnosti reálné a tabulkové míry úmrtnosti a za předpokladu stability měr úmrtnosti v hypotetické tabulkové kohortě používáme následující převodní rovnici (Chiang, 1984):</w:t>
      </w:r>
    </w:p>
    <w:p w:rsidR="004F1557" w:rsidRPr="002961AC" w:rsidRDefault="00B11A96" w:rsidP="002961AC">
      <w:pPr>
        <w:spacing w:after="120"/>
        <w:jc w:val="center"/>
        <w:rPr>
          <w:rFonts w:cs="Arial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="002F580C" w:rsidRPr="004F1557">
        <w:rPr>
          <w:rFonts w:cs="Arial"/>
          <w:sz w:val="24"/>
        </w:rPr>
        <w:t xml:space="preserve"> .</w:t>
      </w:r>
    </w:p>
    <w:p w:rsidR="002F580C" w:rsidRDefault="002F580C" w:rsidP="004F1557">
      <w:pPr>
        <w:spacing w:after="120"/>
        <w:rPr>
          <w:rFonts w:cs="Arial"/>
          <w:iCs/>
        </w:rPr>
      </w:pPr>
      <w:r w:rsidRPr="004F1557">
        <w:rPr>
          <w:rFonts w:cs="Arial"/>
          <w:iCs/>
        </w:rPr>
        <w:lastRenderedPageBreak/>
        <w:t xml:space="preserve">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 xml:space="preserve"> vyčísluje průměrný počet člověkoroků prožitých v daném věkovém intervalu zemřelými jedinci. Hodnotu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 xml:space="preserve"> lze pozorovat přímo z reálných dat (jsou-li k dispozici přesné věky zemřelých tak jako jejich průměr), alternativně ji lze odvodit z pozorovaných úmrtnostních měr nebo převzít z populace s podobným řádem vymírání (Preston a kol., 2000). S ohledem na obecně platný předpoklad rovnoměrného rozložení přesného věku zemřelých je použita hodnota 0,5 pro všechny věky s výjimkou věku 0 a posledního (otevřeného) věkového intervalu. V případě odhadu průměrného věku zemřelých kojenců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4F1557">
        <w:rPr>
          <w:rFonts w:cs="Arial"/>
          <w:iCs/>
        </w:rPr>
        <w:t xml:space="preserve">) je využit nejpřesnější způsob výpočtu přímo z pozorovaných dat (Andreev a Kingkade, 2015), kdy je hodnota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4F1557">
        <w:rPr>
          <w:rFonts w:cs="Arial"/>
          <w:iCs/>
        </w:rPr>
        <w:t xml:space="preserve"> vypočtena z reálných individuálních dat jakožto pozorovaný podíl průměrného věku zemřelých kojenců (ve dnech) na celkovém trvání kalendářního roku (365 dní):</w:t>
      </w:r>
    </w:p>
    <w:p w:rsidR="004F1557" w:rsidRPr="004F1557" w:rsidRDefault="004F1557" w:rsidP="004F1557">
      <w:pPr>
        <w:spacing w:after="120"/>
        <w:rPr>
          <w:rFonts w:cs="Arial"/>
          <w:iCs/>
        </w:rPr>
      </w:pPr>
    </w:p>
    <w:p w:rsidR="004F1557" w:rsidRPr="004F1557" w:rsidRDefault="00B11A96" w:rsidP="004F1557">
      <w:pPr>
        <w:ind w:left="360"/>
        <w:jc w:val="center"/>
        <w:rPr>
          <w:rFonts w:cs="Arial"/>
          <w:iCs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poz</m:t>
            </m:r>
          </m:sup>
        </m:sSub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grow m:val="1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i, 0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dny</m:t>
                            </m:r>
                          </m:e>
                        </m:d>
                      </m:sup>
                    </m:sSubSup>
                  </m:e>
                </m:nary>
              </m:num>
              <m:den>
                <m:nary>
                  <m:naryPr>
                    <m:chr m:val="∑"/>
                    <m:limLoc m:val="undOvr"/>
                    <m:grow m:val="1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i, 0</m:t>
                        </m:r>
                      </m:sub>
                    </m:sSub>
                  </m:e>
                </m:nary>
              </m:den>
            </m:f>
          </m:e>
        </m:d>
        <m:r>
          <w:rPr>
            <w:rFonts w:ascii="Cambria Math" w:hAnsi="Cambria Math"/>
            <w:sz w:val="24"/>
          </w:rPr>
          <m:t>/ 365</m:t>
        </m:r>
      </m:oMath>
      <w:r w:rsidR="002F580C" w:rsidRPr="004F1557">
        <w:rPr>
          <w:rFonts w:cs="Arial"/>
          <w:sz w:val="24"/>
        </w:rPr>
        <w:t xml:space="preserve"> .</w:t>
      </w:r>
    </w:p>
    <w:p w:rsidR="004F1557" w:rsidRDefault="002F580C" w:rsidP="004F1557">
      <w:pPr>
        <w:rPr>
          <w:rFonts w:cs="Arial"/>
          <w:iCs/>
        </w:rPr>
      </w:pPr>
      <w:r w:rsidRPr="004F1557"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i, 0</m:t>
            </m:r>
          </m:sub>
        </m:sSub>
      </m:oMath>
      <w:r w:rsidRPr="004F1557">
        <w:rPr>
          <w:rFonts w:cs="Arial"/>
          <w:iCs/>
        </w:rPr>
        <w:t xml:space="preserve"> je individuální úmrtí v kojeneckém věku a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i, 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dny</m:t>
                </m:r>
              </m:e>
            </m:d>
          </m:sup>
        </m:sSubSup>
      </m:oMath>
      <w:r w:rsidRPr="004F1557">
        <w:rPr>
          <w:rFonts w:cs="Arial"/>
          <w:iCs/>
        </w:rPr>
        <w:t xml:space="preserve">individuální věk zemřelého kojence ve dnech. </w:t>
      </w:r>
      <w:bookmarkStart w:id="1" w:name="_GoBack"/>
      <w:bookmarkEnd w:id="1"/>
    </w:p>
    <w:p w:rsidR="002F580C" w:rsidRPr="004F1557" w:rsidRDefault="002F580C" w:rsidP="004F1557">
      <w:pPr>
        <w:rPr>
          <w:rFonts w:cs="Arial"/>
          <w:iCs/>
        </w:rPr>
      </w:pPr>
      <w:r w:rsidRPr="004F1557">
        <w:rPr>
          <w:rFonts w:cs="Arial"/>
          <w:iCs/>
        </w:rPr>
        <w:t xml:space="preserve">Hodnota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4F1557">
        <w:rPr>
          <w:rFonts w:cs="Arial"/>
          <w:iCs/>
        </w:rPr>
        <w:t xml:space="preserve"> je nastavena jako jeden z parametrů (výchozí defaultní hodnota je 0,1). V případě nižších územních celků se vždy uvádí hodnota vypočtená z dat za celou ČR v daném období. </w:t>
      </w:r>
    </w:p>
    <w:p w:rsidR="002F580C" w:rsidRPr="004F1557" w:rsidRDefault="002F580C" w:rsidP="004F1557">
      <w:pPr>
        <w:spacing w:after="120"/>
        <w:rPr>
          <w:rFonts w:cs="Arial"/>
          <w:iCs/>
        </w:rPr>
      </w:pPr>
      <w:r w:rsidRPr="004F1557">
        <w:rPr>
          <w:rFonts w:cs="Arial"/>
          <w:iCs/>
        </w:rPr>
        <w:t xml:space="preserve">U poslední otevřené věkové skupiny (zde 105+) je 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 xml:space="preserve"> vypočten jako (viz např. Preston a kol., 2000):</w:t>
      </w:r>
    </w:p>
    <w:p w:rsidR="002F580C" w:rsidRPr="002F580C" w:rsidRDefault="00B11A96" w:rsidP="002F580C">
      <w:pPr>
        <w:pStyle w:val="Odstavecseseznamem"/>
        <w:numPr>
          <w:ilvl w:val="0"/>
          <w:numId w:val="23"/>
        </w:numPr>
        <w:jc w:val="center"/>
        <w:rPr>
          <w:rFonts w:cs="Arial"/>
          <w:iCs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105+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105+</m:t>
                </m:r>
              </m:sub>
            </m:sSub>
          </m:den>
        </m:f>
      </m:oMath>
      <w:r w:rsidR="002F580C" w:rsidRPr="002F580C">
        <w:rPr>
          <w:rFonts w:cs="Arial"/>
          <w:sz w:val="24"/>
        </w:rPr>
        <w:t xml:space="preserve"> .</w:t>
      </w:r>
    </w:p>
    <w:p w:rsidR="002F580C" w:rsidRDefault="002F580C" w:rsidP="004F1557">
      <w:pPr>
        <w:rPr>
          <w:rFonts w:cs="Arial"/>
          <w:iCs/>
        </w:rPr>
      </w:pPr>
      <w:r w:rsidRPr="004F1557">
        <w:rPr>
          <w:rFonts w:cs="Arial"/>
          <w:iCs/>
        </w:rPr>
        <w:t xml:space="preserve">Další postup výpočtu úmrtnostních tabulek navazuje na vypočtené hodnoty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 xml:space="preserve"> (viz Ukazatele úmrtnostních tabulek).</w:t>
      </w:r>
    </w:p>
    <w:p w:rsidR="004F1557" w:rsidRPr="004F1557" w:rsidRDefault="004F1557" w:rsidP="004F1557">
      <w:pPr>
        <w:rPr>
          <w:rFonts w:cs="Arial"/>
          <w:iCs/>
        </w:rPr>
      </w:pPr>
    </w:p>
    <w:p w:rsidR="002964B2" w:rsidRDefault="002964B2" w:rsidP="002964B2">
      <w:pPr>
        <w:pStyle w:val="Nadpis2"/>
      </w:pPr>
      <w:r>
        <w:t>Použitá literatura</w:t>
      </w:r>
    </w:p>
    <w:p w:rsidR="002964B2" w:rsidRPr="002F580C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  <w:lang w:val="en-GB"/>
        </w:rPr>
      </w:pPr>
      <w:r w:rsidRPr="002F580C">
        <w:rPr>
          <w:rFonts w:eastAsiaTheme="minorEastAsia" w:cs="Arial"/>
          <w:szCs w:val="20"/>
          <w:lang w:val="en-GB"/>
        </w:rPr>
        <w:t xml:space="preserve">Andreev, E. a Kingkade, W. W. (2015). Average age at death in infancy and infant mortality level: Reconsidering the Coale-Demeny formulas at current levels of low mortality. </w:t>
      </w:r>
      <w:r w:rsidRPr="002F580C">
        <w:rPr>
          <w:rFonts w:eastAsiaTheme="minorEastAsia" w:cs="Arial"/>
          <w:i/>
          <w:szCs w:val="20"/>
          <w:lang w:val="en-GB"/>
        </w:rPr>
        <w:t>Demographic Research</w:t>
      </w:r>
      <w:r w:rsidRPr="002F580C">
        <w:rPr>
          <w:rFonts w:eastAsiaTheme="minorEastAsia" w:cs="Arial"/>
          <w:szCs w:val="20"/>
          <w:lang w:val="en-GB"/>
        </w:rPr>
        <w:t>. 33(13): 363−390.</w:t>
      </w:r>
    </w:p>
    <w:p w:rsidR="002964B2" w:rsidRPr="002F580C" w:rsidRDefault="002964B2" w:rsidP="00BA39DB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szCs w:val="20"/>
          <w:lang w:val="en-GB"/>
        </w:rPr>
      </w:pPr>
      <w:r w:rsidRPr="002F580C">
        <w:rPr>
          <w:rFonts w:cs="Arial"/>
          <w:szCs w:val="20"/>
          <w:lang w:val="en-GB"/>
        </w:rPr>
        <w:t xml:space="preserve">Eilers, P. H. C. a Marx B. D. (1996). Flexible Smoothing with B-splines and Penalties. </w:t>
      </w:r>
      <w:r w:rsidRPr="002F580C">
        <w:rPr>
          <w:rFonts w:cs="Arial"/>
          <w:i/>
          <w:szCs w:val="20"/>
          <w:lang w:val="en-GB"/>
        </w:rPr>
        <w:t>Statistical Science.</w:t>
      </w:r>
      <w:r w:rsidRPr="002F580C">
        <w:rPr>
          <w:rFonts w:cs="Arial"/>
          <w:szCs w:val="20"/>
          <w:lang w:val="en-GB"/>
        </w:rPr>
        <w:t xml:space="preserve"> 11(2):89</w:t>
      </w:r>
      <w:r w:rsidR="00BA39DB" w:rsidRPr="002F580C">
        <w:rPr>
          <w:rFonts w:cs="Arial"/>
          <w:szCs w:val="20"/>
          <w:lang w:val="en-GB"/>
        </w:rPr>
        <w:t>–</w:t>
      </w:r>
      <w:r w:rsidRPr="002F580C">
        <w:rPr>
          <w:rFonts w:cs="Arial"/>
          <w:szCs w:val="20"/>
          <w:lang w:val="en-GB"/>
        </w:rPr>
        <w:t>121.</w:t>
      </w:r>
    </w:p>
    <w:p w:rsidR="002964B2" w:rsidRPr="002F580C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cs="Arial"/>
          <w:szCs w:val="20"/>
          <w:lang w:val="en-GB"/>
        </w:rPr>
      </w:pPr>
      <w:r w:rsidRPr="002F580C">
        <w:rPr>
          <w:rFonts w:cs="Arial"/>
          <w:szCs w:val="20"/>
          <w:lang w:val="en-GB"/>
        </w:rPr>
        <w:t xml:space="preserve">Chiang, C. L. (1984). </w:t>
      </w:r>
      <w:r w:rsidRPr="002F580C">
        <w:rPr>
          <w:rFonts w:cs="Arial"/>
          <w:i/>
          <w:szCs w:val="20"/>
          <w:lang w:val="en-GB"/>
        </w:rPr>
        <w:t>The Life Table and Its Applications</w:t>
      </w:r>
      <w:r w:rsidRPr="002F580C">
        <w:rPr>
          <w:rFonts w:cs="Arial"/>
          <w:szCs w:val="20"/>
          <w:lang w:val="en-GB"/>
        </w:rPr>
        <w:t>. Robert E. Krieger Publishing Company, Malabar, FL, USA.</w:t>
      </w:r>
    </w:p>
    <w:p w:rsidR="002964B2" w:rsidRPr="002F580C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  <w:lang w:val="en-GB"/>
        </w:rPr>
      </w:pPr>
      <w:r w:rsidRPr="002F580C">
        <w:rPr>
          <w:rFonts w:eastAsiaTheme="minorEastAsia" w:cs="Arial"/>
          <w:szCs w:val="20"/>
          <w:lang w:val="en-GB"/>
        </w:rPr>
        <w:t xml:space="preserve">Preston, S. H., Heuveline, P., Guillot, M. (2001). </w:t>
      </w:r>
      <w:r w:rsidRPr="002F580C">
        <w:rPr>
          <w:rFonts w:eastAsiaTheme="minorEastAsia" w:cs="Arial"/>
          <w:i/>
          <w:szCs w:val="20"/>
          <w:lang w:val="en-GB"/>
        </w:rPr>
        <w:t>Demography: Measuring and modeling population processes</w:t>
      </w:r>
      <w:r w:rsidRPr="002F580C">
        <w:rPr>
          <w:rFonts w:eastAsiaTheme="minorEastAsia" w:cs="Arial"/>
          <w:szCs w:val="20"/>
          <w:lang w:val="en-GB"/>
        </w:rPr>
        <w:t>. Oxford: Blackwell Publishers.</w:t>
      </w:r>
    </w:p>
    <w:p w:rsidR="002964B2" w:rsidRPr="002F580C" w:rsidRDefault="002964B2" w:rsidP="00BA39DB">
      <w:pPr>
        <w:spacing w:after="120" w:line="240" w:lineRule="auto"/>
        <w:ind w:left="567" w:hanging="567"/>
        <w:rPr>
          <w:rFonts w:cs="Arial"/>
          <w:szCs w:val="20"/>
          <w:lang w:val="en-GB"/>
        </w:rPr>
      </w:pPr>
      <w:r w:rsidRPr="002F580C">
        <w:rPr>
          <w:rFonts w:cs="Arial"/>
          <w:szCs w:val="20"/>
          <w:lang w:val="en-GB"/>
        </w:rPr>
        <w:t xml:space="preserve">Thatcher, A., Kannisto, V., a Vaupel, J. W. (1998). </w:t>
      </w:r>
      <w:r w:rsidRPr="002F580C">
        <w:rPr>
          <w:rFonts w:cs="Arial"/>
          <w:i/>
          <w:szCs w:val="20"/>
          <w:lang w:val="en-GB"/>
        </w:rPr>
        <w:t>The Force of Mortality at Ages 80 to 120.</w:t>
      </w:r>
      <w:r w:rsidRPr="002F580C">
        <w:rPr>
          <w:rFonts w:cs="Arial"/>
          <w:szCs w:val="20"/>
          <w:lang w:val="en-GB"/>
        </w:rPr>
        <w:t xml:space="preserve"> Odense, Denmark: Odense University Press.</w:t>
      </w: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2964B2" w:rsidRDefault="002964B2" w:rsidP="002964B2"/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96" w:rsidRDefault="00B11A96" w:rsidP="00E71A58">
      <w:r>
        <w:separator/>
      </w:r>
    </w:p>
  </w:endnote>
  <w:endnote w:type="continuationSeparator" w:id="0">
    <w:p w:rsidR="00B11A96" w:rsidRDefault="00B11A9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val="en-GB" w:eastAsia="en-GB"/>
      </w:rPr>
      <w:drawing>
        <wp:anchor distT="0" distB="0" distL="114300" distR="114300" simplePos="0" relativeHeight="251662848" behindDoc="0" locked="0" layoutInCell="1" allowOverlap="1" wp14:anchorId="3753670F" wp14:editId="15A57B00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2961AC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F580C">
      <w:rPr>
        <w:rStyle w:val="ZpatChar"/>
        <w:szCs w:val="16"/>
      </w:rPr>
      <w:t>201</w:t>
    </w:r>
    <w:r w:rsidR="009D471D">
      <w:rPr>
        <w:rStyle w:val="ZpatChar"/>
        <w:szCs w:val="16"/>
      </w:rPr>
      <w:t>7–2021</w:t>
    </w:r>
    <w:r w:rsidR="00487CC8">
      <w:rPr>
        <w:rStyle w:val="ZpatChar"/>
        <w:szCs w:val="16"/>
      </w:rPr>
      <w:t xml:space="preserve"> / </w:t>
    </w:r>
    <w:r w:rsidR="009D471D">
      <w:rPr>
        <w:rStyle w:val="ZpatChar"/>
        <w:i/>
        <w:szCs w:val="16"/>
      </w:rPr>
      <w:t>2017–2021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val="en-GB" w:eastAsia="en-GB"/>
      </w:rPr>
      <w:drawing>
        <wp:anchor distT="0" distB="0" distL="114300" distR="114300" simplePos="0" relativeHeight="251657728" behindDoc="0" locked="0" layoutInCell="1" allowOverlap="1" wp14:anchorId="0F53A93B" wp14:editId="178FF15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F580C">
      <w:rPr>
        <w:rStyle w:val="ZpatChar"/>
        <w:szCs w:val="16"/>
      </w:rPr>
      <w:t>201</w:t>
    </w:r>
    <w:r w:rsidR="009D471D">
      <w:rPr>
        <w:rStyle w:val="ZpatChar"/>
        <w:szCs w:val="16"/>
      </w:rPr>
      <w:t>7–2021</w:t>
    </w:r>
    <w:r w:rsidR="00487CC8">
      <w:rPr>
        <w:rStyle w:val="ZpatChar"/>
        <w:szCs w:val="16"/>
      </w:rPr>
      <w:t xml:space="preserve"> / </w:t>
    </w:r>
    <w:r w:rsidR="009D471D">
      <w:rPr>
        <w:rStyle w:val="ZpatChar"/>
        <w:i/>
        <w:szCs w:val="16"/>
      </w:rPr>
      <w:t>2017–2021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2961AC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96" w:rsidRDefault="00B11A96" w:rsidP="00E71A58">
      <w:r>
        <w:separator/>
      </w:r>
    </w:p>
  </w:footnote>
  <w:footnote w:type="continuationSeparator" w:id="0">
    <w:p w:rsidR="00B11A96" w:rsidRDefault="00B11A9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 xml:space="preserve">Úmrtnostní tabulky za </w:t>
    </w:r>
    <w:r w:rsidR="00C821CB">
      <w:t>okresy a naděje dožití ve správních obvodech ORP</w:t>
    </w:r>
  </w:p>
  <w:p w:rsidR="00284876" w:rsidRPr="001E7E48" w:rsidRDefault="00284876" w:rsidP="001E7E48">
    <w:pPr>
      <w:pStyle w:val="Zhlav"/>
      <w:rPr>
        <w:i/>
      </w:rPr>
    </w:pPr>
    <w:r>
      <w:rPr>
        <w:i/>
      </w:rPr>
      <w:t xml:space="preserve">Life Tables for the </w:t>
    </w:r>
    <w:r w:rsidR="00C821CB">
      <w:rPr>
        <w:i/>
      </w:rPr>
      <w:t>Districts and Life Expectancies for the Administrative Districts of MEP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B" w:rsidRPr="00937AE2" w:rsidRDefault="00C821CB" w:rsidP="00C821CB">
    <w:pPr>
      <w:pStyle w:val="Zhlav"/>
    </w:pPr>
    <w:r>
      <w:t>Úmrtnostní tabulky za okresy a naděje dožití ve správních obvodech ORP</w:t>
    </w:r>
  </w:p>
  <w:p w:rsidR="00284876" w:rsidRPr="00C821CB" w:rsidRDefault="00C821CB" w:rsidP="00C821CB">
    <w:pPr>
      <w:pStyle w:val="Zhlav"/>
      <w:rPr>
        <w:i/>
      </w:rPr>
    </w:pPr>
    <w:r>
      <w:rPr>
        <w:i/>
      </w:rPr>
      <w:t>Life Tables for the Districts and Life Expectancies for the Administrative Districts of MEP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5DEF"/>
    <w:rsid w:val="000A7ED2"/>
    <w:rsid w:val="000C0F8E"/>
    <w:rsid w:val="000C3408"/>
    <w:rsid w:val="000C6AFD"/>
    <w:rsid w:val="000D5637"/>
    <w:rsid w:val="000E6FBD"/>
    <w:rsid w:val="00100F5C"/>
    <w:rsid w:val="00101B1E"/>
    <w:rsid w:val="00104C4C"/>
    <w:rsid w:val="001071AC"/>
    <w:rsid w:val="0012192F"/>
    <w:rsid w:val="00125D69"/>
    <w:rsid w:val="0013190F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1AC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2F580C"/>
    <w:rsid w:val="00304771"/>
    <w:rsid w:val="003052D4"/>
    <w:rsid w:val="00306C5B"/>
    <w:rsid w:val="00313BFB"/>
    <w:rsid w:val="003209D6"/>
    <w:rsid w:val="0032118D"/>
    <w:rsid w:val="0032656E"/>
    <w:rsid w:val="003320B0"/>
    <w:rsid w:val="00332190"/>
    <w:rsid w:val="00344668"/>
    <w:rsid w:val="003462D9"/>
    <w:rsid w:val="00347140"/>
    <w:rsid w:val="003527A3"/>
    <w:rsid w:val="003657F3"/>
    <w:rsid w:val="0037067A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E2E"/>
    <w:rsid w:val="00476240"/>
    <w:rsid w:val="00476439"/>
    <w:rsid w:val="00477325"/>
    <w:rsid w:val="0047735C"/>
    <w:rsid w:val="004776BC"/>
    <w:rsid w:val="0048139F"/>
    <w:rsid w:val="00481E40"/>
    <w:rsid w:val="00484ECE"/>
    <w:rsid w:val="00487CC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1557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27C4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599B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300F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7C82"/>
    <w:rsid w:val="00816905"/>
    <w:rsid w:val="00821FF6"/>
    <w:rsid w:val="008263D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1384"/>
    <w:rsid w:val="008B7C02"/>
    <w:rsid w:val="008B7D2B"/>
    <w:rsid w:val="008C0049"/>
    <w:rsid w:val="008C0E88"/>
    <w:rsid w:val="008D1E6A"/>
    <w:rsid w:val="008D2A16"/>
    <w:rsid w:val="008D524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D471D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D3E46"/>
    <w:rsid w:val="00AE03C0"/>
    <w:rsid w:val="00AE09B3"/>
    <w:rsid w:val="00AE1A83"/>
    <w:rsid w:val="00AF107E"/>
    <w:rsid w:val="00AF2218"/>
    <w:rsid w:val="00AF4280"/>
    <w:rsid w:val="00B00913"/>
    <w:rsid w:val="00B01593"/>
    <w:rsid w:val="00B10A4D"/>
    <w:rsid w:val="00B11A96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21CB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065CD"/>
    <w:rsid w:val="00D13986"/>
    <w:rsid w:val="00D25F28"/>
    <w:rsid w:val="00D27973"/>
    <w:rsid w:val="00D30AF3"/>
    <w:rsid w:val="00D50F46"/>
    <w:rsid w:val="00D66223"/>
    <w:rsid w:val="00D8084C"/>
    <w:rsid w:val="00D80E1B"/>
    <w:rsid w:val="00DA7C0C"/>
    <w:rsid w:val="00DB2EC8"/>
    <w:rsid w:val="00DB5695"/>
    <w:rsid w:val="00DC5B3B"/>
    <w:rsid w:val="00DC75CB"/>
    <w:rsid w:val="00DD129F"/>
    <w:rsid w:val="00DD1FAB"/>
    <w:rsid w:val="00DD685B"/>
    <w:rsid w:val="00DF2874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5A64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D7975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757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7B557FD"/>
  <w15:docId w15:val="{A3CA7C1A-AB79-4951-9321-2B40E06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Odstavecseseznamem">
    <w:name w:val="List Paragraph"/>
    <w:basedOn w:val="Normln"/>
    <w:uiPriority w:val="72"/>
    <w:rsid w:val="002F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16F5-1FFC-4FAD-A884-85F1FBDB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78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Morávek David</cp:lastModifiedBy>
  <cp:revision>16</cp:revision>
  <cp:lastPrinted>2018-05-11T09:05:00Z</cp:lastPrinted>
  <dcterms:created xsi:type="dcterms:W3CDTF">2018-07-09T11:22:00Z</dcterms:created>
  <dcterms:modified xsi:type="dcterms:W3CDTF">2022-07-22T07:59:00Z</dcterms:modified>
</cp:coreProperties>
</file>