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82" w:rsidRPr="00360DE3" w:rsidRDefault="00E212C9" w:rsidP="00141782">
      <w:pPr>
        <w:pStyle w:val="Nadpis1"/>
        <w:rPr>
          <w:lang w:eastAsia="en-US"/>
        </w:rPr>
      </w:pPr>
      <w:bookmarkStart w:id="0" w:name="_Toc527639477"/>
      <w:r w:rsidRPr="00360DE3">
        <w:rPr>
          <w:lang w:eastAsia="en-US"/>
        </w:rPr>
        <w:t>8</w:t>
      </w:r>
      <w:r w:rsidR="00141782" w:rsidRPr="00360DE3">
        <w:rPr>
          <w:lang w:eastAsia="en-US"/>
        </w:rPr>
        <w:t>. Domácnosti</w:t>
      </w:r>
      <w:bookmarkEnd w:id="0"/>
    </w:p>
    <w:p w:rsidR="00C96D08" w:rsidRPr="00360DE3" w:rsidRDefault="00E212C9" w:rsidP="00433C0C">
      <w:pPr>
        <w:pStyle w:val="Nadpis2"/>
      </w:pPr>
      <w:bookmarkStart w:id="1" w:name="_Toc527639478"/>
      <w:r w:rsidRPr="00360DE3">
        <w:t>8</w:t>
      </w:r>
      <w:r w:rsidR="00C96D08" w:rsidRPr="00360DE3">
        <w:t>.1 Příjmy domácností</w:t>
      </w:r>
      <w:bookmarkEnd w:id="1"/>
    </w:p>
    <w:tbl>
      <w:tblPr>
        <w:tblW w:w="9644" w:type="dxa"/>
        <w:tblInd w:w="-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6"/>
        <w:gridCol w:w="277"/>
        <w:gridCol w:w="7391"/>
      </w:tblGrid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Příjmy domácností loni rostly poměrně silně. Na rozdíl od minulých let se na jejich reálném navýšení výrazněji projevoval růst cenové hladiny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C466D2">
            <w:r w:rsidRPr="00360DE3">
              <w:t xml:space="preserve">Domácnosti </w:t>
            </w:r>
            <w:r w:rsidR="00C466D2" w:rsidRPr="00360DE3">
              <w:t>loni</w:t>
            </w:r>
            <w:r w:rsidRPr="00360DE3">
              <w:t xml:space="preserve"> čerpaly z rostoucího výkonu ekonomiky i ze souvisejícího pnutí na trhu práce. Výše hrubého disponibilního důchodu (HDD) domácností dosáhla 2 575,3 mld. korun a meziročně se zvýšila o 100,9 mld. (4,1 %). V porovnání s lety 2014–2016 se výrazněji zvětšil rozdíl mezi reálným a nominálním růstem HDD. V uvedeném období mezera nepřekonala 1,0 p. </w:t>
            </w:r>
            <w:proofErr w:type="spellStart"/>
            <w:r w:rsidRPr="00360DE3">
              <w:t>b</w:t>
            </w:r>
            <w:proofErr w:type="spellEnd"/>
            <w:r w:rsidRPr="00360DE3">
              <w:t>. (v</w:t>
            </w:r>
            <w:r w:rsidR="00C466D2" w:rsidRPr="00360DE3">
              <w:t> </w:t>
            </w:r>
            <w:r w:rsidRPr="00360DE3">
              <w:t xml:space="preserve">roce 2015 to bylo jen 0,2 p. </w:t>
            </w:r>
            <w:proofErr w:type="spellStart"/>
            <w:r w:rsidRPr="00360DE3">
              <w:t>b</w:t>
            </w:r>
            <w:proofErr w:type="spellEnd"/>
            <w:r w:rsidRPr="00360DE3">
              <w:t xml:space="preserve">.), a tak se i nižší zvýšení příjmů přímo promítalo do reálně kupní síly domácností. Loni se po očištění o cenové vlivy růst HDD zredukoval na o 2,4 p. </w:t>
            </w:r>
            <w:proofErr w:type="spellStart"/>
            <w:r w:rsidRPr="00360DE3">
              <w:t>b</w:t>
            </w:r>
            <w:proofErr w:type="spellEnd"/>
            <w:r w:rsidRPr="00360DE3">
              <w:t xml:space="preserve">. </w:t>
            </w:r>
            <w:proofErr w:type="gramStart"/>
            <w:r w:rsidRPr="00360DE3">
              <w:t>na</w:t>
            </w:r>
            <w:proofErr w:type="gramEnd"/>
            <w:r w:rsidRPr="00360DE3">
              <w:t xml:space="preserve"> 1,7 %</w:t>
            </w:r>
            <w:r w:rsidRPr="00360DE3">
              <w:rPr>
                <w:rStyle w:val="Znakapoznpodarou"/>
              </w:rPr>
              <w:footnoteReference w:id="1"/>
            </w:r>
            <w:r w:rsidRPr="00360DE3">
              <w:t xml:space="preserve">. To je </w:t>
            </w:r>
            <w:r w:rsidR="00C466D2" w:rsidRPr="00360DE3">
              <w:t>nejméně</w:t>
            </w:r>
            <w:r w:rsidRPr="00360DE3">
              <w:t xml:space="preserve"> za poslední čtyři roky. Na p</w:t>
            </w:r>
            <w:r w:rsidR="00D52BE2">
              <w:t>říjmy domácností lze pohlížet i</w:t>
            </w:r>
            <w:r w:rsidR="00D52BE2" w:rsidRPr="00360DE3">
              <w:t> </w:t>
            </w:r>
            <w:r w:rsidRPr="00360DE3">
              <w:t>prostřednictvím hrubého upraveného disponibi</w:t>
            </w:r>
            <w:r w:rsidR="00D52BE2">
              <w:t>lního důchodu, který obsahuje i</w:t>
            </w:r>
            <w:r w:rsidR="00D52BE2" w:rsidRPr="00360DE3">
              <w:t> </w:t>
            </w:r>
            <w:r w:rsidRPr="00360DE3">
              <w:t xml:space="preserve">naturální sociální transfery. Jeho úroveň se loni zvýšila o 4,8 %, samotná hodnota naturálních sociálních transferů pak o 8,2 % (nejvíce od roku 2003). Na zrychlení tempa se promítlo výrazné zvýšení mezd pracovníků veřejného sektoru, které se pak projevilo na hodnotě poskytnutých služeb. </w:t>
            </w:r>
          </w:p>
        </w:tc>
      </w:tr>
      <w:tr w:rsidR="00C96D08" w:rsidRPr="00360DE3" w:rsidTr="002B213A">
        <w:tc>
          <w:tcPr>
            <w:tcW w:w="1976" w:type="dxa"/>
            <w:vMerge w:val="restart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1D198A">
            <w:pPr>
              <w:spacing w:after="0"/>
              <w:rPr>
                <w:b/>
              </w:rPr>
            </w:pPr>
            <w:r w:rsidRPr="00360DE3">
              <w:rPr>
                <w:b/>
              </w:rPr>
              <w:t xml:space="preserve">Graf č. </w:t>
            </w:r>
            <w:proofErr w:type="gramStart"/>
            <w:r w:rsidR="001D198A" w:rsidRPr="00360DE3">
              <w:rPr>
                <w:b/>
              </w:rPr>
              <w:t>8.1.1</w:t>
            </w:r>
            <w:r w:rsidRPr="00360DE3">
              <w:rPr>
                <w:b/>
              </w:rPr>
              <w:t xml:space="preserve">  Hrubý</w:t>
            </w:r>
            <w:proofErr w:type="gramEnd"/>
            <w:r w:rsidRPr="00360DE3">
              <w:rPr>
                <w:b/>
              </w:rPr>
              <w:t xml:space="preserve"> disponibilní důchod a mzdy a platy </w:t>
            </w:r>
            <w:r w:rsidRPr="00360DE3">
              <w:t>(meziroční růst v %)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spacing w:after="0"/>
            </w:pPr>
            <w:r w:rsidRPr="00360DE3">
              <w:rPr>
                <w:noProof/>
              </w:rPr>
              <w:drawing>
                <wp:inline distT="0" distB="0" distL="0" distR="0">
                  <wp:extent cx="4733925" cy="3552825"/>
                  <wp:effectExtent l="0" t="0" r="0" b="0"/>
                  <wp:docPr id="2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rPr>
                <w:sz w:val="14"/>
                <w:szCs w:val="14"/>
              </w:rPr>
            </w:pPr>
            <w:r w:rsidRPr="00360DE3">
              <w:rPr>
                <w:sz w:val="14"/>
                <w:szCs w:val="14"/>
              </w:rPr>
              <w:t>Zdroj: CSÚ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Růst mezd a platů byl hlavním faktorem zvyšování disponibilních příjmů domácností.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>Největší částí HDD domácností jsou náhrady zaměstnancům. Ty sestávají ze samotných mezd a platů a sociálních příspěvků placených zaměstnavateli a loni dosáhly 2 126,4 mld. korun. Objem samotných vyplacených mezd a platů se nominálně zvýšil o 8,2 %. V reálném vyjádření tato úroveň byla 5,7 %, což je společně s reálným růstem z roku 2005 nejvyšší hodnota za dostupnou časovou řadu. Ve směru růstu HDD působily i hrubý provozní přebytek a hrubý smíšený důchod. Jejich příspěvek byl však nejnižší za poslední čtyři roky. Důvodem je jen mírný nárůst objemu hrubých smíšených důchodů (zachycují příjmy z podnikání drobných p</w:t>
            </w:r>
            <w:r w:rsidR="00C60191" w:rsidRPr="00360DE3">
              <w:t>odnikatelů zařazených do sektoru</w:t>
            </w:r>
            <w:r w:rsidRPr="00360DE3">
              <w:t xml:space="preserve"> domá</w:t>
            </w:r>
            <w:r w:rsidR="00D52BE2">
              <w:t>cností). Ten loni vzrostl o</w:t>
            </w:r>
            <w:r w:rsidR="00D52BE2" w:rsidRPr="00360DE3">
              <w:t> </w:t>
            </w:r>
            <w:r w:rsidR="00D52BE2">
              <w:t>2,3</w:t>
            </w:r>
            <w:r w:rsidR="00D52BE2" w:rsidRPr="00360DE3">
              <w:t> </w:t>
            </w:r>
            <w:r w:rsidRPr="00360DE3">
              <w:t xml:space="preserve">mld. korun, což je nejméně za poslední čtyři roky. Meziročně se totiž téměř </w:t>
            </w:r>
            <w:r w:rsidRPr="00360DE3">
              <w:lastRenderedPageBreak/>
              <w:t xml:space="preserve">nezměnil počet osob samostatně výdělečně činných a růst zaměstnanosti se projevil výhradně na počtu zaměstnanců. Naopak hrubý provozní přebytek (zachycuje hodnotu produkce domácností pro vlastní spotřebu a rovněž imputované nájemné a poskytování služeb bydlení) se zvýšil o 15,3 mld. korun (7,1 %), což je nejvíce od roku 2008. Jeho výrazný nárůst pravděpodobně odrážel prudký růst cen nemovitostí zachycený v imputovaném nájemném.  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>Kladné saldo důchodů z vlastnictví loni pokleslo.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>Důchody z vlastnictví v českém prostředí nejsou velkou položkou HDD domácností. Celková hodnota těchto příjmů se v minulém roce snížila o 10,1 mld. korun a dosáhla 165,0 mld. Na druhé straně důchody z vlastnictví, které domácnosti musely vyplácet, se mírně zvýšily, což ve výsledku vedlo ke snížení salda důchodů z vlastnictví o 11,3 mld. korun. To</w:t>
            </w:r>
            <w:r w:rsidR="00D52BE2">
              <w:t xml:space="preserve"> je první pokles od roku 2012 a</w:t>
            </w:r>
            <w:r w:rsidR="00D52BE2" w:rsidRPr="00360DE3">
              <w:t> </w:t>
            </w:r>
            <w:r w:rsidRPr="00360DE3">
              <w:t>větší než v krizových letech 2009 a 2010. Důvodem snížení příjmů z vlastnictví byla opětovná redukce položky úroky o 2,5 mld. (navzdory loňskému zlomu ve vývoji úrokových sazeb čtvrtá v řadě). Dalším byl výrazný nárůst výše reinvestovaných zisků v roce 2016. Loňský návrat na obvyklou úroveň pak znamenal meziroční propad o 21,9 mld. korun. Naopak hodnota rozdělovaných důchodů společností domácnostem se loni zvýšila o 12,8 mld.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Příznivý vývoj ekonomiky vedl k navyšování objemu odvedených daní i sociálních příspěvků. Výsledkem bylo snížení kladného salda druhotného rozdělení.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>Kladné saldo druhotného rozdělení v roce 2017 meziročně pokleslo o 27,8 mld. korun. Tato položka zahrnuje především různé sociální příspěvky a na druhé straně odvedené daně. Podobně jako v předchozím roce se projevil úspěšný vývoj ekonomiky, zejména vyšší objem odvedených daní z důchodů a jmění (nárůst o 22,2 mld. korun). Díky prudkému růstu mezd se výrazně navýšily i odvedené sociální příspěvky (o 60,7 mld.). Sociální příspěvky a dávky vyplacené domácnostem loni činily 623,4 mld. korun a zvyšovaly se (zejména kvůli valorizaci důchodů). Narostly o 17,4 mld. korun, což je více než v roce 2016. Ostatní běžné transfery dosáhly 244,0 mld. korun a zvýšily se o 27,5 mld. korun.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 w:val="restart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E02EB" w:rsidRDefault="00C96D08" w:rsidP="001D198A">
            <w:pPr>
              <w:spacing w:after="0"/>
            </w:pPr>
            <w:r w:rsidRPr="00360DE3">
              <w:rPr>
                <w:b/>
              </w:rPr>
              <w:t xml:space="preserve">Graf č. </w:t>
            </w:r>
            <w:proofErr w:type="gramStart"/>
            <w:r w:rsidR="001D198A" w:rsidRPr="00360DE3">
              <w:rPr>
                <w:b/>
              </w:rPr>
              <w:t>8.1.2</w:t>
            </w:r>
            <w:r w:rsidRPr="00360DE3">
              <w:rPr>
                <w:b/>
              </w:rPr>
              <w:t xml:space="preserve">  Hrubý</w:t>
            </w:r>
            <w:proofErr w:type="gramEnd"/>
            <w:r w:rsidRPr="00360DE3">
              <w:rPr>
                <w:b/>
              </w:rPr>
              <w:t xml:space="preserve"> disponibilní důchod domácností</w:t>
            </w:r>
            <w:r w:rsidRPr="00360DE3">
              <w:t xml:space="preserve"> </w:t>
            </w:r>
          </w:p>
          <w:p w:rsidR="00C96D08" w:rsidRPr="00360DE3" w:rsidRDefault="00C96D08" w:rsidP="001D198A">
            <w:pPr>
              <w:spacing w:after="0"/>
              <w:rPr>
                <w:b/>
              </w:rPr>
            </w:pPr>
            <w:r w:rsidRPr="00360DE3">
              <w:t>(meziroční změna v mld. korun.)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spacing w:after="0"/>
            </w:pPr>
            <w:r w:rsidRPr="00360DE3">
              <w:rPr>
                <w:noProof/>
              </w:rPr>
              <w:drawing>
                <wp:inline distT="0" distB="0" distL="0" distR="0">
                  <wp:extent cx="4743450" cy="3556000"/>
                  <wp:effectExtent l="19050" t="0" r="0" b="0"/>
                  <wp:docPr id="23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rPr>
                <w:sz w:val="14"/>
                <w:szCs w:val="14"/>
              </w:rPr>
            </w:pPr>
            <w:r w:rsidRPr="00360DE3">
              <w:rPr>
                <w:sz w:val="14"/>
                <w:szCs w:val="14"/>
              </w:rPr>
              <w:t>Zdroj: ČSÚ</w:t>
            </w:r>
          </w:p>
        </w:tc>
      </w:tr>
    </w:tbl>
    <w:p w:rsidR="00C96D08" w:rsidRPr="00360DE3" w:rsidRDefault="00E212C9" w:rsidP="00433C0C">
      <w:pPr>
        <w:pStyle w:val="Nadpis2"/>
      </w:pPr>
      <w:bookmarkStart w:id="2" w:name="_Toc527639479"/>
      <w:r w:rsidRPr="00360DE3">
        <w:lastRenderedPageBreak/>
        <w:t>8</w:t>
      </w:r>
      <w:r w:rsidR="00C96D08" w:rsidRPr="00360DE3">
        <w:t>.2 Výdaje domácností</w:t>
      </w:r>
      <w:bookmarkEnd w:id="2"/>
    </w:p>
    <w:tbl>
      <w:tblPr>
        <w:tblW w:w="9644" w:type="dxa"/>
        <w:tblInd w:w="-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6"/>
        <w:gridCol w:w="277"/>
        <w:gridCol w:w="7391"/>
      </w:tblGrid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Výdaje domácností na spotřebu rostly loni rychleji než disponibilní příjmy. To vedlo ke snížení míry úspor.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1D463E">
            <w:r w:rsidRPr="00360DE3">
              <w:t xml:space="preserve">Výdaje domácností na konečnou spotřebu v běžných cenách v roce 2017 dosáhly 2 362,1 mld. korun. Reálně se spotřební výdaje domácností zvýšily o 4,3 %, což byla nejvyšší hodnota od roku 2003. Domácnostem totiž nahrával vysoký růst výdělků a stále poměrně mírný růst cenové hladiny. Období konjunktury v letech 2005–2007, se kterým bývá současná ekonomická situace srovnávána, bylo doprovázeno nižší reálnou dynamikou spotřeby domácností. Zároveň v minulém roce rostly spotřební výdaje rychleji, než výše disponibilního příjmu domácností. Výsledkem bylo snížení míry úspor na 9,4 % (11,6 % v roce 2016), což byla nejnižší hodnota od roku 1994. Naopak míra investic se zvýšila na 9,3 % (nejvyšší od roku 2010). Srovnání se zbytkem Evropské unie (dostupné jen do roku 2016) ukazuje, že mírou úspor se Česko v roce 2016 řadilo přibližně doprostřed žebříčku a mírně nad průměr celé unie. Loňský pokles by však domácí ekonomiku měl posunout do podprůměru (podle dostupných </w:t>
            </w:r>
            <w:r w:rsidR="001D463E" w:rsidRPr="00360DE3">
              <w:t>údajů</w:t>
            </w:r>
            <w:r w:rsidRPr="00360DE3">
              <w:t xml:space="preserve"> byla míra úspor v EU těsně pod 10 %). Míra úspor má mezi evropskými zeměmi poměrně velký rozptyl. V roce 2016 se pohybovala od -2,3 % na Kypru až na 20,4 % v Lucembursku. </w:t>
            </w:r>
          </w:p>
        </w:tc>
      </w:tr>
      <w:tr w:rsidR="00C96D08" w:rsidRPr="00360DE3" w:rsidTr="002B213A">
        <w:tc>
          <w:tcPr>
            <w:tcW w:w="1976" w:type="dxa"/>
            <w:vMerge w:val="restart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1D198A">
            <w:pPr>
              <w:spacing w:after="0"/>
              <w:rPr>
                <w:b/>
              </w:rPr>
            </w:pPr>
            <w:r w:rsidRPr="00360DE3">
              <w:rPr>
                <w:b/>
              </w:rPr>
              <w:t xml:space="preserve">Graf </w:t>
            </w:r>
            <w:r w:rsidR="001D198A" w:rsidRPr="00360DE3">
              <w:rPr>
                <w:b/>
              </w:rPr>
              <w:t>8.2.1</w:t>
            </w:r>
            <w:r w:rsidRPr="00360DE3">
              <w:rPr>
                <w:b/>
              </w:rPr>
              <w:t xml:space="preserve"> Příspěvky jednotlivých složek spotřeby domácností k celkovému meziročnímu růstu </w:t>
            </w:r>
            <w:r w:rsidRPr="00360DE3">
              <w:t xml:space="preserve">(objemové indexy, příspěvky v p. </w:t>
            </w:r>
            <w:proofErr w:type="spellStart"/>
            <w:r w:rsidRPr="00360DE3">
              <w:t>b</w:t>
            </w:r>
            <w:proofErr w:type="spellEnd"/>
            <w:r w:rsidRPr="00360DE3">
              <w:t>., růst v %)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spacing w:after="0"/>
            </w:pPr>
            <w:r w:rsidRPr="00360DE3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24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rPr>
                <w:sz w:val="14"/>
                <w:szCs w:val="14"/>
              </w:rPr>
            </w:pPr>
            <w:r w:rsidRPr="00360DE3">
              <w:rPr>
                <w:sz w:val="14"/>
                <w:szCs w:val="14"/>
              </w:rPr>
              <w:t>Zdroj: ČSÚ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Domácnosti si ve zvýšené míře pořizovaly trvanlivé statky, ale rovněž služby.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>Celkový růst výdajů na spotřebu byl podpořen silnou dynamikou všech jejích složek. Domácnosti měly poměrně pozitivní očekávání budoucího ekonomického vývoje, což vedlo ke zrychlení růstu výdajů na trvanlivé</w:t>
            </w:r>
            <w:r w:rsidRPr="00360DE3">
              <w:rPr>
                <w:rStyle w:val="Znakapoznpodarou"/>
              </w:rPr>
              <w:footnoteReference w:id="2"/>
            </w:r>
            <w:r w:rsidRPr="00360DE3">
              <w:t xml:space="preserve"> statky. Výdaje na zboží dlouhodobé spotřeby vzrostly o 9,0 %</w:t>
            </w:r>
            <w:r w:rsidRPr="00360DE3">
              <w:rPr>
                <w:rStyle w:val="Znakapoznpodarou"/>
              </w:rPr>
              <w:footnoteReference w:id="3"/>
            </w:r>
            <w:r w:rsidRPr="00360DE3">
              <w:t xml:space="preserve">, u střednědobé spotřeby se tempo výrazně zvýšilo z 5,4 % v roce 2016 na loňských 10,0 %. Jde o mimořádně vysoký údaj, který značně přesahuje stejná čísla za období 2005-2007. Tento posun také stál za </w:t>
            </w:r>
            <w:r w:rsidRPr="00360DE3">
              <w:lastRenderedPageBreak/>
              <w:t>zrychlením celkové dynamiky. Růst spotřeby netrvanlivých statků</w:t>
            </w:r>
            <w:r w:rsidRPr="00360DE3">
              <w:rPr>
                <w:rStyle w:val="Znakapoznpodarou"/>
              </w:rPr>
              <w:footnoteReference w:id="4"/>
            </w:r>
            <w:r w:rsidRPr="00360DE3">
              <w:t xml:space="preserve">, který obvykle bývá v čase vyhlazený a mírnější, se udržel na tempu předchozího roku a dosáhl 3,1 %. Rostoucí chuť domácností utrácet se však projevila na tempu výdajů na služby, které dosáhlo 3,5 % (nejvíce od roku 2008).  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>Vzhledem k vrcholu hospodářského cyklu se výdaje domácností více soustředily na zbytné statky.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 xml:space="preserve">Účelová struktura spotřebních výdajů domácností je v čase poměrně stálá, její krátkodobé fluktuace však výrazně souvisí s ekonomickým cyklem. Vzhledem k probíhajícímu vrcholu konjunktury se loni výrazněji zvyšovaly výdaje domácnosti na tzv. zbytné statky. Asi nejmarkantnější bylo zrychlení reálného růstu výdajů na oblečení a obuv na 13,2 % (6,7 %). Pokračovalo poměrně silné zvyšování výdajů na rekreaci, kulturu a sport (6,4 %). Zvýšená míra cestovního ruchu pomohla rovněž stravování a ubytování (5,1 %), kde zaznamenaly výrazný růst především výdaje na ubytovací služby (8,9 %). 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Loni zesílil růst výdajů na bydlení a energie.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>Z výdajů, které domácnosti nemohou ve větší míře omezit, se nejvýrazněji projevovalo bydlení, voda, energie a paliva. Jde o největší položku výdajů domácností a obvykle je její dynamika velmi mírná. Loni však výdaje na bydlení a energie vzrostly o 3,0 %. Projevil se totiž 9,3% nárůst výdajů na nájemné z bytu, stejně jako zvýšené náklady na běžnou údržbu a opravy bytu (11,6 %). Již čtvrtým rokem pokračoval silný růst výdajů na dopravu (7,4 %). Projevily se hlavně nákupy dopravních prostředků, které se zvýšily o 10,1 % (jde o třetí dvojciferný růst v řadě). Tempo růstu výdajů na potraviny a nealkoholické nápoje se mírně zpomalilo a dosáhlo 3,4 % (5,1 % v roce 2016 bylo pro tuto spotřební položku netypicky vysoké). Domácnosti v roce 2017 rovně</w:t>
            </w:r>
            <w:r w:rsidR="00D52BE2">
              <w:t>ž obdržely a spotřebovaly 556,8</w:t>
            </w:r>
            <w:r w:rsidR="00D52BE2" w:rsidRPr="00360DE3">
              <w:t> </w:t>
            </w:r>
            <w:r w:rsidRPr="00360DE3">
              <w:t>mld. korun ve formě naturálních sociálních transferů</w:t>
            </w:r>
            <w:r w:rsidRPr="00360DE3">
              <w:rPr>
                <w:rStyle w:val="Znakapoznpodarou"/>
              </w:rPr>
              <w:footnoteReference w:id="5"/>
            </w:r>
            <w:r w:rsidRPr="00360DE3">
              <w:t xml:space="preserve">. Z toho 72,2 % tvořila netržní produkce vládních institucí a neziskových institucí sloužících domácnostem (NISD) a 27,8 % tržní produkce nakoupená vládními institucemi a NISD.  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V roce 2017 se zvýšila míra investic domácností.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 xml:space="preserve">Výdaje na tvorbu hrubého fixního kapitálu domácností v roce 2017 dosáhly 235,3 mld. korun a nominálně se zvýšily o 6,0 %. To je však o 4,4 p. </w:t>
            </w:r>
            <w:proofErr w:type="spellStart"/>
            <w:r w:rsidRPr="00360DE3">
              <w:t>b</w:t>
            </w:r>
            <w:proofErr w:type="spellEnd"/>
            <w:r w:rsidRPr="00360DE3">
              <w:t xml:space="preserve">. </w:t>
            </w:r>
            <w:proofErr w:type="gramStart"/>
            <w:r w:rsidRPr="00360DE3">
              <w:t>nižší</w:t>
            </w:r>
            <w:proofErr w:type="gramEnd"/>
            <w:r w:rsidRPr="00360DE3">
              <w:t xml:space="preserve"> tempo než v roce 2016. Loňské tempo však překročilo růst příjmů domácností a tak došlo ke zvýšení míry investic na 9,3 %. To Česko posouvá do mírného nadprůměru mezi evropskými zeměmi. Průměr EU činil v roce 2016 7,8 %, loni mírně překročila 8 %. Zároveň je pro evropské země míra investic rozptýlená méně než výše zmiňovaná míra úspor. Nejvyšší úrovně dosáhla v Nizozemí (11,2 %) a nejnižší v Lotyšsku (4,5 %).     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Oproti roku 2016 však růst investiční aktivity poklesl, což zčásti korespondovalo s nižší dynamikou na hypotečním trhu.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C466D2">
            <w:r w:rsidRPr="00360DE3">
              <w:t xml:space="preserve">Domácnosti investují </w:t>
            </w:r>
            <w:r w:rsidR="00C466D2" w:rsidRPr="00360DE3">
              <w:t>hlavně</w:t>
            </w:r>
            <w:r w:rsidRPr="00360DE3">
              <w:t xml:space="preserve"> do obydlí (více než 75 % jejich investiční aktivity). Ostatní investiční položky, které se objevují u sektoru domácností, jsou výsledkem investic podnikatelů zařazených do sektoru domácností. Ti investují hlavně do strojů a zařízení a dopravních prostředků. Propojení současného vývoje investiční aktivity domácností s trhem nemovitostí nahráv</w:t>
            </w:r>
            <w:r w:rsidR="00D52BE2">
              <w:t>á i podobná dynamika investic a</w:t>
            </w:r>
            <w:r w:rsidR="00D52BE2" w:rsidRPr="00360DE3">
              <w:t> </w:t>
            </w:r>
            <w:r w:rsidRPr="00360DE3">
              <w:t>poptávky po hypotečních úvěrech. Podle údajů Č</w:t>
            </w:r>
            <w:r w:rsidR="00C466D2" w:rsidRPr="00360DE3">
              <w:t>NB</w:t>
            </w:r>
            <w:r w:rsidRPr="00360DE3">
              <w:t xml:space="preserve"> v roce 2017 došlo ke zlomu v poskytování nových hypotečních úvěrů. V druhé polovině roku meziročně klesal objem nově poskytnutých hypotečních úvěrů (celkově byl objem nových </w:t>
            </w:r>
            <w:proofErr w:type="spellStart"/>
            <w:r w:rsidRPr="00360DE3">
              <w:t>hyp</w:t>
            </w:r>
            <w:proofErr w:type="spellEnd"/>
            <w:r w:rsidRPr="00360DE3">
              <w:t>. úvěru loni o 1,5 % nižší než v roce 2016) a rovněž počet nových úvěrových smluv. Celkem bylo vydáno o 19,0 tisíc nových smluv méně než v roce 2016 (9,0 %). Tento vývoj rovněž dokládá rostoucí průměrnou výši poskytnutých úvěrů.</w:t>
            </w:r>
          </w:p>
        </w:tc>
      </w:tr>
    </w:tbl>
    <w:p w:rsidR="00F46502" w:rsidRPr="003979E9" w:rsidRDefault="00F46502" w:rsidP="003979E9">
      <w:pPr>
        <w:pStyle w:val="Nadpis1"/>
        <w:rPr>
          <w:sz w:val="2"/>
          <w:szCs w:val="2"/>
        </w:rPr>
      </w:pPr>
    </w:p>
    <w:sectPr w:rsidR="00F46502" w:rsidRPr="003979E9" w:rsidSect="003979E9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A0" w:rsidRDefault="00980EA0" w:rsidP="00E71A58">
      <w:r>
        <w:separator/>
      </w:r>
    </w:p>
  </w:endnote>
  <w:endnote w:type="continuationSeparator" w:id="0">
    <w:p w:rsidR="00980EA0" w:rsidRDefault="00980EA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4895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EC4895" w:rsidRPr="00932443">
      <w:rPr>
        <w:szCs w:val="16"/>
      </w:rPr>
      <w:fldChar w:fldCharType="separate"/>
    </w:r>
    <w:r w:rsidR="003979E9">
      <w:rPr>
        <w:szCs w:val="16"/>
      </w:rPr>
      <w:t>42</w:t>
    </w:r>
    <w:r w:rsidR="00EC4895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  <w:r w:rsidR="00EC4895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EC4895" w:rsidRPr="00932443">
      <w:rPr>
        <w:rStyle w:val="ZpatChar"/>
        <w:szCs w:val="16"/>
      </w:rPr>
      <w:fldChar w:fldCharType="separate"/>
    </w:r>
    <w:r w:rsidR="003979E9">
      <w:rPr>
        <w:rStyle w:val="ZpatChar"/>
        <w:szCs w:val="16"/>
      </w:rPr>
      <w:t>41</w:t>
    </w:r>
    <w:r w:rsidR="00EC4895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A0" w:rsidRDefault="00980EA0" w:rsidP="00E71A58">
      <w:r>
        <w:separator/>
      </w:r>
    </w:p>
  </w:footnote>
  <w:footnote w:type="continuationSeparator" w:id="0">
    <w:p w:rsidR="00980EA0" w:rsidRDefault="00980EA0" w:rsidP="00E71A58">
      <w:r>
        <w:continuationSeparator/>
      </w:r>
    </w:p>
  </w:footnote>
  <w:footnote w:id="1">
    <w:p w:rsidR="00C805DC" w:rsidRPr="00202B22" w:rsidRDefault="00C805DC" w:rsidP="00C96D08">
      <w:pPr>
        <w:pStyle w:val="Textpoznpodarou"/>
        <w:rPr>
          <w:sz w:val="16"/>
          <w:szCs w:val="16"/>
        </w:rPr>
      </w:pPr>
      <w:r w:rsidRPr="00202B22">
        <w:rPr>
          <w:rStyle w:val="Znakapoznpodarou"/>
          <w:sz w:val="16"/>
          <w:szCs w:val="16"/>
        </w:rPr>
        <w:footnoteRef/>
      </w:r>
      <w:r w:rsidRPr="00202B2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Reálný růst vypočítán </w:t>
      </w:r>
      <w:r w:rsidRPr="00202B22">
        <w:rPr>
          <w:sz w:val="16"/>
          <w:szCs w:val="16"/>
        </w:rPr>
        <w:t>pomocí deflátoru výdajů na spotřebu domácností.</w:t>
      </w:r>
    </w:p>
  </w:footnote>
  <w:footnote w:id="2">
    <w:p w:rsidR="00C805DC" w:rsidRPr="00406F21" w:rsidRDefault="00C805DC" w:rsidP="00C96D08">
      <w:pPr>
        <w:pStyle w:val="Textpoznpodarou"/>
        <w:rPr>
          <w:sz w:val="16"/>
          <w:szCs w:val="16"/>
        </w:rPr>
      </w:pPr>
      <w:r w:rsidRPr="00406F21">
        <w:rPr>
          <w:rStyle w:val="Znakapoznpodarou"/>
          <w:sz w:val="16"/>
          <w:szCs w:val="16"/>
        </w:rPr>
        <w:footnoteRef/>
      </w:r>
      <w:r w:rsidRPr="00406F21">
        <w:rPr>
          <w:sz w:val="16"/>
          <w:szCs w:val="16"/>
        </w:rPr>
        <w:t xml:space="preserve"> Obecně jsou trvanlivé statky ty, které lze používat opakovaně nebo kontinuálně po časové období jednoho roku a více. </w:t>
      </w:r>
      <w:r>
        <w:rPr>
          <w:sz w:val="16"/>
          <w:szCs w:val="16"/>
        </w:rPr>
        <w:t>Dělíme je na statky</w:t>
      </w:r>
      <w:r w:rsidRPr="00406F21">
        <w:rPr>
          <w:sz w:val="16"/>
          <w:szCs w:val="16"/>
        </w:rPr>
        <w:t xml:space="preserve"> dlouhodobé spotřeby</w:t>
      </w:r>
      <w:r>
        <w:rPr>
          <w:sz w:val="16"/>
          <w:szCs w:val="16"/>
        </w:rPr>
        <w:t xml:space="preserve">, kam se </w:t>
      </w:r>
      <w:r w:rsidRPr="00406F21">
        <w:rPr>
          <w:sz w:val="16"/>
          <w:szCs w:val="16"/>
        </w:rPr>
        <w:t>řadí mimo jiné motorová vozidla, nábytek, ledničky, pračky, hudební vybavení, počítačové vybavení či šperky</w:t>
      </w:r>
      <w:r>
        <w:rPr>
          <w:sz w:val="16"/>
          <w:szCs w:val="16"/>
        </w:rPr>
        <w:t xml:space="preserve"> a s</w:t>
      </w:r>
      <w:r w:rsidRPr="00406F21">
        <w:rPr>
          <w:sz w:val="16"/>
          <w:szCs w:val="16"/>
        </w:rPr>
        <w:t>třednědob</w:t>
      </w:r>
      <w:r>
        <w:rPr>
          <w:sz w:val="16"/>
          <w:szCs w:val="16"/>
        </w:rPr>
        <w:t>é spotřeby, která</w:t>
      </w:r>
      <w:r w:rsidRPr="00406F21">
        <w:rPr>
          <w:sz w:val="16"/>
          <w:szCs w:val="16"/>
        </w:rPr>
        <w:t xml:space="preserve"> zahrnuje oblečení, obuv, potřeby v domácnosti, vybavení pro sport a knihy.</w:t>
      </w:r>
    </w:p>
  </w:footnote>
  <w:footnote w:id="3">
    <w:p w:rsidR="00C805DC" w:rsidRPr="00406F21" w:rsidRDefault="00C805DC" w:rsidP="00C96D08">
      <w:pPr>
        <w:pStyle w:val="Textpoznpodarou"/>
        <w:rPr>
          <w:sz w:val="16"/>
          <w:szCs w:val="16"/>
        </w:rPr>
      </w:pPr>
      <w:r w:rsidRPr="00406F21">
        <w:rPr>
          <w:rStyle w:val="Znakapoznpodarou"/>
          <w:sz w:val="16"/>
          <w:szCs w:val="16"/>
        </w:rPr>
        <w:footnoteRef/>
      </w:r>
      <w:r w:rsidRPr="00406F21">
        <w:rPr>
          <w:sz w:val="16"/>
          <w:szCs w:val="16"/>
        </w:rPr>
        <w:t xml:space="preserve"> Údaje o spotřebě podle trvanlivosti i účelové struktuře výdajů jsou v národním pojetí</w:t>
      </w:r>
    </w:p>
  </w:footnote>
  <w:footnote w:id="4">
    <w:p w:rsidR="00C805DC" w:rsidRPr="00406F21" w:rsidRDefault="00C805DC" w:rsidP="00C96D08">
      <w:pPr>
        <w:pStyle w:val="Textpoznpodarou"/>
        <w:rPr>
          <w:sz w:val="16"/>
          <w:szCs w:val="16"/>
        </w:rPr>
      </w:pPr>
      <w:r w:rsidRPr="00406F21">
        <w:rPr>
          <w:rStyle w:val="Znakapoznpodarou"/>
          <w:sz w:val="16"/>
          <w:szCs w:val="16"/>
        </w:rPr>
        <w:footnoteRef/>
      </w:r>
      <w:r w:rsidRPr="00406F21">
        <w:rPr>
          <w:sz w:val="16"/>
          <w:szCs w:val="16"/>
        </w:rPr>
        <w:t xml:space="preserve"> Jedná se o potraviny, nápoje, tabák, farmaceutické výrobky, pohonné hmoty, kosmetiku apod.</w:t>
      </w:r>
    </w:p>
  </w:footnote>
  <w:footnote w:id="5">
    <w:p w:rsidR="00C805DC" w:rsidRDefault="00C805DC" w:rsidP="00C96D08">
      <w:pPr>
        <w:pStyle w:val="Normlnweb"/>
        <w:spacing w:before="0" w:beforeAutospacing="0"/>
      </w:pPr>
      <w:r w:rsidRPr="002F08C0">
        <w:rPr>
          <w:rStyle w:val="Znakapoznpodarou"/>
          <w:rFonts w:ascii="Arial" w:hAnsi="Arial" w:cs="Arial"/>
          <w:sz w:val="16"/>
          <w:szCs w:val="16"/>
        </w:rPr>
        <w:footnoteRef/>
      </w:r>
      <w:r w:rsidRPr="002F08C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Jde o transfery od vládních institucí nebo NISD. P</w:t>
      </w:r>
      <w:r w:rsidRPr="002F08C0">
        <w:rPr>
          <w:rFonts w:ascii="Arial" w:hAnsi="Arial" w:cs="Arial"/>
          <w:sz w:val="16"/>
          <w:szCs w:val="16"/>
        </w:rPr>
        <w:t>ředstavují hodnotu zboží a služeb poskytnutých zejména ve formě zdravotní a sociální péče, vzdělání, bydlení.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601A2E" w:rsidRDefault="00C805DC" w:rsidP="00601A2E">
    <w:pPr>
      <w:pStyle w:val="Zhlav"/>
    </w:pPr>
    <w:r>
      <w:t>Analýza ekonomického vývoje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Default="00C805DC" w:rsidP="00937AE2">
    <w:pPr>
      <w:pStyle w:val="Zhlav"/>
    </w:pPr>
    <w:r>
      <w:t>Analýza ekonomického vývoje v roce 2017</w:t>
    </w:r>
  </w:p>
  <w:p w:rsidR="00C805DC" w:rsidRPr="006F5416" w:rsidRDefault="00C805DC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3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6502"/>
    <w:rsid w:val="0000209D"/>
    <w:rsid w:val="0000437D"/>
    <w:rsid w:val="00004D5A"/>
    <w:rsid w:val="000056D5"/>
    <w:rsid w:val="00006ABD"/>
    <w:rsid w:val="0000767A"/>
    <w:rsid w:val="00007BEF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7A82"/>
    <w:rsid w:val="000712B3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A1183"/>
    <w:rsid w:val="000A256D"/>
    <w:rsid w:val="000A3A2C"/>
    <w:rsid w:val="000B525B"/>
    <w:rsid w:val="000C1D78"/>
    <w:rsid w:val="000C3408"/>
    <w:rsid w:val="000C6AFD"/>
    <w:rsid w:val="000D514E"/>
    <w:rsid w:val="000D5637"/>
    <w:rsid w:val="000E6FBD"/>
    <w:rsid w:val="000F030B"/>
    <w:rsid w:val="00100F5C"/>
    <w:rsid w:val="0010106F"/>
    <w:rsid w:val="00101CDA"/>
    <w:rsid w:val="00104C4C"/>
    <w:rsid w:val="00117623"/>
    <w:rsid w:val="0012192F"/>
    <w:rsid w:val="00125D69"/>
    <w:rsid w:val="001405FA"/>
    <w:rsid w:val="00141782"/>
    <w:rsid w:val="001425C3"/>
    <w:rsid w:val="001528B9"/>
    <w:rsid w:val="001612F4"/>
    <w:rsid w:val="00162312"/>
    <w:rsid w:val="0016256B"/>
    <w:rsid w:val="00162A7A"/>
    <w:rsid w:val="00163793"/>
    <w:rsid w:val="001706D6"/>
    <w:rsid w:val="001714F2"/>
    <w:rsid w:val="001730A6"/>
    <w:rsid w:val="00175B9F"/>
    <w:rsid w:val="00181BBC"/>
    <w:rsid w:val="00182799"/>
    <w:rsid w:val="00184B08"/>
    <w:rsid w:val="00185010"/>
    <w:rsid w:val="00186919"/>
    <w:rsid w:val="001916DB"/>
    <w:rsid w:val="00193818"/>
    <w:rsid w:val="001A0487"/>
    <w:rsid w:val="001A0D6B"/>
    <w:rsid w:val="001A552F"/>
    <w:rsid w:val="001B2CA9"/>
    <w:rsid w:val="001B3110"/>
    <w:rsid w:val="001B4729"/>
    <w:rsid w:val="001B6310"/>
    <w:rsid w:val="001B6C09"/>
    <w:rsid w:val="001C05CD"/>
    <w:rsid w:val="001C1B66"/>
    <w:rsid w:val="001D198A"/>
    <w:rsid w:val="001D463E"/>
    <w:rsid w:val="001D68B2"/>
    <w:rsid w:val="001D70E9"/>
    <w:rsid w:val="001E504C"/>
    <w:rsid w:val="001F4597"/>
    <w:rsid w:val="00203DA4"/>
    <w:rsid w:val="002052C6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6443"/>
    <w:rsid w:val="00241B06"/>
    <w:rsid w:val="002436BA"/>
    <w:rsid w:val="00244A15"/>
    <w:rsid w:val="00247319"/>
    <w:rsid w:val="0024799E"/>
    <w:rsid w:val="00253C0F"/>
    <w:rsid w:val="002558C1"/>
    <w:rsid w:val="0026207F"/>
    <w:rsid w:val="0026743D"/>
    <w:rsid w:val="00271465"/>
    <w:rsid w:val="00274037"/>
    <w:rsid w:val="00285412"/>
    <w:rsid w:val="00291640"/>
    <w:rsid w:val="002A16D4"/>
    <w:rsid w:val="002A230C"/>
    <w:rsid w:val="002A5D97"/>
    <w:rsid w:val="002B2127"/>
    <w:rsid w:val="002B213A"/>
    <w:rsid w:val="002B38B8"/>
    <w:rsid w:val="002B4845"/>
    <w:rsid w:val="002B6B06"/>
    <w:rsid w:val="002C43BD"/>
    <w:rsid w:val="002D0E59"/>
    <w:rsid w:val="002E02A1"/>
    <w:rsid w:val="002E4E4C"/>
    <w:rsid w:val="00303533"/>
    <w:rsid w:val="00304771"/>
    <w:rsid w:val="003052D4"/>
    <w:rsid w:val="00306C5B"/>
    <w:rsid w:val="003209D6"/>
    <w:rsid w:val="00321924"/>
    <w:rsid w:val="0032656E"/>
    <w:rsid w:val="00330060"/>
    <w:rsid w:val="00332190"/>
    <w:rsid w:val="00336E03"/>
    <w:rsid w:val="0034335E"/>
    <w:rsid w:val="00344668"/>
    <w:rsid w:val="003462D9"/>
    <w:rsid w:val="00347378"/>
    <w:rsid w:val="00360C86"/>
    <w:rsid w:val="00360DE3"/>
    <w:rsid w:val="00360FBC"/>
    <w:rsid w:val="00362E90"/>
    <w:rsid w:val="00363FF4"/>
    <w:rsid w:val="00364FA0"/>
    <w:rsid w:val="003657F3"/>
    <w:rsid w:val="003818DC"/>
    <w:rsid w:val="00384327"/>
    <w:rsid w:val="00385D3E"/>
    <w:rsid w:val="00385D98"/>
    <w:rsid w:val="003870EE"/>
    <w:rsid w:val="00392244"/>
    <w:rsid w:val="003979E9"/>
    <w:rsid w:val="003A2B4D"/>
    <w:rsid w:val="003A2D12"/>
    <w:rsid w:val="003A478C"/>
    <w:rsid w:val="003A5525"/>
    <w:rsid w:val="003A6B38"/>
    <w:rsid w:val="003B4331"/>
    <w:rsid w:val="003B461F"/>
    <w:rsid w:val="003B5A32"/>
    <w:rsid w:val="003C3490"/>
    <w:rsid w:val="003C4BE8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7C13"/>
    <w:rsid w:val="00410638"/>
    <w:rsid w:val="0041501E"/>
    <w:rsid w:val="004159C3"/>
    <w:rsid w:val="004225C6"/>
    <w:rsid w:val="00427E07"/>
    <w:rsid w:val="00432A58"/>
    <w:rsid w:val="00433C0C"/>
    <w:rsid w:val="00434617"/>
    <w:rsid w:val="00436778"/>
    <w:rsid w:val="00440900"/>
    <w:rsid w:val="00441BF6"/>
    <w:rsid w:val="004441A0"/>
    <w:rsid w:val="0045078A"/>
    <w:rsid w:val="0045086D"/>
    <w:rsid w:val="00460FB3"/>
    <w:rsid w:val="00461976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3F18"/>
    <w:rsid w:val="004A14E4"/>
    <w:rsid w:val="004A3212"/>
    <w:rsid w:val="004A5494"/>
    <w:rsid w:val="004A61C5"/>
    <w:rsid w:val="004A77DF"/>
    <w:rsid w:val="004B1417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E02EB"/>
    <w:rsid w:val="004E326C"/>
    <w:rsid w:val="004F06F5"/>
    <w:rsid w:val="004F16F7"/>
    <w:rsid w:val="004F33A0"/>
    <w:rsid w:val="0050689D"/>
    <w:rsid w:val="005108C0"/>
    <w:rsid w:val="00511873"/>
    <w:rsid w:val="00512A2F"/>
    <w:rsid w:val="00513B7E"/>
    <w:rsid w:val="00515C74"/>
    <w:rsid w:val="00515FFA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3EB8"/>
    <w:rsid w:val="005647BF"/>
    <w:rsid w:val="00564AF1"/>
    <w:rsid w:val="0057364B"/>
    <w:rsid w:val="00574773"/>
    <w:rsid w:val="00583FFD"/>
    <w:rsid w:val="005911BE"/>
    <w:rsid w:val="00593152"/>
    <w:rsid w:val="005A10F2"/>
    <w:rsid w:val="005A21E0"/>
    <w:rsid w:val="005A28FF"/>
    <w:rsid w:val="005A2C7B"/>
    <w:rsid w:val="005A3DF8"/>
    <w:rsid w:val="005A5549"/>
    <w:rsid w:val="005A7666"/>
    <w:rsid w:val="005B08EB"/>
    <w:rsid w:val="005B121D"/>
    <w:rsid w:val="005C06ED"/>
    <w:rsid w:val="005C2609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075F4"/>
    <w:rsid w:val="00607FF4"/>
    <w:rsid w:val="006104FB"/>
    <w:rsid w:val="0061249B"/>
    <w:rsid w:val="00612A2F"/>
    <w:rsid w:val="00616E05"/>
    <w:rsid w:val="00624093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36CB"/>
    <w:rsid w:val="00695BEF"/>
    <w:rsid w:val="006977F6"/>
    <w:rsid w:val="00697A13"/>
    <w:rsid w:val="006A109C"/>
    <w:rsid w:val="006A3E08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7CA6"/>
    <w:rsid w:val="006D3E8A"/>
    <w:rsid w:val="006D61F6"/>
    <w:rsid w:val="006D64C2"/>
    <w:rsid w:val="006E279A"/>
    <w:rsid w:val="006E313B"/>
    <w:rsid w:val="006E7227"/>
    <w:rsid w:val="006F2595"/>
    <w:rsid w:val="006F438E"/>
    <w:rsid w:val="006F5416"/>
    <w:rsid w:val="00705242"/>
    <w:rsid w:val="00706AD4"/>
    <w:rsid w:val="00707150"/>
    <w:rsid w:val="007140BE"/>
    <w:rsid w:val="00716E3F"/>
    <w:rsid w:val="007211F5"/>
    <w:rsid w:val="007240E2"/>
    <w:rsid w:val="00725BB5"/>
    <w:rsid w:val="00730AE8"/>
    <w:rsid w:val="00730F1B"/>
    <w:rsid w:val="00741493"/>
    <w:rsid w:val="0074369B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61E9"/>
    <w:rsid w:val="00775F45"/>
    <w:rsid w:val="00776169"/>
    <w:rsid w:val="00776527"/>
    <w:rsid w:val="00780EF1"/>
    <w:rsid w:val="00783C17"/>
    <w:rsid w:val="00785232"/>
    <w:rsid w:val="00790764"/>
    <w:rsid w:val="0079453C"/>
    <w:rsid w:val="00794677"/>
    <w:rsid w:val="007A516D"/>
    <w:rsid w:val="007B6689"/>
    <w:rsid w:val="007C13A4"/>
    <w:rsid w:val="007C6BBD"/>
    <w:rsid w:val="007C7BAE"/>
    <w:rsid w:val="007D0C24"/>
    <w:rsid w:val="007D40DF"/>
    <w:rsid w:val="007E29B4"/>
    <w:rsid w:val="007E435A"/>
    <w:rsid w:val="007E7E61"/>
    <w:rsid w:val="007F0845"/>
    <w:rsid w:val="007F708D"/>
    <w:rsid w:val="00801E13"/>
    <w:rsid w:val="00807C82"/>
    <w:rsid w:val="00816905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46121"/>
    <w:rsid w:val="0084708F"/>
    <w:rsid w:val="008477C8"/>
    <w:rsid w:val="00847931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5A32"/>
    <w:rsid w:val="00876086"/>
    <w:rsid w:val="008873D4"/>
    <w:rsid w:val="0089296D"/>
    <w:rsid w:val="00893E85"/>
    <w:rsid w:val="00894031"/>
    <w:rsid w:val="00895508"/>
    <w:rsid w:val="008B7C02"/>
    <w:rsid w:val="008B7D2B"/>
    <w:rsid w:val="008C0049"/>
    <w:rsid w:val="008C0E88"/>
    <w:rsid w:val="008D0A60"/>
    <w:rsid w:val="008D0DBD"/>
    <w:rsid w:val="008D1E6A"/>
    <w:rsid w:val="008D2A16"/>
    <w:rsid w:val="008E0DC9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40B7"/>
    <w:rsid w:val="0095759C"/>
    <w:rsid w:val="00974923"/>
    <w:rsid w:val="00980D3D"/>
    <w:rsid w:val="00980EA0"/>
    <w:rsid w:val="00987A30"/>
    <w:rsid w:val="00992CF3"/>
    <w:rsid w:val="009942B6"/>
    <w:rsid w:val="00994868"/>
    <w:rsid w:val="009968D6"/>
    <w:rsid w:val="009A1CAB"/>
    <w:rsid w:val="009A60D1"/>
    <w:rsid w:val="009A7B2E"/>
    <w:rsid w:val="009B6FD3"/>
    <w:rsid w:val="009C03C8"/>
    <w:rsid w:val="009C1750"/>
    <w:rsid w:val="009C2E29"/>
    <w:rsid w:val="009C3ED8"/>
    <w:rsid w:val="009C554B"/>
    <w:rsid w:val="009C719E"/>
    <w:rsid w:val="009D3ACD"/>
    <w:rsid w:val="009E5273"/>
    <w:rsid w:val="009E5DDB"/>
    <w:rsid w:val="009F46EA"/>
    <w:rsid w:val="009F4CA7"/>
    <w:rsid w:val="00A10D66"/>
    <w:rsid w:val="00A14114"/>
    <w:rsid w:val="00A16413"/>
    <w:rsid w:val="00A16E1D"/>
    <w:rsid w:val="00A17D5B"/>
    <w:rsid w:val="00A230A8"/>
    <w:rsid w:val="00A23E43"/>
    <w:rsid w:val="00A25216"/>
    <w:rsid w:val="00A27420"/>
    <w:rsid w:val="00A30F65"/>
    <w:rsid w:val="00A329DF"/>
    <w:rsid w:val="00A35142"/>
    <w:rsid w:val="00A35EA6"/>
    <w:rsid w:val="00A40EAC"/>
    <w:rsid w:val="00A418BC"/>
    <w:rsid w:val="00A46DE0"/>
    <w:rsid w:val="00A4750C"/>
    <w:rsid w:val="00A50D73"/>
    <w:rsid w:val="00A51F19"/>
    <w:rsid w:val="00A52CAD"/>
    <w:rsid w:val="00A537F0"/>
    <w:rsid w:val="00A53FC7"/>
    <w:rsid w:val="00A55161"/>
    <w:rsid w:val="00A62CE1"/>
    <w:rsid w:val="00A6741E"/>
    <w:rsid w:val="00A75E40"/>
    <w:rsid w:val="00A77D1D"/>
    <w:rsid w:val="00A84923"/>
    <w:rsid w:val="00A857C0"/>
    <w:rsid w:val="00A90FED"/>
    <w:rsid w:val="00AA2996"/>
    <w:rsid w:val="00AA52BF"/>
    <w:rsid w:val="00AA559A"/>
    <w:rsid w:val="00AB2AF1"/>
    <w:rsid w:val="00AB5421"/>
    <w:rsid w:val="00AC45BD"/>
    <w:rsid w:val="00AD168E"/>
    <w:rsid w:val="00AD306C"/>
    <w:rsid w:val="00AD68C4"/>
    <w:rsid w:val="00AE09B3"/>
    <w:rsid w:val="00AE1A83"/>
    <w:rsid w:val="00AE7FB2"/>
    <w:rsid w:val="00B00913"/>
    <w:rsid w:val="00B01593"/>
    <w:rsid w:val="00B023F2"/>
    <w:rsid w:val="00B10A4D"/>
    <w:rsid w:val="00B120A1"/>
    <w:rsid w:val="00B121D2"/>
    <w:rsid w:val="00B14BC1"/>
    <w:rsid w:val="00B17E71"/>
    <w:rsid w:val="00B17FDE"/>
    <w:rsid w:val="00B20632"/>
    <w:rsid w:val="00B2379C"/>
    <w:rsid w:val="00B2687D"/>
    <w:rsid w:val="00B30358"/>
    <w:rsid w:val="00B32DDB"/>
    <w:rsid w:val="00B34528"/>
    <w:rsid w:val="00B34CC9"/>
    <w:rsid w:val="00B402FC"/>
    <w:rsid w:val="00B40FF9"/>
    <w:rsid w:val="00B42470"/>
    <w:rsid w:val="00B439DA"/>
    <w:rsid w:val="00B46604"/>
    <w:rsid w:val="00B530CD"/>
    <w:rsid w:val="00B55F5E"/>
    <w:rsid w:val="00B57338"/>
    <w:rsid w:val="00B5752E"/>
    <w:rsid w:val="00B63A11"/>
    <w:rsid w:val="00B64C24"/>
    <w:rsid w:val="00B6608F"/>
    <w:rsid w:val="00B679FB"/>
    <w:rsid w:val="00B76D1E"/>
    <w:rsid w:val="00B80EC6"/>
    <w:rsid w:val="00B84CF6"/>
    <w:rsid w:val="00B86F03"/>
    <w:rsid w:val="00B92D1D"/>
    <w:rsid w:val="00B938C5"/>
    <w:rsid w:val="00B95940"/>
    <w:rsid w:val="00BA0DD3"/>
    <w:rsid w:val="00BA6C2B"/>
    <w:rsid w:val="00BB2F03"/>
    <w:rsid w:val="00BB46F3"/>
    <w:rsid w:val="00BB4CB1"/>
    <w:rsid w:val="00BB4F98"/>
    <w:rsid w:val="00BC0E31"/>
    <w:rsid w:val="00BC5C12"/>
    <w:rsid w:val="00BC7154"/>
    <w:rsid w:val="00BC731E"/>
    <w:rsid w:val="00BD163C"/>
    <w:rsid w:val="00BD2211"/>
    <w:rsid w:val="00BD366B"/>
    <w:rsid w:val="00BD6D50"/>
    <w:rsid w:val="00BE18B9"/>
    <w:rsid w:val="00BE2495"/>
    <w:rsid w:val="00BE468E"/>
    <w:rsid w:val="00BE6186"/>
    <w:rsid w:val="00BF1578"/>
    <w:rsid w:val="00C21405"/>
    <w:rsid w:val="00C21F94"/>
    <w:rsid w:val="00C27913"/>
    <w:rsid w:val="00C33B68"/>
    <w:rsid w:val="00C36A79"/>
    <w:rsid w:val="00C401D2"/>
    <w:rsid w:val="00C405D4"/>
    <w:rsid w:val="00C4513B"/>
    <w:rsid w:val="00C466D2"/>
    <w:rsid w:val="00C517C6"/>
    <w:rsid w:val="00C5390B"/>
    <w:rsid w:val="00C54697"/>
    <w:rsid w:val="00C60191"/>
    <w:rsid w:val="00C6152B"/>
    <w:rsid w:val="00C73885"/>
    <w:rsid w:val="00C747B1"/>
    <w:rsid w:val="00C805DC"/>
    <w:rsid w:val="00C82191"/>
    <w:rsid w:val="00C83134"/>
    <w:rsid w:val="00C85545"/>
    <w:rsid w:val="00C90CF4"/>
    <w:rsid w:val="00C92EB6"/>
    <w:rsid w:val="00C93389"/>
    <w:rsid w:val="00C96D08"/>
    <w:rsid w:val="00CA6AB4"/>
    <w:rsid w:val="00CB259D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3986"/>
    <w:rsid w:val="00D21D83"/>
    <w:rsid w:val="00D235B7"/>
    <w:rsid w:val="00D25F28"/>
    <w:rsid w:val="00D26071"/>
    <w:rsid w:val="00D27973"/>
    <w:rsid w:val="00D279B8"/>
    <w:rsid w:val="00D32F90"/>
    <w:rsid w:val="00D35E1A"/>
    <w:rsid w:val="00D50F46"/>
    <w:rsid w:val="00D52BE2"/>
    <w:rsid w:val="00D57677"/>
    <w:rsid w:val="00D66223"/>
    <w:rsid w:val="00D8084C"/>
    <w:rsid w:val="00D915EA"/>
    <w:rsid w:val="00D93CE2"/>
    <w:rsid w:val="00D943C6"/>
    <w:rsid w:val="00D965EC"/>
    <w:rsid w:val="00DA7C0C"/>
    <w:rsid w:val="00DB08A9"/>
    <w:rsid w:val="00DB2EC8"/>
    <w:rsid w:val="00DC37E3"/>
    <w:rsid w:val="00DC5B3B"/>
    <w:rsid w:val="00DD129F"/>
    <w:rsid w:val="00DE4C19"/>
    <w:rsid w:val="00DF42FF"/>
    <w:rsid w:val="00DF7AD4"/>
    <w:rsid w:val="00E01C0E"/>
    <w:rsid w:val="00E03F9A"/>
    <w:rsid w:val="00E04694"/>
    <w:rsid w:val="00E04F27"/>
    <w:rsid w:val="00E102BD"/>
    <w:rsid w:val="00E11DE1"/>
    <w:rsid w:val="00E12B1E"/>
    <w:rsid w:val="00E17262"/>
    <w:rsid w:val="00E212C9"/>
    <w:rsid w:val="00E253A2"/>
    <w:rsid w:val="00E3309D"/>
    <w:rsid w:val="00E453F9"/>
    <w:rsid w:val="00E47EBA"/>
    <w:rsid w:val="00E50156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924B2"/>
    <w:rsid w:val="00E93820"/>
    <w:rsid w:val="00E94A86"/>
    <w:rsid w:val="00E96143"/>
    <w:rsid w:val="00E972A9"/>
    <w:rsid w:val="00EA0840"/>
    <w:rsid w:val="00EA0C68"/>
    <w:rsid w:val="00EA17B0"/>
    <w:rsid w:val="00EA32BC"/>
    <w:rsid w:val="00EA405F"/>
    <w:rsid w:val="00EB4511"/>
    <w:rsid w:val="00EC03D7"/>
    <w:rsid w:val="00EC25F0"/>
    <w:rsid w:val="00EC4895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160CE"/>
    <w:rsid w:val="00F162B3"/>
    <w:rsid w:val="00F24407"/>
    <w:rsid w:val="00F24FAA"/>
    <w:rsid w:val="00F3364D"/>
    <w:rsid w:val="00F33E56"/>
    <w:rsid w:val="00F433FE"/>
    <w:rsid w:val="00F437CC"/>
    <w:rsid w:val="00F44537"/>
    <w:rsid w:val="00F46502"/>
    <w:rsid w:val="00F47067"/>
    <w:rsid w:val="00F525EB"/>
    <w:rsid w:val="00F55E08"/>
    <w:rsid w:val="00F63DDE"/>
    <w:rsid w:val="00F63FB7"/>
    <w:rsid w:val="00F6421B"/>
    <w:rsid w:val="00F649D2"/>
    <w:rsid w:val="00F6602B"/>
    <w:rsid w:val="00F73A0C"/>
    <w:rsid w:val="00F756DB"/>
    <w:rsid w:val="00F84E7D"/>
    <w:rsid w:val="00F85066"/>
    <w:rsid w:val="00F859D0"/>
    <w:rsid w:val="00F87A4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E6609"/>
    <w:rsid w:val="00FF3EE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Ro&#269;n&#237;%20anal&#253;za%202018\P&#345;&#237;jmy%20dom&#225;cnost&#237;\Kopie%20-%20QSA_S14_2018q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Ro&#269;n&#237;%20anal&#253;za%202018\P&#345;&#237;jmy%20dom&#225;cnost&#237;_odesl&#225;no\Kopie%20-%20QSA_S14_2018q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Ro&#269;n&#237;%20anal&#253;za%202018\Spot&#345;eba%20dom&#225;cnost&#237;\&#269;aso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3.7321251928936032E-2"/>
          <c:y val="3.5031847133758252E-2"/>
          <c:w val="0.93679684511797823"/>
          <c:h val="0.76585460654998727"/>
        </c:manualLayout>
      </c:layout>
      <c:barChart>
        <c:barDir val="col"/>
        <c:grouping val="clustered"/>
        <c:ser>
          <c:idx val="0"/>
          <c:order val="0"/>
          <c:tx>
            <c:strRef>
              <c:f>'S14'!$J$138</c:f>
              <c:strCache>
                <c:ptCount val="1"/>
                <c:pt idx="0">
                  <c:v>Hrubý disponibilní důchod (reálný)</c:v>
                </c:pt>
              </c:strCache>
            </c:strRef>
          </c:tx>
          <c:spPr>
            <a:solidFill>
              <a:srgbClr val="0071BC"/>
            </a:solidFill>
          </c:spPr>
          <c:cat>
            <c:numRef>
              <c:f>'S14'!$A$147:$A$156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'S14'!$J$147:$J$156</c:f>
              <c:numCache>
                <c:formatCode>0.0_ ;[Red]\-0.0\ </c:formatCode>
                <c:ptCount val="10"/>
                <c:pt idx="0">
                  <c:v>2.4880525209405278</c:v>
                </c:pt>
                <c:pt idx="1">
                  <c:v>2.1224798911363791</c:v>
                </c:pt>
                <c:pt idx="2">
                  <c:v>0.38045661249113039</c:v>
                </c:pt>
                <c:pt idx="3">
                  <c:v>-1.507201797810922</c:v>
                </c:pt>
                <c:pt idx="4">
                  <c:v>-1.2083775182866681</c:v>
                </c:pt>
                <c:pt idx="5">
                  <c:v>-0.77268860218298696</c:v>
                </c:pt>
                <c:pt idx="6">
                  <c:v>2.8574548678216192</c:v>
                </c:pt>
                <c:pt idx="7">
                  <c:v>4.160946626400726</c:v>
                </c:pt>
                <c:pt idx="8">
                  <c:v>3.2596098637410336</c:v>
                </c:pt>
                <c:pt idx="9">
                  <c:v>1.6769656319444977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29-499A-B374-2A885779BFC3}"/>
            </c:ext>
          </c:extLst>
        </c:ser>
        <c:ser>
          <c:idx val="1"/>
          <c:order val="1"/>
          <c:tx>
            <c:strRef>
              <c:f>'S14'!$K$138</c:f>
              <c:strCache>
                <c:ptCount val="1"/>
                <c:pt idx="0">
                  <c:v>Mzdy a platy (reálně)</c:v>
                </c:pt>
              </c:strCache>
            </c:strRef>
          </c:tx>
          <c:spPr>
            <a:solidFill>
              <a:srgbClr val="BD1B21"/>
            </a:solidFill>
          </c:spPr>
          <c:cat>
            <c:numRef>
              <c:f>'S14'!$A$147:$A$156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'S14'!$K$147:$K$156</c:f>
              <c:numCache>
                <c:formatCode>0.0_ ;[Red]\-0.0\ </c:formatCode>
                <c:ptCount val="10"/>
                <c:pt idx="0">
                  <c:v>1.6116857512015641</c:v>
                </c:pt>
                <c:pt idx="1">
                  <c:v>-2.3505250334645886</c:v>
                </c:pt>
                <c:pt idx="2">
                  <c:v>1.0013085286431931</c:v>
                </c:pt>
                <c:pt idx="3">
                  <c:v>0.63369283008314337</c:v>
                </c:pt>
                <c:pt idx="4">
                  <c:v>0.61870883091997786</c:v>
                </c:pt>
                <c:pt idx="5">
                  <c:v>0.25996660899677698</c:v>
                </c:pt>
                <c:pt idx="6">
                  <c:v>3.5646890971557208</c:v>
                </c:pt>
                <c:pt idx="7">
                  <c:v>4.9990711632544125</c:v>
                </c:pt>
                <c:pt idx="8">
                  <c:v>5.3043299690453445</c:v>
                </c:pt>
                <c:pt idx="9">
                  <c:v>5.6832476581176792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29-499A-B374-2A885779BFC3}"/>
            </c:ext>
          </c:extLst>
        </c:ser>
        <c:gapWidth val="96"/>
        <c:axId val="133940352"/>
        <c:axId val="133942656"/>
      </c:barChart>
      <c:lineChart>
        <c:grouping val="standard"/>
        <c:ser>
          <c:idx val="2"/>
          <c:order val="2"/>
          <c:tx>
            <c:strRef>
              <c:f>'S14'!$C$138</c:f>
              <c:strCache>
                <c:ptCount val="1"/>
                <c:pt idx="0">
                  <c:v>Hrubý disponibilní důchod (nominální)</c:v>
                </c:pt>
              </c:strCache>
            </c:strRef>
          </c:tx>
          <c:spPr>
            <a:ln>
              <a:noFill/>
            </a:ln>
          </c:spPr>
          <c:marker>
            <c:symbol val="square"/>
            <c:size val="8"/>
            <c:spPr>
              <a:solidFill>
                <a:srgbClr val="A6CDE8"/>
              </a:solidFill>
              <a:ln>
                <a:noFill/>
              </a:ln>
            </c:spPr>
          </c:marker>
          <c:val>
            <c:numRef>
              <c:f>'S14'!$C$147:$C$156</c:f>
              <c:numCache>
                <c:formatCode>0.0_ ;[Red]\-0.0\ </c:formatCode>
                <c:ptCount val="10"/>
                <c:pt idx="0">
                  <c:v>7.3841421438789636</c:v>
                </c:pt>
                <c:pt idx="1">
                  <c:v>2.9950916701381178</c:v>
                </c:pt>
                <c:pt idx="2">
                  <c:v>0.83969447985913803</c:v>
                </c:pt>
                <c:pt idx="3">
                  <c:v>0.23524012757853191</c:v>
                </c:pt>
                <c:pt idx="4">
                  <c:v>0.99131205543875556</c:v>
                </c:pt>
                <c:pt idx="5">
                  <c:v>8.3914067642627266E-2</c:v>
                </c:pt>
                <c:pt idx="6">
                  <c:v>3.4846551514056161</c:v>
                </c:pt>
                <c:pt idx="7">
                  <c:v>4.3207393475207345</c:v>
                </c:pt>
                <c:pt idx="8">
                  <c:v>3.8202575314026097</c:v>
                </c:pt>
                <c:pt idx="9">
                  <c:v>4.0791393364775681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29-499A-B374-2A885779BFC3}"/>
            </c:ext>
          </c:extLst>
        </c:ser>
        <c:ser>
          <c:idx val="3"/>
          <c:order val="3"/>
          <c:tx>
            <c:strRef>
              <c:f>'S14'!$G$138</c:f>
              <c:strCache>
                <c:ptCount val="1"/>
                <c:pt idx="0">
                  <c:v>Mzdy a platy (nominálně)</c:v>
                </c:pt>
              </c:strCache>
            </c:strRef>
          </c:tx>
          <c:spPr>
            <a:ln>
              <a:noFill/>
            </a:ln>
          </c:spPr>
          <c:marker>
            <c:symbol val="square"/>
            <c:size val="8"/>
            <c:spPr>
              <a:solidFill>
                <a:srgbClr val="E8AFB2"/>
              </a:solidFill>
              <a:ln>
                <a:noFill/>
              </a:ln>
            </c:spPr>
          </c:marker>
          <c:val>
            <c:numRef>
              <c:f>'S14'!$G$147:$G$156</c:f>
              <c:numCache>
                <c:formatCode>0.0_ ;[Red]\-0.0\ </c:formatCode>
                <c:ptCount val="10"/>
                <c:pt idx="0">
                  <c:v>6.4659093210570671</c:v>
                </c:pt>
                <c:pt idx="1">
                  <c:v>-1.5161339947827341</c:v>
                </c:pt>
                <c:pt idx="2">
                  <c:v>1.4633867766943158</c:v>
                </c:pt>
                <c:pt idx="3">
                  <c:v>2.4140094491108544</c:v>
                </c:pt>
                <c:pt idx="4">
                  <c:v>2.8590802225129952</c:v>
                </c:pt>
                <c:pt idx="5">
                  <c:v>1.125483913295938</c:v>
                </c:pt>
                <c:pt idx="6">
                  <c:v>4.1962019267750845</c:v>
                </c:pt>
                <c:pt idx="7">
                  <c:v>5.1601496465022665</c:v>
                </c:pt>
                <c:pt idx="8">
                  <c:v>5.8760794369129492</c:v>
                </c:pt>
                <c:pt idx="9">
                  <c:v>8.1800719580574999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729-499A-B374-2A885779BFC3}"/>
            </c:ext>
          </c:extLst>
        </c:ser>
        <c:marker val="1"/>
        <c:axId val="133940352"/>
        <c:axId val="133942656"/>
      </c:lineChart>
      <c:catAx>
        <c:axId val="133940352"/>
        <c:scaling>
          <c:orientation val="minMax"/>
        </c:scaling>
        <c:axPos val="b"/>
        <c:numFmt formatCode="General" sourceLinked="1"/>
        <c:tickLblPos val="low"/>
        <c:crossAx val="133942656"/>
        <c:crosses val="autoZero"/>
        <c:auto val="1"/>
        <c:lblAlgn val="ctr"/>
        <c:lblOffset val="100"/>
      </c:catAx>
      <c:valAx>
        <c:axId val="133942656"/>
        <c:scaling>
          <c:orientation val="minMax"/>
        </c:scaling>
        <c:axPos val="l"/>
        <c:majorGridlines/>
        <c:numFmt formatCode="0" sourceLinked="0"/>
        <c:tickLblPos val="nextTo"/>
        <c:crossAx val="13394035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3.7769766730965881E-2"/>
          <c:y val="0.87996443067568131"/>
          <c:w val="0.93375454574201899"/>
          <c:h val="0.10312866629376248"/>
        </c:manualLayout>
      </c:layout>
      <c:spPr>
        <a:ln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5.8253335021952041E-2"/>
          <c:y val="3.9316672295395698E-2"/>
          <c:w val="0.9140111026680211"/>
          <c:h val="0.76409996622762932"/>
        </c:manualLayout>
      </c:layout>
      <c:barChart>
        <c:barDir val="col"/>
        <c:grouping val="stacked"/>
        <c:ser>
          <c:idx val="5"/>
          <c:order val="1"/>
          <c:tx>
            <c:strRef>
              <c:f>'S14'!$Q$117</c:f>
              <c:strCache>
                <c:ptCount val="1"/>
                <c:pt idx="0">
                  <c:v>Saldo druhotného rozdělení</c:v>
                </c:pt>
              </c:strCache>
            </c:strRef>
          </c:tx>
          <c:spPr>
            <a:solidFill>
              <a:srgbClr val="A6CDE8"/>
            </a:solidFill>
          </c:spPr>
          <c:cat>
            <c:numRef>
              <c:f>'S14'!$K$126:$K$135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'S14'!$Q$126:$Q$135</c:f>
              <c:numCache>
                <c:formatCode>0.0</c:formatCode>
                <c:ptCount val="10"/>
                <c:pt idx="0">
                  <c:v>33.453999999999994</c:v>
                </c:pt>
                <c:pt idx="1">
                  <c:v>54.823</c:v>
                </c:pt>
                <c:pt idx="2">
                  <c:v>13.253</c:v>
                </c:pt>
                <c:pt idx="3">
                  <c:v>-14.133000000000001</c:v>
                </c:pt>
                <c:pt idx="4">
                  <c:v>4.9960000000000004</c:v>
                </c:pt>
                <c:pt idx="5">
                  <c:v>-9.3050000000000068</c:v>
                </c:pt>
                <c:pt idx="6">
                  <c:v>-5.8159999999999945</c:v>
                </c:pt>
                <c:pt idx="7">
                  <c:v>-1.02</c:v>
                </c:pt>
                <c:pt idx="8">
                  <c:v>-21.481000000000002</c:v>
                </c:pt>
                <c:pt idx="9">
                  <c:v>-27.835000000000001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15-4EEB-9583-BB942B300C2C}"/>
            </c:ext>
          </c:extLst>
        </c:ser>
        <c:ser>
          <c:idx val="4"/>
          <c:order val="2"/>
          <c:tx>
            <c:strRef>
              <c:f>'S14'!$P$117</c:f>
              <c:strCache>
                <c:ptCount val="1"/>
                <c:pt idx="0">
                  <c:v>Saldo důchodů z vlastnictví</c:v>
                </c:pt>
              </c:strCache>
            </c:strRef>
          </c:tx>
          <c:spPr>
            <a:solidFill>
              <a:srgbClr val="7DBB2D"/>
            </a:solidFill>
          </c:spPr>
          <c:cat>
            <c:numRef>
              <c:f>'S14'!$K$126:$K$135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'S14'!$P$126:$P$135</c:f>
              <c:numCache>
                <c:formatCode>0.0</c:formatCode>
                <c:ptCount val="10"/>
                <c:pt idx="0">
                  <c:v>12.567</c:v>
                </c:pt>
                <c:pt idx="1">
                  <c:v>-7.8229999999999755</c:v>
                </c:pt>
                <c:pt idx="2">
                  <c:v>-7.3679999999999755</c:v>
                </c:pt>
                <c:pt idx="3">
                  <c:v>0.92800000000000005</c:v>
                </c:pt>
                <c:pt idx="4">
                  <c:v>-0.51300000000000001</c:v>
                </c:pt>
                <c:pt idx="5">
                  <c:v>5.2729999999999997</c:v>
                </c:pt>
                <c:pt idx="6">
                  <c:v>13.262</c:v>
                </c:pt>
                <c:pt idx="7">
                  <c:v>1.113</c:v>
                </c:pt>
                <c:pt idx="8">
                  <c:v>9.3520000000000625</c:v>
                </c:pt>
                <c:pt idx="9">
                  <c:v>-11.308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15-4EEB-9583-BB942B300C2C}"/>
            </c:ext>
          </c:extLst>
        </c:ser>
        <c:ser>
          <c:idx val="1"/>
          <c:order val="3"/>
          <c:tx>
            <c:strRef>
              <c:f>'S14'!$M$117</c:f>
              <c:strCache>
                <c:ptCount val="1"/>
                <c:pt idx="0">
                  <c:v>Hrubý provozní přebytek</c:v>
                </c:pt>
              </c:strCache>
            </c:strRef>
          </c:tx>
          <c:spPr>
            <a:solidFill>
              <a:srgbClr val="BD1B21"/>
            </a:solidFill>
          </c:spPr>
          <c:cat>
            <c:numRef>
              <c:f>'S14'!$K$126:$K$135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'S14'!$M$126:$M$135</c:f>
              <c:numCache>
                <c:formatCode>0.0</c:formatCode>
                <c:ptCount val="10"/>
                <c:pt idx="0">
                  <c:v>17.367999999999999</c:v>
                </c:pt>
                <c:pt idx="1">
                  <c:v>3.8119999999999967</c:v>
                </c:pt>
                <c:pt idx="2">
                  <c:v>5.5750000000000002</c:v>
                </c:pt>
                <c:pt idx="3">
                  <c:v>-2.5999999999999999E-2</c:v>
                </c:pt>
                <c:pt idx="4">
                  <c:v>-4.4219999999999997</c:v>
                </c:pt>
                <c:pt idx="5">
                  <c:v>1.9720000000000066</c:v>
                </c:pt>
                <c:pt idx="6">
                  <c:v>5.3079999999999945</c:v>
                </c:pt>
                <c:pt idx="7">
                  <c:v>1.4669999999999921</c:v>
                </c:pt>
                <c:pt idx="8">
                  <c:v>8.5070000000000014</c:v>
                </c:pt>
                <c:pt idx="9">
                  <c:v>15.297000000000001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15-4EEB-9583-BB942B300C2C}"/>
            </c:ext>
          </c:extLst>
        </c:ser>
        <c:ser>
          <c:idx val="2"/>
          <c:order val="4"/>
          <c:tx>
            <c:strRef>
              <c:f>'S14'!$N$117</c:f>
              <c:strCache>
                <c:ptCount val="1"/>
                <c:pt idx="0">
                  <c:v>Hrubý smíšený důchod</c:v>
                </c:pt>
              </c:strCache>
            </c:strRef>
          </c:tx>
          <c:spPr>
            <a:solidFill>
              <a:srgbClr val="E8AFB2"/>
            </a:solidFill>
          </c:spPr>
          <c:cat>
            <c:numRef>
              <c:f>'S14'!$K$126:$K$135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'S14'!$N$126:$N$135</c:f>
              <c:numCache>
                <c:formatCode>0.0</c:formatCode>
                <c:ptCount val="10"/>
                <c:pt idx="0">
                  <c:v>7.923</c:v>
                </c:pt>
                <c:pt idx="1">
                  <c:v>25.728999999999989</c:v>
                </c:pt>
                <c:pt idx="2">
                  <c:v>-6.9859999999999998</c:v>
                </c:pt>
                <c:pt idx="3">
                  <c:v>-11.425000000000002</c:v>
                </c:pt>
                <c:pt idx="4">
                  <c:v>-15.043999999999999</c:v>
                </c:pt>
                <c:pt idx="5">
                  <c:v>-10.672000000000002</c:v>
                </c:pt>
                <c:pt idx="6">
                  <c:v>11.273</c:v>
                </c:pt>
                <c:pt idx="7">
                  <c:v>27.259</c:v>
                </c:pt>
                <c:pt idx="8">
                  <c:v>11.479000000000006</c:v>
                </c:pt>
                <c:pt idx="9">
                  <c:v>2.3079999999999998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15-4EEB-9583-BB942B300C2C}"/>
            </c:ext>
          </c:extLst>
        </c:ser>
        <c:ser>
          <c:idx val="3"/>
          <c:order val="5"/>
          <c:tx>
            <c:strRef>
              <c:f>'S14'!$O$117</c:f>
              <c:strCache>
                <c:ptCount val="1"/>
                <c:pt idx="0">
                  <c:v>Mzdy a platy</c:v>
                </c:pt>
              </c:strCache>
            </c:strRef>
          </c:tx>
          <c:spPr>
            <a:solidFill>
              <a:srgbClr val="0071BC"/>
            </a:solidFill>
          </c:spPr>
          <c:cat>
            <c:numRef>
              <c:f>'S14'!$K$126:$K$135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'S14'!$O$126:$O$135</c:f>
              <c:numCache>
                <c:formatCode>0.0</c:formatCode>
                <c:ptCount val="10"/>
                <c:pt idx="0">
                  <c:v>73.429000000000002</c:v>
                </c:pt>
                <c:pt idx="1">
                  <c:v>-18.331000000000031</c:v>
                </c:pt>
                <c:pt idx="2">
                  <c:v>17.424999999999986</c:v>
                </c:pt>
                <c:pt idx="3">
                  <c:v>29.164999999999999</c:v>
                </c:pt>
                <c:pt idx="4">
                  <c:v>35.376000000000005</c:v>
                </c:pt>
                <c:pt idx="5">
                  <c:v>14.324</c:v>
                </c:pt>
                <c:pt idx="6">
                  <c:v>54.006</c:v>
                </c:pt>
                <c:pt idx="7">
                  <c:v>69.198999999999998</c:v>
                </c:pt>
                <c:pt idx="8">
                  <c:v>82.866</c:v>
                </c:pt>
                <c:pt idx="9">
                  <c:v>122.136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D15-4EEB-9583-BB942B300C2C}"/>
            </c:ext>
          </c:extLst>
        </c:ser>
        <c:overlap val="100"/>
        <c:axId val="140462336"/>
        <c:axId val="140476416"/>
      </c:barChart>
      <c:lineChart>
        <c:grouping val="standard"/>
        <c:ser>
          <c:idx val="0"/>
          <c:order val="0"/>
          <c:tx>
            <c:strRef>
              <c:f>'S14'!$L$117</c:f>
              <c:strCache>
                <c:ptCount val="1"/>
                <c:pt idx="0">
                  <c:v>Hrubý disponibilní důchod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'S14'!$K$126:$K$135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'S14'!$L$126:$L$135</c:f>
              <c:numCache>
                <c:formatCode>0.0</c:formatCode>
                <c:ptCount val="10"/>
                <c:pt idx="0">
                  <c:v>144.27099999999999</c:v>
                </c:pt>
                <c:pt idx="1">
                  <c:v>62.839000000000006</c:v>
                </c:pt>
                <c:pt idx="2">
                  <c:v>18.145</c:v>
                </c:pt>
                <c:pt idx="3">
                  <c:v>5.1259999999999755</c:v>
                </c:pt>
                <c:pt idx="4">
                  <c:v>21.652000000000001</c:v>
                </c:pt>
                <c:pt idx="5">
                  <c:v>1.851</c:v>
                </c:pt>
                <c:pt idx="6">
                  <c:v>76.930000000000007</c:v>
                </c:pt>
                <c:pt idx="7">
                  <c:v>98.712000000000003</c:v>
                </c:pt>
                <c:pt idx="8">
                  <c:v>91.049000000000007</c:v>
                </c:pt>
                <c:pt idx="9">
                  <c:v>100.93300000000002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D15-4EEB-9583-BB942B300C2C}"/>
            </c:ext>
          </c:extLst>
        </c:ser>
        <c:marker val="1"/>
        <c:axId val="140462336"/>
        <c:axId val="140476416"/>
      </c:lineChart>
      <c:catAx>
        <c:axId val="14046233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40476416"/>
        <c:crosses val="autoZero"/>
        <c:auto val="1"/>
        <c:lblAlgn val="ctr"/>
        <c:lblOffset val="100"/>
      </c:catAx>
      <c:valAx>
        <c:axId val="140476416"/>
        <c:scaling>
          <c:orientation val="minMax"/>
        </c:scaling>
        <c:axPos val="l"/>
        <c:majorGridlines/>
        <c:numFmt formatCode="0.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40462336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5.8151767173681597E-2"/>
          <c:y val="0.86980279104456204"/>
          <c:w val="0.9069993359263826"/>
          <c:h val="0.11463849805659543"/>
        </c:manualLayout>
      </c:layout>
      <c:spPr>
        <a:ln>
          <a:solidFill>
            <a:sysClr val="windowText" lastClr="000000"/>
          </a:solidFill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4942586963863733E-2"/>
          <c:y val="3.9316672295395698E-2"/>
          <c:w val="0.91774126139818579"/>
          <c:h val="0.74980299448385035"/>
        </c:manualLayout>
      </c:layout>
      <c:barChart>
        <c:barDir val="col"/>
        <c:grouping val="stacked"/>
        <c:ser>
          <c:idx val="3"/>
          <c:order val="1"/>
          <c:tx>
            <c:strRef>
              <c:f>H000505_iscpr_CZ!$A$29</c:f>
              <c:strCache>
                <c:ptCount val="1"/>
                <c:pt idx="0">
                  <c:v>Služby</c:v>
                </c:pt>
              </c:strCache>
            </c:strRef>
          </c:tx>
          <c:spPr>
            <a:solidFill>
              <a:srgbClr val="BD1B21"/>
            </a:solidFill>
          </c:spPr>
          <c:cat>
            <c:numRef>
              <c:f>H000505_iscpr_CZ!$B$25:$K$25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H000505_iscpr_CZ!$B$29:$K$29</c:f>
              <c:numCache>
                <c:formatCode>General</c:formatCode>
                <c:ptCount val="10"/>
                <c:pt idx="0">
                  <c:v>1.5969993637851139</c:v>
                </c:pt>
                <c:pt idx="1">
                  <c:v>-1.0233436713961257</c:v>
                </c:pt>
                <c:pt idx="2">
                  <c:v>0</c:v>
                </c:pt>
                <c:pt idx="3">
                  <c:v>0</c:v>
                </c:pt>
                <c:pt idx="4">
                  <c:v>-0.30342348642831568</c:v>
                </c:pt>
                <c:pt idx="5">
                  <c:v>0.55913370809476559</c:v>
                </c:pt>
                <c:pt idx="6">
                  <c:v>0.69117631952131642</c:v>
                </c:pt>
                <c:pt idx="7">
                  <c:v>1.1627889138401961</c:v>
                </c:pt>
                <c:pt idx="8">
                  <c:v>1.2529797440304753</c:v>
                </c:pt>
                <c:pt idx="9">
                  <c:v>1.5096983410982998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BD-451D-BBBD-2A072F993802}"/>
            </c:ext>
          </c:extLst>
        </c:ser>
        <c:ser>
          <c:idx val="2"/>
          <c:order val="2"/>
          <c:tx>
            <c:strRef>
              <c:f>H000505_iscpr_CZ!$A$28</c:f>
              <c:strCache>
                <c:ptCount val="1"/>
                <c:pt idx="0">
                  <c:v>Krátkodobá spotřeba</c:v>
                </c:pt>
              </c:strCache>
            </c:strRef>
          </c:tx>
          <c:spPr>
            <a:solidFill>
              <a:srgbClr val="A6CDE8"/>
            </a:solidFill>
          </c:spPr>
          <c:cat>
            <c:numRef>
              <c:f>H000505_iscpr_CZ!$B$25:$K$25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H000505_iscpr_CZ!$B$28:$K$28</c:f>
              <c:numCache>
                <c:formatCode>General</c:formatCode>
                <c:ptCount val="10"/>
                <c:pt idx="0">
                  <c:v>0</c:v>
                </c:pt>
                <c:pt idx="1">
                  <c:v>0.64590885587267965</c:v>
                </c:pt>
                <c:pt idx="2">
                  <c:v>0.48886816265032251</c:v>
                </c:pt>
                <c:pt idx="3">
                  <c:v>-0.45612375849336878</c:v>
                </c:pt>
                <c:pt idx="4">
                  <c:v>-0.76529477174304061</c:v>
                </c:pt>
                <c:pt idx="5">
                  <c:v>-0.59960433686859971</c:v>
                </c:pt>
                <c:pt idx="6">
                  <c:v>0.42423040254211375</c:v>
                </c:pt>
                <c:pt idx="7">
                  <c:v>1.5108026811881978</c:v>
                </c:pt>
                <c:pt idx="8">
                  <c:v>1.2799968912048085</c:v>
                </c:pt>
                <c:pt idx="9">
                  <c:v>1.2691232184851942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BD-451D-BBBD-2A072F993802}"/>
            </c:ext>
          </c:extLst>
        </c:ser>
        <c:ser>
          <c:idx val="1"/>
          <c:order val="3"/>
          <c:tx>
            <c:strRef>
              <c:f>H000505_iscpr_CZ!$A$27</c:f>
              <c:strCache>
                <c:ptCount val="1"/>
                <c:pt idx="0">
                  <c:v>Střednědobá spotřeba</c:v>
                </c:pt>
              </c:strCache>
            </c:strRef>
          </c:tx>
          <c:spPr>
            <a:solidFill>
              <a:srgbClr val="48AEE7"/>
            </a:solidFill>
          </c:spPr>
          <c:cat>
            <c:numRef>
              <c:f>H000505_iscpr_CZ!$B$25:$K$25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H000505_iscpr_CZ!$B$27:$K$27</c:f>
              <c:numCache>
                <c:formatCode>General</c:formatCode>
                <c:ptCount val="10"/>
                <c:pt idx="0">
                  <c:v>0.39916712237242441</c:v>
                </c:pt>
                <c:pt idx="1">
                  <c:v>-0.28984218970150588</c:v>
                </c:pt>
                <c:pt idx="2">
                  <c:v>1.3136787249459901E-2</c:v>
                </c:pt>
                <c:pt idx="3">
                  <c:v>0.20248529301016588</c:v>
                </c:pt>
                <c:pt idx="4">
                  <c:v>-9.9448383035024693E-2</c:v>
                </c:pt>
                <c:pt idx="5">
                  <c:v>0.22022860313886078</c:v>
                </c:pt>
                <c:pt idx="6">
                  <c:v>6.9321615451480814E-2</c:v>
                </c:pt>
                <c:pt idx="7">
                  <c:v>0.28999947294812117</c:v>
                </c:pt>
                <c:pt idx="8">
                  <c:v>0.35600955412286145</c:v>
                </c:pt>
                <c:pt idx="9">
                  <c:v>0.67869548559442627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BD-451D-BBBD-2A072F993802}"/>
            </c:ext>
          </c:extLst>
        </c:ser>
        <c:ser>
          <c:idx val="0"/>
          <c:order val="4"/>
          <c:tx>
            <c:strRef>
              <c:f>H000505_iscpr_CZ!$A$26</c:f>
              <c:strCache>
                <c:ptCount val="1"/>
                <c:pt idx="0">
                  <c:v>Dlouhodobá spotřeba</c:v>
                </c:pt>
              </c:strCache>
            </c:strRef>
          </c:tx>
          <c:spPr>
            <a:solidFill>
              <a:srgbClr val="0071BC"/>
            </a:solidFill>
          </c:spPr>
          <c:cat>
            <c:numRef>
              <c:f>H000505_iscpr_CZ!$B$25:$K$25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H000505_iscpr_CZ!$B$26:$K$26</c:f>
              <c:numCache>
                <c:formatCode>General</c:formatCode>
                <c:ptCount val="10"/>
                <c:pt idx="0">
                  <c:v>0.9294493017594857</c:v>
                </c:pt>
                <c:pt idx="1">
                  <c:v>5.0381864185247982E-2</c:v>
                </c:pt>
                <c:pt idx="2">
                  <c:v>0.54904363628379826</c:v>
                </c:pt>
                <c:pt idx="3">
                  <c:v>0.5330101031628165</c:v>
                </c:pt>
                <c:pt idx="4">
                  <c:v>-6.3375100043696772E-2</c:v>
                </c:pt>
                <c:pt idx="5">
                  <c:v>0.29113774686374383</c:v>
                </c:pt>
                <c:pt idx="6">
                  <c:v>0.57342970616103561</c:v>
                </c:pt>
                <c:pt idx="7">
                  <c:v>0.88634728577693356</c:v>
                </c:pt>
                <c:pt idx="8">
                  <c:v>0.73068642920532367</c:v>
                </c:pt>
                <c:pt idx="9">
                  <c:v>0.82254133495335724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5BD-451D-BBBD-2A072F993802}"/>
            </c:ext>
          </c:extLst>
        </c:ser>
        <c:overlap val="100"/>
        <c:axId val="141681408"/>
        <c:axId val="141697408"/>
      </c:barChart>
      <c:lineChart>
        <c:grouping val="standard"/>
        <c:ser>
          <c:idx val="4"/>
          <c:order val="0"/>
          <c:tx>
            <c:strRef>
              <c:f>H000505_iscpr_CZ!$A$30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H000505_iscpr_CZ!$B$25:$K$25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H000505_iscpr_CZ!$B$30:$K$30</c:f>
              <c:numCache>
                <c:formatCode>General</c:formatCode>
                <c:ptCount val="10"/>
                <c:pt idx="0">
                  <c:v>2.9000000000000057</c:v>
                </c:pt>
                <c:pt idx="1">
                  <c:v>-0.59999999999999454</c:v>
                </c:pt>
                <c:pt idx="2">
                  <c:v>1.0999999999999845</c:v>
                </c:pt>
                <c:pt idx="3">
                  <c:v>0.30000000000000032</c:v>
                </c:pt>
                <c:pt idx="4">
                  <c:v>-1.2999999999999854</c:v>
                </c:pt>
                <c:pt idx="5">
                  <c:v>0.5</c:v>
                </c:pt>
                <c:pt idx="6">
                  <c:v>1.7999999999999856</c:v>
                </c:pt>
                <c:pt idx="7">
                  <c:v>3.7999999999999972</c:v>
                </c:pt>
                <c:pt idx="8">
                  <c:v>3.5999999999999943</c:v>
                </c:pt>
                <c:pt idx="9">
                  <c:v>4.2999999999999972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5BD-451D-BBBD-2A072F993802}"/>
            </c:ext>
          </c:extLst>
        </c:ser>
        <c:marker val="1"/>
        <c:axId val="141681408"/>
        <c:axId val="141697408"/>
      </c:lineChart>
      <c:catAx>
        <c:axId val="141681408"/>
        <c:scaling>
          <c:orientation val="minMax"/>
        </c:scaling>
        <c:axPos val="b"/>
        <c:numFmt formatCode="General" sourceLinked="1"/>
        <c:tickLblPos val="low"/>
        <c:crossAx val="141697408"/>
        <c:crosses val="autoZero"/>
        <c:auto val="1"/>
        <c:lblAlgn val="ctr"/>
        <c:lblOffset val="100"/>
      </c:catAx>
      <c:valAx>
        <c:axId val="141697408"/>
        <c:scaling>
          <c:orientation val="minMax"/>
        </c:scaling>
        <c:axPos val="l"/>
        <c:majorGridlines/>
        <c:numFmt formatCode="General" sourceLinked="1"/>
        <c:tickLblPos val="nextTo"/>
        <c:crossAx val="141681408"/>
        <c:crosses val="autoZero"/>
        <c:crossBetween val="between"/>
      </c:valAx>
      <c:spPr>
        <a:ln>
          <a:solidFill>
            <a:prstClr val="black"/>
          </a:solidFill>
        </a:ln>
      </c:spPr>
    </c:plotArea>
    <c:legend>
      <c:legendPos val="r"/>
      <c:layout>
        <c:manualLayout>
          <c:xMode val="edge"/>
          <c:yMode val="edge"/>
          <c:x val="5.5890535292131567E-2"/>
          <c:y val="0.87131374535629857"/>
          <c:w val="0.9146219604863226"/>
          <c:h val="0.11519053247776656"/>
        </c:manualLayout>
      </c:layout>
      <c:spPr>
        <a:ln>
          <a:solidFill>
            <a:prstClr val="black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428C-9B55-46BF-92A0-12B5E7C5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2</TotalTime>
  <Pages>4</Pages>
  <Words>1447</Words>
  <Characters>8539</Characters>
  <Application>Microsoft Office Word</Application>
  <DocSecurity>0</DocSecurity>
  <Lines>71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9967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kamenicky3604</cp:lastModifiedBy>
  <cp:revision>2</cp:revision>
  <cp:lastPrinted>2014-07-17T14:07:00Z</cp:lastPrinted>
  <dcterms:created xsi:type="dcterms:W3CDTF">2018-10-29T15:39:00Z</dcterms:created>
  <dcterms:modified xsi:type="dcterms:W3CDTF">2018-10-29T15:39:00Z</dcterms:modified>
</cp:coreProperties>
</file>