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C5593" w14:textId="77777777" w:rsidR="00817FDA" w:rsidRDefault="00817FDA" w:rsidP="00817FDA">
      <w:pPr>
        <w:pStyle w:val="Nadpis110"/>
      </w:pPr>
      <w:bookmarkStart w:id="0" w:name="_Toc47942136"/>
      <w:r>
        <w:t>Souhrnná výkonnost ekonomiky</w:t>
      </w:r>
      <w:bookmarkEnd w:id="0"/>
    </w:p>
    <w:p w14:paraId="761B9FC5" w14:textId="7AC41490" w:rsidR="00817FDA" w:rsidRPr="005457CF" w:rsidRDefault="00A21624" w:rsidP="00817FDA">
      <w:pPr>
        <w:pStyle w:val="Nadpis110"/>
        <w:rPr>
          <w:sz w:val="28"/>
        </w:rPr>
      </w:pPr>
      <w:bookmarkStart w:id="1" w:name="_Toc47942137"/>
      <w:r>
        <w:rPr>
          <w:sz w:val="28"/>
        </w:rPr>
        <w:t>2. </w:t>
      </w:r>
      <w:r w:rsidR="00817FDA" w:rsidRPr="005457CF">
        <w:rPr>
          <w:sz w:val="28"/>
        </w:rPr>
        <w:t>Hrub</w:t>
      </w:r>
      <w:r w:rsidR="00817FDA">
        <w:rPr>
          <w:sz w:val="28"/>
        </w:rPr>
        <w:t>ý domácí produkt</w:t>
      </w:r>
      <w:bookmarkEnd w:id="1"/>
    </w:p>
    <w:tbl>
      <w:tblPr>
        <w:tblW w:w="9644" w:type="dxa"/>
        <w:tblInd w:w="-15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01"/>
        <w:gridCol w:w="233"/>
        <w:gridCol w:w="7610"/>
      </w:tblGrid>
      <w:tr w:rsidR="00817FDA" w14:paraId="626EAB5B" w14:textId="77777777" w:rsidTr="00E503A5">
        <w:trPr>
          <w:trHeight w:val="145"/>
        </w:trPr>
        <w:tc>
          <w:tcPr>
            <w:tcW w:w="1801" w:type="dxa"/>
            <w:shd w:val="clear" w:color="auto" w:fill="auto"/>
          </w:tcPr>
          <w:p w14:paraId="1CCD51B0" w14:textId="77777777" w:rsidR="00817FDA" w:rsidRDefault="00817FDA" w:rsidP="00E503A5">
            <w:pPr>
              <w:pStyle w:val="Marginlie"/>
            </w:pPr>
            <w:r>
              <w:t>Růst HDP loni zpomaloval.</w:t>
            </w:r>
          </w:p>
        </w:tc>
        <w:tc>
          <w:tcPr>
            <w:tcW w:w="233" w:type="dxa"/>
            <w:shd w:val="clear" w:color="auto" w:fill="auto"/>
          </w:tcPr>
          <w:p w14:paraId="0BC39000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68781947" w14:textId="21C49968" w:rsidR="00817FDA" w:rsidRDefault="00817FDA" w:rsidP="00B606BE">
            <w:r>
              <w:t>Hrubý domácí produkt v roce 2019 dosáhl 5 748,7</w:t>
            </w:r>
            <w:r w:rsidR="00A21624">
              <w:t> mld.</w:t>
            </w:r>
            <w:r>
              <w:t xml:space="preserve"> korun (</w:t>
            </w:r>
            <w:r w:rsidR="001A33A3">
              <w:t>v </w:t>
            </w:r>
            <w:r>
              <w:t>běžných cenách). Reálný růst HDP druhým rokem zpomaloval. Výsledný přírůstek tak dosáhl 2,3</w:t>
            </w:r>
            <w:r w:rsidR="00F118D5">
              <w:t> %</w:t>
            </w:r>
            <w:r>
              <w:rPr>
                <w:rStyle w:val="Znakapoznpodarou"/>
              </w:rPr>
              <w:footnoteReference w:id="1"/>
            </w:r>
            <w:r>
              <w:t xml:space="preserve">. </w:t>
            </w:r>
            <w:r w:rsidR="001A33A3">
              <w:t>I </w:t>
            </w:r>
            <w:r>
              <w:t xml:space="preserve">loni se udržovala stabilní základna růstu domácí spotřeby, která významně podporovala hospodářský růst již pátým rokem. Mírně k růstu HDP přispěl také vývoj bilance zahraničního obchodu. Růst vývozu </w:t>
            </w:r>
            <w:r w:rsidR="001A33A3">
              <w:t>a </w:t>
            </w:r>
            <w:r>
              <w:t xml:space="preserve">dovozu ale oslabil </w:t>
            </w:r>
            <w:r w:rsidR="001A33A3">
              <w:t>a </w:t>
            </w:r>
            <w:r>
              <w:t>zvýšení přebytku bylo způsobeno větším oslabením importní dynamiky. Po silném roce 2018 došlo k redukci příspěvku výdajů na tvorbu hrubého kapitálu. Vývoj nabídkové strany ekonomiky potvrzoval silnou roli domácí poptávky, která se projevovala solidním růstem služeb. V některých průmyslových odvětví</w:t>
            </w:r>
            <w:r w:rsidR="0000083D">
              <w:t>ch</w:t>
            </w:r>
            <w:r>
              <w:t xml:space="preserve"> </w:t>
            </w:r>
            <w:r w:rsidR="0000083D">
              <w:t>byl ale</w:t>
            </w:r>
            <w:r>
              <w:t xml:space="preserve"> zřejmý útlum spojený s oslabením zahraniční poptávky.</w:t>
            </w:r>
          </w:p>
        </w:tc>
      </w:tr>
      <w:tr w:rsidR="00817FDA" w14:paraId="5A2ED2DF" w14:textId="77777777" w:rsidTr="00E503A5">
        <w:tc>
          <w:tcPr>
            <w:tcW w:w="1801" w:type="dxa"/>
            <w:vMerge w:val="restart"/>
            <w:shd w:val="clear" w:color="auto" w:fill="auto"/>
          </w:tcPr>
          <w:p w14:paraId="4AB0B7D8" w14:textId="77777777" w:rsidR="00817FDA" w:rsidRDefault="00817FDA" w:rsidP="00E503A5">
            <w:pPr>
              <w:pStyle w:val="Marginlie"/>
            </w:pPr>
          </w:p>
        </w:tc>
        <w:tc>
          <w:tcPr>
            <w:tcW w:w="233" w:type="dxa"/>
            <w:vMerge w:val="restart"/>
            <w:shd w:val="clear" w:color="auto" w:fill="auto"/>
          </w:tcPr>
          <w:p w14:paraId="7889C7FC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58CA0BAD" w14:textId="38A52ACA" w:rsidR="00817FDA" w:rsidRDefault="00817FDA" w:rsidP="00E503A5">
            <w:pPr>
              <w:spacing w:after="0"/>
              <w:rPr>
                <w:b/>
              </w:rPr>
            </w:pPr>
            <w:r>
              <w:rPr>
                <w:b/>
              </w:rPr>
              <w:t xml:space="preserve">Graf </w:t>
            </w:r>
            <w:r w:rsidR="00A21624">
              <w:rPr>
                <w:b/>
              </w:rPr>
              <w:t>č. </w:t>
            </w:r>
            <w:r w:rsidR="001A33A3">
              <w:rPr>
                <w:b/>
              </w:rPr>
              <w:t>1</w:t>
            </w:r>
            <w:r w:rsidR="001A480E">
              <w:rPr>
                <w:b/>
              </w:rPr>
              <w:t xml:space="preserve">  </w:t>
            </w:r>
            <w:r>
              <w:rPr>
                <w:b/>
              </w:rPr>
              <w:t xml:space="preserve">Příspěvky jednotlivých složek ke změně HDP* </w:t>
            </w:r>
            <w:r w:rsidRPr="002E4A56">
              <w:t>(</w:t>
            </w:r>
            <w:r>
              <w:t xml:space="preserve">objemové indexy, </w:t>
            </w:r>
            <w:r w:rsidRPr="002E4A56">
              <w:t>v</w:t>
            </w:r>
            <w:r>
              <w:t> </w:t>
            </w:r>
            <w:r w:rsidRPr="002E4A56">
              <w:t>p.</w:t>
            </w:r>
            <w:r>
              <w:t> </w:t>
            </w:r>
            <w:r w:rsidRPr="002E4A56">
              <w:t>b., růst HDP v</w:t>
            </w:r>
            <w:r w:rsidR="00F118D5">
              <w:t> %</w:t>
            </w:r>
            <w:r>
              <w:t>, sezónně očištěno</w:t>
            </w:r>
            <w:r w:rsidRPr="002E4A56">
              <w:t>)</w:t>
            </w:r>
          </w:p>
        </w:tc>
      </w:tr>
      <w:tr w:rsidR="00817FDA" w14:paraId="2EA19454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801" w:type="dxa"/>
            <w:vMerge/>
            <w:shd w:val="clear" w:color="auto" w:fill="auto"/>
          </w:tcPr>
          <w:p w14:paraId="515CABD9" w14:textId="77777777" w:rsidR="00817FDA" w:rsidRDefault="00817FDA" w:rsidP="00E503A5">
            <w:pPr>
              <w:pStyle w:val="Marginlie"/>
            </w:pPr>
          </w:p>
        </w:tc>
        <w:tc>
          <w:tcPr>
            <w:tcW w:w="233" w:type="dxa"/>
            <w:vMerge/>
            <w:shd w:val="clear" w:color="auto" w:fill="auto"/>
          </w:tcPr>
          <w:p w14:paraId="6B3980D1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180FBBBA" w14:textId="77777777" w:rsidR="00817FDA" w:rsidRDefault="00817FDA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359A4DCC" wp14:editId="4AFAA7FC">
                  <wp:extent cx="4737600" cy="3553200"/>
                  <wp:effectExtent l="0" t="0" r="6350" b="0"/>
                  <wp:docPr id="3" name="Graf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817FDA" w14:paraId="1601EF4A" w14:textId="77777777" w:rsidTr="00E503A5">
        <w:trPr>
          <w:trHeight w:val="170"/>
        </w:trPr>
        <w:tc>
          <w:tcPr>
            <w:tcW w:w="1801" w:type="dxa"/>
            <w:vMerge/>
            <w:shd w:val="clear" w:color="auto" w:fill="auto"/>
          </w:tcPr>
          <w:p w14:paraId="07C4387B" w14:textId="77777777" w:rsidR="00817FDA" w:rsidRDefault="00817FDA" w:rsidP="00E503A5">
            <w:pPr>
              <w:pStyle w:val="Marginlie"/>
            </w:pPr>
          </w:p>
        </w:tc>
        <w:tc>
          <w:tcPr>
            <w:tcW w:w="233" w:type="dxa"/>
            <w:vMerge/>
            <w:shd w:val="clear" w:color="auto" w:fill="auto"/>
          </w:tcPr>
          <w:p w14:paraId="0DB7719F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518E974F" w14:textId="77777777" w:rsidR="00817FDA" w:rsidRDefault="00817FDA" w:rsidP="00E503A5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Zdroj: ČSÚ</w:t>
            </w:r>
          </w:p>
          <w:p w14:paraId="664F9487" w14:textId="77777777" w:rsidR="00817FDA" w:rsidRDefault="00817FDA" w:rsidP="00E503A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*Po vyloučení dovozu pro konečné užití</w:t>
            </w:r>
          </w:p>
        </w:tc>
      </w:tr>
      <w:tr w:rsidR="00817FDA" w14:paraId="5134D889" w14:textId="77777777" w:rsidTr="00E503A5">
        <w:trPr>
          <w:trHeight w:val="145"/>
        </w:trPr>
        <w:tc>
          <w:tcPr>
            <w:tcW w:w="1801" w:type="dxa"/>
            <w:shd w:val="clear" w:color="auto" w:fill="auto"/>
          </w:tcPr>
          <w:p w14:paraId="6345A11A" w14:textId="2C1B6BDF" w:rsidR="00817FDA" w:rsidRDefault="00817FDA" w:rsidP="00E503A5">
            <w:pPr>
              <w:pStyle w:val="Marginlie"/>
            </w:pPr>
            <w:r>
              <w:t>Růst spotřeby zůstal stabilní, výrazně ale zpomalily kapitálové výdaje.</w:t>
            </w:r>
          </w:p>
        </w:tc>
        <w:tc>
          <w:tcPr>
            <w:tcW w:w="233" w:type="dxa"/>
            <w:shd w:val="clear" w:color="auto" w:fill="auto"/>
          </w:tcPr>
          <w:p w14:paraId="01425DA2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6A0EB4A4" w14:textId="1EB5A7F4" w:rsidR="00817FDA" w:rsidRDefault="00817FDA" w:rsidP="00E503A5">
            <w:r>
              <w:t>Vliv domácí spotřeby v celkovém přírůstku HDP zcela převažoval. Celkově spotřeba přispěla k růstu 1,7</w:t>
            </w:r>
            <w:r w:rsidR="00F118D5">
              <w:t> p. b.</w:t>
            </w:r>
            <w:r>
              <w:rPr>
                <w:rStyle w:val="Znakapoznpodarou"/>
              </w:rPr>
              <w:footnoteReference w:id="2"/>
            </w:r>
            <w:r>
              <w:t xml:space="preserve"> Z toho spotřeba domácností reálně vzrostla </w:t>
            </w:r>
            <w:r w:rsidR="001A33A3">
              <w:t>o </w:t>
            </w:r>
            <w:r>
              <w:t>2,9</w:t>
            </w:r>
            <w:r w:rsidR="00F118D5">
              <w:t> %</w:t>
            </w:r>
            <w:r>
              <w:t xml:space="preserve"> (prv</w:t>
            </w:r>
            <w:r w:rsidR="00B04B4A">
              <w:t>n</w:t>
            </w:r>
            <w:r>
              <w:t>í přírůstek pod 3</w:t>
            </w:r>
            <w:r w:rsidR="00F118D5">
              <w:t> %</w:t>
            </w:r>
            <w:r>
              <w:t xml:space="preserve"> od roku 2014) </w:t>
            </w:r>
            <w:r w:rsidR="001A33A3">
              <w:t>a </w:t>
            </w:r>
            <w:r>
              <w:t>přispěla 1,2</w:t>
            </w:r>
            <w:r w:rsidR="00F118D5">
              <w:t> p. b.</w:t>
            </w:r>
            <w:r>
              <w:t xml:space="preserve"> (stejný příspěvek již tři roky). Ze srovnání přírůstku bez vyloučení </w:t>
            </w:r>
            <w:r w:rsidR="001A33A3">
              <w:t>a </w:t>
            </w:r>
            <w:r>
              <w:t>s vyloučením dovozu pro konečné užití přitom vyplývá, že oproti předchozím čtyřem letům nebyl růst spotřeby domácností tak výrazně saturován dovozem. Růst vládní spotřeby oproti roku 2018 oslabil na 2,3</w:t>
            </w:r>
            <w:r w:rsidR="00F118D5">
              <w:t> %</w:t>
            </w:r>
            <w:r>
              <w:t>, stejně jako příspěvek k dynamice HDP (0,4</w:t>
            </w:r>
            <w:r w:rsidR="00F118D5">
              <w:t> p. b.</w:t>
            </w:r>
            <w:r>
              <w:t xml:space="preserve">). Výdaje na tvorbu hrubého kapitálu meziročně reálně vzrostly </w:t>
            </w:r>
            <w:r w:rsidR="001A33A3">
              <w:t>o </w:t>
            </w:r>
            <w:r>
              <w:t>1,5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 xml:space="preserve">na tvorbu hrubého fixního kapitálu (investiční aktivita) </w:t>
            </w:r>
            <w:r w:rsidR="001A33A3">
              <w:t>o </w:t>
            </w:r>
            <w:r>
              <w:t>2,2</w:t>
            </w:r>
            <w:r w:rsidR="00BF6EE6">
              <w:t> </w:t>
            </w:r>
            <w:r>
              <w:t>%. Negativní vliv na meziroční srovnání tak měla změna zásob. To byl také důvod mírně negativního příspěvku růstu kapitálových výdajů k dynamice HDP (</w:t>
            </w:r>
            <w:r w:rsidR="00B04B4A">
              <w:t>–</w:t>
            </w:r>
            <w:r>
              <w:t>0,1</w:t>
            </w:r>
            <w:r w:rsidR="00F118D5">
              <w:t> p. b.</w:t>
            </w:r>
            <w:r>
              <w:t>). Příspěvek samotné investiční aktivity byl mírný, ale pozitivní (0,3</w:t>
            </w:r>
            <w:r w:rsidR="00F118D5">
              <w:t> p. b.</w:t>
            </w:r>
            <w:r>
              <w:t xml:space="preserve">). Celkový </w:t>
            </w:r>
            <w:r>
              <w:lastRenderedPageBreak/>
              <w:t>příspěvek bilance zahraničního obchodu k růstu HDP loni dosáhl 0,6</w:t>
            </w:r>
            <w:r w:rsidR="00F118D5">
              <w:t> p. b.</w:t>
            </w:r>
            <w:r>
              <w:t xml:space="preserve"> Nešlo ale </w:t>
            </w:r>
            <w:r w:rsidR="001A33A3">
              <w:t>o </w:t>
            </w:r>
            <w:r>
              <w:t>důsledek zlepšení exportní dynamiky. Naopak reálný přírůstek vývozu oslabil na 1,3</w:t>
            </w:r>
            <w:r w:rsidR="00BF6EE6">
              <w:t> </w:t>
            </w:r>
            <w:r>
              <w:t xml:space="preserve">%. Zároveň s ním ale oslabil </w:t>
            </w:r>
            <w:r w:rsidR="001A33A3">
              <w:t>i </w:t>
            </w:r>
            <w:r>
              <w:t xml:space="preserve">nárůst </w:t>
            </w:r>
            <w:r w:rsidR="00B04B4A">
              <w:t xml:space="preserve">dovozu </w:t>
            </w:r>
            <w:r>
              <w:t>na 1,4</w:t>
            </w:r>
            <w:r w:rsidR="00F118D5">
              <w:t> %</w:t>
            </w:r>
            <w:r>
              <w:t xml:space="preserve">, což způsobilo zlepšení </w:t>
            </w:r>
            <w:r w:rsidR="00B950E3">
              <w:t xml:space="preserve">dynamiky </w:t>
            </w:r>
            <w:r>
              <w:t>výsledné bilance.</w:t>
            </w:r>
          </w:p>
        </w:tc>
      </w:tr>
      <w:tr w:rsidR="00817FDA" w14:paraId="05E40F01" w14:textId="77777777" w:rsidTr="00E503A5">
        <w:trPr>
          <w:trHeight w:val="145"/>
        </w:trPr>
        <w:tc>
          <w:tcPr>
            <w:tcW w:w="1801" w:type="dxa"/>
            <w:shd w:val="clear" w:color="auto" w:fill="auto"/>
          </w:tcPr>
          <w:p w14:paraId="7363E6B8" w14:textId="77777777" w:rsidR="00817FDA" w:rsidRDefault="00817FDA" w:rsidP="00E503A5">
            <w:pPr>
              <w:pStyle w:val="Marginlie"/>
            </w:pPr>
            <w:r>
              <w:lastRenderedPageBreak/>
              <w:t>Nejvíce k růstu HPH přispívaly služby.</w:t>
            </w:r>
          </w:p>
        </w:tc>
        <w:tc>
          <w:tcPr>
            <w:tcW w:w="233" w:type="dxa"/>
            <w:shd w:val="clear" w:color="auto" w:fill="auto"/>
          </w:tcPr>
          <w:p w14:paraId="5A9710B6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7068F74C" w14:textId="3487E1BA" w:rsidR="00817FDA" w:rsidRDefault="00817FDA" w:rsidP="00B606BE">
            <w:r>
              <w:t>Reálný růst hrubé přidané hodnoty (HPH) loni dosáhl 2,2</w:t>
            </w:r>
            <w:r w:rsidR="00F118D5">
              <w:t> %</w:t>
            </w:r>
            <w:r>
              <w:t xml:space="preserve">. K celkovému růstu z většiny přispívala odvětví </w:t>
            </w:r>
            <w:r w:rsidR="00857658">
              <w:t>služeb</w:t>
            </w:r>
            <w:r w:rsidR="00894C3D">
              <w:t>,</w:t>
            </w:r>
            <w:r w:rsidR="00857658">
              <w:t xml:space="preserve"> podporovaná poptávkou</w:t>
            </w:r>
            <w:r>
              <w:t xml:space="preserve"> domácností </w:t>
            </w:r>
            <w:r w:rsidR="001A33A3">
              <w:t>i </w:t>
            </w:r>
            <w:r>
              <w:t>firem (celkový příspěvek 1,5</w:t>
            </w:r>
            <w:r w:rsidR="00F118D5">
              <w:t> p. b.</w:t>
            </w:r>
            <w:r>
              <w:t xml:space="preserve">). V průběhu roku se ale jejich příspěvek postupně snižoval </w:t>
            </w:r>
            <w:r w:rsidR="001A33A3">
              <w:t>a </w:t>
            </w:r>
            <w:r>
              <w:t xml:space="preserve">s tím </w:t>
            </w:r>
            <w:r w:rsidR="001A33A3">
              <w:t>i </w:t>
            </w:r>
            <w:r>
              <w:t xml:space="preserve">meziroční tempo růstu HPH. Nejvíce k růstu HPH přispívalo uskupení obchod, doprava, ubytování </w:t>
            </w:r>
            <w:r w:rsidR="001A33A3">
              <w:t>a </w:t>
            </w:r>
            <w:r>
              <w:t xml:space="preserve">pohostinství (růst </w:t>
            </w:r>
            <w:r w:rsidR="001A33A3">
              <w:t>o </w:t>
            </w:r>
            <w:r>
              <w:t>2,9</w:t>
            </w:r>
            <w:r w:rsidR="00F118D5">
              <w:t> %</w:t>
            </w:r>
            <w:r>
              <w:t xml:space="preserve">). Nejvyššího růstu přitom dosahoval maloobchod </w:t>
            </w:r>
            <w:r w:rsidR="00B606BE">
              <w:t>(</w:t>
            </w:r>
            <w:r>
              <w:t>kromě motorových vozidel</w:t>
            </w:r>
            <w:r w:rsidR="00B606BE">
              <w:t xml:space="preserve">,  </w:t>
            </w:r>
            <w:r>
              <w:t>7,4</w:t>
            </w:r>
            <w:r w:rsidR="00F118D5">
              <w:t> %</w:t>
            </w:r>
            <w:r>
              <w:t xml:space="preserve">), který plně čerpal ze silné spotřební poptávky domácností. Ve velkoobchodu byl růst slabší (1,5 %). Růst si udržela pozemní </w:t>
            </w:r>
            <w:r w:rsidR="001A33A3">
              <w:t>a </w:t>
            </w:r>
            <w:r>
              <w:t>potrubní doprava (2,7</w:t>
            </w:r>
            <w:r w:rsidR="00F118D5">
              <w:t> %</w:t>
            </w:r>
            <w:r>
              <w:t>), byl ale nejslabší za posledních pět let. Mírně rostla HPH v ubytování (1,5</w:t>
            </w:r>
            <w:r w:rsidR="00F118D5">
              <w:t> %</w:t>
            </w:r>
            <w:r>
              <w:t xml:space="preserve">) </w:t>
            </w:r>
            <w:r w:rsidR="001A33A3">
              <w:t>i </w:t>
            </w:r>
            <w:r>
              <w:t>pohostinství (1,0</w:t>
            </w:r>
            <w:r w:rsidR="00F118D5">
              <w:t> %</w:t>
            </w:r>
            <w:r>
              <w:t xml:space="preserve">). Výrazného růstu díky firemní poptávce dosahovaly profesní, vědecké, technické </w:t>
            </w:r>
            <w:r w:rsidR="001A33A3">
              <w:t>a </w:t>
            </w:r>
            <w:r>
              <w:t>administrativní činnosti (4,9</w:t>
            </w:r>
            <w:r w:rsidR="00F118D5">
              <w:t> %</w:t>
            </w:r>
            <w:r>
              <w:t xml:space="preserve">). Výrazně se dařilo činnostem vedení podniků </w:t>
            </w:r>
            <w:r w:rsidR="001A33A3">
              <w:t>a </w:t>
            </w:r>
            <w:r>
              <w:t>poradenství v oblasti řízení (14,7</w:t>
            </w:r>
            <w:r w:rsidR="00F118D5">
              <w:t> %</w:t>
            </w:r>
            <w:r>
              <w:t xml:space="preserve">), architektonickým </w:t>
            </w:r>
            <w:r w:rsidR="001A33A3">
              <w:t>a </w:t>
            </w:r>
            <w:r>
              <w:t xml:space="preserve">inženýrským činnostem (8,9 %), ale také právním </w:t>
            </w:r>
            <w:r w:rsidR="001A33A3">
              <w:t>a </w:t>
            </w:r>
            <w:r>
              <w:t>účetnickým činnostem (6,0</w:t>
            </w:r>
            <w:r w:rsidR="00F118D5">
              <w:t> %</w:t>
            </w:r>
            <w:r>
              <w:t xml:space="preserve">). </w:t>
            </w:r>
            <w:r w:rsidR="00B950E3">
              <w:t xml:space="preserve">Značně </w:t>
            </w:r>
            <w:r>
              <w:t xml:space="preserve">rostla HPH v peněžnictví </w:t>
            </w:r>
            <w:r w:rsidR="001A33A3">
              <w:t>a </w:t>
            </w:r>
            <w:r>
              <w:t>pojišťovnictví (5,1</w:t>
            </w:r>
            <w:r w:rsidR="00BF6EE6">
              <w:t> </w:t>
            </w:r>
            <w:r>
              <w:t xml:space="preserve">%). Slabší než v roce 2018, ale stále solidní byl přírůstek HPH v informačních </w:t>
            </w:r>
            <w:r w:rsidR="001A33A3">
              <w:t>a </w:t>
            </w:r>
            <w:r>
              <w:t>komunikačních činnostech (2,6</w:t>
            </w:r>
            <w:r w:rsidR="00F118D5">
              <w:t> %</w:t>
            </w:r>
            <w:r>
              <w:t>). Zde oslabila</w:t>
            </w:r>
            <w:r w:rsidR="00F118D5">
              <w:t xml:space="preserve"> </w:t>
            </w:r>
            <w:r>
              <w:t>zejména dynamika činností v oblasti informačních technologií (1,7</w:t>
            </w:r>
            <w:r w:rsidR="00F118D5">
              <w:t> %</w:t>
            </w:r>
            <w:r>
              <w:t xml:space="preserve">) </w:t>
            </w:r>
            <w:r w:rsidR="001A33A3">
              <w:t>a </w:t>
            </w:r>
            <w:r>
              <w:t>informačních činností (4,2</w:t>
            </w:r>
            <w:r w:rsidR="00F118D5">
              <w:t> %</w:t>
            </w:r>
            <w:r>
              <w:t xml:space="preserve">). Jde </w:t>
            </w:r>
            <w:r w:rsidR="001A33A3">
              <w:t>o </w:t>
            </w:r>
            <w:r>
              <w:t xml:space="preserve">obory, které v posledních letech </w:t>
            </w:r>
            <w:r w:rsidR="00570D95">
              <w:t xml:space="preserve">táhly </w:t>
            </w:r>
            <w:r>
              <w:t xml:space="preserve">růst HPH </w:t>
            </w:r>
            <w:r w:rsidR="00570D95">
              <w:t xml:space="preserve">celého </w:t>
            </w:r>
            <w:r>
              <w:t>uskupení nejvíce dopředu.</w:t>
            </w:r>
          </w:p>
        </w:tc>
      </w:tr>
      <w:tr w:rsidR="00817FDA" w14:paraId="0365A3A8" w14:textId="77777777" w:rsidTr="00E503A5">
        <w:trPr>
          <w:trHeight w:val="170"/>
        </w:trPr>
        <w:tc>
          <w:tcPr>
            <w:tcW w:w="1801" w:type="dxa"/>
            <w:vMerge w:val="restart"/>
            <w:shd w:val="clear" w:color="auto" w:fill="auto"/>
          </w:tcPr>
          <w:p w14:paraId="19205E86" w14:textId="77777777" w:rsidR="00817FDA" w:rsidRDefault="00817FDA" w:rsidP="00E503A5">
            <w:pPr>
              <w:pStyle w:val="Marginlie"/>
              <w:spacing w:after="240"/>
            </w:pPr>
          </w:p>
        </w:tc>
        <w:tc>
          <w:tcPr>
            <w:tcW w:w="233" w:type="dxa"/>
            <w:vMerge w:val="restart"/>
            <w:shd w:val="clear" w:color="auto" w:fill="auto"/>
          </w:tcPr>
          <w:p w14:paraId="09D70743" w14:textId="77777777" w:rsidR="00817FDA" w:rsidRDefault="00817FDA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193E3AE2" w14:textId="40E65F45" w:rsidR="00817FDA" w:rsidRDefault="00817FDA" w:rsidP="00E503A5">
            <w:pPr>
              <w:spacing w:after="0"/>
            </w:pPr>
            <w:r w:rsidRPr="00B606BE">
              <w:rPr>
                <w:rFonts w:cs="Arial"/>
                <w:b/>
                <w:lang w:eastAsia="en-US"/>
              </w:rPr>
              <w:t xml:space="preserve">Graf </w:t>
            </w:r>
            <w:r w:rsidR="00A21624" w:rsidRPr="00B606BE">
              <w:rPr>
                <w:rFonts w:cs="Arial"/>
                <w:b/>
                <w:lang w:eastAsia="en-US"/>
              </w:rPr>
              <w:t>č. </w:t>
            </w:r>
            <w:r w:rsidR="001A33A3" w:rsidRPr="00B606BE">
              <w:rPr>
                <w:rFonts w:cs="Arial"/>
                <w:b/>
                <w:lang w:eastAsia="en-US"/>
              </w:rPr>
              <w:t>2</w:t>
            </w:r>
            <w:r w:rsidR="001A480E">
              <w:rPr>
                <w:rFonts w:cs="Arial"/>
                <w:b/>
                <w:lang w:eastAsia="en-US"/>
              </w:rPr>
              <w:t xml:space="preserve">  </w:t>
            </w:r>
            <w:r w:rsidRPr="00A74192">
              <w:rPr>
                <w:rFonts w:cs="Arial"/>
                <w:b/>
                <w:lang w:eastAsia="en-US"/>
              </w:rPr>
              <w:t>Příspěvky odvětví ke</w:t>
            </w:r>
            <w:r w:rsidR="00B962D2">
              <w:rPr>
                <w:rFonts w:cs="Arial"/>
                <w:b/>
                <w:lang w:eastAsia="en-US"/>
              </w:rPr>
              <w:t xml:space="preserve"> </w:t>
            </w:r>
            <w:r w:rsidRPr="00A74192">
              <w:rPr>
                <w:rFonts w:cs="Arial"/>
                <w:b/>
                <w:lang w:eastAsia="en-US"/>
              </w:rPr>
              <w:t>změně HPH</w:t>
            </w:r>
            <w:r w:rsidRPr="00A74192">
              <w:rPr>
                <w:rFonts w:cs="Arial"/>
                <w:lang w:eastAsia="en-US"/>
              </w:rPr>
              <w:t xml:space="preserve"> (</w:t>
            </w:r>
            <w:r>
              <w:rPr>
                <w:rFonts w:cs="Arial"/>
                <w:lang w:eastAsia="en-US"/>
              </w:rPr>
              <w:t>objemové indexy</w:t>
            </w:r>
            <w:r w:rsidRPr="00A74192">
              <w:rPr>
                <w:rFonts w:cs="Arial"/>
                <w:lang w:eastAsia="en-US"/>
              </w:rPr>
              <w:t xml:space="preserve"> v p.</w:t>
            </w:r>
            <w:r w:rsidR="00B962D2">
              <w:rPr>
                <w:rFonts w:cs="Arial"/>
                <w:lang w:eastAsia="en-US"/>
              </w:rPr>
              <w:t> </w:t>
            </w:r>
            <w:r w:rsidRPr="00A74192">
              <w:rPr>
                <w:rFonts w:cs="Arial"/>
                <w:lang w:eastAsia="en-US"/>
              </w:rPr>
              <w:t>b., HPH</w:t>
            </w:r>
            <w:r>
              <w:rPr>
                <w:rFonts w:cs="Arial"/>
                <w:lang w:eastAsia="en-US"/>
              </w:rPr>
              <w:t xml:space="preserve"> </w:t>
            </w:r>
            <w:r w:rsidRPr="00A74192">
              <w:rPr>
                <w:rFonts w:cs="Arial"/>
                <w:lang w:eastAsia="en-US"/>
              </w:rPr>
              <w:t>v</w:t>
            </w:r>
            <w:r w:rsidR="00F118D5">
              <w:rPr>
                <w:rFonts w:cs="Arial"/>
                <w:lang w:eastAsia="en-US"/>
              </w:rPr>
              <w:t> %</w:t>
            </w:r>
            <w:r>
              <w:rPr>
                <w:rFonts w:cs="Arial"/>
                <w:lang w:eastAsia="en-US"/>
              </w:rPr>
              <w:t>, sezónně očištěno</w:t>
            </w:r>
            <w:r w:rsidRPr="00A74192">
              <w:rPr>
                <w:rFonts w:cs="Arial"/>
                <w:lang w:eastAsia="en-US"/>
              </w:rPr>
              <w:t>)</w:t>
            </w:r>
          </w:p>
        </w:tc>
      </w:tr>
      <w:tr w:rsidR="00817FDA" w14:paraId="6E45FDA2" w14:textId="77777777" w:rsidTr="00E503A5">
        <w:tblPrEx>
          <w:tblCellMar>
            <w:left w:w="70" w:type="dxa"/>
            <w:right w:w="70" w:type="dxa"/>
          </w:tblCellMar>
        </w:tblPrEx>
        <w:trPr>
          <w:trHeight w:val="170"/>
        </w:trPr>
        <w:tc>
          <w:tcPr>
            <w:tcW w:w="1801" w:type="dxa"/>
            <w:vMerge/>
            <w:shd w:val="clear" w:color="auto" w:fill="auto"/>
          </w:tcPr>
          <w:p w14:paraId="6D44164E" w14:textId="77777777" w:rsidR="00817FDA" w:rsidRDefault="00817FDA" w:rsidP="00E503A5">
            <w:pPr>
              <w:pStyle w:val="Marginlie"/>
              <w:spacing w:after="240"/>
            </w:pPr>
          </w:p>
        </w:tc>
        <w:tc>
          <w:tcPr>
            <w:tcW w:w="233" w:type="dxa"/>
            <w:vMerge/>
            <w:shd w:val="clear" w:color="auto" w:fill="auto"/>
          </w:tcPr>
          <w:p w14:paraId="6818A9F7" w14:textId="77777777" w:rsidR="00817FDA" w:rsidRDefault="00817FDA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153D5DD9" w14:textId="77777777" w:rsidR="00817FDA" w:rsidRDefault="00817FDA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5C017C2D" wp14:editId="4005C00F">
                  <wp:extent cx="4737600" cy="3553200"/>
                  <wp:effectExtent l="0" t="0" r="6350" b="0"/>
                  <wp:docPr id="7" name="Graf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817FDA" w14:paraId="34DF5A02" w14:textId="77777777" w:rsidTr="00E503A5">
        <w:trPr>
          <w:trHeight w:val="170"/>
        </w:trPr>
        <w:tc>
          <w:tcPr>
            <w:tcW w:w="1801" w:type="dxa"/>
            <w:vMerge/>
            <w:shd w:val="clear" w:color="auto" w:fill="auto"/>
          </w:tcPr>
          <w:p w14:paraId="0E202BB6" w14:textId="77777777" w:rsidR="00817FDA" w:rsidRDefault="00817FDA" w:rsidP="00E503A5">
            <w:pPr>
              <w:pStyle w:val="Marginlie"/>
              <w:spacing w:after="240"/>
            </w:pPr>
          </w:p>
        </w:tc>
        <w:tc>
          <w:tcPr>
            <w:tcW w:w="233" w:type="dxa"/>
            <w:vMerge/>
            <w:shd w:val="clear" w:color="auto" w:fill="auto"/>
          </w:tcPr>
          <w:p w14:paraId="0339A256" w14:textId="77777777" w:rsidR="00817FDA" w:rsidRDefault="00817FDA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55158014" w14:textId="77777777" w:rsidR="00817FDA" w:rsidRPr="0065379C" w:rsidRDefault="00817FDA" w:rsidP="00E503A5">
            <w:pPr>
              <w:rPr>
                <w:sz w:val="14"/>
                <w:szCs w:val="14"/>
              </w:rPr>
            </w:pPr>
            <w:r w:rsidRPr="0065379C">
              <w:rPr>
                <w:sz w:val="14"/>
                <w:szCs w:val="14"/>
              </w:rPr>
              <w:t>Zdroj:</w:t>
            </w:r>
            <w:r w:rsidR="00B950E3">
              <w:rPr>
                <w:sz w:val="14"/>
                <w:szCs w:val="14"/>
              </w:rPr>
              <w:t xml:space="preserve"> </w:t>
            </w:r>
            <w:r w:rsidRPr="0065379C">
              <w:rPr>
                <w:sz w:val="14"/>
                <w:szCs w:val="14"/>
              </w:rPr>
              <w:t>ČSÚ</w:t>
            </w:r>
          </w:p>
        </w:tc>
      </w:tr>
      <w:tr w:rsidR="00817FDA" w14:paraId="2474317F" w14:textId="77777777" w:rsidTr="00E503A5">
        <w:trPr>
          <w:trHeight w:val="212"/>
        </w:trPr>
        <w:tc>
          <w:tcPr>
            <w:tcW w:w="1801" w:type="dxa"/>
            <w:shd w:val="clear" w:color="auto" w:fill="auto"/>
          </w:tcPr>
          <w:p w14:paraId="778CC7EE" w14:textId="64A33FDA" w:rsidR="00817FDA" w:rsidRDefault="00817FDA" w:rsidP="00E503A5">
            <w:pPr>
              <w:pStyle w:val="Marginlie"/>
              <w:spacing w:after="240"/>
            </w:pPr>
            <w:r>
              <w:t>Růst HPH ve zpracovatelském průmyslu mírně posílil.</w:t>
            </w:r>
            <w:r w:rsidR="00142C1C">
              <w:br/>
            </w:r>
            <w:r>
              <w:t>Ve výrobě motorových vozidel ale zpomalil.</w:t>
            </w:r>
          </w:p>
        </w:tc>
        <w:tc>
          <w:tcPr>
            <w:tcW w:w="233" w:type="dxa"/>
            <w:shd w:val="clear" w:color="auto" w:fill="auto"/>
          </w:tcPr>
          <w:p w14:paraId="6EDEE10E" w14:textId="77777777" w:rsidR="00817FDA" w:rsidRDefault="00817FDA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776CCFFE" w14:textId="4BE7BA92" w:rsidR="00817FDA" w:rsidRDefault="00817FDA" w:rsidP="00E503A5">
            <w:r>
              <w:t>Meziroční růst HPH ve zpracovatelském průmyslu loni posílil na 3,1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>odvětví tak k celkovému růstu přispělo 0,7</w:t>
            </w:r>
            <w:r w:rsidR="00F118D5">
              <w:t> p. b.</w:t>
            </w:r>
            <w:r>
              <w:t xml:space="preserve"> Vysoké úrovni let 2015–2017 se ale příspěvek nepřiblížil. Dynamika nejdůležitějšího odvětví domácí ekonomiky</w:t>
            </w:r>
            <w:r w:rsidR="00AB5F7B">
              <w:t> </w:t>
            </w:r>
            <w:r>
              <w:t>– výroby motorových vozidel</w:t>
            </w:r>
            <w:r w:rsidR="00AB5F7B">
              <w:t> </w:t>
            </w:r>
            <w:r>
              <w:t>– druhým rokem oslabovala (4,2</w:t>
            </w:r>
            <w:r w:rsidR="00F118D5">
              <w:t> %</w:t>
            </w:r>
            <w:r>
              <w:t xml:space="preserve">). Příznivě se vyvíjely některé menší obory, </w:t>
            </w:r>
            <w:r w:rsidR="00AB5F7B">
              <w:t xml:space="preserve">a to </w:t>
            </w:r>
            <w:r w:rsidR="001A33A3">
              <w:t>i </w:t>
            </w:r>
            <w:r>
              <w:t>ty navázané na výrobu motorových vozidel. Posílil tak růst HPH ve výrobě elektrických zařízení (6,8</w:t>
            </w:r>
            <w:r w:rsidR="00F118D5">
              <w:t> %</w:t>
            </w:r>
            <w:r>
              <w:t xml:space="preserve">), pryžových </w:t>
            </w:r>
            <w:r w:rsidR="001A33A3">
              <w:t>a </w:t>
            </w:r>
            <w:r>
              <w:t>plastových výrobků (4,6</w:t>
            </w:r>
            <w:r w:rsidR="00F118D5">
              <w:t> %</w:t>
            </w:r>
            <w:r>
              <w:t xml:space="preserve">), kovodělných </w:t>
            </w:r>
            <w:r>
              <w:lastRenderedPageBreak/>
              <w:t>výrobků (1,7</w:t>
            </w:r>
            <w:r w:rsidR="00F118D5">
              <w:t> %</w:t>
            </w:r>
            <w:r>
              <w:t>) nebo ve výrobě potravinářských výrobků (4,2</w:t>
            </w:r>
            <w:r w:rsidR="00F118D5">
              <w:t> %</w:t>
            </w:r>
            <w:r>
              <w:t xml:space="preserve">). Velmi silně se zvýšila HPH ve výrobě základních farmaceutických výrobků </w:t>
            </w:r>
            <w:r w:rsidR="001A33A3">
              <w:t>a </w:t>
            </w:r>
            <w:r>
              <w:t xml:space="preserve">přípravků (17,6 %). Oslabil růst </w:t>
            </w:r>
            <w:r w:rsidR="001A33A3">
              <w:t>u </w:t>
            </w:r>
            <w:r>
              <w:t xml:space="preserve">chemických látek </w:t>
            </w:r>
            <w:r w:rsidR="001A33A3">
              <w:t>a </w:t>
            </w:r>
            <w:r>
              <w:t>přípravků (2,3</w:t>
            </w:r>
            <w:r w:rsidR="00F118D5">
              <w:t> %</w:t>
            </w:r>
            <w:r>
              <w:t xml:space="preserve">). Hrubá přidaná hodnota se propadla </w:t>
            </w:r>
            <w:r w:rsidR="001A33A3">
              <w:t>u </w:t>
            </w:r>
            <w:r>
              <w:t xml:space="preserve">výroby strojů </w:t>
            </w:r>
            <w:r w:rsidR="001A33A3">
              <w:t>a </w:t>
            </w:r>
            <w:r>
              <w:t>zařízení (</w:t>
            </w:r>
            <w:r w:rsidR="00AB5F7B">
              <w:t>–</w:t>
            </w:r>
            <w:r>
              <w:t xml:space="preserve">2,3 %) </w:t>
            </w:r>
            <w:r w:rsidR="001A33A3">
              <w:t>a </w:t>
            </w:r>
            <w:r>
              <w:t xml:space="preserve">po dvou letech silného navyšování také </w:t>
            </w:r>
            <w:r w:rsidR="001A33A3">
              <w:t>u </w:t>
            </w:r>
            <w:r>
              <w:t>výroby počítač</w:t>
            </w:r>
            <w:r w:rsidR="00B950E3">
              <w:t>ů</w:t>
            </w:r>
            <w:r>
              <w:t xml:space="preserve"> </w:t>
            </w:r>
            <w:r w:rsidR="001A33A3">
              <w:t>a </w:t>
            </w:r>
            <w:r>
              <w:t xml:space="preserve">elektronických </w:t>
            </w:r>
            <w:r w:rsidR="001A33A3">
              <w:t>a </w:t>
            </w:r>
            <w:r>
              <w:t xml:space="preserve">optických přístrojů </w:t>
            </w:r>
            <w:r w:rsidR="001A33A3">
              <w:t>a </w:t>
            </w:r>
            <w:r>
              <w:t>zařízení (</w:t>
            </w:r>
            <w:r w:rsidR="00A21624">
              <w:t>–</w:t>
            </w:r>
            <w:r>
              <w:t>2,4</w:t>
            </w:r>
            <w:r w:rsidR="00F118D5">
              <w:t> %</w:t>
            </w:r>
            <w:r>
              <w:t xml:space="preserve">). Ostatní průmyslová odvětví se potýkala s poklesy. Platilo to zejména </w:t>
            </w:r>
            <w:r w:rsidR="001A33A3">
              <w:t>u </w:t>
            </w:r>
            <w:r>
              <w:t xml:space="preserve">těžby </w:t>
            </w:r>
            <w:r w:rsidR="001A33A3">
              <w:t>a </w:t>
            </w:r>
            <w:r>
              <w:t xml:space="preserve">dobývání, kde klesala HPH ve všech oddílech klasifikace (například těžba </w:t>
            </w:r>
            <w:r w:rsidR="001A33A3">
              <w:t>a </w:t>
            </w:r>
            <w:r>
              <w:t xml:space="preserve">úprava černého </w:t>
            </w:r>
            <w:r w:rsidR="001A33A3">
              <w:t>a </w:t>
            </w:r>
            <w:r>
              <w:t xml:space="preserve">hnědého uhlí </w:t>
            </w:r>
            <w:r w:rsidR="00A21624">
              <w:t>–</w:t>
            </w:r>
            <w:r>
              <w:t>25,7</w:t>
            </w:r>
            <w:r w:rsidR="00F118D5">
              <w:t> %</w:t>
            </w:r>
            <w:r>
              <w:t xml:space="preserve">, těžba </w:t>
            </w:r>
            <w:r w:rsidR="001A33A3">
              <w:t>a </w:t>
            </w:r>
            <w:r>
              <w:t xml:space="preserve">úprava rud </w:t>
            </w:r>
            <w:r w:rsidR="00A21624">
              <w:t>–</w:t>
            </w:r>
            <w:r>
              <w:t>56,2</w:t>
            </w:r>
            <w:r w:rsidR="00F118D5">
              <w:t> %</w:t>
            </w:r>
            <w:r>
              <w:t xml:space="preserve">). </w:t>
            </w:r>
            <w:r w:rsidR="001A33A3">
              <w:t>U </w:t>
            </w:r>
            <w:r>
              <w:t xml:space="preserve">výroby </w:t>
            </w:r>
            <w:r w:rsidR="001A33A3">
              <w:t>a </w:t>
            </w:r>
            <w:r>
              <w:t xml:space="preserve">rozvodu elektřiny, plynu, tepla </w:t>
            </w:r>
            <w:r w:rsidR="001A33A3">
              <w:t>a </w:t>
            </w:r>
            <w:r>
              <w:t xml:space="preserve">klimatizovaného vzduchu klesla HPH </w:t>
            </w:r>
            <w:r w:rsidR="001A33A3">
              <w:t>o </w:t>
            </w:r>
            <w:r>
              <w:t>2,7</w:t>
            </w:r>
            <w:r w:rsidR="00F118D5">
              <w:t> %</w:t>
            </w:r>
            <w:r>
              <w:t xml:space="preserve">. Ve směru poklesu HPH působilo </w:t>
            </w:r>
            <w:r w:rsidR="001A33A3">
              <w:t>i </w:t>
            </w:r>
            <w:r>
              <w:t>stavebnictví (</w:t>
            </w:r>
            <w:r w:rsidR="00A21624">
              <w:t>–</w:t>
            </w:r>
            <w:r>
              <w:t>2,4</w:t>
            </w:r>
            <w:r w:rsidR="00F118D5">
              <w:t> %</w:t>
            </w:r>
            <w:r>
              <w:t xml:space="preserve">). Pokles </w:t>
            </w:r>
            <w:r w:rsidR="00AB5F7B">
              <w:t xml:space="preserve">se týkal </w:t>
            </w:r>
            <w:r>
              <w:t>zejména výstavby budov (</w:t>
            </w:r>
            <w:r w:rsidR="00AB5F7B">
              <w:t>–</w:t>
            </w:r>
            <w:r>
              <w:t>4,0 %), inženýrské stavitelství stagnovalo (0,4</w:t>
            </w:r>
            <w:r w:rsidR="00F118D5">
              <w:t> %</w:t>
            </w:r>
            <w:r>
              <w:t xml:space="preserve">). Zemědělství, lesnictví </w:t>
            </w:r>
            <w:r w:rsidR="001A33A3">
              <w:t>a </w:t>
            </w:r>
            <w:r>
              <w:t>rybářství zažívalo růst (5,4</w:t>
            </w:r>
            <w:r w:rsidR="00F118D5">
              <w:t> %</w:t>
            </w:r>
            <w:r>
              <w:t>).</w:t>
            </w:r>
          </w:p>
        </w:tc>
      </w:tr>
      <w:tr w:rsidR="00817FDA" w14:paraId="1327E2F2" w14:textId="77777777" w:rsidTr="00E503A5">
        <w:trPr>
          <w:trHeight w:val="212"/>
        </w:trPr>
        <w:tc>
          <w:tcPr>
            <w:tcW w:w="1801" w:type="dxa"/>
            <w:shd w:val="clear" w:color="auto" w:fill="auto"/>
          </w:tcPr>
          <w:p w14:paraId="189B901C" w14:textId="797677B0" w:rsidR="00817FDA" w:rsidRDefault="00817FDA" w:rsidP="00E503A5">
            <w:pPr>
              <w:pStyle w:val="Marginlie"/>
              <w:spacing w:after="240"/>
            </w:pPr>
            <w:r>
              <w:lastRenderedPageBreak/>
              <w:t xml:space="preserve">Růst HDP zpomaloval </w:t>
            </w:r>
            <w:r w:rsidR="001A33A3">
              <w:t>i </w:t>
            </w:r>
            <w:r>
              <w:t>v Evropské unii.</w:t>
            </w:r>
          </w:p>
        </w:tc>
        <w:tc>
          <w:tcPr>
            <w:tcW w:w="233" w:type="dxa"/>
            <w:shd w:val="clear" w:color="auto" w:fill="auto"/>
          </w:tcPr>
          <w:p w14:paraId="22F433C7" w14:textId="77777777" w:rsidR="00817FDA" w:rsidRDefault="00817FDA" w:rsidP="00E503A5">
            <w:pPr>
              <w:pStyle w:val="Textpoznpodarou10"/>
              <w:spacing w:after="24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0D731637" w14:textId="395BE1F7" w:rsidR="00817FDA" w:rsidRDefault="00817FDA" w:rsidP="00B950E3">
            <w:r>
              <w:t xml:space="preserve">Růst hrubého domácího produktu loni zpomalil </w:t>
            </w:r>
            <w:r w:rsidR="001A33A3">
              <w:t>i </w:t>
            </w:r>
            <w:r>
              <w:t>v Evropské unii. Celkový reálný přírůstek dosáhl 1,5</w:t>
            </w:r>
            <w:r w:rsidR="00F118D5">
              <w:t> %</w:t>
            </w:r>
            <w:r>
              <w:rPr>
                <w:rStyle w:val="Znakapoznpodarou"/>
              </w:rPr>
              <w:footnoteReference w:id="3"/>
            </w:r>
            <w:r>
              <w:t xml:space="preserve">. Spotřeba se zvýšila </w:t>
            </w:r>
            <w:r w:rsidR="001A33A3">
              <w:t>o </w:t>
            </w:r>
            <w:r>
              <w:t>1,7</w:t>
            </w:r>
            <w:r w:rsidR="00F118D5">
              <w:t> %</w:t>
            </w:r>
            <w:r>
              <w:t xml:space="preserve"> </w:t>
            </w:r>
            <w:r w:rsidR="001A33A3">
              <w:t>a </w:t>
            </w:r>
            <w:r>
              <w:t xml:space="preserve">drobně zrychlila. Zpomalilo naopak tempo </w:t>
            </w:r>
            <w:r w:rsidR="00B950E3">
              <w:t xml:space="preserve">růstu </w:t>
            </w:r>
            <w:r>
              <w:t>výdajů na hrubý kapitál (2,9</w:t>
            </w:r>
            <w:r w:rsidR="00F118D5">
              <w:t> %</w:t>
            </w:r>
            <w:r>
              <w:t xml:space="preserve">), přitom </w:t>
            </w:r>
            <w:r w:rsidR="00B950E3">
              <w:t xml:space="preserve">dynamika </w:t>
            </w:r>
            <w:r>
              <w:t>samotné investiční aktivity posílil</w:t>
            </w:r>
            <w:r w:rsidR="00B950E3">
              <w:t>a</w:t>
            </w:r>
            <w:r>
              <w:t xml:space="preserve"> na 5,6</w:t>
            </w:r>
            <w:r w:rsidR="00F118D5">
              <w:t> %</w:t>
            </w:r>
            <w:r w:rsidR="00B950E3">
              <w:t xml:space="preserve"> (</w:t>
            </w:r>
            <w:r>
              <w:t>nejvyšší tempo od roku 2007</w:t>
            </w:r>
            <w:r w:rsidR="00B950E3">
              <w:t>)</w:t>
            </w:r>
            <w:r>
              <w:t>. V naprosté většině zemí EU růst HDP zpomaloval. Nejvyšších přírůstků dosáhl HDP v Irsku (5,6</w:t>
            </w:r>
            <w:r w:rsidR="00F118D5">
              <w:t> %</w:t>
            </w:r>
            <w:r>
              <w:t>), Maďarsku (4,9</w:t>
            </w:r>
            <w:r w:rsidR="00F118D5">
              <w:t> %</w:t>
            </w:r>
            <w:r>
              <w:t xml:space="preserve">) </w:t>
            </w:r>
            <w:r w:rsidR="001A33A3">
              <w:t>a </w:t>
            </w:r>
            <w:r>
              <w:t>na Maltě (4,7</w:t>
            </w:r>
            <w:r w:rsidR="00F118D5">
              <w:t> %</w:t>
            </w:r>
            <w:r>
              <w:t xml:space="preserve">). Ještě více než v minulých letech se zvýraznil rozdíl v tempech růstu starých </w:t>
            </w:r>
            <w:r w:rsidR="001A33A3">
              <w:t>a </w:t>
            </w:r>
            <w:r>
              <w:t xml:space="preserve">nových členů Unie. Kromě prvního Irska byly v první desítce jen </w:t>
            </w:r>
            <w:r w:rsidR="00E305C8">
              <w:t>členské země, které vstoupily</w:t>
            </w:r>
            <w:r>
              <w:t xml:space="preserve"> po roce 2000. Naopak ve spodní desítce není z těchto zemí žádná. V žádném stát</w:t>
            </w:r>
            <w:r w:rsidR="00E305C8">
              <w:t>ě</w:t>
            </w:r>
            <w:r>
              <w:t xml:space="preserve"> EU loni nedošlo k poklesu HDP, ale pod 1</w:t>
            </w:r>
            <w:r w:rsidR="00F118D5">
              <w:t> %</w:t>
            </w:r>
            <w:r>
              <w:t xml:space="preserve"> se dostala dynamika HDP v Itálii (0,3</w:t>
            </w:r>
            <w:r w:rsidR="00F118D5">
              <w:t> %</w:t>
            </w:r>
            <w:r>
              <w:t xml:space="preserve">, nejméně za posledních pět let) </w:t>
            </w:r>
            <w:r w:rsidR="001A33A3">
              <w:t>a </w:t>
            </w:r>
            <w:r>
              <w:t>v Německu (0,6</w:t>
            </w:r>
            <w:r w:rsidR="00BF6EE6">
              <w:t> </w:t>
            </w:r>
            <w:r>
              <w:t>%, nejméně od roku 2013).</w:t>
            </w:r>
          </w:p>
        </w:tc>
      </w:tr>
      <w:tr w:rsidR="00817FDA" w14:paraId="23802157" w14:textId="77777777" w:rsidTr="00E503A5">
        <w:trPr>
          <w:trHeight w:val="150"/>
        </w:trPr>
        <w:tc>
          <w:tcPr>
            <w:tcW w:w="1801" w:type="dxa"/>
            <w:vMerge w:val="restart"/>
            <w:shd w:val="clear" w:color="auto" w:fill="auto"/>
          </w:tcPr>
          <w:p w14:paraId="7C3A22C5" w14:textId="77777777" w:rsidR="00817FDA" w:rsidRDefault="00817FDA" w:rsidP="00E503A5">
            <w:pPr>
              <w:pStyle w:val="Marginlie"/>
              <w:spacing w:after="240"/>
            </w:pPr>
          </w:p>
        </w:tc>
        <w:tc>
          <w:tcPr>
            <w:tcW w:w="233" w:type="dxa"/>
            <w:vMerge w:val="restart"/>
            <w:shd w:val="clear" w:color="auto" w:fill="auto"/>
          </w:tcPr>
          <w:p w14:paraId="5D54DCFF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1BAEFF2D" w14:textId="32A73769" w:rsidR="00817FDA" w:rsidRDefault="00817FDA" w:rsidP="00E503A5">
            <w:pPr>
              <w:spacing w:after="0"/>
            </w:pPr>
            <w:r w:rsidRPr="00B606BE">
              <w:rPr>
                <w:b/>
              </w:rPr>
              <w:t xml:space="preserve">Graf </w:t>
            </w:r>
            <w:r w:rsidR="00A21624" w:rsidRPr="00B606BE">
              <w:rPr>
                <w:b/>
              </w:rPr>
              <w:t>č. </w:t>
            </w:r>
            <w:r w:rsidR="001A33A3" w:rsidRPr="00B606BE">
              <w:rPr>
                <w:b/>
              </w:rPr>
              <w:t>3</w:t>
            </w:r>
            <w:r w:rsidR="001A480E">
              <w:rPr>
                <w:b/>
              </w:rPr>
              <w:t xml:space="preserve">  </w:t>
            </w:r>
            <w:r w:rsidRPr="00062AB4">
              <w:rPr>
                <w:b/>
              </w:rPr>
              <w:t>Hrubý domácí produkt</w:t>
            </w:r>
            <w:r>
              <w:t xml:space="preserve"> (meziroční přírůstek v</w:t>
            </w:r>
            <w:r w:rsidR="00F118D5">
              <w:t> %</w:t>
            </w:r>
            <w:r>
              <w:t>)</w:t>
            </w:r>
          </w:p>
        </w:tc>
      </w:tr>
      <w:tr w:rsidR="00817FDA" w14:paraId="4312B295" w14:textId="77777777" w:rsidTr="00E503A5">
        <w:tblPrEx>
          <w:tblCellMar>
            <w:left w:w="70" w:type="dxa"/>
            <w:right w:w="70" w:type="dxa"/>
          </w:tblCellMar>
        </w:tblPrEx>
        <w:trPr>
          <w:trHeight w:val="150"/>
        </w:trPr>
        <w:tc>
          <w:tcPr>
            <w:tcW w:w="1801" w:type="dxa"/>
            <w:vMerge/>
            <w:shd w:val="clear" w:color="auto" w:fill="auto"/>
          </w:tcPr>
          <w:p w14:paraId="058BBEBB" w14:textId="77777777" w:rsidR="00817FDA" w:rsidRDefault="00817FDA" w:rsidP="00E503A5">
            <w:pPr>
              <w:pStyle w:val="Marginlie"/>
              <w:spacing w:after="240"/>
            </w:pPr>
          </w:p>
        </w:tc>
        <w:tc>
          <w:tcPr>
            <w:tcW w:w="233" w:type="dxa"/>
            <w:vMerge/>
            <w:shd w:val="clear" w:color="auto" w:fill="auto"/>
          </w:tcPr>
          <w:p w14:paraId="5D20C148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4CA3CD95" w14:textId="77777777" w:rsidR="00817FDA" w:rsidRDefault="00817FDA" w:rsidP="00E503A5">
            <w:pPr>
              <w:spacing w:after="0"/>
            </w:pPr>
            <w:r>
              <w:rPr>
                <w:noProof/>
              </w:rPr>
              <w:drawing>
                <wp:inline distT="0" distB="0" distL="0" distR="0" wp14:anchorId="37A5E700" wp14:editId="729BC5E3">
                  <wp:extent cx="4737600" cy="3553200"/>
                  <wp:effectExtent l="0" t="0" r="0" b="0"/>
                  <wp:docPr id="8" name="Graf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817FDA" w14:paraId="021ECD71" w14:textId="77777777" w:rsidTr="00E503A5">
        <w:trPr>
          <w:trHeight w:val="150"/>
        </w:trPr>
        <w:tc>
          <w:tcPr>
            <w:tcW w:w="1801" w:type="dxa"/>
            <w:vMerge/>
            <w:shd w:val="clear" w:color="auto" w:fill="auto"/>
          </w:tcPr>
          <w:p w14:paraId="3F59D5B8" w14:textId="77777777" w:rsidR="00817FDA" w:rsidRDefault="00817FDA" w:rsidP="00E503A5">
            <w:pPr>
              <w:pStyle w:val="Marginlie"/>
              <w:spacing w:after="240"/>
            </w:pPr>
          </w:p>
        </w:tc>
        <w:tc>
          <w:tcPr>
            <w:tcW w:w="233" w:type="dxa"/>
            <w:vMerge/>
            <w:shd w:val="clear" w:color="auto" w:fill="auto"/>
          </w:tcPr>
          <w:p w14:paraId="7468DAA4" w14:textId="77777777" w:rsidR="00817FDA" w:rsidRDefault="00817FDA" w:rsidP="00E503A5">
            <w:pPr>
              <w:pStyle w:val="Textpoznpodarou10"/>
              <w:jc w:val="both"/>
              <w:rPr>
                <w:spacing w:val="-4"/>
              </w:rPr>
            </w:pPr>
          </w:p>
        </w:tc>
        <w:tc>
          <w:tcPr>
            <w:tcW w:w="7610" w:type="dxa"/>
            <w:shd w:val="clear" w:color="auto" w:fill="auto"/>
          </w:tcPr>
          <w:p w14:paraId="7598CDDF" w14:textId="77777777" w:rsidR="00817FDA" w:rsidRPr="0065379C" w:rsidRDefault="00817FDA" w:rsidP="00E503A5">
            <w:pPr>
              <w:rPr>
                <w:sz w:val="14"/>
                <w:szCs w:val="14"/>
              </w:rPr>
            </w:pPr>
            <w:r w:rsidRPr="0065379C">
              <w:rPr>
                <w:sz w:val="14"/>
                <w:szCs w:val="14"/>
              </w:rPr>
              <w:t>Zdroj: Eurostat</w:t>
            </w:r>
          </w:p>
        </w:tc>
      </w:tr>
    </w:tbl>
    <w:p w14:paraId="72BC0B0A" w14:textId="77777777" w:rsidR="00BF6EE6" w:rsidRDefault="00BF6EE6" w:rsidP="00817FDA">
      <w:pPr>
        <w:pStyle w:val="Nadpis110"/>
        <w:rPr>
          <w:sz w:val="28"/>
        </w:rPr>
      </w:pPr>
    </w:p>
    <w:p w14:paraId="3300782C" w14:textId="2E6C1BD2" w:rsidR="00BF6EE6" w:rsidRDefault="00BF6EE6">
      <w:pPr>
        <w:spacing w:after="0" w:line="240" w:lineRule="auto"/>
        <w:jc w:val="left"/>
        <w:rPr>
          <w:rFonts w:eastAsia="MS Gothic"/>
          <w:b/>
          <w:bCs/>
          <w:color w:val="71818C"/>
          <w:sz w:val="28"/>
          <w:szCs w:val="28"/>
        </w:rPr>
      </w:pPr>
      <w:bookmarkStart w:id="2" w:name="_GoBack"/>
      <w:bookmarkEnd w:id="2"/>
    </w:p>
    <w:sectPr w:rsidR="00BF6EE6" w:rsidSect="00CF3215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418" w:left="1134" w:header="680" w:footer="680" w:gutter="0"/>
      <w:pgNumType w:start="5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A7FAE8" w16cid:durableId="22D3FA44"/>
  <w16cid:commentId w16cid:paraId="1C72AF4D" w16cid:durableId="22D64A75"/>
  <w16cid:commentId w16cid:paraId="282A67DB" w16cid:durableId="22D40348"/>
  <w16cid:commentId w16cid:paraId="74131377" w16cid:durableId="22D405B0"/>
  <w16cid:commentId w16cid:paraId="7D1A41B8" w16cid:durableId="22D40777"/>
  <w16cid:commentId w16cid:paraId="01FFE40C" w16cid:durableId="22D41165"/>
  <w16cid:commentId w16cid:paraId="6EBCA2E2" w16cid:durableId="22D42359"/>
  <w16cid:commentId w16cid:paraId="506DC739" w16cid:durableId="22D64B1C"/>
  <w16cid:commentId w16cid:paraId="014CC69D" w16cid:durableId="22D6A1C4"/>
  <w16cid:commentId w16cid:paraId="28552269" w16cid:durableId="22D6A357"/>
  <w16cid:commentId w16cid:paraId="05257285" w16cid:durableId="22D6FF5C"/>
  <w16cid:commentId w16cid:paraId="65249E36" w16cid:durableId="22D70089"/>
  <w16cid:commentId w16cid:paraId="3DEEA2F9" w16cid:durableId="22D7B641"/>
  <w16cid:commentId w16cid:paraId="51E0656F" w16cid:durableId="22D7B96C"/>
  <w16cid:commentId w16cid:paraId="319DD0C7" w16cid:durableId="22D7BBCD"/>
  <w16cid:commentId w16cid:paraId="2DB24C55" w16cid:durableId="22D80165"/>
  <w16cid:commentId w16cid:paraId="07B9B879" w16cid:durableId="22D809B2"/>
  <w16cid:commentId w16cid:paraId="7C9C8F73" w16cid:durableId="22D824B1"/>
  <w16cid:commentId w16cid:paraId="5483C675" w16cid:durableId="22D81600"/>
  <w16cid:commentId w16cid:paraId="7AA21C0F" w16cid:durableId="22D8195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A7968" w14:textId="77777777" w:rsidR="00437290" w:rsidRDefault="00437290" w:rsidP="00E71A58">
      <w:r>
        <w:separator/>
      </w:r>
    </w:p>
  </w:endnote>
  <w:endnote w:type="continuationSeparator" w:id="0">
    <w:p w14:paraId="16A7C6BE" w14:textId="77777777" w:rsidR="00437290" w:rsidRDefault="00437290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1694B" w14:textId="4CE6C5DE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8752" behindDoc="0" locked="0" layoutInCell="1" allowOverlap="1" wp14:anchorId="1384CD77" wp14:editId="68CB0E97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8625" cy="201295"/>
          <wp:effectExtent l="0" t="0" r="3175" b="1905"/>
          <wp:wrapNone/>
          <wp:docPr id="113" name="Picture 15" descr="CSU RG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SU RG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201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fldChar w:fldCharType="begin"/>
    </w:r>
    <w:r w:rsidRPr="00932443">
      <w:rPr>
        <w:szCs w:val="16"/>
      </w:rPr>
      <w:instrText>PAGE   \* MERGEFORMAT</w:instrText>
    </w:r>
    <w:r w:rsidRPr="00932443">
      <w:rPr>
        <w:szCs w:val="16"/>
      </w:rPr>
      <w:fldChar w:fldCharType="separate"/>
    </w:r>
    <w:r w:rsidR="00CF3215">
      <w:rPr>
        <w:szCs w:val="16"/>
      </w:rPr>
      <w:t>6</w:t>
    </w:r>
    <w:r w:rsidRPr="00932443">
      <w:rPr>
        <w:szCs w:val="16"/>
      </w:rPr>
      <w:fldChar w:fldCharType="end"/>
    </w:r>
    <w:r w:rsidRPr="00932443">
      <w:rPr>
        <w:szCs w:val="16"/>
      </w:rPr>
      <w:tab/>
    </w:r>
    <w:r>
      <w:rPr>
        <w:szCs w:val="16"/>
      </w:rPr>
      <w:t>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AA9" w14:textId="7F678622" w:rsidR="00B606BE" w:rsidRPr="00932443" w:rsidRDefault="00B606BE" w:rsidP="00A418BC">
    <w:pPr>
      <w:pStyle w:val="Zpat"/>
      <w:rPr>
        <w:szCs w:val="16"/>
      </w:rPr>
    </w:pPr>
    <w:r>
      <w:rPr>
        <w:szCs w:val="16"/>
        <w:lang w:eastAsia="cs-CZ"/>
      </w:rPr>
      <w:drawing>
        <wp:anchor distT="0" distB="0" distL="114300" distR="114300" simplePos="0" relativeHeight="251656704" behindDoc="0" locked="0" layoutInCell="1" allowOverlap="1" wp14:anchorId="50FBB82E" wp14:editId="63D5AA2E">
          <wp:simplePos x="0" y="0"/>
          <wp:positionH relativeFrom="column">
            <wp:align>left</wp:align>
          </wp:positionH>
          <wp:positionV relativeFrom="paragraph">
            <wp:posOffset>-122555</wp:posOffset>
          </wp:positionV>
          <wp:extent cx="510540" cy="272415"/>
          <wp:effectExtent l="0" t="0" r="0" b="6985"/>
          <wp:wrapNone/>
          <wp:docPr id="114" name="Picture 16" descr="CSU RGB CZ logo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SU RGB CZ logo-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32443">
      <w:rPr>
        <w:szCs w:val="16"/>
      </w:rPr>
      <w:tab/>
    </w:r>
    <w:r>
      <w:rPr>
        <w:rStyle w:val="ZpatChar"/>
        <w:szCs w:val="16"/>
      </w:rPr>
      <w:t>2019</w:t>
    </w:r>
    <w:r w:rsidRPr="00932443">
      <w:rPr>
        <w:szCs w:val="16"/>
      </w:rPr>
      <w:tab/>
    </w:r>
    <w:r w:rsidRPr="00932443">
      <w:rPr>
        <w:rStyle w:val="ZpatChar"/>
        <w:szCs w:val="16"/>
      </w:rPr>
      <w:fldChar w:fldCharType="begin"/>
    </w:r>
    <w:r w:rsidRPr="00932443">
      <w:rPr>
        <w:rStyle w:val="ZpatChar"/>
        <w:szCs w:val="16"/>
      </w:rPr>
      <w:instrText>PAGE   \* MERGEFORMAT</w:instrText>
    </w:r>
    <w:r w:rsidRPr="00932443">
      <w:rPr>
        <w:rStyle w:val="ZpatChar"/>
        <w:szCs w:val="16"/>
      </w:rPr>
      <w:fldChar w:fldCharType="separate"/>
    </w:r>
    <w:r w:rsidR="00CF3215">
      <w:rPr>
        <w:rStyle w:val="ZpatChar"/>
        <w:szCs w:val="16"/>
      </w:rPr>
      <w:t>7</w:t>
    </w:r>
    <w:r w:rsidRPr="00932443">
      <w:rPr>
        <w:rStyle w:val="ZpatChar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4AEA5" w14:textId="77777777" w:rsidR="00437290" w:rsidRDefault="00437290" w:rsidP="0084727E">
      <w:pPr>
        <w:spacing w:after="0"/>
      </w:pPr>
      <w:r>
        <w:separator/>
      </w:r>
    </w:p>
  </w:footnote>
  <w:footnote w:type="continuationSeparator" w:id="0">
    <w:p w14:paraId="22D16FEC" w14:textId="77777777" w:rsidR="00437290" w:rsidRDefault="00437290" w:rsidP="00E71A58">
      <w:r>
        <w:continuationSeparator/>
      </w:r>
    </w:p>
  </w:footnote>
  <w:footnote w:id="1">
    <w:p w14:paraId="16EE8F04" w14:textId="2F82FC3C" w:rsidR="00B606BE" w:rsidRPr="00331D04" w:rsidRDefault="00B606BE" w:rsidP="00817FDA">
      <w:pPr>
        <w:pStyle w:val="Textpoznpodarou"/>
        <w:rPr>
          <w:sz w:val="16"/>
          <w:szCs w:val="16"/>
        </w:rPr>
      </w:pPr>
      <w:r w:rsidRPr="00331D04">
        <w:rPr>
          <w:rStyle w:val="Znakapoznpodarou"/>
          <w:sz w:val="16"/>
          <w:szCs w:val="16"/>
        </w:rPr>
        <w:footnoteRef/>
      </w:r>
      <w:r w:rsidRPr="00331D04">
        <w:rPr>
          <w:sz w:val="16"/>
          <w:szCs w:val="16"/>
        </w:rPr>
        <w:t xml:space="preserve"> Není-li uvedeno jinak, jsou údaje o</w:t>
      </w:r>
      <w:r>
        <w:rPr>
          <w:sz w:val="16"/>
          <w:szCs w:val="16"/>
        </w:rPr>
        <w:t> </w:t>
      </w:r>
      <w:r w:rsidRPr="00331D04">
        <w:rPr>
          <w:sz w:val="16"/>
          <w:szCs w:val="16"/>
        </w:rPr>
        <w:t>HDP a</w:t>
      </w:r>
      <w:r>
        <w:rPr>
          <w:sz w:val="16"/>
          <w:szCs w:val="16"/>
        </w:rPr>
        <w:t> </w:t>
      </w:r>
      <w:r w:rsidRPr="00331D04">
        <w:rPr>
          <w:sz w:val="16"/>
          <w:szCs w:val="16"/>
        </w:rPr>
        <w:t>jeho složkách uváděny bez sezónního očištění.</w:t>
      </w:r>
    </w:p>
  </w:footnote>
  <w:footnote w:id="2">
    <w:p w14:paraId="58F139EF" w14:textId="0D5AF6B7" w:rsidR="00B606BE" w:rsidRPr="00752D8D" w:rsidRDefault="00B606BE" w:rsidP="00817FDA">
      <w:pPr>
        <w:pStyle w:val="Textpoznpodarou"/>
        <w:rPr>
          <w:sz w:val="16"/>
          <w:szCs w:val="16"/>
        </w:rPr>
      </w:pPr>
      <w:r w:rsidRPr="00752D8D">
        <w:rPr>
          <w:rStyle w:val="Znakapoznpodarou"/>
          <w:sz w:val="16"/>
          <w:szCs w:val="16"/>
        </w:rPr>
        <w:footnoteRef/>
      </w:r>
      <w:r w:rsidRPr="00752D8D">
        <w:rPr>
          <w:sz w:val="16"/>
          <w:szCs w:val="16"/>
        </w:rPr>
        <w:t xml:space="preserve"> Příspěvek po vyloučení dovozu pro konečné užití.</w:t>
      </w:r>
      <w:r>
        <w:rPr>
          <w:sz w:val="16"/>
          <w:szCs w:val="16"/>
        </w:rPr>
        <w:t xml:space="preserve"> Příspěvky vycházejí ze sezónně očištěných údajů.</w:t>
      </w:r>
    </w:p>
  </w:footnote>
  <w:footnote w:id="3">
    <w:p w14:paraId="3948697B" w14:textId="15835E1C" w:rsidR="00B606BE" w:rsidRPr="00415A93" w:rsidRDefault="00B606BE" w:rsidP="00817FDA">
      <w:pPr>
        <w:pStyle w:val="Textpoznpodarou"/>
        <w:rPr>
          <w:sz w:val="16"/>
          <w:szCs w:val="16"/>
        </w:rPr>
      </w:pPr>
      <w:r w:rsidRPr="00415A93">
        <w:rPr>
          <w:rStyle w:val="Znakapoznpodarou"/>
          <w:sz w:val="16"/>
          <w:szCs w:val="16"/>
        </w:rPr>
        <w:footnoteRef/>
      </w:r>
      <w:r w:rsidRPr="00415A93">
        <w:rPr>
          <w:sz w:val="16"/>
          <w:szCs w:val="16"/>
        </w:rPr>
        <w:t xml:space="preserve"> EU27 bez Velké Británie.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91C6B" w14:textId="77777777" w:rsidR="00B606BE" w:rsidRPr="00601A2E" w:rsidRDefault="00B606BE" w:rsidP="00601A2E">
    <w:pPr>
      <w:pStyle w:val="Zhlav"/>
    </w:pPr>
    <w:r>
      <w:t>Analýza ekonomického vývoje v roce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5F4E2" w14:textId="77777777" w:rsidR="00B606BE" w:rsidRDefault="00B606BE" w:rsidP="00937AE2">
    <w:pPr>
      <w:pStyle w:val="Zhlav"/>
    </w:pPr>
    <w:r>
      <w:t>Analýza ekonomického vývoje v roce 2019</w:t>
    </w:r>
  </w:p>
  <w:p w14:paraId="525077D0" w14:textId="77777777" w:rsidR="00B606BE" w:rsidRPr="006F5416" w:rsidRDefault="00B606BE" w:rsidP="00937AE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B35353"/>
    <w:multiLevelType w:val="multilevel"/>
    <w:tmpl w:val="1C0E9EAE"/>
    <w:name w:val="Analyz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52333"/>
    <w:multiLevelType w:val="multilevel"/>
    <w:tmpl w:val="D0ACFA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A5A7A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24203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D106EA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1355C0"/>
    <w:multiLevelType w:val="multilevel"/>
    <w:tmpl w:val="697E8B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39914012"/>
    <w:multiLevelType w:val="multilevel"/>
    <w:tmpl w:val="F380F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A4287"/>
    <w:multiLevelType w:val="multilevel"/>
    <w:tmpl w:val="1C0E9EAE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i w:val="0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90F3B"/>
    <w:multiLevelType w:val="hybridMultilevel"/>
    <w:tmpl w:val="D64CB604"/>
    <w:lvl w:ilvl="0" w:tplc="67AC8A1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B210F"/>
    <w:multiLevelType w:val="multilevel"/>
    <w:tmpl w:val="D64CB60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415AC1"/>
    <w:multiLevelType w:val="hybridMultilevel"/>
    <w:tmpl w:val="7464A696"/>
    <w:lvl w:ilvl="0" w:tplc="4246FC1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51B2D"/>
    <w:multiLevelType w:val="hybridMultilevel"/>
    <w:tmpl w:val="4C1C2D78"/>
    <w:lvl w:ilvl="0" w:tplc="B01A5632">
      <w:start w:val="1"/>
      <w:numFmt w:val="bullet"/>
      <w:pStyle w:val="Normalodr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1"/>
  </w:num>
  <w:num w:numId="13">
    <w:abstractNumId w:val="20"/>
  </w:num>
  <w:num w:numId="14">
    <w:abstractNumId w:val="10"/>
  </w:num>
  <w:num w:numId="15">
    <w:abstractNumId w:val="16"/>
  </w:num>
  <w:num w:numId="16">
    <w:abstractNumId w:val="12"/>
  </w:num>
  <w:num w:numId="17">
    <w:abstractNumId w:val="21"/>
  </w:num>
  <w:num w:numId="18">
    <w:abstractNumId w:val="17"/>
  </w:num>
  <w:num w:numId="19">
    <w:abstractNumId w:val="22"/>
  </w:num>
  <w:num w:numId="20">
    <w:abstractNumId w:val="24"/>
  </w:num>
  <w:num w:numId="21">
    <w:abstractNumId w:val="19"/>
  </w:num>
  <w:num w:numId="22">
    <w:abstractNumId w:val="15"/>
  </w:num>
  <w:num w:numId="23">
    <w:abstractNumId w:val="13"/>
  </w:num>
  <w:num w:numId="24">
    <w:abstractNumId w:val="14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02"/>
    <w:rsid w:val="0000083D"/>
    <w:rsid w:val="0000209D"/>
    <w:rsid w:val="00004D5A"/>
    <w:rsid w:val="000056D5"/>
    <w:rsid w:val="00006ABD"/>
    <w:rsid w:val="0000767A"/>
    <w:rsid w:val="00007BEF"/>
    <w:rsid w:val="00010256"/>
    <w:rsid w:val="00010702"/>
    <w:rsid w:val="00011912"/>
    <w:rsid w:val="00012408"/>
    <w:rsid w:val="00014E7F"/>
    <w:rsid w:val="0002195D"/>
    <w:rsid w:val="000234D6"/>
    <w:rsid w:val="00023D29"/>
    <w:rsid w:val="00026389"/>
    <w:rsid w:val="00031AE0"/>
    <w:rsid w:val="000322EF"/>
    <w:rsid w:val="000333B9"/>
    <w:rsid w:val="00033FCD"/>
    <w:rsid w:val="00037A79"/>
    <w:rsid w:val="00041CEC"/>
    <w:rsid w:val="0004694F"/>
    <w:rsid w:val="000500AB"/>
    <w:rsid w:val="000522E4"/>
    <w:rsid w:val="000610E1"/>
    <w:rsid w:val="00062EC5"/>
    <w:rsid w:val="00062F22"/>
    <w:rsid w:val="00064B6A"/>
    <w:rsid w:val="00067A82"/>
    <w:rsid w:val="000712B3"/>
    <w:rsid w:val="000748F2"/>
    <w:rsid w:val="0008263E"/>
    <w:rsid w:val="00082A55"/>
    <w:rsid w:val="00082C19"/>
    <w:rsid w:val="00085395"/>
    <w:rsid w:val="00087634"/>
    <w:rsid w:val="00087F2B"/>
    <w:rsid w:val="00093E3F"/>
    <w:rsid w:val="00093E53"/>
    <w:rsid w:val="00095135"/>
    <w:rsid w:val="00096085"/>
    <w:rsid w:val="000974D1"/>
    <w:rsid w:val="0009799E"/>
    <w:rsid w:val="000979EC"/>
    <w:rsid w:val="000A1183"/>
    <w:rsid w:val="000A256D"/>
    <w:rsid w:val="000A3A2C"/>
    <w:rsid w:val="000A66F4"/>
    <w:rsid w:val="000A75F4"/>
    <w:rsid w:val="000B525B"/>
    <w:rsid w:val="000C1D78"/>
    <w:rsid w:val="000C3408"/>
    <w:rsid w:val="000C6AFD"/>
    <w:rsid w:val="000D2C3F"/>
    <w:rsid w:val="000D5637"/>
    <w:rsid w:val="000E3D0E"/>
    <w:rsid w:val="000E53C3"/>
    <w:rsid w:val="000E6C04"/>
    <w:rsid w:val="000E6FBD"/>
    <w:rsid w:val="000F7084"/>
    <w:rsid w:val="00100F5C"/>
    <w:rsid w:val="0010106F"/>
    <w:rsid w:val="00101CDA"/>
    <w:rsid w:val="0010268C"/>
    <w:rsid w:val="00104C4C"/>
    <w:rsid w:val="00117623"/>
    <w:rsid w:val="0012192F"/>
    <w:rsid w:val="00122BB3"/>
    <w:rsid w:val="00125A9C"/>
    <w:rsid w:val="00125D69"/>
    <w:rsid w:val="00135FEE"/>
    <w:rsid w:val="00137DF7"/>
    <w:rsid w:val="001405FA"/>
    <w:rsid w:val="00141782"/>
    <w:rsid w:val="001425C3"/>
    <w:rsid w:val="00142C1C"/>
    <w:rsid w:val="001457AA"/>
    <w:rsid w:val="0014794C"/>
    <w:rsid w:val="0015085A"/>
    <w:rsid w:val="001528B9"/>
    <w:rsid w:val="001612F4"/>
    <w:rsid w:val="00162312"/>
    <w:rsid w:val="0016256B"/>
    <w:rsid w:val="00163793"/>
    <w:rsid w:val="001671FF"/>
    <w:rsid w:val="001706D6"/>
    <w:rsid w:val="001714F2"/>
    <w:rsid w:val="00175B9F"/>
    <w:rsid w:val="00175F48"/>
    <w:rsid w:val="00181BBC"/>
    <w:rsid w:val="00182799"/>
    <w:rsid w:val="00184B08"/>
    <w:rsid w:val="00185010"/>
    <w:rsid w:val="00186919"/>
    <w:rsid w:val="001916DB"/>
    <w:rsid w:val="00193818"/>
    <w:rsid w:val="00194520"/>
    <w:rsid w:val="001969D1"/>
    <w:rsid w:val="001A0487"/>
    <w:rsid w:val="001A0D6B"/>
    <w:rsid w:val="001A33A3"/>
    <w:rsid w:val="001A480E"/>
    <w:rsid w:val="001A5387"/>
    <w:rsid w:val="001A552F"/>
    <w:rsid w:val="001B28D3"/>
    <w:rsid w:val="001B2CA9"/>
    <w:rsid w:val="001B3110"/>
    <w:rsid w:val="001B4729"/>
    <w:rsid w:val="001B5C4D"/>
    <w:rsid w:val="001B6310"/>
    <w:rsid w:val="001B6C09"/>
    <w:rsid w:val="001C05CD"/>
    <w:rsid w:val="001C1B66"/>
    <w:rsid w:val="001C487C"/>
    <w:rsid w:val="001D198A"/>
    <w:rsid w:val="001D463E"/>
    <w:rsid w:val="001D51EB"/>
    <w:rsid w:val="001D68B2"/>
    <w:rsid w:val="001D70E9"/>
    <w:rsid w:val="001E504C"/>
    <w:rsid w:val="001F138C"/>
    <w:rsid w:val="001F4063"/>
    <w:rsid w:val="001F4597"/>
    <w:rsid w:val="001F52D6"/>
    <w:rsid w:val="00203DA4"/>
    <w:rsid w:val="002052C6"/>
    <w:rsid w:val="002054B4"/>
    <w:rsid w:val="002118B9"/>
    <w:rsid w:val="00217C5B"/>
    <w:rsid w:val="0022139E"/>
    <w:rsid w:val="00222729"/>
    <w:rsid w:val="00222FFB"/>
    <w:rsid w:val="002252E0"/>
    <w:rsid w:val="002255F6"/>
    <w:rsid w:val="00227850"/>
    <w:rsid w:val="00227A53"/>
    <w:rsid w:val="00230C6E"/>
    <w:rsid w:val="00231CC2"/>
    <w:rsid w:val="00236443"/>
    <w:rsid w:val="00241035"/>
    <w:rsid w:val="00241B06"/>
    <w:rsid w:val="002436BA"/>
    <w:rsid w:val="00244A15"/>
    <w:rsid w:val="00244EB3"/>
    <w:rsid w:val="00247319"/>
    <w:rsid w:val="0024799E"/>
    <w:rsid w:val="00253C0F"/>
    <w:rsid w:val="002558C1"/>
    <w:rsid w:val="00255943"/>
    <w:rsid w:val="00260FC5"/>
    <w:rsid w:val="002632EC"/>
    <w:rsid w:val="00271465"/>
    <w:rsid w:val="00274037"/>
    <w:rsid w:val="00285412"/>
    <w:rsid w:val="0028587B"/>
    <w:rsid w:val="00291640"/>
    <w:rsid w:val="002A16D4"/>
    <w:rsid w:val="002A230C"/>
    <w:rsid w:val="002A5D97"/>
    <w:rsid w:val="002A7679"/>
    <w:rsid w:val="002B2127"/>
    <w:rsid w:val="002B213A"/>
    <w:rsid w:val="002B4845"/>
    <w:rsid w:val="002B6B06"/>
    <w:rsid w:val="002C43BD"/>
    <w:rsid w:val="002D0E59"/>
    <w:rsid w:val="002D2D9F"/>
    <w:rsid w:val="002D6BD2"/>
    <w:rsid w:val="002E02A1"/>
    <w:rsid w:val="002E1A9C"/>
    <w:rsid w:val="002E32FC"/>
    <w:rsid w:val="002E4E4C"/>
    <w:rsid w:val="002F4860"/>
    <w:rsid w:val="002F550B"/>
    <w:rsid w:val="0030150E"/>
    <w:rsid w:val="00303533"/>
    <w:rsid w:val="00304771"/>
    <w:rsid w:val="003052D4"/>
    <w:rsid w:val="00306C5B"/>
    <w:rsid w:val="00314A41"/>
    <w:rsid w:val="003209D6"/>
    <w:rsid w:val="00321924"/>
    <w:rsid w:val="0032314C"/>
    <w:rsid w:val="0032656E"/>
    <w:rsid w:val="003268DD"/>
    <w:rsid w:val="00330060"/>
    <w:rsid w:val="00332190"/>
    <w:rsid w:val="0033250B"/>
    <w:rsid w:val="00343331"/>
    <w:rsid w:val="0034335E"/>
    <w:rsid w:val="00344668"/>
    <w:rsid w:val="003462D9"/>
    <w:rsid w:val="00347378"/>
    <w:rsid w:val="00347604"/>
    <w:rsid w:val="003576EB"/>
    <w:rsid w:val="00357908"/>
    <w:rsid w:val="00360C86"/>
    <w:rsid w:val="00360DE3"/>
    <w:rsid w:val="00360FBC"/>
    <w:rsid w:val="00362E90"/>
    <w:rsid w:val="00364C32"/>
    <w:rsid w:val="00364FA0"/>
    <w:rsid w:val="003657F3"/>
    <w:rsid w:val="003733A0"/>
    <w:rsid w:val="00376C3B"/>
    <w:rsid w:val="003818DC"/>
    <w:rsid w:val="00384327"/>
    <w:rsid w:val="003852A9"/>
    <w:rsid w:val="00385D98"/>
    <w:rsid w:val="003870EE"/>
    <w:rsid w:val="003A2B4D"/>
    <w:rsid w:val="003A2D12"/>
    <w:rsid w:val="003A478C"/>
    <w:rsid w:val="003A5525"/>
    <w:rsid w:val="003A6B38"/>
    <w:rsid w:val="003B461F"/>
    <w:rsid w:val="003B5A32"/>
    <w:rsid w:val="003B6B9E"/>
    <w:rsid w:val="003C3490"/>
    <w:rsid w:val="003C4BE8"/>
    <w:rsid w:val="003C77D0"/>
    <w:rsid w:val="003C7E62"/>
    <w:rsid w:val="003D6920"/>
    <w:rsid w:val="003E38BA"/>
    <w:rsid w:val="003E4C91"/>
    <w:rsid w:val="003F313C"/>
    <w:rsid w:val="003F37FC"/>
    <w:rsid w:val="003F3890"/>
    <w:rsid w:val="003F4B2C"/>
    <w:rsid w:val="003F551C"/>
    <w:rsid w:val="003F72ED"/>
    <w:rsid w:val="003F7D23"/>
    <w:rsid w:val="00400B82"/>
    <w:rsid w:val="00407C13"/>
    <w:rsid w:val="00410638"/>
    <w:rsid w:val="0041215C"/>
    <w:rsid w:val="0041501E"/>
    <w:rsid w:val="004159C3"/>
    <w:rsid w:val="00425F45"/>
    <w:rsid w:val="00432A58"/>
    <w:rsid w:val="00433C0C"/>
    <w:rsid w:val="00434617"/>
    <w:rsid w:val="00436778"/>
    <w:rsid w:val="00437290"/>
    <w:rsid w:val="00437E53"/>
    <w:rsid w:val="00440900"/>
    <w:rsid w:val="00441BF6"/>
    <w:rsid w:val="004441A0"/>
    <w:rsid w:val="0045078A"/>
    <w:rsid w:val="0045086D"/>
    <w:rsid w:val="00460FB3"/>
    <w:rsid w:val="00467ABC"/>
    <w:rsid w:val="00476240"/>
    <w:rsid w:val="00476439"/>
    <w:rsid w:val="0047735C"/>
    <w:rsid w:val="004776BC"/>
    <w:rsid w:val="0048139F"/>
    <w:rsid w:val="00481E40"/>
    <w:rsid w:val="00484ECE"/>
    <w:rsid w:val="004915CB"/>
    <w:rsid w:val="004924DC"/>
    <w:rsid w:val="004948F4"/>
    <w:rsid w:val="004A14E4"/>
    <w:rsid w:val="004A3212"/>
    <w:rsid w:val="004A5494"/>
    <w:rsid w:val="004A61C5"/>
    <w:rsid w:val="004A670E"/>
    <w:rsid w:val="004A77DF"/>
    <w:rsid w:val="004B1417"/>
    <w:rsid w:val="004B481B"/>
    <w:rsid w:val="004B48DF"/>
    <w:rsid w:val="004B55B7"/>
    <w:rsid w:val="004B6468"/>
    <w:rsid w:val="004B7125"/>
    <w:rsid w:val="004C26B0"/>
    <w:rsid w:val="004C384C"/>
    <w:rsid w:val="004C3867"/>
    <w:rsid w:val="004C4CD0"/>
    <w:rsid w:val="004C5FBF"/>
    <w:rsid w:val="004C70DC"/>
    <w:rsid w:val="004D0211"/>
    <w:rsid w:val="004D0794"/>
    <w:rsid w:val="004D3177"/>
    <w:rsid w:val="004E326C"/>
    <w:rsid w:val="004F06F5"/>
    <w:rsid w:val="004F16F7"/>
    <w:rsid w:val="004F1879"/>
    <w:rsid w:val="004F33A0"/>
    <w:rsid w:val="004F6EDC"/>
    <w:rsid w:val="0050689D"/>
    <w:rsid w:val="0051031A"/>
    <w:rsid w:val="005108C0"/>
    <w:rsid w:val="00511873"/>
    <w:rsid w:val="00512A2F"/>
    <w:rsid w:val="00513B7E"/>
    <w:rsid w:val="0051465A"/>
    <w:rsid w:val="005152D9"/>
    <w:rsid w:val="00515C74"/>
    <w:rsid w:val="00515FFA"/>
    <w:rsid w:val="005172FF"/>
    <w:rsid w:val="005173AF"/>
    <w:rsid w:val="0052007E"/>
    <w:rsid w:val="0052337A"/>
    <w:rsid w:val="00525137"/>
    <w:rsid w:val="005251DD"/>
    <w:rsid w:val="00532CE7"/>
    <w:rsid w:val="0053324C"/>
    <w:rsid w:val="00534A28"/>
    <w:rsid w:val="00541508"/>
    <w:rsid w:val="00543498"/>
    <w:rsid w:val="00551238"/>
    <w:rsid w:val="0055599F"/>
    <w:rsid w:val="00556D68"/>
    <w:rsid w:val="00561B03"/>
    <w:rsid w:val="00563EB8"/>
    <w:rsid w:val="005647BF"/>
    <w:rsid w:val="00564AF1"/>
    <w:rsid w:val="00570D95"/>
    <w:rsid w:val="0057364B"/>
    <w:rsid w:val="00574773"/>
    <w:rsid w:val="00581AC8"/>
    <w:rsid w:val="00583FFD"/>
    <w:rsid w:val="005901E9"/>
    <w:rsid w:val="005911BE"/>
    <w:rsid w:val="00593152"/>
    <w:rsid w:val="00596F92"/>
    <w:rsid w:val="005A10F2"/>
    <w:rsid w:val="005A21E0"/>
    <w:rsid w:val="005A28FF"/>
    <w:rsid w:val="005A2A19"/>
    <w:rsid w:val="005A2C7B"/>
    <w:rsid w:val="005A3DF8"/>
    <w:rsid w:val="005A5549"/>
    <w:rsid w:val="005A5D45"/>
    <w:rsid w:val="005A655B"/>
    <w:rsid w:val="005A7666"/>
    <w:rsid w:val="005B121D"/>
    <w:rsid w:val="005C06ED"/>
    <w:rsid w:val="005C2609"/>
    <w:rsid w:val="005C35A1"/>
    <w:rsid w:val="005D3386"/>
    <w:rsid w:val="005D5802"/>
    <w:rsid w:val="005D7119"/>
    <w:rsid w:val="005D7890"/>
    <w:rsid w:val="005E2A7C"/>
    <w:rsid w:val="005E7C78"/>
    <w:rsid w:val="005F18C5"/>
    <w:rsid w:val="005F3EB1"/>
    <w:rsid w:val="005F46D8"/>
    <w:rsid w:val="005F5469"/>
    <w:rsid w:val="00600079"/>
    <w:rsid w:val="006003D1"/>
    <w:rsid w:val="00601A2E"/>
    <w:rsid w:val="0060404F"/>
    <w:rsid w:val="00604307"/>
    <w:rsid w:val="0060487F"/>
    <w:rsid w:val="00604EAD"/>
    <w:rsid w:val="006104FB"/>
    <w:rsid w:val="0061249B"/>
    <w:rsid w:val="00612A2F"/>
    <w:rsid w:val="00616E05"/>
    <w:rsid w:val="00624093"/>
    <w:rsid w:val="006254CB"/>
    <w:rsid w:val="0063201A"/>
    <w:rsid w:val="006350D5"/>
    <w:rsid w:val="006404A7"/>
    <w:rsid w:val="006451E4"/>
    <w:rsid w:val="00645B33"/>
    <w:rsid w:val="00650330"/>
    <w:rsid w:val="006516CB"/>
    <w:rsid w:val="006558BD"/>
    <w:rsid w:val="00657E87"/>
    <w:rsid w:val="00664803"/>
    <w:rsid w:val="00665BA4"/>
    <w:rsid w:val="00666D91"/>
    <w:rsid w:val="00667AF2"/>
    <w:rsid w:val="006710C9"/>
    <w:rsid w:val="00674D89"/>
    <w:rsid w:val="00675E37"/>
    <w:rsid w:val="00680001"/>
    <w:rsid w:val="0068174E"/>
    <w:rsid w:val="00681DCE"/>
    <w:rsid w:val="0068260E"/>
    <w:rsid w:val="006863B2"/>
    <w:rsid w:val="00695BEF"/>
    <w:rsid w:val="006977F6"/>
    <w:rsid w:val="00697A13"/>
    <w:rsid w:val="006A109C"/>
    <w:rsid w:val="006A3E08"/>
    <w:rsid w:val="006A5C31"/>
    <w:rsid w:val="006A73A6"/>
    <w:rsid w:val="006B0F92"/>
    <w:rsid w:val="006B344A"/>
    <w:rsid w:val="006B4B7B"/>
    <w:rsid w:val="006B78D8"/>
    <w:rsid w:val="006C113F"/>
    <w:rsid w:val="006C123E"/>
    <w:rsid w:val="006C1752"/>
    <w:rsid w:val="006C33B2"/>
    <w:rsid w:val="006C56D4"/>
    <w:rsid w:val="006C6924"/>
    <w:rsid w:val="006C6AF4"/>
    <w:rsid w:val="006C7CA6"/>
    <w:rsid w:val="006D3E8A"/>
    <w:rsid w:val="006D5C0C"/>
    <w:rsid w:val="006D61F6"/>
    <w:rsid w:val="006D64C2"/>
    <w:rsid w:val="006E279A"/>
    <w:rsid w:val="006E313B"/>
    <w:rsid w:val="006E7227"/>
    <w:rsid w:val="006F0AC6"/>
    <w:rsid w:val="006F2595"/>
    <w:rsid w:val="006F438E"/>
    <w:rsid w:val="006F5416"/>
    <w:rsid w:val="00705242"/>
    <w:rsid w:val="00706AD4"/>
    <w:rsid w:val="00707150"/>
    <w:rsid w:val="00711BB0"/>
    <w:rsid w:val="007140BE"/>
    <w:rsid w:val="00716E3F"/>
    <w:rsid w:val="007211F5"/>
    <w:rsid w:val="007240E2"/>
    <w:rsid w:val="00725BB5"/>
    <w:rsid w:val="00730AE8"/>
    <w:rsid w:val="00730F1B"/>
    <w:rsid w:val="00740575"/>
    <w:rsid w:val="00741493"/>
    <w:rsid w:val="0074369B"/>
    <w:rsid w:val="00744EE6"/>
    <w:rsid w:val="00745062"/>
    <w:rsid w:val="00745BC3"/>
    <w:rsid w:val="007506A5"/>
    <w:rsid w:val="00750EF8"/>
    <w:rsid w:val="00752180"/>
    <w:rsid w:val="00753CAB"/>
    <w:rsid w:val="00755202"/>
    <w:rsid w:val="00755D3A"/>
    <w:rsid w:val="007578D3"/>
    <w:rsid w:val="007609C6"/>
    <w:rsid w:val="0076175D"/>
    <w:rsid w:val="00763B85"/>
    <w:rsid w:val="0076521E"/>
    <w:rsid w:val="00765698"/>
    <w:rsid w:val="007661E9"/>
    <w:rsid w:val="00774779"/>
    <w:rsid w:val="00775F45"/>
    <w:rsid w:val="00776169"/>
    <w:rsid w:val="00776527"/>
    <w:rsid w:val="00780EF1"/>
    <w:rsid w:val="00785232"/>
    <w:rsid w:val="00790764"/>
    <w:rsid w:val="0079343E"/>
    <w:rsid w:val="0079453C"/>
    <w:rsid w:val="00794677"/>
    <w:rsid w:val="007A38F2"/>
    <w:rsid w:val="007A3F0C"/>
    <w:rsid w:val="007A516D"/>
    <w:rsid w:val="007B0750"/>
    <w:rsid w:val="007B6689"/>
    <w:rsid w:val="007C13A4"/>
    <w:rsid w:val="007C2D23"/>
    <w:rsid w:val="007C6BBD"/>
    <w:rsid w:val="007C7BAE"/>
    <w:rsid w:val="007D0C24"/>
    <w:rsid w:val="007D106B"/>
    <w:rsid w:val="007D1AEA"/>
    <w:rsid w:val="007D40DF"/>
    <w:rsid w:val="007E29B4"/>
    <w:rsid w:val="007E435A"/>
    <w:rsid w:val="007E7E61"/>
    <w:rsid w:val="007F0845"/>
    <w:rsid w:val="007F661C"/>
    <w:rsid w:val="007F708D"/>
    <w:rsid w:val="00801E13"/>
    <w:rsid w:val="00805381"/>
    <w:rsid w:val="00807674"/>
    <w:rsid w:val="00807C82"/>
    <w:rsid w:val="00816905"/>
    <w:rsid w:val="00817FDA"/>
    <w:rsid w:val="00821FF6"/>
    <w:rsid w:val="00822574"/>
    <w:rsid w:val="00825C4D"/>
    <w:rsid w:val="0083143E"/>
    <w:rsid w:val="00831CDE"/>
    <w:rsid w:val="00833BF2"/>
    <w:rsid w:val="00834304"/>
    <w:rsid w:val="00834FAA"/>
    <w:rsid w:val="00836086"/>
    <w:rsid w:val="008364D5"/>
    <w:rsid w:val="00846121"/>
    <w:rsid w:val="0084708F"/>
    <w:rsid w:val="0084727E"/>
    <w:rsid w:val="008477C8"/>
    <w:rsid w:val="00847931"/>
    <w:rsid w:val="0085114D"/>
    <w:rsid w:val="00852217"/>
    <w:rsid w:val="00855408"/>
    <w:rsid w:val="00856D65"/>
    <w:rsid w:val="00857658"/>
    <w:rsid w:val="00861B41"/>
    <w:rsid w:val="00861BE3"/>
    <w:rsid w:val="00863434"/>
    <w:rsid w:val="008637A2"/>
    <w:rsid w:val="00865E4C"/>
    <w:rsid w:val="008701E4"/>
    <w:rsid w:val="00873072"/>
    <w:rsid w:val="00875A32"/>
    <w:rsid w:val="00876086"/>
    <w:rsid w:val="00884A6F"/>
    <w:rsid w:val="008856A3"/>
    <w:rsid w:val="008873D4"/>
    <w:rsid w:val="0089296D"/>
    <w:rsid w:val="00893E85"/>
    <w:rsid w:val="00894031"/>
    <w:rsid w:val="00894C3D"/>
    <w:rsid w:val="00895508"/>
    <w:rsid w:val="00895A7B"/>
    <w:rsid w:val="008B1391"/>
    <w:rsid w:val="008B2636"/>
    <w:rsid w:val="008B7C02"/>
    <w:rsid w:val="008B7D2B"/>
    <w:rsid w:val="008C0049"/>
    <w:rsid w:val="008C0E88"/>
    <w:rsid w:val="008D0DBD"/>
    <w:rsid w:val="008D1E6A"/>
    <w:rsid w:val="008D2A16"/>
    <w:rsid w:val="008D664D"/>
    <w:rsid w:val="008D7BE5"/>
    <w:rsid w:val="008E0DC9"/>
    <w:rsid w:val="008E2830"/>
    <w:rsid w:val="008E2C57"/>
    <w:rsid w:val="008E31FF"/>
    <w:rsid w:val="008E6F06"/>
    <w:rsid w:val="008E7FC9"/>
    <w:rsid w:val="008F029B"/>
    <w:rsid w:val="008F3FC9"/>
    <w:rsid w:val="008F585B"/>
    <w:rsid w:val="009003A8"/>
    <w:rsid w:val="00902500"/>
    <w:rsid w:val="00902EFF"/>
    <w:rsid w:val="00906401"/>
    <w:rsid w:val="0091155E"/>
    <w:rsid w:val="00912A92"/>
    <w:rsid w:val="00915CF4"/>
    <w:rsid w:val="0091728D"/>
    <w:rsid w:val="009177D4"/>
    <w:rsid w:val="0092180B"/>
    <w:rsid w:val="00921F14"/>
    <w:rsid w:val="0092434D"/>
    <w:rsid w:val="00924AC8"/>
    <w:rsid w:val="0092597A"/>
    <w:rsid w:val="00930FB1"/>
    <w:rsid w:val="0093139F"/>
    <w:rsid w:val="00932443"/>
    <w:rsid w:val="00937AE2"/>
    <w:rsid w:val="00942C19"/>
    <w:rsid w:val="0094427A"/>
    <w:rsid w:val="00945245"/>
    <w:rsid w:val="00953F28"/>
    <w:rsid w:val="009540B7"/>
    <w:rsid w:val="0095759C"/>
    <w:rsid w:val="0096154D"/>
    <w:rsid w:val="0096221A"/>
    <w:rsid w:val="00972F87"/>
    <w:rsid w:val="00974923"/>
    <w:rsid w:val="00976681"/>
    <w:rsid w:val="00976BAF"/>
    <w:rsid w:val="00980D3D"/>
    <w:rsid w:val="00987A30"/>
    <w:rsid w:val="00992CF3"/>
    <w:rsid w:val="009942B6"/>
    <w:rsid w:val="00994868"/>
    <w:rsid w:val="009968D6"/>
    <w:rsid w:val="009A1CAB"/>
    <w:rsid w:val="009A4901"/>
    <w:rsid w:val="009A60D1"/>
    <w:rsid w:val="009B6FD3"/>
    <w:rsid w:val="009B7C82"/>
    <w:rsid w:val="009C0293"/>
    <w:rsid w:val="009C03C8"/>
    <w:rsid w:val="009C1750"/>
    <w:rsid w:val="009C1EEA"/>
    <w:rsid w:val="009C2E29"/>
    <w:rsid w:val="009C554B"/>
    <w:rsid w:val="009C719E"/>
    <w:rsid w:val="009D3ACD"/>
    <w:rsid w:val="009E0DD4"/>
    <w:rsid w:val="009E42ED"/>
    <w:rsid w:val="009E5273"/>
    <w:rsid w:val="009E5DDB"/>
    <w:rsid w:val="009F46EA"/>
    <w:rsid w:val="009F4CA7"/>
    <w:rsid w:val="00A01CA0"/>
    <w:rsid w:val="00A10D66"/>
    <w:rsid w:val="00A1260E"/>
    <w:rsid w:val="00A14114"/>
    <w:rsid w:val="00A16413"/>
    <w:rsid w:val="00A16E1D"/>
    <w:rsid w:val="00A17D5B"/>
    <w:rsid w:val="00A20028"/>
    <w:rsid w:val="00A21624"/>
    <w:rsid w:val="00A2181F"/>
    <w:rsid w:val="00A230A8"/>
    <w:rsid w:val="00A23E43"/>
    <w:rsid w:val="00A25216"/>
    <w:rsid w:val="00A27420"/>
    <w:rsid w:val="00A27C85"/>
    <w:rsid w:val="00A30F65"/>
    <w:rsid w:val="00A32759"/>
    <w:rsid w:val="00A329DF"/>
    <w:rsid w:val="00A35142"/>
    <w:rsid w:val="00A35EA6"/>
    <w:rsid w:val="00A40EAC"/>
    <w:rsid w:val="00A416D4"/>
    <w:rsid w:val="00A418BC"/>
    <w:rsid w:val="00A46DE0"/>
    <w:rsid w:val="00A4750C"/>
    <w:rsid w:val="00A50D73"/>
    <w:rsid w:val="00A51F19"/>
    <w:rsid w:val="00A51F45"/>
    <w:rsid w:val="00A52CAD"/>
    <w:rsid w:val="00A537F0"/>
    <w:rsid w:val="00A53FC7"/>
    <w:rsid w:val="00A54250"/>
    <w:rsid w:val="00A55161"/>
    <w:rsid w:val="00A55593"/>
    <w:rsid w:val="00A62B23"/>
    <w:rsid w:val="00A62CE1"/>
    <w:rsid w:val="00A66A11"/>
    <w:rsid w:val="00A6741E"/>
    <w:rsid w:val="00A73C77"/>
    <w:rsid w:val="00A75E40"/>
    <w:rsid w:val="00A77D1D"/>
    <w:rsid w:val="00A84923"/>
    <w:rsid w:val="00A857C0"/>
    <w:rsid w:val="00A90FED"/>
    <w:rsid w:val="00A97A1E"/>
    <w:rsid w:val="00AA2996"/>
    <w:rsid w:val="00AA52BF"/>
    <w:rsid w:val="00AA559A"/>
    <w:rsid w:val="00AB2AF1"/>
    <w:rsid w:val="00AB5421"/>
    <w:rsid w:val="00AB5F7B"/>
    <w:rsid w:val="00AC45BD"/>
    <w:rsid w:val="00AC46DA"/>
    <w:rsid w:val="00AD1355"/>
    <w:rsid w:val="00AD168E"/>
    <w:rsid w:val="00AD306C"/>
    <w:rsid w:val="00AD68C4"/>
    <w:rsid w:val="00AD7D0B"/>
    <w:rsid w:val="00AE09B3"/>
    <w:rsid w:val="00AE1A83"/>
    <w:rsid w:val="00AE7FB2"/>
    <w:rsid w:val="00AF71EC"/>
    <w:rsid w:val="00B00913"/>
    <w:rsid w:val="00B01593"/>
    <w:rsid w:val="00B023F2"/>
    <w:rsid w:val="00B04B4A"/>
    <w:rsid w:val="00B07379"/>
    <w:rsid w:val="00B10A4D"/>
    <w:rsid w:val="00B120A1"/>
    <w:rsid w:val="00B12AA6"/>
    <w:rsid w:val="00B14BC1"/>
    <w:rsid w:val="00B17E71"/>
    <w:rsid w:val="00B17FDE"/>
    <w:rsid w:val="00B20632"/>
    <w:rsid w:val="00B22CD2"/>
    <w:rsid w:val="00B23055"/>
    <w:rsid w:val="00B2379C"/>
    <w:rsid w:val="00B2687D"/>
    <w:rsid w:val="00B32DDB"/>
    <w:rsid w:val="00B34528"/>
    <w:rsid w:val="00B34CC9"/>
    <w:rsid w:val="00B357BF"/>
    <w:rsid w:val="00B366E5"/>
    <w:rsid w:val="00B402FC"/>
    <w:rsid w:val="00B40FF9"/>
    <w:rsid w:val="00B42470"/>
    <w:rsid w:val="00B439DA"/>
    <w:rsid w:val="00B46604"/>
    <w:rsid w:val="00B530CD"/>
    <w:rsid w:val="00B53AB0"/>
    <w:rsid w:val="00B55F5E"/>
    <w:rsid w:val="00B57338"/>
    <w:rsid w:val="00B5752E"/>
    <w:rsid w:val="00B57E25"/>
    <w:rsid w:val="00B606BE"/>
    <w:rsid w:val="00B619A9"/>
    <w:rsid w:val="00B63A11"/>
    <w:rsid w:val="00B64C24"/>
    <w:rsid w:val="00B6608F"/>
    <w:rsid w:val="00B679FB"/>
    <w:rsid w:val="00B76D1E"/>
    <w:rsid w:val="00B80EC6"/>
    <w:rsid w:val="00B84CF6"/>
    <w:rsid w:val="00B86F03"/>
    <w:rsid w:val="00B9088A"/>
    <w:rsid w:val="00B9200E"/>
    <w:rsid w:val="00B92D1D"/>
    <w:rsid w:val="00B938C5"/>
    <w:rsid w:val="00B9432C"/>
    <w:rsid w:val="00B950E3"/>
    <w:rsid w:val="00B95940"/>
    <w:rsid w:val="00B962D2"/>
    <w:rsid w:val="00B97434"/>
    <w:rsid w:val="00BA0DD3"/>
    <w:rsid w:val="00BA6C2B"/>
    <w:rsid w:val="00BA76E6"/>
    <w:rsid w:val="00BB2F03"/>
    <w:rsid w:val="00BB46F3"/>
    <w:rsid w:val="00BB4AF6"/>
    <w:rsid w:val="00BB4CB1"/>
    <w:rsid w:val="00BB4F98"/>
    <w:rsid w:val="00BC0E31"/>
    <w:rsid w:val="00BC5C12"/>
    <w:rsid w:val="00BC7075"/>
    <w:rsid w:val="00BC7154"/>
    <w:rsid w:val="00BC731E"/>
    <w:rsid w:val="00BD163C"/>
    <w:rsid w:val="00BD1B27"/>
    <w:rsid w:val="00BD2991"/>
    <w:rsid w:val="00BD366B"/>
    <w:rsid w:val="00BD6D50"/>
    <w:rsid w:val="00BE18B9"/>
    <w:rsid w:val="00BE2495"/>
    <w:rsid w:val="00BE468E"/>
    <w:rsid w:val="00BE6186"/>
    <w:rsid w:val="00BF1578"/>
    <w:rsid w:val="00BF45D9"/>
    <w:rsid w:val="00BF4B4B"/>
    <w:rsid w:val="00BF6EE6"/>
    <w:rsid w:val="00C024B1"/>
    <w:rsid w:val="00C12D52"/>
    <w:rsid w:val="00C21405"/>
    <w:rsid w:val="00C21F94"/>
    <w:rsid w:val="00C25709"/>
    <w:rsid w:val="00C27913"/>
    <w:rsid w:val="00C33B68"/>
    <w:rsid w:val="00C36A79"/>
    <w:rsid w:val="00C401D2"/>
    <w:rsid w:val="00C405D4"/>
    <w:rsid w:val="00C4513B"/>
    <w:rsid w:val="00C466D2"/>
    <w:rsid w:val="00C53576"/>
    <w:rsid w:val="00C5390B"/>
    <w:rsid w:val="00C54697"/>
    <w:rsid w:val="00C60191"/>
    <w:rsid w:val="00C609C9"/>
    <w:rsid w:val="00C6152B"/>
    <w:rsid w:val="00C73885"/>
    <w:rsid w:val="00C747B1"/>
    <w:rsid w:val="00C82191"/>
    <w:rsid w:val="00C83134"/>
    <w:rsid w:val="00C83FAA"/>
    <w:rsid w:val="00C8418E"/>
    <w:rsid w:val="00C85545"/>
    <w:rsid w:val="00C86B84"/>
    <w:rsid w:val="00C90CF4"/>
    <w:rsid w:val="00C90F53"/>
    <w:rsid w:val="00C92EB6"/>
    <w:rsid w:val="00C93389"/>
    <w:rsid w:val="00C936C3"/>
    <w:rsid w:val="00C96D08"/>
    <w:rsid w:val="00CA28BC"/>
    <w:rsid w:val="00CA6668"/>
    <w:rsid w:val="00CA6AB4"/>
    <w:rsid w:val="00CB259D"/>
    <w:rsid w:val="00CB390A"/>
    <w:rsid w:val="00CB4930"/>
    <w:rsid w:val="00CC2E7D"/>
    <w:rsid w:val="00CC71EC"/>
    <w:rsid w:val="00CD10A5"/>
    <w:rsid w:val="00CD2076"/>
    <w:rsid w:val="00CD29B5"/>
    <w:rsid w:val="00CD6331"/>
    <w:rsid w:val="00CE153B"/>
    <w:rsid w:val="00CE670B"/>
    <w:rsid w:val="00CE7F95"/>
    <w:rsid w:val="00CF1C4C"/>
    <w:rsid w:val="00CF3215"/>
    <w:rsid w:val="00CF4908"/>
    <w:rsid w:val="00CF51EC"/>
    <w:rsid w:val="00CF73AE"/>
    <w:rsid w:val="00D040DD"/>
    <w:rsid w:val="00D050F8"/>
    <w:rsid w:val="00D075BE"/>
    <w:rsid w:val="00D1005A"/>
    <w:rsid w:val="00D11854"/>
    <w:rsid w:val="00D120FA"/>
    <w:rsid w:val="00D13986"/>
    <w:rsid w:val="00D21D83"/>
    <w:rsid w:val="00D22038"/>
    <w:rsid w:val="00D235B7"/>
    <w:rsid w:val="00D25F28"/>
    <w:rsid w:val="00D26071"/>
    <w:rsid w:val="00D27973"/>
    <w:rsid w:val="00D32F90"/>
    <w:rsid w:val="00D35E1A"/>
    <w:rsid w:val="00D50F46"/>
    <w:rsid w:val="00D52BE2"/>
    <w:rsid w:val="00D57677"/>
    <w:rsid w:val="00D62FF4"/>
    <w:rsid w:val="00D64227"/>
    <w:rsid w:val="00D64F56"/>
    <w:rsid w:val="00D66223"/>
    <w:rsid w:val="00D67375"/>
    <w:rsid w:val="00D73384"/>
    <w:rsid w:val="00D8084C"/>
    <w:rsid w:val="00D85980"/>
    <w:rsid w:val="00D915EA"/>
    <w:rsid w:val="00D92FD1"/>
    <w:rsid w:val="00D93CE2"/>
    <w:rsid w:val="00D943C6"/>
    <w:rsid w:val="00D965EC"/>
    <w:rsid w:val="00DA0BBD"/>
    <w:rsid w:val="00DA7C0C"/>
    <w:rsid w:val="00DB08A9"/>
    <w:rsid w:val="00DB2EC8"/>
    <w:rsid w:val="00DC37E3"/>
    <w:rsid w:val="00DC5B3B"/>
    <w:rsid w:val="00DC76ED"/>
    <w:rsid w:val="00DD0AE9"/>
    <w:rsid w:val="00DD129F"/>
    <w:rsid w:val="00DD242A"/>
    <w:rsid w:val="00DD6B52"/>
    <w:rsid w:val="00DE0F63"/>
    <w:rsid w:val="00DE4C19"/>
    <w:rsid w:val="00DF317B"/>
    <w:rsid w:val="00DF42FF"/>
    <w:rsid w:val="00DF7190"/>
    <w:rsid w:val="00DF7AD4"/>
    <w:rsid w:val="00E01C0E"/>
    <w:rsid w:val="00E03F9A"/>
    <w:rsid w:val="00E04694"/>
    <w:rsid w:val="00E04F27"/>
    <w:rsid w:val="00E102BD"/>
    <w:rsid w:val="00E10A2E"/>
    <w:rsid w:val="00E11DE1"/>
    <w:rsid w:val="00E12B1E"/>
    <w:rsid w:val="00E17262"/>
    <w:rsid w:val="00E212C9"/>
    <w:rsid w:val="00E2394F"/>
    <w:rsid w:val="00E253A2"/>
    <w:rsid w:val="00E305C8"/>
    <w:rsid w:val="00E3309D"/>
    <w:rsid w:val="00E333BA"/>
    <w:rsid w:val="00E364BB"/>
    <w:rsid w:val="00E453F9"/>
    <w:rsid w:val="00E47EBA"/>
    <w:rsid w:val="00E50156"/>
    <w:rsid w:val="00E503A5"/>
    <w:rsid w:val="00E53470"/>
    <w:rsid w:val="00E539F6"/>
    <w:rsid w:val="00E6519D"/>
    <w:rsid w:val="00E67696"/>
    <w:rsid w:val="00E711D1"/>
    <w:rsid w:val="00E71A58"/>
    <w:rsid w:val="00E72A7A"/>
    <w:rsid w:val="00E733C7"/>
    <w:rsid w:val="00E75C94"/>
    <w:rsid w:val="00E76E61"/>
    <w:rsid w:val="00E8168E"/>
    <w:rsid w:val="00E924B2"/>
    <w:rsid w:val="00E93820"/>
    <w:rsid w:val="00E94A86"/>
    <w:rsid w:val="00E96143"/>
    <w:rsid w:val="00E972A9"/>
    <w:rsid w:val="00E972B3"/>
    <w:rsid w:val="00EA0840"/>
    <w:rsid w:val="00EA0C68"/>
    <w:rsid w:val="00EA17B0"/>
    <w:rsid w:val="00EA32BC"/>
    <w:rsid w:val="00EA405F"/>
    <w:rsid w:val="00EB4511"/>
    <w:rsid w:val="00EC03D7"/>
    <w:rsid w:val="00EC25F0"/>
    <w:rsid w:val="00ED62C6"/>
    <w:rsid w:val="00ED64C1"/>
    <w:rsid w:val="00ED7B65"/>
    <w:rsid w:val="00EE160E"/>
    <w:rsid w:val="00EE3446"/>
    <w:rsid w:val="00EE3C8D"/>
    <w:rsid w:val="00EE3E78"/>
    <w:rsid w:val="00EE466C"/>
    <w:rsid w:val="00EE4B1B"/>
    <w:rsid w:val="00EE50DB"/>
    <w:rsid w:val="00EF150D"/>
    <w:rsid w:val="00EF1F5A"/>
    <w:rsid w:val="00EF348D"/>
    <w:rsid w:val="00EF47BF"/>
    <w:rsid w:val="00F04811"/>
    <w:rsid w:val="00F0488C"/>
    <w:rsid w:val="00F05E10"/>
    <w:rsid w:val="00F10F11"/>
    <w:rsid w:val="00F118D5"/>
    <w:rsid w:val="00F13819"/>
    <w:rsid w:val="00F13C9C"/>
    <w:rsid w:val="00F15AAA"/>
    <w:rsid w:val="00F15BEF"/>
    <w:rsid w:val="00F160CE"/>
    <w:rsid w:val="00F161E1"/>
    <w:rsid w:val="00F162B3"/>
    <w:rsid w:val="00F231AE"/>
    <w:rsid w:val="00F24407"/>
    <w:rsid w:val="00F24FAA"/>
    <w:rsid w:val="00F26590"/>
    <w:rsid w:val="00F3364D"/>
    <w:rsid w:val="00F33926"/>
    <w:rsid w:val="00F33E56"/>
    <w:rsid w:val="00F41068"/>
    <w:rsid w:val="00F433FE"/>
    <w:rsid w:val="00F437CC"/>
    <w:rsid w:val="00F44537"/>
    <w:rsid w:val="00F4530D"/>
    <w:rsid w:val="00F46502"/>
    <w:rsid w:val="00F47067"/>
    <w:rsid w:val="00F525EB"/>
    <w:rsid w:val="00F55E08"/>
    <w:rsid w:val="00F56129"/>
    <w:rsid w:val="00F63DDE"/>
    <w:rsid w:val="00F63FB7"/>
    <w:rsid w:val="00F6421B"/>
    <w:rsid w:val="00F649D2"/>
    <w:rsid w:val="00F6602B"/>
    <w:rsid w:val="00F73A0C"/>
    <w:rsid w:val="00F73D08"/>
    <w:rsid w:val="00F756DB"/>
    <w:rsid w:val="00F8090E"/>
    <w:rsid w:val="00F84E7D"/>
    <w:rsid w:val="00F85066"/>
    <w:rsid w:val="00F853A9"/>
    <w:rsid w:val="00F859D0"/>
    <w:rsid w:val="00F87A4D"/>
    <w:rsid w:val="00F87A8D"/>
    <w:rsid w:val="00FA5D4D"/>
    <w:rsid w:val="00FB0EE2"/>
    <w:rsid w:val="00FB542E"/>
    <w:rsid w:val="00FC0359"/>
    <w:rsid w:val="00FC0E5F"/>
    <w:rsid w:val="00FC1A95"/>
    <w:rsid w:val="00FC56DE"/>
    <w:rsid w:val="00FC684B"/>
    <w:rsid w:val="00FD3265"/>
    <w:rsid w:val="00FD4916"/>
    <w:rsid w:val="00FE2F78"/>
    <w:rsid w:val="00FF3E63"/>
    <w:rsid w:val="00FF3EEC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ecf4dd,#eaecee,#fcec0a,#fcecdb,#f1daf5"/>
    </o:shapedefaults>
    <o:shapelayout v:ext="edit">
      <o:idmap v:ext="edit" data="1"/>
    </o:shapelayout>
  </w:shapeDefaults>
  <w:decimalSymbol w:val=","/>
  <w:listSeparator w:val=";"/>
  <w14:docId w14:val="7C691A96"/>
  <w15:docId w15:val="{A4C7AF56-5B51-4067-BDB9-17A6C36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64FA0"/>
    <w:pPr>
      <w:spacing w:after="240" w:line="276" w:lineRule="auto"/>
      <w:jc w:val="both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A25216"/>
    <w:pPr>
      <w:keepNext/>
      <w:keepLines/>
      <w:spacing w:after="100" w:line="276" w:lineRule="auto"/>
      <w:contextualSpacing/>
      <w:outlineLvl w:val="0"/>
    </w:pPr>
    <w:rPr>
      <w:rFonts w:ascii="Arial" w:eastAsia="MS Gothic" w:hAnsi="Arial"/>
      <w:b/>
      <w:bCs/>
      <w:color w:val="71818C"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A25216"/>
    <w:pPr>
      <w:keepNext/>
      <w:keepLines/>
      <w:spacing w:line="276" w:lineRule="auto"/>
      <w:outlineLvl w:val="1"/>
    </w:pPr>
    <w:rPr>
      <w:rFonts w:ascii="Arial" w:eastAsia="MS Gothic" w:hAnsi="Arial"/>
      <w:b/>
      <w:bCs/>
      <w:color w:val="71818C"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A25216"/>
    <w:pPr>
      <w:keepNext/>
      <w:keepLines/>
      <w:spacing w:line="276" w:lineRule="auto"/>
      <w:outlineLvl w:val="2"/>
    </w:pPr>
    <w:rPr>
      <w:rFonts w:ascii="Arial" w:eastAsia="MS Gothic" w:hAnsi="Arial"/>
      <w:b/>
      <w:bCs/>
      <w:color w:val="71818C"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A25216"/>
    <w:pPr>
      <w:keepNext/>
      <w:keepLines/>
      <w:spacing w:line="276" w:lineRule="auto"/>
      <w:outlineLvl w:val="3"/>
    </w:pPr>
    <w:rPr>
      <w:rFonts w:ascii="Arial" w:eastAsia="MS Gothic" w:hAnsi="Arial"/>
      <w:b/>
      <w:bCs/>
      <w:iCs/>
      <w:color w:val="71818C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7A516D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516D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516D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516D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516D"/>
    <w:pPr>
      <w:numPr>
        <w:ilvl w:val="8"/>
        <w:numId w:val="1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qFormat/>
    <w:rsid w:val="00364FA0"/>
    <w:rPr>
      <w:rFonts w:ascii="Arial" w:eastAsia="MS Gothic" w:hAnsi="Arial"/>
      <w:b/>
      <w:bCs/>
      <w:color w:val="71818C"/>
      <w:sz w:val="32"/>
      <w:szCs w:val="28"/>
      <w:lang w:eastAsia="cs-CZ"/>
    </w:rPr>
  </w:style>
  <w:style w:type="character" w:customStyle="1" w:styleId="Nadpis2Char">
    <w:name w:val="Nadpis 2 Char"/>
    <w:link w:val="Nadpis2"/>
    <w:uiPriority w:val="9"/>
    <w:qFormat/>
    <w:rsid w:val="00364FA0"/>
    <w:rPr>
      <w:rFonts w:ascii="Arial" w:eastAsia="MS Gothic" w:hAnsi="Arial"/>
      <w:b/>
      <w:bCs/>
      <w:color w:val="71818C"/>
      <w:sz w:val="28"/>
      <w:szCs w:val="26"/>
      <w:lang w:eastAsia="cs-CZ"/>
    </w:rPr>
  </w:style>
  <w:style w:type="character" w:customStyle="1" w:styleId="Nadpis3Char">
    <w:name w:val="Nadpis 3 Char"/>
    <w:link w:val="Nadpis3"/>
    <w:uiPriority w:val="9"/>
    <w:rsid w:val="00364FA0"/>
    <w:rPr>
      <w:rFonts w:ascii="Arial" w:eastAsia="MS Gothic" w:hAnsi="Arial"/>
      <w:b/>
      <w:bCs/>
      <w:color w:val="71818C"/>
      <w:sz w:val="24"/>
      <w:szCs w:val="24"/>
      <w:lang w:eastAsia="cs-CZ"/>
    </w:rPr>
  </w:style>
  <w:style w:type="character" w:customStyle="1" w:styleId="Nadpis4Char">
    <w:name w:val="Nadpis 4 Char"/>
    <w:link w:val="Nadpis4"/>
    <w:uiPriority w:val="9"/>
    <w:rsid w:val="00364FA0"/>
    <w:rPr>
      <w:rFonts w:ascii="Arial" w:eastAsia="MS Gothic" w:hAnsi="Arial"/>
      <w:b/>
      <w:bCs/>
      <w:iCs/>
      <w:color w:val="71818C"/>
      <w:szCs w:val="24"/>
      <w:lang w:eastAsia="cs-CZ"/>
    </w:rPr>
  </w:style>
  <w:style w:type="character" w:customStyle="1" w:styleId="Nadpis9Char">
    <w:name w:val="Nadpis 9 Char"/>
    <w:link w:val="Nadpis9"/>
    <w:uiPriority w:val="9"/>
    <w:semiHidden/>
    <w:rsid w:val="007A516D"/>
    <w:rPr>
      <w:rFonts w:ascii="Cambria" w:eastAsia="Times New Roman" w:hAnsi="Cambria"/>
      <w:sz w:val="22"/>
      <w:szCs w:val="22"/>
      <w:lang w:eastAsia="cs-CZ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rsid w:val="00EA0840"/>
    <w:rPr>
      <w:noProof/>
      <w:lang w:eastAsia="en-US"/>
    </w:rPr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846121"/>
    <w:pPr>
      <w:spacing w:after="80" w:line="288" w:lineRule="auto"/>
    </w:pPr>
    <w:rPr>
      <w:rFonts w:ascii="Arial" w:eastAsia="Times New Roman" w:hAnsi="Arial"/>
      <w:b/>
      <w:color w:val="71818C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A-Box1">
    <w:name w:val="A-Box 1"/>
    <w:next w:val="Normln"/>
    <w:qFormat/>
    <w:rsid w:val="00F84E7D"/>
    <w:pPr>
      <w:shd w:val="clear" w:color="auto" w:fill="EAECEE"/>
      <w:spacing w:before="240" w:after="240" w:line="276" w:lineRule="auto"/>
      <w:contextualSpacing/>
      <w:jc w:val="both"/>
    </w:pPr>
    <w:rPr>
      <w:rFonts w:ascii="Arial" w:hAnsi="Arial" w:cs="Arial"/>
      <w:lang w:eastAsia="cs-CZ"/>
    </w:rPr>
  </w:style>
  <w:style w:type="paragraph" w:customStyle="1" w:styleId="A-Box2">
    <w:name w:val="A-Box 2"/>
    <w:next w:val="Normln"/>
    <w:qFormat/>
    <w:rsid w:val="00D075BE"/>
    <w:pPr>
      <w:spacing w:before="240" w:after="240" w:line="276" w:lineRule="auto"/>
      <w:contextualSpacing/>
      <w:jc w:val="both"/>
    </w:pPr>
    <w:rPr>
      <w:rFonts w:ascii="Arial" w:hAnsi="Arial" w:cs="Arial"/>
      <w:color w:val="71818C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104C4C"/>
    <w:pPr>
      <w:spacing w:after="40"/>
      <w:contextualSpacing/>
    </w:pPr>
    <w:rPr>
      <w:b/>
      <w:caps/>
      <w:color w:val="BD1B21"/>
      <w:sz w:val="24"/>
    </w:rPr>
  </w:style>
  <w:style w:type="paragraph" w:customStyle="1" w:styleId="TLKontakty">
    <w:name w:val="TL Kontakty"/>
    <w:qFormat/>
    <w:rsid w:val="008E6F06"/>
    <w:pPr>
      <w:spacing w:after="160" w:line="259" w:lineRule="auto"/>
      <w:contextualSpacing/>
    </w:pPr>
    <w:rPr>
      <w:rFonts w:ascii="Arial" w:eastAsia="Times New Roman" w:hAnsi="Arial"/>
      <w:b/>
      <w:color w:val="0071BC"/>
      <w:lang w:eastAsia="cs-CZ"/>
    </w:rPr>
  </w:style>
  <w:style w:type="paragraph" w:styleId="Nzev">
    <w:name w:val="Title"/>
    <w:link w:val="NzevChar"/>
    <w:uiPriority w:val="10"/>
    <w:qFormat/>
    <w:rsid w:val="00846121"/>
    <w:pPr>
      <w:spacing w:line="288" w:lineRule="auto"/>
    </w:pPr>
    <w:rPr>
      <w:rFonts w:ascii="Arial" w:eastAsia="Times New Roman" w:hAnsi="Arial"/>
      <w:b/>
      <w:bCs/>
      <w:caps/>
      <w:color w:val="71818C"/>
      <w:kern w:val="28"/>
      <w:sz w:val="56"/>
      <w:szCs w:val="32"/>
      <w:lang w:eastAsia="cs-CZ"/>
    </w:rPr>
  </w:style>
  <w:style w:type="character" w:customStyle="1" w:styleId="NzevChar">
    <w:name w:val="Název Char"/>
    <w:link w:val="Nzev"/>
    <w:uiPriority w:val="10"/>
    <w:rsid w:val="00846121"/>
    <w:rPr>
      <w:rFonts w:ascii="Arial" w:eastAsia="Times New Roman" w:hAnsi="Arial"/>
      <w:b/>
      <w:bCs/>
      <w:caps/>
      <w:color w:val="71818C"/>
      <w:kern w:val="28"/>
      <w:sz w:val="56"/>
      <w:szCs w:val="32"/>
    </w:rPr>
  </w:style>
  <w:style w:type="paragraph" w:styleId="Podnadpis">
    <w:name w:val="Subtitle"/>
    <w:link w:val="PodnadpisChar"/>
    <w:uiPriority w:val="11"/>
    <w:qFormat/>
    <w:rsid w:val="00846121"/>
    <w:pPr>
      <w:spacing w:line="288" w:lineRule="auto"/>
    </w:pPr>
    <w:rPr>
      <w:rFonts w:ascii="Arial" w:eastAsia="Times New Roman" w:hAnsi="Arial" w:cs="Arial"/>
      <w:b/>
      <w:color w:val="71818C"/>
      <w:sz w:val="28"/>
      <w:szCs w:val="24"/>
      <w:lang w:eastAsia="cs-CZ"/>
    </w:rPr>
  </w:style>
  <w:style w:type="character" w:customStyle="1" w:styleId="PodnadpisChar">
    <w:name w:val="Podnadpis Char"/>
    <w:link w:val="Podnadpis"/>
    <w:uiPriority w:val="11"/>
    <w:rsid w:val="00846121"/>
    <w:rPr>
      <w:rFonts w:ascii="Arial" w:eastAsia="Times New Roman" w:hAnsi="Arial" w:cs="Arial"/>
      <w:b/>
      <w:color w:val="71818C"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7A516D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516D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516D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516D"/>
    <w:rPr>
      <w:rFonts w:asciiTheme="majorHAnsi" w:eastAsiaTheme="majorEastAsia" w:hAnsiTheme="majorHAnsi" w:cstheme="majorBidi"/>
      <w:color w:val="404040" w:themeColor="text1" w:themeTint="BF"/>
      <w:lang w:eastAsia="cs-CZ"/>
    </w:rPr>
  </w:style>
  <w:style w:type="paragraph" w:styleId="Textpoznpodarou">
    <w:name w:val="footnote text"/>
    <w:aliases w:val="Text pozn. pod čarou_martin_ang"/>
    <w:basedOn w:val="Normln"/>
    <w:link w:val="TextpoznpodarouChar"/>
    <w:qFormat/>
    <w:rsid w:val="008E7FC9"/>
    <w:pPr>
      <w:spacing w:after="0" w:line="240" w:lineRule="auto"/>
      <w:jc w:val="left"/>
    </w:pPr>
    <w:rPr>
      <w:rFonts w:eastAsia="Calibri"/>
      <w:szCs w:val="20"/>
    </w:rPr>
  </w:style>
  <w:style w:type="character" w:customStyle="1" w:styleId="TextpoznpodarouChar">
    <w:name w:val="Text pozn. pod čarou Char"/>
    <w:aliases w:val="Text pozn. pod čarou_martin_ang Char"/>
    <w:basedOn w:val="Standardnpsmoodstavce"/>
    <w:link w:val="Textpoznpodarou"/>
    <w:qFormat/>
    <w:rsid w:val="008E7FC9"/>
    <w:rPr>
      <w:rFonts w:ascii="Arial" w:hAnsi="Arial"/>
      <w:lang w:eastAsia="cs-CZ"/>
    </w:rPr>
  </w:style>
  <w:style w:type="paragraph" w:styleId="Bezmezer">
    <w:name w:val="No Spacing"/>
    <w:uiPriority w:val="1"/>
    <w:qFormat/>
    <w:rsid w:val="00AD68C4"/>
    <w:pPr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Marginlie">
    <w:name w:val="Marginálie"/>
    <w:basedOn w:val="Normln"/>
    <w:qFormat/>
    <w:rsid w:val="0089296D"/>
    <w:pPr>
      <w:spacing w:after="0"/>
      <w:jc w:val="left"/>
    </w:pPr>
    <w:rPr>
      <w:spacing w:val="-2"/>
      <w:sz w:val="16"/>
      <w:szCs w:val="16"/>
    </w:rPr>
  </w:style>
  <w:style w:type="paragraph" w:styleId="Odstavecseseznamem">
    <w:name w:val="List Paragraph"/>
    <w:basedOn w:val="Normln"/>
    <w:uiPriority w:val="34"/>
    <w:rsid w:val="006B0F92"/>
    <w:pPr>
      <w:ind w:left="720"/>
      <w:contextualSpacing/>
    </w:pPr>
  </w:style>
  <w:style w:type="paragraph" w:customStyle="1" w:styleId="Normalodrka">
    <w:name w:val="Normal odrážka"/>
    <w:qFormat/>
    <w:rsid w:val="006B0F92"/>
    <w:pPr>
      <w:numPr>
        <w:numId w:val="20"/>
      </w:numPr>
      <w:spacing w:after="240" w:line="276" w:lineRule="auto"/>
      <w:ind w:left="357" w:hanging="357"/>
      <w:jc w:val="both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A17D5B"/>
    <w:pPr>
      <w:shd w:val="clear" w:color="auto" w:fill="EBEBEB"/>
      <w:spacing w:before="240" w:after="240" w:line="276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next w:val="Normln"/>
    <w:qFormat/>
    <w:rsid w:val="00A17D5B"/>
    <w:pPr>
      <w:spacing w:before="240" w:after="240" w:line="276" w:lineRule="auto"/>
      <w:ind w:left="709"/>
      <w:contextualSpacing/>
    </w:pPr>
    <w:rPr>
      <w:rFonts w:ascii="Arial" w:hAnsi="Arial" w:cs="Arial"/>
      <w:b/>
      <w:color w:val="71818C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76E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6E6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6E61"/>
    <w:rPr>
      <w:rFonts w:ascii="Arial" w:eastAsia="Times New Roman" w:hAnsi="Arial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6E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6E61"/>
    <w:rPr>
      <w:rFonts w:ascii="Arial" w:eastAsia="Times New Roman" w:hAnsi="Arial"/>
      <w:b/>
      <w:bCs/>
      <w:lang w:eastAsia="cs-CZ"/>
    </w:rPr>
  </w:style>
  <w:style w:type="paragraph" w:customStyle="1" w:styleId="Nadpis11">
    <w:name w:val="Nadpis 11"/>
    <w:basedOn w:val="Normln"/>
    <w:uiPriority w:val="9"/>
    <w:qFormat/>
    <w:rsid w:val="00F46502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">
    <w:name w:val="Nadpis 21"/>
    <w:basedOn w:val="Normln"/>
    <w:uiPriority w:val="9"/>
    <w:qFormat/>
    <w:rsid w:val="00F46502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">
    <w:name w:val="Text pozn. pod čarou1"/>
    <w:basedOn w:val="Normln"/>
    <w:rsid w:val="00F46502"/>
    <w:pPr>
      <w:spacing w:after="0" w:line="240" w:lineRule="auto"/>
      <w:jc w:val="left"/>
    </w:pPr>
    <w:rPr>
      <w:rFonts w:eastAsia="Calibri"/>
      <w:color w:val="00000A"/>
      <w:szCs w:val="20"/>
    </w:rPr>
  </w:style>
  <w:style w:type="character" w:customStyle="1" w:styleId="TextpoznpodarouChar1">
    <w:name w:val="Text pozn. pod čarou Char1"/>
    <w:aliases w:val="Text pozn. pod čarou_martin_ang Char1"/>
    <w:basedOn w:val="Standardnpsmoodstavce"/>
    <w:semiHidden/>
    <w:rsid w:val="00F46502"/>
    <w:rPr>
      <w:rFonts w:ascii="Arial" w:eastAsia="Times New Roman" w:hAnsi="Arial" w:cs="Times New Roman"/>
      <w:color w:val="00000A"/>
      <w:szCs w:val="20"/>
      <w:lang w:eastAsia="cs-CZ"/>
    </w:rPr>
  </w:style>
  <w:style w:type="character" w:styleId="Znakapoznpodarou">
    <w:name w:val="footnote reference"/>
    <w:basedOn w:val="Standardnpsmoodstavce"/>
    <w:rsid w:val="00F46502"/>
    <w:rPr>
      <w:rFonts w:cs="Times New Roman"/>
      <w:vertAlign w:val="superscript"/>
    </w:rPr>
  </w:style>
  <w:style w:type="character" w:customStyle="1" w:styleId="odkaz-style-wrapper">
    <w:name w:val="odkaz-style-wrapper"/>
    <w:basedOn w:val="Standardnpsmoodstavce"/>
    <w:rsid w:val="00BE6186"/>
  </w:style>
  <w:style w:type="paragraph" w:customStyle="1" w:styleId="Nadpis110">
    <w:name w:val="Nadpis 11"/>
    <w:basedOn w:val="Normln"/>
    <w:uiPriority w:val="9"/>
    <w:qFormat/>
    <w:rsid w:val="00BE6186"/>
    <w:pPr>
      <w:keepNext/>
      <w:keepLines/>
      <w:spacing w:after="100"/>
      <w:contextualSpacing/>
      <w:jc w:val="left"/>
      <w:outlineLvl w:val="0"/>
    </w:pPr>
    <w:rPr>
      <w:rFonts w:eastAsia="MS Gothic"/>
      <w:b/>
      <w:bCs/>
      <w:color w:val="71818C"/>
      <w:sz w:val="32"/>
      <w:szCs w:val="28"/>
    </w:rPr>
  </w:style>
  <w:style w:type="paragraph" w:customStyle="1" w:styleId="Nadpis210">
    <w:name w:val="Nadpis 21"/>
    <w:basedOn w:val="Normln"/>
    <w:uiPriority w:val="9"/>
    <w:qFormat/>
    <w:rsid w:val="00BE6186"/>
    <w:pPr>
      <w:keepNext/>
      <w:keepLines/>
      <w:spacing w:after="0"/>
      <w:jc w:val="left"/>
      <w:outlineLvl w:val="1"/>
    </w:pPr>
    <w:rPr>
      <w:rFonts w:eastAsia="MS Gothic"/>
      <w:b/>
      <w:bCs/>
      <w:color w:val="71818C"/>
      <w:sz w:val="28"/>
      <w:szCs w:val="26"/>
    </w:rPr>
  </w:style>
  <w:style w:type="paragraph" w:customStyle="1" w:styleId="Textpoznpodarou10">
    <w:name w:val="Text pozn. pod čarou1"/>
    <w:basedOn w:val="Normln"/>
    <w:rsid w:val="00BE6186"/>
    <w:pPr>
      <w:spacing w:after="0" w:line="240" w:lineRule="auto"/>
      <w:jc w:val="left"/>
    </w:pPr>
    <w:rPr>
      <w:rFonts w:eastAsia="Calibri"/>
      <w:color w:val="00000A"/>
      <w:szCs w:val="20"/>
    </w:rPr>
  </w:style>
  <w:style w:type="paragraph" w:styleId="Normlnweb">
    <w:name w:val="Normal (Web)"/>
    <w:basedOn w:val="Normln"/>
    <w:uiPriority w:val="99"/>
    <w:unhideWhenUsed/>
    <w:rsid w:val="00C96D0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Zkladntext">
    <w:name w:val="Body Text"/>
    <w:basedOn w:val="Normln"/>
    <w:link w:val="ZkladntextChar"/>
    <w:semiHidden/>
    <w:rsid w:val="004C5FBF"/>
    <w:pPr>
      <w:widowControl w:val="0"/>
      <w:suppressAutoHyphens/>
      <w:autoSpaceDE w:val="0"/>
      <w:autoSpaceDN w:val="0"/>
      <w:adjustRightInd w:val="0"/>
      <w:spacing w:before="120" w:after="0" w:line="215" w:lineRule="exact"/>
    </w:pPr>
    <w:rPr>
      <w:rFonts w:ascii="Times New Roman CE obyèejné" w:hAnsi="Times New Roman CE obyèejné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4C5FBF"/>
    <w:rPr>
      <w:rFonts w:ascii="Times New Roman CE obyèejné" w:eastAsia="Times New Roman" w:hAnsi="Times New Roman CE obyèejné"/>
      <w:lang w:eastAsia="cs-CZ"/>
    </w:rPr>
  </w:style>
  <w:style w:type="character" w:customStyle="1" w:styleId="content">
    <w:name w:val="content"/>
    <w:basedOn w:val="Standardnpsmoodstavce"/>
    <w:rsid w:val="003C4BE8"/>
  </w:style>
  <w:style w:type="paragraph" w:styleId="Textvysvtlivek">
    <w:name w:val="endnote text"/>
    <w:basedOn w:val="Normln"/>
    <w:link w:val="TextvysvtlivekChar"/>
    <w:uiPriority w:val="99"/>
    <w:semiHidden/>
    <w:unhideWhenUsed/>
    <w:rsid w:val="00744EE6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44EE6"/>
    <w:rPr>
      <w:rFonts w:ascii="Arial" w:eastAsia="Times New Roman" w:hAnsi="Arial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744E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64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68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Anal&#253;za\Ro&#269;n&#237;%20anal&#253;za%202018\Ana&#253;za%20ekonomick&#233;ho%20v&#253;voje%20v%20roce%202017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Souhrnn&#225;%20v&#253;konnost\Kopie%20-%20hdpcr063020_g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zabojnikova31519\Documents\Anal&#253;za\Ro&#269;n&#237;%20n&#225;rodn&#237;%20&#250;&#269;ty\Souhrnn&#225;%20v&#253;konnost\Kopie%20-%20hdpcr063020_g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abojnikova31519\AppData\Local\Temp\nama_10_gdp-1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472398724958299E-2"/>
          <c:y val="3.9316672295395698E-2"/>
          <c:w val="0.88608304658968562"/>
          <c:h val="0.7174200720477315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HDP_minus!$T$116</c:f>
              <c:strCache>
                <c:ptCount val="1"/>
                <c:pt idx="0">
                  <c:v>Spotřeba domácností</c:v>
                </c:pt>
              </c:strCache>
            </c:strRef>
          </c:tx>
          <c:spPr>
            <a:solidFill>
              <a:srgbClr val="FF7171"/>
            </a:solidFill>
            <a:ln>
              <a:noFill/>
            </a:ln>
            <a:effectLst/>
          </c:spPr>
          <c:invertIfNegative val="0"/>
          <c:cat>
            <c:multiLvlStrRef>
              <c:f>HDP_minus!$R$117:$S$132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HDP_minus!$T$117:$T$132</c:f>
              <c:numCache>
                <c:formatCode>0.0</c:formatCode>
                <c:ptCount val="16"/>
                <c:pt idx="0">
                  <c:v>-0.18481744017213947</c:v>
                </c:pt>
                <c:pt idx="1">
                  <c:v>0.26165815080780858</c:v>
                </c:pt>
                <c:pt idx="2">
                  <c:v>-6.0752948657134334E-2</c:v>
                </c:pt>
                <c:pt idx="3">
                  <c:v>-0.69919952325884471</c:v>
                </c:pt>
                <c:pt idx="4">
                  <c:v>0.4721507786563014</c:v>
                </c:pt>
                <c:pt idx="5">
                  <c:v>0.15648455912441961</c:v>
                </c:pt>
                <c:pt idx="6">
                  <c:v>1.2252538759790008</c:v>
                </c:pt>
                <c:pt idx="7">
                  <c:v>0.97302688689801087</c:v>
                </c:pt>
                <c:pt idx="8">
                  <c:v>1.2283045114993791</c:v>
                </c:pt>
                <c:pt idx="9">
                  <c:v>1.152049193857505</c:v>
                </c:pt>
                <c:pt idx="10">
                  <c:v>1.2110373488122279</c:v>
                </c:pt>
                <c:pt idx="12" formatCode="#\ ##0.0">
                  <c:v>0.95709419842434051</c:v>
                </c:pt>
                <c:pt idx="13" formatCode="#\ ##0.0">
                  <c:v>1.3452005145206245</c:v>
                </c:pt>
                <c:pt idx="14" formatCode="#\ ##0.0">
                  <c:v>1.1867517998339108</c:v>
                </c:pt>
                <c:pt idx="15" formatCode="#\ ##0.0">
                  <c:v>1.3517576838625602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13A-4F1C-94F4-8C9D533056E9}"/>
            </c:ext>
          </c:extLst>
        </c:ser>
        <c:ser>
          <c:idx val="1"/>
          <c:order val="1"/>
          <c:tx>
            <c:strRef>
              <c:f>HDP_minus!$U$116</c:f>
              <c:strCache>
                <c:ptCount val="1"/>
                <c:pt idx="0">
                  <c:v>Spotřeba vládních institucí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multiLvlStrRef>
              <c:f>HDP_minus!$R$117:$S$132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HDP_minus!$U$117:$U$132</c:f>
              <c:numCache>
                <c:formatCode>0.0</c:formatCode>
                <c:ptCount val="16"/>
                <c:pt idx="0">
                  <c:v>0.47774363952464166</c:v>
                </c:pt>
                <c:pt idx="1">
                  <c:v>0.20509629240858784</c:v>
                </c:pt>
                <c:pt idx="2">
                  <c:v>-0.70050396342467613</c:v>
                </c:pt>
                <c:pt idx="3">
                  <c:v>-0.42608907287380743</c:v>
                </c:pt>
                <c:pt idx="4">
                  <c:v>0.43573741424918655</c:v>
                </c:pt>
                <c:pt idx="5">
                  <c:v>0.22501023260069708</c:v>
                </c:pt>
                <c:pt idx="6">
                  <c:v>0.44475521853604733</c:v>
                </c:pt>
                <c:pt idx="7">
                  <c:v>0.45065281387674672</c:v>
                </c:pt>
                <c:pt idx="8">
                  <c:v>0.31682494863206317</c:v>
                </c:pt>
                <c:pt idx="9">
                  <c:v>0.6969974425218104</c:v>
                </c:pt>
                <c:pt idx="10">
                  <c:v>0.42039460239058524</c:v>
                </c:pt>
                <c:pt idx="12" formatCode="#\ ##0.0">
                  <c:v>0.36969712355591594</c:v>
                </c:pt>
                <c:pt idx="13" formatCode="#\ ##0.0">
                  <c:v>0.50543252930386484</c:v>
                </c:pt>
                <c:pt idx="14" formatCode="#\ ##0.0">
                  <c:v>0.40522723257515153</c:v>
                </c:pt>
                <c:pt idx="15" formatCode="#\ ##0.0">
                  <c:v>0.4012060779431087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13A-4F1C-94F4-8C9D533056E9}"/>
            </c:ext>
          </c:extLst>
        </c:ser>
        <c:ser>
          <c:idx val="2"/>
          <c:order val="2"/>
          <c:tx>
            <c:strRef>
              <c:f>HDP_minus!$V$116</c:f>
              <c:strCache>
                <c:ptCount val="1"/>
                <c:pt idx="0">
                  <c:v>Tvorba hrubého kapitálu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multiLvlStrRef>
              <c:f>HDP_minus!$R$117:$S$132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HDP_minus!$V$117:$V$132</c:f>
              <c:numCache>
                <c:formatCode>0.0</c:formatCode>
                <c:ptCount val="16"/>
                <c:pt idx="0">
                  <c:v>-3.2147063396535871</c:v>
                </c:pt>
                <c:pt idx="1">
                  <c:v>-1.5065315181599839E-2</c:v>
                </c:pt>
                <c:pt idx="2">
                  <c:v>0.18766960559764126</c:v>
                </c:pt>
                <c:pt idx="3">
                  <c:v>-1.3189197297638056</c:v>
                </c:pt>
                <c:pt idx="4">
                  <c:v>-0.82376208248876404</c:v>
                </c:pt>
                <c:pt idx="5">
                  <c:v>0.70761456534473688</c:v>
                </c:pt>
                <c:pt idx="6">
                  <c:v>2.5475684289779674</c:v>
                </c:pt>
                <c:pt idx="7">
                  <c:v>-0.72898004065655464</c:v>
                </c:pt>
                <c:pt idx="8">
                  <c:v>0.88814096135943232</c:v>
                </c:pt>
                <c:pt idx="9">
                  <c:v>1.7232950085321357</c:v>
                </c:pt>
                <c:pt idx="10">
                  <c:v>-8.3462888032666799E-2</c:v>
                </c:pt>
                <c:pt idx="12" formatCode="#\ ##0.0">
                  <c:v>0.91852512375984641</c:v>
                </c:pt>
                <c:pt idx="13" formatCode="#\ ##0.0">
                  <c:v>-1.1054000753810638</c:v>
                </c:pt>
                <c:pt idx="14" formatCode="#\ ##0.0">
                  <c:v>-1.1725505853239804</c:v>
                </c:pt>
                <c:pt idx="15" formatCode="#\ ##0.0">
                  <c:v>1.02328337892609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13A-4F1C-94F4-8C9D533056E9}"/>
            </c:ext>
          </c:extLst>
        </c:ser>
        <c:ser>
          <c:idx val="3"/>
          <c:order val="3"/>
          <c:tx>
            <c:strRef>
              <c:f>HDP_minus!$W$116</c:f>
              <c:strCache>
                <c:ptCount val="1"/>
                <c:pt idx="0">
                  <c:v>Bilance zahraničního obchodu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cat>
            <c:multiLvlStrRef>
              <c:f>HDP_minus!$R$117:$S$132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HDP_minus!$W$117:$W$132</c:f>
              <c:numCache>
                <c:formatCode>0.0</c:formatCode>
                <c:ptCount val="16"/>
                <c:pt idx="0">
                  <c:v>-1.6045488791464697</c:v>
                </c:pt>
                <c:pt idx="1">
                  <c:v>1.8411051094102584</c:v>
                </c:pt>
                <c:pt idx="2">
                  <c:v>2.3276118294176036</c:v>
                </c:pt>
                <c:pt idx="3">
                  <c:v>1.7282908698432407</c:v>
                </c:pt>
                <c:pt idx="4">
                  <c:v>-0.1635905107950576</c:v>
                </c:pt>
                <c:pt idx="5">
                  <c:v>1.1488991220949361</c:v>
                </c:pt>
                <c:pt idx="6">
                  <c:v>1.2330671583211297</c:v>
                </c:pt>
                <c:pt idx="7">
                  <c:v>1.6930577548603101</c:v>
                </c:pt>
                <c:pt idx="8">
                  <c:v>2.845394599578261</c:v>
                </c:pt>
                <c:pt idx="9">
                  <c:v>-0.5197447707350924</c:v>
                </c:pt>
                <c:pt idx="10">
                  <c:v>0.64161541144667511</c:v>
                </c:pt>
                <c:pt idx="12" formatCode="#\ ##0.0">
                  <c:v>0.12604869637815186</c:v>
                </c:pt>
                <c:pt idx="13" formatCode="#\ ##0.0">
                  <c:v>1.5557019835323573</c:v>
                </c:pt>
                <c:pt idx="14" formatCode="#\ ##0.0">
                  <c:v>1.7857076729316352</c:v>
                </c:pt>
                <c:pt idx="15" formatCode="#\ ##0.0">
                  <c:v>-0.89056835169597359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13A-4F1C-94F4-8C9D533056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300152447"/>
        <c:axId val="300152863"/>
      </c:barChart>
      <c:lineChart>
        <c:grouping val="standard"/>
        <c:varyColors val="0"/>
        <c:ser>
          <c:idx val="4"/>
          <c:order val="4"/>
          <c:tx>
            <c:strRef>
              <c:f>HDP_minus!$X$116</c:f>
              <c:strCache>
                <c:ptCount val="1"/>
                <c:pt idx="0">
                  <c:v>HDP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multiLvlStrRef>
              <c:f>HDP_minus!$R$117:$S$132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HDP_minus!$X$117:$X$132</c:f>
              <c:numCache>
                <c:formatCode>0.0</c:formatCode>
                <c:ptCount val="16"/>
                <c:pt idx="0">
                  <c:v>-4.5170074899662085</c:v>
                </c:pt>
                <c:pt idx="1">
                  <c:v>2.2825772898006358</c:v>
                </c:pt>
                <c:pt idx="2">
                  <c:v>1.7614978096604592</c:v>
                </c:pt>
                <c:pt idx="3">
                  <c:v>-0.71155865769536508</c:v>
                </c:pt>
                <c:pt idx="4">
                  <c:v>-4.3740197902378632E-2</c:v>
                </c:pt>
                <c:pt idx="5">
                  <c:v>2.2616450382011144</c:v>
                </c:pt>
                <c:pt idx="6">
                  <c:v>5.4646131919584233</c:v>
                </c:pt>
                <c:pt idx="7">
                  <c:v>2.4456049020148094</c:v>
                </c:pt>
                <c:pt idx="8">
                  <c:v>5.358605753909659</c:v>
                </c:pt>
                <c:pt idx="9">
                  <c:v>3.1642785607855592</c:v>
                </c:pt>
                <c:pt idx="10">
                  <c:v>2.2673845775963404</c:v>
                </c:pt>
                <c:pt idx="12" formatCode="#\ ##0.0">
                  <c:v>2.4492683454218138</c:v>
                </c:pt>
                <c:pt idx="13" formatCode="#\ ##0.0">
                  <c:v>2.3738828500299576</c:v>
                </c:pt>
                <c:pt idx="14" formatCode="#\ ##0.0">
                  <c:v>2.2829391747994663</c:v>
                </c:pt>
                <c:pt idx="15" formatCode="#\ ##0.0">
                  <c:v>1.9683208351430466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13A-4F1C-94F4-8C9D533056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0152447"/>
        <c:axId val="300152863"/>
      </c:lineChart>
      <c:catAx>
        <c:axId val="3001524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300152863"/>
        <c:crosses val="autoZero"/>
        <c:auto val="1"/>
        <c:lblAlgn val="ctr"/>
        <c:lblOffset val="100"/>
        <c:tickLblSkip val="1"/>
        <c:noMultiLvlLbl val="0"/>
      </c:catAx>
      <c:valAx>
        <c:axId val="3001528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HDP </a:t>
                </a:r>
                <a:r>
                  <a:rPr lang="en-US"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rPr>
                  <a:t>Změna výdajů na konečnou spotřebu ( </a:t>
                </a:r>
                <a:r>
                  <a:rPr lang="en-US"/>
                  <a:t>jeho složky (v</a:t>
                </a:r>
                <a:r>
                  <a:rPr lang="en-US"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rPr>
                  <a:t> %</a:t>
                </a:r>
                <a:r>
                  <a:rPr lang="en-US"/>
                  <a:t>, příspěvky v</a:t>
                </a:r>
                <a:r>
                  <a:rPr lang="en-US"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rPr>
                  <a:t> p. b.</a:t>
                </a:r>
                <a:r>
                  <a:rPr lang="en-US"/>
                  <a:t>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3001524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4469773725092874E-2"/>
          <c:y val="0.86404733761116737"/>
          <c:w val="0.91518659236744349"/>
          <c:h val="0.1145072047731622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solidFill>
            <a:sysClr val="windowText" lastClr="000000"/>
          </a:solidFill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3709653585527016E-2"/>
          <c:y val="3.9316672295395698E-2"/>
          <c:w val="0.89680289628675769"/>
          <c:h val="0.7245685579196217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HPH!$R$117</c:f>
              <c:strCache>
                <c:ptCount val="1"/>
                <c:pt idx="0">
                  <c:v>Zpracovatelský průmysl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cat>
            <c:multiLvlStrRef>
              <c:f>HPH!$P$118:$Q$133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HPH!$R$118:$R$133</c:f>
              <c:numCache>
                <c:formatCode>#\ ##0.0</c:formatCode>
                <c:ptCount val="16"/>
                <c:pt idx="0">
                  <c:v>-2.9112863010060575</c:v>
                </c:pt>
                <c:pt idx="1">
                  <c:v>2.5022753544887757</c:v>
                </c:pt>
                <c:pt idx="2">
                  <c:v>2.5561125412094117</c:v>
                </c:pt>
                <c:pt idx="3">
                  <c:v>-0.93174243776150434</c:v>
                </c:pt>
                <c:pt idx="4">
                  <c:v>-0.29681427863821219</c:v>
                </c:pt>
                <c:pt idx="5">
                  <c:v>0.87438792575798063</c:v>
                </c:pt>
                <c:pt idx="6">
                  <c:v>2.0502974896045965</c:v>
                </c:pt>
                <c:pt idx="7">
                  <c:v>1.1385121377704071</c:v>
                </c:pt>
                <c:pt idx="8">
                  <c:v>2.467932620359047</c:v>
                </c:pt>
                <c:pt idx="9">
                  <c:v>0.50734336800853708</c:v>
                </c:pt>
                <c:pt idx="10">
                  <c:v>0.72758776419828874</c:v>
                </c:pt>
                <c:pt idx="12">
                  <c:v>0.65103012374599667</c:v>
                </c:pt>
                <c:pt idx="13">
                  <c:v>0.89397063689155354</c:v>
                </c:pt>
                <c:pt idx="14">
                  <c:v>0.93507380037800703</c:v>
                </c:pt>
                <c:pt idx="15">
                  <c:v>0.4321570928817503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DAF-48B7-B816-CAFFC1BF51C0}"/>
            </c:ext>
          </c:extLst>
        </c:ser>
        <c:ser>
          <c:idx val="1"/>
          <c:order val="1"/>
          <c:tx>
            <c:strRef>
              <c:f>HPH!$S$117</c:f>
              <c:strCache>
                <c:ptCount val="1"/>
                <c:pt idx="0">
                  <c:v>Ostatní průmyslová odvětví</c:v>
                </c:pt>
              </c:strCache>
            </c:strRef>
          </c:tx>
          <c:spPr>
            <a:solidFill>
              <a:srgbClr val="00B0F0"/>
            </a:solidFill>
            <a:ln>
              <a:noFill/>
            </a:ln>
            <a:effectLst/>
          </c:spPr>
          <c:invertIfNegative val="0"/>
          <c:cat>
            <c:multiLvlStrRef>
              <c:f>HPH!$P$118:$Q$133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HPH!$S$118:$S$133</c:f>
              <c:numCache>
                <c:formatCode>#\ ##0.0</c:formatCode>
                <c:ptCount val="16"/>
                <c:pt idx="0">
                  <c:v>-0.77178660848151903</c:v>
                </c:pt>
                <c:pt idx="1">
                  <c:v>-0.45554580292776237</c:v>
                </c:pt>
                <c:pt idx="2">
                  <c:v>-0.38805211745516965</c:v>
                </c:pt>
                <c:pt idx="3">
                  <c:v>-0.14944660824141953</c:v>
                </c:pt>
                <c:pt idx="4">
                  <c:v>-0.6362248879534258</c:v>
                </c:pt>
                <c:pt idx="5">
                  <c:v>3.5102673298907816E-2</c:v>
                </c:pt>
                <c:pt idx="6">
                  <c:v>-0.25525648950814372</c:v>
                </c:pt>
                <c:pt idx="7">
                  <c:v>-0.2576500120822186</c:v>
                </c:pt>
                <c:pt idx="8">
                  <c:v>9.4257853313911344E-2</c:v>
                </c:pt>
                <c:pt idx="9">
                  <c:v>-2.9461312404712781E-2</c:v>
                </c:pt>
                <c:pt idx="10">
                  <c:v>-0.10733087498227545</c:v>
                </c:pt>
                <c:pt idx="12">
                  <c:v>-0.16605613821776544</c:v>
                </c:pt>
                <c:pt idx="13">
                  <c:v>-0.17578686521880382</c:v>
                </c:pt>
                <c:pt idx="14">
                  <c:v>-0.17747063964733789</c:v>
                </c:pt>
                <c:pt idx="15">
                  <c:v>8.7594056433330181E-2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DAF-48B7-B816-CAFFC1BF51C0}"/>
            </c:ext>
          </c:extLst>
        </c:ser>
        <c:ser>
          <c:idx val="2"/>
          <c:order val="2"/>
          <c:tx>
            <c:strRef>
              <c:f>HPH!$T$117</c:f>
              <c:strCache>
                <c:ptCount val="1"/>
                <c:pt idx="0">
                  <c:v>Stavebnictví</c:v>
                </c:pt>
              </c:strCache>
            </c:strRef>
          </c:tx>
          <c:spPr>
            <a:solidFill>
              <a:srgbClr val="7030A0"/>
            </a:solidFill>
            <a:ln>
              <a:noFill/>
            </a:ln>
            <a:effectLst/>
          </c:spPr>
          <c:invertIfNegative val="0"/>
          <c:cat>
            <c:multiLvlStrRef>
              <c:f>HPH!$P$118:$Q$133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HPH!$T$118:$T$133</c:f>
              <c:numCache>
                <c:formatCode>#\ ##0.0</c:formatCode>
                <c:ptCount val="16"/>
                <c:pt idx="0">
                  <c:v>0.25558812426867106</c:v>
                </c:pt>
                <c:pt idx="1">
                  <c:v>0.22275846155307399</c:v>
                </c:pt>
                <c:pt idx="2">
                  <c:v>-0.37237044542320979</c:v>
                </c:pt>
                <c:pt idx="3">
                  <c:v>-0.38378063628182735</c:v>
                </c:pt>
                <c:pt idx="4">
                  <c:v>6.7729797819753329E-2</c:v>
                </c:pt>
                <c:pt idx="5">
                  <c:v>0.29084302450883198</c:v>
                </c:pt>
                <c:pt idx="6">
                  <c:v>0.12312371846863411</c:v>
                </c:pt>
                <c:pt idx="7">
                  <c:v>-0.21815183569334537</c:v>
                </c:pt>
                <c:pt idx="8">
                  <c:v>6.3209571496610661E-2</c:v>
                </c:pt>
                <c:pt idx="9">
                  <c:v>6.1314318067372696E-3</c:v>
                </c:pt>
                <c:pt idx="10">
                  <c:v>-0.14349715874396238</c:v>
                </c:pt>
                <c:pt idx="12">
                  <c:v>-0.20748910270418172</c:v>
                </c:pt>
                <c:pt idx="13">
                  <c:v>-0.16731055129880157</c:v>
                </c:pt>
                <c:pt idx="14">
                  <c:v>-0.12605835918279604</c:v>
                </c:pt>
                <c:pt idx="15">
                  <c:v>-7.4487643149214286E-2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DAF-48B7-B816-CAFFC1BF51C0}"/>
            </c:ext>
          </c:extLst>
        </c:ser>
        <c:ser>
          <c:idx val="3"/>
          <c:order val="3"/>
          <c:tx>
            <c:strRef>
              <c:f>HPH!$U$117</c:f>
              <c:strCache>
                <c:ptCount val="1"/>
                <c:pt idx="0">
                  <c:v>Služby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cat>
            <c:multiLvlStrRef>
              <c:f>HPH!$P$118:$Q$133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HPH!$U$118:$U$133</c:f>
              <c:numCache>
                <c:formatCode>#\ ##0.0</c:formatCode>
                <c:ptCount val="16"/>
                <c:pt idx="0">
                  <c:v>-2.3385876654437703</c:v>
                </c:pt>
                <c:pt idx="1">
                  <c:v>0.95092776915809352</c:v>
                </c:pt>
                <c:pt idx="2">
                  <c:v>0.11946885123994652</c:v>
                </c:pt>
                <c:pt idx="3">
                  <c:v>0.51802882188485533</c:v>
                </c:pt>
                <c:pt idx="4">
                  <c:v>0.89476775071517489</c:v>
                </c:pt>
                <c:pt idx="5">
                  <c:v>1.4723726066604022</c:v>
                </c:pt>
                <c:pt idx="6">
                  <c:v>2.8072106013644391</c:v>
                </c:pt>
                <c:pt idx="7">
                  <c:v>1.6048113866091585</c:v>
                </c:pt>
                <c:pt idx="8">
                  <c:v>2.8746906185958574</c:v>
                </c:pt>
                <c:pt idx="9">
                  <c:v>2.7720811992906671</c:v>
                </c:pt>
                <c:pt idx="10">
                  <c:v>1.5320160746324563</c:v>
                </c:pt>
                <c:pt idx="12">
                  <c:v>2.1778121572999853</c:v>
                </c:pt>
                <c:pt idx="13">
                  <c:v>1.5872692836963305</c:v>
                </c:pt>
                <c:pt idx="14">
                  <c:v>1.2887133109854405</c:v>
                </c:pt>
                <c:pt idx="15">
                  <c:v>1.0856896115678327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DAF-48B7-B816-CAFFC1BF51C0}"/>
            </c:ext>
          </c:extLst>
        </c:ser>
        <c:ser>
          <c:idx val="4"/>
          <c:order val="4"/>
          <c:tx>
            <c:strRef>
              <c:f>HPH!$V$117</c:f>
              <c:strCache>
                <c:ptCount val="1"/>
                <c:pt idx="0">
                  <c:v>Zemědělství, lesnictví a rybářství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cat>
            <c:multiLvlStrRef>
              <c:f>HPH!$P$118:$Q$133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HPH!$V$118:$V$133</c:f>
              <c:numCache>
                <c:formatCode>#\ ##0.0</c:formatCode>
                <c:ptCount val="16"/>
                <c:pt idx="0">
                  <c:v>0.64049881718161417</c:v>
                </c:pt>
                <c:pt idx="1">
                  <c:v>-0.38648900371040618</c:v>
                </c:pt>
                <c:pt idx="2">
                  <c:v>-0.15770331661822248</c:v>
                </c:pt>
                <c:pt idx="3">
                  <c:v>0.18942091553988236</c:v>
                </c:pt>
                <c:pt idx="4">
                  <c:v>-4.2949940063209041E-2</c:v>
                </c:pt>
                <c:pt idx="5">
                  <c:v>0.1851578461883292</c:v>
                </c:pt>
                <c:pt idx="6">
                  <c:v>0.18010470351437033</c:v>
                </c:pt>
                <c:pt idx="7">
                  <c:v>0.12898098304386002</c:v>
                </c:pt>
                <c:pt idx="8">
                  <c:v>-8.811312240906842E-2</c:v>
                </c:pt>
                <c:pt idx="9">
                  <c:v>9.2580271748536502E-2</c:v>
                </c:pt>
                <c:pt idx="10">
                  <c:v>0.11589603453603474</c:v>
                </c:pt>
                <c:pt idx="12">
                  <c:v>7.457032591061126E-2</c:v>
                </c:pt>
                <c:pt idx="13">
                  <c:v>6.6379351512401832E-2</c:v>
                </c:pt>
                <c:pt idx="14">
                  <c:v>0.13821919543862568</c:v>
                </c:pt>
                <c:pt idx="15">
                  <c:v>0.18322443828145188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CDAF-48B7-B816-CAFFC1BF51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490070047"/>
        <c:axId val="490072543"/>
      </c:barChart>
      <c:lineChart>
        <c:grouping val="standard"/>
        <c:varyColors val="0"/>
        <c:ser>
          <c:idx val="5"/>
          <c:order val="5"/>
          <c:tx>
            <c:strRef>
              <c:f>HPH!$W$117</c:f>
              <c:strCache>
                <c:ptCount val="1"/>
                <c:pt idx="0">
                  <c:v>HPH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multiLvlStrRef>
              <c:f>HPH!$P$118:$Q$133</c:f>
              <c:multiLvlStrCache>
                <c:ptCount val="16"/>
                <c:lvl>
                  <c:pt idx="12">
                    <c:v>Q1</c:v>
                  </c:pt>
                  <c:pt idx="13">
                    <c:v>Q2</c:v>
                  </c:pt>
                  <c:pt idx="14">
                    <c:v>Q3</c:v>
                  </c:pt>
                  <c:pt idx="15">
                    <c:v>Q4</c:v>
                  </c:pt>
                </c:lvl>
                <c:lvl>
                  <c:pt idx="0">
                    <c:v>2009</c:v>
                  </c:pt>
                  <c:pt idx="1">
                    <c:v>2010</c:v>
                  </c:pt>
                  <c:pt idx="2">
                    <c:v>2011</c:v>
                  </c:pt>
                  <c:pt idx="3">
                    <c:v>2012</c:v>
                  </c:pt>
                  <c:pt idx="4">
                    <c:v>2013</c:v>
                  </c:pt>
                  <c:pt idx="5">
                    <c:v>2014</c:v>
                  </c:pt>
                  <c:pt idx="6">
                    <c:v>2015</c:v>
                  </c:pt>
                  <c:pt idx="7">
                    <c:v>2016</c:v>
                  </c:pt>
                  <c:pt idx="8">
                    <c:v>2017</c:v>
                  </c:pt>
                  <c:pt idx="9">
                    <c:v>2018</c:v>
                  </c:pt>
                  <c:pt idx="10">
                    <c:v>2019</c:v>
                  </c:pt>
                  <c:pt idx="11">
                    <c:v>     </c:v>
                  </c:pt>
                  <c:pt idx="12">
                    <c:v>2019</c:v>
                  </c:pt>
                </c:lvl>
              </c:multiLvlStrCache>
            </c:multiLvlStrRef>
          </c:cat>
          <c:val>
            <c:numRef>
              <c:f>HPH!$W$118:$W$133</c:f>
              <c:numCache>
                <c:formatCode>#\ ##0.0</c:formatCode>
                <c:ptCount val="16"/>
                <c:pt idx="0">
                  <c:v>-5.1255736334810624</c:v>
                </c:pt>
                <c:pt idx="1">
                  <c:v>2.833926778561775</c:v>
                </c:pt>
                <c:pt idx="2">
                  <c:v>1.7574555129527565</c:v>
                </c:pt>
                <c:pt idx="3">
                  <c:v>-0.75751994486001351</c:v>
                </c:pt>
                <c:pt idx="4">
                  <c:v>-1.3491558119918735E-2</c:v>
                </c:pt>
                <c:pt idx="5">
                  <c:v>2.8578640764144518</c:v>
                </c:pt>
                <c:pt idx="6">
                  <c:v>4.9054800234438964</c:v>
                </c:pt>
                <c:pt idx="7">
                  <c:v>2.3965026596478616</c:v>
                </c:pt>
                <c:pt idx="8">
                  <c:v>5.4119775413563573</c:v>
                </c:pt>
                <c:pt idx="9">
                  <c:v>3.3486749584497657</c:v>
                </c:pt>
                <c:pt idx="10">
                  <c:v>2.1246718396405422</c:v>
                </c:pt>
                <c:pt idx="12">
                  <c:v>2.5300143206718104</c:v>
                </c:pt>
                <c:pt idx="13">
                  <c:v>2.204495611197089</c:v>
                </c:pt>
                <c:pt idx="14">
                  <c:v>2.0584748568752218</c:v>
                </c:pt>
                <c:pt idx="15">
                  <c:v>1.7139510638243536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DAF-48B7-B816-CAFFC1BF51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0070047"/>
        <c:axId val="490072543"/>
      </c:lineChart>
      <c:catAx>
        <c:axId val="4900700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490072543"/>
        <c:crosses val="autoZero"/>
        <c:auto val="1"/>
        <c:lblAlgn val="ctr"/>
        <c:lblOffset val="100"/>
        <c:noMultiLvlLbl val="0"/>
      </c:catAx>
      <c:valAx>
        <c:axId val="490072543"/>
        <c:scaling>
          <c:orientation val="minMax"/>
          <c:max val="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 sz="800" b="0" i="0" u="none" strike="noStrike" kern="1200" baseline="0">
                    <a:solidFill>
                      <a:sysClr val="windowText" lastClr="000000"/>
                    </a:solidFill>
                    <a:effectLst/>
                    <a:latin typeface="Arial" panose="020B0604020202020204" pitchFamily="34" charset="0"/>
                    <a:ea typeface="+mn-ea"/>
                    <a:cs typeface="+mn-cs"/>
                  </a:rPr>
                  <a:t> p. b.</a:t>
                </a:r>
                <a:endParaRPr lang="cs-CZ" sz="800">
                  <a:effectLst/>
                </a:endParaRPr>
              </a:p>
            </c:rich>
          </c:tx>
          <c:layout>
            <c:manualLayout>
              <c:xMode val="edge"/>
              <c:yMode val="edge"/>
              <c:x val="0"/>
              <c:y val="0.1567929746047159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4900700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5.3651215805471122E-2"/>
          <c:y val="0.87119582348305757"/>
          <c:w val="0.91146234380276936"/>
          <c:h val="0.1073587189012720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solidFill>
            <a:sysClr val="windowText" lastClr="000000"/>
          </a:solidFill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7809017223910829E-2"/>
          <c:y val="3.9316672295395698E-2"/>
          <c:w val="0.89270347855454235"/>
          <c:h val="0.6740208825847123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'[nama_10_gdp-1.xls]Data'!$J$10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</c:spPr>
          <c:invertIfNegative val="0"/>
          <c:dPt>
            <c:idx val="12"/>
            <c:invertIfNegative val="0"/>
            <c:bubble3D val="0"/>
            <c:spPr>
              <a:solidFill>
                <a:srgbClr val="00206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C8A-4267-9AA3-E27D98388766}"/>
              </c:ext>
            </c:extLst>
          </c:dPt>
          <c:cat>
            <c:strRef>
              <c:f>'[nama_10_gdp-1.xls]Data'!$A$11:$A$38</c:f>
              <c:strCache>
                <c:ptCount val="28"/>
                <c:pt idx="0">
                  <c:v>Irsko</c:v>
                </c:pt>
                <c:pt idx="1">
                  <c:v>Maďarsko</c:v>
                </c:pt>
                <c:pt idx="2">
                  <c:v>Malta</c:v>
                </c:pt>
                <c:pt idx="3">
                  <c:v>Estonsko</c:v>
                </c:pt>
                <c:pt idx="4">
                  <c:v>Polsko</c:v>
                </c:pt>
                <c:pt idx="5">
                  <c:v>Rumunsko</c:v>
                </c:pt>
                <c:pt idx="6">
                  <c:v>Litva</c:v>
                </c:pt>
                <c:pt idx="7">
                  <c:v>Bulharsko</c:v>
                </c:pt>
                <c:pt idx="8">
                  <c:v>Kypr</c:v>
                </c:pt>
                <c:pt idx="9">
                  <c:v>Chorvatsko</c:v>
                </c:pt>
                <c:pt idx="10">
                  <c:v>Slovinsko</c:v>
                </c:pt>
                <c:pt idx="11">
                  <c:v>Slovensko</c:v>
                </c:pt>
                <c:pt idx="12">
                  <c:v>Česko</c:v>
                </c:pt>
                <c:pt idx="13">
                  <c:v>Dánsko</c:v>
                </c:pt>
                <c:pt idx="14">
                  <c:v>Lucembursko</c:v>
                </c:pt>
                <c:pt idx="15">
                  <c:v>Lotyšsko</c:v>
                </c:pt>
                <c:pt idx="16">
                  <c:v>Portugalsko</c:v>
                </c:pt>
                <c:pt idx="17">
                  <c:v>Španělsko</c:v>
                </c:pt>
                <c:pt idx="18">
                  <c:v>Řecko</c:v>
                </c:pt>
                <c:pt idx="19">
                  <c:v>Nizozemsko</c:v>
                </c:pt>
                <c:pt idx="20">
                  <c:v>Rakousko</c:v>
                </c:pt>
                <c:pt idx="21">
                  <c:v>EU 27</c:v>
                </c:pt>
                <c:pt idx="22">
                  <c:v>Francie</c:v>
                </c:pt>
                <c:pt idx="23">
                  <c:v>Belgie</c:v>
                </c:pt>
                <c:pt idx="24">
                  <c:v>Švédsko</c:v>
                </c:pt>
                <c:pt idx="25">
                  <c:v>Finsko</c:v>
                </c:pt>
                <c:pt idx="26">
                  <c:v>Německo</c:v>
                </c:pt>
                <c:pt idx="27">
                  <c:v>Itálie</c:v>
                </c:pt>
              </c:strCache>
            </c:strRef>
          </c:cat>
          <c:val>
            <c:numRef>
              <c:f>'[nama_10_gdp-1.xls]Data'!$J$11:$J$38</c:f>
              <c:numCache>
                <c:formatCode>#\ ##0.0</c:formatCode>
                <c:ptCount val="28"/>
                <c:pt idx="0">
                  <c:v>8.5</c:v>
                </c:pt>
                <c:pt idx="1">
                  <c:v>5.0999999999999996</c:v>
                </c:pt>
                <c:pt idx="2">
                  <c:v>7.3</c:v>
                </c:pt>
                <c:pt idx="3">
                  <c:v>4.8</c:v>
                </c:pt>
                <c:pt idx="4">
                  <c:v>5.3</c:v>
                </c:pt>
                <c:pt idx="5">
                  <c:v>4.4000000000000004</c:v>
                </c:pt>
                <c:pt idx="6">
                  <c:v>3.6</c:v>
                </c:pt>
                <c:pt idx="7">
                  <c:v>3.1</c:v>
                </c:pt>
                <c:pt idx="8">
                  <c:v>4.0999999999999996</c:v>
                </c:pt>
                <c:pt idx="9">
                  <c:v>2.7</c:v>
                </c:pt>
                <c:pt idx="10">
                  <c:v>4.0999999999999996</c:v>
                </c:pt>
                <c:pt idx="11">
                  <c:v>3.9</c:v>
                </c:pt>
                <c:pt idx="12">
                  <c:v>3.2</c:v>
                </c:pt>
                <c:pt idx="13">
                  <c:v>2.4</c:v>
                </c:pt>
                <c:pt idx="14">
                  <c:v>3.1</c:v>
                </c:pt>
                <c:pt idx="15">
                  <c:v>4.3</c:v>
                </c:pt>
                <c:pt idx="16">
                  <c:v>2.6</c:v>
                </c:pt>
                <c:pt idx="17">
                  <c:v>2.4</c:v>
                </c:pt>
                <c:pt idx="18">
                  <c:v>1.9</c:v>
                </c:pt>
                <c:pt idx="19">
                  <c:v>2.4</c:v>
                </c:pt>
                <c:pt idx="20">
                  <c:v>2.4</c:v>
                </c:pt>
                <c:pt idx="21">
                  <c:v>2.1</c:v>
                </c:pt>
                <c:pt idx="22">
                  <c:v>1.8</c:v>
                </c:pt>
                <c:pt idx="23">
                  <c:v>1.5</c:v>
                </c:pt>
                <c:pt idx="24">
                  <c:v>2</c:v>
                </c:pt>
                <c:pt idx="25">
                  <c:v>1.5</c:v>
                </c:pt>
                <c:pt idx="26">
                  <c:v>1.5</c:v>
                </c:pt>
                <c:pt idx="27">
                  <c:v>0.8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C8A-4267-9AA3-E27D98388766}"/>
            </c:ext>
          </c:extLst>
        </c:ser>
        <c:ser>
          <c:idx val="1"/>
          <c:order val="1"/>
          <c:tx>
            <c:strRef>
              <c:f>'[nama_10_gdp-1.xls]Data'!$K$10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0000"/>
            </a:solidFill>
            <a:ln>
              <a:noFill/>
            </a:ln>
            <a:effectLst/>
          </c:spPr>
          <c:invertIfNegative val="0"/>
          <c:dPt>
            <c:idx val="12"/>
            <c:invertIfNegative val="0"/>
            <c:bubble3D val="0"/>
            <c:spPr>
              <a:solidFill>
                <a:srgbClr val="C00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EC8A-4267-9AA3-E27D98388766}"/>
              </c:ext>
            </c:extLst>
          </c:dPt>
          <c:cat>
            <c:strRef>
              <c:f>'[nama_10_gdp-1.xls]Data'!$A$11:$A$38</c:f>
              <c:strCache>
                <c:ptCount val="28"/>
                <c:pt idx="0">
                  <c:v>Irsko</c:v>
                </c:pt>
                <c:pt idx="1">
                  <c:v>Maďarsko</c:v>
                </c:pt>
                <c:pt idx="2">
                  <c:v>Malta</c:v>
                </c:pt>
                <c:pt idx="3">
                  <c:v>Estonsko</c:v>
                </c:pt>
                <c:pt idx="4">
                  <c:v>Polsko</c:v>
                </c:pt>
                <c:pt idx="5">
                  <c:v>Rumunsko</c:v>
                </c:pt>
                <c:pt idx="6">
                  <c:v>Litva</c:v>
                </c:pt>
                <c:pt idx="7">
                  <c:v>Bulharsko</c:v>
                </c:pt>
                <c:pt idx="8">
                  <c:v>Kypr</c:v>
                </c:pt>
                <c:pt idx="9">
                  <c:v>Chorvatsko</c:v>
                </c:pt>
                <c:pt idx="10">
                  <c:v>Slovinsko</c:v>
                </c:pt>
                <c:pt idx="11">
                  <c:v>Slovensko</c:v>
                </c:pt>
                <c:pt idx="12">
                  <c:v>Česko</c:v>
                </c:pt>
                <c:pt idx="13">
                  <c:v>Dánsko</c:v>
                </c:pt>
                <c:pt idx="14">
                  <c:v>Lucembursko</c:v>
                </c:pt>
                <c:pt idx="15">
                  <c:v>Lotyšsko</c:v>
                </c:pt>
                <c:pt idx="16">
                  <c:v>Portugalsko</c:v>
                </c:pt>
                <c:pt idx="17">
                  <c:v>Španělsko</c:v>
                </c:pt>
                <c:pt idx="18">
                  <c:v>Řecko</c:v>
                </c:pt>
                <c:pt idx="19">
                  <c:v>Nizozemsko</c:v>
                </c:pt>
                <c:pt idx="20">
                  <c:v>Rakousko</c:v>
                </c:pt>
                <c:pt idx="21">
                  <c:v>EU 27</c:v>
                </c:pt>
                <c:pt idx="22">
                  <c:v>Francie</c:v>
                </c:pt>
                <c:pt idx="23">
                  <c:v>Belgie</c:v>
                </c:pt>
                <c:pt idx="24">
                  <c:v>Švédsko</c:v>
                </c:pt>
                <c:pt idx="25">
                  <c:v>Finsko</c:v>
                </c:pt>
                <c:pt idx="26">
                  <c:v>Německo</c:v>
                </c:pt>
                <c:pt idx="27">
                  <c:v>Itálie</c:v>
                </c:pt>
              </c:strCache>
            </c:strRef>
          </c:cat>
          <c:val>
            <c:numRef>
              <c:f>'[nama_10_gdp-1.xls]Data'!$K$11:$K$38</c:f>
              <c:numCache>
                <c:formatCode>#\ ##0.0</c:formatCode>
                <c:ptCount val="28"/>
                <c:pt idx="0">
                  <c:v>5.6</c:v>
                </c:pt>
                <c:pt idx="1">
                  <c:v>4.9000000000000004</c:v>
                </c:pt>
                <c:pt idx="2">
                  <c:v>4.7</c:v>
                </c:pt>
                <c:pt idx="3">
                  <c:v>4.3</c:v>
                </c:pt>
                <c:pt idx="4">
                  <c:v>4.0999999999999996</c:v>
                </c:pt>
                <c:pt idx="5">
                  <c:v>4.0999999999999996</c:v>
                </c:pt>
                <c:pt idx="6">
                  <c:v>3.9</c:v>
                </c:pt>
                <c:pt idx="7">
                  <c:v>3.4</c:v>
                </c:pt>
                <c:pt idx="8">
                  <c:v>3.2</c:v>
                </c:pt>
                <c:pt idx="9">
                  <c:v>2.9</c:v>
                </c:pt>
                <c:pt idx="10">
                  <c:v>2.4</c:v>
                </c:pt>
                <c:pt idx="11">
                  <c:v>2.4</c:v>
                </c:pt>
                <c:pt idx="12">
                  <c:v>2.2999999999999998</c:v>
                </c:pt>
                <c:pt idx="13">
                  <c:v>2.2999999999999998</c:v>
                </c:pt>
                <c:pt idx="14">
                  <c:v>2.2999999999999998</c:v>
                </c:pt>
                <c:pt idx="15">
                  <c:v>2.2000000000000002</c:v>
                </c:pt>
                <c:pt idx="16">
                  <c:v>2.2000000000000002</c:v>
                </c:pt>
                <c:pt idx="17">
                  <c:v>2</c:v>
                </c:pt>
                <c:pt idx="18">
                  <c:v>1.9</c:v>
                </c:pt>
                <c:pt idx="19">
                  <c:v>1.7</c:v>
                </c:pt>
                <c:pt idx="20">
                  <c:v>1.6</c:v>
                </c:pt>
                <c:pt idx="21">
                  <c:v>1.5</c:v>
                </c:pt>
                <c:pt idx="22">
                  <c:v>1.5</c:v>
                </c:pt>
                <c:pt idx="23">
                  <c:v>1.4</c:v>
                </c:pt>
                <c:pt idx="24">
                  <c:v>1.2</c:v>
                </c:pt>
                <c:pt idx="25">
                  <c:v>1.1000000000000001</c:v>
                </c:pt>
                <c:pt idx="26">
                  <c:v>0.6</c:v>
                </c:pt>
                <c:pt idx="27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EC8A-4267-9AA3-E27D983887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9"/>
        <c:overlap val="-27"/>
        <c:axId val="2010630047"/>
        <c:axId val="2010631295"/>
      </c:barChart>
      <c:catAx>
        <c:axId val="201063004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2010631295"/>
        <c:crosses val="autoZero"/>
        <c:auto val="1"/>
        <c:lblAlgn val="ctr"/>
        <c:lblOffset val="100"/>
        <c:noMultiLvlLbl val="0"/>
      </c:catAx>
      <c:valAx>
        <c:axId val="201063129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r>
                  <a:rPr lang="en-US"/>
                  <a:t>Meziroční přírůstek HDP (%)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ysClr val="windowText" lastClr="000000"/>
                  </a:solidFill>
                  <a:latin typeface="Arial" panose="020B0604020202020204" pitchFamily="34" charset="0"/>
                  <a:ea typeface="+mn-ea"/>
                  <a:cs typeface="+mn-cs"/>
                </a:defRPr>
              </a:pPr>
              <a:endParaRPr lang="cs-CZ"/>
            </a:p>
          </c:txPr>
        </c:title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cs-CZ"/>
          </a:p>
        </c:txPr>
        <c:crossAx val="201063004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Arial" panose="020B0604020202020204" pitchFamily="34" charset="0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aseline="0">
          <a:solidFill>
            <a:sysClr val="windowText" lastClr="000000"/>
          </a:solidFill>
          <a:latin typeface="Arial" panose="020B0604020202020204" pitchFamily="34" charset="0"/>
        </a:defRPr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C9A7B-F21B-4A68-8B3C-F6BBB2CE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Anaýza ekonomického vývoje v roce 2017.dotx</Template>
  <TotalTime>2</TotalTime>
  <Pages>3</Pages>
  <Words>913</Words>
  <Characters>5392</Characters>
  <Application>Microsoft Office Word</Application>
  <DocSecurity>0</DocSecurity>
  <Lines>44</Lines>
  <Paragraphs>12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10" baseType="lpstr">
      <vt:lpstr/>
      <vt:lpstr/>
      <vt:lpstr>Styl: Nadpis 1</vt:lpstr>
      <vt:lpstr>    Styl: Nadpis 2</vt:lpstr>
      <vt:lpstr>        Styl: Nadpis 3</vt:lpstr>
      <vt:lpstr>        Styl: Nadpis 3</vt:lpstr>
      <vt:lpstr>    Styl: Nadpis 2</vt:lpstr>
      <vt:lpstr>        Styl: Nadpis 3</vt:lpstr>
      <vt:lpstr>    Styl: Nadpis 2</vt:lpstr>
      <vt:lpstr>        Styl: Nadpis 3</vt:lpstr>
    </vt:vector>
  </TitlesOfParts>
  <Company>CSU</Company>
  <LinksUpToDate>false</LinksUpToDate>
  <CharactersWithSpaces>6293</CharactersWithSpaces>
  <SharedDoc>false</SharedDoc>
  <HLinks>
    <vt:vector size="18" baseType="variant">
      <vt:variant>
        <vt:i4>7602181</vt:i4>
      </vt:variant>
      <vt:variant>
        <vt:i4>11092</vt:i4>
      </vt:variant>
      <vt:variant>
        <vt:i4>1025</vt:i4>
      </vt:variant>
      <vt:variant>
        <vt:i4>1</vt:i4>
      </vt:variant>
      <vt:variant>
        <vt:lpwstr>msoFAAF</vt:lpwstr>
      </vt:variant>
      <vt:variant>
        <vt:lpwstr/>
      </vt:variant>
      <vt:variant>
        <vt:i4>7995509</vt:i4>
      </vt:variant>
      <vt:variant>
        <vt:i4>-1</vt:i4>
      </vt:variant>
      <vt:variant>
        <vt:i4>2058</vt:i4>
      </vt:variant>
      <vt:variant>
        <vt:i4>1</vt:i4>
      </vt:variant>
      <vt:variant>
        <vt:lpwstr>CSU RGB CZ logo-02</vt:lpwstr>
      </vt:variant>
      <vt:variant>
        <vt:lpwstr/>
      </vt:variant>
      <vt:variant>
        <vt:i4>7929973</vt:i4>
      </vt:variant>
      <vt:variant>
        <vt:i4>-1</vt:i4>
      </vt:variant>
      <vt:variant>
        <vt:i4>2059</vt:i4>
      </vt:variant>
      <vt:variant>
        <vt:i4>1</vt:i4>
      </vt:variant>
      <vt:variant>
        <vt:lpwstr>CSU RGB CZ logo-01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Karolína Súkupová</dc:creator>
  <cp:lastModifiedBy>Mgr. Karolína Zábojníková</cp:lastModifiedBy>
  <cp:revision>3</cp:revision>
  <cp:lastPrinted>2019-09-12T09:26:00Z</cp:lastPrinted>
  <dcterms:created xsi:type="dcterms:W3CDTF">2020-08-10T06:56:00Z</dcterms:created>
  <dcterms:modified xsi:type="dcterms:W3CDTF">2020-08-17T07:28:00Z</dcterms:modified>
</cp:coreProperties>
</file>