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9B" w:rsidRPr="00BF6A9B" w:rsidRDefault="00BF6A9B" w:rsidP="00E5404B">
      <w:pPr>
        <w:pStyle w:val="Podnadpis"/>
        <w:rPr>
          <w:i/>
          <w:szCs w:val="28"/>
          <w:lang w:val="en-GB"/>
        </w:rPr>
      </w:pPr>
      <w:r w:rsidRPr="00BF6A9B">
        <w:rPr>
          <w:i/>
          <w:szCs w:val="28"/>
          <w:lang w:val="en-GB"/>
        </w:rPr>
        <w:t>Commentary</w:t>
      </w:r>
    </w:p>
    <w:p w:rsidR="00BF6A9B" w:rsidRDefault="00BF6A9B" w:rsidP="00E5404B">
      <w:pPr>
        <w:pStyle w:val="Podnadpis"/>
        <w:rPr>
          <w:i/>
          <w:sz w:val="24"/>
          <w:lang w:val="en-GB"/>
        </w:rPr>
      </w:pPr>
    </w:p>
    <w:p w:rsidR="00444B23" w:rsidRPr="00BF6A9B" w:rsidRDefault="00E95D26" w:rsidP="00E5404B">
      <w:pPr>
        <w:pStyle w:val="Podnadpis"/>
        <w:rPr>
          <w:i/>
          <w:sz w:val="24"/>
          <w:lang w:val="en-GB"/>
        </w:rPr>
      </w:pPr>
      <w:r w:rsidRPr="00BF6A9B">
        <w:rPr>
          <w:i/>
          <w:sz w:val="24"/>
          <w:lang w:val="en-GB"/>
        </w:rPr>
        <w:t xml:space="preserve">Trend in </w:t>
      </w:r>
      <w:r w:rsidR="007D1D02">
        <w:rPr>
          <w:i/>
          <w:sz w:val="24"/>
          <w:lang w:val="en-GB"/>
        </w:rPr>
        <w:t>June</w:t>
      </w:r>
      <w:r w:rsidR="00882620">
        <w:rPr>
          <w:i/>
          <w:sz w:val="24"/>
          <w:lang w:val="en-GB"/>
        </w:rPr>
        <w:t xml:space="preserve"> 2018</w:t>
      </w:r>
    </w:p>
    <w:p w:rsidR="00C77C3B" w:rsidRPr="00B06447" w:rsidRDefault="00C77C3B" w:rsidP="00C77C3B">
      <w:pPr>
        <w:rPr>
          <w:i/>
          <w:lang w:val="en-GB"/>
        </w:rPr>
      </w:pPr>
    </w:p>
    <w:p w:rsidR="00444B23" w:rsidRPr="00BF6A9B" w:rsidRDefault="00444B23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BF6A9B">
        <w:rPr>
          <w:rFonts w:cs="Arial"/>
          <w:b/>
          <w:bCs/>
          <w:i/>
          <w:szCs w:val="20"/>
          <w:lang w:val="en-GB"/>
        </w:rPr>
        <w:t xml:space="preserve">Month-on-month </w:t>
      </w:r>
      <w:r w:rsidR="00BF6A9B">
        <w:rPr>
          <w:rFonts w:cs="Arial"/>
          <w:b/>
          <w:bCs/>
          <w:i/>
          <w:szCs w:val="20"/>
          <w:lang w:val="en-GB"/>
        </w:rPr>
        <w:t>comparison</w:t>
      </w:r>
    </w:p>
    <w:p w:rsidR="004511A1" w:rsidRPr="004511A1" w:rsidRDefault="004511A1" w:rsidP="004511A1">
      <w:pPr>
        <w:pStyle w:val="Odstavecseseznamem"/>
        <w:numPr>
          <w:ilvl w:val="0"/>
          <w:numId w:val="41"/>
        </w:numPr>
        <w:jc w:val="both"/>
        <w:rPr>
          <w:lang w:val="en-GB"/>
        </w:rPr>
      </w:pPr>
      <w:r w:rsidRPr="004511A1">
        <w:rPr>
          <w:b/>
          <w:lang w:val="en-GB"/>
        </w:rPr>
        <w:t>Exports:</w:t>
      </w:r>
      <w:r w:rsidRPr="004511A1">
        <w:rPr>
          <w:lang w:val="en-GB"/>
        </w:rPr>
        <w:t xml:space="preserve"> export prices have increased by 0.8% in June (+1.3% in May). The change of the total m-o-m export price index was led mainly by a 0.7% price growth in ‘machinery and transport equipment’. Prices in ‘mineral fuels, lubricants, and related products’ reached 4.8% (especially electricity), ‘chemicals and related products’ (+1.5%) and ‘manufactu</w:t>
      </w:r>
      <w:r w:rsidR="00292F21">
        <w:rPr>
          <w:lang w:val="en-GB"/>
        </w:rPr>
        <w:t>red goods classified chiefly by </w:t>
      </w:r>
      <w:r w:rsidRPr="004511A1">
        <w:rPr>
          <w:lang w:val="en-GB"/>
        </w:rPr>
        <w:t xml:space="preserve">material’ (+0.7%). No price drop was recorded in any of the observed groups. </w:t>
      </w:r>
    </w:p>
    <w:p w:rsidR="004511A1" w:rsidRPr="004511A1" w:rsidRDefault="004511A1" w:rsidP="004511A1">
      <w:pPr>
        <w:pStyle w:val="Odstavecseseznamem"/>
        <w:ind w:left="720"/>
        <w:jc w:val="both"/>
        <w:rPr>
          <w:lang w:val="en-GB"/>
        </w:rPr>
      </w:pPr>
    </w:p>
    <w:p w:rsidR="004511A1" w:rsidRPr="004511A1" w:rsidRDefault="004511A1" w:rsidP="004511A1">
      <w:pPr>
        <w:pStyle w:val="Odstavecseseznamem"/>
        <w:numPr>
          <w:ilvl w:val="0"/>
          <w:numId w:val="41"/>
        </w:numPr>
        <w:jc w:val="both"/>
        <w:rPr>
          <w:lang w:val="en-GB"/>
        </w:rPr>
      </w:pPr>
      <w:r w:rsidRPr="004511A1">
        <w:rPr>
          <w:b/>
          <w:lang w:val="en-GB"/>
        </w:rPr>
        <w:t>Imports:</w:t>
      </w:r>
      <w:r w:rsidRPr="004511A1">
        <w:rPr>
          <w:lang w:val="en-GB"/>
        </w:rPr>
        <w:t xml:space="preserve"> import prices advanced 1.3% in June (+1.7% in May). The change of the total m-o-m import price index was led mainly by a 1.1% price growth in ‘machinery and transport equipment’. Prices increased in ‘mineral fuels, lubricants, and related products’ (+3.7%), ‘chemicals and related products’ (+1.1%), and ‘manufactured goods classified chiefly by </w:t>
      </w:r>
      <w:r w:rsidR="00292F21">
        <w:rPr>
          <w:lang w:val="en-GB"/>
        </w:rPr>
        <w:t>material’ (+0.8%). There was no </w:t>
      </w:r>
      <w:r w:rsidRPr="004511A1">
        <w:rPr>
          <w:lang w:val="en-GB"/>
        </w:rPr>
        <w:t>price drop recorded in any of the observed groups.</w:t>
      </w:r>
    </w:p>
    <w:p w:rsidR="004511A1" w:rsidRPr="004511A1" w:rsidRDefault="004511A1" w:rsidP="004511A1">
      <w:pPr>
        <w:pStyle w:val="Odstavecseseznamem"/>
        <w:ind w:left="720"/>
        <w:jc w:val="both"/>
        <w:rPr>
          <w:lang w:val="en-GB"/>
        </w:rPr>
      </w:pPr>
    </w:p>
    <w:p w:rsidR="004511A1" w:rsidRPr="004511A1" w:rsidRDefault="004511A1" w:rsidP="004511A1">
      <w:pPr>
        <w:pStyle w:val="Odstavecseseznamem"/>
        <w:numPr>
          <w:ilvl w:val="0"/>
          <w:numId w:val="41"/>
        </w:numPr>
        <w:jc w:val="both"/>
        <w:rPr>
          <w:lang w:val="en-GB"/>
        </w:rPr>
      </w:pPr>
      <w:r w:rsidRPr="004511A1">
        <w:rPr>
          <w:lang w:val="en-GB"/>
        </w:rPr>
        <w:t xml:space="preserve">The </w:t>
      </w:r>
      <w:r w:rsidRPr="004511A1">
        <w:rPr>
          <w:b/>
          <w:lang w:val="en-GB"/>
        </w:rPr>
        <w:t>terms of trade</w:t>
      </w:r>
      <w:r w:rsidRPr="004511A1">
        <w:rPr>
          <w:lang w:val="en-GB"/>
        </w:rPr>
        <w:t xml:space="preserve"> decreased to the value of 99.5% (99.6% in May). Negative values were reached in ‘machinery and transport equipment’ (99.6%) and ‘miscellaneous manufactured articles’ (99.7%). Positive values of terms of trade were reached by prices </w:t>
      </w:r>
      <w:r w:rsidR="00292F21">
        <w:rPr>
          <w:lang w:val="en-GB"/>
        </w:rPr>
        <w:t>‘mineral fuels, lubricants, and </w:t>
      </w:r>
      <w:r w:rsidRPr="004511A1">
        <w:rPr>
          <w:lang w:val="en-GB"/>
        </w:rPr>
        <w:t xml:space="preserve">related products’ (101.1%) and ‘chemicals and related products’ (100.4%). </w:t>
      </w:r>
    </w:p>
    <w:p w:rsidR="008C2670" w:rsidRPr="004511A1" w:rsidRDefault="008C2670" w:rsidP="004511A1">
      <w:pPr>
        <w:pStyle w:val="Odstavecseseznamem"/>
        <w:ind w:left="720"/>
        <w:jc w:val="both"/>
        <w:rPr>
          <w:i/>
          <w:lang w:val="en-GB"/>
        </w:rPr>
      </w:pPr>
    </w:p>
    <w:p w:rsidR="00360984" w:rsidRPr="004511A1" w:rsidRDefault="00360984" w:rsidP="008C2670">
      <w:pPr>
        <w:pStyle w:val="Zkladntext"/>
        <w:spacing w:line="276" w:lineRule="auto"/>
        <w:ind w:left="720"/>
        <w:jc w:val="both"/>
        <w:rPr>
          <w:rFonts w:cs="Arial"/>
          <w:b/>
          <w:bCs/>
          <w:i/>
          <w:szCs w:val="20"/>
          <w:lang w:val="en-GB"/>
        </w:rPr>
      </w:pPr>
    </w:p>
    <w:p w:rsidR="00444B23" w:rsidRPr="004511A1" w:rsidRDefault="00BF6A9B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4511A1">
        <w:rPr>
          <w:rFonts w:cs="Arial"/>
          <w:b/>
          <w:bCs/>
          <w:i/>
          <w:szCs w:val="20"/>
          <w:lang w:val="en-GB"/>
        </w:rPr>
        <w:t>Year-on-year comparison</w:t>
      </w:r>
    </w:p>
    <w:p w:rsidR="004511A1" w:rsidRPr="004511A1" w:rsidRDefault="004511A1" w:rsidP="004511A1">
      <w:pPr>
        <w:pStyle w:val="Odstavecseseznamem"/>
        <w:numPr>
          <w:ilvl w:val="0"/>
          <w:numId w:val="43"/>
        </w:numPr>
        <w:jc w:val="both"/>
        <w:rPr>
          <w:lang w:val="en-GB"/>
        </w:rPr>
      </w:pPr>
      <w:r w:rsidRPr="004511A1">
        <w:rPr>
          <w:b/>
          <w:lang w:val="en-GB"/>
        </w:rPr>
        <w:t>Exports:</w:t>
      </w:r>
      <w:r w:rsidRPr="004511A1">
        <w:rPr>
          <w:lang w:val="en-GB"/>
        </w:rPr>
        <w:t xml:space="preserve"> export prices grew by 0.5% (-1.5% in May). A significant e</w:t>
      </w:r>
      <w:r w:rsidR="00292F21">
        <w:rPr>
          <w:lang w:val="en-GB"/>
        </w:rPr>
        <w:t>ffect on the development of the </w:t>
      </w:r>
      <w:r w:rsidRPr="004511A1">
        <w:rPr>
          <w:lang w:val="en-GB"/>
        </w:rPr>
        <w:t xml:space="preserve">y-o-y export price index was the increase in the prices of ‘manufactured goods classified chiefly by material’ (3.3%). Prices increased in ‘mineral fuels, lubricants, and related products’ (+16.3%) (especially petroleum products) and ‘chemicals and related products’ (0.7%). Prices fell in ‘miscellaneous manufactured articles’ (-2.2%) and ‘machinery and transport equipment’ </w:t>
      </w:r>
      <w:r w:rsidRPr="004511A1">
        <w:rPr>
          <w:lang w:val="en-GB"/>
        </w:rPr>
        <w:br/>
        <w:t>(-0.6%).</w:t>
      </w:r>
    </w:p>
    <w:p w:rsidR="004511A1" w:rsidRPr="004511A1" w:rsidRDefault="004511A1" w:rsidP="004511A1">
      <w:pPr>
        <w:jc w:val="both"/>
        <w:rPr>
          <w:lang w:val="en-GB"/>
        </w:rPr>
      </w:pPr>
    </w:p>
    <w:p w:rsidR="004511A1" w:rsidRPr="004511A1" w:rsidRDefault="004511A1" w:rsidP="004511A1">
      <w:pPr>
        <w:pStyle w:val="Odstavecseseznamem"/>
        <w:numPr>
          <w:ilvl w:val="0"/>
          <w:numId w:val="43"/>
        </w:numPr>
        <w:jc w:val="both"/>
        <w:rPr>
          <w:lang w:val="en-GB"/>
        </w:rPr>
      </w:pPr>
      <w:r w:rsidRPr="004511A1">
        <w:rPr>
          <w:b/>
          <w:lang w:val="en-GB"/>
        </w:rPr>
        <w:t>Imports:</w:t>
      </w:r>
      <w:r w:rsidRPr="004511A1">
        <w:rPr>
          <w:lang w:val="en-GB"/>
        </w:rPr>
        <w:t xml:space="preserve"> import prices increased by 0.7% after a 2.3% decline in May. The growth of the total annual import price index was primarily driven by a 28.2% rise in </w:t>
      </w:r>
      <w:r w:rsidR="00292F21">
        <w:rPr>
          <w:lang w:val="en-GB"/>
        </w:rPr>
        <w:t>‘mineral fuels, lubricants, and </w:t>
      </w:r>
      <w:bookmarkStart w:id="0" w:name="_GoBack"/>
      <w:bookmarkEnd w:id="0"/>
      <w:r w:rsidRPr="004511A1">
        <w:rPr>
          <w:lang w:val="en-GB"/>
        </w:rPr>
        <w:t>related products’ (primarily petroleum and petroleum products). Prices increased in ‘manufactured goods classified chiefly by material’ (+1.5%), and ‘chemicals and related products’ (+0.9%). Prices fell in ‘crude materials, inedible, except fuels’ (-10.0%) (especially crude rubber), ‘food and live animals’ (-6.0%) and ‘machinery and transport equipment‘ (-2.0%).</w:t>
      </w:r>
    </w:p>
    <w:p w:rsidR="004511A1" w:rsidRPr="004511A1" w:rsidRDefault="004511A1" w:rsidP="004511A1">
      <w:pPr>
        <w:jc w:val="both"/>
        <w:rPr>
          <w:lang w:val="en-GB"/>
        </w:rPr>
      </w:pPr>
    </w:p>
    <w:p w:rsidR="00360984" w:rsidRPr="004511A1" w:rsidRDefault="004511A1" w:rsidP="004511A1">
      <w:pPr>
        <w:pStyle w:val="Odstavecseseznamem"/>
        <w:numPr>
          <w:ilvl w:val="0"/>
          <w:numId w:val="43"/>
        </w:numPr>
        <w:jc w:val="both"/>
        <w:rPr>
          <w:lang w:val="en-GB"/>
        </w:rPr>
      </w:pPr>
      <w:r w:rsidRPr="004511A1">
        <w:rPr>
          <w:lang w:val="en-GB"/>
        </w:rPr>
        <w:t xml:space="preserve">The </w:t>
      </w:r>
      <w:r w:rsidRPr="004511A1">
        <w:rPr>
          <w:b/>
          <w:lang w:val="en-GB"/>
        </w:rPr>
        <w:t>terms of trade</w:t>
      </w:r>
      <w:r w:rsidRPr="004511A1">
        <w:rPr>
          <w:lang w:val="en-GB"/>
        </w:rPr>
        <w:t xml:space="preserve"> figures decreased to the value of 99.8% (100.8% in May) and </w:t>
      </w:r>
      <w:r w:rsidRPr="004511A1">
        <w:rPr>
          <w:rStyle w:val="shorttext"/>
          <w:lang w:val="en-GB"/>
        </w:rPr>
        <w:t>after eight months they went to negative values</w:t>
      </w:r>
      <w:r w:rsidRPr="004511A1">
        <w:rPr>
          <w:lang w:val="en-GB"/>
        </w:rPr>
        <w:t>. Negative values were reached by prices of ‘mineral fuels, lubricants, and related products‘ (90.7%) and ‘chemicals and related products’ (99.8%). Positive values were reached by ‘manufactured goods classified chiefly by material’ (101.8%), ‘machinery and transport equipment‘ (101.4%) and ‘miscellaneous manufactured articles’ (100,5%).</w:t>
      </w:r>
    </w:p>
    <w:sectPr w:rsidR="00360984" w:rsidRPr="004511A1" w:rsidSect="00B06447">
      <w:footerReference w:type="even" r:id="rId8"/>
      <w:pgSz w:w="11906" w:h="16838" w:code="9"/>
      <w:pgMar w:top="1588" w:right="1418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4E" w:rsidRDefault="0014524E" w:rsidP="00E71A58">
      <w:r>
        <w:separator/>
      </w:r>
    </w:p>
  </w:endnote>
  <w:endnote w:type="continuationSeparator" w:id="0">
    <w:p w:rsidR="0014524E" w:rsidRDefault="0014524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4E" w:rsidRDefault="0014524E" w:rsidP="00E71A58">
      <w:r>
        <w:separator/>
      </w:r>
    </w:p>
  </w:footnote>
  <w:footnote w:type="continuationSeparator" w:id="0">
    <w:p w:rsidR="0014524E" w:rsidRDefault="0014524E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0999"/>
    <w:multiLevelType w:val="hybridMultilevel"/>
    <w:tmpl w:val="C52A974A"/>
    <w:lvl w:ilvl="0" w:tplc="3CD62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1D5B"/>
    <w:multiLevelType w:val="hybridMultilevel"/>
    <w:tmpl w:val="BC4AD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711C9"/>
    <w:multiLevelType w:val="hybridMultilevel"/>
    <w:tmpl w:val="8F82F0F4"/>
    <w:lvl w:ilvl="0" w:tplc="3EB40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929E8"/>
    <w:multiLevelType w:val="hybridMultilevel"/>
    <w:tmpl w:val="B9209342"/>
    <w:lvl w:ilvl="0" w:tplc="F182D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81049"/>
    <w:multiLevelType w:val="hybridMultilevel"/>
    <w:tmpl w:val="8E8E6BEC"/>
    <w:lvl w:ilvl="0" w:tplc="66EE2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15C1B"/>
    <w:multiLevelType w:val="hybridMultilevel"/>
    <w:tmpl w:val="EB2229D8"/>
    <w:lvl w:ilvl="0" w:tplc="A9A82B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138C7"/>
    <w:multiLevelType w:val="hybridMultilevel"/>
    <w:tmpl w:val="8EF247B2"/>
    <w:lvl w:ilvl="0" w:tplc="7958A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66B9"/>
    <w:multiLevelType w:val="hybridMultilevel"/>
    <w:tmpl w:val="32FC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D70E3"/>
    <w:multiLevelType w:val="hybridMultilevel"/>
    <w:tmpl w:val="876E291C"/>
    <w:lvl w:ilvl="0" w:tplc="ED0ED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C7434"/>
    <w:multiLevelType w:val="hybridMultilevel"/>
    <w:tmpl w:val="7E9A4CB8"/>
    <w:lvl w:ilvl="0" w:tplc="7598B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F3769"/>
    <w:multiLevelType w:val="hybridMultilevel"/>
    <w:tmpl w:val="92A07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151A7"/>
    <w:multiLevelType w:val="hybridMultilevel"/>
    <w:tmpl w:val="B1F21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F4BF3"/>
    <w:multiLevelType w:val="hybridMultilevel"/>
    <w:tmpl w:val="B2BC670C"/>
    <w:lvl w:ilvl="0" w:tplc="C248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D73BE"/>
    <w:multiLevelType w:val="hybridMultilevel"/>
    <w:tmpl w:val="0A329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07DC0"/>
    <w:multiLevelType w:val="hybridMultilevel"/>
    <w:tmpl w:val="E0969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719C1"/>
    <w:multiLevelType w:val="hybridMultilevel"/>
    <w:tmpl w:val="F85EC9C8"/>
    <w:lvl w:ilvl="0" w:tplc="EA44D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30F3C"/>
    <w:multiLevelType w:val="hybridMultilevel"/>
    <w:tmpl w:val="759C514C"/>
    <w:lvl w:ilvl="0" w:tplc="6966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46887"/>
    <w:multiLevelType w:val="hybridMultilevel"/>
    <w:tmpl w:val="B120986E"/>
    <w:lvl w:ilvl="0" w:tplc="9BCC9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B3053"/>
    <w:multiLevelType w:val="hybridMultilevel"/>
    <w:tmpl w:val="16CAC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505BA"/>
    <w:multiLevelType w:val="hybridMultilevel"/>
    <w:tmpl w:val="1BCE0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43262"/>
    <w:multiLevelType w:val="hybridMultilevel"/>
    <w:tmpl w:val="31E47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B45C3"/>
    <w:multiLevelType w:val="hybridMultilevel"/>
    <w:tmpl w:val="F44233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FDD1483"/>
    <w:multiLevelType w:val="hybridMultilevel"/>
    <w:tmpl w:val="E4AC2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1233A"/>
    <w:multiLevelType w:val="hybridMultilevel"/>
    <w:tmpl w:val="D542F4F0"/>
    <w:lvl w:ilvl="0" w:tplc="884E88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22473"/>
    <w:multiLevelType w:val="hybridMultilevel"/>
    <w:tmpl w:val="8DB49804"/>
    <w:lvl w:ilvl="0" w:tplc="9B8CD8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E4A7B30"/>
    <w:multiLevelType w:val="hybridMultilevel"/>
    <w:tmpl w:val="77744190"/>
    <w:lvl w:ilvl="0" w:tplc="6DF4C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22CC5"/>
    <w:multiLevelType w:val="hybridMultilevel"/>
    <w:tmpl w:val="780AA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2540B"/>
    <w:multiLevelType w:val="hybridMultilevel"/>
    <w:tmpl w:val="AA644520"/>
    <w:lvl w:ilvl="0" w:tplc="4CD60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364A6"/>
    <w:multiLevelType w:val="hybridMultilevel"/>
    <w:tmpl w:val="240E7072"/>
    <w:lvl w:ilvl="0" w:tplc="467C5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77DAC"/>
    <w:multiLevelType w:val="hybridMultilevel"/>
    <w:tmpl w:val="57F83700"/>
    <w:lvl w:ilvl="0" w:tplc="F26E0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F6F8E"/>
    <w:multiLevelType w:val="hybridMultilevel"/>
    <w:tmpl w:val="73563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A77F2"/>
    <w:multiLevelType w:val="hybridMultilevel"/>
    <w:tmpl w:val="7D84B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C334F"/>
    <w:multiLevelType w:val="hybridMultilevel"/>
    <w:tmpl w:val="99783C1A"/>
    <w:lvl w:ilvl="0" w:tplc="EAE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91CC5"/>
    <w:multiLevelType w:val="hybridMultilevel"/>
    <w:tmpl w:val="B7B4219A"/>
    <w:lvl w:ilvl="0" w:tplc="60028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3225D"/>
    <w:multiLevelType w:val="hybridMultilevel"/>
    <w:tmpl w:val="FA80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84372"/>
    <w:multiLevelType w:val="hybridMultilevel"/>
    <w:tmpl w:val="41467B38"/>
    <w:lvl w:ilvl="0" w:tplc="57FE3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0"/>
  </w:num>
  <w:num w:numId="4">
    <w:abstractNumId w:val="14"/>
  </w:num>
  <w:num w:numId="5">
    <w:abstractNumId w:val="26"/>
  </w:num>
  <w:num w:numId="6">
    <w:abstractNumId w:val="23"/>
  </w:num>
  <w:num w:numId="7">
    <w:abstractNumId w:val="7"/>
  </w:num>
  <w:num w:numId="8">
    <w:abstractNumId w:val="18"/>
  </w:num>
  <w:num w:numId="9">
    <w:abstractNumId w:val="5"/>
  </w:num>
  <w:num w:numId="10">
    <w:abstractNumId w:val="20"/>
  </w:num>
  <w:num w:numId="11">
    <w:abstractNumId w:val="19"/>
  </w:num>
  <w:num w:numId="12">
    <w:abstractNumId w:val="4"/>
  </w:num>
  <w:num w:numId="13">
    <w:abstractNumId w:val="39"/>
  </w:num>
  <w:num w:numId="14">
    <w:abstractNumId w:val="30"/>
  </w:num>
  <w:num w:numId="15">
    <w:abstractNumId w:val="11"/>
  </w:num>
  <w:num w:numId="16">
    <w:abstractNumId w:val="34"/>
  </w:num>
  <w:num w:numId="17">
    <w:abstractNumId w:val="33"/>
  </w:num>
  <w:num w:numId="18">
    <w:abstractNumId w:val="8"/>
  </w:num>
  <w:num w:numId="19">
    <w:abstractNumId w:val="42"/>
  </w:num>
  <w:num w:numId="20">
    <w:abstractNumId w:val="3"/>
  </w:num>
  <w:num w:numId="21">
    <w:abstractNumId w:val="35"/>
  </w:num>
  <w:num w:numId="22">
    <w:abstractNumId w:val="6"/>
  </w:num>
  <w:num w:numId="23">
    <w:abstractNumId w:val="10"/>
  </w:num>
  <w:num w:numId="24">
    <w:abstractNumId w:val="31"/>
  </w:num>
  <w:num w:numId="25">
    <w:abstractNumId w:val="40"/>
  </w:num>
  <w:num w:numId="26">
    <w:abstractNumId w:val="1"/>
  </w:num>
  <w:num w:numId="27">
    <w:abstractNumId w:val="29"/>
  </w:num>
  <w:num w:numId="28">
    <w:abstractNumId w:val="15"/>
  </w:num>
  <w:num w:numId="29">
    <w:abstractNumId w:val="32"/>
  </w:num>
  <w:num w:numId="30">
    <w:abstractNumId w:val="27"/>
  </w:num>
  <w:num w:numId="31">
    <w:abstractNumId w:val="38"/>
  </w:num>
  <w:num w:numId="32">
    <w:abstractNumId w:val="16"/>
  </w:num>
  <w:num w:numId="33">
    <w:abstractNumId w:val="22"/>
  </w:num>
  <w:num w:numId="34">
    <w:abstractNumId w:val="41"/>
  </w:num>
  <w:num w:numId="35">
    <w:abstractNumId w:val="13"/>
  </w:num>
  <w:num w:numId="36">
    <w:abstractNumId w:val="21"/>
  </w:num>
  <w:num w:numId="37">
    <w:abstractNumId w:val="37"/>
  </w:num>
  <w:num w:numId="38">
    <w:abstractNumId w:val="17"/>
  </w:num>
  <w:num w:numId="39">
    <w:abstractNumId w:val="12"/>
  </w:num>
  <w:num w:numId="40">
    <w:abstractNumId w:val="9"/>
  </w:num>
  <w:num w:numId="41">
    <w:abstractNumId w:val="28"/>
  </w:num>
  <w:num w:numId="42">
    <w:abstractNumId w:val="25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71"/>
    <w:rsid w:val="00005B4A"/>
    <w:rsid w:val="0000767A"/>
    <w:rsid w:val="00010702"/>
    <w:rsid w:val="00017605"/>
    <w:rsid w:val="00023670"/>
    <w:rsid w:val="0004694F"/>
    <w:rsid w:val="00055AA1"/>
    <w:rsid w:val="00062EC5"/>
    <w:rsid w:val="00074C2F"/>
    <w:rsid w:val="00075728"/>
    <w:rsid w:val="000800B2"/>
    <w:rsid w:val="00087634"/>
    <w:rsid w:val="00090FFD"/>
    <w:rsid w:val="000922B9"/>
    <w:rsid w:val="000A1183"/>
    <w:rsid w:val="000C3408"/>
    <w:rsid w:val="000E0151"/>
    <w:rsid w:val="000E2E54"/>
    <w:rsid w:val="000E40A2"/>
    <w:rsid w:val="000F1899"/>
    <w:rsid w:val="000F51EA"/>
    <w:rsid w:val="001039FD"/>
    <w:rsid w:val="00135855"/>
    <w:rsid w:val="001405FA"/>
    <w:rsid w:val="00141015"/>
    <w:rsid w:val="0014258C"/>
    <w:rsid w:val="001425C3"/>
    <w:rsid w:val="0014524E"/>
    <w:rsid w:val="00145C6E"/>
    <w:rsid w:val="00150FBB"/>
    <w:rsid w:val="00163793"/>
    <w:rsid w:val="001714F2"/>
    <w:rsid w:val="00185010"/>
    <w:rsid w:val="001851AD"/>
    <w:rsid w:val="001A077B"/>
    <w:rsid w:val="001A552F"/>
    <w:rsid w:val="001B038F"/>
    <w:rsid w:val="001B3110"/>
    <w:rsid w:val="001F4597"/>
    <w:rsid w:val="001F773B"/>
    <w:rsid w:val="00207816"/>
    <w:rsid w:val="002139B4"/>
    <w:rsid w:val="002141DD"/>
    <w:rsid w:val="00217FC5"/>
    <w:rsid w:val="0022139E"/>
    <w:rsid w:val="002252E0"/>
    <w:rsid w:val="002255F6"/>
    <w:rsid w:val="002344E4"/>
    <w:rsid w:val="00236443"/>
    <w:rsid w:val="002436BA"/>
    <w:rsid w:val="00244A15"/>
    <w:rsid w:val="0024799E"/>
    <w:rsid w:val="0025177A"/>
    <w:rsid w:val="00254E33"/>
    <w:rsid w:val="00263815"/>
    <w:rsid w:val="002654AD"/>
    <w:rsid w:val="002765B6"/>
    <w:rsid w:val="00292F21"/>
    <w:rsid w:val="002A230C"/>
    <w:rsid w:val="002C43BD"/>
    <w:rsid w:val="002D2FA2"/>
    <w:rsid w:val="002D3333"/>
    <w:rsid w:val="002D7470"/>
    <w:rsid w:val="002E02A1"/>
    <w:rsid w:val="002E4E4C"/>
    <w:rsid w:val="002E53C9"/>
    <w:rsid w:val="002E68F2"/>
    <w:rsid w:val="002F22DD"/>
    <w:rsid w:val="002F759F"/>
    <w:rsid w:val="003013D1"/>
    <w:rsid w:val="0030378D"/>
    <w:rsid w:val="00304771"/>
    <w:rsid w:val="00306C5B"/>
    <w:rsid w:val="003209D6"/>
    <w:rsid w:val="00327BAF"/>
    <w:rsid w:val="003330AF"/>
    <w:rsid w:val="00347023"/>
    <w:rsid w:val="0034765E"/>
    <w:rsid w:val="00360984"/>
    <w:rsid w:val="003657F3"/>
    <w:rsid w:val="00385D98"/>
    <w:rsid w:val="00393297"/>
    <w:rsid w:val="003A2B4D"/>
    <w:rsid w:val="003A478C"/>
    <w:rsid w:val="003A5525"/>
    <w:rsid w:val="003A6B38"/>
    <w:rsid w:val="003B5A32"/>
    <w:rsid w:val="003D14AC"/>
    <w:rsid w:val="003D1A6D"/>
    <w:rsid w:val="003F1DE7"/>
    <w:rsid w:val="003F313C"/>
    <w:rsid w:val="004036AD"/>
    <w:rsid w:val="0040764F"/>
    <w:rsid w:val="00413DFB"/>
    <w:rsid w:val="00414DE6"/>
    <w:rsid w:val="00416D4A"/>
    <w:rsid w:val="00426C8C"/>
    <w:rsid w:val="004441A0"/>
    <w:rsid w:val="00444B23"/>
    <w:rsid w:val="004511A1"/>
    <w:rsid w:val="00470971"/>
    <w:rsid w:val="0047265E"/>
    <w:rsid w:val="004756D0"/>
    <w:rsid w:val="0048139F"/>
    <w:rsid w:val="0049701F"/>
    <w:rsid w:val="00497DD2"/>
    <w:rsid w:val="004A08EA"/>
    <w:rsid w:val="004A77DF"/>
    <w:rsid w:val="004B43C1"/>
    <w:rsid w:val="004B4CE0"/>
    <w:rsid w:val="004B55B7"/>
    <w:rsid w:val="004B744C"/>
    <w:rsid w:val="004C3867"/>
    <w:rsid w:val="004C4CD0"/>
    <w:rsid w:val="004C70DC"/>
    <w:rsid w:val="004D0211"/>
    <w:rsid w:val="004F06F5"/>
    <w:rsid w:val="004F33A0"/>
    <w:rsid w:val="004F7001"/>
    <w:rsid w:val="00503729"/>
    <w:rsid w:val="00507C20"/>
    <w:rsid w:val="0051066D"/>
    <w:rsid w:val="005108C0"/>
    <w:rsid w:val="00511873"/>
    <w:rsid w:val="00513B7E"/>
    <w:rsid w:val="00525137"/>
    <w:rsid w:val="005251DD"/>
    <w:rsid w:val="00546E30"/>
    <w:rsid w:val="0056317D"/>
    <w:rsid w:val="00570970"/>
    <w:rsid w:val="00583FFD"/>
    <w:rsid w:val="00593152"/>
    <w:rsid w:val="005A170B"/>
    <w:rsid w:val="005A21E0"/>
    <w:rsid w:val="005D3D37"/>
    <w:rsid w:val="005D5802"/>
    <w:rsid w:val="005D6120"/>
    <w:rsid w:val="005D7BAF"/>
    <w:rsid w:val="00604307"/>
    <w:rsid w:val="0060487F"/>
    <w:rsid w:val="00606A6C"/>
    <w:rsid w:val="00624093"/>
    <w:rsid w:val="006404A7"/>
    <w:rsid w:val="006451E4"/>
    <w:rsid w:val="00647023"/>
    <w:rsid w:val="006514A7"/>
    <w:rsid w:val="00657E87"/>
    <w:rsid w:val="00661FF2"/>
    <w:rsid w:val="006710C9"/>
    <w:rsid w:val="00671DD0"/>
    <w:rsid w:val="00675E37"/>
    <w:rsid w:val="0068260E"/>
    <w:rsid w:val="0069031A"/>
    <w:rsid w:val="00695BEF"/>
    <w:rsid w:val="006977F6"/>
    <w:rsid w:val="00697A13"/>
    <w:rsid w:val="00697AB7"/>
    <w:rsid w:val="006A109C"/>
    <w:rsid w:val="006B78D8"/>
    <w:rsid w:val="006C113F"/>
    <w:rsid w:val="006C5A7D"/>
    <w:rsid w:val="006D524F"/>
    <w:rsid w:val="006D61F6"/>
    <w:rsid w:val="006E279A"/>
    <w:rsid w:val="006E313B"/>
    <w:rsid w:val="006F0820"/>
    <w:rsid w:val="006F708F"/>
    <w:rsid w:val="0071297C"/>
    <w:rsid w:val="00716BB4"/>
    <w:rsid w:val="007211F5"/>
    <w:rsid w:val="00730AE8"/>
    <w:rsid w:val="0073393F"/>
    <w:rsid w:val="007355D5"/>
    <w:rsid w:val="00741493"/>
    <w:rsid w:val="00747539"/>
    <w:rsid w:val="00752180"/>
    <w:rsid w:val="00753AC2"/>
    <w:rsid w:val="00755D3A"/>
    <w:rsid w:val="007609C6"/>
    <w:rsid w:val="00771B15"/>
    <w:rsid w:val="00776527"/>
    <w:rsid w:val="00781593"/>
    <w:rsid w:val="007A47B1"/>
    <w:rsid w:val="007D1D02"/>
    <w:rsid w:val="007D6647"/>
    <w:rsid w:val="007E7E61"/>
    <w:rsid w:val="007F0845"/>
    <w:rsid w:val="0080638E"/>
    <w:rsid w:val="00821FF6"/>
    <w:rsid w:val="00825BA1"/>
    <w:rsid w:val="0083143E"/>
    <w:rsid w:val="00834FAA"/>
    <w:rsid w:val="00836086"/>
    <w:rsid w:val="008409F4"/>
    <w:rsid w:val="0084275E"/>
    <w:rsid w:val="008458CF"/>
    <w:rsid w:val="00856FB9"/>
    <w:rsid w:val="00865F31"/>
    <w:rsid w:val="00876086"/>
    <w:rsid w:val="00882620"/>
    <w:rsid w:val="008A4F91"/>
    <w:rsid w:val="008B7C02"/>
    <w:rsid w:val="008C0E88"/>
    <w:rsid w:val="008C2670"/>
    <w:rsid w:val="008D2A16"/>
    <w:rsid w:val="008D5498"/>
    <w:rsid w:val="008E31FF"/>
    <w:rsid w:val="008E3CD7"/>
    <w:rsid w:val="008E3DBF"/>
    <w:rsid w:val="009003A8"/>
    <w:rsid w:val="00902E79"/>
    <w:rsid w:val="00902EFF"/>
    <w:rsid w:val="00921F14"/>
    <w:rsid w:val="00937472"/>
    <w:rsid w:val="009400B3"/>
    <w:rsid w:val="0094427A"/>
    <w:rsid w:val="00954DBA"/>
    <w:rsid w:val="00971FF9"/>
    <w:rsid w:val="00974923"/>
    <w:rsid w:val="009A3517"/>
    <w:rsid w:val="009A3732"/>
    <w:rsid w:val="009B6FD3"/>
    <w:rsid w:val="009B704E"/>
    <w:rsid w:val="009F3747"/>
    <w:rsid w:val="00A00010"/>
    <w:rsid w:val="00A04058"/>
    <w:rsid w:val="00A10D66"/>
    <w:rsid w:val="00A215F5"/>
    <w:rsid w:val="00A21936"/>
    <w:rsid w:val="00A23E43"/>
    <w:rsid w:val="00A27460"/>
    <w:rsid w:val="00A46DE0"/>
    <w:rsid w:val="00A62CE1"/>
    <w:rsid w:val="00A75E40"/>
    <w:rsid w:val="00A77D1D"/>
    <w:rsid w:val="00A85082"/>
    <w:rsid w:val="00A857C0"/>
    <w:rsid w:val="00A93858"/>
    <w:rsid w:val="00AA559A"/>
    <w:rsid w:val="00AA5839"/>
    <w:rsid w:val="00AA68ED"/>
    <w:rsid w:val="00AB0D2A"/>
    <w:rsid w:val="00AB2AF1"/>
    <w:rsid w:val="00AD306C"/>
    <w:rsid w:val="00B06447"/>
    <w:rsid w:val="00B157E6"/>
    <w:rsid w:val="00B160F1"/>
    <w:rsid w:val="00B17C3D"/>
    <w:rsid w:val="00B17E71"/>
    <w:rsid w:val="00B17FDE"/>
    <w:rsid w:val="00B32DDB"/>
    <w:rsid w:val="00B342F9"/>
    <w:rsid w:val="00B40256"/>
    <w:rsid w:val="00B45C9F"/>
    <w:rsid w:val="00B568FC"/>
    <w:rsid w:val="00B63A11"/>
    <w:rsid w:val="00B6608F"/>
    <w:rsid w:val="00B76487"/>
    <w:rsid w:val="00B76D1E"/>
    <w:rsid w:val="00B77636"/>
    <w:rsid w:val="00B95940"/>
    <w:rsid w:val="00BA1A62"/>
    <w:rsid w:val="00BA60F4"/>
    <w:rsid w:val="00BD366B"/>
    <w:rsid w:val="00BD6D50"/>
    <w:rsid w:val="00BF1578"/>
    <w:rsid w:val="00BF6A9B"/>
    <w:rsid w:val="00C01C59"/>
    <w:rsid w:val="00C05C77"/>
    <w:rsid w:val="00C21F94"/>
    <w:rsid w:val="00C24E44"/>
    <w:rsid w:val="00C26890"/>
    <w:rsid w:val="00C27913"/>
    <w:rsid w:val="00C27FBB"/>
    <w:rsid w:val="00C37B73"/>
    <w:rsid w:val="00C54E7E"/>
    <w:rsid w:val="00C70F30"/>
    <w:rsid w:val="00C738B9"/>
    <w:rsid w:val="00C77C3B"/>
    <w:rsid w:val="00C82E89"/>
    <w:rsid w:val="00C90CF4"/>
    <w:rsid w:val="00C93389"/>
    <w:rsid w:val="00C9342C"/>
    <w:rsid w:val="00CA5AF5"/>
    <w:rsid w:val="00CB16C7"/>
    <w:rsid w:val="00CC535E"/>
    <w:rsid w:val="00CD10FD"/>
    <w:rsid w:val="00CE53F6"/>
    <w:rsid w:val="00CF51EC"/>
    <w:rsid w:val="00D040DD"/>
    <w:rsid w:val="00D110C9"/>
    <w:rsid w:val="00D16F77"/>
    <w:rsid w:val="00D17741"/>
    <w:rsid w:val="00D31B42"/>
    <w:rsid w:val="00D42F97"/>
    <w:rsid w:val="00D7325B"/>
    <w:rsid w:val="00D9071D"/>
    <w:rsid w:val="00D91499"/>
    <w:rsid w:val="00DA5A0C"/>
    <w:rsid w:val="00DB71F1"/>
    <w:rsid w:val="00DC4DFC"/>
    <w:rsid w:val="00DC5B3B"/>
    <w:rsid w:val="00DD3534"/>
    <w:rsid w:val="00E01C0E"/>
    <w:rsid w:val="00E04694"/>
    <w:rsid w:val="00E22023"/>
    <w:rsid w:val="00E223AF"/>
    <w:rsid w:val="00E5404B"/>
    <w:rsid w:val="00E544FB"/>
    <w:rsid w:val="00E57F9A"/>
    <w:rsid w:val="00E677E5"/>
    <w:rsid w:val="00E70A15"/>
    <w:rsid w:val="00E71A58"/>
    <w:rsid w:val="00E9595D"/>
    <w:rsid w:val="00E95D26"/>
    <w:rsid w:val="00EA0C68"/>
    <w:rsid w:val="00EA170A"/>
    <w:rsid w:val="00EB25B0"/>
    <w:rsid w:val="00EC7441"/>
    <w:rsid w:val="00EE3E78"/>
    <w:rsid w:val="00EF1F5A"/>
    <w:rsid w:val="00EF5E71"/>
    <w:rsid w:val="00F04811"/>
    <w:rsid w:val="00F0488C"/>
    <w:rsid w:val="00F11F9F"/>
    <w:rsid w:val="00F15BEF"/>
    <w:rsid w:val="00F24FAA"/>
    <w:rsid w:val="00F30771"/>
    <w:rsid w:val="00F31FA9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0EA8"/>
    <w:rsid w:val="00FE2F78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324F696"/>
  <w15:docId w15:val="{5C4E007B-5DF3-42AB-930D-5577F686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  <w:style w:type="character" w:customStyle="1" w:styleId="shorttext">
    <w:name w:val="short_text"/>
    <w:basedOn w:val="Standardnpsmoodstavce"/>
    <w:rsid w:val="0045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2E97-D228-471C-8772-24D22B46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lapackova4645</cp:lastModifiedBy>
  <cp:revision>3</cp:revision>
  <cp:lastPrinted>2016-02-17T08:10:00Z</cp:lastPrinted>
  <dcterms:created xsi:type="dcterms:W3CDTF">2018-08-17T11:02:00Z</dcterms:created>
  <dcterms:modified xsi:type="dcterms:W3CDTF">2018-08-20T10:57:00Z</dcterms:modified>
</cp:coreProperties>
</file>