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B3FEA" w:rsidP="00277407">
      <w:pPr>
        <w:pStyle w:val="Datum"/>
      </w:pPr>
      <w:r>
        <w:t>15</w:t>
      </w:r>
      <w:r w:rsidR="00660D74">
        <w:t>.</w:t>
      </w:r>
      <w:r>
        <w:t xml:space="preserve"> dub</w:t>
      </w:r>
      <w:r w:rsidR="009E0A14">
        <w:t>n</w:t>
      </w:r>
      <w:r w:rsidR="00F267CF">
        <w:t xml:space="preserve">a </w:t>
      </w:r>
      <w:r w:rsidR="00660D74">
        <w:t>2019</w:t>
      </w:r>
    </w:p>
    <w:p w:rsidR="00867569" w:rsidRPr="00AE6D5B" w:rsidRDefault="008B3FEA" w:rsidP="00277407">
      <w:pPr>
        <w:pStyle w:val="Nzev"/>
      </w:pPr>
      <w:r w:rsidRPr="008B3FEA">
        <w:t>Ekonomiku loni podpořila zejména domácí poptávka</w:t>
      </w:r>
    </w:p>
    <w:p w:rsidR="006E7FEE" w:rsidRDefault="008B3FEA" w:rsidP="006E7FEE">
      <w:pPr>
        <w:pStyle w:val="Perex"/>
        <w:spacing w:after="0"/>
        <w:rPr>
          <w:szCs w:val="20"/>
        </w:rPr>
      </w:pPr>
      <w:r w:rsidRPr="008B3FEA">
        <w:t>Česká republika uzavřela rok 2018 mírným zrychlením růstu hrubého do</w:t>
      </w:r>
      <w:r w:rsidR="009D5250">
        <w:t>mácího produktu</w:t>
      </w:r>
      <w:r w:rsidR="001B63E8">
        <w:t xml:space="preserve"> (HDP)</w:t>
      </w:r>
      <w:r w:rsidR="009D5250">
        <w:t xml:space="preserve">. Ekonomiku </w:t>
      </w:r>
      <w:r w:rsidRPr="008B3FEA">
        <w:t>podpořily hlavně výdaje na spotřebu</w:t>
      </w:r>
      <w:r w:rsidR="009D5250">
        <w:t xml:space="preserve"> i investiční aktivita. O</w:t>
      </w:r>
      <w:r w:rsidRPr="008B3FEA">
        <w:t>slabil vliv zahr</w:t>
      </w:r>
      <w:r w:rsidR="009D5250">
        <w:t xml:space="preserve">aniční poptávky a </w:t>
      </w:r>
      <w:r w:rsidRPr="008B3FEA">
        <w:t>vrcholil problém nedostatku dostupné pracovní síly.</w:t>
      </w:r>
    </w:p>
    <w:p w:rsidR="00572125" w:rsidRDefault="00572125" w:rsidP="009210A9">
      <w:pPr>
        <w:ind w:right="284"/>
        <w:rPr>
          <w:rFonts w:eastAsia="Times New Roman" w:cs="Arial"/>
          <w:szCs w:val="20"/>
          <w:highlight w:val="yellow"/>
        </w:rPr>
      </w:pPr>
    </w:p>
    <w:p w:rsidR="00161FB2" w:rsidRDefault="008B3FEA" w:rsidP="00161FB2">
      <w:pPr>
        <w:spacing w:line="252" w:lineRule="auto"/>
        <w:ind w:right="284"/>
        <w:rPr>
          <w:i/>
          <w:szCs w:val="20"/>
        </w:rPr>
      </w:pPr>
      <w:r w:rsidRPr="008B3FEA">
        <w:rPr>
          <w:szCs w:val="20"/>
        </w:rPr>
        <w:t xml:space="preserve">Ve 4. čtvrtletí </w:t>
      </w:r>
      <w:r w:rsidR="00A74373">
        <w:rPr>
          <w:szCs w:val="20"/>
        </w:rPr>
        <w:t xml:space="preserve">2018 </w:t>
      </w:r>
      <w:r w:rsidR="001B63E8">
        <w:rPr>
          <w:szCs w:val="20"/>
        </w:rPr>
        <w:t>HDP</w:t>
      </w:r>
      <w:r w:rsidRPr="008B3FEA">
        <w:rPr>
          <w:szCs w:val="20"/>
        </w:rPr>
        <w:t xml:space="preserve"> meziročně vzrostl o 2,6 % a dynamika oproti předchozím dvěma kvartálům mírně zrychlila. Hospodářství podpořila hlavně domácí poptávka. </w:t>
      </w:r>
      <w:r w:rsidR="009D5250" w:rsidRPr="009D5250">
        <w:rPr>
          <w:i/>
          <w:szCs w:val="20"/>
        </w:rPr>
        <w:t>„</w:t>
      </w:r>
      <w:r w:rsidRPr="009D5250">
        <w:rPr>
          <w:i/>
          <w:szCs w:val="20"/>
        </w:rPr>
        <w:t>Výdaje na spotřebu domácností</w:t>
      </w:r>
      <w:r w:rsidR="00161FB2">
        <w:rPr>
          <w:i/>
          <w:szCs w:val="20"/>
        </w:rPr>
        <w:t xml:space="preserve"> v loňském roce narostly o 3,1 procenta</w:t>
      </w:r>
      <w:r w:rsidRPr="009D5250">
        <w:rPr>
          <w:i/>
          <w:szCs w:val="20"/>
        </w:rPr>
        <w:t xml:space="preserve"> a </w:t>
      </w:r>
      <w:r w:rsidR="00161FB2">
        <w:rPr>
          <w:i/>
          <w:szCs w:val="20"/>
        </w:rPr>
        <w:t xml:space="preserve">vládního sektoru dokonce </w:t>
      </w:r>
    </w:p>
    <w:p w:rsidR="008B3FEA" w:rsidRPr="008B3FEA" w:rsidRDefault="00161FB2" w:rsidP="00161FB2">
      <w:pPr>
        <w:spacing w:line="252" w:lineRule="auto"/>
        <w:ind w:right="284"/>
        <w:rPr>
          <w:szCs w:val="20"/>
        </w:rPr>
      </w:pPr>
      <w:r>
        <w:rPr>
          <w:i/>
          <w:szCs w:val="20"/>
        </w:rPr>
        <w:t>o 3,7 procenta</w:t>
      </w:r>
      <w:r w:rsidR="008B3FEA" w:rsidRPr="009D5250">
        <w:rPr>
          <w:i/>
          <w:szCs w:val="20"/>
        </w:rPr>
        <w:t>. Domácnosti v loňském roce více spořily, a tak meziroční dynamika jejich spot</w:t>
      </w:r>
      <w:r w:rsidR="009D5250" w:rsidRPr="009D5250">
        <w:rPr>
          <w:i/>
          <w:szCs w:val="20"/>
        </w:rPr>
        <w:t xml:space="preserve">řeby v průběhu roku zpomalovala,“ </w:t>
      </w:r>
      <w:r w:rsidR="009D5250">
        <w:rPr>
          <w:szCs w:val="20"/>
        </w:rPr>
        <w:t>říká Marek Rojíček, předseda Českého statistického úřadu.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</w:p>
    <w:p w:rsidR="00437C20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 xml:space="preserve">Investiční výdaje se loni zvýšily o 10,4 % a rostly napříč sektory. </w:t>
      </w:r>
      <w:r w:rsidR="00A74373">
        <w:rPr>
          <w:szCs w:val="20"/>
        </w:rPr>
        <w:t>U d</w:t>
      </w:r>
      <w:r w:rsidRPr="008B3FEA">
        <w:rPr>
          <w:szCs w:val="20"/>
        </w:rPr>
        <w:t>omácnost</w:t>
      </w:r>
      <w:r w:rsidR="00A74373">
        <w:rPr>
          <w:szCs w:val="20"/>
        </w:rPr>
        <w:t>í</w:t>
      </w:r>
      <w:r w:rsidRPr="008B3FEA">
        <w:rPr>
          <w:szCs w:val="20"/>
        </w:rPr>
        <w:t xml:space="preserve"> </w:t>
      </w:r>
      <w:r w:rsidR="00A74373">
        <w:rPr>
          <w:szCs w:val="20"/>
        </w:rPr>
        <w:t>vzrost</w:t>
      </w:r>
      <w:r w:rsidRPr="008B3FEA">
        <w:rPr>
          <w:szCs w:val="20"/>
        </w:rPr>
        <w:t xml:space="preserve">la míra investic na 9,4 %. Míra investic nefinančních podniků dosáhla 29,6 % a byla nejvyšší za posledních pět let. Ani sektor vládních institucí nezaostával a nominálně navýšil investice 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>o více než čtvrtinu, a to především zásluhou místních vládních institucí.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</w:p>
    <w:p w:rsidR="00161FB2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 xml:space="preserve">Hodnota vývozu zboží se loni zvýšila o 3,4 %. Zpomalil však růst exportu do Německa 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>a poprvé od roku 2009 klesla hodnota vývozu motorových vozidel. Domácí poptávka působila pozitivně na dovoz zboží. Jeho hodnota se zvýšila o 4,</w:t>
      </w:r>
      <w:r w:rsidR="00281473">
        <w:rPr>
          <w:szCs w:val="20"/>
        </w:rPr>
        <w:t>8</w:t>
      </w:r>
      <w:r w:rsidRPr="008B3FEA">
        <w:rPr>
          <w:szCs w:val="20"/>
        </w:rPr>
        <w:t xml:space="preserve"> %. To mělo za následek pokles přebytku bilance obchodu se zbožím o </w:t>
      </w:r>
      <w:r w:rsidR="00281473">
        <w:rPr>
          <w:szCs w:val="20"/>
        </w:rPr>
        <w:t>téměř 40</w:t>
      </w:r>
      <w:r w:rsidRPr="008B3FEA">
        <w:rPr>
          <w:szCs w:val="20"/>
        </w:rPr>
        <w:t xml:space="preserve"> ml</w:t>
      </w:r>
      <w:r w:rsidR="00A74373">
        <w:rPr>
          <w:szCs w:val="20"/>
        </w:rPr>
        <w:t>d</w:t>
      </w:r>
      <w:r w:rsidRPr="008B3FEA">
        <w:rPr>
          <w:szCs w:val="20"/>
        </w:rPr>
        <w:t>. korun.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 xml:space="preserve"> 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>Domácí poptávka stimulovala především odvětví služeb. D</w:t>
      </w:r>
      <w:r w:rsidR="009D5250">
        <w:rPr>
          <w:szCs w:val="20"/>
        </w:rPr>
        <w:t xml:space="preserve">ařilo se </w:t>
      </w:r>
      <w:r w:rsidRPr="008B3FEA">
        <w:rPr>
          <w:szCs w:val="20"/>
        </w:rPr>
        <w:t>obchod</w:t>
      </w:r>
      <w:r w:rsidR="009D5250">
        <w:rPr>
          <w:szCs w:val="20"/>
        </w:rPr>
        <w:t>u, dopravě</w:t>
      </w:r>
      <w:r w:rsidRPr="008B3FEA">
        <w:rPr>
          <w:szCs w:val="20"/>
        </w:rPr>
        <w:t>, ubytování a pohostinství. V peněžnictví a pojišťovnictví dosáhl růst hrubé přidané hodnoty</w:t>
      </w:r>
      <w:r w:rsidR="00A74373">
        <w:rPr>
          <w:szCs w:val="20"/>
        </w:rPr>
        <w:t xml:space="preserve"> </w:t>
      </w:r>
      <w:r w:rsidRPr="008B3FEA">
        <w:rPr>
          <w:szCs w:val="20"/>
        </w:rPr>
        <w:t xml:space="preserve">6,9 %, tedy pětiletého maxima, podobně se vyvíjely informační a komunikační služby. Silně rostla i ve stavebnictví.  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</w:p>
    <w:p w:rsidR="00FE618E" w:rsidRDefault="008B3FEA" w:rsidP="00161FB2">
      <w:pPr>
        <w:spacing w:line="252" w:lineRule="auto"/>
        <w:ind w:right="284"/>
        <w:rPr>
          <w:i/>
          <w:szCs w:val="20"/>
        </w:rPr>
      </w:pPr>
      <w:r w:rsidRPr="008B3FEA">
        <w:rPr>
          <w:szCs w:val="20"/>
        </w:rPr>
        <w:t>Počet pracovníků se vloni zvýšil a ve 4. čtvrtl</w:t>
      </w:r>
      <w:r w:rsidR="009D5250">
        <w:rPr>
          <w:szCs w:val="20"/>
        </w:rPr>
        <w:t xml:space="preserve">etí dosáhl 5,45 mil. osob, </w:t>
      </w:r>
      <w:r w:rsidRPr="008B3FEA">
        <w:rPr>
          <w:szCs w:val="20"/>
        </w:rPr>
        <w:t xml:space="preserve">nejvíce v novodobé historii. </w:t>
      </w:r>
      <w:r w:rsidR="0024152E" w:rsidRPr="0024152E">
        <w:rPr>
          <w:i/>
          <w:szCs w:val="20"/>
        </w:rPr>
        <w:t>„</w:t>
      </w:r>
      <w:r w:rsidRPr="0024152E">
        <w:rPr>
          <w:i/>
          <w:szCs w:val="20"/>
        </w:rPr>
        <w:t>Míra nezaměstnanosti se v průběhu roku přibližova</w:t>
      </w:r>
      <w:r w:rsidR="00161FB2">
        <w:rPr>
          <w:i/>
          <w:szCs w:val="20"/>
        </w:rPr>
        <w:t xml:space="preserve">la dvěma procentům. </w:t>
      </w:r>
      <w:r w:rsidRPr="0024152E">
        <w:rPr>
          <w:i/>
          <w:szCs w:val="20"/>
        </w:rPr>
        <w:t>Přetrvávající nedostatek pracovní síly poháněl růst průměrné mzdy. Ta lo</w:t>
      </w:r>
      <w:r w:rsidR="0024152E" w:rsidRPr="0024152E">
        <w:rPr>
          <w:i/>
          <w:szCs w:val="20"/>
        </w:rPr>
        <w:t xml:space="preserve">ni vzrostla </w:t>
      </w:r>
    </w:p>
    <w:p w:rsidR="008B3FEA" w:rsidRPr="008B3FEA" w:rsidRDefault="0024152E" w:rsidP="00161FB2">
      <w:pPr>
        <w:spacing w:line="252" w:lineRule="auto"/>
        <w:ind w:right="284"/>
        <w:rPr>
          <w:szCs w:val="20"/>
        </w:rPr>
      </w:pPr>
      <w:bookmarkStart w:id="0" w:name="_GoBack"/>
      <w:bookmarkEnd w:id="0"/>
      <w:r w:rsidRPr="0024152E">
        <w:rPr>
          <w:i/>
          <w:szCs w:val="20"/>
        </w:rPr>
        <w:t>o 8,1</w:t>
      </w:r>
      <w:r w:rsidR="00161FB2">
        <w:rPr>
          <w:i/>
          <w:szCs w:val="20"/>
        </w:rPr>
        <w:t xml:space="preserve"> procenta</w:t>
      </w:r>
      <w:r w:rsidRPr="0024152E">
        <w:rPr>
          <w:i/>
          <w:szCs w:val="20"/>
        </w:rPr>
        <w:t>,“</w:t>
      </w:r>
      <w:r>
        <w:rPr>
          <w:szCs w:val="20"/>
        </w:rPr>
        <w:t xml:space="preserve"> upozorňuje Marek Rojíček.</w:t>
      </w:r>
    </w:p>
    <w:p w:rsidR="009D5250" w:rsidRDefault="009D5250" w:rsidP="00161FB2">
      <w:pPr>
        <w:spacing w:line="252" w:lineRule="auto"/>
        <w:ind w:right="284"/>
        <w:rPr>
          <w:szCs w:val="20"/>
        </w:rPr>
      </w:pPr>
    </w:p>
    <w:p w:rsidR="00437C20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 xml:space="preserve">Spotřebitelské ceny se loni zvýšily o 2,1 %. Klíčový vliv na růst měly ceny bydlení a energií. K nárůstu nájmů z bytů o 3,0 % se přidaly i ceny elektřiny, plynu a energií, které vzrostly 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  <w:r w:rsidRPr="008B3FEA">
        <w:rPr>
          <w:szCs w:val="20"/>
        </w:rPr>
        <w:t>o 2,1 %, a v průběhu celého roku jejich meziroční r</w:t>
      </w:r>
      <w:r w:rsidR="0024152E">
        <w:rPr>
          <w:szCs w:val="20"/>
        </w:rPr>
        <w:t>ůst zrychloval.</w:t>
      </w:r>
    </w:p>
    <w:p w:rsidR="008B3FEA" w:rsidRPr="008B3FEA" w:rsidRDefault="008B3FEA" w:rsidP="00161FB2">
      <w:pPr>
        <w:spacing w:line="252" w:lineRule="auto"/>
        <w:ind w:right="284"/>
        <w:rPr>
          <w:szCs w:val="20"/>
        </w:rPr>
      </w:pPr>
    </w:p>
    <w:p w:rsidR="008F5F9F" w:rsidRDefault="00437C20" w:rsidP="00161FB2">
      <w:pPr>
        <w:spacing w:line="252" w:lineRule="auto"/>
        <w:ind w:right="284"/>
        <w:rPr>
          <w:szCs w:val="20"/>
        </w:rPr>
      </w:pPr>
      <w:r>
        <w:rPr>
          <w:szCs w:val="20"/>
        </w:rPr>
        <w:t>Další detaily přináší aktuální analýza</w:t>
      </w:r>
      <w:r w:rsidR="008B3FEA">
        <w:rPr>
          <w:szCs w:val="20"/>
        </w:rPr>
        <w:t xml:space="preserve"> ČSÚ: </w:t>
      </w:r>
      <w:hyperlink r:id="rId7" w:history="1">
        <w:r w:rsidR="008B3FEA" w:rsidRPr="008B3FEA">
          <w:rPr>
            <w:rStyle w:val="Hypertextovodkaz"/>
            <w:szCs w:val="20"/>
          </w:rPr>
          <w:t>https://www.czso.cz/csu/czso/vyvoj-ekonomiky-ceske-republiky-rok-2018</w:t>
        </w:r>
      </w:hyperlink>
      <w:r w:rsidR="0024152E">
        <w:rPr>
          <w:szCs w:val="20"/>
        </w:rPr>
        <w:t>.</w:t>
      </w:r>
    </w:p>
    <w:p w:rsidR="009D5250" w:rsidRPr="008B3FEA" w:rsidRDefault="009D5250" w:rsidP="00161FB2">
      <w:pPr>
        <w:spacing w:line="264" w:lineRule="auto"/>
        <w:ind w:right="284"/>
        <w:rPr>
          <w:rFonts w:eastAsia="Times New Roman" w:cs="Arial"/>
          <w:szCs w:val="20"/>
        </w:rPr>
      </w:pPr>
    </w:p>
    <w:p w:rsidR="007B1333" w:rsidRDefault="00D018F0" w:rsidP="00161FB2">
      <w:pPr>
        <w:spacing w:line="264" w:lineRule="auto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161FB2">
      <w:pPr>
        <w:spacing w:line="264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161FB2">
      <w:pPr>
        <w:spacing w:line="264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161FB2">
      <w:pPr>
        <w:spacing w:line="264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  <w:proofErr w:type="gramEnd"/>
    </w:p>
    <w:p w:rsidR="00026195" w:rsidRDefault="003E37A4" w:rsidP="00161FB2">
      <w:pPr>
        <w:spacing w:line="264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C3252E" w:rsidRPr="008514E6">
          <w:rPr>
            <w:rStyle w:val="Hypertextovodkaz"/>
            <w:rFonts w:cs="Arial"/>
          </w:rPr>
          <w:t>jan.cieslar@czso.cz</w:t>
        </w:r>
      </w:hyperlink>
      <w:r w:rsidR="00C3252E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="00026195" w:rsidRPr="00026195">
        <w:rPr>
          <w:rFonts w:cs="Arial"/>
        </w:rPr>
        <w:t xml:space="preserve"> </w:t>
      </w:r>
    </w:p>
    <w:p w:rsidR="00A74373" w:rsidRDefault="00A74373" w:rsidP="00161FB2">
      <w:pPr>
        <w:spacing w:line="264" w:lineRule="auto"/>
        <w:rPr>
          <w:rFonts w:cs="Arial"/>
        </w:rPr>
      </w:pPr>
    </w:p>
    <w:sectPr w:rsidR="00A74373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33" w:rsidRDefault="00300B33" w:rsidP="00BA6370">
      <w:r>
        <w:separator/>
      </w:r>
    </w:p>
  </w:endnote>
  <w:endnote w:type="continuationSeparator" w:id="0">
    <w:p w:rsidR="00300B33" w:rsidRDefault="00300B3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7437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966D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966D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E618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B966D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966D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966D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E618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B966D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FD4A9" id="Přímá spojnice 2" o:spid="_x0000_s1026" style="position:absolute;flip:y;z-index:25165260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33" w:rsidRDefault="00300B33" w:rsidP="00BA6370">
      <w:r>
        <w:separator/>
      </w:r>
    </w:p>
  </w:footnote>
  <w:footnote w:type="continuationSeparator" w:id="0">
    <w:p w:rsidR="00300B33" w:rsidRDefault="00300B3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041D7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0" t="0" r="0" b="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F4FFC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BFAFC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5F13F1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78322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365E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568FD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A743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B97A7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F"/>
    <w:rsid w:val="0000189E"/>
    <w:rsid w:val="000143F8"/>
    <w:rsid w:val="000247BE"/>
    <w:rsid w:val="00026195"/>
    <w:rsid w:val="00043BF4"/>
    <w:rsid w:val="0008100F"/>
    <w:rsid w:val="000842D2"/>
    <w:rsid w:val="000843A5"/>
    <w:rsid w:val="00086878"/>
    <w:rsid w:val="000874CC"/>
    <w:rsid w:val="00095213"/>
    <w:rsid w:val="000B6F63"/>
    <w:rsid w:val="000C435D"/>
    <w:rsid w:val="00113270"/>
    <w:rsid w:val="00123777"/>
    <w:rsid w:val="001404AB"/>
    <w:rsid w:val="00146745"/>
    <w:rsid w:val="00156751"/>
    <w:rsid w:val="00161FB2"/>
    <w:rsid w:val="001658A9"/>
    <w:rsid w:val="00165D45"/>
    <w:rsid w:val="0017231D"/>
    <w:rsid w:val="00173A3D"/>
    <w:rsid w:val="001776E2"/>
    <w:rsid w:val="00177C5B"/>
    <w:rsid w:val="001810DC"/>
    <w:rsid w:val="00183C7E"/>
    <w:rsid w:val="0018603E"/>
    <w:rsid w:val="00186DAA"/>
    <w:rsid w:val="001A214A"/>
    <w:rsid w:val="001A59BF"/>
    <w:rsid w:val="001B3AFF"/>
    <w:rsid w:val="001B607F"/>
    <w:rsid w:val="001B63E8"/>
    <w:rsid w:val="001D369A"/>
    <w:rsid w:val="001E0BEF"/>
    <w:rsid w:val="002052D1"/>
    <w:rsid w:val="002070FB"/>
    <w:rsid w:val="002079B2"/>
    <w:rsid w:val="00213729"/>
    <w:rsid w:val="00222208"/>
    <w:rsid w:val="002272A6"/>
    <w:rsid w:val="002352C1"/>
    <w:rsid w:val="00235FDF"/>
    <w:rsid w:val="002360FF"/>
    <w:rsid w:val="002406FA"/>
    <w:rsid w:val="0024152E"/>
    <w:rsid w:val="002460EA"/>
    <w:rsid w:val="002571D0"/>
    <w:rsid w:val="00272F93"/>
    <w:rsid w:val="00275D3D"/>
    <w:rsid w:val="002760EE"/>
    <w:rsid w:val="00277407"/>
    <w:rsid w:val="00281473"/>
    <w:rsid w:val="002848DA"/>
    <w:rsid w:val="002B2E47"/>
    <w:rsid w:val="002B3C3D"/>
    <w:rsid w:val="002B4109"/>
    <w:rsid w:val="002B71CF"/>
    <w:rsid w:val="002C2AAD"/>
    <w:rsid w:val="002D6A6C"/>
    <w:rsid w:val="002D7A36"/>
    <w:rsid w:val="002E4A60"/>
    <w:rsid w:val="00300B33"/>
    <w:rsid w:val="00305440"/>
    <w:rsid w:val="00322412"/>
    <w:rsid w:val="003301A3"/>
    <w:rsid w:val="00330D6F"/>
    <w:rsid w:val="00332D0C"/>
    <w:rsid w:val="00346098"/>
    <w:rsid w:val="003476C0"/>
    <w:rsid w:val="0035578A"/>
    <w:rsid w:val="00363BE0"/>
    <w:rsid w:val="0036777B"/>
    <w:rsid w:val="0038282A"/>
    <w:rsid w:val="00394D5E"/>
    <w:rsid w:val="00395D7A"/>
    <w:rsid w:val="00397580"/>
    <w:rsid w:val="003A1794"/>
    <w:rsid w:val="003A3DBD"/>
    <w:rsid w:val="003A45C8"/>
    <w:rsid w:val="003C2DCF"/>
    <w:rsid w:val="003C7FE7"/>
    <w:rsid w:val="003D02AA"/>
    <w:rsid w:val="003D0499"/>
    <w:rsid w:val="003D0E78"/>
    <w:rsid w:val="003D6223"/>
    <w:rsid w:val="003E37A4"/>
    <w:rsid w:val="003F000A"/>
    <w:rsid w:val="003F1DFF"/>
    <w:rsid w:val="003F4E6B"/>
    <w:rsid w:val="003F526A"/>
    <w:rsid w:val="00405244"/>
    <w:rsid w:val="00413A9D"/>
    <w:rsid w:val="004261A5"/>
    <w:rsid w:val="00437C20"/>
    <w:rsid w:val="004436EE"/>
    <w:rsid w:val="00451D9C"/>
    <w:rsid w:val="0045547F"/>
    <w:rsid w:val="0045751A"/>
    <w:rsid w:val="00481173"/>
    <w:rsid w:val="004902DC"/>
    <w:rsid w:val="004920AD"/>
    <w:rsid w:val="004A7959"/>
    <w:rsid w:val="004B0227"/>
    <w:rsid w:val="004C3124"/>
    <w:rsid w:val="004C75D1"/>
    <w:rsid w:val="004C7AB9"/>
    <w:rsid w:val="004D05B3"/>
    <w:rsid w:val="004D52FB"/>
    <w:rsid w:val="004E20CE"/>
    <w:rsid w:val="004E479E"/>
    <w:rsid w:val="004E583B"/>
    <w:rsid w:val="004F78E6"/>
    <w:rsid w:val="00507B90"/>
    <w:rsid w:val="0051242B"/>
    <w:rsid w:val="00512D99"/>
    <w:rsid w:val="0051529E"/>
    <w:rsid w:val="00516C0C"/>
    <w:rsid w:val="00531DBB"/>
    <w:rsid w:val="00560877"/>
    <w:rsid w:val="00560D6C"/>
    <w:rsid w:val="005658CF"/>
    <w:rsid w:val="00572125"/>
    <w:rsid w:val="005770E3"/>
    <w:rsid w:val="00577826"/>
    <w:rsid w:val="005B4D2E"/>
    <w:rsid w:val="005C6638"/>
    <w:rsid w:val="005D3CA4"/>
    <w:rsid w:val="005E5B68"/>
    <w:rsid w:val="005E5ED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88"/>
    <w:rsid w:val="00626FA0"/>
    <w:rsid w:val="00640840"/>
    <w:rsid w:val="0064139A"/>
    <w:rsid w:val="00660D74"/>
    <w:rsid w:val="00675D16"/>
    <w:rsid w:val="00677861"/>
    <w:rsid w:val="006963A6"/>
    <w:rsid w:val="00696C0C"/>
    <w:rsid w:val="006A3D35"/>
    <w:rsid w:val="006A580B"/>
    <w:rsid w:val="006E024F"/>
    <w:rsid w:val="006E4E81"/>
    <w:rsid w:val="006E7FEE"/>
    <w:rsid w:val="006F2387"/>
    <w:rsid w:val="00707F7D"/>
    <w:rsid w:val="00717EC5"/>
    <w:rsid w:val="0072132B"/>
    <w:rsid w:val="00727525"/>
    <w:rsid w:val="00737B80"/>
    <w:rsid w:val="00747026"/>
    <w:rsid w:val="007617CF"/>
    <w:rsid w:val="00761E11"/>
    <w:rsid w:val="00773D3F"/>
    <w:rsid w:val="00776B16"/>
    <w:rsid w:val="007978FE"/>
    <w:rsid w:val="00797DFD"/>
    <w:rsid w:val="007A39B8"/>
    <w:rsid w:val="007A57F2"/>
    <w:rsid w:val="007B1333"/>
    <w:rsid w:val="007F4AEB"/>
    <w:rsid w:val="007F5F68"/>
    <w:rsid w:val="007F75B2"/>
    <w:rsid w:val="008043C4"/>
    <w:rsid w:val="008118CC"/>
    <w:rsid w:val="00824A49"/>
    <w:rsid w:val="00831B1B"/>
    <w:rsid w:val="00834F6A"/>
    <w:rsid w:val="00856117"/>
    <w:rsid w:val="00861D0E"/>
    <w:rsid w:val="00867569"/>
    <w:rsid w:val="0088339B"/>
    <w:rsid w:val="008902C1"/>
    <w:rsid w:val="008922A4"/>
    <w:rsid w:val="008A750A"/>
    <w:rsid w:val="008B1ED2"/>
    <w:rsid w:val="008B3FEA"/>
    <w:rsid w:val="008C384C"/>
    <w:rsid w:val="008D0F11"/>
    <w:rsid w:val="008E58D5"/>
    <w:rsid w:val="008F24E0"/>
    <w:rsid w:val="008F35B4"/>
    <w:rsid w:val="008F389E"/>
    <w:rsid w:val="008F5F9F"/>
    <w:rsid w:val="008F73B4"/>
    <w:rsid w:val="0090540E"/>
    <w:rsid w:val="00910B1F"/>
    <w:rsid w:val="00913916"/>
    <w:rsid w:val="009210A9"/>
    <w:rsid w:val="00922327"/>
    <w:rsid w:val="0094402F"/>
    <w:rsid w:val="009517D5"/>
    <w:rsid w:val="00953C4C"/>
    <w:rsid w:val="00960739"/>
    <w:rsid w:val="0096218B"/>
    <w:rsid w:val="009668FF"/>
    <w:rsid w:val="009757BA"/>
    <w:rsid w:val="00976AF7"/>
    <w:rsid w:val="00981C1B"/>
    <w:rsid w:val="00993113"/>
    <w:rsid w:val="009A152C"/>
    <w:rsid w:val="009A2510"/>
    <w:rsid w:val="009B55B1"/>
    <w:rsid w:val="009D5250"/>
    <w:rsid w:val="009D70EB"/>
    <w:rsid w:val="009E0A14"/>
    <w:rsid w:val="009E39F7"/>
    <w:rsid w:val="009E4DEB"/>
    <w:rsid w:val="009F671B"/>
    <w:rsid w:val="00A00672"/>
    <w:rsid w:val="00A35A75"/>
    <w:rsid w:val="00A4343D"/>
    <w:rsid w:val="00A502F1"/>
    <w:rsid w:val="00A50708"/>
    <w:rsid w:val="00A55861"/>
    <w:rsid w:val="00A70A83"/>
    <w:rsid w:val="00A74373"/>
    <w:rsid w:val="00A81EB3"/>
    <w:rsid w:val="00A842CF"/>
    <w:rsid w:val="00A95B3B"/>
    <w:rsid w:val="00AA495B"/>
    <w:rsid w:val="00AD53A0"/>
    <w:rsid w:val="00AE3E86"/>
    <w:rsid w:val="00AE6D5B"/>
    <w:rsid w:val="00AF4E41"/>
    <w:rsid w:val="00B00C1D"/>
    <w:rsid w:val="00B03E21"/>
    <w:rsid w:val="00B1456B"/>
    <w:rsid w:val="00B20EAA"/>
    <w:rsid w:val="00B23698"/>
    <w:rsid w:val="00B247BC"/>
    <w:rsid w:val="00B2648D"/>
    <w:rsid w:val="00B27956"/>
    <w:rsid w:val="00B61860"/>
    <w:rsid w:val="00B90F40"/>
    <w:rsid w:val="00B966DC"/>
    <w:rsid w:val="00BA439F"/>
    <w:rsid w:val="00BA6370"/>
    <w:rsid w:val="00BA7CB4"/>
    <w:rsid w:val="00BB1C55"/>
    <w:rsid w:val="00BC289A"/>
    <w:rsid w:val="00BC3589"/>
    <w:rsid w:val="00BE54DE"/>
    <w:rsid w:val="00C00CDD"/>
    <w:rsid w:val="00C01158"/>
    <w:rsid w:val="00C1400A"/>
    <w:rsid w:val="00C269D4"/>
    <w:rsid w:val="00C3252E"/>
    <w:rsid w:val="00C4160D"/>
    <w:rsid w:val="00C5098F"/>
    <w:rsid w:val="00C52466"/>
    <w:rsid w:val="00C61CD2"/>
    <w:rsid w:val="00C62C43"/>
    <w:rsid w:val="00C66C4B"/>
    <w:rsid w:val="00C74412"/>
    <w:rsid w:val="00C8406E"/>
    <w:rsid w:val="00C8697C"/>
    <w:rsid w:val="00C92E15"/>
    <w:rsid w:val="00CB206B"/>
    <w:rsid w:val="00CB2709"/>
    <w:rsid w:val="00CB6F89"/>
    <w:rsid w:val="00CC61D3"/>
    <w:rsid w:val="00CC7289"/>
    <w:rsid w:val="00CD2458"/>
    <w:rsid w:val="00CE06B5"/>
    <w:rsid w:val="00CE1E94"/>
    <w:rsid w:val="00CE228C"/>
    <w:rsid w:val="00CF0C8C"/>
    <w:rsid w:val="00CF545B"/>
    <w:rsid w:val="00D018F0"/>
    <w:rsid w:val="00D06AA9"/>
    <w:rsid w:val="00D06F08"/>
    <w:rsid w:val="00D27074"/>
    <w:rsid w:val="00D27D69"/>
    <w:rsid w:val="00D32109"/>
    <w:rsid w:val="00D33B78"/>
    <w:rsid w:val="00D33C63"/>
    <w:rsid w:val="00D448C2"/>
    <w:rsid w:val="00D47FAA"/>
    <w:rsid w:val="00D56952"/>
    <w:rsid w:val="00D666C3"/>
    <w:rsid w:val="00D7526D"/>
    <w:rsid w:val="00DA327D"/>
    <w:rsid w:val="00DB0032"/>
    <w:rsid w:val="00DB0CAF"/>
    <w:rsid w:val="00DB2B14"/>
    <w:rsid w:val="00DB3587"/>
    <w:rsid w:val="00DD4E90"/>
    <w:rsid w:val="00DD7755"/>
    <w:rsid w:val="00DE38A5"/>
    <w:rsid w:val="00DF47FE"/>
    <w:rsid w:val="00E13C41"/>
    <w:rsid w:val="00E1552E"/>
    <w:rsid w:val="00E20938"/>
    <w:rsid w:val="00E21F46"/>
    <w:rsid w:val="00E2374E"/>
    <w:rsid w:val="00E26704"/>
    <w:rsid w:val="00E2694F"/>
    <w:rsid w:val="00E27C40"/>
    <w:rsid w:val="00E31980"/>
    <w:rsid w:val="00E53B6D"/>
    <w:rsid w:val="00E607DE"/>
    <w:rsid w:val="00E6423C"/>
    <w:rsid w:val="00E64DFB"/>
    <w:rsid w:val="00E71C56"/>
    <w:rsid w:val="00E76C27"/>
    <w:rsid w:val="00E877B5"/>
    <w:rsid w:val="00E93830"/>
    <w:rsid w:val="00E93E0E"/>
    <w:rsid w:val="00EA6E31"/>
    <w:rsid w:val="00EB1ED3"/>
    <w:rsid w:val="00EB710B"/>
    <w:rsid w:val="00EC2D51"/>
    <w:rsid w:val="00ED0AD2"/>
    <w:rsid w:val="00EE10F0"/>
    <w:rsid w:val="00EE35EA"/>
    <w:rsid w:val="00F10672"/>
    <w:rsid w:val="00F26395"/>
    <w:rsid w:val="00F267CF"/>
    <w:rsid w:val="00F46F18"/>
    <w:rsid w:val="00F54951"/>
    <w:rsid w:val="00F6559C"/>
    <w:rsid w:val="00F658F1"/>
    <w:rsid w:val="00F95AE0"/>
    <w:rsid w:val="00FA5DA5"/>
    <w:rsid w:val="00FB005B"/>
    <w:rsid w:val="00FB5D78"/>
    <w:rsid w:val="00FB687C"/>
    <w:rsid w:val="00FD31ED"/>
    <w:rsid w:val="00FE4F7E"/>
    <w:rsid w:val="00FE618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D2DFC33"/>
  <w15:docId w15:val="{EA5DD10C-85A7-454B-A1AA-226E8C85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voj-ekonomiky-ceske-republiky-rok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4496-AB4B-42F5-9865-C987C6FD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1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Cieslar</dc:creator>
  <cp:lastModifiedBy>Mgr. Jan Cieslar</cp:lastModifiedBy>
  <cp:revision>3</cp:revision>
  <cp:lastPrinted>2019-04-12T11:04:00Z</cp:lastPrinted>
  <dcterms:created xsi:type="dcterms:W3CDTF">2019-04-12T11:19:00Z</dcterms:created>
  <dcterms:modified xsi:type="dcterms:W3CDTF">2019-04-12T12:11:00Z</dcterms:modified>
</cp:coreProperties>
</file>