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BF" w:rsidRDefault="00245DBF" w:rsidP="00245DB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245DBF" w:rsidRDefault="00245DBF" w:rsidP="00245DBF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245DBF" w:rsidRDefault="00245DBF" w:rsidP="00245DBF">
      <w:pPr>
        <w:rPr>
          <w:rFonts w:ascii="Arial" w:hAnsi="Arial"/>
          <w:b/>
          <w:bCs/>
          <w:i/>
          <w:iCs/>
          <w:sz w:val="22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900"/>
        <w:gridCol w:w="216"/>
        <w:gridCol w:w="864"/>
        <w:gridCol w:w="252"/>
        <w:gridCol w:w="828"/>
        <w:gridCol w:w="288"/>
        <w:gridCol w:w="792"/>
        <w:gridCol w:w="324"/>
        <w:gridCol w:w="756"/>
        <w:gridCol w:w="360"/>
        <w:gridCol w:w="1925"/>
        <w:gridCol w:w="55"/>
      </w:tblGrid>
      <w:tr w:rsidR="00245DBF" w:rsidTr="0066187C">
        <w:trPr>
          <w:trHeight w:val="136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245DBF" w:rsidTr="0066187C">
        <w:trPr>
          <w:trHeight w:val="168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245DBF" w:rsidTr="0066187C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                        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Vysoká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Uspokojivá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Nízká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 xml:space="preserve">Indicator in %              </w:t>
            </w:r>
          </w:p>
        </w:tc>
      </w:tr>
      <w:tr w:rsidR="00245DBF" w:rsidTr="0066187C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High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Low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245DBF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29,5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245DBF" w:rsidTr="0066187C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245DBF" w:rsidTr="0066187C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firstLine="240"/>
              <w:rPr>
                <w:rFonts w:ascii="Arial" w:hAnsi="Arial"/>
                <w:sz w:val="18"/>
              </w:rPr>
            </w:pPr>
          </w:p>
        </w:tc>
      </w:tr>
      <w:tr w:rsidR="00245DBF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245DBF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245DBF" w:rsidTr="0066187C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245DBF" w:rsidTr="0066187C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245DBF" w:rsidTr="0066187C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245DBF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 of enterprises</w:t>
            </w:r>
          </w:p>
        </w:tc>
      </w:tr>
      <w:tr w:rsidR="00245DBF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245DBF" w:rsidRDefault="00245DBF" w:rsidP="00245D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245DBF" w:rsidRDefault="00245DBF" w:rsidP="00245D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245DBF" w:rsidRDefault="00245DBF" w:rsidP="00245D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245DBF" w:rsidRDefault="00245DBF" w:rsidP="00245D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lang w:val="en-US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080"/>
        <w:gridCol w:w="1080"/>
        <w:gridCol w:w="1080"/>
        <w:gridCol w:w="1080"/>
        <w:gridCol w:w="1080"/>
        <w:gridCol w:w="1745"/>
        <w:gridCol w:w="55"/>
      </w:tblGrid>
      <w:tr w:rsidR="00245DBF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245DBF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</w:t>
            </w:r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</w:tr>
      <w:tr w:rsidR="00245DBF" w:rsidTr="0066187C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245DBF" w:rsidTr="0066187C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245DBF" w:rsidTr="0066187C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5"/>
              <w:ind w:firstLine="180"/>
              <w:jc w:val="center"/>
            </w:pPr>
            <w:r>
              <w:t>Ekonomická situace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6"/>
              <w:ind w:firstLine="165"/>
              <w:jc w:val="center"/>
              <w:rPr>
                <w:sz w:val="20"/>
                <w:lang w:val="en-US"/>
              </w:rPr>
            </w:pPr>
            <w:r w:rsidRPr="00805363">
              <w:rPr>
                <w:b w:val="0"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conomic situation</w:t>
            </w:r>
          </w:p>
        </w:tc>
      </w:tr>
      <w:tr w:rsidR="00245DBF" w:rsidTr="0066187C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245DBF" w:rsidTr="0066187C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245DBF" w:rsidTr="0066187C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245DBF" w:rsidTr="0066187C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245DBF" w:rsidTr="0066187C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245DBF" w:rsidTr="0066187C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245DBF" w:rsidTr="0066187C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245DBF" w:rsidTr="0066187C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245DBF" w:rsidRDefault="00245DBF" w:rsidP="00245DBF"/>
    <w:p w:rsidR="00245DBF" w:rsidRDefault="00245DBF" w:rsidP="00245DBF"/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1080"/>
        <w:gridCol w:w="1080"/>
        <w:gridCol w:w="1080"/>
        <w:gridCol w:w="1080"/>
        <w:gridCol w:w="2340"/>
      </w:tblGrid>
      <w:tr w:rsidR="00245DBF" w:rsidTr="0066187C">
        <w:trPr>
          <w:trHeight w:val="136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bookmarkStart w:id="0" w:name="_GoBack"/>
            <w:bookmarkEnd w:id="0"/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245DBF" w:rsidTr="0066187C">
        <w:trPr>
          <w:trHeight w:val="168"/>
        </w:trPr>
        <w:tc>
          <w:tcPr>
            <w:tcW w:w="937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lastRenderedPageBreak/>
              <w:t xml:space="preserve">Expected development in enterprises by number of employees in next three months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245DBF" w:rsidTr="0066187C">
        <w:trPr>
          <w:cantSplit/>
          <w:trHeight w:val="308"/>
        </w:trPr>
        <w:tc>
          <w:tcPr>
            <w:tcW w:w="2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Podle počtu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        according to number of employees</w:t>
            </w:r>
          </w:p>
        </w:tc>
      </w:tr>
      <w:tr w:rsidR="00245DBF" w:rsidTr="0066187C">
        <w:trPr>
          <w:cantSplit/>
          <w:trHeight w:val="329"/>
        </w:trPr>
        <w:tc>
          <w:tcPr>
            <w:tcW w:w="27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5DBF" w:rsidRDefault="00245DBF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>Balance (+,-)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DBF" w:rsidRDefault="00245DBF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5"/>
              <w:ind w:firstLine="180"/>
            </w:pPr>
            <w:r>
              <w:t>Poptávka celkem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245DBF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5"/>
              <w:ind w:firstLine="180"/>
            </w:pPr>
            <w:r>
              <w:t>Stavební činnost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54,9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Construction activity</w:t>
            </w:r>
          </w:p>
        </w:tc>
      </w:tr>
      <w:tr w:rsidR="00245DBF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20 – 49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 – 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5"/>
              <w:ind w:firstLine="180"/>
            </w:pPr>
            <w:r>
              <w:t>Počet zaměstnanců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245DBF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-20,5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1000 and more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5"/>
              <w:ind w:left="180"/>
            </w:pPr>
            <w:r>
              <w:t xml:space="preserve"> Celková ekonomická situace v příštích šesti měsících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pStyle w:val="Nadpis6"/>
              <w:ind w:left="165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245DBF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–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 – 19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– 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 – 49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– 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50 – 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– 199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100 – 199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– 399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200 – 399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– 599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400 – 599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600 – 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22,8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600 – 999 </w:t>
            </w:r>
          </w:p>
        </w:tc>
      </w:tr>
      <w:tr w:rsidR="00245DBF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 a více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-11,4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DBF" w:rsidRDefault="00245DBF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1000 and more</w:t>
            </w:r>
          </w:p>
        </w:tc>
      </w:tr>
    </w:tbl>
    <w:p w:rsidR="00702B90" w:rsidRPr="00245DBF" w:rsidRDefault="00702B90" w:rsidP="00245DBF"/>
    <w:sectPr w:rsidR="00702B90" w:rsidRPr="00245DBF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19" w:rsidRDefault="004D7819">
      <w:r>
        <w:separator/>
      </w:r>
    </w:p>
  </w:endnote>
  <w:endnote w:type="continuationSeparator" w:id="0">
    <w:p w:rsidR="004D7819" w:rsidRDefault="004D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C2" w:rsidRDefault="006F5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5DBF">
      <w:rPr>
        <w:rStyle w:val="slostrnky"/>
        <w:noProof/>
      </w:rPr>
      <w:t>9</w:t>
    </w:r>
    <w:r>
      <w:rPr>
        <w:rStyle w:val="slostrnky"/>
      </w:rPr>
      <w:fldChar w:fldCharType="end"/>
    </w:r>
  </w:p>
  <w:p w:rsidR="006F51C2" w:rsidRDefault="006F5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19" w:rsidRDefault="004D7819">
      <w:r>
        <w:separator/>
      </w:r>
    </w:p>
  </w:footnote>
  <w:footnote w:type="continuationSeparator" w:id="0">
    <w:p w:rsidR="004D7819" w:rsidRDefault="004D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86"/>
    <w:rsid w:val="00016B05"/>
    <w:rsid w:val="000417BC"/>
    <w:rsid w:val="000428F4"/>
    <w:rsid w:val="00055273"/>
    <w:rsid w:val="000650A7"/>
    <w:rsid w:val="000756A5"/>
    <w:rsid w:val="000A77C8"/>
    <w:rsid w:val="000D3F81"/>
    <w:rsid w:val="000E0D46"/>
    <w:rsid w:val="000E6242"/>
    <w:rsid w:val="00156331"/>
    <w:rsid w:val="00164EC6"/>
    <w:rsid w:val="001764D2"/>
    <w:rsid w:val="001E0E8E"/>
    <w:rsid w:val="001F3111"/>
    <w:rsid w:val="001F72DF"/>
    <w:rsid w:val="00245DBF"/>
    <w:rsid w:val="00274D86"/>
    <w:rsid w:val="002752E1"/>
    <w:rsid w:val="002A3A8A"/>
    <w:rsid w:val="00373A10"/>
    <w:rsid w:val="00385991"/>
    <w:rsid w:val="003D78A9"/>
    <w:rsid w:val="003E6CC9"/>
    <w:rsid w:val="004209C4"/>
    <w:rsid w:val="00464336"/>
    <w:rsid w:val="004647F7"/>
    <w:rsid w:val="00476BD9"/>
    <w:rsid w:val="00487951"/>
    <w:rsid w:val="004C31C8"/>
    <w:rsid w:val="004D4038"/>
    <w:rsid w:val="004D7819"/>
    <w:rsid w:val="004E428F"/>
    <w:rsid w:val="00527E11"/>
    <w:rsid w:val="0053560D"/>
    <w:rsid w:val="00543565"/>
    <w:rsid w:val="005616A8"/>
    <w:rsid w:val="00581AD8"/>
    <w:rsid w:val="00583FC0"/>
    <w:rsid w:val="005A20BA"/>
    <w:rsid w:val="005D3E26"/>
    <w:rsid w:val="00600D6B"/>
    <w:rsid w:val="00616B46"/>
    <w:rsid w:val="00622097"/>
    <w:rsid w:val="006233A1"/>
    <w:rsid w:val="00643E11"/>
    <w:rsid w:val="006A3F18"/>
    <w:rsid w:val="006B546B"/>
    <w:rsid w:val="006C5DB9"/>
    <w:rsid w:val="006D31D6"/>
    <w:rsid w:val="006F51C2"/>
    <w:rsid w:val="00702B90"/>
    <w:rsid w:val="007904AD"/>
    <w:rsid w:val="007D09FF"/>
    <w:rsid w:val="007E1346"/>
    <w:rsid w:val="007F1884"/>
    <w:rsid w:val="008406AA"/>
    <w:rsid w:val="00845AD0"/>
    <w:rsid w:val="00882C7E"/>
    <w:rsid w:val="008904D3"/>
    <w:rsid w:val="0089676C"/>
    <w:rsid w:val="008A7916"/>
    <w:rsid w:val="00946027"/>
    <w:rsid w:val="00951C31"/>
    <w:rsid w:val="00953EA2"/>
    <w:rsid w:val="0095670C"/>
    <w:rsid w:val="009A52DA"/>
    <w:rsid w:val="00A13080"/>
    <w:rsid w:val="00A561CD"/>
    <w:rsid w:val="00AA78D6"/>
    <w:rsid w:val="00AD2150"/>
    <w:rsid w:val="00B2601A"/>
    <w:rsid w:val="00B428A1"/>
    <w:rsid w:val="00B45DEF"/>
    <w:rsid w:val="00B74E91"/>
    <w:rsid w:val="00B91A77"/>
    <w:rsid w:val="00BA5C2A"/>
    <w:rsid w:val="00BE7647"/>
    <w:rsid w:val="00C50C2C"/>
    <w:rsid w:val="00C64BFD"/>
    <w:rsid w:val="00CA16C3"/>
    <w:rsid w:val="00CA25E4"/>
    <w:rsid w:val="00CA336A"/>
    <w:rsid w:val="00CA61B5"/>
    <w:rsid w:val="00D17346"/>
    <w:rsid w:val="00D314F8"/>
    <w:rsid w:val="00D61DA4"/>
    <w:rsid w:val="00D84FBC"/>
    <w:rsid w:val="00DB4406"/>
    <w:rsid w:val="00DE3109"/>
    <w:rsid w:val="00E10CDB"/>
    <w:rsid w:val="00E203CF"/>
    <w:rsid w:val="00E24F34"/>
    <w:rsid w:val="00E560F3"/>
    <w:rsid w:val="00E92A1F"/>
    <w:rsid w:val="00EA6A8F"/>
    <w:rsid w:val="00EA6C3B"/>
    <w:rsid w:val="00EB39F9"/>
    <w:rsid w:val="00EC1F15"/>
    <w:rsid w:val="00FA4F68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16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16A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Nadpis4Char">
    <w:name w:val="Nadpis 4 Char"/>
    <w:link w:val="Nadpis4"/>
    <w:uiPriority w:val="9"/>
    <w:semiHidden/>
    <w:rsid w:val="005616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"/>
    <w:semiHidden/>
    <w:rsid w:val="005616A8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1AD-BA88-4043-AFB0-9E0F48E3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2017-07-04T07:36:00Z</dcterms:created>
  <dcterms:modified xsi:type="dcterms:W3CDTF">2017-07-04T07:36:00Z</dcterms:modified>
</cp:coreProperties>
</file>