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FC25" w14:textId="36CAF4DD" w:rsidR="00F21B6A" w:rsidRDefault="009C3D4A" w:rsidP="00F21B6A">
      <w:pPr>
        <w:pStyle w:val="Nadpis1"/>
      </w:pPr>
      <w:r w:rsidRPr="009C3D4A">
        <w:t>Vývoj českého trhu práce – 1. čtvrtletí 2026</w:t>
      </w:r>
      <w:r w:rsidR="00C744B6" w:rsidRPr="00C744B6">
        <w:t xml:space="preserve"> </w:t>
      </w:r>
    </w:p>
    <w:p w14:paraId="553D171E" w14:textId="0DD34A6F" w:rsidR="00F21B6A" w:rsidRDefault="000E17F8" w:rsidP="00F21B6A">
      <w:r>
        <w:t>4.6.2026</w:t>
      </w:r>
    </w:p>
    <w:p w14:paraId="23ACC785" w14:textId="54791999" w:rsidR="006A57CC" w:rsidRDefault="00297267" w:rsidP="002E56DA">
      <w:pPr>
        <w:pStyle w:val="Perex"/>
      </w:pPr>
      <w:r>
        <w:t xml:space="preserve">Vývoj na trhu práce je poznamenán rostoucím nesouladem mezi nabídkou a poptávkou po pracovní síle. Míra zaměstnanosti za </w:t>
      </w:r>
      <w:r w:rsidR="741D4D03">
        <w:t xml:space="preserve">osoby ve věku </w:t>
      </w:r>
      <w:r>
        <w:t>15–64 let stagnovala</w:t>
      </w:r>
      <w:r w:rsidR="15697101">
        <w:t>, zvýšila se pouze u</w:t>
      </w:r>
      <w:r w:rsidR="00750C5A">
        <w:t> </w:t>
      </w:r>
      <w:r w:rsidR="15697101">
        <w:t xml:space="preserve">osob starších 65 let. </w:t>
      </w:r>
      <w:r>
        <w:t xml:space="preserve"> </w:t>
      </w:r>
      <w:r w:rsidR="236F187E">
        <w:t>N</w:t>
      </w:r>
      <w:r>
        <w:t xml:space="preserve">ezaměstnanost </w:t>
      </w:r>
      <w:r w:rsidR="000A2E4D">
        <w:t>meziročn</w:t>
      </w:r>
      <w:r>
        <w:t xml:space="preserve">ě </w:t>
      </w:r>
      <w:r w:rsidR="000A2E4D">
        <w:t>vz</w:t>
      </w:r>
      <w:r>
        <w:t xml:space="preserve">rostla, včetně její dlouhodobé složky. Průměrná mzda se meziročně nominálně zvýšila o </w:t>
      </w:r>
      <w:r w:rsidR="00983EE8">
        <w:t>8,1</w:t>
      </w:r>
      <w:r>
        <w:t xml:space="preserve"> % a reálně o </w:t>
      </w:r>
      <w:r w:rsidR="00983EE8">
        <w:t>6,4</w:t>
      </w:r>
      <w:r>
        <w:t xml:space="preserve"> %.</w:t>
      </w:r>
    </w:p>
    <w:p w14:paraId="2F9EE9C9" w14:textId="48AA1FC7" w:rsidR="00C51A00" w:rsidRDefault="00C51A00" w:rsidP="002E56DA">
      <w:pPr>
        <w:jc w:val="left"/>
      </w:pPr>
      <w:r>
        <w:t xml:space="preserve">Přes hospodářské oživení se v posledním </w:t>
      </w:r>
      <w:r w:rsidR="622F619E">
        <w:t>r</w:t>
      </w:r>
      <w:r>
        <w:t>o</w:t>
      </w:r>
      <w:r w:rsidR="06101F5B">
        <w:t>ce</w:t>
      </w:r>
      <w:r>
        <w:t xml:space="preserve"> mírně zvyšovala nezaměstnanost, což svědčí o</w:t>
      </w:r>
      <w:r w:rsidR="0010390A">
        <w:t> </w:t>
      </w:r>
      <w:r>
        <w:t xml:space="preserve">rostoucím nesouladu na českém trhu práce. Podniky hledají zaměstnance s jinými dovednostmi, než které nabízí volná pracovní síla, a tato dlouhodobá neshoda se prohlubuje s nástupem nových technologií vyžadujících speciální dovednosti. Úsilí státu i zaměstnavatelů o rekvalifikace či </w:t>
      </w:r>
      <w:r w:rsidR="2D36B982">
        <w:t>o z</w:t>
      </w:r>
      <w:r w:rsidR="12A22CCF">
        <w:t>lepšení stávajících schopností (</w:t>
      </w:r>
      <w:r>
        <w:t>upskilling</w:t>
      </w:r>
      <w:r w:rsidR="5AB7BAAB">
        <w:t>)</w:t>
      </w:r>
      <w:r>
        <w:t xml:space="preserve"> svých zaměstnanců není úměrné aktuálním požadavkům. Nedostatečné propojení školství s</w:t>
      </w:r>
      <w:r w:rsidR="0010390A">
        <w:t> </w:t>
      </w:r>
      <w:r>
        <w:t>potřebami ekonomiky zhoršuje situaci také u mladých lidí, u kterých přetrvává vysoká míra nezaměstnanosti, včetně čerstvých absolventů.</w:t>
      </w:r>
    </w:p>
    <w:p w14:paraId="7E7B9144" w14:textId="17A7CF06" w:rsidR="00C51A00" w:rsidRDefault="00C51A00" w:rsidP="002E56DA">
      <w:pPr>
        <w:jc w:val="left"/>
      </w:pPr>
      <w:r>
        <w:t>Strukturální změny v ekonomice vedou k vyššímu zájmu o kvalifikovanou pracovní sílu v sektoru služeb a se zvýšeným důrazem v posledním období také ve stavebnictví. Regionálně je situace značně různorodá, česká pracovní síla má omezené možnosti stěhování za prací v důsledku nedostupného bydlení. Nedostatek pracovních sil je proto často kompenzován ze zahraničních zdrojů, což však s</w:t>
      </w:r>
      <w:r w:rsidR="0010390A">
        <w:t> </w:t>
      </w:r>
      <w:r>
        <w:t xml:space="preserve">sebou </w:t>
      </w:r>
      <w:r w:rsidR="001D4F65">
        <w:t>může nést</w:t>
      </w:r>
      <w:r>
        <w:t xml:space="preserve"> celospolečenské důsledky.</w:t>
      </w:r>
    </w:p>
    <w:p w14:paraId="6580E852" w14:textId="77777777" w:rsidR="00C51A00" w:rsidRDefault="00C51A00" w:rsidP="002E56DA">
      <w:pPr>
        <w:jc w:val="left"/>
      </w:pPr>
    </w:p>
    <w:p w14:paraId="1D5D6D21" w14:textId="77777777" w:rsidR="00C51A00" w:rsidRPr="00C51A00" w:rsidRDefault="00C51A00" w:rsidP="002E56DA">
      <w:pPr>
        <w:jc w:val="left"/>
        <w:rPr>
          <w:b/>
          <w:bCs/>
        </w:rPr>
      </w:pPr>
      <w:r w:rsidRPr="00C51A00">
        <w:rPr>
          <w:b/>
          <w:bCs/>
        </w:rPr>
        <w:t>Zaměstnanost, nezaměstnanost a ekonomická neaktivita</w:t>
      </w:r>
    </w:p>
    <w:p w14:paraId="24304E93" w14:textId="096C1221" w:rsidR="00C51A00" w:rsidRDefault="00C51A00" w:rsidP="002E56DA">
      <w:pPr>
        <w:jc w:val="left"/>
      </w:pPr>
      <w:r>
        <w:t xml:space="preserve">Výsledky Výběrového šetření pracovních sil (VŠPS) neukázaly pro 1. čtvrtletí 2026 </w:t>
      </w:r>
      <w:r w:rsidR="58863D9D">
        <w:t>výraznější</w:t>
      </w:r>
      <w:r w:rsidR="00750C5A">
        <w:t xml:space="preserve"> </w:t>
      </w:r>
      <w:r>
        <w:t>změny trendů. To však neznamená, že se neproměňoval</w:t>
      </w:r>
      <w:r w:rsidR="3CC8B1D2">
        <w:t>a</w:t>
      </w:r>
      <w:r>
        <w:t xml:space="preserve"> struktur</w:t>
      </w:r>
      <w:r w:rsidR="2257CC94">
        <w:t>a</w:t>
      </w:r>
      <w:r>
        <w:t xml:space="preserve"> trhu práce. Zaměstnanost (počet pracujících) se meziročně zvýšila v souladu s demografickými pohyby o</w:t>
      </w:r>
      <w:r w:rsidR="000A2E4D">
        <w:t> </w:t>
      </w:r>
      <w:r>
        <w:t>1,1 %, tj.</w:t>
      </w:r>
      <w:r w:rsidR="000A2E4D">
        <w:t> </w:t>
      </w:r>
      <w:r>
        <w:t>o</w:t>
      </w:r>
      <w:r w:rsidR="000A2E4D">
        <w:t> </w:t>
      </w:r>
      <w:r>
        <w:t>58,6 tis., na</w:t>
      </w:r>
      <w:r w:rsidR="00181B80">
        <w:t> </w:t>
      </w:r>
      <w:r>
        <w:t>celkových 5 283,9 tis. Zatímco v primárním a sekundárním sektoru počet pracujících klesal (celkově o</w:t>
      </w:r>
      <w:r w:rsidR="00181B80">
        <w:t> </w:t>
      </w:r>
      <w:r>
        <w:t>30,7 tis.), v terciárním sektoru dále vzrostl o 89,3 tisíc. V sektoru služeb a péče tak aktuálně pracovalo již 63,3 % pracujících, přičemž výrazně dominovaly ženy.</w:t>
      </w:r>
    </w:p>
    <w:p w14:paraId="6C433118" w14:textId="19F67078" w:rsidR="00C51A00" w:rsidRDefault="00C51A00" w:rsidP="002E56DA">
      <w:pPr>
        <w:jc w:val="left"/>
      </w:pPr>
      <w:r>
        <w:t xml:space="preserve">Míra zaměstnanosti (podílu počtu pracujících osob) se celkově u 15+letých zvýšila o 0,3 p.b., na druhou stranu ve sledované skupině 15–64letých </w:t>
      </w:r>
      <w:r w:rsidR="026CC4DE">
        <w:t xml:space="preserve">zůstala </w:t>
      </w:r>
      <w:r>
        <w:t>meziročně na stejné hodnotě 75,5</w:t>
      </w:r>
      <w:r w:rsidR="00181B80">
        <w:t> </w:t>
      </w:r>
      <w:r>
        <w:t>%. To</w:t>
      </w:r>
      <w:r w:rsidR="00DC6B9A">
        <w:t> </w:t>
      </w:r>
      <w:r>
        <w:t>platilo pro obě pohlaví, u mužů setrvala míra zaměstnanosti 80,1 % a u žen 70,9 %.</w:t>
      </w:r>
    </w:p>
    <w:p w14:paraId="68BF61CC" w14:textId="02B265C2" w:rsidR="00C51A00" w:rsidRDefault="00C51A00" w:rsidP="002E56DA">
      <w:pPr>
        <w:jc w:val="left"/>
      </w:pPr>
      <w:r>
        <w:t>Pozoruhodná je z výsledků VŠPS také proměna proporcí mezi skupinami podnikatelů a zaměstnanců. Počet podnikatelů bez zaměstnanců (pracujících na vlastní účet) meziročně vzrostl o 35,9 tis. (o</w:t>
      </w:r>
      <w:r w:rsidR="002E56DA">
        <w:t> </w:t>
      </w:r>
      <w:r>
        <w:t>5,3</w:t>
      </w:r>
      <w:r w:rsidR="002E56DA">
        <w:t> </w:t>
      </w:r>
      <w:r>
        <w:t>%), zatímco počet podnikatelů se zaměstnanci (zaměstnavatelů) byl meziročně nižší o 8,1 tis. (tj.</w:t>
      </w:r>
      <w:r w:rsidR="002E56DA">
        <w:t> </w:t>
      </w:r>
      <w:r>
        <w:t>úbytek o</w:t>
      </w:r>
      <w:r w:rsidR="00181B80">
        <w:t> </w:t>
      </w:r>
      <w:r>
        <w:t xml:space="preserve">7,0 %). Počet </w:t>
      </w:r>
      <w:r w:rsidR="000A2E4D">
        <w:t xml:space="preserve">největší skupiny </w:t>
      </w:r>
      <w:r>
        <w:t>zaměstnanců vzrostl pouze o</w:t>
      </w:r>
      <w:r w:rsidR="000A2E4D">
        <w:t> </w:t>
      </w:r>
      <w:r>
        <w:t>29,9 tis. (tj. o</w:t>
      </w:r>
      <w:r w:rsidR="000A2E4D">
        <w:t> </w:t>
      </w:r>
      <w:r>
        <w:t>0,7 %). Podíl podnikatelů na celkové zaměstnanosti tak meziročně vzrostl o 0,5 p.b. na 15,8 %.</w:t>
      </w:r>
    </w:p>
    <w:p w14:paraId="1117C786" w14:textId="576304F2" w:rsidR="00C51A00" w:rsidRDefault="00C51A00" w:rsidP="002E56DA">
      <w:pPr>
        <w:jc w:val="left"/>
      </w:pPr>
      <w:r>
        <w:t xml:space="preserve">Dále pokračoval trend rozšiřování kratších úvazků u žen. </w:t>
      </w:r>
      <w:r w:rsidR="0024632D" w:rsidRPr="0024632D">
        <w:t>Aktuálně dosáhl počet kratších úvazků v</w:t>
      </w:r>
      <w:r w:rsidR="00CC67FF">
        <w:t> </w:t>
      </w:r>
      <w:r w:rsidR="0024632D" w:rsidRPr="0024632D">
        <w:t>hlavním zaměstnání celkově</w:t>
      </w:r>
      <w:r>
        <w:t xml:space="preserve"> 524,4 tis., meziročně vzrostl o 24,6 tis., tj. o 4,9 %. Zkrácenou pracovní dobu mělo již 15,4 % pracujících žen. Mužů pracovalo na částečný úvazek jen 5,2 %, nejčastěji jde o</w:t>
      </w:r>
      <w:r w:rsidR="002E56DA">
        <w:t> </w:t>
      </w:r>
      <w:r>
        <w:t>seniory.</w:t>
      </w:r>
    </w:p>
    <w:p w14:paraId="584E0F2F" w14:textId="729102FB" w:rsidR="00C51A00" w:rsidRDefault="00C51A00" w:rsidP="002E56DA">
      <w:pPr>
        <w:jc w:val="left"/>
      </w:pPr>
      <w:r>
        <w:lastRenderedPageBreak/>
        <w:t>Nezaměstnanost se meziročně zvýšila, když počet lidí hledajících zaměstnání vzrostl o 31,4 tis. na</w:t>
      </w:r>
      <w:r w:rsidR="00181B80">
        <w:t> </w:t>
      </w:r>
      <w:r>
        <w:t>170,8 tis. Míra nezaměstnanosti se zvýšila o 0,6 p. b. na 3,2 %. V regionálním pohledu byla nejhorší situace v regionu soudržnosti Severozápad (6,3 %) a Moravskoslezsko (5,1 %). Na</w:t>
      </w:r>
      <w:r w:rsidR="00817554">
        <w:t>opak</w:t>
      </w:r>
      <w:r>
        <w:t xml:space="preserve"> nejnižší míry zůstaly </w:t>
      </w:r>
      <w:r w:rsidR="00CC67FF">
        <w:t>v regionech Střední Čechy (1,8 %) a Praha (2,1 %)</w:t>
      </w:r>
      <w:r>
        <w:t xml:space="preserve">. </w:t>
      </w:r>
      <w:bookmarkStart w:id="0" w:name="_Int_Yzlt0gjn"/>
      <w:r>
        <w:t>Déle</w:t>
      </w:r>
      <w:bookmarkEnd w:id="0"/>
      <w:r>
        <w:t xml:space="preserve"> než rok bylo bez práce 54,7</w:t>
      </w:r>
      <w:r w:rsidR="00030189">
        <w:t> </w:t>
      </w:r>
      <w:r>
        <w:t>tis. osob, tj. takřka třetina (32,1 %) všech nezaměstnaných, počet dlouhodobě nezaměstnaných se meziročně zvýšil o 19,6 tis.</w:t>
      </w:r>
      <w:r w:rsidR="004A1ED6">
        <w:t xml:space="preserve"> Tento trend je i v souladu s údaji Úřadu práce ČR.</w:t>
      </w:r>
    </w:p>
    <w:p w14:paraId="45A95E0F" w14:textId="6EEEC378" w:rsidR="00C51A00" w:rsidRDefault="00C51A00" w:rsidP="002E56DA">
      <w:pPr>
        <w:jc w:val="left"/>
      </w:pPr>
      <w:r>
        <w:t xml:space="preserve">Pracovní rezerva (osoby, které nepracují, </w:t>
      </w:r>
      <w:r w:rsidR="6FF8A371">
        <w:t xml:space="preserve">současně </w:t>
      </w:r>
      <w:r>
        <w:t xml:space="preserve">aktivně práci nehledají, </w:t>
      </w:r>
      <w:r w:rsidR="4D5D9506">
        <w:t xml:space="preserve">čímž </w:t>
      </w:r>
      <w:r w:rsidR="000069A2">
        <w:t>nesplňují podmínky</w:t>
      </w:r>
      <w:r>
        <w:t xml:space="preserve"> </w:t>
      </w:r>
      <w:r w:rsidR="672B493F">
        <w:t xml:space="preserve">VŠPS </w:t>
      </w:r>
      <w:r>
        <w:t xml:space="preserve">pro nezaměstnané, </w:t>
      </w:r>
      <w:r w:rsidR="2955040C">
        <w:t xml:space="preserve">nicméně </w:t>
      </w:r>
      <w:r>
        <w:t>uvádějí, že by chtěly pracovat) se snížila o 6,1 tis. na 73,3 tis.</w:t>
      </w:r>
    </w:p>
    <w:p w14:paraId="0D8A3314" w14:textId="77777777" w:rsidR="00C51A00" w:rsidRDefault="00C51A00" w:rsidP="002E56DA">
      <w:pPr>
        <w:jc w:val="left"/>
      </w:pPr>
      <w:r>
        <w:t>Lze tak shrnout, že český trh práce je značně vyprázdněný. Ekonomická aktivita obyvatel se sice zvyšuje, avšak díky prodlužování pracovní kariéry do vyššího věku a v důsledku růstu nezaměstnanosti.</w:t>
      </w:r>
    </w:p>
    <w:p w14:paraId="09D640A3" w14:textId="66CD222A" w:rsidR="00C51A00" w:rsidRPr="00AB1F88" w:rsidRDefault="00C51A00" w:rsidP="002E56DA">
      <w:pPr>
        <w:jc w:val="left"/>
        <w:rPr>
          <w:i/>
          <w:iCs/>
        </w:rPr>
      </w:pPr>
      <w:r w:rsidRPr="00AB1F88">
        <w:rPr>
          <w:i/>
          <w:iCs/>
        </w:rPr>
        <w:t>Poznámka: VŠPS pokrývá jen osoby bydlící v bytech, nikoli na ubytovnách a v podobných kolektivních domácnostech. To negativně ovlivňuje zachycení některých cizineckých skupin, kteří takové způsoby bydlení často využívají. Metodika vážení a dopočtů VŠPS byla od roku 2023 přizpůsobena tomuto způsobu zjišťování, což poznamenalo dlouhodobé časové řady údajů o</w:t>
      </w:r>
      <w:r w:rsidR="00DC6B9A">
        <w:rPr>
          <w:i/>
          <w:iCs/>
        </w:rPr>
        <w:t> </w:t>
      </w:r>
      <w:r w:rsidRPr="00AB1F88">
        <w:rPr>
          <w:i/>
          <w:iCs/>
        </w:rPr>
        <w:t>zaměstnanosti, zejména v</w:t>
      </w:r>
      <w:r w:rsidR="00030189">
        <w:rPr>
          <w:i/>
          <w:iCs/>
        </w:rPr>
        <w:t> </w:t>
      </w:r>
      <w:r w:rsidRPr="00AB1F88">
        <w:rPr>
          <w:i/>
          <w:iCs/>
        </w:rPr>
        <w:t>třídění na věkové skupiny. Váhy VŠPS se každé čtvrtletí upravují podle výsledků demografických statistik.</w:t>
      </w:r>
    </w:p>
    <w:p w14:paraId="7B7A73CB" w14:textId="77777777" w:rsidR="00C51A00" w:rsidRDefault="00C51A00" w:rsidP="002E56DA">
      <w:pPr>
        <w:jc w:val="left"/>
      </w:pPr>
    </w:p>
    <w:p w14:paraId="23B936FF" w14:textId="77777777" w:rsidR="00C51A00" w:rsidRPr="00C51A00" w:rsidRDefault="00C51A00" w:rsidP="002E56DA">
      <w:pPr>
        <w:jc w:val="left"/>
        <w:rPr>
          <w:b/>
          <w:bCs/>
        </w:rPr>
      </w:pPr>
      <w:r w:rsidRPr="00C51A00">
        <w:rPr>
          <w:b/>
          <w:bCs/>
        </w:rPr>
        <w:t>Evidenční počet zaměstnanců přepočtený na plně zaměstnané</w:t>
      </w:r>
    </w:p>
    <w:p w14:paraId="2580311A" w14:textId="2188C376" w:rsidR="00DA6A52" w:rsidRPr="001D6297" w:rsidRDefault="00C51A00" w:rsidP="002E56DA">
      <w:pPr>
        <w:jc w:val="left"/>
      </w:pPr>
      <w:r>
        <w:t xml:space="preserve">Předběžné údaje podnikové statistiky ČSÚ </w:t>
      </w:r>
      <w:r w:rsidR="00DA6A52">
        <w:t>ukazu</w:t>
      </w:r>
      <w:r>
        <w:t xml:space="preserve">jí </w:t>
      </w:r>
      <w:r w:rsidR="001D6297">
        <w:t xml:space="preserve">mírný </w:t>
      </w:r>
      <w:r w:rsidR="00DA6A52">
        <w:t xml:space="preserve">obrat </w:t>
      </w:r>
      <w:r>
        <w:t>trend</w:t>
      </w:r>
      <w:r w:rsidR="00DA6A52">
        <w:t>u</w:t>
      </w:r>
      <w:r>
        <w:t xml:space="preserve">. Evidenční počet zaměstnanců přepočtených na plně zaměstnané se v 1. čtvrtletí 2026 meziročně zvýšil o </w:t>
      </w:r>
      <w:r w:rsidR="001D6297">
        <w:t>22,8</w:t>
      </w:r>
      <w:r w:rsidR="009E3A7D">
        <w:t> </w:t>
      </w:r>
      <w:r>
        <w:t>tis., v relativním vyjádření o 0,</w:t>
      </w:r>
      <w:r w:rsidR="00CE425F">
        <w:t>6</w:t>
      </w:r>
      <w:r>
        <w:t xml:space="preserve"> %. (Evidenční počet zaměstnanců ve fyzických osobách se zvýšil o </w:t>
      </w:r>
      <w:r w:rsidR="00DA6A52">
        <w:t>18,8</w:t>
      </w:r>
      <w:r w:rsidR="009E3A7D">
        <w:t> </w:t>
      </w:r>
      <w:r>
        <w:t>tis., resp.</w:t>
      </w:r>
      <w:r w:rsidR="001C563C">
        <w:t> </w:t>
      </w:r>
      <w:r>
        <w:t>0,</w:t>
      </w:r>
      <w:r w:rsidR="00DA6A52">
        <w:t>4 </w:t>
      </w:r>
      <w:r>
        <w:t>%.)</w:t>
      </w:r>
    </w:p>
    <w:p w14:paraId="22052AA3" w14:textId="0DEA39DA" w:rsidR="00C51A00" w:rsidRPr="007D0AB4" w:rsidRDefault="00C51A00" w:rsidP="002E56DA">
      <w:pPr>
        <w:jc w:val="left"/>
        <w:rPr>
          <w:color w:val="A1090A" w:themeColor="accent2" w:themeShade="BF"/>
        </w:rPr>
      </w:pPr>
      <w:r w:rsidRPr="00DA6A52">
        <w:t xml:space="preserve">Zatímco </w:t>
      </w:r>
      <w:r w:rsidR="00DA6A52">
        <w:t xml:space="preserve">tedy </w:t>
      </w:r>
      <w:r w:rsidRPr="00DA6A52">
        <w:t xml:space="preserve">celková čísla za poslední dva roky </w:t>
      </w:r>
      <w:r w:rsidR="00DA6A52" w:rsidRPr="00DA6A52">
        <w:t xml:space="preserve">2024 a 2025 </w:t>
      </w:r>
      <w:r w:rsidRPr="00DA6A52">
        <w:t>představ</w:t>
      </w:r>
      <w:r w:rsidR="00DA6A52" w:rsidRPr="00DA6A52">
        <w:t>ovala</w:t>
      </w:r>
      <w:r w:rsidRPr="00DA6A52">
        <w:t xml:space="preserve"> spíše stagnaci </w:t>
      </w:r>
      <w:r w:rsidR="00DA6A52" w:rsidRPr="00DA6A52">
        <w:t xml:space="preserve">až pokles </w:t>
      </w:r>
      <w:r w:rsidR="00DA6A52">
        <w:t xml:space="preserve">evidenčního </w:t>
      </w:r>
      <w:r w:rsidRPr="00DA6A52">
        <w:t>počtu zaměstnanců, v</w:t>
      </w:r>
      <w:r w:rsidR="00DA6A52" w:rsidRPr="00DA6A52">
        <w:t> 1. čtvrtletí 2026 je zřeteln</w:t>
      </w:r>
      <w:r w:rsidR="00DA6A52">
        <w:t>ější</w:t>
      </w:r>
      <w:r w:rsidR="00DA6A52" w:rsidRPr="00DA6A52">
        <w:t xml:space="preserve"> nárůst. Ten v</w:t>
      </w:r>
      <w:r w:rsidR="00DA6A52">
        <w:t>š</w:t>
      </w:r>
      <w:r w:rsidR="00DA6A52" w:rsidRPr="00DA6A52">
        <w:t xml:space="preserve">ak nebyl </w:t>
      </w:r>
      <w:r w:rsidR="00DA6A52">
        <w:t xml:space="preserve">zdaleka </w:t>
      </w:r>
      <w:r w:rsidR="00DA6A52" w:rsidRPr="00DA6A52">
        <w:t>plošný, v </w:t>
      </w:r>
      <w:r w:rsidRPr="00DA6A52">
        <w:t>třídění dle sekcí CZ-NACE aktuálně nalézáme některé výrazné růsty a poklesy, což svědčí o</w:t>
      </w:r>
      <w:r w:rsidR="0065771A">
        <w:t> </w:t>
      </w:r>
      <w:r w:rsidRPr="00DA6A52">
        <w:t>tom, že trh práce se vnitřně proměňuje a dochází k fluktuaci zaměstnanců.</w:t>
      </w:r>
    </w:p>
    <w:p w14:paraId="3BDCA959" w14:textId="1632BA6E" w:rsidR="00B06F3B" w:rsidRPr="00506A3C" w:rsidRDefault="00B06F3B" w:rsidP="002E56DA">
      <w:pPr>
        <w:jc w:val="left"/>
      </w:pPr>
      <w:r w:rsidRPr="007D0AB4">
        <w:t xml:space="preserve">Růst počtu </w:t>
      </w:r>
      <w:r w:rsidRPr="00455AA8">
        <w:t xml:space="preserve">zaměstnanců se opět soustředil v oblasti služeb a péče, </w:t>
      </w:r>
      <w:r w:rsidR="00F735FA">
        <w:t xml:space="preserve">nově též ve stavebnictví, </w:t>
      </w:r>
      <w:r w:rsidRPr="00455AA8">
        <w:t xml:space="preserve">zatímco pokles nacházíme </w:t>
      </w:r>
      <w:r w:rsidRPr="005814C6">
        <w:t xml:space="preserve">především v průmyslu. V sedmi sekcích CZ-NACE se počet zaměstnanců meziročně snížil, celkem o 13,3 tis. Ve </w:t>
      </w:r>
      <w:r w:rsidRPr="00506A3C">
        <w:t>zbylých dvanácti sekcích se zvýšil o 36,1 tis. Jednotlivě šlo o</w:t>
      </w:r>
      <w:r w:rsidR="0065771A">
        <w:t> </w:t>
      </w:r>
      <w:r w:rsidRPr="00506A3C">
        <w:t>relativní přírůstky či úbytky v širokém rozsahu od -10,6 % do 6,1 %. Tyto extrémy ale byly u početně nevýznamných odvětví.</w:t>
      </w:r>
    </w:p>
    <w:p w14:paraId="1B597D0C" w14:textId="03696D5E" w:rsidR="00B06F3B" w:rsidRPr="007D0AB4" w:rsidRDefault="00B06F3B" w:rsidP="002E56DA">
      <w:pPr>
        <w:jc w:val="left"/>
        <w:rPr>
          <w:color w:val="A1090A" w:themeColor="accent2" w:themeShade="BF"/>
        </w:rPr>
      </w:pPr>
      <w:r w:rsidRPr="00E175D1">
        <w:t>Velká část poklesu jde za zpracovatelským průmyslem, kde ubylo 7,2 tis. zaměstnanců. Relativně šlo o</w:t>
      </w:r>
      <w:r>
        <w:t> </w:t>
      </w:r>
      <w:r w:rsidRPr="00E175D1">
        <w:t>ne</w:t>
      </w:r>
      <w:r>
        <w:t>výrazné</w:t>
      </w:r>
      <w:r w:rsidRPr="00E175D1">
        <w:t xml:space="preserve"> snížení o 0,7 %, nicméně </w:t>
      </w:r>
      <w:r>
        <w:t xml:space="preserve">tento </w:t>
      </w:r>
      <w:r w:rsidRPr="00E175D1">
        <w:t>úbyt</w:t>
      </w:r>
      <w:r>
        <w:t>e</w:t>
      </w:r>
      <w:r w:rsidRPr="00E175D1">
        <w:t xml:space="preserve">k </w:t>
      </w:r>
      <w:r>
        <w:t xml:space="preserve">navazuje na dlouhou řadu předchozích z minulých </w:t>
      </w:r>
      <w:r w:rsidRPr="00975F17">
        <w:t xml:space="preserve">let. V 1. čtvrtletí </w:t>
      </w:r>
      <w:r w:rsidRPr="002919B4">
        <w:t>2018 měl zpracovatelský průmysl ještě 1 152,2 tis. zaměstnanců, aktuálně 1 032,5</w:t>
      </w:r>
      <w:r w:rsidR="0065771A">
        <w:t> </w:t>
      </w:r>
      <w:r w:rsidRPr="002919B4">
        <w:t xml:space="preserve">tis., </w:t>
      </w:r>
      <w:r w:rsidRPr="006A3F86">
        <w:t xml:space="preserve">zmenšil se tedy o 119,7 tis. (resp. o 10,4 %). Zpracovatelský průmysl každopádně stále představuje největší </w:t>
      </w:r>
      <w:r w:rsidR="002D504A">
        <w:t>sekci CZ-NACE</w:t>
      </w:r>
      <w:r w:rsidRPr="006A3F86">
        <w:t xml:space="preserve"> v Česku a </w:t>
      </w:r>
      <w:r w:rsidR="004659C7">
        <w:t xml:space="preserve">jako jediná </w:t>
      </w:r>
      <w:r w:rsidRPr="006A3F86">
        <w:t>zaměstnával</w:t>
      </w:r>
      <w:r w:rsidR="004659C7">
        <w:t>a</w:t>
      </w:r>
      <w:r w:rsidRPr="006A3F86">
        <w:t xml:space="preserve"> více jak milion zaměstnanců. Tabulka</w:t>
      </w:r>
      <w:r w:rsidR="002D504A">
        <w:t> </w:t>
      </w:r>
      <w:r w:rsidRPr="006A3F86">
        <w:t>1 Rychlých informací o průměrných mzdách proto poskytuje oddíly CZ-NACE z</w:t>
      </w:r>
      <w:r>
        <w:t> </w:t>
      </w:r>
      <w:r w:rsidRPr="006A3F86">
        <w:t xml:space="preserve">této sekce, </w:t>
      </w:r>
      <w:r w:rsidRPr="00EE6234">
        <w:t>které byly největší z hlediska počtu zaměstnanců. V pěti těchto oddílech najdeme poklesy počtu zaměstn</w:t>
      </w:r>
      <w:r w:rsidRPr="002F22C7">
        <w:t>anců, nejhlubší početně i </w:t>
      </w:r>
      <w:r w:rsidRPr="001371AF">
        <w:t>v relativním vyjádření byl ve výrobě motorových vozidel (2,0 %; 3,3 tis.). Pouze ve dvou vybran</w:t>
      </w:r>
      <w:r w:rsidRPr="0004208F">
        <w:t>ých oddílech došlo k nárůstu počtu zaměstnanců, a</w:t>
      </w:r>
      <w:r w:rsidR="0065771A">
        <w:t> </w:t>
      </w:r>
      <w:r w:rsidRPr="0004208F">
        <w:t>těmi byly výroba potravinářských výrobků (1,6 %; 1,4 tis.) a výroba kovových konstrukcí a</w:t>
      </w:r>
      <w:r w:rsidR="0065771A">
        <w:t> </w:t>
      </w:r>
      <w:r w:rsidRPr="0004208F">
        <w:t>kovodělných výrobků, kromě strojů a zařízení (1,4 %; 1,9 tis.).</w:t>
      </w:r>
    </w:p>
    <w:p w14:paraId="3B416730" w14:textId="77777777" w:rsidR="00C51A00" w:rsidRPr="007D0AB4" w:rsidRDefault="00C51A00" w:rsidP="002E56DA">
      <w:pPr>
        <w:jc w:val="left"/>
        <w:rPr>
          <w:color w:val="A1090A" w:themeColor="accent2" w:themeShade="BF"/>
        </w:rPr>
      </w:pPr>
    </w:p>
    <w:p w14:paraId="56F99B3E" w14:textId="14D68A64" w:rsidR="004659C7" w:rsidRDefault="00C51A00" w:rsidP="002E56DA">
      <w:pPr>
        <w:jc w:val="left"/>
        <w:rPr>
          <w:color w:val="A1090A" w:themeColor="accent2" w:themeShade="BF"/>
        </w:rPr>
      </w:pPr>
      <w:r w:rsidRPr="5EA0CB92">
        <w:rPr>
          <w:b/>
          <w:bCs/>
          <w:color w:val="A1090A" w:themeColor="accent2" w:themeShade="BF"/>
        </w:rPr>
        <w:t xml:space="preserve">Graf: Meziroční </w:t>
      </w:r>
      <w:r w:rsidR="51CA8045" w:rsidRPr="5EA0CB92">
        <w:rPr>
          <w:b/>
          <w:bCs/>
          <w:color w:val="A1090A" w:themeColor="accent2" w:themeShade="BF"/>
        </w:rPr>
        <w:t>změny</w:t>
      </w:r>
      <w:r w:rsidRPr="5EA0CB92">
        <w:rPr>
          <w:b/>
          <w:bCs/>
          <w:color w:val="A1090A" w:themeColor="accent2" w:themeShade="BF"/>
        </w:rPr>
        <w:t xml:space="preserve"> přepočtených počtů zaměstnanců podle sekcí CZ-NACE</w:t>
      </w:r>
    </w:p>
    <w:p w14:paraId="7D543D38" w14:textId="241C2719" w:rsidR="00C51A00" w:rsidRPr="007D0AB4" w:rsidRDefault="004659C7" w:rsidP="002E56DA">
      <w:pPr>
        <w:jc w:val="left"/>
        <w:rPr>
          <w:sz w:val="18"/>
          <w:szCs w:val="18"/>
        </w:rPr>
      </w:pPr>
      <w:r>
        <w:rPr>
          <w:noProof/>
        </w:rPr>
        <w:drawing>
          <wp:inline distT="0" distB="0" distL="0" distR="0" wp14:anchorId="13A84B28" wp14:editId="0E420136">
            <wp:extent cx="5760085" cy="3486150"/>
            <wp:effectExtent l="0" t="0" r="12065" b="0"/>
            <wp:docPr id="153528271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295104D0-36C9-7D88-B306-08863450D5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</w:rPr>
        <w:t xml:space="preserve"> </w:t>
      </w:r>
      <w:r w:rsidR="00C51A00" w:rsidRPr="392988E7">
        <w:rPr>
          <w:sz w:val="18"/>
          <w:szCs w:val="18"/>
        </w:rPr>
        <w:t>Zdroj: mzdová statistika ČSÚ</w:t>
      </w:r>
    </w:p>
    <w:p w14:paraId="23BD9258" w14:textId="77777777" w:rsidR="00C51A00" w:rsidRPr="007D0AB4" w:rsidRDefault="00C51A00" w:rsidP="002E56DA">
      <w:pPr>
        <w:jc w:val="left"/>
        <w:rPr>
          <w:color w:val="A1090A" w:themeColor="accent2" w:themeShade="BF"/>
        </w:rPr>
      </w:pPr>
    </w:p>
    <w:p w14:paraId="1B34D634" w14:textId="256A1857" w:rsidR="00C51A00" w:rsidRPr="007D0AB4" w:rsidRDefault="00C51A00" w:rsidP="002E56DA">
      <w:pPr>
        <w:jc w:val="left"/>
        <w:rPr>
          <w:color w:val="A1090A" w:themeColor="accent2" w:themeShade="BF"/>
        </w:rPr>
      </w:pPr>
      <w:r w:rsidRPr="00163605">
        <w:t>Největší relativní snížení počtu zaměstnanců bylo v sekci těžba a dobývání, již zcela marginálním odvětví, kde se stavy aktuálně snížily o 10</w:t>
      </w:r>
      <w:r w:rsidR="00163605" w:rsidRPr="00163605">
        <w:t>,6</w:t>
      </w:r>
      <w:r w:rsidRPr="00163605">
        <w:t xml:space="preserve"> %, což představovalo úbytek o </w:t>
      </w:r>
      <w:r w:rsidR="00163605" w:rsidRPr="00163605">
        <w:t>1,7</w:t>
      </w:r>
      <w:r w:rsidRPr="00163605">
        <w:t xml:space="preserve"> tis. na 1</w:t>
      </w:r>
      <w:r w:rsidR="00163605" w:rsidRPr="00163605">
        <w:t>4,3</w:t>
      </w:r>
      <w:r w:rsidRPr="00163605">
        <w:t xml:space="preserve"> tis.</w:t>
      </w:r>
      <w:r w:rsidR="00B511B1">
        <w:t xml:space="preserve"> </w:t>
      </w:r>
      <w:r w:rsidR="001D4F65">
        <w:t>P</w:t>
      </w:r>
      <w:r w:rsidR="00B511B1">
        <w:t>řekvap</w:t>
      </w:r>
      <w:r w:rsidR="001D4F65">
        <w:t>ivé</w:t>
      </w:r>
      <w:r w:rsidR="00B511B1">
        <w:t xml:space="preserve"> mohou být záporné hodnoty u</w:t>
      </w:r>
      <w:r w:rsidR="004659C7">
        <w:t> </w:t>
      </w:r>
      <w:r w:rsidR="00B511B1">
        <w:t>obchodu</w:t>
      </w:r>
      <w:r w:rsidR="00B67B21">
        <w:t>, kde snížení o 0,3 % představovalo úbytek 1,6</w:t>
      </w:r>
      <w:r w:rsidR="0093417E">
        <w:t> </w:t>
      </w:r>
      <w:r w:rsidR="00B67B21">
        <w:t>tis. pracovních míst</w:t>
      </w:r>
      <w:r w:rsidR="00166061">
        <w:t xml:space="preserve"> na 495,0 tis. </w:t>
      </w:r>
      <w:r w:rsidR="004659C7">
        <w:t xml:space="preserve">Přepočtené počty zaměstnanců v obchodě ale již významně meziročně klesly ve 4. čtvrtletí 2025, zatímco ve třech předchozích čtvrtletích rostly. </w:t>
      </w:r>
      <w:r w:rsidR="00635BB6" w:rsidRPr="00353126">
        <w:t>Dále pokračovalo snižování stavů v dopravě a skladování</w:t>
      </w:r>
      <w:r w:rsidR="00635BB6" w:rsidRPr="008325E0">
        <w:t xml:space="preserve"> (0,</w:t>
      </w:r>
      <w:r w:rsidR="00353126" w:rsidRPr="008325E0">
        <w:t>6 </w:t>
      </w:r>
      <w:r w:rsidR="00635BB6" w:rsidRPr="008325E0">
        <w:t xml:space="preserve">%; </w:t>
      </w:r>
      <w:r w:rsidR="00353126" w:rsidRPr="008325E0">
        <w:t>1,5</w:t>
      </w:r>
      <w:r w:rsidR="00635BB6" w:rsidRPr="008325E0">
        <w:t xml:space="preserve"> tis.)</w:t>
      </w:r>
      <w:r w:rsidR="009E2F50">
        <w:t xml:space="preserve"> a </w:t>
      </w:r>
      <w:r w:rsidR="00B25C60" w:rsidRPr="008325E0">
        <w:t>v peněžnictví a pojišťovnictví (0,6 %; 0,4 tis.)</w:t>
      </w:r>
      <w:r w:rsidR="009E2F50">
        <w:t>,</w:t>
      </w:r>
      <w:r w:rsidR="009E2F50" w:rsidRPr="009E2F50">
        <w:t xml:space="preserve"> </w:t>
      </w:r>
      <w:r w:rsidR="009E2F50">
        <w:t>kde jsme mohli sledovat meziroční poklesy i celý minulý rok</w:t>
      </w:r>
      <w:r w:rsidR="00635BB6" w:rsidRPr="008325E0">
        <w:t>.</w:t>
      </w:r>
      <w:r w:rsidR="002D264B" w:rsidRPr="008325E0">
        <w:t xml:space="preserve"> </w:t>
      </w:r>
      <w:r w:rsidRPr="008325E0">
        <w:t>Také v</w:t>
      </w:r>
      <w:r w:rsidR="005D16C3" w:rsidRPr="008325E0">
        <w:t> </w:t>
      </w:r>
      <w:r w:rsidRPr="008325E0">
        <w:t>zemědělství, lesnictví a</w:t>
      </w:r>
      <w:r w:rsidR="0093417E">
        <w:t> </w:t>
      </w:r>
      <w:r w:rsidRPr="008325E0">
        <w:t xml:space="preserve">rybářství, kde bylo zaměstnáno </w:t>
      </w:r>
      <w:r w:rsidRPr="004D452D">
        <w:t>aktuálně 88,</w:t>
      </w:r>
      <w:r w:rsidR="002D264B" w:rsidRPr="004D452D">
        <w:t>0</w:t>
      </w:r>
      <w:r w:rsidRPr="004D452D">
        <w:t xml:space="preserve"> tis. zaměstnanců, došlo k</w:t>
      </w:r>
      <w:r w:rsidR="008325E0" w:rsidRPr="004D452D">
        <w:t> dalšímu</w:t>
      </w:r>
      <w:r w:rsidRPr="004D452D">
        <w:t xml:space="preserve"> poklesu (o</w:t>
      </w:r>
      <w:r w:rsidR="008325E0" w:rsidRPr="004D452D">
        <w:t> 0,9 </w:t>
      </w:r>
      <w:r w:rsidRPr="004D452D">
        <w:t xml:space="preserve">%; </w:t>
      </w:r>
      <w:r w:rsidR="008325E0" w:rsidRPr="004D452D">
        <w:t>0,8 </w:t>
      </w:r>
      <w:r w:rsidRPr="004D452D">
        <w:t>tis.). Poslední sekcí s negativní hodnotou</w:t>
      </w:r>
      <w:r w:rsidR="004D452D" w:rsidRPr="004D452D">
        <w:t xml:space="preserve"> (0,1 %; 0,1 tis.)</w:t>
      </w:r>
      <w:r w:rsidRPr="004D452D">
        <w:t xml:space="preserve"> byl</w:t>
      </w:r>
      <w:r w:rsidR="00F81713" w:rsidRPr="004D452D">
        <w:t>y informační a komunikační činnosti.</w:t>
      </w:r>
      <w:r w:rsidR="00B572FD" w:rsidRPr="004D452D">
        <w:t xml:space="preserve"> I</w:t>
      </w:r>
      <w:r w:rsidR="0093417E">
        <w:t> </w:t>
      </w:r>
      <w:r w:rsidR="00B572FD" w:rsidRPr="004D452D">
        <w:t xml:space="preserve">když </w:t>
      </w:r>
      <w:r w:rsidR="00975E0F" w:rsidRPr="004D452D">
        <w:t>snížení</w:t>
      </w:r>
      <w:r w:rsidR="009E2F50">
        <w:t xml:space="preserve"> </w:t>
      </w:r>
      <w:r w:rsidR="001D4F65">
        <w:t xml:space="preserve">v letošním i </w:t>
      </w:r>
      <w:r w:rsidR="009E2F50">
        <w:t>minulé</w:t>
      </w:r>
      <w:r w:rsidR="00975E0F">
        <w:t>m</w:t>
      </w:r>
      <w:r w:rsidR="009E2F50">
        <w:t xml:space="preserve"> ro</w:t>
      </w:r>
      <w:r w:rsidR="00975E0F">
        <w:t>ce</w:t>
      </w:r>
      <w:r w:rsidR="00B572FD" w:rsidRPr="004D452D">
        <w:t xml:space="preserve"> </w:t>
      </w:r>
      <w:r w:rsidR="001D4F65">
        <w:t xml:space="preserve">byla </w:t>
      </w:r>
      <w:r w:rsidR="00975E0F">
        <w:t xml:space="preserve">spíše </w:t>
      </w:r>
      <w:r w:rsidR="00B572FD" w:rsidRPr="004D452D">
        <w:t>marginální</w:t>
      </w:r>
      <w:r w:rsidR="004D452D" w:rsidRPr="004D452D">
        <w:t>,</w:t>
      </w:r>
      <w:r w:rsidR="00B572FD" w:rsidRPr="004D452D">
        <w:t xml:space="preserve"> znamen</w:t>
      </w:r>
      <w:r w:rsidR="00975E0F">
        <w:t>ají</w:t>
      </w:r>
      <w:r w:rsidR="00B572FD" w:rsidRPr="004D452D">
        <w:t xml:space="preserve"> narušení dlouhodobého trendu </w:t>
      </w:r>
      <w:r w:rsidR="009A09AB" w:rsidRPr="004D452D">
        <w:t>zvyšování</w:t>
      </w:r>
      <w:r w:rsidR="00B572FD" w:rsidRPr="004D452D">
        <w:t xml:space="preserve"> </w:t>
      </w:r>
      <w:r w:rsidR="009A09AB">
        <w:t xml:space="preserve">evidenčních počtů </w:t>
      </w:r>
      <w:r w:rsidR="00975E0F">
        <w:t>a indikují změnu situace v </w:t>
      </w:r>
      <w:r w:rsidR="001D4F65">
        <w:t>daném</w:t>
      </w:r>
      <w:r w:rsidR="00975E0F" w:rsidRPr="004D452D">
        <w:t xml:space="preserve"> odvětví</w:t>
      </w:r>
      <w:r w:rsidR="00B572FD" w:rsidRPr="004D452D">
        <w:t>.</w:t>
      </w:r>
    </w:p>
    <w:p w14:paraId="550A59D0" w14:textId="54445EDC" w:rsidR="00C51A00" w:rsidRPr="006A6723" w:rsidRDefault="00C51A00" w:rsidP="002E56DA">
      <w:pPr>
        <w:jc w:val="left"/>
      </w:pPr>
      <w:r w:rsidRPr="00261EC8">
        <w:t>O nárůst počtu zaměstnanců se nejvíce postarala dvě odvětví s dominan</w:t>
      </w:r>
      <w:r w:rsidR="001D4F65">
        <w:t>tním</w:t>
      </w:r>
      <w:r w:rsidRPr="00261EC8">
        <w:t xml:space="preserve"> </w:t>
      </w:r>
      <w:r w:rsidR="001D4F65">
        <w:t>veřejným podílem</w:t>
      </w:r>
      <w:r w:rsidRPr="00261EC8">
        <w:t>: ve</w:t>
      </w:r>
      <w:r w:rsidR="00DC6B9A">
        <w:t> </w:t>
      </w:r>
      <w:r w:rsidRPr="00261EC8">
        <w:t>zdravotní a</w:t>
      </w:r>
      <w:r w:rsidR="0093417E">
        <w:t> </w:t>
      </w:r>
      <w:r w:rsidRPr="00261EC8">
        <w:t xml:space="preserve">sociální péči </w:t>
      </w:r>
      <w:r w:rsidRPr="00165C2D">
        <w:t xml:space="preserve">najdeme meziroční růst o </w:t>
      </w:r>
      <w:r w:rsidR="00261EC8" w:rsidRPr="00165C2D">
        <w:t>8,6</w:t>
      </w:r>
      <w:r w:rsidRPr="00165C2D">
        <w:t xml:space="preserve"> tis. (resp. o 2,</w:t>
      </w:r>
      <w:r w:rsidR="00261EC8" w:rsidRPr="00165C2D">
        <w:t>4</w:t>
      </w:r>
      <w:r w:rsidRPr="00165C2D">
        <w:t xml:space="preserve"> %</w:t>
      </w:r>
      <w:r w:rsidRPr="00A67387">
        <w:t xml:space="preserve">) a ve vzdělávání o </w:t>
      </w:r>
      <w:r w:rsidR="00165C2D" w:rsidRPr="00A67387">
        <w:t>7,9 </w:t>
      </w:r>
      <w:r w:rsidRPr="00A67387">
        <w:t>tis. (o</w:t>
      </w:r>
      <w:r w:rsidR="001D4F65">
        <w:t> </w:t>
      </w:r>
      <w:r w:rsidR="00165C2D" w:rsidRPr="00A67387">
        <w:t>2,2</w:t>
      </w:r>
      <w:r w:rsidRPr="00A67387">
        <w:t xml:space="preserve"> %). Mírnější růst byl i ve veřejné správě a obraně (3</w:t>
      </w:r>
      <w:r w:rsidR="00165C2D" w:rsidRPr="00A67387">
        <w:t>,7</w:t>
      </w:r>
      <w:r w:rsidRPr="00A67387">
        <w:t xml:space="preserve"> tis.; </w:t>
      </w:r>
      <w:r w:rsidR="00A67387" w:rsidRPr="00A67387">
        <w:t>1,3</w:t>
      </w:r>
      <w:r w:rsidRPr="00A67387">
        <w:t xml:space="preserve"> %). V těchto třech odvětvích tak aktuálně dohromady pracuje </w:t>
      </w:r>
      <w:r w:rsidR="00A67387" w:rsidRPr="00A67387">
        <w:t>více než</w:t>
      </w:r>
      <w:r w:rsidRPr="00A67387">
        <w:t xml:space="preserve"> milion zaměstnanců.</w:t>
      </w:r>
    </w:p>
    <w:p w14:paraId="382AF920" w14:textId="3C51A8AD" w:rsidR="00C51A00" w:rsidRPr="007D0AB4" w:rsidRDefault="00975E0F" w:rsidP="002E56DA">
      <w:pPr>
        <w:jc w:val="left"/>
        <w:rPr>
          <w:color w:val="A1090A" w:themeColor="accent2" w:themeShade="BF"/>
        </w:rPr>
      </w:pPr>
      <w:r>
        <w:t>Začalo se</w:t>
      </w:r>
      <w:r w:rsidR="006A6723" w:rsidRPr="006A6723">
        <w:t xml:space="preserve"> daři</w:t>
      </w:r>
      <w:r>
        <w:t>t</w:t>
      </w:r>
      <w:r w:rsidR="006A6723" w:rsidRPr="006A6723">
        <w:t xml:space="preserve"> </w:t>
      </w:r>
      <w:r>
        <w:t>ve </w:t>
      </w:r>
      <w:r w:rsidR="006A6723" w:rsidRPr="006A6723">
        <w:t>s</w:t>
      </w:r>
      <w:r w:rsidR="00C51A00" w:rsidRPr="006A6723">
        <w:t>tavebnictv</w:t>
      </w:r>
      <w:r w:rsidR="00C51A00" w:rsidRPr="00FE449C">
        <w:t xml:space="preserve">í, </w:t>
      </w:r>
      <w:r w:rsidR="006A6723" w:rsidRPr="00FE449C">
        <w:t xml:space="preserve">kde se </w:t>
      </w:r>
      <w:r w:rsidR="00C51A00" w:rsidRPr="00FE449C">
        <w:t xml:space="preserve">počet zaměstnanců meziročně zvýšil o </w:t>
      </w:r>
      <w:r w:rsidR="006A6723" w:rsidRPr="00FE449C">
        <w:t>5,0</w:t>
      </w:r>
      <w:r w:rsidR="00C51A00" w:rsidRPr="00FE449C">
        <w:t xml:space="preserve"> tis. </w:t>
      </w:r>
      <w:r w:rsidR="00A10599">
        <w:t>(</w:t>
      </w:r>
      <w:r w:rsidR="006A6723" w:rsidRPr="00FE449C">
        <w:t>2,4</w:t>
      </w:r>
      <w:r w:rsidR="00C51A00" w:rsidRPr="00FE449C">
        <w:t xml:space="preserve"> %</w:t>
      </w:r>
      <w:r w:rsidR="00A10599">
        <w:t>)</w:t>
      </w:r>
      <w:r w:rsidR="00C51A00" w:rsidRPr="00FE449C">
        <w:t>. Udrželo se oživení v ubytování, stravován</w:t>
      </w:r>
      <w:r w:rsidR="00C51A00" w:rsidRPr="004F20E0">
        <w:t xml:space="preserve">í a pohostinství, </w:t>
      </w:r>
      <w:r>
        <w:t xml:space="preserve">spojené s cestovním ruchem, </w:t>
      </w:r>
      <w:r w:rsidR="00C51A00" w:rsidRPr="004F20E0">
        <w:t xml:space="preserve">kde meziročně přibylo </w:t>
      </w:r>
      <w:r w:rsidR="00FE449C" w:rsidRPr="004F20E0">
        <w:t>3,4 </w:t>
      </w:r>
      <w:r w:rsidR="00C51A00" w:rsidRPr="004F20E0">
        <w:t xml:space="preserve">tis. zaměstnanců, resp. došlo ke zvýšení o </w:t>
      </w:r>
      <w:r w:rsidR="00FE449C" w:rsidRPr="004F20E0">
        <w:t>2</w:t>
      </w:r>
      <w:r w:rsidR="00C51A00" w:rsidRPr="004F20E0">
        <w:t>,8 %.</w:t>
      </w:r>
      <w:r w:rsidR="00FC1C08" w:rsidRPr="004F20E0">
        <w:t xml:space="preserve"> Ostatn</w:t>
      </w:r>
      <w:r w:rsidR="007F15D6" w:rsidRPr="004F20E0">
        <w:t>í</w:t>
      </w:r>
      <w:r w:rsidR="00FC1C08" w:rsidRPr="004F20E0">
        <w:t xml:space="preserve"> změny již nejsou tak </w:t>
      </w:r>
      <w:r w:rsidR="001D4F65">
        <w:t>výrazn</w:t>
      </w:r>
      <w:r w:rsidRPr="004F20E0">
        <w:t>é</w:t>
      </w:r>
      <w:r w:rsidR="00FC1C08" w:rsidRPr="004F20E0">
        <w:t xml:space="preserve">. </w:t>
      </w:r>
      <w:r w:rsidR="00C51A00" w:rsidRPr="004F20E0">
        <w:t>Činnosti v</w:t>
      </w:r>
      <w:r w:rsidR="001D4F65">
        <w:t> </w:t>
      </w:r>
      <w:r w:rsidR="00C51A00" w:rsidRPr="004F20E0">
        <w:t xml:space="preserve">oblasti nemovitostí si připsaly nejvyšší relativní zvýšení o </w:t>
      </w:r>
      <w:r w:rsidR="007F15D6" w:rsidRPr="004F20E0">
        <w:t>6,1</w:t>
      </w:r>
      <w:r w:rsidR="00C51A00" w:rsidRPr="004F20E0">
        <w:t xml:space="preserve"> %, což v tomto m</w:t>
      </w:r>
      <w:r w:rsidR="00E6266D">
        <w:t>além</w:t>
      </w:r>
      <w:r w:rsidR="00C51A00" w:rsidRPr="004F20E0">
        <w:t xml:space="preserve"> odvětví představovalo početní nárůst o</w:t>
      </w:r>
      <w:r w:rsidR="00725547">
        <w:t> </w:t>
      </w:r>
      <w:r w:rsidR="00C51A00" w:rsidRPr="004F20E0">
        <w:t>2</w:t>
      </w:r>
      <w:r w:rsidR="007F15D6" w:rsidRPr="004F20E0">
        <w:t>,6</w:t>
      </w:r>
      <w:r w:rsidR="00C51A00" w:rsidRPr="004F20E0">
        <w:t xml:space="preserve"> tis.</w:t>
      </w:r>
      <w:r w:rsidR="007F15D6" w:rsidRPr="004F20E0">
        <w:t xml:space="preserve">, tato hodnota </w:t>
      </w:r>
      <w:r w:rsidR="004F20E0" w:rsidRPr="004F20E0">
        <w:t xml:space="preserve">však byla poznamenána </w:t>
      </w:r>
      <w:r w:rsidR="00BF1CD8">
        <w:t>i </w:t>
      </w:r>
      <w:r w:rsidR="004F20E0" w:rsidRPr="004F20E0">
        <w:t>administrativním</w:t>
      </w:r>
      <w:r w:rsidR="00BF1CD8">
        <w:t>i</w:t>
      </w:r>
      <w:r w:rsidR="004F20E0" w:rsidRPr="004F20E0">
        <w:t xml:space="preserve"> </w:t>
      </w:r>
      <w:r w:rsidR="004F20E0" w:rsidRPr="004F20E0">
        <w:lastRenderedPageBreak/>
        <w:t>přesun</w:t>
      </w:r>
      <w:r w:rsidR="00BF1CD8">
        <w:t>y</w:t>
      </w:r>
      <w:r w:rsidR="004F20E0" w:rsidRPr="00593B6B">
        <w:t>.</w:t>
      </w:r>
      <w:r w:rsidR="00C51A00" w:rsidRPr="00593B6B">
        <w:t xml:space="preserve"> Významn</w:t>
      </w:r>
      <w:r w:rsidR="00BF1CD8" w:rsidRPr="00593B6B">
        <w:t>é</w:t>
      </w:r>
      <w:r w:rsidR="00C51A00" w:rsidRPr="00593B6B">
        <w:t xml:space="preserve"> bylo </w:t>
      </w:r>
      <w:r w:rsidR="00BF1CD8" w:rsidRPr="00593B6B">
        <w:t xml:space="preserve">také </w:t>
      </w:r>
      <w:r w:rsidR="00C51A00" w:rsidRPr="00593B6B">
        <w:t>zvýšení v sekci profesní, vědecké a</w:t>
      </w:r>
      <w:r w:rsidR="005D16C3" w:rsidRPr="00593B6B">
        <w:t> </w:t>
      </w:r>
      <w:r w:rsidR="00C51A00" w:rsidRPr="00593B6B">
        <w:t xml:space="preserve">technické činnosti, kde přibylo </w:t>
      </w:r>
      <w:r w:rsidR="00593B6B">
        <w:t>1,9 </w:t>
      </w:r>
      <w:r w:rsidR="00C51A00" w:rsidRPr="00593B6B">
        <w:t>tis. z</w:t>
      </w:r>
      <w:r w:rsidR="00C51A00" w:rsidRPr="00FF6DB4">
        <w:t>aměstnanců (</w:t>
      </w:r>
      <w:r w:rsidR="00593B6B" w:rsidRPr="00FF6DB4">
        <w:t>1,1 </w:t>
      </w:r>
      <w:r w:rsidR="00C51A00" w:rsidRPr="00FF6DB4">
        <w:t>%).</w:t>
      </w:r>
      <w:r w:rsidR="00FF6DB4" w:rsidRPr="00FF6DB4">
        <w:t xml:space="preserve"> Také d</w:t>
      </w:r>
      <w:r w:rsidR="00C51A00" w:rsidRPr="00FF6DB4">
        <w:t>vě menší průmyslová odvětví rostla, v energetice (výroba a</w:t>
      </w:r>
      <w:r w:rsidR="0093417E">
        <w:t> </w:t>
      </w:r>
      <w:r w:rsidR="00C51A00" w:rsidRPr="00FF6DB4">
        <w:t xml:space="preserve">rozvod elektřiny, plynu, tepla a klimatizovaného vzduchu) se počet zaměstnanců zvýšil o </w:t>
      </w:r>
      <w:r w:rsidR="00FF6DB4" w:rsidRPr="00FF6DB4">
        <w:t>1,1</w:t>
      </w:r>
      <w:r w:rsidR="00C51A00" w:rsidRPr="00FF6DB4">
        <w:t xml:space="preserve"> tis. (o</w:t>
      </w:r>
      <w:r w:rsidR="0093417E">
        <w:t> </w:t>
      </w:r>
      <w:r w:rsidR="00FF6DB4" w:rsidRPr="00FF6DB4">
        <w:t>3,1 </w:t>
      </w:r>
      <w:r w:rsidR="00C51A00" w:rsidRPr="00FF6DB4">
        <w:t>%), a</w:t>
      </w:r>
      <w:r w:rsidR="005D16C3" w:rsidRPr="00FF6DB4">
        <w:t> </w:t>
      </w:r>
      <w:r w:rsidR="00C51A00" w:rsidRPr="00FF6DB4">
        <w:t>v</w:t>
      </w:r>
      <w:r w:rsidR="005D16C3" w:rsidRPr="00FF6DB4">
        <w:t> </w:t>
      </w:r>
      <w:r w:rsidR="00C51A00" w:rsidRPr="00FF6DB4">
        <w:t>zásobování vodou, činnostech souvisejících s odpadními vodami, odpady a sanacemi o</w:t>
      </w:r>
      <w:r w:rsidR="005D16C3" w:rsidRPr="00FF6DB4">
        <w:t> </w:t>
      </w:r>
      <w:r w:rsidR="00FF6DB4" w:rsidRPr="00FF6DB4">
        <w:t>0</w:t>
      </w:r>
      <w:r w:rsidR="00C51A00" w:rsidRPr="00FF6DB4">
        <w:t>,4</w:t>
      </w:r>
      <w:r w:rsidR="005D16C3" w:rsidRPr="00FF6DB4">
        <w:t> </w:t>
      </w:r>
      <w:r w:rsidR="00C51A00" w:rsidRPr="00FF6DB4">
        <w:t>tis. (</w:t>
      </w:r>
      <w:r w:rsidR="00FF6DB4" w:rsidRPr="00FF6DB4">
        <w:t>0,8 </w:t>
      </w:r>
      <w:r w:rsidR="00C51A00" w:rsidRPr="00FF6DB4">
        <w:t>%).</w:t>
      </w:r>
    </w:p>
    <w:p w14:paraId="63A40974" w14:textId="77777777" w:rsidR="00C51A00" w:rsidRPr="007D0AB4" w:rsidRDefault="00C51A00" w:rsidP="002E56DA">
      <w:pPr>
        <w:jc w:val="left"/>
        <w:rPr>
          <w:color w:val="A1090A" w:themeColor="accent2" w:themeShade="BF"/>
        </w:rPr>
      </w:pPr>
    </w:p>
    <w:p w14:paraId="270B9643" w14:textId="77777777" w:rsidR="00C51A00" w:rsidRPr="00F97731" w:rsidRDefault="00C51A00" w:rsidP="002E56DA">
      <w:pPr>
        <w:jc w:val="left"/>
        <w:rPr>
          <w:b/>
          <w:bCs/>
        </w:rPr>
      </w:pPr>
      <w:r w:rsidRPr="00F97731">
        <w:rPr>
          <w:b/>
          <w:bCs/>
        </w:rPr>
        <w:t>Čtvrtletní průměrné měsíční hrubé mzdy</w:t>
      </w:r>
    </w:p>
    <w:p w14:paraId="747899E5" w14:textId="2B6CFAE1" w:rsidR="00C51A00" w:rsidRPr="007D0AB4" w:rsidRDefault="00C51A00" w:rsidP="002E56DA">
      <w:pPr>
        <w:jc w:val="left"/>
        <w:rPr>
          <w:color w:val="A1090A" w:themeColor="accent2" w:themeShade="BF"/>
        </w:rPr>
      </w:pPr>
      <w:r w:rsidRPr="00F97731">
        <w:t>Průměrná mzda (</w:t>
      </w:r>
      <w:r w:rsidR="00CC67FF">
        <w:t>50 282 </w:t>
      </w:r>
      <w:r w:rsidRPr="00F97731">
        <w:t>Kč) za 1. čtvrtletí 2026 vzrostla podle předběžných údajů nominálně ke</w:t>
      </w:r>
      <w:r w:rsidR="00CC67FF">
        <w:t> </w:t>
      </w:r>
      <w:r w:rsidRPr="00F97731">
        <w:t xml:space="preserve">stejnému období </w:t>
      </w:r>
      <w:r w:rsidRPr="004F4BD2">
        <w:t>předchozího roku o</w:t>
      </w:r>
      <w:r w:rsidR="004F4BD2" w:rsidRPr="004F4BD2">
        <w:t> 3 789 </w:t>
      </w:r>
      <w:r w:rsidRPr="004F4BD2">
        <w:t>Kč, tedy o</w:t>
      </w:r>
      <w:r w:rsidR="00CC67FF" w:rsidRPr="004F4BD2">
        <w:t> 8,1 </w:t>
      </w:r>
      <w:r w:rsidRPr="004F4BD2">
        <w:t xml:space="preserve">%. Jde </w:t>
      </w:r>
      <w:r w:rsidRPr="00F97731">
        <w:t>přitom o zprůměrování velmi různorodého vývoje na</w:t>
      </w:r>
      <w:r w:rsidR="007D0AB4" w:rsidRPr="00F97731">
        <w:t> </w:t>
      </w:r>
      <w:r w:rsidRPr="00F97731">
        <w:t>úrovni jednotlivých od</w:t>
      </w:r>
      <w:r w:rsidRPr="00CC67FF">
        <w:t>větví, podniků či organizací.</w:t>
      </w:r>
      <w:r w:rsidR="00CC67FF" w:rsidRPr="00CC67FF">
        <w:t xml:space="preserve"> </w:t>
      </w:r>
      <w:r w:rsidR="00720DDE">
        <w:t>Nominální m</w:t>
      </w:r>
      <w:r w:rsidRPr="00CC67FF">
        <w:t xml:space="preserve">zdový růst </w:t>
      </w:r>
      <w:r w:rsidR="00CC67FF" w:rsidRPr="00CC67FF">
        <w:t xml:space="preserve">tak byl </w:t>
      </w:r>
      <w:r w:rsidRPr="00CC67FF">
        <w:t xml:space="preserve">na začátku roku 2026 </w:t>
      </w:r>
      <w:r w:rsidR="00CC67FF" w:rsidRPr="00CC67FF">
        <w:t>nejvyšší od 1. čtvrtletí 2023</w:t>
      </w:r>
      <w:r w:rsidRPr="00CC67FF">
        <w:t>.</w:t>
      </w:r>
    </w:p>
    <w:p w14:paraId="27C78C5A" w14:textId="4F225FA7" w:rsidR="00CC67FF" w:rsidRDefault="00C51A00" w:rsidP="002E56DA">
      <w:pPr>
        <w:jc w:val="left"/>
        <w:rPr>
          <w:color w:val="A1090A" w:themeColor="accent2" w:themeShade="BF"/>
        </w:rPr>
      </w:pPr>
      <w:r w:rsidRPr="00CC67FF">
        <w:t>Z</w:t>
      </w:r>
      <w:r w:rsidR="00CC67FF" w:rsidRPr="00CC67FF">
        <w:t> </w:t>
      </w:r>
      <w:r w:rsidRPr="00CC67FF">
        <w:t xml:space="preserve">hlediska zaměstnanců byl </w:t>
      </w:r>
      <w:r w:rsidR="00720DDE">
        <w:t>ještě</w:t>
      </w:r>
      <w:r w:rsidRPr="00CC67FF">
        <w:t xml:space="preserve"> důležitější reálný vývoj, který srovnává růst výdělků s</w:t>
      </w:r>
      <w:r w:rsidR="00CC67FF" w:rsidRPr="00CC67FF">
        <w:t> </w:t>
      </w:r>
      <w:r w:rsidRPr="00CC67FF">
        <w:t xml:space="preserve">růstem spotřebitelských cen (inflace), a ukazuje tak, kolik zboží a služeb si mohl zaměstnanec za svou mzdu koupit. Index spotřebitelských cen </w:t>
      </w:r>
      <w:r w:rsidR="002F2B26">
        <w:t>rostl</w:t>
      </w:r>
      <w:r w:rsidRPr="00CC67FF">
        <w:t xml:space="preserve"> 1. čtvrtletí 202</w:t>
      </w:r>
      <w:r w:rsidR="00CC67FF" w:rsidRPr="00CC67FF">
        <w:t>6</w:t>
      </w:r>
      <w:r w:rsidRPr="00CC67FF">
        <w:t xml:space="preserve"> </w:t>
      </w:r>
      <w:r w:rsidR="002F2B26">
        <w:t>pouze o </w:t>
      </w:r>
      <w:r w:rsidR="00CC67FF" w:rsidRPr="00CC67FF">
        <w:t>1,6</w:t>
      </w:r>
      <w:r w:rsidRPr="00CC67FF">
        <w:t xml:space="preserve"> %, reálně se tak průměrná mzda zvýšila meziročně o </w:t>
      </w:r>
      <w:r w:rsidR="00CC67FF" w:rsidRPr="00CC67FF">
        <w:t>6,4</w:t>
      </w:r>
      <w:r w:rsidRPr="00CC67FF">
        <w:t xml:space="preserve"> %. To je</w:t>
      </w:r>
      <w:r w:rsidR="00CC67FF" w:rsidRPr="00CC67FF">
        <w:t xml:space="preserve"> jedna z nejvyš</w:t>
      </w:r>
      <w:r w:rsidRPr="00CC67FF">
        <w:t>ší</w:t>
      </w:r>
      <w:r w:rsidR="00CC67FF" w:rsidRPr="00CC67FF">
        <w:t>ch</w:t>
      </w:r>
      <w:r w:rsidRPr="00CC67FF">
        <w:t xml:space="preserve"> </w:t>
      </w:r>
      <w:r w:rsidR="00CC67FF" w:rsidRPr="00CC67FF">
        <w:t>hodnot za celé století.</w:t>
      </w:r>
      <w:r w:rsidR="00CC67FF">
        <w:t xml:space="preserve"> Připomeňme, že v 2. čtvrtletí 2021 byl registrován meziroční</w:t>
      </w:r>
      <w:r w:rsidR="001C7790">
        <w:t xml:space="preserve"> reálný</w:t>
      </w:r>
      <w:r w:rsidR="00CC67FF">
        <w:t xml:space="preserve"> nárůst </w:t>
      </w:r>
      <w:r w:rsidR="009C6AC8">
        <w:t xml:space="preserve">8,1 %, tam ovšem byla </w:t>
      </w:r>
      <w:r w:rsidR="001C7790">
        <w:t>příčina</w:t>
      </w:r>
      <w:r w:rsidR="009C6AC8">
        <w:t xml:space="preserve"> </w:t>
      </w:r>
      <w:r w:rsidR="001C7790">
        <w:t>v </w:t>
      </w:r>
      <w:r w:rsidR="009C6AC8">
        <w:t>nízké základn</w:t>
      </w:r>
      <w:r w:rsidR="001C7790">
        <w:t>ě</w:t>
      </w:r>
      <w:r w:rsidR="009C6AC8">
        <w:t xml:space="preserve"> z covidového roku 2020</w:t>
      </w:r>
      <w:r w:rsidR="00975E0F">
        <w:t>;</w:t>
      </w:r>
      <w:r w:rsidR="001C7790">
        <w:t xml:space="preserve"> </w:t>
      </w:r>
      <w:r w:rsidR="00975E0F">
        <w:t>v</w:t>
      </w:r>
      <w:r w:rsidR="001C7790">
        <w:t>e</w:t>
      </w:r>
      <w:r w:rsidR="00975E0F">
        <w:t> </w:t>
      </w:r>
      <w:r w:rsidR="001C7790">
        <w:t>zbylých obdobích roku 2021 byly hodnoty velmi nízké.</w:t>
      </w:r>
      <w:r w:rsidR="009C6AC8">
        <w:t xml:space="preserve"> V letech 2022 a 2023 </w:t>
      </w:r>
      <w:r w:rsidR="001C7790">
        <w:t xml:space="preserve">pak </w:t>
      </w:r>
      <w:r w:rsidR="009C6AC8">
        <w:t>došlo ve všech čtvrtletích k meziročním propadům reálné mzd</w:t>
      </w:r>
      <w:r w:rsidR="001C7790">
        <w:t>y</w:t>
      </w:r>
      <w:r w:rsidR="00720DDE" w:rsidRPr="00720DDE">
        <w:t xml:space="preserve"> </w:t>
      </w:r>
      <w:r w:rsidR="00720DDE">
        <w:t>v důsledku vysoké inflace</w:t>
      </w:r>
      <w:r w:rsidR="001C7790">
        <w:t>.</w:t>
      </w:r>
      <w:r w:rsidR="009C6AC8">
        <w:t xml:space="preserve"> </w:t>
      </w:r>
      <w:r w:rsidR="001C7790">
        <w:t>O</w:t>
      </w:r>
      <w:r w:rsidR="009C6AC8">
        <w:t xml:space="preserve">d 1. </w:t>
      </w:r>
      <w:r w:rsidR="001C7790" w:rsidRPr="00F97731">
        <w:t>čtvrtletí</w:t>
      </w:r>
      <w:r w:rsidR="001C7790">
        <w:t xml:space="preserve"> 2024 nastalo oživení s růstem reálných mezd, které trvá dosud. V letech 2024 a</w:t>
      </w:r>
      <w:r w:rsidR="00720DDE">
        <w:t> </w:t>
      </w:r>
      <w:r w:rsidR="001C7790">
        <w:t xml:space="preserve">2025 </w:t>
      </w:r>
      <w:r w:rsidR="00720DDE">
        <w:t>rostly reálné mzdy</w:t>
      </w:r>
      <w:r w:rsidR="001C7790">
        <w:t> </w:t>
      </w:r>
      <w:r w:rsidR="00720DDE">
        <w:t xml:space="preserve">zhruba </w:t>
      </w:r>
      <w:r w:rsidR="002F2B26">
        <w:t>4%</w:t>
      </w:r>
      <w:r w:rsidR="001C7790">
        <w:t xml:space="preserve"> tempem</w:t>
      </w:r>
      <w:r w:rsidR="00720DDE">
        <w:t>.</w:t>
      </w:r>
    </w:p>
    <w:p w14:paraId="4F287110" w14:textId="185ADFE3" w:rsidR="00A57C7C" w:rsidRPr="00C621FA" w:rsidRDefault="00C51A00" w:rsidP="002E56DA">
      <w:pPr>
        <w:jc w:val="left"/>
      </w:pPr>
      <w:r>
        <w:t xml:space="preserve">Třebaže průměrné mzdy </w:t>
      </w:r>
      <w:r w:rsidR="00E377DF">
        <w:t>reáln</w:t>
      </w:r>
      <w:r w:rsidR="00564117">
        <w:t xml:space="preserve">ě </w:t>
      </w:r>
      <w:r>
        <w:t xml:space="preserve">stouply ve všech odvětvích, jejich dynamika byla </w:t>
      </w:r>
      <w:r w:rsidR="00564117">
        <w:t>velmi</w:t>
      </w:r>
      <w:r>
        <w:t xml:space="preserve"> </w:t>
      </w:r>
      <w:bookmarkStart w:id="1" w:name="_Int_BAMNT4hQ"/>
      <w:r>
        <w:t>různorodá</w:t>
      </w:r>
      <w:bookmarkEnd w:id="1"/>
      <w:r w:rsidR="00E377DF">
        <w:t xml:space="preserve"> a</w:t>
      </w:r>
      <w:r w:rsidR="00DC6B9A">
        <w:t> </w:t>
      </w:r>
      <w:r w:rsidR="00E377DF">
        <w:t>ne</w:t>
      </w:r>
      <w:r w:rsidR="00DC6B9A">
        <w:t> </w:t>
      </w:r>
      <w:r w:rsidR="00E377DF">
        <w:t xml:space="preserve">všem zaměstnancům se </w:t>
      </w:r>
      <w:r w:rsidR="00A029A9">
        <w:t xml:space="preserve">výrazně </w:t>
      </w:r>
      <w:r w:rsidR="00E377DF">
        <w:t xml:space="preserve">zvýšila </w:t>
      </w:r>
      <w:r w:rsidR="00A029A9">
        <w:t>kupní síla výdělku</w:t>
      </w:r>
      <w:r>
        <w:t>. Nejvyšší nominální meziroční nárůst (</w:t>
      </w:r>
      <w:r w:rsidR="00564117">
        <w:t>2</w:t>
      </w:r>
      <w:r>
        <w:t>2,</w:t>
      </w:r>
      <w:r w:rsidR="00564117">
        <w:t>1</w:t>
      </w:r>
      <w:r w:rsidR="00A029A9">
        <w:t> </w:t>
      </w:r>
      <w:r>
        <w:t>%) aktuálně najdeme u sekce činnosti v oblasti nemovitostí</w:t>
      </w:r>
      <w:r w:rsidR="00564117">
        <w:t>, která je však početně velmi malá a</w:t>
      </w:r>
      <w:r w:rsidR="00A029A9">
        <w:t> </w:t>
      </w:r>
      <w:r w:rsidR="00564117">
        <w:t xml:space="preserve">meziroční index byl poznamenán </w:t>
      </w:r>
      <w:r w:rsidR="00A029A9">
        <w:t>i </w:t>
      </w:r>
      <w:r w:rsidR="00564117">
        <w:t>administrativním přesunem některých podniků mezi odvětvími</w:t>
      </w:r>
      <w:r>
        <w:t>. S</w:t>
      </w:r>
      <w:r w:rsidR="00FF246C">
        <w:t xml:space="preserve"> menším </w:t>
      </w:r>
      <w:r>
        <w:t>odstupem následují</w:t>
      </w:r>
      <w:r w:rsidR="00FF246C">
        <w:t xml:space="preserve"> administrativní a podpůrné činnosti s meziročním nominálním nárůstem 18,8 %</w:t>
      </w:r>
      <w:r w:rsidR="00C81121">
        <w:t>, v tomto odvětví dominují různé agentury</w:t>
      </w:r>
      <w:r w:rsidR="00A57C7C">
        <w:t>, vč. agentur práce</w:t>
      </w:r>
      <w:r w:rsidR="00FF246C">
        <w:t>.</w:t>
      </w:r>
      <w:r w:rsidR="00A57C7C">
        <w:t xml:space="preserve"> </w:t>
      </w:r>
    </w:p>
    <w:p w14:paraId="22A866AF" w14:textId="185CF15A" w:rsidR="00AC3865" w:rsidRPr="00C621FA" w:rsidRDefault="009C6DEE" w:rsidP="002E56DA">
      <w:pPr>
        <w:jc w:val="left"/>
      </w:pPr>
      <w:r w:rsidRPr="00C621FA">
        <w:t xml:space="preserve">Konjunktura ve </w:t>
      </w:r>
      <w:r w:rsidR="00A57C7C" w:rsidRPr="00C621FA">
        <w:t xml:space="preserve">stavebnictví </w:t>
      </w:r>
      <w:r w:rsidRPr="00C621FA">
        <w:t>se propsala do výrazného růstu výdělků o </w:t>
      </w:r>
      <w:r w:rsidR="00A57C7C" w:rsidRPr="00C621FA">
        <w:t>1</w:t>
      </w:r>
      <w:r w:rsidRPr="00C621FA">
        <w:t>2</w:t>
      </w:r>
      <w:r w:rsidR="00A57C7C" w:rsidRPr="00C621FA">
        <w:t>,</w:t>
      </w:r>
      <w:r w:rsidRPr="00C621FA">
        <w:t>6</w:t>
      </w:r>
      <w:r w:rsidR="00A57C7C" w:rsidRPr="00C621FA">
        <w:t> %</w:t>
      </w:r>
      <w:r w:rsidR="001A1103" w:rsidRPr="00C621FA">
        <w:t>.</w:t>
      </w:r>
      <w:r w:rsidRPr="00C621FA">
        <w:t xml:space="preserve"> </w:t>
      </w:r>
      <w:r w:rsidR="001A1103" w:rsidRPr="00C621FA">
        <w:t xml:space="preserve">Hodnoty nad jedenáctiprocentní hranicí nalezneme ještě u tří sekcí: ubytování, stravování a pohostinství </w:t>
      </w:r>
      <w:r w:rsidR="00AC3865" w:rsidRPr="00C621FA">
        <w:t xml:space="preserve">(11,9 %), </w:t>
      </w:r>
      <w:r w:rsidR="00C51A00" w:rsidRPr="00C621FA">
        <w:t xml:space="preserve">profesní, vědecké a technické činnosti </w:t>
      </w:r>
      <w:r w:rsidR="00AC3865" w:rsidRPr="00C621FA">
        <w:t>(</w:t>
      </w:r>
      <w:r w:rsidR="00C51A00" w:rsidRPr="00C621FA">
        <w:t>1</w:t>
      </w:r>
      <w:r w:rsidR="00AC3865" w:rsidRPr="00C621FA">
        <w:t>1</w:t>
      </w:r>
      <w:r w:rsidR="00C51A00" w:rsidRPr="00C621FA">
        <w:t>,</w:t>
      </w:r>
      <w:r w:rsidR="00AC3865" w:rsidRPr="00C621FA">
        <w:t>8 </w:t>
      </w:r>
      <w:r w:rsidR="00C51A00" w:rsidRPr="00C621FA">
        <w:t>%</w:t>
      </w:r>
      <w:r w:rsidR="00AC3865" w:rsidRPr="00C621FA">
        <w:t>)</w:t>
      </w:r>
      <w:r w:rsidR="00C51A00" w:rsidRPr="00C621FA">
        <w:t xml:space="preserve"> a </w:t>
      </w:r>
      <w:r w:rsidR="004F29F3" w:rsidRPr="00C621FA">
        <w:t>zemědělství, lesnictví a rybářství (11,2 %).</w:t>
      </w:r>
      <w:r w:rsidR="00D13F05">
        <w:t xml:space="preserve"> </w:t>
      </w:r>
      <w:r w:rsidR="004F29F3" w:rsidRPr="00C621FA">
        <w:t>Všechna osta</w:t>
      </w:r>
      <w:r w:rsidR="003C206E" w:rsidRPr="00C621FA">
        <w:t>t</w:t>
      </w:r>
      <w:r w:rsidR="004F29F3" w:rsidRPr="00C621FA">
        <w:t>ní odvětví měla nominální nárůsty pod</w:t>
      </w:r>
      <w:r w:rsidR="003C206E" w:rsidRPr="00C621FA">
        <w:t xml:space="preserve"> </w:t>
      </w:r>
      <w:r w:rsidR="00555BA6" w:rsidRPr="00C621FA">
        <w:t xml:space="preserve">devítiprocentní </w:t>
      </w:r>
      <w:r w:rsidR="003C206E" w:rsidRPr="00C621FA">
        <w:t>hranicí</w:t>
      </w:r>
      <w:r w:rsidR="00555BA6" w:rsidRPr="00C621FA">
        <w:t>.</w:t>
      </w:r>
      <w:r w:rsidR="00B462F4" w:rsidRPr="00C621FA">
        <w:t xml:space="preserve"> K té se </w:t>
      </w:r>
      <w:r w:rsidR="006E7941" w:rsidRPr="00C621FA">
        <w:t>přiblížila</w:t>
      </w:r>
      <w:r w:rsidR="00B462F4" w:rsidRPr="00C621FA">
        <w:t xml:space="preserve"> doprava a skladování </w:t>
      </w:r>
      <w:r w:rsidR="006E7941" w:rsidRPr="00C621FA">
        <w:t xml:space="preserve">s 8,7 % a pak </w:t>
      </w:r>
      <w:r w:rsidR="00C621FA" w:rsidRPr="00C621FA">
        <w:t>informační a komunikační činnosti s 8,5 %.</w:t>
      </w:r>
    </w:p>
    <w:p w14:paraId="3850B60C" w14:textId="6E49EBBB" w:rsidR="00D13F05" w:rsidRPr="000C33C3" w:rsidRDefault="00D13F05" w:rsidP="002E56DA">
      <w:pPr>
        <w:jc w:val="left"/>
      </w:pPr>
      <w:r w:rsidRPr="00D13F05">
        <w:t xml:space="preserve">Na druhé straně najdeme </w:t>
      </w:r>
      <w:r w:rsidR="005D6054">
        <w:t>u některých sekcí mnohem</w:t>
      </w:r>
      <w:r w:rsidRPr="00D13F05">
        <w:t xml:space="preserve"> slab</w:t>
      </w:r>
      <w:r w:rsidR="005D6054">
        <w:t>ší</w:t>
      </w:r>
      <w:r w:rsidRPr="00D13F05">
        <w:t xml:space="preserve"> </w:t>
      </w:r>
      <w:r w:rsidR="005D6054">
        <w:t xml:space="preserve">mzdové </w:t>
      </w:r>
      <w:r w:rsidRPr="00D13F05">
        <w:t>nárůsty</w:t>
      </w:r>
      <w:r w:rsidR="005D6054">
        <w:t>. V </w:t>
      </w:r>
      <w:r w:rsidR="005D6054" w:rsidRPr="00FF6DB4">
        <w:t>energetice (výroba a</w:t>
      </w:r>
      <w:r w:rsidR="000C33C3">
        <w:t> </w:t>
      </w:r>
      <w:r w:rsidR="005D6054" w:rsidRPr="00FF6DB4">
        <w:t xml:space="preserve">rozvod elektřiny, plynu, tepla a klimatizovaného vzduchu) se </w:t>
      </w:r>
      <w:r w:rsidR="00F1517A">
        <w:t xml:space="preserve">úroveň </w:t>
      </w:r>
      <w:r w:rsidR="005D6054" w:rsidRPr="00FF6DB4">
        <w:t>zvýšil</w:t>
      </w:r>
      <w:r w:rsidR="005D6054">
        <w:t>a</w:t>
      </w:r>
      <w:r w:rsidR="005D6054" w:rsidRPr="00FF6DB4">
        <w:t xml:space="preserve"> </w:t>
      </w:r>
      <w:r w:rsidR="005D6054">
        <w:t xml:space="preserve">meziročně jen </w:t>
      </w:r>
      <w:r w:rsidR="005D6054" w:rsidRPr="00FF6DB4">
        <w:t>o</w:t>
      </w:r>
      <w:r w:rsidR="005D6054">
        <w:t xml:space="preserve"> 2,1 %; v tomto odvětví bývají vypláceny na začátku roku mimořádné odměny, které pak výrazně ovlivňují</w:t>
      </w:r>
      <w:r w:rsidR="005D6054" w:rsidRPr="005D6054">
        <w:t xml:space="preserve"> </w:t>
      </w:r>
      <w:r w:rsidR="005D6054">
        <w:t xml:space="preserve">průměrnou mzdu. </w:t>
      </w:r>
    </w:p>
    <w:p w14:paraId="08638B9D" w14:textId="79DA5045" w:rsidR="00C51A00" w:rsidRPr="00F1517A" w:rsidRDefault="000C33C3" w:rsidP="002E56DA">
      <w:pPr>
        <w:jc w:val="left"/>
      </w:pPr>
      <w:r>
        <w:t>V</w:t>
      </w:r>
      <w:r w:rsidR="00F1517A">
        <w:t xml:space="preserve">e zdravotní a sociální péči </w:t>
      </w:r>
      <w:r>
        <w:t>se platy zvýšil</w:t>
      </w:r>
      <w:r w:rsidR="00D4386E">
        <w:t>y</w:t>
      </w:r>
      <w:r>
        <w:t xml:space="preserve"> o </w:t>
      </w:r>
      <w:r w:rsidR="00F1517A">
        <w:t>4,8 %, ve veřejné správě a obraně 5,</w:t>
      </w:r>
      <w:r>
        <w:t>6</w:t>
      </w:r>
      <w:r w:rsidR="00F1517A">
        <w:t xml:space="preserve"> %</w:t>
      </w:r>
      <w:r>
        <w:t xml:space="preserve"> </w:t>
      </w:r>
      <w:r w:rsidR="00F1517A">
        <w:t xml:space="preserve">a v peněžnictví a pojišťovnictví </w:t>
      </w:r>
      <w:r>
        <w:t>o 5,8</w:t>
      </w:r>
      <w:r w:rsidR="00F1517A">
        <w:t xml:space="preserve"> %</w:t>
      </w:r>
      <w:r>
        <w:t xml:space="preserve">. Tato tři odvětví spojují vysoké požadavky na kvalifikaci pracovní síly. Zpracovatelský průmysl zaznamenal také podprůměrný nárůst o 6,9 %. Hodnoty v ostatních odvětvových sekcích se pohybovaly v intervalu 7,5–8,1 %. </w:t>
      </w:r>
      <w:r w:rsidR="00C51A00">
        <w:t xml:space="preserve">Zaměstnancům ve vzdělávání meziročně stoupla platová úroveň o </w:t>
      </w:r>
      <w:r w:rsidR="00F1517A">
        <w:t>8,0</w:t>
      </w:r>
      <w:r w:rsidR="00C51A00">
        <w:t xml:space="preserve"> %, což bylo značně více než v</w:t>
      </w:r>
      <w:r w:rsidR="007D0AB4">
        <w:t> </w:t>
      </w:r>
      <w:r w:rsidR="00C51A00">
        <w:t xml:space="preserve">předchozích </w:t>
      </w:r>
      <w:r w:rsidR="0064777F">
        <w:t>čtyře</w:t>
      </w:r>
      <w:r w:rsidR="00C51A00">
        <w:t xml:space="preserve">ch letech, přesto jde pouze o hodnotu </w:t>
      </w:r>
      <w:r w:rsidR="00F1517A">
        <w:t>pod</w:t>
      </w:r>
      <w:r w:rsidR="00C51A00">
        <w:t xml:space="preserve"> úrovn</w:t>
      </w:r>
      <w:r w:rsidR="00F1517A">
        <w:t>í</w:t>
      </w:r>
      <w:r w:rsidR="00C51A00">
        <w:t xml:space="preserve"> zvýšení celkové průměrné mzdy.</w:t>
      </w:r>
    </w:p>
    <w:p w14:paraId="6DEFB683" w14:textId="546CCAC3" w:rsidR="00C51A00" w:rsidRPr="0064777F" w:rsidRDefault="00C51A00" w:rsidP="002E56DA">
      <w:pPr>
        <w:jc w:val="left"/>
      </w:pPr>
      <w:r w:rsidRPr="000C33C3">
        <w:t>Nejvyšší mzdovou úroveň najdeme v 1. čtvrtletí 2026 již tradičně v</w:t>
      </w:r>
      <w:r w:rsidRPr="0064777F">
        <w:t xml:space="preserve"> informačních a komunikačních činnostech, kde se průměrná mzda dostala na 9</w:t>
      </w:r>
      <w:r w:rsidR="0064777F" w:rsidRPr="0064777F">
        <w:t>8</w:t>
      </w:r>
      <w:r w:rsidRPr="0064777F">
        <w:t xml:space="preserve"> </w:t>
      </w:r>
      <w:r w:rsidR="0064777F" w:rsidRPr="0064777F">
        <w:t>776</w:t>
      </w:r>
      <w:r w:rsidRPr="0064777F">
        <w:t xml:space="preserve"> Kč. Na druhém místě bylo s odstupem </w:t>
      </w:r>
      <w:r w:rsidRPr="0064777F">
        <w:lastRenderedPageBreak/>
        <w:t xml:space="preserve">peněžnictví a pojišťovnictví s úrovní </w:t>
      </w:r>
      <w:r w:rsidR="0064777F" w:rsidRPr="0064777F">
        <w:t>89 091 </w:t>
      </w:r>
      <w:r w:rsidRPr="0064777F">
        <w:t>Kč a</w:t>
      </w:r>
      <w:r w:rsidR="0064777F" w:rsidRPr="0064777F">
        <w:t> </w:t>
      </w:r>
      <w:r w:rsidRPr="0064777F">
        <w:t>třetí příčku drží výroba a rozvod elektřiny, plynu, tepla a</w:t>
      </w:r>
      <w:r w:rsidR="007D0AB4" w:rsidRPr="0064777F">
        <w:t> </w:t>
      </w:r>
      <w:r w:rsidRPr="0064777F">
        <w:t>klimatizovaného vzduchu s</w:t>
      </w:r>
      <w:r w:rsidR="0064777F" w:rsidRPr="0064777F">
        <w:t> </w:t>
      </w:r>
      <w:r w:rsidRPr="0064777F">
        <w:t>87</w:t>
      </w:r>
      <w:r w:rsidR="0064777F" w:rsidRPr="0064777F">
        <w:t> 404 </w:t>
      </w:r>
      <w:r w:rsidRPr="0064777F">
        <w:t>Kč. Tato trojice vede dlouhodobě.</w:t>
      </w:r>
    </w:p>
    <w:p w14:paraId="2039AD70" w14:textId="5337CE07" w:rsidR="00C51A00" w:rsidRPr="0064777F" w:rsidRDefault="0064777F" w:rsidP="002E56DA">
      <w:pPr>
        <w:jc w:val="left"/>
      </w:pPr>
      <w:r w:rsidRPr="0064777F">
        <w:t>Jen m</w:t>
      </w:r>
      <w:r w:rsidR="00C51A00" w:rsidRPr="0064777F">
        <w:t xml:space="preserve">írně inovované bylo pořadí z opačné strany. V ubytování, stravování a pohostinství byla průměrná mzda přes výraznější relativní nárůst (o </w:t>
      </w:r>
      <w:r w:rsidRPr="0064777F">
        <w:t>11</w:t>
      </w:r>
      <w:r w:rsidR="00C51A00" w:rsidRPr="0064777F">
        <w:t>,</w:t>
      </w:r>
      <w:r w:rsidRPr="0064777F">
        <w:t>9</w:t>
      </w:r>
      <w:r w:rsidR="00C51A00" w:rsidRPr="0064777F">
        <w:t xml:space="preserve"> %) stále nejnižší (</w:t>
      </w:r>
      <w:r w:rsidRPr="0064777F">
        <w:t>30</w:t>
      </w:r>
      <w:r w:rsidR="00C51A00" w:rsidRPr="0064777F">
        <w:t xml:space="preserve"> </w:t>
      </w:r>
      <w:r w:rsidRPr="0064777F">
        <w:t>688</w:t>
      </w:r>
      <w:r w:rsidR="00C51A00" w:rsidRPr="0064777F">
        <w:t xml:space="preserve"> Kč). Druhá nejnižší průměrná mzda byla </w:t>
      </w:r>
      <w:r w:rsidRPr="0064777F">
        <w:t xml:space="preserve">u ostatních činností, </w:t>
      </w:r>
      <w:r w:rsidR="00C51A00" w:rsidRPr="0064777F">
        <w:t xml:space="preserve">kde vzrostla o </w:t>
      </w:r>
      <w:r w:rsidRPr="0064777F">
        <w:t>7</w:t>
      </w:r>
      <w:r w:rsidR="00C51A00" w:rsidRPr="0064777F">
        <w:t>,</w:t>
      </w:r>
      <w:r w:rsidRPr="0064777F">
        <w:t>6</w:t>
      </w:r>
      <w:r w:rsidR="00C51A00" w:rsidRPr="0064777F">
        <w:t xml:space="preserve"> % na hodnotu </w:t>
      </w:r>
      <w:r w:rsidRPr="0064777F">
        <w:t>37</w:t>
      </w:r>
      <w:r w:rsidR="00C51A00" w:rsidRPr="0064777F">
        <w:t xml:space="preserve"> </w:t>
      </w:r>
      <w:r w:rsidRPr="0064777F">
        <w:t>025</w:t>
      </w:r>
      <w:r w:rsidR="00C51A00" w:rsidRPr="0064777F">
        <w:t xml:space="preserve"> Kč</w:t>
      </w:r>
      <w:r w:rsidRPr="0064777F">
        <w:t>, a</w:t>
      </w:r>
      <w:r w:rsidR="00C51A00" w:rsidRPr="0064777F">
        <w:t xml:space="preserve"> </w:t>
      </w:r>
      <w:r>
        <w:t xml:space="preserve">těsně za ním </w:t>
      </w:r>
      <w:r w:rsidRPr="0064777F">
        <w:t>n</w:t>
      </w:r>
      <w:r w:rsidR="00C51A00" w:rsidRPr="0064777F">
        <w:t>a třetím místě byl</w:t>
      </w:r>
      <w:r>
        <w:t>a</w:t>
      </w:r>
      <w:r w:rsidR="00C51A00" w:rsidRPr="0064777F">
        <w:t xml:space="preserve"> s</w:t>
      </w:r>
      <w:r w:rsidRPr="0064777F">
        <w:t> </w:t>
      </w:r>
      <w:r w:rsidR="00C51A00" w:rsidRPr="0064777F">
        <w:t>3</w:t>
      </w:r>
      <w:r w:rsidRPr="0064777F">
        <w:t>7 059</w:t>
      </w:r>
      <w:r w:rsidR="00C51A00" w:rsidRPr="0064777F">
        <w:t xml:space="preserve"> Kč </w:t>
      </w:r>
      <w:r>
        <w:t xml:space="preserve">sekce </w:t>
      </w:r>
      <w:r w:rsidRPr="0064777F">
        <w:t>zemědělství, lesnictví a rybářství</w:t>
      </w:r>
      <w:r w:rsidR="00C51A00" w:rsidRPr="0064777F">
        <w:t>.</w:t>
      </w:r>
    </w:p>
    <w:p w14:paraId="5FBF6040" w14:textId="77777777" w:rsidR="00C51A00" w:rsidRPr="007D0AB4" w:rsidRDefault="00C51A00" w:rsidP="002E56DA">
      <w:pPr>
        <w:jc w:val="left"/>
        <w:rPr>
          <w:color w:val="A1090A" w:themeColor="accent2" w:themeShade="BF"/>
        </w:rPr>
      </w:pPr>
    </w:p>
    <w:p w14:paraId="4BDC6ACA" w14:textId="77777777" w:rsidR="00C51A00" w:rsidRPr="00B447F4" w:rsidRDefault="00C51A00" w:rsidP="002E56DA">
      <w:pPr>
        <w:jc w:val="left"/>
        <w:rPr>
          <w:b/>
          <w:bCs/>
        </w:rPr>
      </w:pPr>
      <w:r w:rsidRPr="00F97731">
        <w:rPr>
          <w:b/>
          <w:bCs/>
        </w:rPr>
        <w:t>Regionální vývoj</w:t>
      </w:r>
    </w:p>
    <w:p w14:paraId="3AA406F0" w14:textId="74A010D4" w:rsidR="00D5764C" w:rsidRDefault="00C51A00" w:rsidP="002E56DA">
      <w:pPr>
        <w:jc w:val="left"/>
        <w:rPr>
          <w:color w:val="A1090A" w:themeColor="accent2" w:themeShade="BF"/>
        </w:rPr>
      </w:pPr>
      <w:r>
        <w:t>Z pohledu počtu zaměstnanců došlo v 1. čtvrtletí 202</w:t>
      </w:r>
      <w:r w:rsidR="00F97731">
        <w:t>6</w:t>
      </w:r>
      <w:r>
        <w:t xml:space="preserve"> ve většině krajů k meziročnímu </w:t>
      </w:r>
      <w:r w:rsidR="00B447F4">
        <w:t>zvýšení</w:t>
      </w:r>
      <w:r>
        <w:t xml:space="preserve">. </w:t>
      </w:r>
      <w:r w:rsidR="0626C0EE">
        <w:t xml:space="preserve">Dílčí </w:t>
      </w:r>
      <w:r w:rsidR="1BDD1BC2">
        <w:t>p</w:t>
      </w:r>
      <w:r w:rsidR="00B447F4">
        <w:t xml:space="preserve">okles zaznamenaly pouze </w:t>
      </w:r>
      <w:r w:rsidR="00D5764C">
        <w:t>tři</w:t>
      </w:r>
      <w:r w:rsidR="00B447F4">
        <w:t xml:space="preserve"> kraje, t</w:t>
      </w:r>
      <w:r>
        <w:t>en výraznější o 0,</w:t>
      </w:r>
      <w:r w:rsidR="00B447F4">
        <w:t>2</w:t>
      </w:r>
      <w:r>
        <w:t xml:space="preserve"> % byl v Moravskoslezském kraji</w:t>
      </w:r>
      <w:r w:rsidR="00D5764C">
        <w:t xml:space="preserve"> a</w:t>
      </w:r>
      <w:r w:rsidR="009E5AD4">
        <w:t> </w:t>
      </w:r>
      <w:r w:rsidR="00D5764C">
        <w:t>v </w:t>
      </w:r>
      <w:r>
        <w:t>Královéhradeck</w:t>
      </w:r>
      <w:r w:rsidR="00D5764C">
        <w:t>é</w:t>
      </w:r>
      <w:r>
        <w:t xml:space="preserve">m </w:t>
      </w:r>
      <w:r w:rsidR="00D5764C">
        <w:t xml:space="preserve">a Karlovarském kraji se počty snížily o </w:t>
      </w:r>
      <w:r>
        <w:t>0,</w:t>
      </w:r>
      <w:r w:rsidR="00D5764C">
        <w:t>1</w:t>
      </w:r>
      <w:r>
        <w:t xml:space="preserve"> %</w:t>
      </w:r>
      <w:r w:rsidR="00D5764C">
        <w:t>; početně šlo dohromady o 1 tis. Na druhé straně můžeme najít masivní nárůst v Praze o 10,6 tis., což relativně představovalo zvýšení o 1,4 %. Této hodnotě se přibližoval Pardubický kraj s 1,3 %, ale vzhledem k malé velikosti kraje šlo početně jen 2,4 tis. Významnější (4,1 tis.) byl přírůstek v Jihomoravském (0,9 %) a dále ve</w:t>
      </w:r>
      <w:r w:rsidR="00A8168E">
        <w:t> </w:t>
      </w:r>
      <w:r w:rsidR="00D5764C">
        <w:t>Středočeském kraji (0,8 %; 3,4 tis.). Ve Zlínské</w:t>
      </w:r>
      <w:r w:rsidR="00053955">
        <w:t>m</w:t>
      </w:r>
      <w:r w:rsidR="00D5764C">
        <w:t xml:space="preserve"> kraji počty stagnovaly.</w:t>
      </w:r>
    </w:p>
    <w:p w14:paraId="412F136E" w14:textId="640F85C0" w:rsidR="00C51A00" w:rsidRPr="007D0AB4" w:rsidRDefault="00C51A00" w:rsidP="002E56DA">
      <w:pPr>
        <w:jc w:val="left"/>
        <w:rPr>
          <w:color w:val="A1090A" w:themeColor="accent2" w:themeShade="BF"/>
        </w:rPr>
      </w:pPr>
      <w:r w:rsidRPr="00D5764C">
        <w:t>U vývoje průměrných mezd je v 1. čtvrtletí 202</w:t>
      </w:r>
      <w:r w:rsidR="00D5764C" w:rsidRPr="00D5764C">
        <w:t>6</w:t>
      </w:r>
      <w:r w:rsidRPr="00D5764C">
        <w:t xml:space="preserve"> krajský rozptyl podstatně menší než v třídění podle odvětví. </w:t>
      </w:r>
      <w:r w:rsidRPr="006250F2">
        <w:t xml:space="preserve">Nominálně mzdy rostly v rozmezí od </w:t>
      </w:r>
      <w:r w:rsidR="00D5764C" w:rsidRPr="006250F2">
        <w:t>6,3</w:t>
      </w:r>
      <w:r w:rsidRPr="006250F2">
        <w:t xml:space="preserve"> % do </w:t>
      </w:r>
      <w:r w:rsidR="00D5764C" w:rsidRPr="006250F2">
        <w:t>9,8 </w:t>
      </w:r>
      <w:r w:rsidRPr="006250F2">
        <w:t xml:space="preserve">%. Nejvyšší mzdový růst tentokrát </w:t>
      </w:r>
      <w:r w:rsidR="006250F2" w:rsidRPr="006250F2">
        <w:t xml:space="preserve">zdaleka </w:t>
      </w:r>
      <w:r w:rsidR="00D5764C" w:rsidRPr="006250F2">
        <w:t xml:space="preserve">nebyl </w:t>
      </w:r>
      <w:r w:rsidRPr="006250F2">
        <w:t>v</w:t>
      </w:r>
      <w:r w:rsidR="00D5764C" w:rsidRPr="006250F2">
        <w:t> </w:t>
      </w:r>
      <w:r w:rsidRPr="006250F2">
        <w:t>Praze (</w:t>
      </w:r>
      <w:r w:rsidR="006250F2" w:rsidRPr="006250F2">
        <w:t>8,2</w:t>
      </w:r>
      <w:r w:rsidRPr="006250F2">
        <w:t xml:space="preserve"> %)</w:t>
      </w:r>
      <w:r w:rsidR="006250F2" w:rsidRPr="006250F2">
        <w:t>.</w:t>
      </w:r>
      <w:r w:rsidRPr="006250F2">
        <w:t xml:space="preserve"> </w:t>
      </w:r>
      <w:r w:rsidR="006250F2" w:rsidRPr="006250F2">
        <w:t xml:space="preserve">Se značným odstupem vedl Moravskoslezský kraj (9,8 %), </w:t>
      </w:r>
      <w:r w:rsidRPr="006250F2">
        <w:t>následov</w:t>
      </w:r>
      <w:r w:rsidR="006250F2" w:rsidRPr="006250F2">
        <w:t>án</w:t>
      </w:r>
      <w:r w:rsidRPr="006250F2">
        <w:t xml:space="preserve"> </w:t>
      </w:r>
      <w:r w:rsidR="006250F2" w:rsidRPr="006250F2">
        <w:t>kraji Plzeňským (8,8 %), Pardubickým (8,7 %), Jihočeským (8,5 %) a Jihomoravským (8,2 %).</w:t>
      </w:r>
      <w:r w:rsidR="006250F2">
        <w:t xml:space="preserve"> V Olomouckém kraji se průměrná mzda zvýšila stejně jako celorepublikově, tedy o 8,1 %. V ostatních krajích vzrostly podprůměrně a nejhůře dopadl Ústecký kraj s 6,3 %.</w:t>
      </w:r>
    </w:p>
    <w:p w14:paraId="5CC06867" w14:textId="65B833EE" w:rsidR="006A57CC" w:rsidRDefault="00C51A00" w:rsidP="002E56DA">
      <w:pPr>
        <w:jc w:val="left"/>
        <w:rPr>
          <w:color w:val="A1090A" w:themeColor="accent2" w:themeShade="BF"/>
        </w:rPr>
      </w:pPr>
      <w:r w:rsidRPr="006250F2">
        <w:t xml:space="preserve">Podle absolutní úrovně výdělků </w:t>
      </w:r>
      <w:r w:rsidR="006250F2" w:rsidRPr="006250F2">
        <w:t xml:space="preserve">však zůstala Praha </w:t>
      </w:r>
      <w:r w:rsidRPr="006250F2">
        <w:t xml:space="preserve">stále výdělkově nejbohatším regionem, </w:t>
      </w:r>
      <w:r w:rsidR="006250F2" w:rsidRPr="006250F2">
        <w:t xml:space="preserve">a to se značným náskokem – </w:t>
      </w:r>
      <w:r w:rsidRPr="006250F2">
        <w:t>průměrná mzda tu byla 6</w:t>
      </w:r>
      <w:r w:rsidR="006250F2" w:rsidRPr="006250F2">
        <w:t>7</w:t>
      </w:r>
      <w:r w:rsidRPr="006250F2">
        <w:t xml:space="preserve"> </w:t>
      </w:r>
      <w:r w:rsidR="006250F2" w:rsidRPr="006250F2">
        <w:t>94</w:t>
      </w:r>
      <w:r w:rsidR="00466DB9">
        <w:t>5</w:t>
      </w:r>
      <w:r w:rsidRPr="006250F2">
        <w:t xml:space="preserve"> Kč. </w:t>
      </w:r>
      <w:r w:rsidR="006250F2" w:rsidRPr="006250F2">
        <w:t xml:space="preserve">Zápas o </w:t>
      </w:r>
      <w:r w:rsidRPr="006250F2">
        <w:t xml:space="preserve">druhé místo </w:t>
      </w:r>
      <w:r w:rsidR="006250F2" w:rsidRPr="006250F2">
        <w:t>vyhrál</w:t>
      </w:r>
      <w:r w:rsidRPr="006250F2">
        <w:t xml:space="preserve"> Jihomoravský </w:t>
      </w:r>
      <w:r w:rsidR="006250F2" w:rsidRPr="006250F2">
        <w:t xml:space="preserve">kraj </w:t>
      </w:r>
      <w:r w:rsidRPr="006250F2">
        <w:t>s</w:t>
      </w:r>
      <w:r w:rsidR="006250F2" w:rsidRPr="006250F2">
        <w:t> </w:t>
      </w:r>
      <w:r w:rsidRPr="006250F2">
        <w:t>hodnotou</w:t>
      </w:r>
      <w:r w:rsidR="006250F2" w:rsidRPr="006250F2">
        <w:t> </w:t>
      </w:r>
      <w:r w:rsidRPr="006250F2">
        <w:t>4</w:t>
      </w:r>
      <w:r w:rsidR="006250F2" w:rsidRPr="006250F2">
        <w:t>9 510 </w:t>
      </w:r>
      <w:r w:rsidRPr="006250F2">
        <w:t>Kč</w:t>
      </w:r>
      <w:r w:rsidR="006250F2" w:rsidRPr="006250F2">
        <w:t>, těsně následován</w:t>
      </w:r>
      <w:r w:rsidRPr="006250F2">
        <w:t xml:space="preserve"> Středočeský</w:t>
      </w:r>
      <w:r w:rsidR="006250F2" w:rsidRPr="006250F2">
        <w:t>m</w:t>
      </w:r>
      <w:r w:rsidRPr="006250F2">
        <w:t xml:space="preserve"> kraj</w:t>
      </w:r>
      <w:r w:rsidR="006250F2" w:rsidRPr="006250F2">
        <w:t>em</w:t>
      </w:r>
      <w:r w:rsidRPr="006250F2">
        <w:t xml:space="preserve"> s</w:t>
      </w:r>
      <w:r w:rsidR="007D0AB4" w:rsidRPr="006250F2">
        <w:t> </w:t>
      </w:r>
      <w:r w:rsidRPr="006250F2">
        <w:t>4</w:t>
      </w:r>
      <w:r w:rsidR="006250F2" w:rsidRPr="006250F2">
        <w:t>9</w:t>
      </w:r>
      <w:r w:rsidRPr="006250F2">
        <w:t xml:space="preserve"> </w:t>
      </w:r>
      <w:r w:rsidR="006250F2" w:rsidRPr="006250F2">
        <w:t>145</w:t>
      </w:r>
      <w:r w:rsidRPr="006250F2">
        <w:t xml:space="preserve"> Kč </w:t>
      </w:r>
      <w:r w:rsidRPr="007D170D">
        <w:t>na třetím míst</w:t>
      </w:r>
      <w:r w:rsidRPr="00053955">
        <w:t>ě. Hranici 4</w:t>
      </w:r>
      <w:r w:rsidR="007D170D" w:rsidRPr="00053955">
        <w:t>7 </w:t>
      </w:r>
      <w:r w:rsidRPr="00053955">
        <w:t>tisíc překonal je</w:t>
      </w:r>
      <w:r w:rsidR="007D170D" w:rsidRPr="00053955">
        <w:t>n</w:t>
      </w:r>
      <w:r w:rsidRPr="00053955">
        <w:t xml:space="preserve"> Plzeňský kraj (4</w:t>
      </w:r>
      <w:r w:rsidR="007D170D" w:rsidRPr="00053955">
        <w:t>7</w:t>
      </w:r>
      <w:r w:rsidRPr="00053955">
        <w:t xml:space="preserve"> </w:t>
      </w:r>
      <w:r w:rsidR="007D170D" w:rsidRPr="00053955">
        <w:t>076</w:t>
      </w:r>
      <w:r w:rsidRPr="00053955">
        <w:t xml:space="preserve"> Kč), ostatní zůstaly </w:t>
      </w:r>
      <w:r w:rsidR="007D170D" w:rsidRPr="00053955">
        <w:t xml:space="preserve">hluboko </w:t>
      </w:r>
      <w:r w:rsidRPr="00053955">
        <w:t>pod ní</w:t>
      </w:r>
      <w:r w:rsidR="007D170D" w:rsidRPr="00053955">
        <w:t>.</w:t>
      </w:r>
      <w:r w:rsidRPr="00053955">
        <w:t xml:space="preserve"> </w:t>
      </w:r>
      <w:r w:rsidR="007D170D" w:rsidRPr="00053955">
        <w:t>V </w:t>
      </w:r>
      <w:r w:rsidRPr="00053955">
        <w:t>Ústeck</w:t>
      </w:r>
      <w:r w:rsidR="007D170D" w:rsidRPr="00053955">
        <w:t>ém</w:t>
      </w:r>
      <w:r w:rsidRPr="00053955">
        <w:t xml:space="preserve"> </w:t>
      </w:r>
      <w:r w:rsidR="007D170D" w:rsidRPr="00053955">
        <w:t xml:space="preserve">kraji dosáhla průměrná mzda </w:t>
      </w:r>
      <w:r w:rsidRPr="00053955">
        <w:t>4</w:t>
      </w:r>
      <w:r w:rsidR="007D170D" w:rsidRPr="00053955">
        <w:t>5 482 </w:t>
      </w:r>
      <w:r w:rsidRPr="00053955">
        <w:t>Kč</w:t>
      </w:r>
      <w:r w:rsidR="007D170D" w:rsidRPr="00053955">
        <w:t>, v Jihočeském 45 071 Kč</w:t>
      </w:r>
      <w:r w:rsidR="00053955" w:rsidRPr="00053955">
        <w:t xml:space="preserve"> a v Moravskoslezském kraji byla 45 013</w:t>
      </w:r>
      <w:r w:rsidRPr="00053955">
        <w:t>. Na druhé straně Karlovarský kraj zůstal nadále regionem s nejnižší mzdovou úrovní (</w:t>
      </w:r>
      <w:r w:rsidR="00053955" w:rsidRPr="00053955">
        <w:t>42 391 </w:t>
      </w:r>
      <w:r w:rsidRPr="00053955">
        <w:t>Kč)</w:t>
      </w:r>
      <w:r w:rsidR="00053955" w:rsidRPr="00053955">
        <w:t>,</w:t>
      </w:r>
      <w:r w:rsidRPr="00053955">
        <w:t xml:space="preserve"> </w:t>
      </w:r>
      <w:r w:rsidR="00053955" w:rsidRPr="00053955">
        <w:t xml:space="preserve">ve Zlínském kraji </w:t>
      </w:r>
      <w:r w:rsidRPr="00053955">
        <w:t>dosáhla průměrná mzda 4</w:t>
      </w:r>
      <w:r w:rsidR="00053955" w:rsidRPr="00053955">
        <w:t>3 072 </w:t>
      </w:r>
      <w:r w:rsidRPr="00053955">
        <w:t>Kč</w:t>
      </w:r>
      <w:r w:rsidR="00053955" w:rsidRPr="00053955">
        <w:t xml:space="preserve"> a v Olomouckém 43 819 Kč</w:t>
      </w:r>
      <w:r w:rsidR="00053955">
        <w:t>;</w:t>
      </w:r>
      <w:r w:rsidR="00053955" w:rsidRPr="00053955">
        <w:t xml:space="preserve"> </w:t>
      </w:r>
      <w:r w:rsidR="00053955">
        <w:t>z</w:t>
      </w:r>
      <w:r w:rsidR="00053955" w:rsidRPr="00053955">
        <w:t xml:space="preserve">bylé čtyři kraje měly </w:t>
      </w:r>
      <w:r w:rsidR="00053955">
        <w:t>hodnot</w:t>
      </w:r>
      <w:r w:rsidR="00053955" w:rsidRPr="00053955">
        <w:t>y v intervalu 44–45 tisíc korun.</w:t>
      </w:r>
    </w:p>
    <w:p w14:paraId="3F8FFE9C" w14:textId="77777777" w:rsidR="00053955" w:rsidRPr="007D0AB4" w:rsidRDefault="00053955" w:rsidP="002E56DA">
      <w:pPr>
        <w:jc w:val="left"/>
        <w:rPr>
          <w:color w:val="A1090A" w:themeColor="accent2" w:themeShade="BF"/>
        </w:rPr>
      </w:pPr>
    </w:p>
    <w:p w14:paraId="64514E7A" w14:textId="77777777" w:rsidR="006A57CC" w:rsidRDefault="006A57CC" w:rsidP="006A57CC">
      <w:pPr>
        <w:spacing w:after="0"/>
        <w:rPr>
          <w:b/>
        </w:rPr>
      </w:pPr>
      <w:r>
        <w:rPr>
          <w:b/>
        </w:rPr>
        <w:t>Kontakt:</w:t>
      </w:r>
    </w:p>
    <w:p w14:paraId="5D23951F" w14:textId="77777777" w:rsidR="00956B09" w:rsidRDefault="00956B09" w:rsidP="00956B09">
      <w:pPr>
        <w:spacing w:after="0"/>
      </w:pPr>
      <w:r>
        <w:t>Dalibor Holý</w:t>
      </w:r>
    </w:p>
    <w:p w14:paraId="391CA1AD" w14:textId="77777777" w:rsidR="00956B09" w:rsidRDefault="00956B09" w:rsidP="00956B09">
      <w:pPr>
        <w:spacing w:after="0"/>
      </w:pPr>
      <w:r>
        <w:t>Odbor statistiky trhu práce a rovných příležitostí ČSÚ</w:t>
      </w:r>
    </w:p>
    <w:p w14:paraId="1A733467" w14:textId="77777777" w:rsidR="00956B09" w:rsidRDefault="00956B09" w:rsidP="00956B09">
      <w:pPr>
        <w:spacing w:after="0"/>
      </w:pPr>
      <w:r>
        <w:t>Tel.: +420 274 052 694</w:t>
      </w:r>
    </w:p>
    <w:p w14:paraId="2D4133FB" w14:textId="2149D637" w:rsidR="006A57CC" w:rsidRDefault="00956B09" w:rsidP="00956B09">
      <w:pPr>
        <w:spacing w:after="0"/>
      </w:pPr>
      <w:r>
        <w:t xml:space="preserve">E-mail: </w:t>
      </w:r>
      <w:hyperlink r:id="rId12" w:history="1">
        <w:r w:rsidRPr="000A625E">
          <w:rPr>
            <w:rStyle w:val="Hypertextovodkaz"/>
          </w:rPr>
          <w:t>dalibor.holy@csu.gov.cz</w:t>
        </w:r>
      </w:hyperlink>
    </w:p>
    <w:sectPr w:rsidR="006A57CC" w:rsidSect="00BE2E0B">
      <w:headerReference w:type="default" r:id="rId13"/>
      <w:footerReference w:type="default" r:id="rId14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A6FA" w14:textId="77777777" w:rsidR="006624B6" w:rsidRDefault="006624B6" w:rsidP="004A01A7">
      <w:pPr>
        <w:spacing w:after="0" w:line="240" w:lineRule="auto"/>
      </w:pPr>
      <w:r>
        <w:separator/>
      </w:r>
    </w:p>
  </w:endnote>
  <w:endnote w:type="continuationSeparator" w:id="0">
    <w:p w14:paraId="1EF82F10" w14:textId="77777777" w:rsidR="006624B6" w:rsidRDefault="006624B6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1721" w14:textId="77777777" w:rsidR="006A57CC" w:rsidRDefault="006A57CC" w:rsidP="00F21B6A">
    <w:pPr>
      <w:pStyle w:val="Zpat"/>
    </w:pPr>
    <w:r w:rsidRPr="006A57CC">
      <w:t>Český statistický úřad</w:t>
    </w:r>
  </w:p>
  <w:p w14:paraId="657155CE" w14:textId="77777777" w:rsidR="00F21B6A" w:rsidRDefault="006A57CC" w:rsidP="00F21B6A">
    <w:pPr>
      <w:pStyle w:val="Zpat"/>
    </w:pPr>
    <w:r w:rsidRPr="006A57CC">
      <w:t>Odbor komunikace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47F5B3C0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37FDA684" w14:textId="77777777" w:rsidR="004A01A7" w:rsidRPr="00F21B6A" w:rsidRDefault="006A57CC" w:rsidP="00F21B6A">
    <w:pPr>
      <w:pStyle w:val="Zpat"/>
    </w:pPr>
    <w:r w:rsidRPr="006A57CC">
      <w:t>T: +420 274 052 834, E: press@csu.gov.cz</w:t>
    </w:r>
    <w:r w:rsidR="00F21B6A">
      <w:tab/>
    </w:r>
    <w:r w:rsidR="00F21B6A">
      <w:tab/>
    </w:r>
    <w:hyperlink r:id="rId1" w:history="1">
      <w:r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AC56" w14:textId="77777777" w:rsidR="006624B6" w:rsidRDefault="006624B6" w:rsidP="004A01A7">
      <w:pPr>
        <w:spacing w:after="0" w:line="240" w:lineRule="auto"/>
      </w:pPr>
    </w:p>
  </w:footnote>
  <w:footnote w:type="continuationSeparator" w:id="0">
    <w:p w14:paraId="439065B9" w14:textId="77777777" w:rsidR="006624B6" w:rsidRDefault="006624B6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28ABD7E0" w14:textId="77777777" w:rsidTr="00F21B6A">
      <w:trPr>
        <w:jc w:val="right"/>
      </w:trPr>
      <w:tc>
        <w:tcPr>
          <w:tcW w:w="4253" w:type="dxa"/>
        </w:tcPr>
        <w:p w14:paraId="0B326DD2" w14:textId="0FE029CB" w:rsidR="003208E6" w:rsidRDefault="007F36FE" w:rsidP="00C063DD">
          <w:pPr>
            <w:pStyle w:val="Nadpis3"/>
            <w:spacing w:before="0"/>
            <w:jc w:val="right"/>
          </w:pPr>
          <w:r>
            <w:t>Analýz</w:t>
          </w:r>
          <w:r w:rsidR="00F21B6A">
            <w:t>a</w:t>
          </w:r>
        </w:p>
      </w:tc>
    </w:tr>
  </w:tbl>
  <w:p w14:paraId="638563E5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61312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16985685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zXTiu6DYo5Lx5" int2:id="NHcAyxpG">
      <int2:state int2:value="Rejected" int2:type="spell"/>
    </int2:textHash>
    <int2:textHash int2:hashCode="BtZfEV3f3DXb8+" int2:id="A2QTirS2">
      <int2:state int2:value="Rejected" int2:type="spell"/>
    </int2:textHash>
    <int2:bookmark int2:bookmarkName="_Int_BAMNT4hQ" int2:invalidationBookmarkName="" int2:hashCode="xuq6G58wGxSZb/" int2:id="rPclqvyh">
      <int2:state int2:value="Rejected" int2:type="gram"/>
    </int2:bookmark>
    <int2:bookmark int2:bookmarkName="_Int_Yzlt0gjn" int2:invalidationBookmarkName="" int2:hashCode="S34YZDiJJQ2kIJ" int2:id="Q1Apsj0K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16"/>
    <w:rsid w:val="000069A2"/>
    <w:rsid w:val="000106FE"/>
    <w:rsid w:val="000120B4"/>
    <w:rsid w:val="0002560E"/>
    <w:rsid w:val="00030189"/>
    <w:rsid w:val="00032CCE"/>
    <w:rsid w:val="00035F16"/>
    <w:rsid w:val="0004208F"/>
    <w:rsid w:val="00043335"/>
    <w:rsid w:val="00053955"/>
    <w:rsid w:val="00054392"/>
    <w:rsid w:val="0005510C"/>
    <w:rsid w:val="00071F0F"/>
    <w:rsid w:val="00083A55"/>
    <w:rsid w:val="00085436"/>
    <w:rsid w:val="000968A9"/>
    <w:rsid w:val="000A2E4D"/>
    <w:rsid w:val="000A3B14"/>
    <w:rsid w:val="000B4F0B"/>
    <w:rsid w:val="000C11F2"/>
    <w:rsid w:val="000C2452"/>
    <w:rsid w:val="000C33C3"/>
    <w:rsid w:val="000C67FA"/>
    <w:rsid w:val="000C68F4"/>
    <w:rsid w:val="000D2954"/>
    <w:rsid w:val="000E00C3"/>
    <w:rsid w:val="000E17F8"/>
    <w:rsid w:val="000E3099"/>
    <w:rsid w:val="000F141D"/>
    <w:rsid w:val="000F5A54"/>
    <w:rsid w:val="00102994"/>
    <w:rsid w:val="0010390A"/>
    <w:rsid w:val="00130B75"/>
    <w:rsid w:val="00134D21"/>
    <w:rsid w:val="00134F2B"/>
    <w:rsid w:val="00135EBB"/>
    <w:rsid w:val="001363A5"/>
    <w:rsid w:val="001371AF"/>
    <w:rsid w:val="00137B85"/>
    <w:rsid w:val="00140402"/>
    <w:rsid w:val="00140D4A"/>
    <w:rsid w:val="00141449"/>
    <w:rsid w:val="00146A2A"/>
    <w:rsid w:val="0015074B"/>
    <w:rsid w:val="00160FEB"/>
    <w:rsid w:val="00163605"/>
    <w:rsid w:val="00164790"/>
    <w:rsid w:val="00165C2D"/>
    <w:rsid w:val="00166061"/>
    <w:rsid w:val="001712FE"/>
    <w:rsid w:val="00171B3E"/>
    <w:rsid w:val="00175680"/>
    <w:rsid w:val="00181B80"/>
    <w:rsid w:val="001909FA"/>
    <w:rsid w:val="001A1103"/>
    <w:rsid w:val="001A55AB"/>
    <w:rsid w:val="001C563C"/>
    <w:rsid w:val="001C7790"/>
    <w:rsid w:val="001D4F65"/>
    <w:rsid w:val="001D6297"/>
    <w:rsid w:val="001D719A"/>
    <w:rsid w:val="001E1B82"/>
    <w:rsid w:val="001E417F"/>
    <w:rsid w:val="001E513B"/>
    <w:rsid w:val="001E691A"/>
    <w:rsid w:val="001F493F"/>
    <w:rsid w:val="002000F6"/>
    <w:rsid w:val="002013B0"/>
    <w:rsid w:val="00205176"/>
    <w:rsid w:val="0020716F"/>
    <w:rsid w:val="002128B3"/>
    <w:rsid w:val="00216463"/>
    <w:rsid w:val="00222610"/>
    <w:rsid w:val="002234D1"/>
    <w:rsid w:val="002363CA"/>
    <w:rsid w:val="0024632D"/>
    <w:rsid w:val="0024676C"/>
    <w:rsid w:val="00246AF0"/>
    <w:rsid w:val="00260DCA"/>
    <w:rsid w:val="00261EC8"/>
    <w:rsid w:val="00275B42"/>
    <w:rsid w:val="00280346"/>
    <w:rsid w:val="00280D21"/>
    <w:rsid w:val="0028101B"/>
    <w:rsid w:val="002826B4"/>
    <w:rsid w:val="002919B4"/>
    <w:rsid w:val="00293F29"/>
    <w:rsid w:val="00297267"/>
    <w:rsid w:val="00297C33"/>
    <w:rsid w:val="002D11B9"/>
    <w:rsid w:val="002D264B"/>
    <w:rsid w:val="002D504A"/>
    <w:rsid w:val="002D796B"/>
    <w:rsid w:val="002E56DA"/>
    <w:rsid w:val="002F22C7"/>
    <w:rsid w:val="002F2B26"/>
    <w:rsid w:val="002F7004"/>
    <w:rsid w:val="0030061B"/>
    <w:rsid w:val="00303A0E"/>
    <w:rsid w:val="00315185"/>
    <w:rsid w:val="003206E7"/>
    <w:rsid w:val="003208E6"/>
    <w:rsid w:val="0032285E"/>
    <w:rsid w:val="003351B8"/>
    <w:rsid w:val="00353126"/>
    <w:rsid w:val="003540FA"/>
    <w:rsid w:val="00356332"/>
    <w:rsid w:val="00363815"/>
    <w:rsid w:val="003654CD"/>
    <w:rsid w:val="00370110"/>
    <w:rsid w:val="00372598"/>
    <w:rsid w:val="00376D03"/>
    <w:rsid w:val="00392F53"/>
    <w:rsid w:val="00393EC0"/>
    <w:rsid w:val="003A2A49"/>
    <w:rsid w:val="003A3966"/>
    <w:rsid w:val="003A7E6A"/>
    <w:rsid w:val="003C027F"/>
    <w:rsid w:val="003C206E"/>
    <w:rsid w:val="003C3F6A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4DC7"/>
    <w:rsid w:val="00455AA8"/>
    <w:rsid w:val="004573FA"/>
    <w:rsid w:val="004607B2"/>
    <w:rsid w:val="00463047"/>
    <w:rsid w:val="004659C7"/>
    <w:rsid w:val="00466DB9"/>
    <w:rsid w:val="0046727D"/>
    <w:rsid w:val="004723B2"/>
    <w:rsid w:val="00493ED9"/>
    <w:rsid w:val="004977D7"/>
    <w:rsid w:val="004A01A7"/>
    <w:rsid w:val="004A09C5"/>
    <w:rsid w:val="004A1ED6"/>
    <w:rsid w:val="004A38DD"/>
    <w:rsid w:val="004B4A94"/>
    <w:rsid w:val="004C7DCA"/>
    <w:rsid w:val="004D452D"/>
    <w:rsid w:val="004E7E0E"/>
    <w:rsid w:val="004F20E0"/>
    <w:rsid w:val="004F29F3"/>
    <w:rsid w:val="004F4BD2"/>
    <w:rsid w:val="00500A63"/>
    <w:rsid w:val="00506A3C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55BA6"/>
    <w:rsid w:val="00560EC8"/>
    <w:rsid w:val="00563A5F"/>
    <w:rsid w:val="00563FE8"/>
    <w:rsid w:val="00564117"/>
    <w:rsid w:val="0056491C"/>
    <w:rsid w:val="00564F2B"/>
    <w:rsid w:val="005801BB"/>
    <w:rsid w:val="005814C6"/>
    <w:rsid w:val="005865A4"/>
    <w:rsid w:val="00586756"/>
    <w:rsid w:val="0058729F"/>
    <w:rsid w:val="00593B6B"/>
    <w:rsid w:val="005970F5"/>
    <w:rsid w:val="005A012C"/>
    <w:rsid w:val="005A4EC9"/>
    <w:rsid w:val="005A60C3"/>
    <w:rsid w:val="005A7457"/>
    <w:rsid w:val="005C05B2"/>
    <w:rsid w:val="005C14EB"/>
    <w:rsid w:val="005C29C9"/>
    <w:rsid w:val="005D16C3"/>
    <w:rsid w:val="005D6054"/>
    <w:rsid w:val="005D7241"/>
    <w:rsid w:val="005F2513"/>
    <w:rsid w:val="00601C8A"/>
    <w:rsid w:val="00601DFE"/>
    <w:rsid w:val="006051FE"/>
    <w:rsid w:val="00606CF5"/>
    <w:rsid w:val="00607675"/>
    <w:rsid w:val="006120D2"/>
    <w:rsid w:val="006250F2"/>
    <w:rsid w:val="00626A46"/>
    <w:rsid w:val="00626A74"/>
    <w:rsid w:val="0062750B"/>
    <w:rsid w:val="006350CD"/>
    <w:rsid w:val="00635BB6"/>
    <w:rsid w:val="00637E8B"/>
    <w:rsid w:val="00640E73"/>
    <w:rsid w:val="0064237D"/>
    <w:rsid w:val="00647757"/>
    <w:rsid w:val="0064777F"/>
    <w:rsid w:val="00650D3D"/>
    <w:rsid w:val="0065771A"/>
    <w:rsid w:val="006624B6"/>
    <w:rsid w:val="0067042F"/>
    <w:rsid w:val="0069631F"/>
    <w:rsid w:val="00696A2A"/>
    <w:rsid w:val="006A3F86"/>
    <w:rsid w:val="006A57CC"/>
    <w:rsid w:val="006A6723"/>
    <w:rsid w:val="006B3677"/>
    <w:rsid w:val="006C0860"/>
    <w:rsid w:val="006D6563"/>
    <w:rsid w:val="006E7273"/>
    <w:rsid w:val="006E7941"/>
    <w:rsid w:val="006F4755"/>
    <w:rsid w:val="006F51DB"/>
    <w:rsid w:val="00702BED"/>
    <w:rsid w:val="007049E6"/>
    <w:rsid w:val="00713213"/>
    <w:rsid w:val="007141CA"/>
    <w:rsid w:val="0071455E"/>
    <w:rsid w:val="00716F0E"/>
    <w:rsid w:val="007205E7"/>
    <w:rsid w:val="00720DDE"/>
    <w:rsid w:val="00724E67"/>
    <w:rsid w:val="00725547"/>
    <w:rsid w:val="0073040F"/>
    <w:rsid w:val="00730E28"/>
    <w:rsid w:val="007371E0"/>
    <w:rsid w:val="00746911"/>
    <w:rsid w:val="00750C5A"/>
    <w:rsid w:val="00765263"/>
    <w:rsid w:val="00787190"/>
    <w:rsid w:val="007C7F3F"/>
    <w:rsid w:val="007D0AB4"/>
    <w:rsid w:val="007D170D"/>
    <w:rsid w:val="007D6A0E"/>
    <w:rsid w:val="007D6F07"/>
    <w:rsid w:val="007F15D6"/>
    <w:rsid w:val="007F21C4"/>
    <w:rsid w:val="007F36FE"/>
    <w:rsid w:val="00801CDD"/>
    <w:rsid w:val="00811964"/>
    <w:rsid w:val="00817554"/>
    <w:rsid w:val="008325E0"/>
    <w:rsid w:val="00834A49"/>
    <w:rsid w:val="00837E45"/>
    <w:rsid w:val="0084277E"/>
    <w:rsid w:val="008446CA"/>
    <w:rsid w:val="00851074"/>
    <w:rsid w:val="00852511"/>
    <w:rsid w:val="008541DA"/>
    <w:rsid w:val="00870D3E"/>
    <w:rsid w:val="00877CF1"/>
    <w:rsid w:val="00884306"/>
    <w:rsid w:val="008A1ACC"/>
    <w:rsid w:val="008A4895"/>
    <w:rsid w:val="008B0E87"/>
    <w:rsid w:val="008C4A49"/>
    <w:rsid w:val="008D3BF9"/>
    <w:rsid w:val="008D405D"/>
    <w:rsid w:val="008D5575"/>
    <w:rsid w:val="008E1E4F"/>
    <w:rsid w:val="008F125B"/>
    <w:rsid w:val="008F533C"/>
    <w:rsid w:val="009149E6"/>
    <w:rsid w:val="00916E60"/>
    <w:rsid w:val="00917C90"/>
    <w:rsid w:val="0093417E"/>
    <w:rsid w:val="00945FB9"/>
    <w:rsid w:val="009475A7"/>
    <w:rsid w:val="00951930"/>
    <w:rsid w:val="00956B09"/>
    <w:rsid w:val="009610E2"/>
    <w:rsid w:val="0096469E"/>
    <w:rsid w:val="0097303D"/>
    <w:rsid w:val="00975E0F"/>
    <w:rsid w:val="00975F17"/>
    <w:rsid w:val="00983EE8"/>
    <w:rsid w:val="00984352"/>
    <w:rsid w:val="00985819"/>
    <w:rsid w:val="009A09AB"/>
    <w:rsid w:val="009A389D"/>
    <w:rsid w:val="009A434B"/>
    <w:rsid w:val="009B032C"/>
    <w:rsid w:val="009B0804"/>
    <w:rsid w:val="009C081A"/>
    <w:rsid w:val="009C0BC3"/>
    <w:rsid w:val="009C31A6"/>
    <w:rsid w:val="009C3D4A"/>
    <w:rsid w:val="009C6AC8"/>
    <w:rsid w:val="009C6DEE"/>
    <w:rsid w:val="009D72AA"/>
    <w:rsid w:val="009E2F50"/>
    <w:rsid w:val="009E3A7D"/>
    <w:rsid w:val="009E4B81"/>
    <w:rsid w:val="009E5AD4"/>
    <w:rsid w:val="009F3E9D"/>
    <w:rsid w:val="00A029A9"/>
    <w:rsid w:val="00A10599"/>
    <w:rsid w:val="00A15A28"/>
    <w:rsid w:val="00A274A1"/>
    <w:rsid w:val="00A31CB5"/>
    <w:rsid w:val="00A3283F"/>
    <w:rsid w:val="00A47859"/>
    <w:rsid w:val="00A55A71"/>
    <w:rsid w:val="00A57C7C"/>
    <w:rsid w:val="00A67387"/>
    <w:rsid w:val="00A8168E"/>
    <w:rsid w:val="00A851CE"/>
    <w:rsid w:val="00A854A6"/>
    <w:rsid w:val="00A87E28"/>
    <w:rsid w:val="00A91166"/>
    <w:rsid w:val="00A91452"/>
    <w:rsid w:val="00A95D0B"/>
    <w:rsid w:val="00AA0C58"/>
    <w:rsid w:val="00AB1F88"/>
    <w:rsid w:val="00AB4BE7"/>
    <w:rsid w:val="00AB5479"/>
    <w:rsid w:val="00AB7649"/>
    <w:rsid w:val="00AC0BF4"/>
    <w:rsid w:val="00AC1CEA"/>
    <w:rsid w:val="00AC3865"/>
    <w:rsid w:val="00AD40DD"/>
    <w:rsid w:val="00AE1317"/>
    <w:rsid w:val="00AE6440"/>
    <w:rsid w:val="00AF06B0"/>
    <w:rsid w:val="00AF2E74"/>
    <w:rsid w:val="00AF3319"/>
    <w:rsid w:val="00AF39AC"/>
    <w:rsid w:val="00AF6E9E"/>
    <w:rsid w:val="00B0330A"/>
    <w:rsid w:val="00B06F3B"/>
    <w:rsid w:val="00B07208"/>
    <w:rsid w:val="00B17C31"/>
    <w:rsid w:val="00B2195A"/>
    <w:rsid w:val="00B25C60"/>
    <w:rsid w:val="00B31BB1"/>
    <w:rsid w:val="00B43D9B"/>
    <w:rsid w:val="00B447F4"/>
    <w:rsid w:val="00B462F4"/>
    <w:rsid w:val="00B47092"/>
    <w:rsid w:val="00B511B1"/>
    <w:rsid w:val="00B51C8F"/>
    <w:rsid w:val="00B572FD"/>
    <w:rsid w:val="00B602D0"/>
    <w:rsid w:val="00B62344"/>
    <w:rsid w:val="00B67B21"/>
    <w:rsid w:val="00B70022"/>
    <w:rsid w:val="00B7165F"/>
    <w:rsid w:val="00B733E5"/>
    <w:rsid w:val="00B759AD"/>
    <w:rsid w:val="00B8724F"/>
    <w:rsid w:val="00B90BD8"/>
    <w:rsid w:val="00B93F16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1CD8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11A5"/>
    <w:rsid w:val="00C4391D"/>
    <w:rsid w:val="00C47D31"/>
    <w:rsid w:val="00C5077B"/>
    <w:rsid w:val="00C51A00"/>
    <w:rsid w:val="00C559EC"/>
    <w:rsid w:val="00C5725B"/>
    <w:rsid w:val="00C61C26"/>
    <w:rsid w:val="00C621FA"/>
    <w:rsid w:val="00C678BE"/>
    <w:rsid w:val="00C744B6"/>
    <w:rsid w:val="00C74A09"/>
    <w:rsid w:val="00C81121"/>
    <w:rsid w:val="00C930E3"/>
    <w:rsid w:val="00CA3ABB"/>
    <w:rsid w:val="00CB1B52"/>
    <w:rsid w:val="00CB1E4F"/>
    <w:rsid w:val="00CB6B2A"/>
    <w:rsid w:val="00CC0409"/>
    <w:rsid w:val="00CC309B"/>
    <w:rsid w:val="00CC35A2"/>
    <w:rsid w:val="00CC67FF"/>
    <w:rsid w:val="00CC7927"/>
    <w:rsid w:val="00CD0856"/>
    <w:rsid w:val="00CD784B"/>
    <w:rsid w:val="00CE0BC6"/>
    <w:rsid w:val="00CE425F"/>
    <w:rsid w:val="00CF6697"/>
    <w:rsid w:val="00D066AA"/>
    <w:rsid w:val="00D13F05"/>
    <w:rsid w:val="00D15B3B"/>
    <w:rsid w:val="00D20AC3"/>
    <w:rsid w:val="00D35CCA"/>
    <w:rsid w:val="00D4386E"/>
    <w:rsid w:val="00D50FAD"/>
    <w:rsid w:val="00D52321"/>
    <w:rsid w:val="00D5764C"/>
    <w:rsid w:val="00D63056"/>
    <w:rsid w:val="00D70040"/>
    <w:rsid w:val="00D7143F"/>
    <w:rsid w:val="00D81045"/>
    <w:rsid w:val="00DA10DB"/>
    <w:rsid w:val="00DA6A52"/>
    <w:rsid w:val="00DB1F59"/>
    <w:rsid w:val="00DB23B9"/>
    <w:rsid w:val="00DC6B9A"/>
    <w:rsid w:val="00DD3D93"/>
    <w:rsid w:val="00DD4E3E"/>
    <w:rsid w:val="00DD6689"/>
    <w:rsid w:val="00DE08A7"/>
    <w:rsid w:val="00DF3F66"/>
    <w:rsid w:val="00E12747"/>
    <w:rsid w:val="00E14659"/>
    <w:rsid w:val="00E175D1"/>
    <w:rsid w:val="00E24FEA"/>
    <w:rsid w:val="00E34849"/>
    <w:rsid w:val="00E35459"/>
    <w:rsid w:val="00E377DF"/>
    <w:rsid w:val="00E414DB"/>
    <w:rsid w:val="00E456D4"/>
    <w:rsid w:val="00E47767"/>
    <w:rsid w:val="00E6266D"/>
    <w:rsid w:val="00E62893"/>
    <w:rsid w:val="00E67257"/>
    <w:rsid w:val="00E704CC"/>
    <w:rsid w:val="00E721D1"/>
    <w:rsid w:val="00E72CDB"/>
    <w:rsid w:val="00E8736C"/>
    <w:rsid w:val="00E9571D"/>
    <w:rsid w:val="00E97FB6"/>
    <w:rsid w:val="00EB3884"/>
    <w:rsid w:val="00EB5DA8"/>
    <w:rsid w:val="00EC2292"/>
    <w:rsid w:val="00EE2C86"/>
    <w:rsid w:val="00EE6234"/>
    <w:rsid w:val="00EF1981"/>
    <w:rsid w:val="00EF4611"/>
    <w:rsid w:val="00F0418D"/>
    <w:rsid w:val="00F049CC"/>
    <w:rsid w:val="00F1517A"/>
    <w:rsid w:val="00F152C4"/>
    <w:rsid w:val="00F2026B"/>
    <w:rsid w:val="00F21784"/>
    <w:rsid w:val="00F21B6A"/>
    <w:rsid w:val="00F26AB3"/>
    <w:rsid w:val="00F27ACE"/>
    <w:rsid w:val="00F30E1E"/>
    <w:rsid w:val="00F34410"/>
    <w:rsid w:val="00F47C92"/>
    <w:rsid w:val="00F54484"/>
    <w:rsid w:val="00F562EF"/>
    <w:rsid w:val="00F668A6"/>
    <w:rsid w:val="00F70F49"/>
    <w:rsid w:val="00F735FA"/>
    <w:rsid w:val="00F81713"/>
    <w:rsid w:val="00F837DE"/>
    <w:rsid w:val="00F96106"/>
    <w:rsid w:val="00F97731"/>
    <w:rsid w:val="00FA0FB3"/>
    <w:rsid w:val="00FA634C"/>
    <w:rsid w:val="00FA79CC"/>
    <w:rsid w:val="00FA7B77"/>
    <w:rsid w:val="00FB11FD"/>
    <w:rsid w:val="00FB4F1B"/>
    <w:rsid w:val="00FB57B9"/>
    <w:rsid w:val="00FC186E"/>
    <w:rsid w:val="00FC1C08"/>
    <w:rsid w:val="00FC2146"/>
    <w:rsid w:val="00FD5BC4"/>
    <w:rsid w:val="00FD5BEC"/>
    <w:rsid w:val="00FD5E47"/>
    <w:rsid w:val="00FD7332"/>
    <w:rsid w:val="00FE449C"/>
    <w:rsid w:val="00FE7E23"/>
    <w:rsid w:val="00FF246C"/>
    <w:rsid w:val="00FF6DB4"/>
    <w:rsid w:val="026CC4DE"/>
    <w:rsid w:val="03154F33"/>
    <w:rsid w:val="06101F5B"/>
    <w:rsid w:val="0626C0EE"/>
    <w:rsid w:val="1223F234"/>
    <w:rsid w:val="12A22CCF"/>
    <w:rsid w:val="14D8BA6F"/>
    <w:rsid w:val="15697101"/>
    <w:rsid w:val="186FDECD"/>
    <w:rsid w:val="1BDD1BC2"/>
    <w:rsid w:val="1E0A82A7"/>
    <w:rsid w:val="20D89D33"/>
    <w:rsid w:val="2257CC94"/>
    <w:rsid w:val="236F187E"/>
    <w:rsid w:val="25256E40"/>
    <w:rsid w:val="26E8157B"/>
    <w:rsid w:val="2955040C"/>
    <w:rsid w:val="2BD64863"/>
    <w:rsid w:val="2D36B982"/>
    <w:rsid w:val="2F924860"/>
    <w:rsid w:val="392988E7"/>
    <w:rsid w:val="3CC8B1D2"/>
    <w:rsid w:val="41D8C8C8"/>
    <w:rsid w:val="465ADE8E"/>
    <w:rsid w:val="4B3B57DE"/>
    <w:rsid w:val="4D5D9506"/>
    <w:rsid w:val="51CA8045"/>
    <w:rsid w:val="56E4FFD4"/>
    <w:rsid w:val="58863D9D"/>
    <w:rsid w:val="5AB7BAAB"/>
    <w:rsid w:val="5EA0CB92"/>
    <w:rsid w:val="622F619E"/>
    <w:rsid w:val="63F7A027"/>
    <w:rsid w:val="6578F44C"/>
    <w:rsid w:val="672B493F"/>
    <w:rsid w:val="6AA827C8"/>
    <w:rsid w:val="6FF8A371"/>
    <w:rsid w:val="73AF470D"/>
    <w:rsid w:val="741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399C"/>
  <w15:chartTrackingRefBased/>
  <w15:docId w15:val="{61DDCFEA-BE22-4572-B018-CA6CB3CE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74691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4691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C744B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750C5A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libor.holy@csu.gov.cz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y2795\Downloads\Form_c469_Tiskova%20zprava_CZ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dalibor_holy_czso_cz/Documents/Plocha/_disk_D/U/ODBOR/RI/RI%20MZDY/1q2026/Graf_anal&#253;za_p&#345;&#237;sp&#283;vky-zamc&#367;-odv&#283;tv&#23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List1!$B$3:$B$21</c:f>
              <c:strCache>
                <c:ptCount val="19"/>
                <c:pt idx="0">
                  <c:v>Zpracovatelský průmysl</c:v>
                </c:pt>
                <c:pt idx="1">
                  <c:v>Těžba a dobývání</c:v>
                </c:pt>
                <c:pt idx="2">
                  <c:v>Obchod; opravy</c:v>
                </c:pt>
                <c:pt idx="3">
                  <c:v>Doprava a skladování</c:v>
                </c:pt>
                <c:pt idx="4">
                  <c:v>Zemědělství, lesn. a ryb.</c:v>
                </c:pt>
                <c:pt idx="5">
                  <c:v>Peněžnictví a pojišťovnictví</c:v>
                </c:pt>
                <c:pt idx="6">
                  <c:v>Informační a komunik.činnosti</c:v>
                </c:pt>
                <c:pt idx="7">
                  <c:v>Ostatní činnosti</c:v>
                </c:pt>
                <c:pt idx="8">
                  <c:v>Zásobování vodou; odpady</c:v>
                </c:pt>
                <c:pt idx="9">
                  <c:v>Administrativní a podp.čin.</c:v>
                </c:pt>
                <c:pt idx="10">
                  <c:v>Kulturní, zábavní a rekr.činnosti</c:v>
                </c:pt>
                <c:pt idx="11">
                  <c:v>Výroba a rozvod elektřiny, plynu</c:v>
                </c:pt>
                <c:pt idx="12">
                  <c:v>Profesní, věd. a techn.činnosti</c:v>
                </c:pt>
                <c:pt idx="13">
                  <c:v>Činnosti v oblasti nemovitostí</c:v>
                </c:pt>
                <c:pt idx="14">
                  <c:v>Ubytování, strav. a pohost.</c:v>
                </c:pt>
                <c:pt idx="15">
                  <c:v>Veřejná správa a obrana</c:v>
                </c:pt>
                <c:pt idx="16">
                  <c:v>Stavebnictví</c:v>
                </c:pt>
                <c:pt idx="17">
                  <c:v>Vzdělávání</c:v>
                </c:pt>
                <c:pt idx="18">
                  <c:v>Zdravotní a sociální péče</c:v>
                </c:pt>
              </c:strCache>
            </c:strRef>
          </c:cat>
          <c:val>
            <c:numRef>
              <c:f>List1!$C$3:$C$21</c:f>
              <c:numCache>
                <c:formatCode>0</c:formatCode>
                <c:ptCount val="19"/>
                <c:pt idx="0">
                  <c:v>-7.1765945434000002</c:v>
                </c:pt>
                <c:pt idx="1">
                  <c:v>-1.6914806602000001</c:v>
                </c:pt>
                <c:pt idx="2">
                  <c:v>-1.627325116</c:v>
                </c:pt>
                <c:pt idx="3">
                  <c:v>-1.4536201175000001</c:v>
                </c:pt>
                <c:pt idx="4">
                  <c:v>-0.84070879499999995</c:v>
                </c:pt>
                <c:pt idx="5">
                  <c:v>-0.42587376220000001</c:v>
                </c:pt>
                <c:pt idx="6">
                  <c:v>-0.14575827290000001</c:v>
                </c:pt>
                <c:pt idx="7">
                  <c:v>0.16027478440000001</c:v>
                </c:pt>
                <c:pt idx="8">
                  <c:v>0.44552258500000003</c:v>
                </c:pt>
                <c:pt idx="9">
                  <c:v>0.5258054553</c:v>
                </c:pt>
                <c:pt idx="10">
                  <c:v>0.83556495689999999</c:v>
                </c:pt>
                <c:pt idx="11">
                  <c:v>1.1136249413999999</c:v>
                </c:pt>
                <c:pt idx="12">
                  <c:v>1.9189784389</c:v>
                </c:pt>
                <c:pt idx="13">
                  <c:v>2.5933896924000002</c:v>
                </c:pt>
                <c:pt idx="14">
                  <c:v>3.3672016779999998</c:v>
                </c:pt>
                <c:pt idx="15">
                  <c:v>3.7421561566000001</c:v>
                </c:pt>
                <c:pt idx="16">
                  <c:v>4.9590040813999998</c:v>
                </c:pt>
                <c:pt idx="17">
                  <c:v>7.8624508767999997</c:v>
                </c:pt>
                <c:pt idx="18">
                  <c:v>8.615888816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DD-4B35-998B-5CEBE982A8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5"/>
        <c:axId val="834572959"/>
        <c:axId val="834595519"/>
      </c:barChart>
      <c:catAx>
        <c:axId val="8345729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834595519"/>
        <c:crosses val="autoZero"/>
        <c:auto val="1"/>
        <c:lblAlgn val="ctr"/>
        <c:lblOffset val="100"/>
        <c:noMultiLvlLbl val="0"/>
      </c:catAx>
      <c:valAx>
        <c:axId val="834595519"/>
        <c:scaling>
          <c:orientation val="minMax"/>
          <c:max val="9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v tis.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83457295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ED9AC5-6345-4D9D-89FF-B8979E6A10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54FA42-3A8D-47D9-9647-E987F66D7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99B74E-68BF-4DD9-91A2-6CA9003F0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Form_c469_Tiskova zprava_CZ.dotx</Template>
  <TotalTime>28</TotalTime>
  <Pages>5</Pages>
  <Words>2182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Holý Dalibor</dc:creator>
  <cp:keywords/>
  <dc:description/>
  <cp:lastModifiedBy>Holý Dalibor</cp:lastModifiedBy>
  <cp:revision>21</cp:revision>
  <cp:lastPrinted>2026-06-01T06:50:00Z</cp:lastPrinted>
  <dcterms:created xsi:type="dcterms:W3CDTF">2026-06-02T10:51:00Z</dcterms:created>
  <dcterms:modified xsi:type="dcterms:W3CDTF">2026-06-02T11:34:00Z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184100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