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17" w:rsidRDefault="000D2A17" w:rsidP="000D2A17">
      <w:pPr>
        <w:pStyle w:val="Nzev"/>
        <w:outlineLvl w:val="0"/>
        <w:rPr>
          <w:sz w:val="24"/>
          <w:lang w:val="en-GB"/>
        </w:rPr>
      </w:pPr>
      <w:r>
        <w:rPr>
          <w:sz w:val="24"/>
          <w:lang w:val="en-GB"/>
        </w:rPr>
        <w:t>Methodology</w:t>
      </w:r>
    </w:p>
    <w:p w:rsidR="000D2A17" w:rsidRDefault="000D2A17" w:rsidP="000D2A17">
      <w:pPr>
        <w:pStyle w:val="Nzev"/>
        <w:outlineLvl w:val="0"/>
        <w:rPr>
          <w:sz w:val="20"/>
          <w:lang w:val="en-GB"/>
        </w:rPr>
      </w:pPr>
    </w:p>
    <w:p w:rsidR="000D2A17" w:rsidRDefault="000D2A17" w:rsidP="000D2A17">
      <w:pPr>
        <w:pStyle w:val="Nzev"/>
        <w:outlineLvl w:val="0"/>
        <w:rPr>
          <w:sz w:val="20"/>
          <w:lang w:val="en-GB"/>
        </w:rPr>
      </w:pPr>
    </w:p>
    <w:p w:rsidR="000D2A17" w:rsidRDefault="000D2A17" w:rsidP="000D2A17">
      <w:pPr>
        <w:pStyle w:val="Zkladntext"/>
        <w:spacing w:after="120"/>
        <w:ind w:right="70"/>
        <w:jc w:val="both"/>
        <w:rPr>
          <w:lang w:val="en-GB"/>
        </w:rPr>
      </w:pPr>
      <w:r>
        <w:rPr>
          <w:lang w:val="en-GB"/>
        </w:rPr>
        <w:t xml:space="preserve">The Czech Statistical Office is hereby publishing an overview of retrospective data from the area of labour market statistics. </w:t>
      </w:r>
    </w:p>
    <w:p w:rsidR="000D2A17" w:rsidRDefault="000D2A17" w:rsidP="000D2A17">
      <w:pPr>
        <w:pStyle w:val="Zkladntext2"/>
        <w:spacing w:after="120"/>
        <w:jc w:val="both"/>
        <w:rPr>
          <w:sz w:val="20"/>
          <w:lang w:val="en-GB"/>
        </w:rPr>
      </w:pPr>
      <w:r>
        <w:rPr>
          <w:sz w:val="20"/>
          <w:lang w:val="en-GB"/>
        </w:rPr>
        <w:t xml:space="preserve">The data originate from surveys taken in businesses or from administrative sources. Depending on the number of employees, the survey taken in businesses is either of an exhaustive or sample type. In case of the latter, grossing up to universe covers all active units included in the Business Register. </w:t>
      </w:r>
    </w:p>
    <w:p w:rsidR="000D2A17" w:rsidRDefault="000D2A17" w:rsidP="000D2A17">
      <w:pPr>
        <w:pStyle w:val="Zkladntext2"/>
        <w:spacing w:after="120"/>
        <w:jc w:val="both"/>
        <w:rPr>
          <w:sz w:val="20"/>
          <w:lang w:val="en-GB"/>
        </w:rPr>
      </w:pPr>
      <w:r>
        <w:rPr>
          <w:sz w:val="20"/>
          <w:lang w:val="en-GB"/>
        </w:rPr>
        <w:t xml:space="preserve">This data set shows trends in the most significant indicators broken down by economic activity and territory (region). </w:t>
      </w:r>
      <w:r w:rsidRPr="000C2565">
        <w:rPr>
          <w:sz w:val="20"/>
          <w:lang w:val="en-GB"/>
        </w:rPr>
        <w:t>Classification of</w:t>
      </w:r>
      <w:r>
        <w:rPr>
          <w:sz w:val="20"/>
        </w:rPr>
        <w:t xml:space="preserve"> </w:t>
      </w:r>
      <w:proofErr w:type="spellStart"/>
      <w:r>
        <w:rPr>
          <w:sz w:val="20"/>
        </w:rPr>
        <w:t>Economic</w:t>
      </w:r>
      <w:proofErr w:type="spellEnd"/>
      <w:r>
        <w:rPr>
          <w:sz w:val="20"/>
        </w:rPr>
        <w:t xml:space="preserve"> </w:t>
      </w:r>
      <w:proofErr w:type="spellStart"/>
      <w:r>
        <w:rPr>
          <w:sz w:val="20"/>
        </w:rPr>
        <w:t>Activities</w:t>
      </w:r>
      <w:proofErr w:type="spellEnd"/>
      <w:r>
        <w:rPr>
          <w:sz w:val="20"/>
        </w:rPr>
        <w:t xml:space="preserve">, CZ-NACE </w:t>
      </w:r>
      <w:proofErr w:type="spellStart"/>
      <w:r>
        <w:rPr>
          <w:sz w:val="20"/>
        </w:rPr>
        <w:t>corresponds</w:t>
      </w:r>
      <w:proofErr w:type="spellEnd"/>
      <w:r>
        <w:rPr>
          <w:sz w:val="20"/>
        </w:rPr>
        <w:t xml:space="preserve"> to </w:t>
      </w:r>
      <w:proofErr w:type="spellStart"/>
      <w:r>
        <w:rPr>
          <w:sz w:val="20"/>
        </w:rPr>
        <w:t>the</w:t>
      </w:r>
      <w:proofErr w:type="spellEnd"/>
      <w:r>
        <w:rPr>
          <w:sz w:val="20"/>
        </w:rPr>
        <w:t xml:space="preserve"> </w:t>
      </w:r>
      <w:r>
        <w:rPr>
          <w:b/>
          <w:bCs w:val="0"/>
          <w:sz w:val="20"/>
        </w:rPr>
        <w:t xml:space="preserve">NACE </w:t>
      </w:r>
      <w:proofErr w:type="spellStart"/>
      <w:r>
        <w:rPr>
          <w:b/>
          <w:bCs w:val="0"/>
          <w:sz w:val="20"/>
        </w:rPr>
        <w:t>Rev</w:t>
      </w:r>
      <w:proofErr w:type="spellEnd"/>
      <w:r>
        <w:rPr>
          <w:b/>
          <w:bCs w:val="0"/>
          <w:sz w:val="20"/>
        </w:rPr>
        <w:t>. 2</w:t>
      </w:r>
      <w:r>
        <w:rPr>
          <w:sz w:val="20"/>
        </w:rPr>
        <w:t>.</w:t>
      </w:r>
      <w:r>
        <w:rPr>
          <w:sz w:val="20"/>
          <w:lang w:val="en-GB"/>
        </w:rPr>
        <w:t xml:space="preserve"> Classification of Territorial Statistical Units, CZ-NUTS, complies with Regulation of the European Parliament and of the Council on the establishment of a common classification of territorial units for statistics (NUTS).</w:t>
      </w:r>
    </w:p>
    <w:p w:rsidR="000D2A17" w:rsidRDefault="000D2A17" w:rsidP="000D2A17">
      <w:pPr>
        <w:spacing w:after="120"/>
        <w:jc w:val="both"/>
        <w:rPr>
          <w:bCs/>
          <w:sz w:val="20"/>
          <w:lang w:val="en-GB"/>
        </w:rPr>
      </w:pPr>
      <w:r>
        <w:rPr>
          <w:b/>
          <w:sz w:val="20"/>
          <w:lang w:val="en-GB"/>
        </w:rPr>
        <w:t>The registered number of employees</w:t>
      </w:r>
      <w:r>
        <w:rPr>
          <w:bCs/>
          <w:sz w:val="20"/>
          <w:lang w:val="en-GB"/>
        </w:rPr>
        <w:t xml:space="preserve"> includes persons under employment contracts and members of cooperatives having employment contracts, too; it excludes females on maternity leave, persons on parental leave, apprentices, persons engaged by companies under contracts for work outside employment, persons in public office (deputies, senators, full-time councillors at all levels), judges, etc. The numbers of workers and employees include, in compliance with the methodology in force, foreigners legally working in the Czech Republic.</w:t>
      </w:r>
    </w:p>
    <w:p w:rsidR="000D2A17" w:rsidRDefault="000D2A17" w:rsidP="000D2A17">
      <w:pPr>
        <w:spacing w:after="120"/>
        <w:jc w:val="both"/>
        <w:rPr>
          <w:sz w:val="20"/>
        </w:rPr>
      </w:pPr>
      <w:r>
        <w:rPr>
          <w:b/>
          <w:bCs/>
          <w:sz w:val="20"/>
        </w:rPr>
        <w:t xml:space="preserve">The average registered number of employees (headcount) </w:t>
      </w:r>
      <w:r>
        <w:rPr>
          <w:sz w:val="20"/>
        </w:rPr>
        <w:t xml:space="preserve">is calculated as arithmetical mean of the monthly average numbers (calculated as the sum of daily values divided by the number of calendar days in a month). </w:t>
      </w:r>
    </w:p>
    <w:p w:rsidR="000D2A17" w:rsidRDefault="000D2A17" w:rsidP="000D2A17">
      <w:pPr>
        <w:spacing w:after="120"/>
        <w:jc w:val="both"/>
        <w:rPr>
          <w:bCs/>
          <w:sz w:val="20"/>
          <w:lang w:val="en-GB"/>
        </w:rPr>
      </w:pPr>
      <w:r>
        <w:rPr>
          <w:rFonts w:cs="Arial"/>
          <w:b/>
          <w:bCs/>
          <w:sz w:val="20"/>
          <w:szCs w:val="16"/>
          <w:lang w:val="en-GB"/>
        </w:rPr>
        <w:t>The average registered number of employees (full-time equivalent)</w:t>
      </w:r>
      <w:r>
        <w:rPr>
          <w:rFonts w:cs="Arial"/>
          <w:sz w:val="20"/>
          <w:szCs w:val="16"/>
          <w:lang w:val="en-GB"/>
        </w:rPr>
        <w:t xml:space="preserve"> is the average registered number of employees (headcount) by their hours of workload in relation to working hours as determined by the employer (full-time hours).</w:t>
      </w:r>
    </w:p>
    <w:p w:rsidR="000D2A17" w:rsidRDefault="000D2A17" w:rsidP="000D2A17">
      <w:pPr>
        <w:jc w:val="both"/>
        <w:rPr>
          <w:sz w:val="20"/>
          <w:lang w:val="en-GB"/>
        </w:rPr>
      </w:pPr>
      <w:r>
        <w:rPr>
          <w:b/>
          <w:bCs/>
          <w:sz w:val="20"/>
          <w:lang w:val="en-GB"/>
        </w:rPr>
        <w:t>The average gross monthly wage</w:t>
      </w:r>
      <w:r>
        <w:rPr>
          <w:sz w:val="20"/>
          <w:lang w:val="en-GB"/>
        </w:rPr>
        <w:t xml:space="preserve"> is the ratio of wages, excluding other personnel expenses, per employee per month. Included in the wages are basic wages and salaries, payments additional to wage or salary, direct remuneration and bonuses, remuneration for being on call to work, and other wage or salary components charged to be paid to employees in a given period. </w:t>
      </w:r>
      <w:r w:rsidRPr="00647E03">
        <w:rPr>
          <w:sz w:val="20"/>
          <w:lang w:val="en-GB"/>
        </w:rPr>
        <w:t>The wage does not include wage or salary compensations for the days of temporary incapacity for work or quarantine paid by the employer. This applies to gross wages, i.e. before reduction by comprehensive h</w:t>
      </w:r>
      <w:r>
        <w:rPr>
          <w:sz w:val="20"/>
          <w:lang w:val="en-GB"/>
        </w:rPr>
        <w:t>ealth insurance and social insurance premiums, advance income tax of actual persons, and other statutory deductions or deductions agreed with the employee.</w:t>
      </w:r>
    </w:p>
    <w:p w:rsidR="000D2A17" w:rsidRDefault="000D2A17" w:rsidP="000D2A17">
      <w:pPr>
        <w:jc w:val="both"/>
        <w:rPr>
          <w:sz w:val="20"/>
          <w:lang w:val="en-GB"/>
        </w:rPr>
      </w:pPr>
    </w:p>
    <w:p w:rsidR="000D2A17" w:rsidRDefault="000D2A17" w:rsidP="000D2A17">
      <w:pPr>
        <w:pStyle w:val="Zkladntext"/>
        <w:spacing w:after="120"/>
        <w:jc w:val="both"/>
        <w:rPr>
          <w:rFonts w:eastAsia="SimSun" w:cs="Arial"/>
          <w:lang w:val="en-GB"/>
        </w:rPr>
      </w:pPr>
      <w:r>
        <w:rPr>
          <w:rFonts w:eastAsia="SimSun" w:cs="Arial"/>
          <w:b/>
          <w:bCs w:val="0"/>
          <w:lang w:val="en-GB"/>
        </w:rPr>
        <w:t xml:space="preserve">Job vacancy rate </w:t>
      </w:r>
      <w:r>
        <w:rPr>
          <w:rFonts w:eastAsia="SimSun" w:cs="Arial"/>
          <w:lang w:val="en-GB"/>
        </w:rPr>
        <w:t xml:space="preserve">is determined as a share of job vacancies in the total number of filled jobs and job vacancies. The methodology recommended by </w:t>
      </w:r>
      <w:proofErr w:type="spellStart"/>
      <w:r>
        <w:rPr>
          <w:rFonts w:eastAsia="SimSun" w:cs="Arial"/>
          <w:lang w:val="en-GB"/>
        </w:rPr>
        <w:t>Eurostat</w:t>
      </w:r>
      <w:proofErr w:type="spellEnd"/>
      <w:r>
        <w:rPr>
          <w:rFonts w:eastAsia="SimSun" w:cs="Arial"/>
          <w:lang w:val="en-GB"/>
        </w:rPr>
        <w:t xml:space="preserve"> does not include jobs open in companies or private entrepreneurs (until then without employees) into the total number of job vacancies. The number of job vacancies is taken over from statistics of the Ministry of Labour and Social Affairs, the number of filled jobs in the CR is defined as the total of employees and members of producers´ co-operatives with only first and second jobs (data source: Labour Force Sample Survey).</w:t>
      </w:r>
    </w:p>
    <w:p w:rsidR="000D2A17" w:rsidRDefault="000D2A17" w:rsidP="000D2A17">
      <w:pPr>
        <w:spacing w:after="120"/>
        <w:jc w:val="both"/>
        <w:rPr>
          <w:sz w:val="20"/>
          <w:lang w:val="en-GB"/>
        </w:rPr>
      </w:pPr>
    </w:p>
    <w:p w:rsidR="000D2A17" w:rsidRDefault="000D2A17" w:rsidP="000D2A17">
      <w:pPr>
        <w:spacing w:after="140"/>
        <w:jc w:val="both"/>
        <w:rPr>
          <w:rFonts w:cs="Arial"/>
          <w:sz w:val="20"/>
          <w:lang w:val="cs-CZ"/>
        </w:rPr>
      </w:pPr>
      <w:r>
        <w:rPr>
          <w:bCs/>
          <w:sz w:val="20"/>
          <w:lang w:val="en-GB"/>
        </w:rPr>
        <w:t xml:space="preserve">Data in Tables </w:t>
      </w:r>
      <w:r w:rsidRPr="000D2A17">
        <w:rPr>
          <w:b/>
          <w:bCs/>
          <w:sz w:val="20"/>
          <w:lang w:val="en-GB"/>
        </w:rPr>
        <w:t>1a, 2a, 3a, 8a, 9a, 10a</w:t>
      </w:r>
      <w:r>
        <w:rPr>
          <w:bCs/>
          <w:sz w:val="20"/>
          <w:lang w:val="en-GB"/>
        </w:rPr>
        <w:t xml:space="preserve"> are taken from the results of CZSO annual statistical reports. </w:t>
      </w:r>
    </w:p>
    <w:p w:rsidR="000D2A17" w:rsidRDefault="000D2A17" w:rsidP="000D2A17">
      <w:pPr>
        <w:tabs>
          <w:tab w:val="left" w:pos="720"/>
          <w:tab w:val="left" w:pos="1980"/>
        </w:tabs>
        <w:spacing w:after="120"/>
        <w:ind w:left="360"/>
        <w:jc w:val="both"/>
        <w:rPr>
          <w:sz w:val="20"/>
        </w:rPr>
      </w:pPr>
    </w:p>
    <w:p w:rsidR="000D2A17" w:rsidRDefault="000D2A17" w:rsidP="000D2A17">
      <w:pPr>
        <w:spacing w:after="120"/>
        <w:jc w:val="both"/>
        <w:rPr>
          <w:rStyle w:val="hps"/>
          <w:sz w:val="20"/>
          <w:szCs w:val="20"/>
          <w:lang/>
        </w:rPr>
      </w:pPr>
      <w:r>
        <w:rPr>
          <w:rStyle w:val="hps"/>
          <w:sz w:val="20"/>
          <w:szCs w:val="20"/>
          <w:lang/>
        </w:rPr>
        <w:t xml:space="preserve">Data in Tables </w:t>
      </w:r>
      <w:r w:rsidRPr="00DB14C9">
        <w:rPr>
          <w:rFonts w:cs="Arial"/>
          <w:b/>
          <w:sz w:val="20"/>
          <w:szCs w:val="20"/>
          <w:lang w:val="cs-CZ"/>
        </w:rPr>
        <w:t>7a, 7b, 14a, 14b</w:t>
      </w:r>
      <w:r>
        <w:rPr>
          <w:rFonts w:cs="Arial"/>
          <w:b/>
          <w:sz w:val="20"/>
          <w:szCs w:val="20"/>
          <w:lang w:val="cs-CZ"/>
        </w:rPr>
        <w:t xml:space="preserve"> </w:t>
      </w:r>
      <w:r>
        <w:rPr>
          <w:rFonts w:cs="Arial"/>
          <w:sz w:val="20"/>
          <w:lang w:val="en-GB"/>
        </w:rPr>
        <w:t>are gathered from</w:t>
      </w:r>
      <w:r>
        <w:rPr>
          <w:sz w:val="20"/>
        </w:rPr>
        <w:t xml:space="preserve"> quarterly reports and in addition, results also cover</w:t>
      </w:r>
      <w:r w:rsidRPr="001E4772">
        <w:rPr>
          <w:sz w:val="20"/>
          <w:szCs w:val="20"/>
        </w:rPr>
        <w:t xml:space="preserve"> estimates for non-surveyed part of the population (grossing up) based on the administrative data</w:t>
      </w:r>
      <w:r>
        <w:rPr>
          <w:sz w:val="20"/>
          <w:szCs w:val="20"/>
        </w:rPr>
        <w:t>.</w:t>
      </w:r>
    </w:p>
    <w:p w:rsidR="000D2A17" w:rsidRPr="0014687F" w:rsidRDefault="000D2A17" w:rsidP="000D2A17">
      <w:pPr>
        <w:spacing w:after="120"/>
        <w:jc w:val="both"/>
        <w:rPr>
          <w:sz w:val="20"/>
          <w:szCs w:val="20"/>
        </w:rPr>
      </w:pPr>
      <w:r w:rsidRPr="0014687F">
        <w:rPr>
          <w:rStyle w:val="hps"/>
          <w:sz w:val="20"/>
          <w:szCs w:val="20"/>
          <w:lang/>
        </w:rPr>
        <w:t>The transition</w:t>
      </w:r>
      <w:r w:rsidRPr="0014687F">
        <w:rPr>
          <w:sz w:val="20"/>
          <w:szCs w:val="20"/>
          <w:lang/>
        </w:rPr>
        <w:t xml:space="preserve"> </w:t>
      </w:r>
      <w:r w:rsidRPr="0014687F">
        <w:rPr>
          <w:rStyle w:val="hps"/>
          <w:sz w:val="20"/>
          <w:szCs w:val="20"/>
          <w:lang/>
        </w:rPr>
        <w:t>to</w:t>
      </w:r>
      <w:r w:rsidRPr="0014687F">
        <w:rPr>
          <w:sz w:val="20"/>
          <w:szCs w:val="20"/>
          <w:lang/>
        </w:rPr>
        <w:t xml:space="preserve"> </w:t>
      </w:r>
      <w:r w:rsidRPr="0014687F">
        <w:rPr>
          <w:rStyle w:val="hps"/>
          <w:sz w:val="20"/>
          <w:szCs w:val="20"/>
          <w:lang/>
        </w:rPr>
        <w:t>the new</w:t>
      </w:r>
      <w:r w:rsidRPr="0014687F">
        <w:rPr>
          <w:sz w:val="20"/>
          <w:szCs w:val="20"/>
          <w:lang/>
        </w:rPr>
        <w:t xml:space="preserve"> </w:t>
      </w:r>
      <w:r>
        <w:rPr>
          <w:rStyle w:val="hps"/>
          <w:sz w:val="20"/>
          <w:szCs w:val="20"/>
          <w:lang/>
        </w:rPr>
        <w:t>International C</w:t>
      </w:r>
      <w:r w:rsidRPr="0014687F">
        <w:rPr>
          <w:rStyle w:val="hps"/>
          <w:sz w:val="20"/>
          <w:szCs w:val="20"/>
          <w:lang/>
        </w:rPr>
        <w:t>lassification</w:t>
      </w:r>
      <w:r w:rsidRPr="0014687F">
        <w:rPr>
          <w:sz w:val="20"/>
          <w:szCs w:val="20"/>
          <w:lang/>
        </w:rPr>
        <w:t xml:space="preserve"> </w:t>
      </w:r>
      <w:r w:rsidRPr="0014687F">
        <w:rPr>
          <w:rStyle w:val="hps"/>
          <w:sz w:val="20"/>
          <w:szCs w:val="20"/>
          <w:lang/>
        </w:rPr>
        <w:t>NACE</w:t>
      </w:r>
      <w:r w:rsidRPr="0014687F">
        <w:rPr>
          <w:sz w:val="20"/>
          <w:szCs w:val="20"/>
          <w:lang/>
        </w:rPr>
        <w:t xml:space="preserve"> </w:t>
      </w:r>
      <w:r>
        <w:rPr>
          <w:sz w:val="20"/>
          <w:szCs w:val="20"/>
          <w:lang/>
        </w:rPr>
        <w:t xml:space="preserve">Rev. 2 (CZ-NACE in the CR) </w:t>
      </w:r>
      <w:r w:rsidRPr="0014687F">
        <w:rPr>
          <w:rStyle w:val="hps"/>
          <w:sz w:val="20"/>
          <w:szCs w:val="20"/>
          <w:lang/>
        </w:rPr>
        <w:t>represented</w:t>
      </w:r>
      <w:r w:rsidRPr="0014687F">
        <w:rPr>
          <w:sz w:val="20"/>
          <w:szCs w:val="20"/>
          <w:lang/>
        </w:rPr>
        <w:t xml:space="preserve"> </w:t>
      </w:r>
      <w:r w:rsidRPr="0014687F">
        <w:rPr>
          <w:rStyle w:val="hps"/>
          <w:sz w:val="20"/>
          <w:szCs w:val="20"/>
          <w:lang/>
        </w:rPr>
        <w:t>in</w:t>
      </w:r>
      <w:r w:rsidRPr="0014687F">
        <w:rPr>
          <w:sz w:val="20"/>
          <w:szCs w:val="20"/>
          <w:lang/>
        </w:rPr>
        <w:t xml:space="preserve"> </w:t>
      </w:r>
      <w:r w:rsidRPr="0014687F">
        <w:rPr>
          <w:rStyle w:val="hps"/>
          <w:sz w:val="20"/>
          <w:szCs w:val="20"/>
          <w:lang/>
        </w:rPr>
        <w:t>some</w:t>
      </w:r>
      <w:r w:rsidRPr="0014687F">
        <w:rPr>
          <w:sz w:val="20"/>
          <w:szCs w:val="20"/>
          <w:lang/>
        </w:rPr>
        <w:t xml:space="preserve"> </w:t>
      </w:r>
      <w:r>
        <w:rPr>
          <w:rStyle w:val="hps"/>
          <w:sz w:val="20"/>
          <w:szCs w:val="20"/>
          <w:lang/>
        </w:rPr>
        <w:t xml:space="preserve">branches </w:t>
      </w:r>
      <w:r w:rsidRPr="0014687F">
        <w:rPr>
          <w:rStyle w:val="hps"/>
          <w:sz w:val="20"/>
          <w:szCs w:val="20"/>
          <w:lang/>
        </w:rPr>
        <w:t>such</w:t>
      </w:r>
      <w:r w:rsidRPr="0014687F">
        <w:rPr>
          <w:sz w:val="20"/>
          <w:szCs w:val="20"/>
          <w:lang/>
        </w:rPr>
        <w:t xml:space="preserve"> </w:t>
      </w:r>
      <w:r w:rsidRPr="0014687F">
        <w:rPr>
          <w:rStyle w:val="hps"/>
          <w:sz w:val="20"/>
          <w:szCs w:val="20"/>
          <w:lang/>
        </w:rPr>
        <w:t>significant</w:t>
      </w:r>
      <w:r w:rsidRPr="0014687F">
        <w:rPr>
          <w:sz w:val="20"/>
          <w:szCs w:val="20"/>
          <w:lang/>
        </w:rPr>
        <w:t xml:space="preserve"> </w:t>
      </w:r>
      <w:r w:rsidRPr="0014687F">
        <w:rPr>
          <w:rStyle w:val="hps"/>
          <w:sz w:val="20"/>
          <w:szCs w:val="20"/>
          <w:lang/>
        </w:rPr>
        <w:t>changes</w:t>
      </w:r>
      <w:r w:rsidRPr="0014687F">
        <w:rPr>
          <w:sz w:val="20"/>
          <w:szCs w:val="20"/>
          <w:lang/>
        </w:rPr>
        <w:t xml:space="preserve">, </w:t>
      </w:r>
      <w:r>
        <w:rPr>
          <w:sz w:val="20"/>
          <w:szCs w:val="20"/>
          <w:lang/>
        </w:rPr>
        <w:t xml:space="preserve">that </w:t>
      </w:r>
      <w:r w:rsidRPr="0014687F">
        <w:rPr>
          <w:rStyle w:val="hps"/>
          <w:sz w:val="20"/>
          <w:szCs w:val="20"/>
          <w:lang/>
        </w:rPr>
        <w:t>it</w:t>
      </w:r>
      <w:r w:rsidRPr="0014687F">
        <w:rPr>
          <w:sz w:val="20"/>
          <w:szCs w:val="20"/>
          <w:lang/>
        </w:rPr>
        <w:t xml:space="preserve"> </w:t>
      </w:r>
      <w:r w:rsidRPr="0014687F">
        <w:rPr>
          <w:rStyle w:val="hps"/>
          <w:sz w:val="20"/>
          <w:szCs w:val="20"/>
          <w:lang/>
        </w:rPr>
        <w:t xml:space="preserve">was </w:t>
      </w:r>
      <w:r>
        <w:rPr>
          <w:rStyle w:val="hps"/>
          <w:sz w:val="20"/>
          <w:szCs w:val="20"/>
          <w:lang/>
        </w:rPr>
        <w:t>im</w:t>
      </w:r>
      <w:r w:rsidRPr="0014687F">
        <w:rPr>
          <w:rStyle w:val="hps"/>
          <w:sz w:val="20"/>
          <w:szCs w:val="20"/>
          <w:lang/>
        </w:rPr>
        <w:t>possible to</w:t>
      </w:r>
      <w:r w:rsidRPr="0014687F">
        <w:rPr>
          <w:sz w:val="20"/>
          <w:szCs w:val="20"/>
          <w:lang/>
        </w:rPr>
        <w:t xml:space="preserve"> </w:t>
      </w:r>
      <w:r w:rsidRPr="0014687F">
        <w:rPr>
          <w:rStyle w:val="hps"/>
          <w:sz w:val="20"/>
          <w:szCs w:val="20"/>
          <w:lang/>
        </w:rPr>
        <w:t>use</w:t>
      </w:r>
      <w:r w:rsidRPr="0014687F">
        <w:rPr>
          <w:sz w:val="20"/>
          <w:szCs w:val="20"/>
          <w:lang/>
        </w:rPr>
        <w:t xml:space="preserve"> </w:t>
      </w:r>
      <w:r>
        <w:rPr>
          <w:sz w:val="20"/>
          <w:szCs w:val="20"/>
          <w:lang/>
        </w:rPr>
        <w:t xml:space="preserve">the </w:t>
      </w:r>
      <w:r w:rsidRPr="0014687F">
        <w:rPr>
          <w:rStyle w:val="hps"/>
          <w:sz w:val="20"/>
          <w:szCs w:val="20"/>
          <w:lang/>
        </w:rPr>
        <w:t>previously</w:t>
      </w:r>
      <w:r w:rsidRPr="0014687F">
        <w:rPr>
          <w:sz w:val="20"/>
          <w:szCs w:val="20"/>
          <w:lang/>
        </w:rPr>
        <w:t xml:space="preserve"> </w:t>
      </w:r>
      <w:r w:rsidRPr="0014687F">
        <w:rPr>
          <w:rStyle w:val="hps"/>
          <w:sz w:val="20"/>
          <w:szCs w:val="20"/>
          <w:lang/>
        </w:rPr>
        <w:t>published</w:t>
      </w:r>
      <w:r w:rsidRPr="0014687F">
        <w:rPr>
          <w:sz w:val="20"/>
          <w:szCs w:val="20"/>
          <w:lang/>
        </w:rPr>
        <w:t xml:space="preserve"> </w:t>
      </w:r>
      <w:r w:rsidRPr="0014687F">
        <w:rPr>
          <w:rStyle w:val="hps"/>
          <w:sz w:val="20"/>
          <w:szCs w:val="20"/>
          <w:lang/>
        </w:rPr>
        <w:t>data</w:t>
      </w:r>
      <w:r w:rsidRPr="0014687F">
        <w:rPr>
          <w:sz w:val="20"/>
          <w:szCs w:val="20"/>
          <w:lang/>
        </w:rPr>
        <w:t xml:space="preserve"> </w:t>
      </w:r>
      <w:r w:rsidRPr="0014687F">
        <w:rPr>
          <w:rStyle w:val="hps"/>
          <w:sz w:val="20"/>
          <w:szCs w:val="20"/>
          <w:lang/>
        </w:rPr>
        <w:t>only</w:t>
      </w:r>
      <w:r w:rsidRPr="0014687F">
        <w:rPr>
          <w:sz w:val="20"/>
          <w:szCs w:val="20"/>
          <w:lang/>
        </w:rPr>
        <w:t xml:space="preserve"> </w:t>
      </w:r>
      <w:r>
        <w:rPr>
          <w:sz w:val="20"/>
          <w:szCs w:val="20"/>
          <w:lang/>
        </w:rPr>
        <w:t xml:space="preserve">with </w:t>
      </w:r>
      <w:proofErr w:type="spellStart"/>
      <w:r>
        <w:rPr>
          <w:sz w:val="20"/>
          <w:szCs w:val="20"/>
          <w:lang/>
        </w:rPr>
        <w:t>renumerated</w:t>
      </w:r>
      <w:proofErr w:type="spellEnd"/>
      <w:r>
        <w:rPr>
          <w:sz w:val="20"/>
          <w:szCs w:val="20"/>
          <w:lang/>
        </w:rPr>
        <w:t xml:space="preserve"> </w:t>
      </w:r>
      <w:r w:rsidRPr="0014687F">
        <w:rPr>
          <w:rStyle w:val="hps"/>
          <w:sz w:val="20"/>
          <w:szCs w:val="20"/>
          <w:lang/>
        </w:rPr>
        <w:t>activities</w:t>
      </w:r>
      <w:r w:rsidRPr="0014687F">
        <w:rPr>
          <w:sz w:val="20"/>
          <w:szCs w:val="20"/>
          <w:lang/>
        </w:rPr>
        <w:t xml:space="preserve">. </w:t>
      </w:r>
      <w:r>
        <w:rPr>
          <w:sz w:val="20"/>
          <w:szCs w:val="20"/>
          <w:lang/>
        </w:rPr>
        <w:t>The CZSO</w:t>
      </w:r>
      <w:r w:rsidRPr="0014687F">
        <w:rPr>
          <w:sz w:val="20"/>
          <w:szCs w:val="20"/>
          <w:lang/>
        </w:rPr>
        <w:t xml:space="preserve"> </w:t>
      </w:r>
      <w:r w:rsidRPr="0014687F">
        <w:rPr>
          <w:rStyle w:val="hps"/>
          <w:sz w:val="20"/>
          <w:szCs w:val="20"/>
          <w:lang/>
        </w:rPr>
        <w:t>developed a</w:t>
      </w:r>
      <w:r w:rsidRPr="0014687F">
        <w:rPr>
          <w:sz w:val="20"/>
          <w:szCs w:val="20"/>
          <w:lang/>
        </w:rPr>
        <w:t xml:space="preserve"> </w:t>
      </w:r>
      <w:r w:rsidRPr="0014687F">
        <w:rPr>
          <w:rStyle w:val="hps"/>
          <w:sz w:val="20"/>
          <w:szCs w:val="20"/>
          <w:lang/>
        </w:rPr>
        <w:t>method</w:t>
      </w:r>
      <w:r w:rsidRPr="0014687F">
        <w:rPr>
          <w:sz w:val="20"/>
          <w:szCs w:val="20"/>
          <w:lang/>
        </w:rPr>
        <w:t xml:space="preserve"> </w:t>
      </w:r>
      <w:r w:rsidRPr="0014687F">
        <w:rPr>
          <w:rStyle w:val="hps"/>
          <w:sz w:val="20"/>
          <w:szCs w:val="20"/>
          <w:lang/>
        </w:rPr>
        <w:t xml:space="preserve">of </w:t>
      </w:r>
      <w:r>
        <w:rPr>
          <w:rStyle w:val="hps"/>
          <w:sz w:val="20"/>
          <w:szCs w:val="20"/>
          <w:lang/>
        </w:rPr>
        <w:t xml:space="preserve">retroactive conversion of </w:t>
      </w:r>
      <w:r w:rsidRPr="0014687F">
        <w:rPr>
          <w:rStyle w:val="hps"/>
          <w:sz w:val="20"/>
          <w:szCs w:val="20"/>
          <w:lang/>
        </w:rPr>
        <w:t>time series</w:t>
      </w:r>
      <w:r w:rsidRPr="0014687F">
        <w:rPr>
          <w:sz w:val="20"/>
          <w:szCs w:val="20"/>
          <w:lang/>
        </w:rPr>
        <w:t xml:space="preserve"> </w:t>
      </w:r>
      <w:r>
        <w:rPr>
          <w:sz w:val="20"/>
          <w:szCs w:val="20"/>
          <w:lang/>
        </w:rPr>
        <w:t>at</w:t>
      </w:r>
      <w:r w:rsidRPr="0014687F">
        <w:rPr>
          <w:rStyle w:val="hps"/>
          <w:sz w:val="20"/>
          <w:szCs w:val="20"/>
          <w:lang/>
        </w:rPr>
        <w:t xml:space="preserve"> the</w:t>
      </w:r>
      <w:r w:rsidRPr="0014687F">
        <w:rPr>
          <w:sz w:val="20"/>
          <w:szCs w:val="20"/>
          <w:lang/>
        </w:rPr>
        <w:t xml:space="preserve"> </w:t>
      </w:r>
      <w:r w:rsidRPr="0014687F">
        <w:rPr>
          <w:rStyle w:val="hps"/>
          <w:sz w:val="20"/>
          <w:szCs w:val="20"/>
          <w:lang/>
        </w:rPr>
        <w:t>micro</w:t>
      </w:r>
      <w:r w:rsidRPr="0014687F">
        <w:rPr>
          <w:sz w:val="20"/>
          <w:szCs w:val="20"/>
          <w:lang/>
        </w:rPr>
        <w:t xml:space="preserve"> </w:t>
      </w:r>
      <w:r w:rsidRPr="0014687F">
        <w:rPr>
          <w:rStyle w:val="hps"/>
          <w:sz w:val="20"/>
          <w:szCs w:val="20"/>
          <w:lang/>
        </w:rPr>
        <w:t>level</w:t>
      </w:r>
      <w:r w:rsidRPr="0014687F">
        <w:rPr>
          <w:sz w:val="20"/>
          <w:szCs w:val="20"/>
          <w:lang/>
        </w:rPr>
        <w:t xml:space="preserve"> taking into account </w:t>
      </w:r>
      <w:r w:rsidRPr="0014687F">
        <w:rPr>
          <w:rStyle w:val="hps"/>
          <w:sz w:val="20"/>
          <w:szCs w:val="20"/>
          <w:lang/>
        </w:rPr>
        <w:t>the</w:t>
      </w:r>
      <w:r w:rsidRPr="0014687F">
        <w:rPr>
          <w:sz w:val="20"/>
          <w:szCs w:val="20"/>
          <w:lang/>
        </w:rPr>
        <w:t xml:space="preserve"> </w:t>
      </w:r>
      <w:r w:rsidRPr="0014687F">
        <w:rPr>
          <w:rStyle w:val="hps"/>
          <w:sz w:val="20"/>
          <w:szCs w:val="20"/>
          <w:lang/>
        </w:rPr>
        <w:t>newly</w:t>
      </w:r>
      <w:r w:rsidRPr="0014687F">
        <w:rPr>
          <w:sz w:val="20"/>
          <w:szCs w:val="20"/>
          <w:lang/>
        </w:rPr>
        <w:t xml:space="preserve"> </w:t>
      </w:r>
      <w:r>
        <w:rPr>
          <w:sz w:val="20"/>
          <w:szCs w:val="20"/>
          <w:lang/>
        </w:rPr>
        <w:t>discovered mis</w:t>
      </w:r>
      <w:r w:rsidRPr="0014687F">
        <w:rPr>
          <w:rStyle w:val="hps"/>
          <w:sz w:val="20"/>
          <w:szCs w:val="20"/>
          <w:lang/>
        </w:rPr>
        <w:t>classification</w:t>
      </w:r>
      <w:r w:rsidRPr="0014687F">
        <w:rPr>
          <w:sz w:val="20"/>
          <w:szCs w:val="20"/>
          <w:lang/>
        </w:rPr>
        <w:t xml:space="preserve"> </w:t>
      </w:r>
      <w:r w:rsidRPr="0014687F">
        <w:rPr>
          <w:rStyle w:val="hps"/>
          <w:sz w:val="20"/>
          <w:szCs w:val="20"/>
          <w:lang/>
        </w:rPr>
        <w:t>of some</w:t>
      </w:r>
      <w:r w:rsidRPr="0014687F">
        <w:rPr>
          <w:sz w:val="20"/>
          <w:szCs w:val="20"/>
          <w:lang/>
        </w:rPr>
        <w:t xml:space="preserve"> </w:t>
      </w:r>
      <w:r>
        <w:rPr>
          <w:rStyle w:val="hps"/>
          <w:sz w:val="20"/>
          <w:szCs w:val="20"/>
          <w:lang/>
        </w:rPr>
        <w:t xml:space="preserve">businesses </w:t>
      </w:r>
      <w:r w:rsidRPr="0014687F">
        <w:rPr>
          <w:rStyle w:val="hps"/>
          <w:sz w:val="20"/>
          <w:szCs w:val="20"/>
          <w:lang/>
        </w:rPr>
        <w:t>in</w:t>
      </w:r>
      <w:r w:rsidRPr="0014687F">
        <w:rPr>
          <w:sz w:val="20"/>
          <w:szCs w:val="20"/>
          <w:lang/>
        </w:rPr>
        <w:t xml:space="preserve"> </w:t>
      </w:r>
      <w:r w:rsidRPr="0014687F">
        <w:rPr>
          <w:rStyle w:val="hps"/>
          <w:sz w:val="20"/>
          <w:szCs w:val="20"/>
          <w:lang/>
        </w:rPr>
        <w:t>recent years</w:t>
      </w:r>
      <w:r>
        <w:rPr>
          <w:rStyle w:val="hps"/>
          <w:sz w:val="20"/>
          <w:szCs w:val="20"/>
          <w:lang/>
        </w:rPr>
        <w:t>.</w:t>
      </w:r>
      <w:r>
        <w:rPr>
          <w:sz w:val="20"/>
          <w:szCs w:val="20"/>
          <w:lang/>
        </w:rPr>
        <w:t xml:space="preserve"> Available administrative sources w</w:t>
      </w:r>
      <w:r w:rsidRPr="0014687F">
        <w:rPr>
          <w:rStyle w:val="hps"/>
          <w:sz w:val="20"/>
          <w:szCs w:val="20"/>
          <w:lang/>
        </w:rPr>
        <w:t>ere</w:t>
      </w:r>
      <w:r w:rsidRPr="0014687F">
        <w:rPr>
          <w:sz w:val="20"/>
          <w:szCs w:val="20"/>
          <w:lang/>
        </w:rPr>
        <w:t xml:space="preserve"> </w:t>
      </w:r>
      <w:r w:rsidRPr="0014687F">
        <w:rPr>
          <w:rStyle w:val="hps"/>
          <w:sz w:val="20"/>
          <w:szCs w:val="20"/>
          <w:lang/>
        </w:rPr>
        <w:t>used</w:t>
      </w:r>
      <w:r>
        <w:rPr>
          <w:rStyle w:val="hps"/>
          <w:sz w:val="20"/>
          <w:szCs w:val="20"/>
          <w:lang/>
        </w:rPr>
        <w:t xml:space="preserve"> to gross up the whole time series</w:t>
      </w:r>
      <w:r w:rsidRPr="0014687F">
        <w:rPr>
          <w:sz w:val="20"/>
          <w:szCs w:val="20"/>
          <w:lang/>
        </w:rPr>
        <w:t xml:space="preserve">. </w:t>
      </w:r>
      <w:r w:rsidRPr="0014687F">
        <w:rPr>
          <w:rStyle w:val="hps"/>
          <w:sz w:val="20"/>
          <w:szCs w:val="20"/>
          <w:lang/>
        </w:rPr>
        <w:t>Data</w:t>
      </w:r>
      <w:r w:rsidRPr="0014687F">
        <w:rPr>
          <w:sz w:val="20"/>
          <w:szCs w:val="20"/>
          <w:lang/>
        </w:rPr>
        <w:t xml:space="preserve"> </w:t>
      </w:r>
      <w:r w:rsidRPr="0014687F">
        <w:rPr>
          <w:rStyle w:val="hps"/>
          <w:sz w:val="20"/>
          <w:szCs w:val="20"/>
          <w:lang/>
        </w:rPr>
        <w:t xml:space="preserve">in </w:t>
      </w:r>
      <w:r>
        <w:rPr>
          <w:rStyle w:val="hps"/>
          <w:sz w:val="20"/>
          <w:szCs w:val="20"/>
          <w:lang/>
        </w:rPr>
        <w:t xml:space="preserve">mentioned </w:t>
      </w:r>
      <w:r w:rsidRPr="0014687F">
        <w:rPr>
          <w:rStyle w:val="hps"/>
          <w:sz w:val="20"/>
          <w:szCs w:val="20"/>
          <w:lang/>
        </w:rPr>
        <w:t>tables</w:t>
      </w:r>
      <w:r w:rsidRPr="0014687F">
        <w:rPr>
          <w:sz w:val="20"/>
          <w:szCs w:val="20"/>
          <w:lang/>
        </w:rPr>
        <w:t xml:space="preserve"> </w:t>
      </w:r>
      <w:r w:rsidRPr="0014687F">
        <w:rPr>
          <w:rStyle w:val="hps"/>
          <w:sz w:val="20"/>
          <w:szCs w:val="20"/>
          <w:lang/>
        </w:rPr>
        <w:t>according to</w:t>
      </w:r>
      <w:r w:rsidRPr="0014687F">
        <w:rPr>
          <w:sz w:val="20"/>
          <w:szCs w:val="20"/>
          <w:lang/>
        </w:rPr>
        <w:t xml:space="preserve"> </w:t>
      </w:r>
      <w:r>
        <w:rPr>
          <w:sz w:val="20"/>
          <w:szCs w:val="20"/>
          <w:lang/>
        </w:rPr>
        <w:t>CZ-</w:t>
      </w:r>
      <w:r w:rsidRPr="0014687F">
        <w:rPr>
          <w:rStyle w:val="hps"/>
          <w:sz w:val="20"/>
          <w:szCs w:val="20"/>
          <w:lang/>
        </w:rPr>
        <w:t>NACE</w:t>
      </w:r>
      <w:r w:rsidRPr="0014687F">
        <w:rPr>
          <w:sz w:val="20"/>
          <w:szCs w:val="20"/>
          <w:lang/>
        </w:rPr>
        <w:t xml:space="preserve"> </w:t>
      </w:r>
      <w:r>
        <w:rPr>
          <w:sz w:val="20"/>
          <w:szCs w:val="20"/>
          <w:lang/>
        </w:rPr>
        <w:t xml:space="preserve">(NACE Rev. 2) are </w:t>
      </w:r>
      <w:r w:rsidRPr="0014687F">
        <w:rPr>
          <w:rStyle w:val="hps"/>
          <w:sz w:val="20"/>
          <w:szCs w:val="20"/>
          <w:lang/>
        </w:rPr>
        <w:t>not</w:t>
      </w:r>
      <w:r w:rsidRPr="0014687F">
        <w:rPr>
          <w:sz w:val="20"/>
          <w:szCs w:val="20"/>
          <w:lang/>
        </w:rPr>
        <w:t xml:space="preserve"> </w:t>
      </w:r>
      <w:r w:rsidRPr="0014687F">
        <w:rPr>
          <w:rStyle w:val="hps"/>
          <w:sz w:val="20"/>
          <w:szCs w:val="20"/>
          <w:lang/>
        </w:rPr>
        <w:t>comparable</w:t>
      </w:r>
      <w:r w:rsidRPr="0014687F">
        <w:rPr>
          <w:sz w:val="20"/>
          <w:szCs w:val="20"/>
          <w:lang/>
        </w:rPr>
        <w:t xml:space="preserve"> </w:t>
      </w:r>
      <w:r w:rsidRPr="0014687F">
        <w:rPr>
          <w:rStyle w:val="hps"/>
          <w:sz w:val="20"/>
          <w:szCs w:val="20"/>
          <w:lang/>
        </w:rPr>
        <w:t>with previously</w:t>
      </w:r>
      <w:r w:rsidRPr="0014687F">
        <w:rPr>
          <w:sz w:val="20"/>
          <w:szCs w:val="20"/>
          <w:lang/>
        </w:rPr>
        <w:t xml:space="preserve"> </w:t>
      </w:r>
      <w:r w:rsidRPr="0014687F">
        <w:rPr>
          <w:rStyle w:val="hps"/>
          <w:sz w:val="20"/>
          <w:szCs w:val="20"/>
          <w:lang/>
        </w:rPr>
        <w:t>published</w:t>
      </w:r>
      <w:r w:rsidRPr="0014687F">
        <w:rPr>
          <w:sz w:val="20"/>
          <w:szCs w:val="20"/>
          <w:lang/>
        </w:rPr>
        <w:t xml:space="preserve"> </w:t>
      </w:r>
      <w:r w:rsidRPr="0014687F">
        <w:rPr>
          <w:rStyle w:val="hps"/>
          <w:sz w:val="20"/>
          <w:szCs w:val="20"/>
          <w:lang/>
        </w:rPr>
        <w:t>data</w:t>
      </w:r>
      <w:r w:rsidRPr="0014687F">
        <w:rPr>
          <w:sz w:val="20"/>
          <w:szCs w:val="20"/>
          <w:lang/>
        </w:rPr>
        <w:t xml:space="preserve"> </w:t>
      </w:r>
      <w:r w:rsidRPr="0014687F">
        <w:rPr>
          <w:rStyle w:val="hps"/>
          <w:sz w:val="20"/>
          <w:szCs w:val="20"/>
          <w:lang/>
        </w:rPr>
        <w:t>according to</w:t>
      </w:r>
      <w:r w:rsidRPr="0014687F">
        <w:rPr>
          <w:sz w:val="20"/>
          <w:szCs w:val="20"/>
          <w:lang/>
        </w:rPr>
        <w:t xml:space="preserve"> </w:t>
      </w:r>
      <w:r>
        <w:rPr>
          <w:rStyle w:val="hps"/>
          <w:sz w:val="20"/>
          <w:szCs w:val="20"/>
          <w:lang/>
        </w:rPr>
        <w:t>NACE (NACE Rev.1.1)</w:t>
      </w:r>
      <w:r w:rsidRPr="0014687F">
        <w:rPr>
          <w:sz w:val="20"/>
          <w:szCs w:val="20"/>
          <w:lang/>
        </w:rPr>
        <w:t>.</w:t>
      </w:r>
    </w:p>
    <w:p w:rsidR="009E463B" w:rsidRDefault="009E463B" w:rsidP="006719F6">
      <w:pPr>
        <w:spacing w:before="240"/>
        <w:jc w:val="both"/>
        <w:rPr>
          <w:sz w:val="20"/>
          <w:lang w:val="en-GB"/>
        </w:rPr>
      </w:pPr>
      <w:r w:rsidRPr="0014687F">
        <w:rPr>
          <w:b/>
          <w:bCs/>
          <w:sz w:val="20"/>
          <w:szCs w:val="20"/>
          <w:lang w:val="en-GB"/>
        </w:rPr>
        <w:t>The data in Tables 15 to 18</w:t>
      </w:r>
      <w:r w:rsidRPr="0014687F">
        <w:rPr>
          <w:sz w:val="20"/>
          <w:szCs w:val="20"/>
          <w:lang w:val="en-GB"/>
        </w:rPr>
        <w:t xml:space="preserve"> result from </w:t>
      </w:r>
      <w:r w:rsidRPr="0014687F">
        <w:rPr>
          <w:b/>
          <w:bCs/>
          <w:sz w:val="20"/>
          <w:szCs w:val="20"/>
          <w:lang w:val="en-GB"/>
        </w:rPr>
        <w:t>structural statistics on wages</w:t>
      </w:r>
      <w:r w:rsidRPr="0014687F">
        <w:rPr>
          <w:sz w:val="20"/>
          <w:szCs w:val="20"/>
          <w:lang w:val="en-GB"/>
        </w:rPr>
        <w:t xml:space="preserve"> of employees. The data on wages have been calculated by different methodology and this is why these results cannot be compared to those from a regular statistical survey on wages. The data cover the sample of </w:t>
      </w:r>
      <w:r w:rsidRPr="0014687F">
        <w:rPr>
          <w:sz w:val="20"/>
          <w:szCs w:val="20"/>
          <w:lang w:val="en-GB"/>
        </w:rPr>
        <w:lastRenderedPageBreak/>
        <w:t>employees with 1 700 paid hours or more in 1996-2000 and 1 592 hours or more in 2001, which roughly corresponds to full-time employees who worked with the reporting unit for a large part of the year and were not</w:t>
      </w:r>
      <w:r>
        <w:rPr>
          <w:sz w:val="20"/>
          <w:lang w:val="en-GB"/>
        </w:rPr>
        <w:t xml:space="preserve"> on the sick list for a long time. (The different number of paid </w:t>
      </w:r>
      <w:proofErr w:type="gramStart"/>
      <w:r>
        <w:rPr>
          <w:sz w:val="20"/>
          <w:lang w:val="en-GB"/>
        </w:rPr>
        <w:t>hours</w:t>
      </w:r>
      <w:proofErr w:type="gramEnd"/>
      <w:r>
        <w:rPr>
          <w:sz w:val="20"/>
          <w:lang w:val="en-GB"/>
        </w:rPr>
        <w:t xml:space="preserve"> results from an amendment to the Code of Labour concerning the counting of lunch break into hours worked; therefore, the comparability of the time series is not disturbed for this reason.) Until 2001, no grossing up to universe was made. Since 2002, the wages have been calculated in relation to the employee’s paid hours and grossed up to the national economy. For that reason, the time series of the data in Tables 15 and 17 was terminated by the year 2001 and the new one (Table</w:t>
      </w:r>
      <w:r w:rsidR="006719F6">
        <w:rPr>
          <w:sz w:val="20"/>
          <w:lang w:val="en-GB"/>
        </w:rPr>
        <w:t>s</w:t>
      </w:r>
      <w:r>
        <w:rPr>
          <w:sz w:val="20"/>
          <w:lang w:val="en-GB"/>
        </w:rPr>
        <w:t xml:space="preserve"> 16 and 18) starting from 2002 was begun. </w:t>
      </w:r>
    </w:p>
    <w:p w:rsidR="00F53ED8" w:rsidRDefault="00F53ED8" w:rsidP="006719F6">
      <w:pPr>
        <w:spacing w:before="60" w:after="120"/>
        <w:jc w:val="both"/>
        <w:rPr>
          <w:iCs/>
          <w:sz w:val="20"/>
          <w:lang w:val="en-GB"/>
        </w:rPr>
      </w:pPr>
      <w:r>
        <w:rPr>
          <w:rStyle w:val="mediumtext"/>
          <w:sz w:val="20"/>
        </w:rPr>
        <w:t>The data for 2008 have been recalculated according to an updated weighting scheme based on the new classification of economic activities CZ-NACE.</w:t>
      </w:r>
    </w:p>
    <w:p w:rsidR="00F53ED8" w:rsidRPr="006719F6" w:rsidRDefault="00F53ED8" w:rsidP="006719F6">
      <w:pPr>
        <w:pStyle w:val="Zkladntext"/>
        <w:jc w:val="both"/>
        <w:rPr>
          <w:rFonts w:cs="Arial"/>
          <w:lang w:val="en-GB"/>
        </w:rPr>
      </w:pPr>
      <w:r w:rsidRPr="006719F6">
        <w:rPr>
          <w:lang w:val="en-GB"/>
        </w:rPr>
        <w:t>Since 2011</w:t>
      </w:r>
      <w:r w:rsidRPr="006719F6">
        <w:rPr>
          <w:rFonts w:cs="Arial"/>
          <w:i/>
          <w:lang w:val="en-GB"/>
        </w:rPr>
        <w:t xml:space="preserve"> </w:t>
      </w:r>
      <w:r w:rsidRPr="006719F6">
        <w:rPr>
          <w:rFonts w:cs="Arial"/>
          <w:lang w:val="en-GB"/>
        </w:rPr>
        <w:t xml:space="preserve">the results cover the </w:t>
      </w:r>
      <w:r w:rsidR="00894F0A" w:rsidRPr="006719F6">
        <w:rPr>
          <w:rFonts w:cs="Arial"/>
          <w:lang w:val="en-GB"/>
        </w:rPr>
        <w:t xml:space="preserve">entire </w:t>
      </w:r>
      <w:r w:rsidRPr="006719F6">
        <w:rPr>
          <w:rFonts w:cs="Arial"/>
          <w:lang w:val="en-GB"/>
        </w:rPr>
        <w:t>employees</w:t>
      </w:r>
      <w:r w:rsidRPr="006719F6">
        <w:rPr>
          <w:rFonts w:cs="Arial"/>
        </w:rPr>
        <w:t xml:space="preserve">’ </w:t>
      </w:r>
      <w:proofErr w:type="spellStart"/>
      <w:r w:rsidRPr="006719F6">
        <w:rPr>
          <w:rFonts w:cs="Arial"/>
        </w:rPr>
        <w:t>population</w:t>
      </w:r>
      <w:proofErr w:type="spellEnd"/>
      <w:r w:rsidRPr="006719F6">
        <w:rPr>
          <w:rFonts w:cs="Arial"/>
          <w:lang w:val="en-GB"/>
        </w:rPr>
        <w:t xml:space="preserve">, </w:t>
      </w:r>
      <w:r w:rsidR="00894F0A" w:rsidRPr="006719F6">
        <w:rPr>
          <w:rFonts w:cs="Arial"/>
          <w:lang w:val="en-GB"/>
        </w:rPr>
        <w:t xml:space="preserve">enterprises with less than ten employees and also employees from non-profits organizations and tradesman not surveyed before </w:t>
      </w:r>
      <w:r w:rsidRPr="006719F6">
        <w:rPr>
          <w:rFonts w:cs="Arial"/>
          <w:lang w:val="en-GB"/>
        </w:rPr>
        <w:t xml:space="preserve">have </w:t>
      </w:r>
      <w:r w:rsidR="00894F0A" w:rsidRPr="006719F6">
        <w:rPr>
          <w:rFonts w:cs="Arial"/>
          <w:lang w:val="en-GB"/>
        </w:rPr>
        <w:t>been included.</w:t>
      </w:r>
      <w:r w:rsidRPr="006719F6">
        <w:rPr>
          <w:rFonts w:cs="Arial"/>
          <w:lang w:val="en-GB"/>
        </w:rPr>
        <w:t xml:space="preserve"> The time series suffer a break because of this change.</w:t>
      </w:r>
    </w:p>
    <w:p w:rsidR="006719F6" w:rsidRDefault="00AE6A3F" w:rsidP="006719F6">
      <w:pPr>
        <w:spacing w:before="60" w:after="120"/>
        <w:jc w:val="both"/>
        <w:rPr>
          <w:iCs/>
          <w:sz w:val="20"/>
          <w:lang w:val="en-GB"/>
        </w:rPr>
      </w:pPr>
      <w:r w:rsidRPr="006719F6">
        <w:rPr>
          <w:iCs/>
          <w:sz w:val="20"/>
          <w:lang w:val="en-GB"/>
        </w:rPr>
        <w:t>The classification of occupations was governed by CZ-ISCO-88 and since 2011 has been used CZ-ISCO-08.</w:t>
      </w:r>
    </w:p>
    <w:p w:rsidR="005F4636" w:rsidRPr="006719F6" w:rsidRDefault="005F4636" w:rsidP="006719F6">
      <w:pPr>
        <w:spacing w:before="60" w:after="120"/>
        <w:jc w:val="both"/>
        <w:rPr>
          <w:iCs/>
          <w:sz w:val="20"/>
          <w:lang w:val="en-GB"/>
        </w:rPr>
      </w:pPr>
      <w:r w:rsidRPr="006719F6">
        <w:rPr>
          <w:sz w:val="20"/>
          <w:lang w:val="en-GB"/>
        </w:rPr>
        <w:t xml:space="preserve">For that reason, the time series of the data in Tables 16 and 18 </w:t>
      </w:r>
      <w:r w:rsidR="00894F0A" w:rsidRPr="006719F6">
        <w:rPr>
          <w:sz w:val="20"/>
          <w:lang w:val="en-GB"/>
        </w:rPr>
        <w:t xml:space="preserve">were </w:t>
      </w:r>
      <w:r w:rsidRPr="006719F6">
        <w:rPr>
          <w:sz w:val="20"/>
          <w:lang w:val="en-GB"/>
        </w:rPr>
        <w:t>terminated by the year 2010 and the new one</w:t>
      </w:r>
      <w:r w:rsidR="00894F0A" w:rsidRPr="006719F6">
        <w:rPr>
          <w:sz w:val="20"/>
          <w:lang w:val="en-GB"/>
        </w:rPr>
        <w:t>s</w:t>
      </w:r>
      <w:r w:rsidRPr="006719F6">
        <w:rPr>
          <w:sz w:val="20"/>
          <w:lang w:val="en-GB"/>
        </w:rPr>
        <w:t xml:space="preserve"> (Table</w:t>
      </w:r>
      <w:r w:rsidR="00894F0A" w:rsidRPr="006719F6">
        <w:rPr>
          <w:sz w:val="20"/>
          <w:lang w:val="en-GB"/>
        </w:rPr>
        <w:t>s</w:t>
      </w:r>
      <w:r w:rsidRPr="006719F6">
        <w:rPr>
          <w:sz w:val="20"/>
          <w:lang w:val="en-GB"/>
        </w:rPr>
        <w:t xml:space="preserve"> 16a and 18a) start</w:t>
      </w:r>
      <w:r w:rsidR="00894F0A" w:rsidRPr="006719F6">
        <w:rPr>
          <w:sz w:val="20"/>
          <w:lang w:val="en-GB"/>
        </w:rPr>
        <w:t>ed</w:t>
      </w:r>
      <w:r w:rsidRPr="006719F6">
        <w:rPr>
          <w:sz w:val="20"/>
          <w:lang w:val="en-GB"/>
        </w:rPr>
        <w:t xml:space="preserve">. The </w:t>
      </w:r>
      <w:r w:rsidR="00894F0A" w:rsidRPr="006719F6">
        <w:rPr>
          <w:sz w:val="20"/>
          <w:lang w:val="en-GB"/>
        </w:rPr>
        <w:t xml:space="preserve">2010 </w:t>
      </w:r>
      <w:proofErr w:type="gramStart"/>
      <w:r w:rsidR="00894F0A" w:rsidRPr="006719F6">
        <w:rPr>
          <w:sz w:val="20"/>
          <w:lang w:val="en-GB"/>
        </w:rPr>
        <w:t xml:space="preserve">results </w:t>
      </w:r>
      <w:r w:rsidRPr="006719F6">
        <w:rPr>
          <w:sz w:val="20"/>
          <w:lang w:val="en-GB"/>
        </w:rPr>
        <w:t xml:space="preserve"> have</w:t>
      </w:r>
      <w:proofErr w:type="gramEnd"/>
      <w:r w:rsidRPr="006719F6">
        <w:rPr>
          <w:sz w:val="20"/>
          <w:lang w:val="en-GB"/>
        </w:rPr>
        <w:t xml:space="preserve"> been recalculated according to new methodology and CZ-ISCO-08.</w:t>
      </w:r>
      <w:r>
        <w:rPr>
          <w:sz w:val="20"/>
          <w:lang w:val="en-GB"/>
        </w:rPr>
        <w:t xml:space="preserve"> </w:t>
      </w:r>
    </w:p>
    <w:p w:rsidR="009E463B" w:rsidRDefault="009E463B" w:rsidP="00E743BB">
      <w:pPr>
        <w:spacing w:before="60" w:after="120"/>
        <w:jc w:val="both"/>
        <w:rPr>
          <w:iCs/>
          <w:sz w:val="20"/>
          <w:lang w:val="en-GB"/>
        </w:rPr>
      </w:pPr>
      <w:r>
        <w:rPr>
          <w:sz w:val="20"/>
          <w:lang w:val="en-GB"/>
        </w:rPr>
        <w:t>Median, i.e. the wage of employee in the middle of the group, is used for comparison instead of average wage.</w:t>
      </w:r>
      <w:r>
        <w:rPr>
          <w:rFonts w:cs="Arial"/>
          <w:sz w:val="20"/>
          <w:lang w:val="en-GB"/>
        </w:rPr>
        <w:t xml:space="preserve"> </w:t>
      </w:r>
      <w:r>
        <w:rPr>
          <w:sz w:val="20"/>
          <w:lang w:val="en-GB"/>
        </w:rPr>
        <w:t xml:space="preserve">More detailed information from the sample surveys on wages of employees, incl. the methodology and sample </w:t>
      </w:r>
      <w:proofErr w:type="gramStart"/>
      <w:r>
        <w:rPr>
          <w:sz w:val="20"/>
          <w:lang w:val="en-GB"/>
        </w:rPr>
        <w:t>size,</w:t>
      </w:r>
      <w:proofErr w:type="gramEnd"/>
      <w:r>
        <w:rPr>
          <w:sz w:val="20"/>
          <w:lang w:val="en-GB"/>
        </w:rPr>
        <w:t xml:space="preserve"> can be found in the CZSO publications “Structure of Earnings Survey </w:t>
      </w:r>
      <w:r>
        <w:rPr>
          <w:iCs/>
          <w:sz w:val="20"/>
          <w:lang w:val="en-GB"/>
        </w:rPr>
        <w:t>for [the given year]”</w:t>
      </w:r>
      <w:r>
        <w:rPr>
          <w:i/>
          <w:sz w:val="20"/>
          <w:lang w:val="en-GB"/>
        </w:rPr>
        <w:t>.</w:t>
      </w:r>
      <w:r>
        <w:rPr>
          <w:iCs/>
          <w:sz w:val="20"/>
          <w:lang w:val="en-GB"/>
        </w:rPr>
        <w:t xml:space="preserve"> </w:t>
      </w:r>
    </w:p>
    <w:p w:rsidR="005B08CE" w:rsidRDefault="005B08CE" w:rsidP="00FD2DEF">
      <w:pPr>
        <w:jc w:val="both"/>
        <w:rPr>
          <w:b/>
          <w:bCs/>
          <w:sz w:val="20"/>
          <w:lang w:val="en-GB"/>
        </w:rPr>
      </w:pPr>
    </w:p>
    <w:p w:rsidR="00846DEC" w:rsidRPr="00846DEC" w:rsidRDefault="009E463B" w:rsidP="00FD2DEF">
      <w:pPr>
        <w:jc w:val="both"/>
        <w:rPr>
          <w:rFonts w:cs="Arial"/>
          <w:sz w:val="20"/>
          <w:szCs w:val="20"/>
          <w:lang w:val="cs-CZ" w:eastAsia="cs-CZ"/>
        </w:rPr>
      </w:pPr>
      <w:r>
        <w:rPr>
          <w:b/>
          <w:bCs/>
          <w:sz w:val="20"/>
          <w:lang w:val="en-GB"/>
        </w:rPr>
        <w:t>The data in Tables 19, 20 and 20a</w:t>
      </w:r>
      <w:r>
        <w:rPr>
          <w:sz w:val="20"/>
          <w:lang w:val="en-GB"/>
        </w:rPr>
        <w:t xml:space="preserve"> cover the employer’s </w:t>
      </w:r>
      <w:r>
        <w:rPr>
          <w:b/>
          <w:bCs/>
          <w:sz w:val="20"/>
          <w:lang w:val="en-GB"/>
        </w:rPr>
        <w:t>costs</w:t>
      </w:r>
      <w:r>
        <w:rPr>
          <w:sz w:val="20"/>
          <w:lang w:val="en-GB"/>
        </w:rPr>
        <w:t xml:space="preserve"> of recruiting and training employees, paying wages, and providing social needs of employees. The survey is carried out in businesses of all industries irrespective of the number of employees – </w:t>
      </w:r>
      <w:r>
        <w:rPr>
          <w:bCs/>
          <w:sz w:val="20"/>
          <w:lang w:val="en-GB"/>
        </w:rPr>
        <w:t>employees of unincorporated entrepreneurs (natural persons) are not included</w:t>
      </w:r>
      <w:r w:rsidRPr="00846DEC">
        <w:rPr>
          <w:rFonts w:cs="Arial"/>
          <w:bCs/>
          <w:sz w:val="20"/>
          <w:szCs w:val="20"/>
          <w:lang w:val="en-GB"/>
        </w:rPr>
        <w:t>.</w:t>
      </w:r>
      <w:r w:rsidRPr="00846DEC">
        <w:rPr>
          <w:rFonts w:cs="Arial"/>
          <w:sz w:val="20"/>
          <w:szCs w:val="20"/>
          <w:lang w:val="en-GB"/>
        </w:rPr>
        <w:t xml:space="preserve"> </w:t>
      </w:r>
      <w:r w:rsidR="00846DEC">
        <w:rPr>
          <w:rFonts w:cs="Arial"/>
          <w:sz w:val="20"/>
          <w:szCs w:val="20"/>
          <w:lang w:eastAsia="cs-CZ"/>
        </w:rPr>
        <w:t>D</w:t>
      </w:r>
      <w:r w:rsidR="00846DEC" w:rsidRPr="00846DEC">
        <w:rPr>
          <w:rFonts w:cs="Arial"/>
          <w:sz w:val="20"/>
          <w:szCs w:val="20"/>
          <w:lang w:eastAsia="cs-CZ"/>
        </w:rPr>
        <w:t xml:space="preserve">ata on the structure of labor costs in </w:t>
      </w:r>
      <w:r w:rsidR="00846DEC">
        <w:rPr>
          <w:rFonts w:cs="Arial"/>
          <w:sz w:val="20"/>
          <w:szCs w:val="20"/>
          <w:lang w:eastAsia="cs-CZ"/>
        </w:rPr>
        <w:t xml:space="preserve">mentioned </w:t>
      </w:r>
      <w:r w:rsidR="00846DEC" w:rsidRPr="00846DEC">
        <w:rPr>
          <w:rFonts w:cs="Arial"/>
          <w:sz w:val="20"/>
          <w:szCs w:val="20"/>
          <w:lang w:eastAsia="cs-CZ"/>
        </w:rPr>
        <w:t xml:space="preserve">tables </w:t>
      </w:r>
      <w:r w:rsidR="00846DEC">
        <w:rPr>
          <w:rFonts w:cs="Arial"/>
          <w:sz w:val="20"/>
          <w:szCs w:val="20"/>
          <w:lang w:eastAsia="cs-CZ"/>
        </w:rPr>
        <w:t xml:space="preserve">are newly </w:t>
      </w:r>
      <w:r w:rsidR="00846DEC" w:rsidRPr="00846DEC">
        <w:rPr>
          <w:rFonts w:cs="Arial"/>
          <w:sz w:val="20"/>
          <w:szCs w:val="20"/>
          <w:lang w:eastAsia="cs-CZ"/>
        </w:rPr>
        <w:t xml:space="preserve">given in absolute terms (in CZK) instead of the previously </w:t>
      </w:r>
      <w:r w:rsidR="00846DEC">
        <w:rPr>
          <w:rFonts w:cs="Arial"/>
          <w:sz w:val="20"/>
          <w:szCs w:val="20"/>
          <w:lang w:eastAsia="cs-CZ"/>
        </w:rPr>
        <w:t>stated</w:t>
      </w:r>
      <w:r w:rsidR="00846DEC" w:rsidRPr="00846DEC">
        <w:rPr>
          <w:rFonts w:cs="Arial"/>
          <w:sz w:val="20"/>
          <w:szCs w:val="20"/>
          <w:lang w:eastAsia="cs-CZ"/>
        </w:rPr>
        <w:t xml:space="preserve"> relative terms (in</w:t>
      </w:r>
      <w:r w:rsidR="00846DEC">
        <w:rPr>
          <w:rFonts w:cs="Arial"/>
          <w:sz w:val="20"/>
          <w:szCs w:val="20"/>
          <w:lang w:eastAsia="cs-CZ"/>
        </w:rPr>
        <w:t xml:space="preserve"> </w:t>
      </w:r>
      <w:r w:rsidR="00846DEC" w:rsidRPr="00846DEC">
        <w:rPr>
          <w:rFonts w:cs="Arial"/>
          <w:sz w:val="20"/>
          <w:szCs w:val="20"/>
          <w:lang w:eastAsia="cs-CZ"/>
        </w:rPr>
        <w:t>%).</w:t>
      </w:r>
    </w:p>
    <w:p w:rsidR="009E463B" w:rsidRDefault="009E463B" w:rsidP="00FD2DEF">
      <w:pPr>
        <w:spacing w:after="120"/>
        <w:jc w:val="both"/>
        <w:rPr>
          <w:sz w:val="20"/>
          <w:lang w:val="en-GB"/>
        </w:rPr>
      </w:pPr>
      <w:r>
        <w:rPr>
          <w:sz w:val="20"/>
          <w:lang w:val="en-GB"/>
        </w:rPr>
        <w:tab/>
      </w:r>
    </w:p>
    <w:p w:rsidR="00684C63" w:rsidRPr="003C0793" w:rsidRDefault="009E463B" w:rsidP="00684C63">
      <w:pPr>
        <w:tabs>
          <w:tab w:val="left" w:pos="-709"/>
        </w:tabs>
        <w:spacing w:after="140"/>
        <w:jc w:val="both"/>
        <w:rPr>
          <w:sz w:val="20"/>
          <w:szCs w:val="20"/>
          <w:lang w:val="en-GB"/>
        </w:rPr>
      </w:pPr>
      <w:r>
        <w:rPr>
          <w:b/>
          <w:bCs/>
          <w:sz w:val="20"/>
          <w:lang w:val="en-GB"/>
        </w:rPr>
        <w:t>The data in Tables 21 and 22, resp. 23 and 23a</w:t>
      </w:r>
      <w:r>
        <w:rPr>
          <w:sz w:val="20"/>
          <w:lang w:val="en-GB"/>
        </w:rPr>
        <w:t xml:space="preserve"> are based on sources of the Ministry of Labour and Social Affairs of the Czech Republic.</w:t>
      </w:r>
      <w:r w:rsidR="00684C63" w:rsidRPr="00684C63">
        <w:rPr>
          <w:sz w:val="20"/>
          <w:szCs w:val="20"/>
          <w:lang w:val="en-GB"/>
        </w:rPr>
        <w:t xml:space="preserve"> </w:t>
      </w:r>
      <w:r w:rsidR="00684C63" w:rsidRPr="003C0793">
        <w:rPr>
          <w:sz w:val="20"/>
          <w:szCs w:val="20"/>
          <w:lang w:val="en-GB"/>
        </w:rPr>
        <w:t xml:space="preserve">Since January 2013 the Ministry of Labour and Social Affairs of </w:t>
      </w:r>
      <w:r w:rsidR="00684C63">
        <w:rPr>
          <w:sz w:val="20"/>
          <w:szCs w:val="20"/>
          <w:lang w:val="en-GB"/>
        </w:rPr>
        <w:t xml:space="preserve">the Czech Republic has been using a new indicator of registered unemployment in the Czech Republic named “share of unemployed persons”, which expresses the share of available job applicants aged 15 – 64 years of all population of the same age. This indicator has replaced the so far released rate of registered unemployment, which measures all available job applicants merely to economically active persons. The new indicator of the “share of unemployed persons” attains different values due to its different definition and therefore cannot be compared to the previous indicator. </w:t>
      </w:r>
    </w:p>
    <w:p w:rsidR="009E463B" w:rsidRPr="00966EAF" w:rsidRDefault="009E463B" w:rsidP="00E743BB">
      <w:pPr>
        <w:spacing w:after="120"/>
        <w:jc w:val="both"/>
        <w:rPr>
          <w:sz w:val="20"/>
          <w:lang w:val="en-GB"/>
        </w:rPr>
      </w:pPr>
      <w:r>
        <w:rPr>
          <w:sz w:val="20"/>
          <w:lang w:val="en-GB"/>
        </w:rPr>
        <w:t xml:space="preserve"> </w:t>
      </w:r>
    </w:p>
    <w:p w:rsidR="00966EAF" w:rsidRPr="000C2565" w:rsidRDefault="00966EAF" w:rsidP="00E743BB">
      <w:pPr>
        <w:tabs>
          <w:tab w:val="left" w:pos="-709"/>
        </w:tabs>
        <w:spacing w:after="140"/>
        <w:jc w:val="both"/>
        <w:rPr>
          <w:sz w:val="20"/>
          <w:lang w:val="en-GB"/>
        </w:rPr>
      </w:pPr>
      <w:r w:rsidRPr="00966EAF">
        <w:rPr>
          <w:sz w:val="20"/>
          <w:lang w:val="en-GB"/>
        </w:rPr>
        <w:t>Calculated</w:t>
      </w:r>
      <w:r w:rsidRPr="00D03D6C">
        <w:rPr>
          <w:sz w:val="20"/>
          <w:lang w:val="cs-CZ"/>
        </w:rPr>
        <w:t xml:space="preserve"> data are</w:t>
      </w:r>
      <w:r w:rsidRPr="000C2565">
        <w:rPr>
          <w:sz w:val="20"/>
          <w:lang w:val="en-GB"/>
        </w:rPr>
        <w:t xml:space="preserve"> counted from unrounded numbers and only then rounded, that´s why in some cases the totals differ.</w:t>
      </w:r>
    </w:p>
    <w:p w:rsidR="009E463B" w:rsidRDefault="009E463B" w:rsidP="00E743BB">
      <w:pPr>
        <w:spacing w:before="320" w:after="120"/>
        <w:jc w:val="both"/>
        <w:outlineLvl w:val="0"/>
        <w:rPr>
          <w:sz w:val="20"/>
          <w:lang w:val="en-GB"/>
        </w:rPr>
      </w:pPr>
    </w:p>
    <w:p w:rsidR="009E463B" w:rsidRDefault="009E463B" w:rsidP="00E743BB">
      <w:pPr>
        <w:pStyle w:val="Nadpis1"/>
        <w:ind w:firstLine="0"/>
      </w:pPr>
      <w:r>
        <w:t xml:space="preserve"> </w:t>
      </w:r>
      <w:r w:rsidR="000C2565">
        <w:t xml:space="preserve">    </w:t>
      </w:r>
      <w:proofErr w:type="spellStart"/>
      <w:proofErr w:type="gramStart"/>
      <w:r>
        <w:t>Dalibor</w:t>
      </w:r>
      <w:proofErr w:type="spellEnd"/>
      <w:r>
        <w:t xml:space="preserve">  H</w:t>
      </w:r>
      <w:proofErr w:type="gramEnd"/>
      <w:r>
        <w:t xml:space="preserve"> o l ý </w:t>
      </w:r>
    </w:p>
    <w:p w:rsidR="000C2565" w:rsidRDefault="009E463B" w:rsidP="00E743BB">
      <w:pPr>
        <w:spacing w:before="80"/>
        <w:ind w:left="4321"/>
        <w:jc w:val="both"/>
        <w:rPr>
          <w:bCs/>
          <w:sz w:val="20"/>
          <w:szCs w:val="20"/>
        </w:rPr>
      </w:pPr>
      <w:r w:rsidRPr="000C2565">
        <w:rPr>
          <w:sz w:val="20"/>
          <w:lang w:val="en-GB"/>
        </w:rPr>
        <w:t xml:space="preserve">Director of </w:t>
      </w:r>
      <w:r w:rsidR="002D4AAF" w:rsidRPr="000C2565">
        <w:rPr>
          <w:bCs/>
          <w:sz w:val="20"/>
          <w:szCs w:val="20"/>
          <w:lang w:val="en-GB"/>
        </w:rPr>
        <w:t>Labour</w:t>
      </w:r>
      <w:r w:rsidR="002D4AAF" w:rsidRPr="000C2565">
        <w:rPr>
          <w:bCs/>
          <w:sz w:val="20"/>
          <w:szCs w:val="20"/>
        </w:rPr>
        <w:t xml:space="preserve"> Market and Equal Opportunities </w:t>
      </w:r>
    </w:p>
    <w:p w:rsidR="009E463B" w:rsidRPr="000C2565" w:rsidRDefault="000C2565" w:rsidP="00E743BB">
      <w:pPr>
        <w:spacing w:before="80"/>
        <w:ind w:left="4321"/>
        <w:jc w:val="both"/>
        <w:rPr>
          <w:sz w:val="20"/>
          <w:lang w:val="en-GB"/>
        </w:rPr>
      </w:pPr>
      <w:r>
        <w:rPr>
          <w:bCs/>
          <w:sz w:val="20"/>
          <w:szCs w:val="20"/>
        </w:rPr>
        <w:t xml:space="preserve">            </w:t>
      </w:r>
      <w:r w:rsidR="002D4AAF" w:rsidRPr="000C2565">
        <w:rPr>
          <w:bCs/>
          <w:sz w:val="20"/>
          <w:szCs w:val="20"/>
        </w:rPr>
        <w:t>Statistics Department</w:t>
      </w:r>
    </w:p>
    <w:p w:rsidR="009E463B" w:rsidRDefault="009E463B" w:rsidP="00E743BB">
      <w:pPr>
        <w:ind w:left="3600"/>
        <w:jc w:val="both"/>
        <w:rPr>
          <w:sz w:val="20"/>
          <w:lang w:val="en-GB"/>
        </w:rPr>
      </w:pPr>
    </w:p>
    <w:p w:rsidR="000C2565" w:rsidRDefault="000C2565" w:rsidP="00E743BB">
      <w:pPr>
        <w:pStyle w:val="Zkladntext"/>
        <w:spacing w:before="160"/>
        <w:rPr>
          <w:bCs w:val="0"/>
          <w:lang w:val="en-US"/>
        </w:rPr>
      </w:pPr>
    </w:p>
    <w:p w:rsidR="009E463B" w:rsidRDefault="009E463B" w:rsidP="00E743BB">
      <w:pPr>
        <w:pStyle w:val="Zkladntext"/>
        <w:spacing w:before="160"/>
        <w:rPr>
          <w:bCs w:val="0"/>
          <w:lang w:val="en-US"/>
        </w:rPr>
      </w:pPr>
      <w:r>
        <w:rPr>
          <w:bCs w:val="0"/>
          <w:lang w:val="en-US"/>
        </w:rPr>
        <w:t>Text not edited for language.</w:t>
      </w:r>
    </w:p>
    <w:sectPr w:rsidR="009E463B">
      <w:headerReference w:type="even" r:id="rId8"/>
      <w:headerReference w:type="first" r:id="rId9"/>
      <w:pgSz w:w="11906" w:h="16838" w:code="9"/>
      <w:pgMar w:top="1418" w:right="1418" w:bottom="1134" w:left="141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CFC" w:rsidRDefault="003D4CFC">
      <w:r>
        <w:separator/>
      </w:r>
    </w:p>
  </w:endnote>
  <w:endnote w:type="continuationSeparator" w:id="0">
    <w:p w:rsidR="003D4CFC" w:rsidRDefault="003D4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CFC" w:rsidRDefault="003D4CFC">
      <w:r>
        <w:separator/>
      </w:r>
    </w:p>
  </w:footnote>
  <w:footnote w:type="continuationSeparator" w:id="0">
    <w:p w:rsidR="003D4CFC" w:rsidRDefault="003D4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B" w:rsidRDefault="009E463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E463B" w:rsidRDefault="009E463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B" w:rsidRDefault="009E463B">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9E463B" w:rsidRDefault="009E463B">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BA1D68"/>
    <w:lvl w:ilvl="0">
      <w:numFmt w:val="decimal"/>
      <w:lvlText w:val="*"/>
      <w:lvlJc w:val="left"/>
    </w:lvl>
  </w:abstractNum>
  <w:abstractNum w:abstractNumId="1">
    <w:nsid w:val="083624F2"/>
    <w:multiLevelType w:val="hybridMultilevel"/>
    <w:tmpl w:val="B66AAF8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D1B73F4"/>
    <w:multiLevelType w:val="hybridMultilevel"/>
    <w:tmpl w:val="71C4F126"/>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E636B72"/>
    <w:multiLevelType w:val="hybridMultilevel"/>
    <w:tmpl w:val="9E0CD842"/>
    <w:lvl w:ilvl="0" w:tplc="C44E55EC">
      <w:numFmt w:val="bullet"/>
      <w:lvlText w:val="-"/>
      <w:lvlJc w:val="left"/>
      <w:pPr>
        <w:tabs>
          <w:tab w:val="num" w:pos="4680"/>
        </w:tabs>
        <w:ind w:left="4680" w:hanging="360"/>
      </w:pPr>
      <w:rPr>
        <w:rFonts w:ascii="Times New Roman" w:eastAsia="Times New Roman" w:hAnsi="Times New Roman" w:cs="Times New Roman" w:hint="default"/>
      </w:rPr>
    </w:lvl>
    <w:lvl w:ilvl="1" w:tplc="04050003" w:tentative="1">
      <w:start w:val="1"/>
      <w:numFmt w:val="bullet"/>
      <w:lvlText w:val="o"/>
      <w:lvlJc w:val="left"/>
      <w:pPr>
        <w:tabs>
          <w:tab w:val="num" w:pos="5400"/>
        </w:tabs>
        <w:ind w:left="5400" w:hanging="360"/>
      </w:pPr>
      <w:rPr>
        <w:rFonts w:ascii="Courier New" w:hAnsi="Courier New" w:hint="default"/>
      </w:rPr>
    </w:lvl>
    <w:lvl w:ilvl="2" w:tplc="04050005" w:tentative="1">
      <w:start w:val="1"/>
      <w:numFmt w:val="bullet"/>
      <w:lvlText w:val=""/>
      <w:lvlJc w:val="left"/>
      <w:pPr>
        <w:tabs>
          <w:tab w:val="num" w:pos="6120"/>
        </w:tabs>
        <w:ind w:left="6120" w:hanging="360"/>
      </w:pPr>
      <w:rPr>
        <w:rFonts w:ascii="Wingdings" w:hAnsi="Wingdings"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4">
    <w:nsid w:val="300C6858"/>
    <w:multiLevelType w:val="hybridMultilevel"/>
    <w:tmpl w:val="233E8A3C"/>
    <w:lvl w:ilvl="0" w:tplc="5A1C36C4">
      <w:start w:val="1"/>
      <w:numFmt w:val="lowerLetter"/>
      <w:lvlText w:val="%1)"/>
      <w:lvlJc w:val="left"/>
      <w:pPr>
        <w:tabs>
          <w:tab w:val="num" w:pos="720"/>
        </w:tabs>
        <w:ind w:left="720" w:hanging="720"/>
      </w:pPr>
      <w:rPr>
        <w:rFonts w:hint="default"/>
      </w:rPr>
    </w:lvl>
    <w:lvl w:ilvl="1" w:tplc="C4E2B6C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4A54A98"/>
    <w:multiLevelType w:val="hybridMultilevel"/>
    <w:tmpl w:val="F03264AE"/>
    <w:lvl w:ilvl="0" w:tplc="1374AFE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C20370"/>
    <w:multiLevelType w:val="hybridMultilevel"/>
    <w:tmpl w:val="3600FA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CE70390"/>
    <w:multiLevelType w:val="hybridMultilevel"/>
    <w:tmpl w:val="A5E2784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69470ECB"/>
    <w:multiLevelType w:val="hybridMultilevel"/>
    <w:tmpl w:val="F9144106"/>
    <w:lvl w:ilvl="0" w:tplc="945ABE88">
      <w:start w:val="1"/>
      <w:numFmt w:val="lowerLetter"/>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E3597A"/>
    <w:multiLevelType w:val="hybridMultilevel"/>
    <w:tmpl w:val="B9FA4F2A"/>
    <w:lvl w:ilvl="0" w:tplc="97E22A3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2A2775D"/>
    <w:multiLevelType w:val="hybridMultilevel"/>
    <w:tmpl w:val="7F126D2C"/>
    <w:lvl w:ilvl="0" w:tplc="11ECFB48">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9CD6E61"/>
    <w:multiLevelType w:val="hybridMultilevel"/>
    <w:tmpl w:val="692EA99A"/>
    <w:lvl w:ilvl="0" w:tplc="E11227B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0526B9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8"/>
  </w:num>
  <w:num w:numId="5">
    <w:abstractNumId w:val="4"/>
  </w:num>
  <w:num w:numId="6">
    <w:abstractNumId w:val="0"/>
    <w:lvlOverride w:ilvl="0">
      <w:lvl w:ilvl="0">
        <w:numFmt w:val="bullet"/>
        <w:lvlText w:val="–"/>
        <w:legacy w:legacy="1" w:legacySpace="0" w:legacyIndent="391"/>
        <w:lvlJc w:val="left"/>
        <w:pPr>
          <w:ind w:left="651" w:hanging="391"/>
        </w:pPr>
        <w:rPr>
          <w:rFonts w:ascii="Times New Roman oby_ejné" w:hAnsi="Times New Roman oby_ejné" w:hint="default"/>
        </w:rPr>
      </w:lvl>
    </w:lvlOverride>
  </w:num>
  <w:num w:numId="7">
    <w:abstractNumId w:val="6"/>
  </w:num>
  <w:num w:numId="8">
    <w:abstractNumId w:val="1"/>
  </w:num>
  <w:num w:numId="9">
    <w:abstractNumId w:val="2"/>
  </w:num>
  <w:num w:numId="10">
    <w:abstractNumId w:val="3"/>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ocumentProtection w:edit="readOnly"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CF6"/>
    <w:rsid w:val="000C2565"/>
    <w:rsid w:val="000D2A17"/>
    <w:rsid w:val="0010238B"/>
    <w:rsid w:val="00145138"/>
    <w:rsid w:val="0014687F"/>
    <w:rsid w:val="00174707"/>
    <w:rsid w:val="001E4772"/>
    <w:rsid w:val="00200964"/>
    <w:rsid w:val="00253F8A"/>
    <w:rsid w:val="002C28FA"/>
    <w:rsid w:val="002D4AAF"/>
    <w:rsid w:val="002F54C5"/>
    <w:rsid w:val="003618BD"/>
    <w:rsid w:val="003638BF"/>
    <w:rsid w:val="003D4CFC"/>
    <w:rsid w:val="004521AC"/>
    <w:rsid w:val="004D75C6"/>
    <w:rsid w:val="004F756A"/>
    <w:rsid w:val="005249E4"/>
    <w:rsid w:val="005362DA"/>
    <w:rsid w:val="00540EF9"/>
    <w:rsid w:val="00541E1F"/>
    <w:rsid w:val="00593615"/>
    <w:rsid w:val="005B08CE"/>
    <w:rsid w:val="005E64F9"/>
    <w:rsid w:val="005F4636"/>
    <w:rsid w:val="00632F1F"/>
    <w:rsid w:val="006719F6"/>
    <w:rsid w:val="00673082"/>
    <w:rsid w:val="00684C63"/>
    <w:rsid w:val="006A332E"/>
    <w:rsid w:val="006A5246"/>
    <w:rsid w:val="006D56EF"/>
    <w:rsid w:val="007314B7"/>
    <w:rsid w:val="007A7279"/>
    <w:rsid w:val="007B2E29"/>
    <w:rsid w:val="00846DEC"/>
    <w:rsid w:val="00894F0A"/>
    <w:rsid w:val="008A5203"/>
    <w:rsid w:val="008A6C5D"/>
    <w:rsid w:val="008A6F26"/>
    <w:rsid w:val="00960813"/>
    <w:rsid w:val="009656FB"/>
    <w:rsid w:val="00966EAF"/>
    <w:rsid w:val="009A0D11"/>
    <w:rsid w:val="009E463B"/>
    <w:rsid w:val="00A106E2"/>
    <w:rsid w:val="00A151C1"/>
    <w:rsid w:val="00A44CF6"/>
    <w:rsid w:val="00AE6A3F"/>
    <w:rsid w:val="00B43F95"/>
    <w:rsid w:val="00BA7E5C"/>
    <w:rsid w:val="00BC66BA"/>
    <w:rsid w:val="00C12317"/>
    <w:rsid w:val="00C14875"/>
    <w:rsid w:val="00C451DC"/>
    <w:rsid w:val="00CA3FE8"/>
    <w:rsid w:val="00D54F27"/>
    <w:rsid w:val="00DD69A2"/>
    <w:rsid w:val="00DE5B74"/>
    <w:rsid w:val="00DF3E61"/>
    <w:rsid w:val="00E743BB"/>
    <w:rsid w:val="00EB581E"/>
    <w:rsid w:val="00F53ED8"/>
    <w:rsid w:val="00FC569E"/>
    <w:rsid w:val="00FD2D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 w:val="28"/>
      <w:szCs w:val="24"/>
      <w:lang w:val="en-US" w:eastAsia="en-US"/>
    </w:rPr>
  </w:style>
  <w:style w:type="paragraph" w:styleId="Nadpis1">
    <w:name w:val="heading 1"/>
    <w:basedOn w:val="Normln"/>
    <w:next w:val="Normln"/>
    <w:qFormat/>
    <w:pPr>
      <w:keepNext/>
      <w:ind w:left="5040" w:firstLine="540"/>
      <w:jc w:val="both"/>
      <w:outlineLvl w:val="0"/>
    </w:pPr>
    <w:rPr>
      <w:b/>
      <w:bCs/>
      <w:sz w:val="20"/>
      <w:lang w:val="en-GB"/>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bCs/>
      <w:sz w:val="20"/>
      <w:lang w:val="cs-CZ"/>
    </w:rPr>
  </w:style>
  <w:style w:type="paragraph" w:styleId="Zkladntext2">
    <w:name w:val="Body Text 2"/>
    <w:basedOn w:val="Normln"/>
    <w:semiHidden/>
    <w:rPr>
      <w:bCs/>
      <w:sz w:val="24"/>
      <w:lang w:val="cs-CZ"/>
    </w:rPr>
  </w:style>
  <w:style w:type="paragraph" w:styleId="Nzev">
    <w:name w:val="Title"/>
    <w:basedOn w:val="Normln"/>
    <w:qFormat/>
    <w:pPr>
      <w:jc w:val="center"/>
    </w:pPr>
    <w:rPr>
      <w:b/>
      <w:bCs/>
      <w:lang w:val="cs-CZ"/>
    </w:rPr>
  </w:style>
  <w:style w:type="paragraph" w:styleId="Zkladntextodsazen">
    <w:name w:val="Body Text Indent"/>
    <w:basedOn w:val="Normln"/>
    <w:semiHidden/>
    <w:pPr>
      <w:ind w:left="1440" w:hanging="1440"/>
      <w:jc w:val="both"/>
    </w:pPr>
    <w:rPr>
      <w:bCs/>
      <w:sz w:val="24"/>
    </w:rPr>
  </w:style>
  <w:style w:type="paragraph" w:styleId="Zkladntextodsazen2">
    <w:name w:val="Body Text Indent 2"/>
    <w:basedOn w:val="Normln"/>
    <w:semiHidden/>
    <w:pPr>
      <w:ind w:left="1440"/>
      <w:jc w:val="both"/>
    </w:pPr>
    <w:rPr>
      <w:bCs/>
      <w:sz w:val="24"/>
    </w:rPr>
  </w:style>
  <w:style w:type="paragraph" w:styleId="Zkladntextodsazen3">
    <w:name w:val="Body Text Indent 3"/>
    <w:basedOn w:val="Normln"/>
    <w:semiHidden/>
    <w:pPr>
      <w:ind w:firstLine="720"/>
      <w:jc w:val="both"/>
    </w:pPr>
    <w:rPr>
      <w:bCs/>
      <w:sz w:val="24"/>
      <w:lang w:val="en-GB"/>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customStyle="1" w:styleId="Level2">
    <w:name w:val="Level 2"/>
    <w:basedOn w:val="Normln"/>
    <w:pPr>
      <w:widowControl w:val="0"/>
      <w:autoSpaceDE w:val="0"/>
      <w:autoSpaceDN w:val="0"/>
      <w:adjustRightInd w:val="0"/>
      <w:ind w:left="651" w:hanging="391"/>
    </w:pPr>
    <w:rPr>
      <w:rFonts w:ascii="Times New Roman oby_ejné" w:hAnsi="Times New Roman oby_ejné"/>
      <w:sz w:val="24"/>
      <w:lang w:eastAsia="cs-CZ"/>
    </w:rPr>
  </w:style>
  <w:style w:type="paragraph" w:styleId="Zpat">
    <w:name w:val="footer"/>
    <w:basedOn w:val="Normln"/>
    <w:semiHidden/>
    <w:pPr>
      <w:tabs>
        <w:tab w:val="center" w:pos="4536"/>
        <w:tab w:val="right" w:pos="9072"/>
      </w:tabs>
    </w:pPr>
  </w:style>
  <w:style w:type="paragraph" w:styleId="Zkladntext3">
    <w:name w:val="Body Text 3"/>
    <w:basedOn w:val="Normln"/>
    <w:semiHidden/>
    <w:pPr>
      <w:spacing w:after="120" w:line="360" w:lineRule="auto"/>
      <w:jc w:val="both"/>
    </w:pPr>
    <w:rPr>
      <w:bCs/>
      <w:sz w:val="24"/>
      <w:lang w:val="en-GB"/>
    </w:rPr>
  </w:style>
  <w:style w:type="character" w:styleId="Odkaznakoment">
    <w:name w:val="annotation reference"/>
    <w:basedOn w:val="Standardnpsmoodstavce"/>
    <w:semiHidden/>
    <w:rPr>
      <w:sz w:val="16"/>
      <w:szCs w:val="16"/>
    </w:rPr>
  </w:style>
  <w:style w:type="paragraph" w:styleId="Textkomente">
    <w:name w:val="annotation text"/>
    <w:basedOn w:val="Normln"/>
    <w:semiHidden/>
    <w:rPr>
      <w:sz w:val="20"/>
      <w:szCs w:val="20"/>
    </w:r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character" w:customStyle="1" w:styleId="mediumtext">
    <w:name w:val="medium_text"/>
    <w:basedOn w:val="Standardnpsmoodstavce"/>
  </w:style>
  <w:style w:type="paragraph" w:styleId="Textbubliny">
    <w:name w:val="Balloon Text"/>
    <w:basedOn w:val="Normln"/>
    <w:link w:val="TextbublinyChar"/>
    <w:uiPriority w:val="99"/>
    <w:semiHidden/>
    <w:unhideWhenUsed/>
    <w:rsid w:val="00A44CF6"/>
    <w:rPr>
      <w:rFonts w:ascii="Tahoma" w:hAnsi="Tahoma" w:cs="Tahoma"/>
      <w:sz w:val="16"/>
      <w:szCs w:val="16"/>
    </w:rPr>
  </w:style>
  <w:style w:type="character" w:customStyle="1" w:styleId="TextbublinyChar">
    <w:name w:val="Text bubliny Char"/>
    <w:basedOn w:val="Standardnpsmoodstavce"/>
    <w:link w:val="Textbubliny"/>
    <w:uiPriority w:val="99"/>
    <w:semiHidden/>
    <w:rsid w:val="00A44CF6"/>
    <w:rPr>
      <w:rFonts w:ascii="Tahoma" w:hAnsi="Tahoma" w:cs="Tahoma"/>
      <w:sz w:val="16"/>
      <w:szCs w:val="16"/>
      <w:lang w:val="en-US" w:eastAsia="en-US"/>
    </w:rPr>
  </w:style>
  <w:style w:type="character" w:customStyle="1" w:styleId="hps">
    <w:name w:val="hps"/>
    <w:basedOn w:val="Standardnpsmoodstavce"/>
    <w:rsid w:val="0014687F"/>
  </w:style>
</w:styles>
</file>

<file path=word/webSettings.xml><?xml version="1.0" encoding="utf-8"?>
<w:webSettings xmlns:r="http://schemas.openxmlformats.org/officeDocument/2006/relationships" xmlns:w="http://schemas.openxmlformats.org/wordprocessingml/2006/main">
  <w:divs>
    <w:div w:id="384254603">
      <w:bodyDiv w:val="1"/>
      <w:marLeft w:val="0"/>
      <w:marRight w:val="0"/>
      <w:marTop w:val="0"/>
      <w:marBottom w:val="0"/>
      <w:divBdr>
        <w:top w:val="none" w:sz="0" w:space="0" w:color="auto"/>
        <w:left w:val="none" w:sz="0" w:space="0" w:color="auto"/>
        <w:bottom w:val="none" w:sz="0" w:space="0" w:color="auto"/>
        <w:right w:val="none" w:sz="0" w:space="0" w:color="auto"/>
      </w:divBdr>
      <w:divsChild>
        <w:div w:id="1935168281">
          <w:marLeft w:val="0"/>
          <w:marRight w:val="0"/>
          <w:marTop w:val="0"/>
          <w:marBottom w:val="0"/>
          <w:divBdr>
            <w:top w:val="none" w:sz="0" w:space="0" w:color="auto"/>
            <w:left w:val="none" w:sz="0" w:space="0" w:color="auto"/>
            <w:bottom w:val="none" w:sz="0" w:space="0" w:color="auto"/>
            <w:right w:val="none" w:sz="0" w:space="0" w:color="auto"/>
          </w:divBdr>
          <w:divsChild>
            <w:div w:id="678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774401008">
          <w:marLeft w:val="0"/>
          <w:marRight w:val="0"/>
          <w:marTop w:val="0"/>
          <w:marBottom w:val="0"/>
          <w:divBdr>
            <w:top w:val="none" w:sz="0" w:space="0" w:color="auto"/>
            <w:left w:val="none" w:sz="0" w:space="0" w:color="auto"/>
            <w:bottom w:val="none" w:sz="0" w:space="0" w:color="auto"/>
            <w:right w:val="none" w:sz="0" w:space="0" w:color="auto"/>
          </w:divBdr>
          <w:divsChild>
            <w:div w:id="134957858">
              <w:marLeft w:val="0"/>
              <w:marRight w:val="0"/>
              <w:marTop w:val="0"/>
              <w:marBottom w:val="0"/>
              <w:divBdr>
                <w:top w:val="none" w:sz="0" w:space="0" w:color="auto"/>
                <w:left w:val="none" w:sz="0" w:space="0" w:color="auto"/>
                <w:bottom w:val="none" w:sz="0" w:space="0" w:color="auto"/>
                <w:right w:val="none" w:sz="0" w:space="0" w:color="auto"/>
              </w:divBdr>
              <w:divsChild>
                <w:div w:id="134177192">
                  <w:marLeft w:val="0"/>
                  <w:marRight w:val="0"/>
                  <w:marTop w:val="0"/>
                  <w:marBottom w:val="0"/>
                  <w:divBdr>
                    <w:top w:val="none" w:sz="0" w:space="0" w:color="auto"/>
                    <w:left w:val="none" w:sz="0" w:space="0" w:color="auto"/>
                    <w:bottom w:val="none" w:sz="0" w:space="0" w:color="auto"/>
                    <w:right w:val="none" w:sz="0" w:space="0" w:color="auto"/>
                  </w:divBdr>
                  <w:divsChild>
                    <w:div w:id="1237127226">
                      <w:marLeft w:val="0"/>
                      <w:marRight w:val="0"/>
                      <w:marTop w:val="0"/>
                      <w:marBottom w:val="0"/>
                      <w:divBdr>
                        <w:top w:val="none" w:sz="0" w:space="0" w:color="auto"/>
                        <w:left w:val="none" w:sz="0" w:space="0" w:color="auto"/>
                        <w:bottom w:val="none" w:sz="0" w:space="0" w:color="auto"/>
                        <w:right w:val="none" w:sz="0" w:space="0" w:color="auto"/>
                      </w:divBdr>
                    </w:div>
                    <w:div w:id="2066563317">
                      <w:marLeft w:val="0"/>
                      <w:marRight w:val="0"/>
                      <w:marTop w:val="0"/>
                      <w:marBottom w:val="0"/>
                      <w:divBdr>
                        <w:top w:val="none" w:sz="0" w:space="0" w:color="auto"/>
                        <w:left w:val="none" w:sz="0" w:space="0" w:color="auto"/>
                        <w:bottom w:val="none" w:sz="0" w:space="0" w:color="auto"/>
                        <w:right w:val="none" w:sz="0" w:space="0" w:color="auto"/>
                      </w:divBdr>
                    </w:div>
                  </w:divsChild>
                </w:div>
                <w:div w:id="478763169">
                  <w:marLeft w:val="0"/>
                  <w:marRight w:val="0"/>
                  <w:marTop w:val="0"/>
                  <w:marBottom w:val="0"/>
                  <w:divBdr>
                    <w:top w:val="none" w:sz="0" w:space="0" w:color="auto"/>
                    <w:left w:val="none" w:sz="0" w:space="0" w:color="auto"/>
                    <w:bottom w:val="none" w:sz="0" w:space="0" w:color="auto"/>
                    <w:right w:val="none" w:sz="0" w:space="0" w:color="auto"/>
                  </w:divBdr>
                </w:div>
                <w:div w:id="533691629">
                  <w:marLeft w:val="0"/>
                  <w:marRight w:val="0"/>
                  <w:marTop w:val="0"/>
                  <w:marBottom w:val="0"/>
                  <w:divBdr>
                    <w:top w:val="none" w:sz="0" w:space="0" w:color="auto"/>
                    <w:left w:val="none" w:sz="0" w:space="0" w:color="auto"/>
                    <w:bottom w:val="none" w:sz="0" w:space="0" w:color="auto"/>
                    <w:right w:val="none" w:sz="0" w:space="0" w:color="auto"/>
                  </w:divBdr>
                  <w:divsChild>
                    <w:div w:id="865827209">
                      <w:marLeft w:val="0"/>
                      <w:marRight w:val="0"/>
                      <w:marTop w:val="0"/>
                      <w:marBottom w:val="0"/>
                      <w:divBdr>
                        <w:top w:val="none" w:sz="0" w:space="0" w:color="auto"/>
                        <w:left w:val="none" w:sz="0" w:space="0" w:color="auto"/>
                        <w:bottom w:val="none" w:sz="0" w:space="0" w:color="auto"/>
                        <w:right w:val="none" w:sz="0" w:space="0" w:color="auto"/>
                      </w:divBdr>
                    </w:div>
                  </w:divsChild>
                </w:div>
                <w:div w:id="829370279">
                  <w:marLeft w:val="0"/>
                  <w:marRight w:val="0"/>
                  <w:marTop w:val="0"/>
                  <w:marBottom w:val="0"/>
                  <w:divBdr>
                    <w:top w:val="none" w:sz="0" w:space="0" w:color="auto"/>
                    <w:left w:val="none" w:sz="0" w:space="0" w:color="auto"/>
                    <w:bottom w:val="none" w:sz="0" w:space="0" w:color="auto"/>
                    <w:right w:val="none" w:sz="0" w:space="0" w:color="auto"/>
                  </w:divBdr>
                </w:div>
                <w:div w:id="1579099569">
                  <w:marLeft w:val="0"/>
                  <w:marRight w:val="0"/>
                  <w:marTop w:val="0"/>
                  <w:marBottom w:val="0"/>
                  <w:divBdr>
                    <w:top w:val="none" w:sz="0" w:space="0" w:color="auto"/>
                    <w:left w:val="none" w:sz="0" w:space="0" w:color="auto"/>
                    <w:bottom w:val="none" w:sz="0" w:space="0" w:color="auto"/>
                    <w:right w:val="none" w:sz="0" w:space="0" w:color="auto"/>
                  </w:divBdr>
                </w:div>
                <w:div w:id="170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289">
          <w:marLeft w:val="0"/>
          <w:marRight w:val="0"/>
          <w:marTop w:val="0"/>
          <w:marBottom w:val="0"/>
          <w:divBdr>
            <w:top w:val="none" w:sz="0" w:space="0" w:color="auto"/>
            <w:left w:val="none" w:sz="0" w:space="0" w:color="auto"/>
            <w:bottom w:val="none" w:sz="0" w:space="0" w:color="auto"/>
            <w:right w:val="none" w:sz="0" w:space="0" w:color="auto"/>
          </w:divBdr>
          <w:divsChild>
            <w:div w:id="690106764">
              <w:marLeft w:val="0"/>
              <w:marRight w:val="0"/>
              <w:marTop w:val="0"/>
              <w:marBottom w:val="0"/>
              <w:divBdr>
                <w:top w:val="none" w:sz="0" w:space="0" w:color="auto"/>
                <w:left w:val="none" w:sz="0" w:space="0" w:color="auto"/>
                <w:bottom w:val="none" w:sz="0" w:space="0" w:color="auto"/>
                <w:right w:val="none" w:sz="0" w:space="0" w:color="auto"/>
              </w:divBdr>
              <w:divsChild>
                <w:div w:id="2000618837">
                  <w:marLeft w:val="0"/>
                  <w:marRight w:val="0"/>
                  <w:marTop w:val="0"/>
                  <w:marBottom w:val="0"/>
                  <w:divBdr>
                    <w:top w:val="none" w:sz="0" w:space="0" w:color="auto"/>
                    <w:left w:val="none" w:sz="0" w:space="0" w:color="auto"/>
                    <w:bottom w:val="none" w:sz="0" w:space="0" w:color="auto"/>
                    <w:right w:val="none" w:sz="0" w:space="0" w:color="auto"/>
                  </w:divBdr>
                  <w:divsChild>
                    <w:div w:id="189489535">
                      <w:marLeft w:val="0"/>
                      <w:marRight w:val="0"/>
                      <w:marTop w:val="0"/>
                      <w:marBottom w:val="0"/>
                      <w:divBdr>
                        <w:top w:val="none" w:sz="0" w:space="0" w:color="auto"/>
                        <w:left w:val="none" w:sz="0" w:space="0" w:color="auto"/>
                        <w:bottom w:val="none" w:sz="0" w:space="0" w:color="auto"/>
                        <w:right w:val="none" w:sz="0" w:space="0" w:color="auto"/>
                      </w:divBdr>
                      <w:divsChild>
                        <w:div w:id="1276013039">
                          <w:marLeft w:val="0"/>
                          <w:marRight w:val="0"/>
                          <w:marTop w:val="0"/>
                          <w:marBottom w:val="0"/>
                          <w:divBdr>
                            <w:top w:val="none" w:sz="0" w:space="0" w:color="auto"/>
                            <w:left w:val="none" w:sz="0" w:space="0" w:color="auto"/>
                            <w:bottom w:val="none" w:sz="0" w:space="0" w:color="auto"/>
                            <w:right w:val="none" w:sz="0" w:space="0" w:color="auto"/>
                          </w:divBdr>
                        </w:div>
                      </w:divsChild>
                    </w:div>
                    <w:div w:id="10862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779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19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5B30C-5ED5-4BBD-A212-63BC3ED3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6647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Preface</vt:lpstr>
    </vt:vector>
  </TitlesOfParts>
  <Company>CSU</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Cermakova</dc:creator>
  <cp:keywords/>
  <dc:description/>
  <cp:lastModifiedBy>Dohnal1452</cp:lastModifiedBy>
  <cp:revision>2</cp:revision>
  <cp:lastPrinted>2010-07-27T15:09:00Z</cp:lastPrinted>
  <dcterms:created xsi:type="dcterms:W3CDTF">2014-02-18T10:26:00Z</dcterms:created>
  <dcterms:modified xsi:type="dcterms:W3CDTF">2014-02-18T10:26:00Z</dcterms:modified>
</cp:coreProperties>
</file>