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1E" w:rsidRPr="006A569C" w:rsidRDefault="00FC0370" w:rsidP="006A569C">
      <w:pPr>
        <w:numPr>
          <w:ilvl w:val="0"/>
          <w:numId w:val="1"/>
        </w:numPr>
        <w:spacing w:line="288" w:lineRule="auto"/>
        <w:outlineLvl w:val="0"/>
        <w:rPr>
          <w:rFonts w:ascii="Arial" w:hAnsi="Arial" w:cs="Arial"/>
          <w:b/>
          <w:color w:val="0071BC"/>
          <w:sz w:val="32"/>
          <w:szCs w:val="20"/>
          <w:lang w:val="cs-CZ"/>
        </w:rPr>
      </w:pPr>
      <w:bookmarkStart w:id="0" w:name="_Toc403568304"/>
      <w:bookmarkStart w:id="1" w:name="_Hlk497822533"/>
      <w:r w:rsidRPr="006A569C">
        <w:rPr>
          <w:rFonts w:ascii="Arial" w:hAnsi="Arial" w:cs="Arial"/>
          <w:b/>
          <w:color w:val="0071BC"/>
          <w:sz w:val="32"/>
          <w:szCs w:val="20"/>
          <w:lang w:val="cs-CZ"/>
        </w:rPr>
        <w:t>Struktura zemědělských podniků v rozlišení podle typů výrobního zaměření</w:t>
      </w:r>
      <w:bookmarkEnd w:id="0"/>
      <w:r w:rsidRPr="006A569C">
        <w:rPr>
          <w:rFonts w:ascii="Arial" w:hAnsi="Arial" w:cs="Arial"/>
          <w:b/>
          <w:color w:val="0071BC"/>
          <w:sz w:val="32"/>
          <w:szCs w:val="20"/>
          <w:lang w:val="cs-CZ"/>
        </w:rPr>
        <w:t xml:space="preserve"> </w:t>
      </w:r>
    </w:p>
    <w:p w:rsidR="00BA7B1E" w:rsidRPr="008A11B4" w:rsidRDefault="00BA7B1E" w:rsidP="00FC0370">
      <w:pPr>
        <w:spacing w:line="288" w:lineRule="auto"/>
        <w:ind w:left="360"/>
        <w:rPr>
          <w:rFonts w:ascii="Arial" w:hAnsi="Arial" w:cs="Arial"/>
          <w:b/>
          <w:sz w:val="20"/>
          <w:szCs w:val="20"/>
          <w:lang w:val="cs-CZ"/>
        </w:rPr>
      </w:pPr>
    </w:p>
    <w:p w:rsidR="00BA7B1E" w:rsidRPr="008A11B4" w:rsidRDefault="00BA7B1E" w:rsidP="00FC0370">
      <w:pPr>
        <w:spacing w:line="288" w:lineRule="auto"/>
        <w:ind w:firstLine="539"/>
        <w:jc w:val="both"/>
        <w:rPr>
          <w:rFonts w:ascii="Arial" w:hAnsi="Arial" w:cs="Arial"/>
          <w:sz w:val="20"/>
          <w:szCs w:val="20"/>
          <w:lang w:val="cs-CZ"/>
        </w:rPr>
      </w:pPr>
      <w:r w:rsidRPr="008A11B4">
        <w:rPr>
          <w:rFonts w:ascii="Arial" w:hAnsi="Arial" w:cs="Arial"/>
          <w:sz w:val="20"/>
          <w:szCs w:val="20"/>
          <w:lang w:val="cs-CZ"/>
        </w:rPr>
        <w:t xml:space="preserve">Klasifikační systém zemědělských podniků EU </w:t>
      </w:r>
      <w:r w:rsidR="00EC49A7" w:rsidRPr="008A11B4">
        <w:rPr>
          <w:rFonts w:ascii="Arial" w:hAnsi="Arial" w:cs="Arial"/>
          <w:sz w:val="20"/>
          <w:szCs w:val="20"/>
          <w:lang w:val="cs-CZ"/>
        </w:rPr>
        <w:t>umožňuje</w:t>
      </w:r>
      <w:r w:rsidRPr="008A11B4">
        <w:rPr>
          <w:rFonts w:ascii="Arial" w:hAnsi="Arial" w:cs="Arial"/>
          <w:sz w:val="20"/>
          <w:szCs w:val="20"/>
          <w:lang w:val="cs-CZ"/>
        </w:rPr>
        <w:t xml:space="preserve"> zmapování aktuální struktury českého zemědělství z hlediska typů jednotlivých výrobních specializací. Základní informaci o počtech podniků v jednotlivých krajích v rámci výrobních zaměření poskytuje příloha B1. Z výsledků strukturálního šetření je zřejmé, že dominantními výrobními specializacemi jsou, celkově v České republice a zároveň i v převážné většině krajů, výrobní zaměření chov zvířat zkrmujících objemnou píci, polní výroba a smíšená výroba. Výsledky dále ukazují, že zastoupení výrobních zaměření v jednotlivých regionech je rozhodujícím způsobem ovlivňováno půdně-klimatickými a ekonomickými faktory.</w:t>
      </w:r>
    </w:p>
    <w:p w:rsidR="00BA7B1E" w:rsidRPr="008A11B4" w:rsidRDefault="00BA7B1E" w:rsidP="00FC0370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  <w:r w:rsidRPr="008A11B4">
        <w:rPr>
          <w:rFonts w:ascii="Arial" w:hAnsi="Arial" w:cs="Arial"/>
          <w:sz w:val="20"/>
          <w:szCs w:val="20"/>
        </w:rPr>
        <w:t xml:space="preserve">Nejpočetněji zastoupené výrobní zaměření českého zemědělství představuje </w:t>
      </w:r>
      <w:r w:rsidRPr="008A11B4">
        <w:rPr>
          <w:rFonts w:ascii="Arial" w:hAnsi="Arial" w:cs="Arial"/>
          <w:b/>
          <w:sz w:val="20"/>
          <w:szCs w:val="20"/>
        </w:rPr>
        <w:t xml:space="preserve">chov zvířat zkrmujících objemnou píci. </w:t>
      </w:r>
      <w:r w:rsidRPr="008A11B4">
        <w:rPr>
          <w:rFonts w:ascii="Arial" w:hAnsi="Arial" w:cs="Arial"/>
          <w:sz w:val="20"/>
          <w:szCs w:val="20"/>
        </w:rPr>
        <w:t>Rozvoj této výrobní specializace byl ovlivněn vysokou úrovní poskytovaných podpor a je spojovaný zejména s hospodařením v méně příznivých oblastech (LFA).</w:t>
      </w:r>
      <w:r w:rsidRPr="008A11B4">
        <w:rPr>
          <w:rFonts w:ascii="Arial" w:hAnsi="Arial" w:cs="Arial"/>
          <w:b/>
          <w:sz w:val="20"/>
          <w:szCs w:val="20"/>
        </w:rPr>
        <w:t xml:space="preserve"> </w:t>
      </w:r>
      <w:r w:rsidRPr="008A11B4">
        <w:rPr>
          <w:rFonts w:ascii="Arial" w:hAnsi="Arial" w:cs="Arial"/>
          <w:sz w:val="20"/>
          <w:szCs w:val="20"/>
        </w:rPr>
        <w:t>Zemědělské subjekty zaměřené na chov skotu, ovcí, koz a koní tvoří více než jednu třetinu všech zemědělských podniků ČR (34,6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%). Více než 70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 těchto subjektů však představují malá hospodářství, což je dáno velkým zastoupení fyzických osob (90,6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 v rámci této specializace. Zemědělské podniky zaměřené na chov zvířat zkrmujících objemnou píci obhospodařují necelou čtvrtinu (23,8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 zemědělského půdního fondu ČR. Podíl na celkovém počtu chovaných zvířat v přepočtu na DJ činí u chovatelů zvířat zkrmujících objemnou píci 28,9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%. Z hlediska podílu na celkovém počtu zemědělských podniků v jednotlivých krajích je chov zvířat zkrmujících objemnou píci největší měrou zastoupen v Karlovarském kraji (67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%), v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Libereckém kraji (61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 a ve Zlínském kraji (52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%). Největší počet subjektů daného zaměření však hospodaří v Jihočeském kraji (1 465 zemědělských podniků).</w:t>
      </w:r>
    </w:p>
    <w:p w:rsidR="00EC49A7" w:rsidRDefault="00EC49A7" w:rsidP="00FC0370">
      <w:pPr>
        <w:pStyle w:val="Normlnweb"/>
        <w:tabs>
          <w:tab w:val="left" w:pos="360"/>
        </w:tabs>
        <w:spacing w:line="288" w:lineRule="auto"/>
        <w:ind w:firstLine="0"/>
        <w:rPr>
          <w:rFonts w:ascii="Arial" w:hAnsi="Arial" w:cs="Arial"/>
          <w:sz w:val="20"/>
          <w:szCs w:val="20"/>
        </w:rPr>
      </w:pPr>
    </w:p>
    <w:p w:rsidR="00BA7B1E" w:rsidRPr="008A11B4" w:rsidRDefault="00BA7B1E" w:rsidP="00FC0370">
      <w:pPr>
        <w:pStyle w:val="Normlnweb"/>
        <w:tabs>
          <w:tab w:val="left" w:pos="360"/>
        </w:tabs>
        <w:spacing w:line="288" w:lineRule="auto"/>
        <w:ind w:firstLine="0"/>
        <w:rPr>
          <w:rFonts w:ascii="Arial" w:hAnsi="Arial" w:cs="Arial"/>
          <w:sz w:val="20"/>
          <w:szCs w:val="20"/>
        </w:rPr>
      </w:pPr>
      <w:r w:rsidRPr="008A11B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2625" cy="3590925"/>
            <wp:effectExtent l="0" t="0" r="0" b="0"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B1E" w:rsidRPr="008A11B4" w:rsidRDefault="00BA7B1E" w:rsidP="00FC0370">
      <w:pPr>
        <w:pStyle w:val="Normlnweb"/>
        <w:tabs>
          <w:tab w:val="left" w:pos="360"/>
        </w:tabs>
        <w:spacing w:line="288" w:lineRule="auto"/>
        <w:ind w:firstLine="0"/>
        <w:rPr>
          <w:rFonts w:ascii="Arial" w:hAnsi="Arial" w:cs="Arial"/>
          <w:sz w:val="20"/>
          <w:szCs w:val="20"/>
        </w:rPr>
      </w:pPr>
    </w:p>
    <w:p w:rsidR="00BA7B1E" w:rsidRPr="008A11B4" w:rsidRDefault="00BA7B1E" w:rsidP="00FC0370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  <w:r w:rsidRPr="008A11B4">
        <w:rPr>
          <w:rFonts w:ascii="Arial" w:hAnsi="Arial" w:cs="Arial"/>
          <w:sz w:val="20"/>
          <w:szCs w:val="20"/>
        </w:rPr>
        <w:t xml:space="preserve"> V detailním členění (podle hlavních typů výrobního zaměření) tvoří výrobní specializaci chov zvířat zkrmujících objemnou píci zemědělské subjekty zaměřené na produkci mléka (9,9 %), odchov a výkrm skotu (41,3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%), kombinovaný chov skotu (3,1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 a chov ovcí, koz a koní (45,7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 xml:space="preserve">%). Nejintenzivnější formou </w:t>
      </w:r>
      <w:r w:rsidRPr="008A11B4">
        <w:rPr>
          <w:rFonts w:ascii="Arial" w:hAnsi="Arial" w:cs="Arial"/>
          <w:sz w:val="20"/>
          <w:szCs w:val="20"/>
        </w:rPr>
        <w:lastRenderedPageBreak/>
        <w:t>produkce se vyznačují mléčné farmy. Producenti mléka se podílí 43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 na celkovém počtu dobytčích jednotek dané specializace. Průměrná intenzita chovu činí u subjektů zaměřených na produkci mléka 223 dobytčích jednotek na podnik. Dalším významným výrobním zaměřením je odchov a výkrm skotu, které v rámci zkoumané výrobní specializace hospodaří na 50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 výměry zemědělské půdy a disponují, stejně jako mléčné farmy, 43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 dobytčích jednotek. Ve vyjádření na podnik připadá na subjekty specializované na výkrm a odchov skotu v průměru 54 dobytčích jednotek. Z hlediska počtu podniků je nejvíce zastoupenou skupinou výrobní zaměření chov ovcí, koz a ostatních zvířat zkrmujících objemnou píci (4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197 subjektů). Ve většině případů se však jedná o velmi malé subjekty, jejichž vliv na ekonomiku zemědělského sektoru není významný. Malé podniky se podílí na celkovém počtu chovatelů ovcí, koz a koní 94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%.</w:t>
      </w:r>
    </w:p>
    <w:p w:rsidR="00BA7B1E" w:rsidRPr="008A11B4" w:rsidRDefault="00BA7B1E" w:rsidP="00FC0370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  <w:r w:rsidRPr="008A11B4">
        <w:rPr>
          <w:rFonts w:ascii="Arial" w:hAnsi="Arial" w:cs="Arial"/>
          <w:sz w:val="20"/>
          <w:szCs w:val="20"/>
        </w:rPr>
        <w:t xml:space="preserve">Významnou výrobní specializaci představuje </w:t>
      </w:r>
      <w:r w:rsidRPr="008A11B4">
        <w:rPr>
          <w:rFonts w:ascii="Arial" w:hAnsi="Arial" w:cs="Arial"/>
          <w:b/>
          <w:sz w:val="20"/>
          <w:szCs w:val="20"/>
        </w:rPr>
        <w:t>polní výroba</w:t>
      </w:r>
      <w:r w:rsidRPr="008A11B4">
        <w:rPr>
          <w:rFonts w:ascii="Arial" w:hAnsi="Arial" w:cs="Arial"/>
          <w:sz w:val="20"/>
          <w:szCs w:val="20"/>
        </w:rPr>
        <w:t>, která podstatným způsobem ovlivňuje ekonomiku českého zemědělství. Celkově se na polní výrobu specializuje necelá třetina všech zemědělských podniků (30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%). Podíl polní výroby na celkové výměře zemědělské půdy činí 35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%. Z hlediska právní formy převládají v rámci výrobního zaměření polní výroba fyzické osoby (88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%), zbývajících 12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 tvoří podniky právnických osob. Z pohledu velikostní struktury u podniků zaměřených na polní výrobu převažují středně velké subjekty (47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%). Co se týká regionálního rozložení, tradiční základnu s největším počtem podniků polní výroby představuje Středočeský kraj (1 749 subjektů), kde je, ponecháme-li stranou hlavní město Prahu, také největší podíl podniků této specializace (52 %). Významnou roli hraje polní výroba také na Vysočině (1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039 subjektů) a v Jihomoravském kraji (829 subjektů). Obecně lze konstatovat, že regiony vhodné pro pěstování polních plodin jsou přirozeným způsobem vymezeny nadmořskou výškou a půdně-klimatickými podmínkami.</w:t>
      </w:r>
    </w:p>
    <w:p w:rsidR="00BA7B1E" w:rsidRPr="008A11B4" w:rsidRDefault="00BA7B1E" w:rsidP="00FC0370">
      <w:pPr>
        <w:pStyle w:val="Normlnweb"/>
        <w:tabs>
          <w:tab w:val="left" w:pos="360"/>
        </w:tabs>
        <w:spacing w:line="288" w:lineRule="auto"/>
        <w:ind w:firstLine="0"/>
        <w:rPr>
          <w:rFonts w:ascii="Arial" w:hAnsi="Arial" w:cs="Arial"/>
          <w:noProof/>
          <w:sz w:val="20"/>
          <w:szCs w:val="20"/>
        </w:rPr>
      </w:pPr>
      <w:r w:rsidRPr="008A11B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2625" cy="3590925"/>
            <wp:effectExtent l="0" t="0" r="0" b="0"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B1E" w:rsidRPr="008A11B4" w:rsidRDefault="00BA7B1E" w:rsidP="00FC0370">
      <w:pPr>
        <w:pStyle w:val="Normlnweb"/>
        <w:spacing w:line="288" w:lineRule="auto"/>
        <w:rPr>
          <w:rFonts w:ascii="Arial" w:hAnsi="Arial" w:cs="Arial"/>
          <w:sz w:val="20"/>
          <w:szCs w:val="20"/>
        </w:rPr>
      </w:pPr>
      <w:r w:rsidRPr="008A11B4">
        <w:rPr>
          <w:rFonts w:ascii="Arial" w:hAnsi="Arial" w:cs="Arial"/>
          <w:sz w:val="20"/>
          <w:szCs w:val="20"/>
        </w:rPr>
        <w:t>Výrobní zaměření polní výroba se v podrobném rozlišení skládá z podniků specializovaných na pěstování obilovin, olejnin a bílkovinných plodin a z podniků zabývajících se všeobecnou polní výrobou (kombinace polních plodin, okopaniny, polní zelenina). Více než dvě třetiny podniků zkoumané specializace (69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 tvoří subjekty zaměřené na pěstování obilovin a olejnin, přičemž tyto podniky obhospodařují v rámci výrobního zaměření polní výroba 77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 zemědělské půdy. Zbývajících 31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 subjektů je klasifikováno jako všeobecná polní výroba. U skupiny podniků zaměřených na pěstování obilovin a olejnin byl zaznamenán menší podíl podniků malé ekonomické velikosti (41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%), průměrná výměra celkově za tuto skupinu činí 167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ha/podnik. V rámci všeobecné polní výroby spadá více než polovina subjektů do kategorie malých podniků (54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%), z čehož vyplývá i nižší průměrná výměra z.</w:t>
      </w:r>
      <w:r w:rsidR="00EC49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A11B4">
        <w:rPr>
          <w:rFonts w:ascii="Arial" w:hAnsi="Arial" w:cs="Arial"/>
          <w:sz w:val="20"/>
          <w:szCs w:val="20"/>
        </w:rPr>
        <w:t>p.</w:t>
      </w:r>
      <w:proofErr w:type="gramEnd"/>
      <w:r w:rsidRPr="008A11B4">
        <w:rPr>
          <w:rFonts w:ascii="Arial" w:hAnsi="Arial" w:cs="Arial"/>
          <w:sz w:val="20"/>
          <w:szCs w:val="20"/>
        </w:rPr>
        <w:t xml:space="preserve"> (112 ha/podnik).</w:t>
      </w:r>
    </w:p>
    <w:p w:rsidR="00BA7B1E" w:rsidRPr="008A11B4" w:rsidRDefault="00BA7B1E" w:rsidP="00FC0370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  <w:r w:rsidRPr="008A11B4">
        <w:rPr>
          <w:rFonts w:ascii="Arial" w:hAnsi="Arial" w:cs="Arial"/>
          <w:sz w:val="20"/>
          <w:szCs w:val="20"/>
        </w:rPr>
        <w:lastRenderedPageBreak/>
        <w:t xml:space="preserve">Výrobní zaměření </w:t>
      </w:r>
      <w:r w:rsidRPr="008A11B4">
        <w:rPr>
          <w:rFonts w:ascii="Arial" w:hAnsi="Arial" w:cs="Arial"/>
          <w:b/>
          <w:sz w:val="20"/>
          <w:szCs w:val="20"/>
        </w:rPr>
        <w:t>smíšená výroba</w:t>
      </w:r>
      <w:r w:rsidRPr="008A11B4">
        <w:rPr>
          <w:rFonts w:ascii="Arial" w:hAnsi="Arial" w:cs="Arial"/>
          <w:sz w:val="20"/>
          <w:szCs w:val="20"/>
        </w:rPr>
        <w:t xml:space="preserve"> je z převážné většiny tvořena podniky specializovanými na kombinaci rostlinné a živočišné výroby. V menším měřítku jsou zde zastoupeny i podniky, které se věnují smíšené rostlinné výrobě, nebo smíšené živočišné výrobě. S celkovým počtem 5 387 zemědělských subjektů představuje smíšená výroba třetí nejpočetnější výrobní zaměření. Vzhledem k významnému podílu velkých podniků právnických osob (13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 z celkového počtu podniků smíšené výroby) má toto výrobní zaměření rozhodující vliv na tvorbu zemědělské produkce v ČR. Podniky zkoumané specializace soustřeďují 40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 z celkové výměry zemědělské půdy a 43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 z celkového počtu dobytčích jednotek v ČR. Smíšená výroba je dlouhodobě nejvíce zastoupena na Vysočině (celkem 729 subjektů) s téměř třetinovým podílem (29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 na celkovém počtu zemědělských podniků v tomto regionu. Významnou pozici má toto výrobní zaměření také ve Středočeském kraji (704 subjektů) a v Jihočeském kraji (700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subjektů). S výjimkou Karlovarského, Jihomoravského, Libereckého a Ústeckého a Zlínského kraje se v ostatních regionech pohybuje podíl podniků smíšené výroby mezi 20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 až 30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%.</w:t>
      </w:r>
    </w:p>
    <w:p w:rsidR="00BA7B1E" w:rsidRPr="008A11B4" w:rsidRDefault="00BA7B1E" w:rsidP="00FC0370">
      <w:pPr>
        <w:pStyle w:val="Normlnweb"/>
        <w:tabs>
          <w:tab w:val="left" w:pos="360"/>
        </w:tabs>
        <w:spacing w:line="288" w:lineRule="auto"/>
        <w:ind w:firstLine="0"/>
        <w:rPr>
          <w:rFonts w:ascii="Arial" w:hAnsi="Arial" w:cs="Arial"/>
          <w:sz w:val="20"/>
          <w:szCs w:val="20"/>
        </w:rPr>
      </w:pPr>
      <w:r w:rsidRPr="008A11B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2625" cy="3590925"/>
            <wp:effectExtent l="0" t="0" r="0" b="0"/>
            <wp:docPr id="5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B1E" w:rsidRPr="008A11B4" w:rsidRDefault="00BA7B1E" w:rsidP="00FC0370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  <w:r w:rsidRPr="008A11B4">
        <w:rPr>
          <w:rFonts w:ascii="Arial" w:hAnsi="Arial" w:cs="Arial"/>
          <w:sz w:val="20"/>
          <w:szCs w:val="20"/>
        </w:rPr>
        <w:t>V rámci skupiny zemědělských podniků zaměřených na smíšenou výrobu převažuje z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hlediska počtu subjektů výrobní specializace polní výroba a chov zvířat zkrmujících objemnou píci (59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%), následuje skupina podniků kombinující různé druhy rostlinné a živočišné výroby (21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%), dále smíšený chov s převahou zvířat zkrmujících objemnou píci (12 %), smíšená rostlinná výroba (5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 a smíšený chov s převahou zvířat krmených jadrným krmivem (3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%). Podniky zaměřené na kombinaci polní výroby a chovu skotu se rozhodujícím způsobem podílí na produkci dané specializace s podíly na výměře zemědělské půdy (74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 a počtu dobytčích jednotek (65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%). Subjekty specializované na polní výrobu a chov skotu dosahují průměrné výměry 320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ha/podnik a počtu dobytčích jednotek 141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DJ/podnik.</w:t>
      </w:r>
    </w:p>
    <w:p w:rsidR="00BA7B1E" w:rsidRPr="008A11B4" w:rsidRDefault="00BA7B1E" w:rsidP="00FC0370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  <w:r w:rsidRPr="008A11B4">
        <w:rPr>
          <w:rFonts w:ascii="Arial" w:hAnsi="Arial" w:cs="Arial"/>
          <w:sz w:val="20"/>
          <w:szCs w:val="20"/>
        </w:rPr>
        <w:t xml:space="preserve">V důsledku dlouhodobé krize v sektoru chovu prasat pokračovalo snižování počtu podniků zaměřených na </w:t>
      </w:r>
      <w:r w:rsidRPr="008A11B4">
        <w:rPr>
          <w:rFonts w:ascii="Arial" w:hAnsi="Arial" w:cs="Arial"/>
          <w:b/>
          <w:sz w:val="20"/>
          <w:szCs w:val="20"/>
        </w:rPr>
        <w:t>chov zvířat krmených jadrným krmivem</w:t>
      </w:r>
      <w:r w:rsidRPr="008A11B4">
        <w:rPr>
          <w:rFonts w:ascii="Arial" w:hAnsi="Arial" w:cs="Arial"/>
          <w:sz w:val="20"/>
          <w:szCs w:val="20"/>
        </w:rPr>
        <w:t>. Strukturální šetření 2016 zahrnovalo celkem 351 subjektů této výrobní specializace. Dané výrobní zaměření se vyznačuje vysokým zastoupení právnických osob (42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 a z toho plynoucím významným podílem velkých podniků (36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%). Pro chovatele prasat a drůbeže je typická vysoká intenzita živočišné výroby. Na jeden podnik dané specializace připadá v průměru 1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108 dobytčích jednotek. Podniky zaměřené na chov prasat a drůbeže se podílí na celkovém množství dobytčích jednotek v ČR 24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 xml:space="preserve">%. </w:t>
      </w:r>
    </w:p>
    <w:p w:rsidR="00BA7B1E" w:rsidRPr="008A11B4" w:rsidRDefault="00BA7B1E" w:rsidP="00FC0370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  <w:r w:rsidRPr="008A11B4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762625" cy="3590925"/>
            <wp:effectExtent l="0" t="0" r="0" b="0"/>
            <wp:docPr id="6" name="obráze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B1E" w:rsidRPr="008A11B4" w:rsidRDefault="00BA7B1E" w:rsidP="00FC0370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  <w:r w:rsidRPr="008A11B4">
        <w:rPr>
          <w:rFonts w:ascii="Arial" w:hAnsi="Arial" w:cs="Arial"/>
          <w:sz w:val="20"/>
          <w:szCs w:val="20"/>
        </w:rPr>
        <w:t>Výrobní zaměření chov zvířat krmených jadrným krmivem je v podrobnějším členění tvořeno chovateli prasat (43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%), chovateli drůbeže (44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 a dále podniky chovatelů různých druhů zvířat krmených jadrným krmivem, tzn. kombinace chovu prasat a drůbeže (13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 xml:space="preserve">%). </w:t>
      </w:r>
    </w:p>
    <w:p w:rsidR="00BA7B1E" w:rsidRPr="008A11B4" w:rsidRDefault="00BA7B1E" w:rsidP="00FC0370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  <w:r w:rsidRPr="008A11B4">
        <w:rPr>
          <w:rFonts w:ascii="Arial" w:hAnsi="Arial" w:cs="Arial"/>
          <w:sz w:val="20"/>
          <w:szCs w:val="20"/>
        </w:rPr>
        <w:t xml:space="preserve">Podniky výrobního zaměření </w:t>
      </w:r>
      <w:r w:rsidRPr="008A11B4">
        <w:rPr>
          <w:rFonts w:ascii="Arial" w:hAnsi="Arial" w:cs="Arial"/>
          <w:b/>
          <w:sz w:val="20"/>
          <w:szCs w:val="20"/>
        </w:rPr>
        <w:t>zahradnictví a trvalé kultury</w:t>
      </w:r>
      <w:r w:rsidRPr="008A11B4">
        <w:rPr>
          <w:rFonts w:ascii="Arial" w:hAnsi="Arial" w:cs="Arial"/>
          <w:sz w:val="20"/>
          <w:szCs w:val="20"/>
        </w:rPr>
        <w:t xml:space="preserve"> vytvářejí, i přes marginální podíl na celkové výměře zemědělské půdy (1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%), významnou součást zemědělské produkce. V rámci daného specializace převládají fyzické osoby (91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%), z čehož plyne i vysoký podíl podniků malé ekonomické velikosti (70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%). V průměru vykazují podniky tohoto výrobního zaměření výměru obhospodařované půdy 11 ha/podnik. Regionální rozmístění je v nejvyšší možné míře předurčeno půdně-klimatickými podmínkami, výroba je soustředěna do tradičních vinařských a ovocnářských oblastí. Výlučné postavení má v tomto směru Jihomoravský kraj, kde je pěstování trvalých kultur a zahradnictví převládajícím výrobním zaměření (62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 zemědělských subjektů v tomto kraji). V Jihomoravském kraji se pěstováním trvalých kultur, případně zahradnictvím zabývá celkem 2 321 zemědělských subjektů, což představuje přibližně dvě třetiny (66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 xml:space="preserve">%) z celkového počtu takto zaměřených podniků v ČR. </w:t>
      </w:r>
    </w:p>
    <w:p w:rsidR="00BA7B1E" w:rsidRPr="008A11B4" w:rsidRDefault="00BA7B1E" w:rsidP="00FC0370">
      <w:pPr>
        <w:pStyle w:val="Normlnweb"/>
        <w:tabs>
          <w:tab w:val="left" w:pos="360"/>
        </w:tabs>
        <w:spacing w:line="288" w:lineRule="auto"/>
        <w:ind w:firstLine="142"/>
        <w:rPr>
          <w:rFonts w:ascii="Arial" w:hAnsi="Arial" w:cs="Arial"/>
          <w:sz w:val="20"/>
          <w:szCs w:val="20"/>
        </w:rPr>
      </w:pPr>
      <w:r w:rsidRPr="008A11B4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762625" cy="3590925"/>
            <wp:effectExtent l="0" t="0" r="0" b="0"/>
            <wp:docPr id="7" name="obrázek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B1E" w:rsidRPr="008A11B4" w:rsidRDefault="00BA7B1E" w:rsidP="00FC0370">
      <w:pPr>
        <w:pStyle w:val="Normlnweb"/>
        <w:spacing w:line="288" w:lineRule="auto"/>
        <w:ind w:firstLine="0"/>
        <w:rPr>
          <w:rFonts w:ascii="Arial" w:hAnsi="Arial" w:cs="Arial"/>
          <w:sz w:val="20"/>
          <w:szCs w:val="20"/>
        </w:rPr>
      </w:pPr>
      <w:r w:rsidRPr="008A11B4">
        <w:rPr>
          <w:rFonts w:ascii="Arial" w:hAnsi="Arial" w:cs="Arial"/>
          <w:sz w:val="20"/>
          <w:szCs w:val="20"/>
        </w:rPr>
        <w:t xml:space="preserve">             Strukturální šetření 2016 zahrnovalo celkem 406 subjektů specializovaných na zahradnictví. Necelá polovina těchto podniků (46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 se zaměřuje na polní zahradnictví, zbývající subjekty (54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 xml:space="preserve">%) spadají do ostatního zahradnictví. Výrobní zaměření ostatní zahradnictví tvoří subjekty specializované na </w:t>
      </w:r>
      <w:proofErr w:type="spellStart"/>
      <w:r w:rsidRPr="008A11B4">
        <w:rPr>
          <w:rFonts w:ascii="Arial" w:hAnsi="Arial" w:cs="Arial"/>
          <w:sz w:val="20"/>
          <w:szCs w:val="20"/>
        </w:rPr>
        <w:t>školkařství</w:t>
      </w:r>
      <w:proofErr w:type="spellEnd"/>
      <w:r w:rsidRPr="008A11B4">
        <w:rPr>
          <w:rFonts w:ascii="Arial" w:hAnsi="Arial" w:cs="Arial"/>
          <w:sz w:val="20"/>
          <w:szCs w:val="20"/>
        </w:rPr>
        <w:t>, pěstování hub apod. Podniky specializované na pěstování zeleniny a okrasných květin ve vnitřních prostorech (skleníky, fóliovníky atd.) nebyly v rámci strukturálního šetření zastoupeny.</w:t>
      </w:r>
    </w:p>
    <w:p w:rsidR="00BA7B1E" w:rsidRPr="008A11B4" w:rsidRDefault="00BA7B1E" w:rsidP="00FC0370">
      <w:pPr>
        <w:pStyle w:val="Normlnweb"/>
        <w:spacing w:line="288" w:lineRule="auto"/>
        <w:ind w:firstLine="0"/>
        <w:rPr>
          <w:rFonts w:ascii="Arial" w:hAnsi="Arial" w:cs="Arial"/>
          <w:sz w:val="20"/>
          <w:szCs w:val="20"/>
        </w:rPr>
      </w:pPr>
      <w:r w:rsidRPr="008A11B4">
        <w:rPr>
          <w:rFonts w:ascii="Arial" w:hAnsi="Arial" w:cs="Arial"/>
          <w:sz w:val="20"/>
          <w:szCs w:val="20"/>
        </w:rPr>
        <w:t xml:space="preserve">       Početnější skupinu představují podniky specializované na pěstování trvalých kultur (celkem 3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099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subjektů), kde téměř více než dvě třetiny (68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 tvoří vinařské podniky. Významný podíl dále zaujímají ovocnářské podniky (27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%). Zbývajících 5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 podniků se zabývá pěstováním různých trvalých kultur. Více než tři čtvrtiny (76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%) z vinařských podniků tvoří malá vinařství. Průměrná výměra obhospodařované zemědělské půdy činí v rámci této specializace 8 ha/podnik. U ovocnářských podniků se malé podniky podílí na celkovém počtu subjektů této specializace 72</w:t>
      </w:r>
      <w:r w:rsidR="00EC49A7">
        <w:rPr>
          <w:rFonts w:ascii="Arial" w:hAnsi="Arial" w:cs="Arial"/>
          <w:sz w:val="20"/>
          <w:szCs w:val="20"/>
        </w:rPr>
        <w:t> </w:t>
      </w:r>
      <w:r w:rsidRPr="008A11B4">
        <w:rPr>
          <w:rFonts w:ascii="Arial" w:hAnsi="Arial" w:cs="Arial"/>
          <w:sz w:val="20"/>
          <w:szCs w:val="20"/>
        </w:rPr>
        <w:t>%. Podniky zaměřené na pěstování ovoce hospodaří v průměru na 16 ha/podnik.</w:t>
      </w:r>
    </w:p>
    <w:p w:rsidR="00BA7B1E" w:rsidRPr="008A11B4" w:rsidRDefault="00BA7B1E" w:rsidP="00FC0370">
      <w:pPr>
        <w:pStyle w:val="Normlnweb"/>
        <w:tabs>
          <w:tab w:val="left" w:pos="360"/>
        </w:tabs>
        <w:spacing w:line="288" w:lineRule="auto"/>
        <w:rPr>
          <w:rFonts w:ascii="Arial" w:hAnsi="Arial" w:cs="Arial"/>
          <w:sz w:val="20"/>
          <w:szCs w:val="20"/>
        </w:rPr>
      </w:pPr>
      <w:r w:rsidRPr="008A11B4">
        <w:rPr>
          <w:rFonts w:ascii="Arial" w:hAnsi="Arial" w:cs="Arial"/>
          <w:sz w:val="20"/>
          <w:szCs w:val="20"/>
        </w:rPr>
        <w:t xml:space="preserve">Strukturální šetření v zemědělství 2016 zahrnovalo celkem 91 </w:t>
      </w:r>
      <w:r w:rsidRPr="008A11B4">
        <w:rPr>
          <w:rFonts w:ascii="Arial" w:hAnsi="Arial" w:cs="Arial"/>
          <w:b/>
          <w:sz w:val="20"/>
          <w:szCs w:val="20"/>
        </w:rPr>
        <w:t>neklasifikovaných subjektů</w:t>
      </w:r>
      <w:r w:rsidRPr="008A11B4">
        <w:rPr>
          <w:rFonts w:ascii="Arial" w:hAnsi="Arial" w:cs="Arial"/>
          <w:sz w:val="20"/>
          <w:szCs w:val="20"/>
        </w:rPr>
        <w:t xml:space="preserve">, u kterých nebylo možné určit typ výrobního zaměření a třídu ekonomické velikosti. Jedná se o podnikatele, kteří vykazují pouze půdu ležící ladem. Na základně metodiky klasifikačního systému EU je pro takovéto formy hospodaření stanovena nulová hodnota standardní produkce a není tedy možné jejich zařazení do některé ze skupin výrobního zaměření, či ekonomické velikosti.        </w:t>
      </w:r>
    </w:p>
    <w:bookmarkEnd w:id="1"/>
    <w:p w:rsidR="00BA7B1E" w:rsidRPr="008A11B4" w:rsidRDefault="00BA7B1E" w:rsidP="00FC0370">
      <w:pPr>
        <w:spacing w:line="288" w:lineRule="auto"/>
        <w:ind w:left="360"/>
        <w:outlineLvl w:val="0"/>
        <w:rPr>
          <w:rFonts w:ascii="Arial" w:hAnsi="Arial" w:cs="Arial"/>
          <w:b/>
          <w:sz w:val="20"/>
          <w:szCs w:val="20"/>
          <w:lang w:val="cs-CZ"/>
        </w:rPr>
      </w:pPr>
    </w:p>
    <w:sectPr w:rsidR="00BA7B1E" w:rsidRPr="008A11B4" w:rsidSect="00494E54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BBF" w:rsidRDefault="005B6BBF" w:rsidP="007C7A1F">
      <w:r>
        <w:separator/>
      </w:r>
    </w:p>
  </w:endnote>
  <w:endnote w:type="continuationSeparator" w:id="0">
    <w:p w:rsidR="005B6BBF" w:rsidRDefault="005B6BBF" w:rsidP="007C7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BBF" w:rsidRDefault="005B6BBF" w:rsidP="007C7A1F">
      <w:r>
        <w:separator/>
      </w:r>
    </w:p>
  </w:footnote>
  <w:footnote w:type="continuationSeparator" w:id="0">
    <w:p w:rsidR="005B6BBF" w:rsidRDefault="005B6BBF" w:rsidP="007C7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4484"/>
    <w:multiLevelType w:val="hybridMultilevel"/>
    <w:tmpl w:val="A30EBF22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2C7575"/>
    <w:multiLevelType w:val="multilevel"/>
    <w:tmpl w:val="AE4AED26"/>
    <w:numStyleLink w:val="Styl1"/>
  </w:abstractNum>
  <w:abstractNum w:abstractNumId="2">
    <w:nsid w:val="5E52469B"/>
    <w:multiLevelType w:val="multilevel"/>
    <w:tmpl w:val="AE4AED26"/>
    <w:styleLink w:val="Styl1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1B416D"/>
    <w:multiLevelType w:val="hybridMultilevel"/>
    <w:tmpl w:val="61987278"/>
    <w:lvl w:ilvl="0" w:tplc="5970B0B2">
      <w:start w:val="1"/>
      <w:numFmt w:val="bullet"/>
      <w:pStyle w:val="Sodrkami2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B1E"/>
    <w:rsid w:val="0015344C"/>
    <w:rsid w:val="001E2070"/>
    <w:rsid w:val="0020273C"/>
    <w:rsid w:val="002220CC"/>
    <w:rsid w:val="00251827"/>
    <w:rsid w:val="002E7DAA"/>
    <w:rsid w:val="003E55C8"/>
    <w:rsid w:val="00494E54"/>
    <w:rsid w:val="004C6804"/>
    <w:rsid w:val="004E569F"/>
    <w:rsid w:val="0054358D"/>
    <w:rsid w:val="00572787"/>
    <w:rsid w:val="005B6BBF"/>
    <w:rsid w:val="006A0A37"/>
    <w:rsid w:val="006A569C"/>
    <w:rsid w:val="006E6F9D"/>
    <w:rsid w:val="007769D1"/>
    <w:rsid w:val="007C7A1F"/>
    <w:rsid w:val="00963BA8"/>
    <w:rsid w:val="009A47E5"/>
    <w:rsid w:val="009D1BE1"/>
    <w:rsid w:val="00AB62F4"/>
    <w:rsid w:val="00BA7B1E"/>
    <w:rsid w:val="00BE6563"/>
    <w:rsid w:val="00DF0ABD"/>
    <w:rsid w:val="00DF2BD8"/>
    <w:rsid w:val="00E5549B"/>
    <w:rsid w:val="00EC49A7"/>
    <w:rsid w:val="00EE4252"/>
    <w:rsid w:val="00F023E6"/>
    <w:rsid w:val="00F8243A"/>
    <w:rsid w:val="00FC0370"/>
    <w:rsid w:val="00FC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BA7B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BA7B1E"/>
    <w:pPr>
      <w:keepNext/>
      <w:spacing w:before="240" w:after="60" w:line="360" w:lineRule="auto"/>
      <w:ind w:firstLine="567"/>
      <w:jc w:val="both"/>
      <w:outlineLvl w:val="2"/>
    </w:pPr>
    <w:rPr>
      <w:rFonts w:ascii="Arial" w:hAnsi="Arial" w:cs="Arial"/>
      <w:b/>
      <w:bCs/>
      <w:sz w:val="26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7B1E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character" w:customStyle="1" w:styleId="Nadpis3Char">
    <w:name w:val="Nadpis 3 Char"/>
    <w:basedOn w:val="Standardnpsmoodstavce"/>
    <w:link w:val="Nadpis3"/>
    <w:rsid w:val="00BA7B1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rsid w:val="00BA7B1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A7B1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Znakapoznpodarou">
    <w:name w:val="footnote reference"/>
    <w:semiHidden/>
    <w:rsid w:val="00BA7B1E"/>
    <w:rPr>
      <w:vertAlign w:val="superscript"/>
    </w:rPr>
  </w:style>
  <w:style w:type="paragraph" w:styleId="Zpat">
    <w:name w:val="footer"/>
    <w:basedOn w:val="Normln"/>
    <w:link w:val="ZpatChar"/>
    <w:rsid w:val="00BA7B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A7B1E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styleId="slostrnky">
    <w:name w:val="page number"/>
    <w:basedOn w:val="Standardnpsmoodstavce"/>
    <w:rsid w:val="00BA7B1E"/>
  </w:style>
  <w:style w:type="paragraph" w:styleId="Normlnweb">
    <w:name w:val="Normal (Web)"/>
    <w:basedOn w:val="Normln"/>
    <w:rsid w:val="00BA7B1E"/>
    <w:pPr>
      <w:spacing w:before="120" w:line="360" w:lineRule="auto"/>
      <w:ind w:firstLine="567"/>
      <w:jc w:val="both"/>
    </w:pPr>
    <w:rPr>
      <w:lang w:val="cs-CZ"/>
    </w:rPr>
  </w:style>
  <w:style w:type="table" w:styleId="Mkatabulky">
    <w:name w:val="Table Grid"/>
    <w:basedOn w:val="Normlntabulka"/>
    <w:rsid w:val="00BA7B1E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drkami2">
    <w:name w:val="S odrážkami 2"/>
    <w:basedOn w:val="Normln"/>
    <w:rsid w:val="00BA7B1E"/>
    <w:pPr>
      <w:numPr>
        <w:numId w:val="2"/>
      </w:numPr>
      <w:spacing w:before="120" w:line="360" w:lineRule="auto"/>
      <w:jc w:val="both"/>
    </w:pPr>
    <w:rPr>
      <w:lang w:val="cs-CZ"/>
    </w:rPr>
  </w:style>
  <w:style w:type="paragraph" w:styleId="Zhlav">
    <w:name w:val="header"/>
    <w:basedOn w:val="Normln"/>
    <w:link w:val="ZhlavChar"/>
    <w:rsid w:val="00BA7B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7B1E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Obsah1">
    <w:name w:val="toc 1"/>
    <w:basedOn w:val="Normln"/>
    <w:next w:val="Normln"/>
    <w:autoRedefine/>
    <w:uiPriority w:val="39"/>
    <w:rsid w:val="00BA7B1E"/>
    <w:pPr>
      <w:tabs>
        <w:tab w:val="left" w:pos="480"/>
        <w:tab w:val="right" w:leader="dot" w:pos="9060"/>
      </w:tabs>
      <w:spacing w:line="360" w:lineRule="auto"/>
    </w:pPr>
  </w:style>
  <w:style w:type="character" w:styleId="Hypertextovodkaz">
    <w:name w:val="Hyperlink"/>
    <w:uiPriority w:val="99"/>
    <w:rsid w:val="00BA7B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03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370"/>
    <w:rPr>
      <w:rFonts w:ascii="Tahoma" w:eastAsia="Times New Roman" w:hAnsi="Tahoma" w:cs="Tahoma"/>
      <w:sz w:val="16"/>
      <w:szCs w:val="16"/>
      <w:lang w:val="en-US" w:eastAsia="cs-CZ"/>
    </w:rPr>
  </w:style>
  <w:style w:type="numbering" w:customStyle="1" w:styleId="Styl1">
    <w:name w:val="Styl1"/>
    <w:uiPriority w:val="99"/>
    <w:rsid w:val="006A569C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1502</Words>
  <Characters>8865</Characters>
  <Application>Microsoft Office Word</Application>
  <DocSecurity>0</DocSecurity>
  <Lines>73</Lines>
  <Paragraphs>20</Paragraphs>
  <ScaleCrop>false</ScaleCrop>
  <Company>ČSÚ</Company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macova4870</dc:creator>
  <cp:lastModifiedBy>macova4870</cp:lastModifiedBy>
  <cp:revision>6</cp:revision>
  <dcterms:created xsi:type="dcterms:W3CDTF">2018-02-19T13:39:00Z</dcterms:created>
  <dcterms:modified xsi:type="dcterms:W3CDTF">2018-02-28T10:33:00Z</dcterms:modified>
</cp:coreProperties>
</file>