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A078C" w14:textId="62ECEAB3" w:rsidR="00E24893" w:rsidRPr="00AB410D" w:rsidRDefault="00E24893" w:rsidP="00E248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B410D">
        <w:rPr>
          <w:rFonts w:ascii="Arial" w:hAnsi="Arial" w:cs="Arial"/>
          <w:sz w:val="18"/>
          <w:szCs w:val="18"/>
        </w:rPr>
        <w:t xml:space="preserve">Vážené čtenářky, vážení čtenáři, </w:t>
      </w:r>
    </w:p>
    <w:p w14:paraId="02834D65" w14:textId="34CB2997" w:rsidR="00AB3B3A" w:rsidRPr="007F4124" w:rsidRDefault="00AB3B3A" w:rsidP="00AB3B3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7F4124">
        <w:rPr>
          <w:rFonts w:ascii="Arial" w:hAnsi="Arial" w:cs="Arial"/>
          <w:sz w:val="18"/>
          <w:szCs w:val="18"/>
        </w:rPr>
        <w:t>otevíráte již 32. vydání Statistické ročenky v novodobé historii České republiky. Její historie samozřejmě sahá mnohem hlouběji a navazuje na všechny dříve vydávané ročenky z doby československé. Tvoří tak ucelenou řadu publikací, které přinášejí na jednom místě nejpodstatnější informace ze všech důležitých oblastí života naší země a jejích obyvatel. Ačkoli dnes ve statistice využíváme řadu moderních nástrojů, jako jsou webové aplikace, on-line databáze, otevřená data či geoportály, význam Statistické ročenky trvá. A to i přesto, že počet tištěných výtisků se postupně snižuje a uživateli je stále více využívána její elektronická verze.</w:t>
      </w:r>
    </w:p>
    <w:p w14:paraId="023CD2C5" w14:textId="53D8B81E" w:rsidR="00AB3B3A" w:rsidRPr="007F4124" w:rsidRDefault="00AB3B3A" w:rsidP="00AB3B3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7F4124">
        <w:rPr>
          <w:rFonts w:ascii="Arial" w:hAnsi="Arial" w:cs="Arial"/>
          <w:sz w:val="18"/>
          <w:szCs w:val="18"/>
        </w:rPr>
        <w:t>Aktuální ročenka popisuje primárně jevy, které se odehrály v roce 2023. Jaký tedy tento rok byl? Na konci roku 2023 mělo Česko poprvé od konce druhé světové války více než 10,9 milionu obyvatel a přírůstek stěhováním (94,7 tisíce osob) byl, po přírůstku v roce 2022, druhý</w:t>
      </w:r>
      <w:r w:rsidR="00FF2ECC">
        <w:rPr>
          <w:rFonts w:ascii="Arial" w:hAnsi="Arial" w:cs="Arial"/>
          <w:sz w:val="18"/>
          <w:szCs w:val="18"/>
        </w:rPr>
        <w:t>m</w:t>
      </w:r>
      <w:r w:rsidRPr="007F4124">
        <w:rPr>
          <w:rFonts w:ascii="Arial" w:hAnsi="Arial" w:cs="Arial"/>
          <w:sz w:val="18"/>
          <w:szCs w:val="18"/>
        </w:rPr>
        <w:t xml:space="preserve"> nejvyšší</w:t>
      </w:r>
      <w:r w:rsidR="00FF2ECC">
        <w:rPr>
          <w:rFonts w:ascii="Arial" w:hAnsi="Arial" w:cs="Arial"/>
          <w:sz w:val="18"/>
          <w:szCs w:val="18"/>
        </w:rPr>
        <w:t>m</w:t>
      </w:r>
      <w:r w:rsidRPr="007F4124">
        <w:rPr>
          <w:rFonts w:ascii="Arial" w:hAnsi="Arial" w:cs="Arial"/>
          <w:sz w:val="18"/>
          <w:szCs w:val="18"/>
        </w:rPr>
        <w:t xml:space="preserve"> v poválečné historii Česka. V migračním saldu převládali občané U</w:t>
      </w:r>
      <w:r w:rsidR="00CD4F40">
        <w:rPr>
          <w:rFonts w:ascii="Arial" w:hAnsi="Arial" w:cs="Arial"/>
          <w:sz w:val="18"/>
          <w:szCs w:val="18"/>
        </w:rPr>
        <w:t>krajiny (75,2 tis.), následov</w:t>
      </w:r>
      <w:r w:rsidR="00664AD4">
        <w:rPr>
          <w:rFonts w:ascii="Arial" w:hAnsi="Arial" w:cs="Arial"/>
          <w:sz w:val="18"/>
          <w:szCs w:val="18"/>
        </w:rPr>
        <w:t>á</w:t>
      </w:r>
      <w:r w:rsidR="00CD4F40">
        <w:rPr>
          <w:rFonts w:ascii="Arial" w:hAnsi="Arial" w:cs="Arial"/>
          <w:sz w:val="18"/>
          <w:szCs w:val="18"/>
        </w:rPr>
        <w:t>ni</w:t>
      </w:r>
      <w:r w:rsidRPr="007F4124">
        <w:rPr>
          <w:rFonts w:ascii="Arial" w:hAnsi="Arial" w:cs="Arial"/>
          <w:sz w:val="18"/>
          <w:szCs w:val="18"/>
        </w:rPr>
        <w:t xml:space="preserve"> občany Slovenska (5,6 tis.) a vůbec poprvé </w:t>
      </w:r>
      <w:r w:rsidR="006357C1">
        <w:rPr>
          <w:rFonts w:ascii="Arial" w:hAnsi="Arial" w:cs="Arial"/>
          <w:sz w:val="18"/>
          <w:szCs w:val="18"/>
        </w:rPr>
        <w:t>byli</w:t>
      </w:r>
      <w:r w:rsidR="00601DED">
        <w:rPr>
          <w:rFonts w:ascii="Arial" w:hAnsi="Arial" w:cs="Arial"/>
          <w:sz w:val="18"/>
          <w:szCs w:val="18"/>
        </w:rPr>
        <w:t xml:space="preserve"> </w:t>
      </w:r>
      <w:r w:rsidRPr="007F4124">
        <w:rPr>
          <w:rFonts w:ascii="Arial" w:hAnsi="Arial" w:cs="Arial"/>
          <w:sz w:val="18"/>
          <w:szCs w:val="18"/>
        </w:rPr>
        <w:t>na třetím místě Filipínci (2,1 tis.). Rok 2023 se dále vyznačoval výrazným dvanáctiprocentním poklesem počtu sňa</w:t>
      </w:r>
      <w:r w:rsidR="006357C1">
        <w:rPr>
          <w:rFonts w:ascii="Arial" w:hAnsi="Arial" w:cs="Arial"/>
          <w:sz w:val="18"/>
          <w:szCs w:val="18"/>
        </w:rPr>
        <w:t xml:space="preserve">tků. Poprvé od roku 2005 se </w:t>
      </w:r>
      <w:r w:rsidRPr="007F4124">
        <w:rPr>
          <w:rFonts w:ascii="Arial" w:hAnsi="Arial" w:cs="Arial"/>
          <w:sz w:val="18"/>
          <w:szCs w:val="18"/>
        </w:rPr>
        <w:t>živě narodilo méně než 100</w:t>
      </w:r>
      <w:r>
        <w:rPr>
          <w:rFonts w:ascii="Arial" w:hAnsi="Arial" w:cs="Arial"/>
          <w:sz w:val="18"/>
          <w:szCs w:val="18"/>
        </w:rPr>
        <w:t> </w:t>
      </w:r>
      <w:r w:rsidRPr="007F4124">
        <w:rPr>
          <w:rFonts w:ascii="Arial" w:hAnsi="Arial" w:cs="Arial"/>
          <w:sz w:val="18"/>
          <w:szCs w:val="18"/>
        </w:rPr>
        <w:t>tisíc dětí (91,1</w:t>
      </w:r>
      <w:r w:rsidR="007012C6">
        <w:rPr>
          <w:rFonts w:ascii="Arial" w:hAnsi="Arial" w:cs="Arial"/>
          <w:sz w:val="18"/>
          <w:szCs w:val="18"/>
        </w:rPr>
        <w:t> </w:t>
      </w:r>
      <w:r w:rsidRPr="007F4124">
        <w:rPr>
          <w:rFonts w:ascii="Arial" w:hAnsi="Arial" w:cs="Arial"/>
          <w:sz w:val="18"/>
          <w:szCs w:val="18"/>
        </w:rPr>
        <w:t xml:space="preserve">tis.). Naděje dožití při narození již druhým rokem rostla a navázala </w:t>
      </w:r>
      <w:r w:rsidR="00664AD4">
        <w:rPr>
          <w:rFonts w:ascii="Arial" w:hAnsi="Arial" w:cs="Arial"/>
          <w:sz w:val="18"/>
          <w:szCs w:val="18"/>
        </w:rPr>
        <w:t xml:space="preserve">tak </w:t>
      </w:r>
      <w:r w:rsidRPr="007F4124">
        <w:rPr>
          <w:rFonts w:ascii="Arial" w:hAnsi="Arial" w:cs="Arial"/>
          <w:sz w:val="18"/>
          <w:szCs w:val="18"/>
        </w:rPr>
        <w:t>na pozitivní vývoj před pandemií onemocnění</w:t>
      </w:r>
      <w:r w:rsidR="006357C1">
        <w:rPr>
          <w:rFonts w:ascii="Arial" w:hAnsi="Arial" w:cs="Arial"/>
          <w:sz w:val="18"/>
          <w:szCs w:val="18"/>
        </w:rPr>
        <w:t>m</w:t>
      </w:r>
      <w:r w:rsidRPr="007F4124">
        <w:rPr>
          <w:rFonts w:ascii="Arial" w:hAnsi="Arial" w:cs="Arial"/>
          <w:sz w:val="18"/>
          <w:szCs w:val="18"/>
        </w:rPr>
        <w:t xml:space="preserve"> covid-</w:t>
      </w:r>
      <w:r w:rsidR="007012C6">
        <w:rPr>
          <w:rFonts w:ascii="Arial" w:hAnsi="Arial" w:cs="Arial"/>
          <w:sz w:val="18"/>
          <w:szCs w:val="18"/>
        </w:rPr>
        <w:t>1</w:t>
      </w:r>
      <w:r w:rsidRPr="007F4124">
        <w:rPr>
          <w:rFonts w:ascii="Arial" w:hAnsi="Arial" w:cs="Arial"/>
          <w:sz w:val="18"/>
          <w:szCs w:val="18"/>
        </w:rPr>
        <w:t>9.</w:t>
      </w:r>
    </w:p>
    <w:p w14:paraId="726E7016" w14:textId="0C961D3E" w:rsidR="00AB3B3A" w:rsidRPr="007F4124" w:rsidRDefault="00AB3B3A" w:rsidP="00AB3B3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7F4124">
        <w:rPr>
          <w:rFonts w:ascii="Arial" w:hAnsi="Arial" w:cs="Arial"/>
          <w:sz w:val="18"/>
          <w:szCs w:val="18"/>
        </w:rPr>
        <w:t>Česká ekonomika se v roce 2023 potýkala s kombinací vlivu rostoucí zahraniční poptávky, domácí investiční aktivity a vládní spotřeby na jedné straně a pokračujícího propadu spotřeby domácností a negativního působení změny zásob na straně druhé. Výsledkem tohoto mixu bylo kolísání ekonomiky v pásmu s</w:t>
      </w:r>
      <w:r w:rsidR="006357C1">
        <w:rPr>
          <w:rFonts w:ascii="Arial" w:hAnsi="Arial" w:cs="Arial"/>
          <w:sz w:val="18"/>
          <w:szCs w:val="18"/>
        </w:rPr>
        <w:t>tagnace,</w:t>
      </w:r>
      <w:r w:rsidRPr="007F4124">
        <w:rPr>
          <w:rFonts w:ascii="Arial" w:hAnsi="Arial" w:cs="Arial"/>
          <w:sz w:val="18"/>
          <w:szCs w:val="18"/>
        </w:rPr>
        <w:t xml:space="preserve"> celkově hrubý domácí</w:t>
      </w:r>
      <w:r>
        <w:rPr>
          <w:rFonts w:ascii="Arial" w:hAnsi="Arial" w:cs="Arial"/>
          <w:sz w:val="18"/>
          <w:szCs w:val="18"/>
        </w:rPr>
        <w:t xml:space="preserve"> produkt (HDP) loni klesl </w:t>
      </w:r>
      <w:r w:rsidR="002B2B77">
        <w:rPr>
          <w:rFonts w:ascii="Arial" w:hAnsi="Arial" w:cs="Arial"/>
          <w:sz w:val="18"/>
          <w:szCs w:val="18"/>
        </w:rPr>
        <w:br/>
      </w:r>
      <w:r w:rsidR="00A8793E">
        <w:rPr>
          <w:rFonts w:ascii="Arial" w:hAnsi="Arial" w:cs="Arial"/>
          <w:sz w:val="18"/>
          <w:szCs w:val="18"/>
        </w:rPr>
        <w:t>o </w:t>
      </w:r>
      <w:r>
        <w:rPr>
          <w:rFonts w:ascii="Arial" w:hAnsi="Arial" w:cs="Arial"/>
          <w:sz w:val="18"/>
          <w:szCs w:val="18"/>
        </w:rPr>
        <w:t>0,1 </w:t>
      </w:r>
      <w:r w:rsidRPr="007F4124">
        <w:rPr>
          <w:rFonts w:ascii="Arial" w:hAnsi="Arial" w:cs="Arial"/>
          <w:sz w:val="18"/>
          <w:szCs w:val="18"/>
        </w:rPr>
        <w:t xml:space="preserve">%. Spotřebitelské ceny se zvýšily o 10,7 % (v roce 2022 to bylo o 15,1 %) a jejich meziroční růst postupně během roku zpomaloval. Celkový objem vyplacených mezd a platů nominálně vzrostl o </w:t>
      </w:r>
      <w:r w:rsidR="00EF07A3">
        <w:rPr>
          <w:rFonts w:ascii="Arial" w:hAnsi="Arial" w:cs="Arial"/>
          <w:sz w:val="18"/>
          <w:szCs w:val="18"/>
        </w:rPr>
        <w:t>7,8</w:t>
      </w:r>
      <w:r w:rsidRPr="007F4124">
        <w:rPr>
          <w:rFonts w:ascii="Arial" w:hAnsi="Arial" w:cs="Arial"/>
          <w:sz w:val="18"/>
          <w:szCs w:val="18"/>
        </w:rPr>
        <w:t xml:space="preserve"> % při současném navýš</w:t>
      </w:r>
      <w:r>
        <w:rPr>
          <w:rFonts w:ascii="Arial" w:hAnsi="Arial" w:cs="Arial"/>
          <w:sz w:val="18"/>
          <w:szCs w:val="18"/>
        </w:rPr>
        <w:t>ení celkové zaměstnanosti o 0,8 </w:t>
      </w:r>
      <w:r w:rsidRPr="007F4124">
        <w:rPr>
          <w:rFonts w:ascii="Arial" w:hAnsi="Arial" w:cs="Arial"/>
          <w:sz w:val="18"/>
          <w:szCs w:val="18"/>
        </w:rPr>
        <w:t>%, ale vzhledem k pokračujícímu růstu cenové hladiny výdělky reálně klesly o 1,2 %.</w:t>
      </w:r>
    </w:p>
    <w:p w14:paraId="11CEE664" w14:textId="34ADE925" w:rsidR="00AB3B3A" w:rsidRPr="007F4124" w:rsidRDefault="00AB3B3A" w:rsidP="00AB3B3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7F4124">
        <w:rPr>
          <w:rFonts w:ascii="Arial" w:hAnsi="Arial" w:cs="Arial"/>
          <w:sz w:val="18"/>
          <w:szCs w:val="18"/>
        </w:rPr>
        <w:t>Předchozí údaje jistě mají svoji váhu, ale zdaleka nejsou těmi jedinými, které Český statistický úřad veřejnosti nabízí k dotvoření co nejvíce uceleného obrazu o dění v naší zemi. Na stránkách Statistické ročenky tak</w:t>
      </w:r>
      <w:r w:rsidR="00EF07A3">
        <w:rPr>
          <w:rFonts w:ascii="Arial" w:hAnsi="Arial" w:cs="Arial"/>
          <w:sz w:val="18"/>
          <w:szCs w:val="18"/>
        </w:rPr>
        <w:t>,</w:t>
      </w:r>
      <w:r w:rsidRPr="007F4124">
        <w:rPr>
          <w:rFonts w:ascii="Arial" w:hAnsi="Arial" w:cs="Arial"/>
          <w:sz w:val="18"/>
          <w:szCs w:val="18"/>
        </w:rPr>
        <w:t xml:space="preserve"> kromě řady dalších standardně publikovaných informací</w:t>
      </w:r>
      <w:r w:rsidR="00EF07A3">
        <w:rPr>
          <w:rFonts w:ascii="Arial" w:hAnsi="Arial" w:cs="Arial"/>
          <w:sz w:val="18"/>
          <w:szCs w:val="18"/>
        </w:rPr>
        <w:t>,</w:t>
      </w:r>
      <w:r w:rsidRPr="007F4124">
        <w:rPr>
          <w:rFonts w:ascii="Arial" w:hAnsi="Arial" w:cs="Arial"/>
          <w:sz w:val="18"/>
          <w:szCs w:val="18"/>
        </w:rPr>
        <w:t xml:space="preserve"> naleznete i nově zařazené tabulky o digitální ekonomice, výzkumu a vývoji, vzdělávání či sociálním zabezpečení. Zcela nové údaje přineslo Integrované šetření v zemědělství a nově a do většího detailu byla též přepracována pasáž věnující se kriminalitě a soudnictví. V neposlední řadě nelze opominout též volby do Evropského parlamentu či výsledky Olympijských her v Paříži, přičemž tyto údaje již zasahují do roku 2024.</w:t>
      </w:r>
    </w:p>
    <w:p w14:paraId="4EC135C3" w14:textId="5A630F3F" w:rsidR="00E24893" w:rsidRPr="00AB410D" w:rsidRDefault="00AB3B3A" w:rsidP="00AB3B3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7F4124">
        <w:rPr>
          <w:rFonts w:ascii="Arial" w:hAnsi="Arial" w:cs="Arial"/>
          <w:sz w:val="18"/>
          <w:szCs w:val="18"/>
        </w:rPr>
        <w:t xml:space="preserve">Jak již bylo řečeno v úvodu, moderní oficiální statistika se dnes nespoléhá pouze na ročenky. Využívá řadu progresivních nástrojů a snaží se sledovat moderní trendy jak v samotné statistické práci, tak i v prezentaci statistických údajů uživatelům. Český statistický úřad má od letošního roku nový web a modernizuje i svoji databázi. Nabízí také čím dál více údajů ve formátu otevřených dat. Naleznete nás na sociálních sítích, vydáváme popularizační i impaktované časopisy. A cizí nám již nejsou ani zprudka se rozvíjející možnosti umělé inteligence. I přesto je Statistická ročenka stále platným praktickým pomocníkem, který na jednom místě koncentruje podstatné a důvěryhodné informace pro všechny, kteří je potřebují pro svoji práci, studium </w:t>
      </w:r>
      <w:r w:rsidR="002B2B77">
        <w:rPr>
          <w:rFonts w:ascii="Arial" w:hAnsi="Arial" w:cs="Arial"/>
          <w:sz w:val="18"/>
          <w:szCs w:val="18"/>
        </w:rPr>
        <w:br/>
      </w:r>
      <w:r w:rsidRPr="007F4124">
        <w:rPr>
          <w:rFonts w:ascii="Arial" w:hAnsi="Arial" w:cs="Arial"/>
          <w:sz w:val="18"/>
          <w:szCs w:val="18"/>
        </w:rPr>
        <w:t>a odpovědné rozhodování. Patří se proto na tomto místě poděkovat všem, kteří se na tvorbě tohoto úctyhodného díla podíleli a podílejí. Tedy zaměstnancům Českého statistického úřadu, partnerským organizacím a rovněž našim respondentům, bez jejichž zapojení by bylo sestavování jakýchkoliv statistik prakticky nemožné.</w:t>
      </w:r>
    </w:p>
    <w:p w14:paraId="2CCC74EE" w14:textId="77777777" w:rsidR="0002748F" w:rsidRPr="00AB410D" w:rsidRDefault="0002748F" w:rsidP="00AB4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AE9305" w14:textId="77777777" w:rsidR="0002748F" w:rsidRPr="00AB410D" w:rsidRDefault="0002748F" w:rsidP="00AB41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F4BF6B" w14:textId="7C1D334F" w:rsidR="00595005" w:rsidRDefault="00595005" w:rsidP="00AB41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4664E0" w14:textId="77777777" w:rsidR="00C679D8" w:rsidRDefault="00C679D8" w:rsidP="00AB41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859C0C" w14:textId="4BE6EDB7" w:rsidR="00412032" w:rsidRDefault="00412032" w:rsidP="00641B0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1470CB" w14:textId="5ED736E3" w:rsidR="00412032" w:rsidRPr="00AB410D" w:rsidRDefault="00412032" w:rsidP="00AB41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E0B385" w14:textId="77777777" w:rsidR="0002748F" w:rsidRPr="00AB410D" w:rsidRDefault="0002748F" w:rsidP="00AB410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B410D">
        <w:rPr>
          <w:rFonts w:ascii="Arial" w:hAnsi="Arial" w:cs="Arial"/>
          <w:sz w:val="18"/>
          <w:szCs w:val="18"/>
        </w:rPr>
        <w:t>Marek Rojíček</w:t>
      </w:r>
    </w:p>
    <w:p w14:paraId="1442286A" w14:textId="77777777" w:rsidR="00756A4D" w:rsidRDefault="0002748F" w:rsidP="00AB410D">
      <w:pPr>
        <w:spacing w:after="0"/>
        <w:jc w:val="center"/>
        <w:rPr>
          <w:rFonts w:ascii="Arial" w:hAnsi="Arial" w:cs="Arial"/>
          <w:sz w:val="18"/>
          <w:szCs w:val="18"/>
        </w:rPr>
        <w:sectPr w:rsidR="00756A4D" w:rsidSect="00072100">
          <w:headerReference w:type="even" r:id="rId11"/>
          <w:footerReference w:type="even" r:id="rId12"/>
          <w:pgSz w:w="11906" w:h="16838" w:code="9"/>
          <w:pgMar w:top="1134" w:right="964" w:bottom="1418" w:left="964" w:header="510" w:footer="680" w:gutter="0"/>
          <w:pgNumType w:start="1"/>
          <w:cols w:space="708"/>
          <w:docGrid w:linePitch="360"/>
        </w:sectPr>
      </w:pPr>
      <w:r w:rsidRPr="00AB410D">
        <w:rPr>
          <w:rFonts w:ascii="Arial" w:hAnsi="Arial" w:cs="Arial"/>
          <w:sz w:val="18"/>
          <w:szCs w:val="18"/>
        </w:rPr>
        <w:t>předseda Českého statistického úřadu</w:t>
      </w:r>
    </w:p>
    <w:p w14:paraId="5C53C3C4" w14:textId="42D58452" w:rsidR="0002748F" w:rsidRPr="00AB410D" w:rsidRDefault="0002748F" w:rsidP="00AB410D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02748F" w:rsidRPr="00AB410D" w:rsidSect="00756A4D">
      <w:type w:val="continuous"/>
      <w:pgSz w:w="11906" w:h="16838" w:code="9"/>
      <w:pgMar w:top="1134" w:right="964" w:bottom="1418" w:left="96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C7D03" w14:textId="77777777" w:rsidR="00C45CEC" w:rsidRDefault="00C45CEC" w:rsidP="00A136A3">
      <w:r>
        <w:separator/>
      </w:r>
    </w:p>
  </w:endnote>
  <w:endnote w:type="continuationSeparator" w:id="0">
    <w:p w14:paraId="27DAC1A0" w14:textId="77777777" w:rsidR="00C45CEC" w:rsidRDefault="00C45CEC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215D269B" w:rsidR="00134A76" w:rsidRPr="00F86E1B" w:rsidRDefault="0095300F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90A">
      <w:rPr>
        <w:rFonts w:ascii="Arial" w:hAnsi="Arial" w:cs="Arial"/>
        <w:sz w:val="16"/>
        <w:szCs w:val="16"/>
      </w:rPr>
      <w:fldChar w:fldCharType="begin"/>
    </w:r>
    <w:r w:rsidR="0069490A">
      <w:rPr>
        <w:rFonts w:ascii="Arial" w:hAnsi="Arial" w:cs="Arial"/>
        <w:sz w:val="16"/>
        <w:szCs w:val="16"/>
      </w:rPr>
      <w:instrText xml:space="preserve"> PAGE  \* Arabic  \* MERGEFORMAT </w:instrText>
    </w:r>
    <w:r w:rsidR="0069490A">
      <w:rPr>
        <w:rFonts w:ascii="Arial" w:hAnsi="Arial" w:cs="Arial"/>
        <w:sz w:val="16"/>
        <w:szCs w:val="16"/>
      </w:rPr>
      <w:fldChar w:fldCharType="separate"/>
    </w:r>
    <w:r w:rsidR="002362CB">
      <w:rPr>
        <w:rFonts w:ascii="Arial" w:hAnsi="Arial" w:cs="Arial"/>
        <w:noProof/>
        <w:sz w:val="16"/>
        <w:szCs w:val="16"/>
      </w:rPr>
      <w:t>2</w:t>
    </w:r>
    <w:r w:rsidR="0069490A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center" w:leader="none"/>
    </w:r>
    <w:r w:rsidR="006D62D8">
      <w:rPr>
        <w:rFonts w:ascii="Arial" w:hAnsi="Arial" w:cs="Arial"/>
        <w:sz w:val="16"/>
        <w:szCs w:val="16"/>
      </w:rPr>
      <w:fldChar w:fldCharType="begin"/>
    </w:r>
    <w:r w:rsidR="006D62D8"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 w:rsidR="006D62D8">
      <w:rPr>
        <w:rFonts w:ascii="Arial" w:hAnsi="Arial" w:cs="Arial"/>
        <w:sz w:val="16"/>
        <w:szCs w:val="16"/>
      </w:rPr>
      <w:fldChar w:fldCharType="separate"/>
    </w:r>
    <w:r w:rsidR="00C679D8">
      <w:rPr>
        <w:rFonts w:ascii="Arial" w:hAnsi="Arial" w:cs="Arial"/>
        <w:sz w:val="16"/>
        <w:szCs w:val="16"/>
      </w:rPr>
      <w:t xml:space="preserve">Statistická ročenka České republiky 2022 / </w:t>
    </w:r>
    <w:r w:rsidR="00C679D8" w:rsidRPr="00C679D8">
      <w:rPr>
        <w:rFonts w:ascii="Arial" w:hAnsi="Arial" w:cs="Arial"/>
        <w:i/>
        <w:sz w:val="16"/>
        <w:szCs w:val="16"/>
        <w:lang w:val="en-GB"/>
      </w:rPr>
      <w:t>Statistical Yearbook of the Czech Republic, 2022</w:t>
    </w:r>
    <w:r w:rsidR="006D62D8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5770" w14:textId="77777777" w:rsidR="00C45CEC" w:rsidRDefault="00C45CEC" w:rsidP="00A136A3">
      <w:r>
        <w:separator/>
      </w:r>
    </w:p>
  </w:footnote>
  <w:footnote w:type="continuationSeparator" w:id="0">
    <w:p w14:paraId="68AD0F43" w14:textId="77777777" w:rsidR="00C45CEC" w:rsidRDefault="00C45CEC" w:rsidP="00A1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3EF" w14:textId="6E87DD0C" w:rsidR="00134A76" w:rsidRPr="000D33AE" w:rsidRDefault="00134A76" w:rsidP="00902FB6">
    <w:pPr>
      <w:pStyle w:val="Zhlav"/>
      <w:spacing w:after="0" w:line="288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Název kapitoly CZ</w:t>
    </w:r>
  </w:p>
  <w:p w14:paraId="43E79BE5" w14:textId="372C7156" w:rsidR="00134A76" w:rsidRPr="00FC25B0" w:rsidRDefault="00134A76" w:rsidP="00902FB6">
    <w:pPr>
      <w:pStyle w:val="Zhlav"/>
      <w:spacing w:after="0" w:line="288" w:lineRule="auto"/>
      <w:jc w:val="left"/>
      <w:rPr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Název kapitoly 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6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C03CB"/>
    <w:multiLevelType w:val="hybridMultilevel"/>
    <w:tmpl w:val="D2546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22EDD"/>
    <w:rsid w:val="0002748F"/>
    <w:rsid w:val="00035D76"/>
    <w:rsid w:val="00072100"/>
    <w:rsid w:val="00075457"/>
    <w:rsid w:val="00076E76"/>
    <w:rsid w:val="00081FE0"/>
    <w:rsid w:val="00095D33"/>
    <w:rsid w:val="000A0039"/>
    <w:rsid w:val="000A4614"/>
    <w:rsid w:val="000C2B8E"/>
    <w:rsid w:val="000C2D37"/>
    <w:rsid w:val="000D126B"/>
    <w:rsid w:val="000D33AE"/>
    <w:rsid w:val="000E0119"/>
    <w:rsid w:val="00112D61"/>
    <w:rsid w:val="00134A76"/>
    <w:rsid w:val="001771E7"/>
    <w:rsid w:val="001800FB"/>
    <w:rsid w:val="00191E19"/>
    <w:rsid w:val="001A611A"/>
    <w:rsid w:val="001B36E0"/>
    <w:rsid w:val="001E723A"/>
    <w:rsid w:val="00200682"/>
    <w:rsid w:val="00207E65"/>
    <w:rsid w:val="0022026A"/>
    <w:rsid w:val="002362CB"/>
    <w:rsid w:val="002554D2"/>
    <w:rsid w:val="002620E1"/>
    <w:rsid w:val="00263572"/>
    <w:rsid w:val="002638B5"/>
    <w:rsid w:val="002850EA"/>
    <w:rsid w:val="00295BD0"/>
    <w:rsid w:val="00297C86"/>
    <w:rsid w:val="002B2B77"/>
    <w:rsid w:val="002F594A"/>
    <w:rsid w:val="003027C2"/>
    <w:rsid w:val="0035008D"/>
    <w:rsid w:val="003533EA"/>
    <w:rsid w:val="00371163"/>
    <w:rsid w:val="00381105"/>
    <w:rsid w:val="003B4266"/>
    <w:rsid w:val="003B622A"/>
    <w:rsid w:val="003C033C"/>
    <w:rsid w:val="003C4ABA"/>
    <w:rsid w:val="003C565A"/>
    <w:rsid w:val="003D5F8E"/>
    <w:rsid w:val="003D66CC"/>
    <w:rsid w:val="003E7EAC"/>
    <w:rsid w:val="003F1EC2"/>
    <w:rsid w:val="003F2C6F"/>
    <w:rsid w:val="00404370"/>
    <w:rsid w:val="004065F0"/>
    <w:rsid w:val="00412032"/>
    <w:rsid w:val="004157F6"/>
    <w:rsid w:val="00420824"/>
    <w:rsid w:val="00421B4C"/>
    <w:rsid w:val="00425854"/>
    <w:rsid w:val="00441883"/>
    <w:rsid w:val="0044330A"/>
    <w:rsid w:val="0047449B"/>
    <w:rsid w:val="00477A2F"/>
    <w:rsid w:val="004826EF"/>
    <w:rsid w:val="00483ABE"/>
    <w:rsid w:val="00495509"/>
    <w:rsid w:val="004B6C55"/>
    <w:rsid w:val="004D316F"/>
    <w:rsid w:val="004E0CA5"/>
    <w:rsid w:val="004F6B79"/>
    <w:rsid w:val="00502C78"/>
    <w:rsid w:val="00515239"/>
    <w:rsid w:val="0052209C"/>
    <w:rsid w:val="00540909"/>
    <w:rsid w:val="00542696"/>
    <w:rsid w:val="0056537C"/>
    <w:rsid w:val="00570A94"/>
    <w:rsid w:val="00584880"/>
    <w:rsid w:val="00595005"/>
    <w:rsid w:val="005A25CB"/>
    <w:rsid w:val="005A3B36"/>
    <w:rsid w:val="005A502D"/>
    <w:rsid w:val="005B5184"/>
    <w:rsid w:val="005C6D9F"/>
    <w:rsid w:val="005C72FD"/>
    <w:rsid w:val="00601DED"/>
    <w:rsid w:val="006202CE"/>
    <w:rsid w:val="006250D6"/>
    <w:rsid w:val="006311DE"/>
    <w:rsid w:val="006330EB"/>
    <w:rsid w:val="006357C1"/>
    <w:rsid w:val="00641B03"/>
    <w:rsid w:val="0064490F"/>
    <w:rsid w:val="00655CF4"/>
    <w:rsid w:val="00656972"/>
    <w:rsid w:val="00657A86"/>
    <w:rsid w:val="00664AD4"/>
    <w:rsid w:val="0069346B"/>
    <w:rsid w:val="00693546"/>
    <w:rsid w:val="0069490A"/>
    <w:rsid w:val="00695007"/>
    <w:rsid w:val="00695D8C"/>
    <w:rsid w:val="006B1760"/>
    <w:rsid w:val="006C2D29"/>
    <w:rsid w:val="006D4BBF"/>
    <w:rsid w:val="006D62D8"/>
    <w:rsid w:val="006F2FD6"/>
    <w:rsid w:val="007012C6"/>
    <w:rsid w:val="00711758"/>
    <w:rsid w:val="00715480"/>
    <w:rsid w:val="00723E06"/>
    <w:rsid w:val="00756029"/>
    <w:rsid w:val="00756A4D"/>
    <w:rsid w:val="0076020F"/>
    <w:rsid w:val="007610D1"/>
    <w:rsid w:val="007825B9"/>
    <w:rsid w:val="00784A0B"/>
    <w:rsid w:val="007979C3"/>
    <w:rsid w:val="007979C9"/>
    <w:rsid w:val="007B2280"/>
    <w:rsid w:val="007B34EA"/>
    <w:rsid w:val="007E08C4"/>
    <w:rsid w:val="007E4A05"/>
    <w:rsid w:val="00802FDE"/>
    <w:rsid w:val="00810134"/>
    <w:rsid w:val="008143E8"/>
    <w:rsid w:val="00821CD4"/>
    <w:rsid w:val="00837303"/>
    <w:rsid w:val="008507CE"/>
    <w:rsid w:val="008510FE"/>
    <w:rsid w:val="00883BD5"/>
    <w:rsid w:val="008A630C"/>
    <w:rsid w:val="008A74D1"/>
    <w:rsid w:val="008B0F5A"/>
    <w:rsid w:val="008B3648"/>
    <w:rsid w:val="008B4EC5"/>
    <w:rsid w:val="008D259F"/>
    <w:rsid w:val="008E4312"/>
    <w:rsid w:val="008E5EF5"/>
    <w:rsid w:val="008E6A5E"/>
    <w:rsid w:val="00902FB6"/>
    <w:rsid w:val="009143EB"/>
    <w:rsid w:val="00917B66"/>
    <w:rsid w:val="00922D5A"/>
    <w:rsid w:val="0095300F"/>
    <w:rsid w:val="009562E7"/>
    <w:rsid w:val="00970598"/>
    <w:rsid w:val="0099393F"/>
    <w:rsid w:val="009A1918"/>
    <w:rsid w:val="009A1E07"/>
    <w:rsid w:val="009A289A"/>
    <w:rsid w:val="009E7C79"/>
    <w:rsid w:val="009F050D"/>
    <w:rsid w:val="009F4A0D"/>
    <w:rsid w:val="009F7896"/>
    <w:rsid w:val="00A136A3"/>
    <w:rsid w:val="00A13F0C"/>
    <w:rsid w:val="00A16AB1"/>
    <w:rsid w:val="00A71EC2"/>
    <w:rsid w:val="00A72F82"/>
    <w:rsid w:val="00A84580"/>
    <w:rsid w:val="00A8793E"/>
    <w:rsid w:val="00AB3B3A"/>
    <w:rsid w:val="00AB410D"/>
    <w:rsid w:val="00AC616F"/>
    <w:rsid w:val="00AE55CD"/>
    <w:rsid w:val="00AE5F89"/>
    <w:rsid w:val="00AF7FBA"/>
    <w:rsid w:val="00B10D45"/>
    <w:rsid w:val="00B47BCF"/>
    <w:rsid w:val="00B720ED"/>
    <w:rsid w:val="00B83CB2"/>
    <w:rsid w:val="00B85509"/>
    <w:rsid w:val="00B9129F"/>
    <w:rsid w:val="00B91329"/>
    <w:rsid w:val="00BA30DB"/>
    <w:rsid w:val="00BE069D"/>
    <w:rsid w:val="00C010F8"/>
    <w:rsid w:val="00C377AB"/>
    <w:rsid w:val="00C45CEC"/>
    <w:rsid w:val="00C64D99"/>
    <w:rsid w:val="00C65649"/>
    <w:rsid w:val="00C679D8"/>
    <w:rsid w:val="00C71859"/>
    <w:rsid w:val="00C8346E"/>
    <w:rsid w:val="00C91611"/>
    <w:rsid w:val="00C92E10"/>
    <w:rsid w:val="00C96143"/>
    <w:rsid w:val="00CD1E47"/>
    <w:rsid w:val="00CD27CC"/>
    <w:rsid w:val="00CD342F"/>
    <w:rsid w:val="00CD46D0"/>
    <w:rsid w:val="00CD4F40"/>
    <w:rsid w:val="00D01B62"/>
    <w:rsid w:val="00D06505"/>
    <w:rsid w:val="00D260F5"/>
    <w:rsid w:val="00D47CA5"/>
    <w:rsid w:val="00D55A62"/>
    <w:rsid w:val="00D56D79"/>
    <w:rsid w:val="00D649A6"/>
    <w:rsid w:val="00D82DAE"/>
    <w:rsid w:val="00D86C6F"/>
    <w:rsid w:val="00D871D5"/>
    <w:rsid w:val="00D91D3E"/>
    <w:rsid w:val="00D93C2E"/>
    <w:rsid w:val="00DA6B0A"/>
    <w:rsid w:val="00DB21E3"/>
    <w:rsid w:val="00DB29C0"/>
    <w:rsid w:val="00DF0CDC"/>
    <w:rsid w:val="00DF2097"/>
    <w:rsid w:val="00DF505E"/>
    <w:rsid w:val="00E24893"/>
    <w:rsid w:val="00E27CD9"/>
    <w:rsid w:val="00E3500B"/>
    <w:rsid w:val="00E551A6"/>
    <w:rsid w:val="00E60C46"/>
    <w:rsid w:val="00E83E19"/>
    <w:rsid w:val="00E8786B"/>
    <w:rsid w:val="00EC3036"/>
    <w:rsid w:val="00EC6DCF"/>
    <w:rsid w:val="00EE04C9"/>
    <w:rsid w:val="00EF07A3"/>
    <w:rsid w:val="00F16596"/>
    <w:rsid w:val="00F16EA0"/>
    <w:rsid w:val="00F23DDE"/>
    <w:rsid w:val="00F258C9"/>
    <w:rsid w:val="00F30E31"/>
    <w:rsid w:val="00F3257A"/>
    <w:rsid w:val="00F36EC2"/>
    <w:rsid w:val="00F41229"/>
    <w:rsid w:val="00F5300D"/>
    <w:rsid w:val="00F7636D"/>
    <w:rsid w:val="00F86E1B"/>
    <w:rsid w:val="00F9417F"/>
    <w:rsid w:val="00FA0104"/>
    <w:rsid w:val="00FC25B0"/>
    <w:rsid w:val="00FC3EBC"/>
    <w:rsid w:val="00FC7CCA"/>
    <w:rsid w:val="00FE20E7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8B7B-8BB4-4D89-BA8F-DF18388FF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E2957-3FA0-4561-91B1-01A3FB3A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9151-26C2-419D-86A3-E81EF65A3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DF4B9-5C26-44E4-8633-79B7F831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2022 / Statistical Yearbook of the Czech Republic, 2022</vt:lpstr>
    </vt:vector>
  </TitlesOfParts>
  <Company>ČSÚ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Statistická ročenka České republiky 2024</dc:title>
  <dc:subject/>
  <dc:creator>Český statistický úřad</dc:creator>
  <cp:keywords/>
  <dc:description/>
  <cp:lastModifiedBy>Zadák Rostislav</cp:lastModifiedBy>
  <cp:revision>9</cp:revision>
  <cp:lastPrinted>2022-06-15T08:19:00Z</cp:lastPrinted>
  <dcterms:created xsi:type="dcterms:W3CDTF">2024-11-04T10:11:00Z</dcterms:created>
  <dcterms:modified xsi:type="dcterms:W3CDTF">2024-11-28T09:46:00Z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